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header96.xml" ContentType="application/vnd.openxmlformats-officedocument.wordprocessingml.header+xml"/>
  <Override PartName="/word/footer95.xml" ContentType="application/vnd.openxmlformats-officedocument.wordprocessingml.foot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99.xml" ContentType="application/vnd.openxmlformats-officedocument.wordprocessingml.foot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footer102.xml" ContentType="application/vnd.openxmlformats-officedocument.wordprocessingml.foot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header106.xml" ContentType="application/vnd.openxmlformats-officedocument.wordprocessingml.header+xml"/>
  <Override PartName="/word/footer105.xml" ContentType="application/vnd.openxmlformats-officedocument.wordprocessingml.foot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footer113.xml" ContentType="application/vnd.openxmlformats-officedocument.wordprocessingml.foot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header117.xml" ContentType="application/vnd.openxmlformats-officedocument.wordprocessingml.header+xml"/>
  <Override PartName="/word/footer116.xml" ContentType="application/vnd.openxmlformats-officedocument.wordprocessingml.foot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header120.xml" ContentType="application/vnd.openxmlformats-officedocument.wordprocessingml.header+xml"/>
  <Override PartName="/word/footer119.xml" ContentType="application/vnd.openxmlformats-officedocument.wordprocessingml.foot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header124.xml" ContentType="application/vnd.openxmlformats-officedocument.wordprocessingml.header+xml"/>
  <Override PartName="/word/footer123.xml" ContentType="application/vnd.openxmlformats-officedocument.wordprocessingml.foot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footer126.xml" ContentType="application/vnd.openxmlformats-officedocument.wordprocessingml.foot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header130.xml" ContentType="application/vnd.openxmlformats-officedocument.wordprocessingml.header+xml"/>
  <Override PartName="/word/footer129.xml" ContentType="application/vnd.openxmlformats-officedocument.wordprocessingml.foot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header133.xml" ContentType="application/vnd.openxmlformats-officedocument.wordprocessingml.header+xml"/>
  <Override PartName="/word/footer132.xml" ContentType="application/vnd.openxmlformats-officedocument.wordprocessingml.foot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header136.xml" ContentType="application/vnd.openxmlformats-officedocument.wordprocessingml.header+xml"/>
  <Override PartName="/word/footer135.xml" ContentType="application/vnd.openxmlformats-officedocument.wordprocessingml.foot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header139.xml" ContentType="application/vnd.openxmlformats-officedocument.wordprocessingml.header+xml"/>
  <Override PartName="/word/footer138.xml" ContentType="application/vnd.openxmlformats-officedocument.wordprocessingml.foot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header142.xml" ContentType="application/vnd.openxmlformats-officedocument.wordprocessingml.header+xml"/>
  <Override PartName="/word/footer141.xml" ContentType="application/vnd.openxmlformats-officedocument.wordprocessingml.foot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header145.xml" ContentType="application/vnd.openxmlformats-officedocument.wordprocessingml.header+xml"/>
  <Override PartName="/word/footer144.xml" ContentType="application/vnd.openxmlformats-officedocument.wordprocessingml.foot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header148.xml" ContentType="application/vnd.openxmlformats-officedocument.wordprocessingml.header+xml"/>
  <Override PartName="/word/footer147.xml" ContentType="application/vnd.openxmlformats-officedocument.wordprocessingml.foot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header151.xml" ContentType="application/vnd.openxmlformats-officedocument.wordprocessingml.header+xml"/>
  <Override PartName="/word/footer150.xml" ContentType="application/vnd.openxmlformats-officedocument.wordprocessingml.foot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header154.xml" ContentType="application/vnd.openxmlformats-officedocument.wordprocessingml.header+xml"/>
  <Override PartName="/word/footer153.xml" ContentType="application/vnd.openxmlformats-officedocument.wordprocessingml.foot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header169.xml" ContentType="application/vnd.openxmlformats-officedocument.wordprocessingml.header+xml"/>
  <Override PartName="/word/footer168.xml" ContentType="application/vnd.openxmlformats-officedocument.wordprocessingml.foot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171.xml" ContentType="application/vnd.openxmlformats-officedocument.wordprocessingml.foot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footer205.xml" ContentType="application/vnd.openxmlformats-officedocument.wordprocessingml.footer+xml"/>
  <Override PartName="/word/header206.xml" ContentType="application/vnd.openxmlformats-officedocument.wordprocessingml.header+xml"/>
  <Override PartName="/word/header207.xml" ContentType="application/vnd.openxmlformats-officedocument.wordprocessingml.header+xml"/>
  <Override PartName="/word/footer206.xml" ContentType="application/vnd.openxmlformats-officedocument.wordprocessingml.footer+xml"/>
  <Override PartName="/word/footer207.xml" ContentType="application/vnd.openxmlformats-officedocument.wordprocessingml.footer+xml"/>
  <Override PartName="/word/header208.xml" ContentType="application/vnd.openxmlformats-officedocument.wordprocessingml.header+xml"/>
  <Override PartName="/word/footer208.xml" ContentType="application/vnd.openxmlformats-officedocument.wordprocessingml.footer+xml"/>
  <Override PartName="/word/header209.xml" ContentType="application/vnd.openxmlformats-officedocument.wordprocessingml.header+xml"/>
  <Override PartName="/word/footer209.xml" ContentType="application/vnd.openxmlformats-officedocument.wordprocessingml.footer+xml"/>
  <Override PartName="/word/header210.xml" ContentType="application/vnd.openxmlformats-officedocument.wordprocessingml.header+xml"/>
  <Override PartName="/word/header211.xml" ContentType="application/vnd.openxmlformats-officedocument.wordprocessingml.header+xml"/>
  <Override PartName="/word/footer210.xml" ContentType="application/vnd.openxmlformats-officedocument.wordprocessingml.footer+xml"/>
  <Override PartName="/word/footer211.xml" ContentType="application/vnd.openxmlformats-officedocument.wordprocessingml.footer+xml"/>
  <Override PartName="/word/header212.xml" ContentType="application/vnd.openxmlformats-officedocument.wordprocessingml.header+xml"/>
  <Override PartName="/word/footer212.xml" ContentType="application/vnd.openxmlformats-officedocument.wordprocessingml.footer+xml"/>
  <Override PartName="/word/header213.xml" ContentType="application/vnd.openxmlformats-officedocument.wordprocessingml.header+xml"/>
  <Override PartName="/word/header214.xml" ContentType="application/vnd.openxmlformats-officedocument.wordprocessingml.header+xml"/>
  <Override PartName="/word/footer213.xml" ContentType="application/vnd.openxmlformats-officedocument.wordprocessingml.footer+xml"/>
  <Override PartName="/word/footer214.xml" ContentType="application/vnd.openxmlformats-officedocument.wordprocessingml.footer+xml"/>
  <Override PartName="/word/header215.xml" ContentType="application/vnd.openxmlformats-officedocument.wordprocessingml.head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1E3010" w14:textId="180ADF08" w:rsidR="00D924EA" w:rsidRDefault="004F7195" w:rsidP="004F7195">
      <w:pPr>
        <w:pStyle w:val="Pagedecouverture"/>
        <w:rPr>
          <w:noProof/>
        </w:rPr>
      </w:pPr>
      <w:bookmarkStart w:id="0" w:name="LW_BM_COVERPAGE"/>
      <w:r>
        <w:rPr>
          <w:noProof/>
        </w:rPr>
        <w:pict w14:anchorId="124040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8690AF2-EDAB-49F6-BD02-A96B9567FB75" style="width:455.25pt;height:414.75pt">
            <v:imagedata r:id="rId11" o:title=""/>
          </v:shape>
        </w:pict>
      </w:r>
    </w:p>
    <w:bookmarkEnd w:id="0"/>
    <w:p w14:paraId="16D54F16" w14:textId="77777777" w:rsidR="00D924EA" w:rsidRDefault="00D924EA">
      <w:pPr>
        <w:rPr>
          <w:noProof/>
        </w:rPr>
        <w:sectPr w:rsidR="00D924EA" w:rsidSect="004F7195">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39B7947" w14:textId="77777777" w:rsidR="00D924EA" w:rsidRDefault="00D924EA">
      <w:pPr>
        <w:spacing w:before="120" w:after="120" w:line="240" w:lineRule="auto"/>
        <w:rPr>
          <w:rFonts w:ascii="Times New Roman" w:eastAsia="Calibri" w:hAnsi="Times New Roman" w:cs="Arial"/>
          <w:b/>
          <w:noProof/>
          <w:kern w:val="0"/>
          <w:sz w:val="28"/>
          <w14:ligatures w14:val="none"/>
        </w:rPr>
      </w:pPr>
      <w:bookmarkStart w:id="1" w:name="_GoBack"/>
      <w:bookmarkEnd w:id="1"/>
    </w:p>
    <w:p w14:paraId="382698F3" w14:textId="45A0AB2D" w:rsidR="00D924EA" w:rsidRDefault="00011DE9">
      <w:pPr>
        <w:pStyle w:val="P68B1DB1-Normal1"/>
        <w:spacing w:before="120" w:after="120" w:line="240" w:lineRule="auto"/>
        <w:jc w:val="center"/>
        <w:rPr>
          <w:rFonts w:ascii="Times New Roman" w:eastAsia="Calibri" w:hAnsi="Times New Roman" w:cs="Times New Roman"/>
          <w:b/>
          <w:bCs/>
          <w:noProof/>
          <w:sz w:val="28"/>
          <w:szCs w:val="28"/>
        </w:rPr>
      </w:pPr>
      <w:r>
        <w:rPr>
          <w:rFonts w:ascii="Times New Roman" w:eastAsia="Calibri" w:hAnsi="Times New Roman" w:cs="Arial"/>
          <w:b/>
          <w:noProof/>
          <w:sz w:val="28"/>
          <w:szCs w:val="28"/>
        </w:rPr>
        <w:t>ANEXĂ</w:t>
      </w:r>
      <w:r w:rsidR="00971820">
        <w:rPr>
          <w:rFonts w:ascii="Calibri" w:eastAsia="Calibri" w:hAnsi="Calibri" w:cs="Arial"/>
          <w:noProof/>
        </w:rPr>
        <w:t xml:space="preserve"> </w:t>
      </w:r>
      <w:r>
        <w:rPr>
          <w:rFonts w:ascii="Calibri" w:eastAsia="Calibri" w:hAnsi="Calibri" w:cs="Arial"/>
          <w:noProof/>
        </w:rPr>
        <w:br/>
      </w:r>
    </w:p>
    <w:p w14:paraId="3BC67287" w14:textId="77777777" w:rsidR="00D924EA" w:rsidRDefault="00011DE9">
      <w:pPr>
        <w:pStyle w:val="P68B1DB1-Normal4"/>
        <w:spacing w:before="120" w:after="120" w:line="240" w:lineRule="auto"/>
        <w:jc w:val="both"/>
        <w:rPr>
          <w:rFonts w:cs="Times New Roman"/>
          <w:noProof/>
          <w:szCs w:val="28"/>
        </w:rPr>
      </w:pPr>
      <w:r>
        <w:rPr>
          <w:noProof/>
        </w:rPr>
        <w:t>SECȚIUNEA 1: REFORME ȘI INVESTIȚII INCLUSE ÎN PLANUL DE REDRESARE ȘI REZILIENȚĂ</w:t>
      </w:r>
    </w:p>
    <w:p w14:paraId="47248420" w14:textId="77777777" w:rsidR="00D924EA" w:rsidRDefault="00D924EA">
      <w:pPr>
        <w:spacing w:before="120" w:after="120" w:line="240" w:lineRule="auto"/>
        <w:jc w:val="both"/>
        <w:rPr>
          <w:rFonts w:ascii="Times New Roman" w:eastAsia="Calibri" w:hAnsi="Times New Roman" w:cs="Times New Roman"/>
          <w:noProof/>
          <w:kern w:val="0"/>
          <w:sz w:val="28"/>
          <w:szCs w:val="28"/>
          <w14:ligatures w14:val="none"/>
        </w:rPr>
      </w:pPr>
    </w:p>
    <w:p w14:paraId="5EEDACB8" w14:textId="77777777" w:rsidR="00D924EA" w:rsidRDefault="00011DE9">
      <w:pPr>
        <w:pStyle w:val="P68B1DB1-Normal4"/>
        <w:numPr>
          <w:ilvl w:val="0"/>
          <w:numId w:val="19"/>
        </w:numPr>
        <w:spacing w:before="120" w:after="120" w:line="240" w:lineRule="auto"/>
        <w:jc w:val="both"/>
        <w:rPr>
          <w:rFonts w:cs="Times New Roman"/>
          <w:noProof/>
          <w:szCs w:val="28"/>
        </w:rPr>
      </w:pPr>
      <w:r>
        <w:rPr>
          <w:noProof/>
        </w:rPr>
        <w:t xml:space="preserve">Descrierea reformelor și a investițiilor </w:t>
      </w:r>
    </w:p>
    <w:p w14:paraId="5F07FAAA" w14:textId="77777777" w:rsidR="00D924EA" w:rsidRDefault="00011DE9">
      <w:pPr>
        <w:pStyle w:val="P68B1DB1-Normal5"/>
        <w:keepNext/>
        <w:spacing w:before="360" w:after="360" w:line="240" w:lineRule="auto"/>
        <w:jc w:val="center"/>
        <w:outlineLvl w:val="0"/>
        <w:rPr>
          <w:rFonts w:cs="Times New Roman"/>
          <w:noProof/>
        </w:rPr>
      </w:pPr>
      <w:r>
        <w:rPr>
          <w:noProof/>
        </w:rPr>
        <w:t xml:space="preserve">A. COMPONENTA 01: PLANUL PRIVIND ȘOCUL MOBILITĂȚII DURABILE, SIGURE ȘI CONECTATE ÎN MEDIUL URBAN ȘI METROPOLITAN </w:t>
      </w:r>
    </w:p>
    <w:p w14:paraId="3167B709" w14:textId="14AD8BF8" w:rsidR="00D924EA" w:rsidRDefault="00011DE9">
      <w:pPr>
        <w:spacing w:before="120" w:after="120" w:line="240" w:lineRule="auto"/>
        <w:jc w:val="both"/>
        <w:rPr>
          <w:rFonts w:ascii="Times New Roman" w:eastAsia="Calibri" w:hAnsi="Times New Roman" w:cs="Times New Roman"/>
          <w:noProof/>
          <w:kern w:val="0"/>
          <w14:ligatures w14:val="none"/>
        </w:rPr>
      </w:pPr>
      <w:r>
        <w:rPr>
          <w:rFonts w:ascii="Times New Roman" w:eastAsia="Calibri" w:hAnsi="Times New Roman" w:cs="Arial"/>
          <w:noProof/>
          <w:kern w:val="0"/>
          <w14:ligatures w14:val="none"/>
        </w:rPr>
        <w:t>Această componentă a planului spaniol de redresare și reziliență abordează provocările legate de calitatea aerului, care afectează în principal principalele zone metropolitane și au condus la peste</w:t>
      </w:r>
      <w:r>
        <w:rPr>
          <w:rFonts w:ascii="Times New Roman" w:eastAsia="Calibri" w:hAnsi="Times New Roman" w:cs="Arial"/>
          <w:noProof/>
        </w:rPr>
        <w:t xml:space="preserve"> 20 000 de decese premature în Spania în 2018. Obiectivul general al reformelor și al investițiilor în această componentă este de a trece la o mobilitate urbană curată, sigură și inteligentă. Obiectivele specifice urmărite de această componentă sunt următoarele:• accelerarea punerii în aplicare a zonelor cu emisii scăzute în toate municipalitățile cu peste 50</w:t>
      </w:r>
      <w:r>
        <w:rPr>
          <w:rFonts w:ascii="Times New Roman" w:hAnsi="Times New Roman" w:cs="Times New Roman"/>
          <w:noProof/>
          <w:sz w:val="20"/>
          <w:szCs w:val="20"/>
        </w:rPr>
        <w:t xml:space="preserve"> </w:t>
      </w:r>
      <w:r>
        <w:rPr>
          <w:rFonts w:ascii="Times New Roman" w:eastAsia="Calibri" w:hAnsi="Times New Roman" w:cs="Arial"/>
          <w:noProof/>
        </w:rPr>
        <w:t>000 de locuitori și în capitalele provinciilor, precum și pătrunderea</w:t>
      </w:r>
      <w:r>
        <w:rPr>
          <w:rFonts w:ascii="Times New Roman" w:eastAsia="Calibri" w:hAnsi="Times New Roman" w:cs="Arial"/>
          <w:noProof/>
          <w:kern w:val="0"/>
          <w14:ligatures w14:val="none"/>
        </w:rPr>
        <w:t xml:space="preserve"> mobilității e</w:t>
      </w:r>
      <w:r w:rsidR="00426570">
        <w:rPr>
          <w:rFonts w:ascii="Times New Roman" w:eastAsia="Calibri" w:hAnsi="Times New Roman" w:cs="Arial"/>
          <w:noProof/>
          <w:kern w:val="0"/>
          <w14:ligatures w14:val="none"/>
        </w:rPr>
        <w:t>le</w:t>
      </w:r>
      <w:r>
        <w:rPr>
          <w:rFonts w:ascii="Times New Roman" w:eastAsia="Calibri" w:hAnsi="Times New Roman" w:cs="Arial"/>
          <w:noProof/>
          <w:kern w:val="0"/>
          <w14:ligatures w14:val="none"/>
        </w:rPr>
        <w:t>ctrice;</w:t>
      </w:r>
    </w:p>
    <w:p w14:paraId="72E5AFAE" w14:textId="77777777" w:rsidR="00D924EA" w:rsidRDefault="00011DE9">
      <w:pPr>
        <w:pStyle w:val="P68B1DB1-Normal6"/>
        <w:spacing w:before="120" w:after="120" w:line="240" w:lineRule="auto"/>
        <w:jc w:val="both"/>
        <w:rPr>
          <w:rFonts w:ascii="Times New Roman" w:eastAsia="Calibri" w:hAnsi="Times New Roman" w:cs="Times New Roman"/>
          <w:noProof/>
        </w:rPr>
      </w:pPr>
      <w:r>
        <w:rPr>
          <w:rFonts w:ascii="Calibri" w:eastAsia="Calibri" w:hAnsi="Times New Roman" w:cs="Arial"/>
          <w:noProof/>
        </w:rPr>
        <w:t>•</w:t>
      </w:r>
      <w:r>
        <w:rPr>
          <w:rFonts w:ascii="Calibri" w:eastAsia="Calibri" w:hAnsi="Times New Roman" w:cs="Arial"/>
          <w:noProof/>
        </w:rPr>
        <w:t xml:space="preserve"> </w:t>
      </w:r>
      <w:r>
        <w:rPr>
          <w:rFonts w:ascii="Times New Roman" w:eastAsia="Calibri" w:hAnsi="Times New Roman" w:cs="Arial"/>
          <w:noProof/>
        </w:rPr>
        <w:t xml:space="preserve">să promoveze mobilitatea activă, precum și alte măsuri care să contribuie la reducerea utilizării autoturismelor personale; </w:t>
      </w:r>
    </w:p>
    <w:p w14:paraId="70919720" w14:textId="419BA038" w:rsidR="00D924EA" w:rsidRDefault="00011DE9">
      <w:pPr>
        <w:spacing w:before="120" w:after="120" w:line="240" w:lineRule="auto"/>
        <w:jc w:val="both"/>
        <w:rPr>
          <w:rFonts w:ascii="Times New Roman" w:eastAsia="Calibri" w:hAnsi="Times New Roman" w:cs="Times New Roman"/>
          <w:noProof/>
          <w:kern w:val="0"/>
          <w14:ligatures w14:val="none"/>
        </w:rPr>
      </w:pPr>
      <w:r>
        <w:rPr>
          <w:rFonts w:ascii="Calibri" w:eastAsia="Calibri" w:hAnsi="Times New Roman" w:cs="Arial"/>
          <w:noProof/>
          <w:kern w:val="0"/>
          <w14:ligatures w14:val="none"/>
        </w:rPr>
        <w:t>•</w:t>
      </w:r>
      <w:r>
        <w:rPr>
          <w:rFonts w:ascii="Times New Roman" w:eastAsia="Calibri" w:hAnsi="Times New Roman" w:cs="Arial"/>
          <w:noProof/>
        </w:rPr>
        <w:t xml:space="preserve"> </w:t>
      </w:r>
      <w:r>
        <w:rPr>
          <w:rFonts w:ascii="Times New Roman" w:eastAsia="Calibri" w:hAnsi="Times New Roman" w:cs="Arial"/>
          <w:noProof/>
          <w:kern w:val="0"/>
          <w14:ligatures w14:val="none"/>
        </w:rPr>
        <w:t>transformarea digitală și</w:t>
      </w:r>
      <w:r>
        <w:rPr>
          <w:rFonts w:ascii="Times New Roman" w:eastAsia="Calibri" w:hAnsi="Times New Roman" w:cs="Arial"/>
          <w:noProof/>
        </w:rPr>
        <w:t xml:space="preserve"> durabilă a sectorului transportului public ca alternativă reală la utilizarea vehiculelor private;</w:t>
      </w:r>
    </w:p>
    <w:p w14:paraId="1C5F9CA4" w14:textId="77777777" w:rsidR="00D924EA" w:rsidRDefault="00011DE9">
      <w:pPr>
        <w:pStyle w:val="P68B1DB1-Normal6"/>
        <w:spacing w:before="120" w:after="120" w:line="240" w:lineRule="auto"/>
        <w:jc w:val="both"/>
        <w:rPr>
          <w:rFonts w:ascii="Times New Roman" w:eastAsia="Calibri" w:hAnsi="Times New Roman" w:cs="Times New Roman"/>
          <w:noProof/>
        </w:rPr>
      </w:pPr>
      <w:r>
        <w:rPr>
          <w:rFonts w:ascii="Calibri" w:eastAsia="Calibri" w:hAnsi="Times New Roman" w:cs="Arial"/>
          <w:noProof/>
        </w:rPr>
        <w:t>•</w:t>
      </w:r>
      <w:r>
        <w:rPr>
          <w:rFonts w:ascii="Calibri" w:eastAsia="Calibri" w:hAnsi="Times New Roman" w:cs="Arial"/>
          <w:noProof/>
        </w:rPr>
        <w:t xml:space="preserve"> </w:t>
      </w:r>
      <w:r>
        <w:rPr>
          <w:rFonts w:ascii="Times New Roman" w:eastAsia="Calibri" w:hAnsi="Times New Roman" w:cs="Arial"/>
          <w:noProof/>
        </w:rPr>
        <w:t>îmbunătățirea calității și fiabilității serviciilor de transport feroviar pe distanțe scurte pentru a spori utilizarea eficientă a acestora în mediile metropolitane, în detrimentul vehiculului privat;</w:t>
      </w:r>
    </w:p>
    <w:p w14:paraId="1B08F65A" w14:textId="77777777" w:rsidR="00D924EA" w:rsidRDefault="00011DE9">
      <w:pPr>
        <w:pStyle w:val="P68B1DB1-Normal6"/>
        <w:spacing w:before="120" w:after="120" w:line="240" w:lineRule="auto"/>
        <w:jc w:val="both"/>
        <w:rPr>
          <w:rFonts w:ascii="Times New Roman" w:eastAsia="Calibri" w:hAnsi="Times New Roman" w:cs="Times New Roman"/>
          <w:noProof/>
        </w:rPr>
      </w:pPr>
      <w:r>
        <w:rPr>
          <w:rFonts w:ascii="Calibri" w:eastAsia="Calibri" w:hAnsi="Times New Roman" w:cs="Arial"/>
          <w:noProof/>
        </w:rPr>
        <w:t>•</w:t>
      </w:r>
      <w:r>
        <w:rPr>
          <w:rFonts w:ascii="Calibri" w:eastAsia="Calibri" w:hAnsi="Times New Roman" w:cs="Arial"/>
          <w:noProof/>
        </w:rPr>
        <w:t xml:space="preserve"> </w:t>
      </w:r>
      <w:r>
        <w:rPr>
          <w:rFonts w:ascii="Times New Roman" w:eastAsia="Calibri" w:hAnsi="Times New Roman" w:cs="Arial"/>
          <w:noProof/>
        </w:rPr>
        <w:t>optimizarea gestionării traficului și facilitarea procesului decizional pentru a promova o mobilitate mai curată.</w:t>
      </w:r>
    </w:p>
    <w:p w14:paraId="41DFAC11" w14:textId="77777777" w:rsidR="00D924EA" w:rsidRDefault="00011DE9">
      <w:pPr>
        <w:pStyle w:val="P68B1DB1-Normal7"/>
        <w:spacing w:before="120" w:after="120" w:line="240" w:lineRule="auto"/>
        <w:jc w:val="both"/>
        <w:rPr>
          <w:rFonts w:cs="Times New Roman"/>
          <w:noProof/>
        </w:rPr>
      </w:pPr>
      <w:r>
        <w:rPr>
          <w:noProof/>
        </w:rPr>
        <w:t>Componenta abordează recomandările specifice fiecărei țări privind promovarea investițiilor publice și private care încurajează tranziția verde și digitală și transportul durabil (Recomandarea specifică fiecărei țări 3 2020), promovarea investițiilor în inovare și în eficiența energetică și infrastructura de transport feroviar de marfă (Recomandarea specifică fiecărei țări 3 2019), precum și privind consolidarea cooperării la nivelul guvernelor (Recomandarea specifică fiecărei țări 4 2019).</w:t>
      </w:r>
    </w:p>
    <w:p w14:paraId="3CD8EC0E" w14:textId="37B1A36A" w:rsidR="00D924EA" w:rsidRDefault="00011DE9">
      <w:pPr>
        <w:pStyle w:val="P68B1DB1-Normal7"/>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r w:rsidR="00971820">
        <w:rPr>
          <w:noProof/>
        </w:rPr>
        <w:t xml:space="preserve"> </w:t>
      </w:r>
    </w:p>
    <w:p w14:paraId="68E4B3CB" w14:textId="77777777" w:rsidR="00D924EA" w:rsidRDefault="00D924EA">
      <w:pPr>
        <w:spacing w:before="120" w:after="120" w:line="240" w:lineRule="auto"/>
        <w:jc w:val="both"/>
        <w:rPr>
          <w:rFonts w:ascii="Times New Roman" w:eastAsia="Calibri" w:hAnsi="Times New Roman" w:cs="Times New Roman"/>
          <w:noProof/>
          <w:kern w:val="0"/>
          <w14:ligatures w14:val="none"/>
        </w:rPr>
        <w:sectPr w:rsidR="00D924EA" w:rsidSect="00CE326E">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p>
    <w:p w14:paraId="28D2635D" w14:textId="31C4773A" w:rsidR="00D924EA" w:rsidRDefault="00011DE9">
      <w:pPr>
        <w:pStyle w:val="P68B1DB1-Normal6"/>
        <w:spacing w:before="120" w:after="120" w:line="240" w:lineRule="auto"/>
        <w:ind w:left="709"/>
        <w:jc w:val="both"/>
        <w:rPr>
          <w:rFonts w:ascii="Times New Roman" w:eastAsia="Calibri" w:hAnsi="Times New Roman" w:cs="Times New Roman"/>
          <w:b/>
          <w:i/>
          <w:noProof/>
        </w:rPr>
      </w:pPr>
      <w:r>
        <w:rPr>
          <w:rFonts w:ascii="Times New Roman" w:eastAsia="Calibri" w:hAnsi="Times New Roman" w:cs="Arial"/>
          <w:b/>
          <w:noProof/>
          <w:u w:val="single"/>
        </w:rPr>
        <w:lastRenderedPageBreak/>
        <w:t>A.1.</w:t>
      </w:r>
      <w:r w:rsidR="00971820">
        <w:rPr>
          <w:rFonts w:ascii="Times New Roman" w:eastAsia="Calibri" w:hAnsi="Times New Roman" w:cs="Arial"/>
          <w:b/>
          <w:noProof/>
          <w:u w:val="single"/>
        </w:rPr>
        <w:t xml:space="preserve"> </w:t>
      </w:r>
      <w:r>
        <w:rPr>
          <w:rFonts w:ascii="Times New Roman" w:eastAsia="Calibri" w:hAnsi="Times New Roman" w:cs="Arial"/>
          <w:b/>
          <w:noProof/>
          <w:u w:val="single"/>
        </w:rPr>
        <w:t>Descrierea reformelor și a investițiilor pentru sprijinul financiar nerambursabil</w:t>
      </w:r>
    </w:p>
    <w:p w14:paraId="2A3AC0DA" w14:textId="77777777" w:rsidR="00D924EA" w:rsidRDefault="00011DE9">
      <w:pPr>
        <w:pStyle w:val="P68B1DB1-Normal8"/>
        <w:spacing w:before="120" w:after="120" w:line="240" w:lineRule="auto"/>
        <w:jc w:val="both"/>
        <w:rPr>
          <w:rFonts w:cs="Times New Roman"/>
          <w:noProof/>
        </w:rPr>
      </w:pPr>
      <w:r>
        <w:rPr>
          <w:noProof/>
        </w:rPr>
        <w:t xml:space="preserve">Reforma 1 (C1.R1) – Plan de implementare pentru reîncărcarea și stimularea infrastructurii pentru vehiculele electrice </w:t>
      </w:r>
    </w:p>
    <w:p w14:paraId="2B052B69" w14:textId="77777777" w:rsidR="00D924EA" w:rsidRDefault="00011DE9">
      <w:pPr>
        <w:pStyle w:val="P68B1DB1-Normal7"/>
        <w:spacing w:before="120" w:after="120" w:line="240" w:lineRule="auto"/>
        <w:jc w:val="both"/>
        <w:rPr>
          <w:rFonts w:cs="Times New Roman"/>
          <w:noProof/>
        </w:rPr>
      </w:pPr>
      <w:r>
        <w:rPr>
          <w:noProof/>
        </w:rPr>
        <w:t xml:space="preserve">Obiectivul acestei măsuri este de a consolida cadrul operațional și de reglementare care facilitează instalarea infrastructurii de reîncărcare pentru a stimula utilizarea vehiculelor electrice. </w:t>
      </w:r>
    </w:p>
    <w:p w14:paraId="005F282D" w14:textId="77777777" w:rsidR="00D924EA" w:rsidRDefault="00011DE9">
      <w:pPr>
        <w:pStyle w:val="P68B1DB1-Normal7"/>
        <w:spacing w:before="120" w:after="120" w:line="240" w:lineRule="auto"/>
        <w:jc w:val="both"/>
        <w:rPr>
          <w:rFonts w:cs="Times New Roman"/>
          <w:noProof/>
        </w:rPr>
      </w:pPr>
      <w:r>
        <w:rPr>
          <w:noProof/>
        </w:rPr>
        <w:t xml:space="preserve">Reforma constă în adoptarea următorului cadru de reglementare care vizează eliminarea barierelor care împiedică în prezent difuzarea punctelor de încărcare: </w:t>
      </w:r>
    </w:p>
    <w:p w14:paraId="5D94EF55" w14:textId="77777777" w:rsidR="00D924EA" w:rsidRDefault="00011DE9">
      <w:pPr>
        <w:pStyle w:val="P68B1DB1-Normal7"/>
        <w:numPr>
          <w:ilvl w:val="0"/>
          <w:numId w:val="20"/>
        </w:numPr>
        <w:spacing w:before="120" w:after="120" w:line="240" w:lineRule="auto"/>
        <w:jc w:val="both"/>
        <w:rPr>
          <w:rFonts w:cs="Times New Roman"/>
          <w:noProof/>
        </w:rPr>
      </w:pPr>
      <w:r>
        <w:rPr>
          <w:noProof/>
        </w:rPr>
        <w:t>Decretul regal de reglementare a serviciilor de încărcare accesibile publicului și de asigurare a funcționării corecte și fiabile a punctelor instalate;</w:t>
      </w:r>
    </w:p>
    <w:p w14:paraId="35AE776F" w14:textId="77777777" w:rsidR="00D924EA" w:rsidRDefault="00011DE9">
      <w:pPr>
        <w:pStyle w:val="P68B1DB1-Normal7"/>
        <w:numPr>
          <w:ilvl w:val="0"/>
          <w:numId w:val="20"/>
        </w:numPr>
        <w:spacing w:before="120" w:after="120" w:line="240" w:lineRule="auto"/>
        <w:jc w:val="both"/>
        <w:rPr>
          <w:rFonts w:cs="Times New Roman"/>
          <w:noProof/>
        </w:rPr>
      </w:pPr>
      <w:r>
        <w:rPr>
          <w:noProof/>
        </w:rPr>
        <w:t xml:space="preserve">Decretul-lege regal nr. 23/2020 din 23 iunie 2020, care contribuie la accelerarea prelucrării infrastructurii de reîncărcare prin declararea instalațiilor de încărcare cu o putere mai mare de 250 kW ca fiind de interes public; </w:t>
      </w:r>
    </w:p>
    <w:p w14:paraId="0128A03D" w14:textId="77777777" w:rsidR="00D924EA" w:rsidRDefault="00011DE9">
      <w:pPr>
        <w:pStyle w:val="P68B1DB1-Normal7"/>
        <w:numPr>
          <w:ilvl w:val="0"/>
          <w:numId w:val="20"/>
        </w:numPr>
        <w:spacing w:before="120" w:after="120" w:line="240" w:lineRule="auto"/>
        <w:jc w:val="both"/>
        <w:rPr>
          <w:rFonts w:eastAsia="Arial" w:cs="Times New Roman"/>
          <w:noProof/>
        </w:rPr>
      </w:pPr>
      <w:r>
        <w:rPr>
          <w:noProof/>
        </w:rPr>
        <w:t>Ordinul TMA/178/2020 privind reducerea sarcinii administrative pentru aprobarea și instalarea instalațiilor de încărcare cu energie electrică la stațiile de alimentare cu combustibil;</w:t>
      </w:r>
    </w:p>
    <w:p w14:paraId="0E97FF82" w14:textId="77777777" w:rsidR="00D924EA" w:rsidRDefault="00011DE9">
      <w:pPr>
        <w:pStyle w:val="P68B1DB1-Normal7"/>
        <w:numPr>
          <w:ilvl w:val="0"/>
          <w:numId w:val="20"/>
        </w:numPr>
        <w:spacing w:before="120" w:after="120" w:line="240" w:lineRule="auto"/>
        <w:jc w:val="both"/>
        <w:rPr>
          <w:rFonts w:cs="Times New Roman"/>
          <w:noProof/>
        </w:rPr>
      </w:pPr>
      <w:r>
        <w:rPr>
          <w:noProof/>
        </w:rPr>
        <w:t>Modificarea Codului tehnic al clădirilor, prin creșterea cantităților minime de infrastructură de încărcare a vehiculelor electrice atât în parcările rezidențiale, cât și în parcările terțiare, depășind cerințele minime ale Directivei privind eficiența energetică a clădirilor; și</w:t>
      </w:r>
    </w:p>
    <w:p w14:paraId="7831CC4E" w14:textId="77777777" w:rsidR="00D924EA" w:rsidRDefault="00011DE9">
      <w:pPr>
        <w:pStyle w:val="P68B1DB1-Normal7"/>
        <w:numPr>
          <w:ilvl w:val="0"/>
          <w:numId w:val="20"/>
        </w:numPr>
        <w:spacing w:before="120" w:after="120" w:line="240" w:lineRule="auto"/>
        <w:jc w:val="both"/>
        <w:rPr>
          <w:rFonts w:cs="Times New Roman"/>
          <w:noProof/>
        </w:rPr>
      </w:pPr>
      <w:r>
        <w:rPr>
          <w:noProof/>
        </w:rPr>
        <w:t>Regulamentul electrotehnic de joasă tensiune modificat, care include obligații privind infrastructura de încărcare în parcări, care nu sunt legate de o clădire.</w:t>
      </w:r>
    </w:p>
    <w:p w14:paraId="2977CCE1" w14:textId="77777777" w:rsidR="00D924EA" w:rsidRDefault="00011DE9">
      <w:pPr>
        <w:pStyle w:val="P68B1DB1-Normal7"/>
        <w:spacing w:before="120" w:after="120" w:line="240" w:lineRule="auto"/>
        <w:jc w:val="both"/>
        <w:rPr>
          <w:rFonts w:cs="Times New Roman"/>
          <w:noProof/>
        </w:rPr>
      </w:pPr>
      <w:r>
        <w:rPr>
          <w:noProof/>
        </w:rPr>
        <w:t>Punerea în aplicare a reformei se finalizează până la 30 iunie 2022.</w:t>
      </w:r>
    </w:p>
    <w:p w14:paraId="73FB8B42" w14:textId="77777777" w:rsidR="00D924EA" w:rsidRDefault="00011DE9">
      <w:pPr>
        <w:pStyle w:val="P68B1DB1-Normal8"/>
        <w:spacing w:before="120" w:after="120" w:line="240" w:lineRule="auto"/>
        <w:jc w:val="both"/>
        <w:rPr>
          <w:noProof/>
        </w:rPr>
      </w:pPr>
      <w:r>
        <w:rPr>
          <w:noProof/>
        </w:rPr>
        <w:t xml:space="preserve">Reforma 2 (C1.R2) – Legea privind mobilitatea </w:t>
      </w:r>
    </w:p>
    <w:p w14:paraId="5C492421" w14:textId="0E98740A" w:rsidR="00D924EA" w:rsidRDefault="00011DE9">
      <w:pPr>
        <w:pStyle w:val="P68B1DB1-Normal12"/>
        <w:spacing w:before="120" w:after="120" w:line="240" w:lineRule="auto"/>
        <w:jc w:val="both"/>
        <w:rPr>
          <w:noProof/>
        </w:rPr>
      </w:pPr>
      <w:r>
        <w:rPr>
          <w:noProof/>
        </w:rPr>
        <w:t>Obiectivul acestei măsuri este de a sprijini mobilitatea durabilă.</w:t>
      </w:r>
    </w:p>
    <w:p w14:paraId="378870CB" w14:textId="21BD8EEB" w:rsidR="00D924EA" w:rsidRDefault="00011DE9">
      <w:pPr>
        <w:pStyle w:val="P68B1DB1-Normal12"/>
        <w:spacing w:after="0" w:line="240" w:lineRule="auto"/>
        <w:jc w:val="both"/>
        <w:rPr>
          <w:rFonts w:eastAsia="Calibri" w:cs="Arial"/>
          <w:noProof/>
          <w:kern w:val="0"/>
          <w14:ligatures w14:val="none"/>
        </w:rPr>
      </w:pPr>
      <w:r>
        <w:rPr>
          <w:noProof/>
        </w:rPr>
        <w:t>Această măsură constă în intrarea în vigoare a Legii privind mobilitatea durabilă.</w:t>
      </w:r>
    </w:p>
    <w:p w14:paraId="62DBC6BA" w14:textId="77777777" w:rsidR="00D924EA" w:rsidRDefault="00D924EA">
      <w:pPr>
        <w:spacing w:after="0" w:line="240" w:lineRule="auto"/>
        <w:jc w:val="both"/>
        <w:rPr>
          <w:rFonts w:ascii="Times New Roman" w:eastAsia="Calibri" w:hAnsi="Times New Roman" w:cs="Arial"/>
          <w:noProof/>
          <w:kern w:val="0"/>
          <w14:ligatures w14:val="none"/>
        </w:rPr>
      </w:pPr>
    </w:p>
    <w:p w14:paraId="75622D4C" w14:textId="77777777" w:rsidR="00D924EA" w:rsidRDefault="00011DE9">
      <w:pPr>
        <w:pStyle w:val="P68B1DB1-Normal8"/>
        <w:spacing w:before="120" w:after="120" w:line="240" w:lineRule="auto"/>
        <w:jc w:val="both"/>
        <w:rPr>
          <w:noProof/>
        </w:rPr>
      </w:pPr>
      <w:r>
        <w:rPr>
          <w:noProof/>
        </w:rPr>
        <w:t xml:space="preserve">Investiția 1 (C1.I1) – Zone cu emisii scăzute și transformarea transportului urban și metropolitan </w:t>
      </w:r>
    </w:p>
    <w:p w14:paraId="5BB164F6" w14:textId="41BC71AF" w:rsidR="00D924EA" w:rsidRDefault="00011DE9">
      <w:pPr>
        <w:pStyle w:val="P68B1DB1-Normal13"/>
        <w:spacing w:before="120" w:after="120" w:line="240" w:lineRule="auto"/>
        <w:jc w:val="both"/>
        <w:rPr>
          <w:rFonts w:cs="Times New Roman"/>
          <w:noProof/>
        </w:rPr>
      </w:pPr>
      <w:r>
        <w:rPr>
          <w:noProof/>
          <w:kern w:val="0"/>
          <w14:ligatures w14:val="none"/>
        </w:rPr>
        <w:t xml:space="preserve">Obiectivul acestei investiții este de a </w:t>
      </w:r>
      <w:r>
        <w:rPr>
          <w:noProof/>
        </w:rPr>
        <w:t xml:space="preserve">promova mobilitatea durabilă și siguranța rutieră. </w:t>
      </w:r>
    </w:p>
    <w:p w14:paraId="20E6B944" w14:textId="75851F2C" w:rsidR="00D924EA" w:rsidRDefault="00011DE9">
      <w:pPr>
        <w:pStyle w:val="P68B1DB1-Normal14"/>
        <w:spacing w:before="120" w:after="120" w:line="240" w:lineRule="auto"/>
        <w:jc w:val="both"/>
        <w:rPr>
          <w:noProof/>
          <w:kern w:val="0"/>
          <w14:ligatures w14:val="none"/>
        </w:rPr>
      </w:pPr>
      <w:r>
        <w:rPr>
          <w:noProof/>
          <w:kern w:val="0"/>
          <w14:ligatures w14:val="none"/>
        </w:rPr>
        <w:t>Această măsură constă în punerea în aplicare a unor proiecte care promovează mobilitatea durabilă</w:t>
      </w:r>
      <w:r>
        <w:rPr>
          <w:noProof/>
        </w:rPr>
        <w:t xml:space="preserve"> sau</w:t>
      </w:r>
      <w:r>
        <w:rPr>
          <w:noProof/>
          <w:kern w:val="0"/>
          <w14:ligatures w14:val="none"/>
        </w:rPr>
        <w:t xml:space="preserve"> siguranța rutieră și în finalizarea activităților legate de (a) casarea vehiculelor, (b) achiziționarea de vehicule cu emisii scăzute de dioxid de carbon, (c) achiziționarea de semiremorci sau (d) instalarea infrastructurii de reîncărcare pentru vehiculele electrice</w:t>
      </w:r>
      <w:r>
        <w:rPr>
          <w:noProof/>
        </w:rPr>
        <w:t>.</w:t>
      </w:r>
    </w:p>
    <w:p w14:paraId="26E171AD" w14:textId="4F753310" w:rsidR="00D924EA" w:rsidRDefault="00011DE9">
      <w:pPr>
        <w:pStyle w:val="P68B1DB1-Normal8"/>
        <w:spacing w:before="120" w:after="120" w:line="240" w:lineRule="auto"/>
        <w:jc w:val="both"/>
        <w:rPr>
          <w:noProof/>
        </w:rPr>
      </w:pPr>
      <w:r>
        <w:rPr>
          <w:noProof/>
        </w:rPr>
        <w:t>Investiția 2 (C1.I2) – Schemă de stimulente pentru instalarea de puncte de reîncărcare, achiziționarea de vehicule electrice și inovarea în domeniul electromobilității</w:t>
      </w:r>
    </w:p>
    <w:p w14:paraId="31D2C886" w14:textId="5E34DC4E" w:rsidR="00D924EA" w:rsidRDefault="00011DE9">
      <w:pPr>
        <w:pStyle w:val="P68B1DB1-Normal7"/>
        <w:spacing w:before="120" w:after="120" w:line="240" w:lineRule="auto"/>
        <w:jc w:val="both"/>
        <w:rPr>
          <w:noProof/>
        </w:rPr>
      </w:pPr>
      <w:r>
        <w:rPr>
          <w:noProof/>
        </w:rPr>
        <w:t>Obiectivul acestei investiții este de a stimula electromobilitatea.</w:t>
      </w:r>
    </w:p>
    <w:p w14:paraId="7E638BE0" w14:textId="0D2FBAD3" w:rsidR="00D924EA" w:rsidRDefault="00011DE9">
      <w:pPr>
        <w:pStyle w:val="P68B1DB1-Normal15"/>
        <w:spacing w:before="120" w:after="120" w:line="240" w:lineRule="auto"/>
        <w:jc w:val="both"/>
        <w:rPr>
          <w:rFonts w:cs="Arial"/>
          <w:noProof/>
        </w:rPr>
      </w:pPr>
      <w:r>
        <w:rPr>
          <w:noProof/>
        </w:rPr>
        <w:t>Această măsură constă în subvenții pentru punerea în aplicare a proiectelor de inovare privind electromobilitatea și implementarea vehiculelor electrice (BEV, REEV, PHEV sau FCEV) și a infrastructurii de încărcare.</w:t>
      </w:r>
    </w:p>
    <w:p w14:paraId="4BFA105A" w14:textId="440486BD" w:rsidR="00D924EA" w:rsidRDefault="00011DE9">
      <w:pPr>
        <w:pStyle w:val="P68B1DB1-Normal7"/>
        <w:spacing w:before="120" w:after="120" w:line="240" w:lineRule="auto"/>
        <w:jc w:val="both"/>
        <w:rPr>
          <w:rFonts w:cs="Times New Roman"/>
          <w:noProof/>
        </w:rPr>
      </w:pPr>
      <w:r>
        <w:rPr>
          <w:noProof/>
        </w:rPr>
        <w:t xml:space="preserve"> </w:t>
      </w:r>
    </w:p>
    <w:p w14:paraId="13019768" w14:textId="4B215450" w:rsidR="00D924EA" w:rsidRDefault="00011DE9">
      <w:pPr>
        <w:pStyle w:val="P68B1DB1-Normal8"/>
        <w:keepNext/>
        <w:spacing w:before="120" w:after="120" w:line="240" w:lineRule="auto"/>
        <w:jc w:val="both"/>
        <w:rPr>
          <w:noProof/>
        </w:rPr>
      </w:pPr>
      <w:r>
        <w:rPr>
          <w:noProof/>
        </w:rPr>
        <w:t xml:space="preserve">Investiția 3 (C1.I3) – Măsuri de îmbunătățire a atractivității și accesibilității rețelei feroviare </w:t>
      </w:r>
    </w:p>
    <w:p w14:paraId="6CC4DD6B" w14:textId="41B2D12F" w:rsidR="00D924EA" w:rsidRDefault="00011DE9">
      <w:pPr>
        <w:pStyle w:val="P68B1DB1-Normal16"/>
        <w:spacing w:before="120" w:after="120" w:line="240" w:lineRule="auto"/>
        <w:jc w:val="both"/>
        <w:rPr>
          <w:rFonts w:cs="Times New Roman"/>
          <w:noProof/>
        </w:rPr>
      </w:pPr>
      <w:r>
        <w:rPr>
          <w:noProof/>
        </w:rPr>
        <w:t>Obiectivul acestei investiții este de a îmbunătăți accesibilitatea rețelei feroviare. Această măsură constă în punerea în aplicare a investițiilor în infrastructură în rețeaua feroviară.</w:t>
      </w:r>
    </w:p>
    <w:p w14:paraId="5D650EA5" w14:textId="77777777" w:rsidR="00D924EA" w:rsidRDefault="00D924EA">
      <w:pPr>
        <w:spacing w:before="120" w:after="120" w:line="240" w:lineRule="auto"/>
        <w:jc w:val="both"/>
        <w:rPr>
          <w:rFonts w:ascii="Times New Roman" w:eastAsia="Calibri" w:hAnsi="Times New Roman" w:cs="Times New Roman"/>
          <w:noProof/>
          <w:kern w:val="0"/>
          <w14:ligatures w14:val="none"/>
        </w:rPr>
      </w:pPr>
    </w:p>
    <w:p w14:paraId="08EFCA01" w14:textId="09231548" w:rsidR="00D924EA" w:rsidRDefault="00011DE9">
      <w:pPr>
        <w:pStyle w:val="P68B1DB1-Normal6"/>
        <w:spacing w:before="120" w:after="120" w:line="240" w:lineRule="auto"/>
        <w:jc w:val="both"/>
        <w:rPr>
          <w:rFonts w:ascii="Times New Roman" w:eastAsia="Calibri" w:hAnsi="Times New Roman" w:cs="Times New Roman"/>
          <w:b/>
          <w:noProof/>
          <w:u w:val="single"/>
        </w:rPr>
      </w:pPr>
      <w:r>
        <w:rPr>
          <w:rFonts w:ascii="Times New Roman" w:eastAsia="Calibri" w:hAnsi="Times New Roman" w:cs="Arial"/>
          <w:b/>
          <w:noProof/>
          <w:u w:val="single"/>
        </w:rPr>
        <w:t>A.2.</w:t>
      </w:r>
      <w:r w:rsidR="00971820">
        <w:rPr>
          <w:rFonts w:ascii="Times New Roman" w:eastAsia="Calibri" w:hAnsi="Times New Roman" w:cs="Arial"/>
          <w:b/>
          <w:noProof/>
          <w:u w:val="single"/>
        </w:rPr>
        <w:t xml:space="preserve"> </w:t>
      </w:r>
      <w:r>
        <w:rPr>
          <w:rFonts w:ascii="Times New Roman" w:eastAsia="Calibri" w:hAnsi="Times New Roman" w:cs="Arial"/>
          <w:b/>
          <w:noProof/>
          <w:u w:val="single"/>
        </w:rPr>
        <w:t>Jaloane, ținte, indicatori și calendarul de monitorizare și implementare aplicabile sprijinului financiar nerambursabil</w:t>
      </w:r>
    </w:p>
    <w:p w14:paraId="722537B7" w14:textId="77777777" w:rsidR="00D924EA" w:rsidRDefault="00011DE9">
      <w:pPr>
        <w:pStyle w:val="P68B1DB1-Normal7"/>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18D75FE5" w14:textId="77777777" w:rsidR="00D924EA" w:rsidRDefault="00D924EA">
      <w:pPr>
        <w:spacing w:before="120" w:after="120" w:line="240" w:lineRule="auto"/>
        <w:jc w:val="both"/>
        <w:rPr>
          <w:rFonts w:ascii="Times New Roman" w:eastAsia="Calibri" w:hAnsi="Times New Roman" w:cs="Times New Roman"/>
          <w:noProof/>
          <w:kern w:val="0"/>
          <w14:ligatures w14:val="none"/>
        </w:rPr>
      </w:pPr>
    </w:p>
    <w:p w14:paraId="198683C6" w14:textId="77777777" w:rsidR="00D924EA" w:rsidRDefault="00D924EA">
      <w:pPr>
        <w:spacing w:before="120" w:after="120" w:line="240" w:lineRule="auto"/>
        <w:jc w:val="both"/>
        <w:rPr>
          <w:rFonts w:ascii="Times New Roman" w:eastAsia="Calibri" w:hAnsi="Times New Roman" w:cs="Times New Roman"/>
          <w:noProof/>
          <w:kern w:val="0"/>
          <w14:ligatures w14:val="none"/>
        </w:rPr>
        <w:sectPr w:rsidR="00D924EA" w:rsidSect="00240167">
          <w:headerReference w:type="default" r:id="rId24"/>
          <w:footerReference w:type="default" r:id="rId25"/>
          <w:pgSz w:w="11907" w:h="16839"/>
          <w:pgMar w:top="1134" w:right="1134" w:bottom="1134" w:left="1134" w:header="567" w:footer="567" w:gutter="0"/>
          <w:cols w:space="720"/>
          <w:docGrid w:linePitch="360"/>
        </w:sectPr>
      </w:pP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5"/>
        <w:gridCol w:w="879"/>
        <w:gridCol w:w="2263"/>
        <w:gridCol w:w="1716"/>
        <w:gridCol w:w="834"/>
        <w:gridCol w:w="972"/>
        <w:gridCol w:w="728"/>
        <w:gridCol w:w="417"/>
        <w:gridCol w:w="556"/>
        <w:gridCol w:w="5272"/>
      </w:tblGrid>
      <w:tr w:rsidR="00D924EA" w14:paraId="644F9286" w14:textId="77777777">
        <w:trPr>
          <w:trHeight w:val="309"/>
          <w:tblHeader/>
          <w:jc w:val="center"/>
        </w:trPr>
        <w:tc>
          <w:tcPr>
            <w:tcW w:w="696" w:type="dxa"/>
            <w:vMerge w:val="restart"/>
            <w:shd w:val="clear" w:color="auto" w:fill="C6D9F1"/>
            <w:noWrap/>
            <w:vAlign w:val="center"/>
          </w:tcPr>
          <w:p w14:paraId="587A0384" w14:textId="77777777" w:rsidR="00D924EA" w:rsidRDefault="00011DE9">
            <w:pPr>
              <w:pStyle w:val="P68B1DB1-Normal17"/>
              <w:spacing w:after="0" w:line="240" w:lineRule="auto"/>
              <w:jc w:val="center"/>
              <w:rPr>
                <w:rFonts w:cs="Times New Roman"/>
                <w:noProof/>
                <w:szCs w:val="18"/>
              </w:rPr>
            </w:pPr>
            <w:r>
              <w:rPr>
                <w:noProof/>
              </w:rPr>
              <w:t>Număr</w:t>
            </w:r>
          </w:p>
        </w:tc>
        <w:tc>
          <w:tcPr>
            <w:tcW w:w="835" w:type="dxa"/>
            <w:vMerge w:val="restart"/>
            <w:shd w:val="clear" w:color="auto" w:fill="C6D9F1"/>
            <w:noWrap/>
            <w:vAlign w:val="center"/>
          </w:tcPr>
          <w:p w14:paraId="5BE5CED2" w14:textId="77777777" w:rsidR="00D924EA" w:rsidRDefault="00011DE9">
            <w:pPr>
              <w:pStyle w:val="P68B1DB1-Normal17"/>
              <w:spacing w:after="0" w:line="240" w:lineRule="auto"/>
              <w:jc w:val="center"/>
              <w:rPr>
                <w:rFonts w:cs="Times New Roman"/>
                <w:noProof/>
                <w:szCs w:val="18"/>
              </w:rPr>
            </w:pPr>
            <w:r>
              <w:rPr>
                <w:noProof/>
              </w:rPr>
              <w:t>Măsură</w:t>
            </w:r>
          </w:p>
        </w:tc>
        <w:tc>
          <w:tcPr>
            <w:tcW w:w="879" w:type="dxa"/>
            <w:vMerge w:val="restart"/>
            <w:shd w:val="clear" w:color="auto" w:fill="C6D9F1"/>
            <w:noWrap/>
            <w:vAlign w:val="center"/>
          </w:tcPr>
          <w:p w14:paraId="1A3C2F66" w14:textId="2E53527F" w:rsidR="00D924EA" w:rsidRDefault="00011DE9">
            <w:pPr>
              <w:pStyle w:val="P68B1DB1-Normal6"/>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Etapă</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/Țintei</w:t>
            </w:r>
          </w:p>
        </w:tc>
        <w:tc>
          <w:tcPr>
            <w:tcW w:w="2263" w:type="dxa"/>
            <w:vMerge w:val="restart"/>
            <w:shd w:val="clear" w:color="auto" w:fill="C6D9F1"/>
            <w:noWrap/>
            <w:vAlign w:val="center"/>
          </w:tcPr>
          <w:p w14:paraId="11F31F1E" w14:textId="77777777" w:rsidR="00D924EA" w:rsidRDefault="00011DE9">
            <w:pPr>
              <w:pStyle w:val="P68B1DB1-Normal17"/>
              <w:spacing w:after="0" w:line="240" w:lineRule="auto"/>
              <w:jc w:val="center"/>
              <w:rPr>
                <w:rFonts w:cs="Times New Roman"/>
                <w:noProof/>
                <w:szCs w:val="18"/>
              </w:rPr>
            </w:pPr>
            <w:r>
              <w:rPr>
                <w:noProof/>
              </w:rPr>
              <w:t>Nume</w:t>
            </w:r>
          </w:p>
        </w:tc>
        <w:tc>
          <w:tcPr>
            <w:tcW w:w="1716" w:type="dxa"/>
            <w:vMerge w:val="restart"/>
            <w:shd w:val="clear" w:color="auto" w:fill="C6D9F1"/>
            <w:noWrap/>
            <w:vAlign w:val="center"/>
          </w:tcPr>
          <w:p w14:paraId="36FD8B2E" w14:textId="77777777" w:rsidR="00D924EA" w:rsidRDefault="00011DE9">
            <w:pPr>
              <w:pStyle w:val="P68B1DB1-Normal17"/>
              <w:spacing w:after="0" w:line="240" w:lineRule="auto"/>
              <w:jc w:val="center"/>
              <w:rPr>
                <w:rFonts w:cs="Times New Roman"/>
                <w:noProof/>
                <w:szCs w:val="18"/>
              </w:rPr>
            </w:pPr>
            <w:r>
              <w:rPr>
                <w:noProof/>
              </w:rPr>
              <w:t>Indicator calitativ pentru jaloane</w:t>
            </w:r>
          </w:p>
        </w:tc>
        <w:tc>
          <w:tcPr>
            <w:tcW w:w="2534" w:type="dxa"/>
            <w:gridSpan w:val="3"/>
            <w:shd w:val="clear" w:color="auto" w:fill="C6D9F1"/>
            <w:noWrap/>
            <w:vAlign w:val="center"/>
          </w:tcPr>
          <w:p w14:paraId="37D12FEA" w14:textId="77777777" w:rsidR="00D924EA" w:rsidRDefault="00011DE9">
            <w:pPr>
              <w:pStyle w:val="P68B1DB1-Normal17"/>
              <w:spacing w:after="0" w:line="240" w:lineRule="auto"/>
              <w:jc w:val="center"/>
              <w:rPr>
                <w:rFonts w:cs="Times New Roman"/>
                <w:noProof/>
                <w:szCs w:val="18"/>
              </w:rPr>
            </w:pPr>
            <w:r>
              <w:rPr>
                <w:noProof/>
              </w:rPr>
              <w:t>Indicator cantitativ pentru ținte</w:t>
            </w:r>
          </w:p>
        </w:tc>
        <w:tc>
          <w:tcPr>
            <w:tcW w:w="973" w:type="dxa"/>
            <w:gridSpan w:val="2"/>
            <w:shd w:val="clear" w:color="auto" w:fill="C6D9F1"/>
            <w:noWrap/>
            <w:vAlign w:val="center"/>
          </w:tcPr>
          <w:p w14:paraId="6F27F36E" w14:textId="77777777" w:rsidR="00D924EA" w:rsidRDefault="00011DE9">
            <w:pPr>
              <w:pStyle w:val="P68B1DB1-Normal17"/>
              <w:spacing w:after="0" w:line="240" w:lineRule="auto"/>
              <w:jc w:val="center"/>
              <w:rPr>
                <w:rFonts w:cs="Times New Roman"/>
                <w:noProof/>
                <w:szCs w:val="18"/>
              </w:rPr>
            </w:pPr>
            <w:r>
              <w:rPr>
                <w:noProof/>
              </w:rPr>
              <w:t>Timp</w:t>
            </w:r>
          </w:p>
        </w:tc>
        <w:tc>
          <w:tcPr>
            <w:tcW w:w="5272" w:type="dxa"/>
            <w:vMerge w:val="restart"/>
            <w:shd w:val="clear" w:color="auto" w:fill="C6D9F1"/>
            <w:noWrap/>
            <w:vAlign w:val="center"/>
          </w:tcPr>
          <w:p w14:paraId="6AB2B17A" w14:textId="77777777" w:rsidR="00D924EA" w:rsidRDefault="00011DE9">
            <w:pPr>
              <w:pStyle w:val="P68B1DB1-Normal17"/>
              <w:spacing w:after="0" w:line="240" w:lineRule="auto"/>
              <w:jc w:val="center"/>
              <w:rPr>
                <w:rFonts w:cs="Times New Roman"/>
                <w:noProof/>
                <w:szCs w:val="18"/>
              </w:rPr>
            </w:pPr>
            <w:r>
              <w:rPr>
                <w:noProof/>
              </w:rPr>
              <w:t>Descrierea fiecărui jalon și a fiecărei ținte</w:t>
            </w:r>
          </w:p>
        </w:tc>
      </w:tr>
      <w:tr w:rsidR="00D924EA" w14:paraId="502C8A35" w14:textId="77777777">
        <w:trPr>
          <w:trHeight w:val="309"/>
          <w:tblHeader/>
          <w:jc w:val="center"/>
        </w:trPr>
        <w:tc>
          <w:tcPr>
            <w:tcW w:w="696" w:type="dxa"/>
            <w:vMerge/>
            <w:noWrap/>
          </w:tcPr>
          <w:p w14:paraId="5BB50C86" w14:textId="77777777" w:rsidR="00D924EA" w:rsidRDefault="00D924EA">
            <w:pPr>
              <w:spacing w:after="0" w:line="240" w:lineRule="auto"/>
              <w:jc w:val="center"/>
              <w:rPr>
                <w:rFonts w:ascii="Times New Roman" w:eastAsia="Calibri" w:hAnsi="Times New Roman" w:cs="Times New Roman"/>
                <w:b/>
                <w:noProof/>
                <w:kern w:val="0"/>
                <w:sz w:val="18"/>
                <w:szCs w:val="18"/>
                <w14:ligatures w14:val="none"/>
              </w:rPr>
            </w:pPr>
          </w:p>
        </w:tc>
        <w:tc>
          <w:tcPr>
            <w:tcW w:w="835" w:type="dxa"/>
            <w:vMerge/>
            <w:noWrap/>
          </w:tcPr>
          <w:p w14:paraId="4BAE5575" w14:textId="77777777" w:rsidR="00D924EA" w:rsidRDefault="00D924EA">
            <w:pPr>
              <w:spacing w:after="0" w:line="240" w:lineRule="auto"/>
              <w:jc w:val="center"/>
              <w:rPr>
                <w:rFonts w:ascii="Times New Roman" w:eastAsia="Calibri" w:hAnsi="Times New Roman" w:cs="Times New Roman"/>
                <w:b/>
                <w:noProof/>
                <w:kern w:val="0"/>
                <w:sz w:val="18"/>
                <w:szCs w:val="18"/>
                <w14:ligatures w14:val="none"/>
              </w:rPr>
            </w:pPr>
          </w:p>
        </w:tc>
        <w:tc>
          <w:tcPr>
            <w:tcW w:w="879" w:type="dxa"/>
            <w:vMerge/>
            <w:noWrap/>
          </w:tcPr>
          <w:p w14:paraId="7A114F1A" w14:textId="77777777" w:rsidR="00D924EA" w:rsidRDefault="00D924EA">
            <w:pPr>
              <w:spacing w:after="0" w:line="240" w:lineRule="auto"/>
              <w:jc w:val="center"/>
              <w:rPr>
                <w:rFonts w:ascii="Times New Roman" w:eastAsia="Calibri" w:hAnsi="Times New Roman" w:cs="Times New Roman"/>
                <w:b/>
                <w:noProof/>
                <w:kern w:val="0"/>
                <w:sz w:val="18"/>
                <w:szCs w:val="18"/>
                <w14:ligatures w14:val="none"/>
              </w:rPr>
            </w:pPr>
          </w:p>
        </w:tc>
        <w:tc>
          <w:tcPr>
            <w:tcW w:w="2263" w:type="dxa"/>
            <w:vMerge/>
            <w:noWrap/>
          </w:tcPr>
          <w:p w14:paraId="0514A457" w14:textId="77777777" w:rsidR="00D924EA" w:rsidRDefault="00D924EA">
            <w:pPr>
              <w:spacing w:after="0" w:line="240" w:lineRule="auto"/>
              <w:rPr>
                <w:rFonts w:ascii="Times New Roman" w:eastAsia="Calibri" w:hAnsi="Times New Roman" w:cs="Times New Roman"/>
                <w:b/>
                <w:noProof/>
                <w:kern w:val="0"/>
                <w:sz w:val="18"/>
                <w:szCs w:val="18"/>
                <w14:ligatures w14:val="none"/>
              </w:rPr>
            </w:pPr>
          </w:p>
        </w:tc>
        <w:tc>
          <w:tcPr>
            <w:tcW w:w="1716" w:type="dxa"/>
            <w:vMerge/>
            <w:noWrap/>
          </w:tcPr>
          <w:p w14:paraId="03F155E1" w14:textId="77777777" w:rsidR="00D924EA" w:rsidRDefault="00D924EA">
            <w:pPr>
              <w:spacing w:after="0" w:line="240" w:lineRule="auto"/>
              <w:rPr>
                <w:rFonts w:ascii="Times New Roman" w:eastAsia="Calibri" w:hAnsi="Times New Roman" w:cs="Times New Roman"/>
                <w:b/>
                <w:noProof/>
                <w:kern w:val="0"/>
                <w:sz w:val="18"/>
                <w:szCs w:val="18"/>
                <w14:ligatures w14:val="none"/>
              </w:rPr>
            </w:pPr>
          </w:p>
        </w:tc>
        <w:tc>
          <w:tcPr>
            <w:tcW w:w="834" w:type="dxa"/>
            <w:shd w:val="clear" w:color="auto" w:fill="C6D9F1"/>
            <w:noWrap/>
          </w:tcPr>
          <w:p w14:paraId="5C785C06" w14:textId="77777777" w:rsidR="00D924EA" w:rsidRDefault="00011DE9">
            <w:pPr>
              <w:pStyle w:val="P68B1DB1-Normal17"/>
              <w:spacing w:after="0" w:line="240" w:lineRule="auto"/>
              <w:jc w:val="center"/>
              <w:rPr>
                <w:rFonts w:cs="Times New Roman"/>
                <w:noProof/>
                <w:szCs w:val="18"/>
              </w:rPr>
            </w:pPr>
            <w:r>
              <w:rPr>
                <w:noProof/>
              </w:rPr>
              <w:t>Unitate</w:t>
            </w:r>
          </w:p>
        </w:tc>
        <w:tc>
          <w:tcPr>
            <w:tcW w:w="972" w:type="dxa"/>
            <w:shd w:val="clear" w:color="auto" w:fill="C6D9F1"/>
            <w:noWrap/>
          </w:tcPr>
          <w:p w14:paraId="106F305E" w14:textId="77777777" w:rsidR="00D924EA" w:rsidRDefault="00011DE9">
            <w:pPr>
              <w:pStyle w:val="P68B1DB1-Normal17"/>
              <w:spacing w:after="0" w:line="240" w:lineRule="auto"/>
              <w:jc w:val="center"/>
              <w:rPr>
                <w:rFonts w:cs="Times New Roman"/>
                <w:noProof/>
                <w:szCs w:val="18"/>
              </w:rPr>
            </w:pPr>
            <w:r>
              <w:rPr>
                <w:noProof/>
              </w:rPr>
              <w:t>Situația de referință</w:t>
            </w:r>
          </w:p>
        </w:tc>
        <w:tc>
          <w:tcPr>
            <w:tcW w:w="728" w:type="dxa"/>
            <w:shd w:val="clear" w:color="auto" w:fill="C6D9F1"/>
            <w:noWrap/>
          </w:tcPr>
          <w:p w14:paraId="149F45FE" w14:textId="77777777" w:rsidR="00D924EA" w:rsidRDefault="00011DE9">
            <w:pPr>
              <w:pStyle w:val="P68B1DB1-Normal17"/>
              <w:spacing w:after="0" w:line="240" w:lineRule="auto"/>
              <w:jc w:val="center"/>
              <w:rPr>
                <w:rFonts w:cs="Times New Roman"/>
                <w:noProof/>
                <w:szCs w:val="18"/>
              </w:rPr>
            </w:pPr>
            <w:r>
              <w:rPr>
                <w:noProof/>
              </w:rPr>
              <w:t>Obiectiv</w:t>
            </w:r>
          </w:p>
        </w:tc>
        <w:tc>
          <w:tcPr>
            <w:tcW w:w="417" w:type="dxa"/>
            <w:shd w:val="clear" w:color="auto" w:fill="C6D9F1"/>
            <w:noWrap/>
          </w:tcPr>
          <w:p w14:paraId="3D4CCB75" w14:textId="72D898C7" w:rsidR="00D924EA" w:rsidRDefault="005701C9">
            <w:pPr>
              <w:pStyle w:val="P68B1DB1-Normal17"/>
              <w:spacing w:after="0" w:line="240" w:lineRule="auto"/>
              <w:jc w:val="center"/>
              <w:rPr>
                <w:rFonts w:cs="Times New Roman"/>
                <w:noProof/>
                <w:szCs w:val="18"/>
              </w:rPr>
            </w:pPr>
            <w:r>
              <w:rPr>
                <w:noProof/>
              </w:rPr>
              <w:t>T</w:t>
            </w:r>
          </w:p>
        </w:tc>
        <w:tc>
          <w:tcPr>
            <w:tcW w:w="556" w:type="dxa"/>
            <w:shd w:val="clear" w:color="auto" w:fill="C6D9F1"/>
            <w:noWrap/>
          </w:tcPr>
          <w:p w14:paraId="46262B75" w14:textId="77777777" w:rsidR="00D924EA" w:rsidRDefault="00011DE9">
            <w:pPr>
              <w:pStyle w:val="P68B1DB1-Normal17"/>
              <w:spacing w:after="0" w:line="240" w:lineRule="auto"/>
              <w:jc w:val="center"/>
              <w:rPr>
                <w:rFonts w:cs="Times New Roman"/>
                <w:noProof/>
                <w:szCs w:val="18"/>
              </w:rPr>
            </w:pPr>
            <w:r>
              <w:rPr>
                <w:noProof/>
              </w:rPr>
              <w:t>Anul</w:t>
            </w:r>
          </w:p>
        </w:tc>
        <w:tc>
          <w:tcPr>
            <w:tcW w:w="5272" w:type="dxa"/>
            <w:vMerge/>
            <w:noWrap/>
          </w:tcPr>
          <w:p w14:paraId="415E0D2F" w14:textId="77777777" w:rsidR="00D924EA" w:rsidRDefault="00D924EA">
            <w:pPr>
              <w:spacing w:after="0" w:line="240" w:lineRule="auto"/>
              <w:rPr>
                <w:rFonts w:ascii="Times New Roman" w:eastAsia="Calibri" w:hAnsi="Times New Roman" w:cs="Times New Roman"/>
                <w:b/>
                <w:noProof/>
                <w:kern w:val="0"/>
                <w:sz w:val="18"/>
                <w:szCs w:val="18"/>
                <w14:ligatures w14:val="none"/>
              </w:rPr>
            </w:pPr>
          </w:p>
        </w:tc>
      </w:tr>
      <w:tr w:rsidR="00D924EA" w14:paraId="3C76EA5C" w14:textId="77777777">
        <w:trPr>
          <w:trHeight w:val="309"/>
          <w:jc w:val="center"/>
        </w:trPr>
        <w:tc>
          <w:tcPr>
            <w:tcW w:w="696" w:type="dxa"/>
            <w:shd w:val="clear" w:color="auto" w:fill="C6EFCE"/>
            <w:noWrap/>
          </w:tcPr>
          <w:p w14:paraId="57BEEDB1" w14:textId="77777777" w:rsidR="00D924EA" w:rsidRDefault="00011DE9">
            <w:pPr>
              <w:pStyle w:val="P68B1DB1-Normal18"/>
              <w:spacing w:after="0" w:line="240" w:lineRule="auto"/>
              <w:jc w:val="center"/>
              <w:rPr>
                <w:rFonts w:eastAsia="MS Mincho" w:cs="Times New Roman"/>
                <w:noProof/>
                <w:szCs w:val="18"/>
              </w:rPr>
            </w:pPr>
            <w:r>
              <w:rPr>
                <w:noProof/>
              </w:rPr>
              <w:t>1</w:t>
            </w:r>
          </w:p>
        </w:tc>
        <w:tc>
          <w:tcPr>
            <w:tcW w:w="835" w:type="dxa"/>
            <w:shd w:val="clear" w:color="auto" w:fill="C6EFCE"/>
            <w:noWrap/>
          </w:tcPr>
          <w:p w14:paraId="52B1825B" w14:textId="77777777" w:rsidR="00D924EA" w:rsidRDefault="00011DE9">
            <w:pPr>
              <w:pStyle w:val="P68B1DB1-Normal18"/>
              <w:spacing w:after="0" w:line="240" w:lineRule="auto"/>
              <w:jc w:val="center"/>
              <w:rPr>
                <w:rFonts w:eastAsia="MS Mincho" w:cs="Times New Roman"/>
                <w:noProof/>
                <w:szCs w:val="18"/>
              </w:rPr>
            </w:pPr>
            <w:r>
              <w:rPr>
                <w:noProof/>
              </w:rPr>
              <w:t>C1.R1</w:t>
            </w:r>
          </w:p>
        </w:tc>
        <w:tc>
          <w:tcPr>
            <w:tcW w:w="879" w:type="dxa"/>
            <w:shd w:val="clear" w:color="auto" w:fill="C6EFCE"/>
            <w:noWrap/>
          </w:tcPr>
          <w:p w14:paraId="7EE2BBD7" w14:textId="77777777" w:rsidR="00D924EA" w:rsidRDefault="00011DE9">
            <w:pPr>
              <w:pStyle w:val="P68B1DB1-Normal18"/>
              <w:spacing w:after="0" w:line="240" w:lineRule="auto"/>
              <w:jc w:val="center"/>
              <w:rPr>
                <w:rFonts w:eastAsia="MS Mincho" w:cs="Times New Roman"/>
                <w:noProof/>
                <w:szCs w:val="18"/>
              </w:rPr>
            </w:pPr>
            <w:r>
              <w:rPr>
                <w:noProof/>
              </w:rPr>
              <w:t>M</w:t>
            </w:r>
          </w:p>
        </w:tc>
        <w:tc>
          <w:tcPr>
            <w:tcW w:w="2263" w:type="dxa"/>
            <w:shd w:val="clear" w:color="auto" w:fill="C6EFCE"/>
            <w:noWrap/>
          </w:tcPr>
          <w:p w14:paraId="5B4D1EB1" w14:textId="77777777" w:rsidR="00D924EA" w:rsidRDefault="00011DE9">
            <w:pPr>
              <w:pStyle w:val="P68B1DB1-Normal18"/>
              <w:spacing w:after="0" w:line="240" w:lineRule="auto"/>
              <w:rPr>
                <w:rFonts w:eastAsia="MS Mincho" w:cs="Times New Roman"/>
                <w:noProof/>
                <w:szCs w:val="18"/>
              </w:rPr>
            </w:pPr>
            <w:r>
              <w:rPr>
                <w:noProof/>
              </w:rPr>
              <w:t>Ordinul TMA/178/2020 și Decretul-lege regal 23/2020</w:t>
            </w:r>
          </w:p>
        </w:tc>
        <w:tc>
          <w:tcPr>
            <w:tcW w:w="1716" w:type="dxa"/>
            <w:shd w:val="clear" w:color="auto" w:fill="C6EFCE"/>
            <w:noWrap/>
          </w:tcPr>
          <w:p w14:paraId="389F423F" w14:textId="77777777" w:rsidR="00D924EA" w:rsidRDefault="00011DE9">
            <w:pPr>
              <w:pStyle w:val="P68B1DB1-Normal18"/>
              <w:spacing w:after="0" w:line="240" w:lineRule="auto"/>
              <w:rPr>
                <w:rFonts w:eastAsia="MS Mincho" w:cs="Times New Roman"/>
                <w:noProof/>
                <w:szCs w:val="18"/>
              </w:rPr>
            </w:pPr>
            <w:r>
              <w:rPr>
                <w:noProof/>
              </w:rPr>
              <w:t xml:space="preserve">Dispoziție din ordin și din Decretul-lege regal care indică intrarea lor în vigoare </w:t>
            </w:r>
          </w:p>
        </w:tc>
        <w:tc>
          <w:tcPr>
            <w:tcW w:w="834" w:type="dxa"/>
            <w:shd w:val="clear" w:color="auto" w:fill="C6EFCE"/>
            <w:noWrap/>
          </w:tcPr>
          <w:p w14:paraId="50BD2B79" w14:textId="77777777" w:rsidR="00D924EA" w:rsidRDefault="00011DE9">
            <w:pPr>
              <w:pStyle w:val="P68B1DB1-Normal18"/>
              <w:spacing w:after="0" w:line="240" w:lineRule="auto"/>
              <w:jc w:val="right"/>
              <w:rPr>
                <w:rFonts w:eastAsia="MS Mincho" w:cs="Times New Roman"/>
                <w:noProof/>
                <w:szCs w:val="18"/>
              </w:rPr>
            </w:pPr>
            <w:r>
              <w:rPr>
                <w:noProof/>
              </w:rPr>
              <w:t xml:space="preserve"> </w:t>
            </w:r>
          </w:p>
        </w:tc>
        <w:tc>
          <w:tcPr>
            <w:tcW w:w="972" w:type="dxa"/>
            <w:shd w:val="clear" w:color="auto" w:fill="C6EFCE"/>
            <w:noWrap/>
          </w:tcPr>
          <w:p w14:paraId="0439B0D4" w14:textId="77777777" w:rsidR="00D924EA" w:rsidRDefault="00011DE9">
            <w:pPr>
              <w:pStyle w:val="P68B1DB1-Normal18"/>
              <w:spacing w:after="0" w:line="240" w:lineRule="auto"/>
              <w:jc w:val="right"/>
              <w:rPr>
                <w:rFonts w:eastAsia="MS Mincho" w:cs="Times New Roman"/>
                <w:noProof/>
                <w:szCs w:val="18"/>
              </w:rPr>
            </w:pPr>
            <w:r>
              <w:rPr>
                <w:noProof/>
              </w:rPr>
              <w:t xml:space="preserve"> </w:t>
            </w:r>
          </w:p>
        </w:tc>
        <w:tc>
          <w:tcPr>
            <w:tcW w:w="728" w:type="dxa"/>
            <w:shd w:val="clear" w:color="auto" w:fill="C6EFCE"/>
            <w:noWrap/>
          </w:tcPr>
          <w:p w14:paraId="34416FC3" w14:textId="77777777" w:rsidR="00D924EA" w:rsidRDefault="00011DE9">
            <w:pPr>
              <w:pStyle w:val="P68B1DB1-Normal18"/>
              <w:spacing w:after="0" w:line="240" w:lineRule="auto"/>
              <w:jc w:val="right"/>
              <w:rPr>
                <w:rFonts w:eastAsia="MS Mincho" w:cs="Times New Roman"/>
                <w:noProof/>
                <w:szCs w:val="18"/>
              </w:rPr>
            </w:pPr>
            <w:r>
              <w:rPr>
                <w:noProof/>
              </w:rPr>
              <w:t xml:space="preserve"> </w:t>
            </w:r>
          </w:p>
        </w:tc>
        <w:tc>
          <w:tcPr>
            <w:tcW w:w="417" w:type="dxa"/>
            <w:shd w:val="clear" w:color="auto" w:fill="C6EFCE"/>
            <w:noWrap/>
          </w:tcPr>
          <w:p w14:paraId="4D694EE6" w14:textId="4AD905DB" w:rsidR="00D924EA" w:rsidRDefault="005701C9">
            <w:pPr>
              <w:pStyle w:val="P68B1DB1-Normal18"/>
              <w:spacing w:after="0" w:line="240" w:lineRule="auto"/>
              <w:jc w:val="center"/>
              <w:rPr>
                <w:rFonts w:eastAsia="MS Mincho" w:cs="Times New Roman"/>
                <w:noProof/>
                <w:szCs w:val="18"/>
              </w:rPr>
            </w:pPr>
            <w:r>
              <w:rPr>
                <w:noProof/>
              </w:rPr>
              <w:t>T4</w:t>
            </w:r>
          </w:p>
        </w:tc>
        <w:tc>
          <w:tcPr>
            <w:tcW w:w="556" w:type="dxa"/>
            <w:shd w:val="clear" w:color="auto" w:fill="C6EFCE"/>
            <w:noWrap/>
          </w:tcPr>
          <w:p w14:paraId="5C04BD32" w14:textId="77777777" w:rsidR="00D924EA" w:rsidRDefault="00011DE9">
            <w:pPr>
              <w:pStyle w:val="P68B1DB1-Normal18"/>
              <w:spacing w:after="0" w:line="240" w:lineRule="auto"/>
              <w:jc w:val="center"/>
              <w:rPr>
                <w:rFonts w:eastAsia="MS Mincho" w:cs="Times New Roman"/>
                <w:noProof/>
                <w:szCs w:val="18"/>
              </w:rPr>
            </w:pPr>
            <w:r>
              <w:rPr>
                <w:noProof/>
              </w:rPr>
              <w:t>2020</w:t>
            </w:r>
          </w:p>
        </w:tc>
        <w:tc>
          <w:tcPr>
            <w:tcW w:w="5272" w:type="dxa"/>
            <w:shd w:val="clear" w:color="auto" w:fill="C6EFCE"/>
            <w:noWrap/>
          </w:tcPr>
          <w:p w14:paraId="3CDB19BB" w14:textId="25C83070" w:rsidR="00D924EA" w:rsidRDefault="00011DE9">
            <w:pPr>
              <w:pStyle w:val="P68B1DB1-Normal18"/>
              <w:spacing w:after="0" w:line="240" w:lineRule="auto"/>
              <w:rPr>
                <w:rFonts w:eastAsia="MS Mincho" w:cs="Times New Roman"/>
                <w:noProof/>
                <w:szCs w:val="18"/>
              </w:rPr>
            </w:pPr>
            <w:r>
              <w:rPr>
                <w:noProof/>
              </w:rPr>
              <w:t>Intrarea în vigoare a i) Ordinului TMA/178/2020 de reducere a sarcinii administrative pentru instalarea instalațiilor de reîncărcare cu energie electrică în stațiile de alimentare cu combustibil și de definire a timpului necesar pentru eliminarea infrastructurii, (ii) a Decretului-lege regal 23/2020 din iunie 23, prin care infrastructura de reîncărcare cu o putere mai mare de 250 kW este declarată de utilitate publică pentru a accelera instalarea acestui tip de instalații.</w:t>
            </w:r>
          </w:p>
        </w:tc>
      </w:tr>
      <w:tr w:rsidR="00D924EA" w14:paraId="59238828" w14:textId="77777777">
        <w:trPr>
          <w:trHeight w:val="309"/>
          <w:jc w:val="center"/>
        </w:trPr>
        <w:tc>
          <w:tcPr>
            <w:tcW w:w="696" w:type="dxa"/>
            <w:shd w:val="clear" w:color="auto" w:fill="C6EFCE"/>
            <w:noWrap/>
          </w:tcPr>
          <w:p w14:paraId="39099394" w14:textId="77777777" w:rsidR="00D924EA" w:rsidRDefault="00011DE9">
            <w:pPr>
              <w:pStyle w:val="P68B1DB1-Normal18"/>
              <w:spacing w:after="0" w:line="240" w:lineRule="auto"/>
              <w:jc w:val="center"/>
              <w:rPr>
                <w:rFonts w:eastAsia="MS Mincho" w:cs="Times New Roman"/>
                <w:noProof/>
                <w:szCs w:val="18"/>
              </w:rPr>
            </w:pPr>
            <w:r>
              <w:rPr>
                <w:noProof/>
              </w:rPr>
              <w:t>2</w:t>
            </w:r>
          </w:p>
        </w:tc>
        <w:tc>
          <w:tcPr>
            <w:tcW w:w="835" w:type="dxa"/>
            <w:shd w:val="clear" w:color="auto" w:fill="C6EFCE"/>
            <w:noWrap/>
          </w:tcPr>
          <w:p w14:paraId="3F6F6B88" w14:textId="77777777" w:rsidR="00D924EA" w:rsidRDefault="00011DE9">
            <w:pPr>
              <w:pStyle w:val="P68B1DB1-Normal18"/>
              <w:spacing w:after="0" w:line="240" w:lineRule="auto"/>
              <w:jc w:val="center"/>
              <w:rPr>
                <w:rFonts w:eastAsia="MS Mincho" w:cs="Times New Roman"/>
                <w:noProof/>
                <w:szCs w:val="18"/>
              </w:rPr>
            </w:pPr>
            <w:r>
              <w:rPr>
                <w:noProof/>
              </w:rPr>
              <w:t>C1.R1</w:t>
            </w:r>
          </w:p>
        </w:tc>
        <w:tc>
          <w:tcPr>
            <w:tcW w:w="879" w:type="dxa"/>
            <w:shd w:val="clear" w:color="auto" w:fill="C6EFCE"/>
            <w:noWrap/>
          </w:tcPr>
          <w:p w14:paraId="307D2749" w14:textId="77777777" w:rsidR="00D924EA" w:rsidRDefault="00011DE9">
            <w:pPr>
              <w:pStyle w:val="P68B1DB1-Normal18"/>
              <w:spacing w:after="0" w:line="240" w:lineRule="auto"/>
              <w:jc w:val="center"/>
              <w:rPr>
                <w:rFonts w:eastAsia="MS Mincho" w:cs="Times New Roman"/>
                <w:noProof/>
                <w:szCs w:val="18"/>
              </w:rPr>
            </w:pPr>
            <w:r>
              <w:rPr>
                <w:noProof/>
              </w:rPr>
              <w:t>M</w:t>
            </w:r>
          </w:p>
        </w:tc>
        <w:tc>
          <w:tcPr>
            <w:tcW w:w="2263" w:type="dxa"/>
            <w:shd w:val="clear" w:color="auto" w:fill="C6EFCE"/>
            <w:noWrap/>
          </w:tcPr>
          <w:p w14:paraId="4C58DE0E" w14:textId="77777777" w:rsidR="00D924EA" w:rsidRDefault="00011DE9">
            <w:pPr>
              <w:pStyle w:val="P68B1DB1-Normal18"/>
              <w:spacing w:after="0" w:line="240" w:lineRule="auto"/>
              <w:rPr>
                <w:rFonts w:eastAsia="MS Mincho" w:cs="Times New Roman"/>
                <w:noProof/>
                <w:szCs w:val="18"/>
              </w:rPr>
            </w:pPr>
            <w:r>
              <w:rPr>
                <w:noProof/>
              </w:rPr>
              <w:t>Modificări ale Codului tehnic al clădirilor (de confirmat), ale Regulamentului electrotehnic de joasă tensiune (LVER) și aprobarea unui decret regal de reglementare a serviciilor publice de reîncărcare</w:t>
            </w:r>
          </w:p>
        </w:tc>
        <w:tc>
          <w:tcPr>
            <w:tcW w:w="1716" w:type="dxa"/>
            <w:shd w:val="clear" w:color="auto" w:fill="C6EFCE"/>
            <w:noWrap/>
          </w:tcPr>
          <w:p w14:paraId="084BA451" w14:textId="77777777" w:rsidR="00D924EA" w:rsidRDefault="00011DE9">
            <w:pPr>
              <w:pStyle w:val="P68B1DB1-Normal18"/>
              <w:spacing w:after="0" w:line="240" w:lineRule="auto"/>
              <w:rPr>
                <w:rFonts w:eastAsia="MS Mincho" w:cs="Times New Roman"/>
                <w:noProof/>
                <w:szCs w:val="18"/>
              </w:rPr>
            </w:pPr>
            <w:r>
              <w:rPr>
                <w:noProof/>
              </w:rPr>
              <w:t xml:space="preserve">Dispoziție din cod, regulament și decret regal care indică intrarea lor în vigoare </w:t>
            </w:r>
          </w:p>
        </w:tc>
        <w:tc>
          <w:tcPr>
            <w:tcW w:w="834" w:type="dxa"/>
            <w:shd w:val="clear" w:color="auto" w:fill="C6EFCE"/>
            <w:noWrap/>
          </w:tcPr>
          <w:p w14:paraId="58EB7A1C" w14:textId="77777777" w:rsidR="00D924EA" w:rsidRDefault="00011DE9">
            <w:pPr>
              <w:pStyle w:val="P68B1DB1-Normal18"/>
              <w:spacing w:after="0" w:line="240" w:lineRule="auto"/>
              <w:jc w:val="right"/>
              <w:rPr>
                <w:rFonts w:eastAsia="MS Mincho" w:cs="Times New Roman"/>
                <w:noProof/>
                <w:szCs w:val="18"/>
              </w:rPr>
            </w:pPr>
            <w:r>
              <w:rPr>
                <w:noProof/>
              </w:rPr>
              <w:t xml:space="preserve"> </w:t>
            </w:r>
          </w:p>
        </w:tc>
        <w:tc>
          <w:tcPr>
            <w:tcW w:w="972" w:type="dxa"/>
            <w:shd w:val="clear" w:color="auto" w:fill="C6EFCE"/>
            <w:noWrap/>
          </w:tcPr>
          <w:p w14:paraId="5CB87756" w14:textId="77777777" w:rsidR="00D924EA" w:rsidRDefault="00011DE9">
            <w:pPr>
              <w:pStyle w:val="P68B1DB1-Normal18"/>
              <w:spacing w:after="0" w:line="240" w:lineRule="auto"/>
              <w:jc w:val="right"/>
              <w:rPr>
                <w:rFonts w:eastAsia="MS Mincho" w:cs="Times New Roman"/>
                <w:noProof/>
                <w:szCs w:val="18"/>
              </w:rPr>
            </w:pPr>
            <w:r>
              <w:rPr>
                <w:noProof/>
              </w:rPr>
              <w:t xml:space="preserve"> </w:t>
            </w:r>
          </w:p>
        </w:tc>
        <w:tc>
          <w:tcPr>
            <w:tcW w:w="728" w:type="dxa"/>
            <w:shd w:val="clear" w:color="auto" w:fill="C6EFCE"/>
            <w:noWrap/>
          </w:tcPr>
          <w:p w14:paraId="2BC6FF0D" w14:textId="77777777" w:rsidR="00D924EA" w:rsidRDefault="00011DE9">
            <w:pPr>
              <w:pStyle w:val="P68B1DB1-Normal18"/>
              <w:spacing w:after="0" w:line="240" w:lineRule="auto"/>
              <w:jc w:val="right"/>
              <w:rPr>
                <w:rFonts w:eastAsia="MS Mincho" w:cs="Times New Roman"/>
                <w:noProof/>
                <w:szCs w:val="18"/>
              </w:rPr>
            </w:pPr>
            <w:r>
              <w:rPr>
                <w:noProof/>
              </w:rPr>
              <w:t xml:space="preserve"> </w:t>
            </w:r>
          </w:p>
        </w:tc>
        <w:tc>
          <w:tcPr>
            <w:tcW w:w="417" w:type="dxa"/>
            <w:shd w:val="clear" w:color="auto" w:fill="C6EFCE"/>
            <w:noWrap/>
          </w:tcPr>
          <w:p w14:paraId="0C336347" w14:textId="771910CC" w:rsidR="00D924EA" w:rsidRDefault="005701C9">
            <w:pPr>
              <w:pStyle w:val="P68B1DB1-Normal18"/>
              <w:spacing w:after="0" w:line="240" w:lineRule="auto"/>
              <w:jc w:val="center"/>
              <w:rPr>
                <w:rFonts w:eastAsia="MS Mincho" w:cs="Times New Roman"/>
                <w:noProof/>
                <w:szCs w:val="18"/>
              </w:rPr>
            </w:pPr>
            <w:r>
              <w:rPr>
                <w:noProof/>
              </w:rPr>
              <w:t>T</w:t>
            </w:r>
            <w:r w:rsidR="00011DE9">
              <w:rPr>
                <w:noProof/>
              </w:rPr>
              <w:t>2</w:t>
            </w:r>
          </w:p>
        </w:tc>
        <w:tc>
          <w:tcPr>
            <w:tcW w:w="556" w:type="dxa"/>
            <w:shd w:val="clear" w:color="auto" w:fill="C6EFCE"/>
            <w:noWrap/>
          </w:tcPr>
          <w:p w14:paraId="2A744E32" w14:textId="77777777" w:rsidR="00D924EA" w:rsidRDefault="00011DE9">
            <w:pPr>
              <w:pStyle w:val="P68B1DB1-Normal18"/>
              <w:spacing w:after="0" w:line="240" w:lineRule="auto"/>
              <w:jc w:val="center"/>
              <w:rPr>
                <w:rFonts w:eastAsia="MS Mincho" w:cs="Times New Roman"/>
                <w:noProof/>
                <w:szCs w:val="18"/>
              </w:rPr>
            </w:pPr>
            <w:r>
              <w:rPr>
                <w:noProof/>
              </w:rPr>
              <w:t>2022</w:t>
            </w:r>
          </w:p>
        </w:tc>
        <w:tc>
          <w:tcPr>
            <w:tcW w:w="5272" w:type="dxa"/>
            <w:shd w:val="clear" w:color="auto" w:fill="C6EFCE"/>
            <w:noWrap/>
          </w:tcPr>
          <w:p w14:paraId="4AE89EDE" w14:textId="001C808C" w:rsidR="00D924EA" w:rsidRDefault="00011DE9">
            <w:pPr>
              <w:pStyle w:val="P68B1DB1-Normal6"/>
              <w:spacing w:after="0" w:line="240" w:lineRule="auto"/>
              <w:rPr>
                <w:rFonts w:ascii="Times New Roman" w:eastAsia="MS Mincho" w:hAnsi="Times New Roman" w:cs="Times New Roman"/>
                <w:noProof/>
                <w:sz w:val="18"/>
                <w:szCs w:val="18"/>
              </w:rPr>
            </w:pPr>
            <w:r>
              <w:rPr>
                <w:rFonts w:ascii="Times New Roman" w:eastAsia="Calibri" w:hAnsi="Times New Roman" w:cs="Arial"/>
                <w:noProof/>
                <w:sz w:val="18"/>
              </w:rPr>
              <w:t>Data intrării în vigoare a:</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I) modificări ale Codului tehnic al clădirilor (de confirmat) pentru a prevedea a) obligația de a asigura preinstalarea punctelor de încărcare în 100 % din noile locuri de parcare din clădirile rezidențiale și în 20 % din noile locuri de parcare din clădirile comerciale și din alte clădiri, b) de a instala un punct de încărcare la 40 de noi locuri de parcare (și unul la 20 de locuri de parcare în clădirile Administrației Generale a Statului) și c) obligația ca parcările nerezidențiale existente anterior care au peste 20 de locuri de parcare să se adapteze la cerința de mai sus (și anume instalarea unui punct de încărcare la 40 de locuri de parcare) până în 2023;</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modificări ale Regulamentului electrotehnic de joasă tensiune (LVER) pentru a include obligații privind infrastructura de încărcare a parcurilor auto care nu sunt legate de o clădire și</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III) Decretul regal de reglementare a serviciilor publice de reîncărcare, inclusiv relația subiecților care participă la furnizarea serviciului (operatorii punctelor de încărcare, furnizorii de servicii de mobilitate electrică) și de stabilire a drepturilor și obligațiilor acestora.</w:t>
            </w:r>
          </w:p>
        </w:tc>
      </w:tr>
      <w:tr w:rsidR="00D924EA" w14:paraId="3AE286EE" w14:textId="77777777">
        <w:trPr>
          <w:trHeight w:val="309"/>
          <w:jc w:val="center"/>
        </w:trPr>
        <w:tc>
          <w:tcPr>
            <w:tcW w:w="696" w:type="dxa"/>
            <w:shd w:val="clear" w:color="auto" w:fill="C6EFCE"/>
            <w:noWrap/>
          </w:tcPr>
          <w:p w14:paraId="432B5ABF" w14:textId="77777777" w:rsidR="00D924EA" w:rsidRDefault="00011DE9">
            <w:pPr>
              <w:pStyle w:val="P68B1DB1-Normal18"/>
              <w:spacing w:after="0" w:line="240" w:lineRule="auto"/>
              <w:jc w:val="center"/>
              <w:rPr>
                <w:rFonts w:eastAsia="MS Mincho" w:cs="Times New Roman"/>
                <w:noProof/>
                <w:szCs w:val="18"/>
              </w:rPr>
            </w:pPr>
            <w:r>
              <w:rPr>
                <w:noProof/>
              </w:rPr>
              <w:t>3</w:t>
            </w:r>
          </w:p>
        </w:tc>
        <w:tc>
          <w:tcPr>
            <w:tcW w:w="835" w:type="dxa"/>
            <w:shd w:val="clear" w:color="auto" w:fill="C6EFCE"/>
            <w:noWrap/>
          </w:tcPr>
          <w:p w14:paraId="714520A8" w14:textId="77777777" w:rsidR="00D924EA" w:rsidRDefault="00011DE9">
            <w:pPr>
              <w:pStyle w:val="P68B1DB1-Normal18"/>
              <w:spacing w:after="0" w:line="240" w:lineRule="auto"/>
              <w:jc w:val="center"/>
              <w:rPr>
                <w:rFonts w:eastAsia="MS Mincho" w:cs="Times New Roman"/>
                <w:noProof/>
                <w:szCs w:val="18"/>
              </w:rPr>
            </w:pPr>
            <w:r>
              <w:rPr>
                <w:noProof/>
              </w:rPr>
              <w:t>C1.R2</w:t>
            </w:r>
          </w:p>
        </w:tc>
        <w:tc>
          <w:tcPr>
            <w:tcW w:w="879" w:type="dxa"/>
            <w:shd w:val="clear" w:color="auto" w:fill="C6EFCE"/>
            <w:noWrap/>
          </w:tcPr>
          <w:p w14:paraId="0402D3FB" w14:textId="77777777" w:rsidR="00D924EA" w:rsidRDefault="00011DE9">
            <w:pPr>
              <w:pStyle w:val="P68B1DB1-Normal18"/>
              <w:spacing w:after="0" w:line="240" w:lineRule="auto"/>
              <w:jc w:val="center"/>
              <w:rPr>
                <w:rFonts w:eastAsia="MS Mincho" w:cs="Times New Roman"/>
                <w:noProof/>
                <w:szCs w:val="18"/>
              </w:rPr>
            </w:pPr>
            <w:r>
              <w:rPr>
                <w:noProof/>
              </w:rPr>
              <w:t>M</w:t>
            </w:r>
          </w:p>
        </w:tc>
        <w:tc>
          <w:tcPr>
            <w:tcW w:w="2263" w:type="dxa"/>
            <w:shd w:val="clear" w:color="auto" w:fill="C6EFCE"/>
            <w:noWrap/>
          </w:tcPr>
          <w:p w14:paraId="7B8AFCE7" w14:textId="087E2023" w:rsidR="00D924EA" w:rsidRDefault="00011DE9">
            <w:pPr>
              <w:pStyle w:val="P68B1DB1-Normal18"/>
              <w:spacing w:after="0" w:line="240" w:lineRule="auto"/>
              <w:rPr>
                <w:rFonts w:eastAsia="MS Mincho" w:cs="Times New Roman"/>
                <w:noProof/>
                <w:szCs w:val="18"/>
              </w:rPr>
            </w:pPr>
            <w:r>
              <w:rPr>
                <w:noProof/>
              </w:rPr>
              <w:t xml:space="preserve">Intrarea în vigoare a unei legi privind mobilitatea durabilă </w:t>
            </w:r>
          </w:p>
        </w:tc>
        <w:tc>
          <w:tcPr>
            <w:tcW w:w="1716" w:type="dxa"/>
            <w:shd w:val="clear" w:color="auto" w:fill="C6EFCE"/>
            <w:noWrap/>
          </w:tcPr>
          <w:p w14:paraId="1E151704" w14:textId="77777777" w:rsidR="00D924EA" w:rsidRDefault="00011DE9">
            <w:pPr>
              <w:pStyle w:val="P68B1DB1-Normal18"/>
              <w:spacing w:after="0" w:line="240" w:lineRule="auto"/>
              <w:rPr>
                <w:rFonts w:eastAsia="MS Mincho" w:cs="Times New Roman"/>
                <w:noProof/>
                <w:szCs w:val="18"/>
              </w:rPr>
            </w:pPr>
            <w:r>
              <w:rPr>
                <w:noProof/>
              </w:rPr>
              <w:t xml:space="preserve">Dispoziție din legea care indică intrarea în vigoare a legii </w:t>
            </w:r>
          </w:p>
        </w:tc>
        <w:tc>
          <w:tcPr>
            <w:tcW w:w="834" w:type="dxa"/>
            <w:shd w:val="clear" w:color="auto" w:fill="C6EFCE"/>
            <w:noWrap/>
          </w:tcPr>
          <w:p w14:paraId="2A20B9EA" w14:textId="77777777" w:rsidR="00D924EA" w:rsidRDefault="00011DE9">
            <w:pPr>
              <w:pStyle w:val="P68B1DB1-Normal18"/>
              <w:spacing w:after="0" w:line="240" w:lineRule="auto"/>
              <w:jc w:val="right"/>
              <w:rPr>
                <w:rFonts w:eastAsia="MS Mincho" w:cs="Times New Roman"/>
                <w:noProof/>
                <w:szCs w:val="18"/>
              </w:rPr>
            </w:pPr>
            <w:r>
              <w:rPr>
                <w:noProof/>
              </w:rPr>
              <w:t xml:space="preserve"> </w:t>
            </w:r>
          </w:p>
        </w:tc>
        <w:tc>
          <w:tcPr>
            <w:tcW w:w="972" w:type="dxa"/>
            <w:shd w:val="clear" w:color="auto" w:fill="C6EFCE"/>
            <w:noWrap/>
          </w:tcPr>
          <w:p w14:paraId="44890818" w14:textId="77777777" w:rsidR="00D924EA" w:rsidRDefault="00011DE9">
            <w:pPr>
              <w:pStyle w:val="P68B1DB1-Normal18"/>
              <w:spacing w:after="0" w:line="240" w:lineRule="auto"/>
              <w:jc w:val="right"/>
              <w:rPr>
                <w:rFonts w:eastAsia="MS Mincho" w:cs="Times New Roman"/>
                <w:noProof/>
                <w:szCs w:val="18"/>
              </w:rPr>
            </w:pPr>
            <w:r>
              <w:rPr>
                <w:noProof/>
              </w:rPr>
              <w:t xml:space="preserve"> </w:t>
            </w:r>
          </w:p>
        </w:tc>
        <w:tc>
          <w:tcPr>
            <w:tcW w:w="728" w:type="dxa"/>
            <w:shd w:val="clear" w:color="auto" w:fill="C6EFCE"/>
            <w:noWrap/>
          </w:tcPr>
          <w:p w14:paraId="58086280" w14:textId="77777777" w:rsidR="00D924EA" w:rsidRDefault="00011DE9">
            <w:pPr>
              <w:pStyle w:val="P68B1DB1-Normal18"/>
              <w:spacing w:after="0" w:line="240" w:lineRule="auto"/>
              <w:jc w:val="right"/>
              <w:rPr>
                <w:rFonts w:eastAsia="MS Mincho" w:cs="Times New Roman"/>
                <w:noProof/>
                <w:szCs w:val="18"/>
              </w:rPr>
            </w:pPr>
            <w:r>
              <w:rPr>
                <w:noProof/>
              </w:rPr>
              <w:t xml:space="preserve"> </w:t>
            </w:r>
          </w:p>
        </w:tc>
        <w:tc>
          <w:tcPr>
            <w:tcW w:w="417" w:type="dxa"/>
            <w:shd w:val="clear" w:color="auto" w:fill="C6EFCE"/>
            <w:noWrap/>
          </w:tcPr>
          <w:p w14:paraId="54B7A3E9" w14:textId="79D4EA9A" w:rsidR="00D924EA" w:rsidRDefault="005701C9">
            <w:pPr>
              <w:pStyle w:val="P68B1DB1-Normal18"/>
              <w:spacing w:after="0" w:line="240" w:lineRule="auto"/>
              <w:jc w:val="center"/>
              <w:rPr>
                <w:rFonts w:eastAsia="MS Mincho" w:cs="Times New Roman"/>
                <w:noProof/>
                <w:szCs w:val="18"/>
              </w:rPr>
            </w:pPr>
            <w:r>
              <w:rPr>
                <w:noProof/>
              </w:rPr>
              <w:t>T4</w:t>
            </w:r>
          </w:p>
        </w:tc>
        <w:tc>
          <w:tcPr>
            <w:tcW w:w="556" w:type="dxa"/>
            <w:shd w:val="clear" w:color="auto" w:fill="C6EFCE"/>
            <w:noWrap/>
          </w:tcPr>
          <w:p w14:paraId="24181290" w14:textId="69A3A392" w:rsidR="00D924EA" w:rsidRDefault="00011DE9">
            <w:pPr>
              <w:pStyle w:val="P68B1DB1-Normal18"/>
              <w:spacing w:after="0" w:line="240" w:lineRule="auto"/>
              <w:jc w:val="center"/>
              <w:rPr>
                <w:rFonts w:eastAsia="MS Mincho" w:cs="Times New Roman"/>
                <w:noProof/>
                <w:szCs w:val="18"/>
              </w:rPr>
            </w:pPr>
            <w:r>
              <w:rPr>
                <w:noProof/>
              </w:rPr>
              <w:t>2025</w:t>
            </w:r>
          </w:p>
        </w:tc>
        <w:tc>
          <w:tcPr>
            <w:tcW w:w="5272" w:type="dxa"/>
            <w:shd w:val="clear" w:color="auto" w:fill="C6EFCE"/>
            <w:noWrap/>
          </w:tcPr>
          <w:p w14:paraId="698F55FC" w14:textId="17D0C1FF" w:rsidR="00D924EA" w:rsidRDefault="00011DE9">
            <w:pPr>
              <w:pStyle w:val="P68B1DB1-Normal18"/>
              <w:spacing w:after="0" w:line="240" w:lineRule="auto"/>
              <w:contextualSpacing/>
              <w:rPr>
                <w:rFonts w:cs="Times New Roman"/>
                <w:noProof/>
                <w:szCs w:val="18"/>
              </w:rPr>
            </w:pPr>
            <w:r>
              <w:rPr>
                <w:noProof/>
              </w:rPr>
              <w:t>Intrarea în vigoare a unei legi privind mobilitatea durabilă</w:t>
            </w:r>
            <w:r w:rsidR="00971820">
              <w:rPr>
                <w:noProof/>
              </w:rPr>
              <w:t xml:space="preserve"> </w:t>
            </w:r>
          </w:p>
        </w:tc>
      </w:tr>
      <w:tr w:rsidR="00D924EA" w14:paraId="0DCEC8C3" w14:textId="77777777">
        <w:trPr>
          <w:trHeight w:val="309"/>
          <w:jc w:val="center"/>
        </w:trPr>
        <w:tc>
          <w:tcPr>
            <w:tcW w:w="696" w:type="dxa"/>
            <w:shd w:val="clear" w:color="auto" w:fill="C6EFCE"/>
            <w:noWrap/>
          </w:tcPr>
          <w:p w14:paraId="7E029EEB" w14:textId="77777777" w:rsidR="00D924EA" w:rsidRDefault="00011DE9">
            <w:pPr>
              <w:pStyle w:val="P68B1DB1-Normal18"/>
              <w:spacing w:after="0" w:line="240" w:lineRule="auto"/>
              <w:jc w:val="center"/>
              <w:rPr>
                <w:rFonts w:eastAsia="MS Mincho" w:cs="Times New Roman"/>
                <w:noProof/>
                <w:szCs w:val="18"/>
              </w:rPr>
            </w:pPr>
            <w:r>
              <w:rPr>
                <w:noProof/>
              </w:rPr>
              <w:t>4</w:t>
            </w:r>
          </w:p>
        </w:tc>
        <w:tc>
          <w:tcPr>
            <w:tcW w:w="835" w:type="dxa"/>
            <w:shd w:val="clear" w:color="auto" w:fill="C6EFCE"/>
            <w:noWrap/>
          </w:tcPr>
          <w:p w14:paraId="45978D64" w14:textId="77777777" w:rsidR="00D924EA" w:rsidRDefault="00011DE9">
            <w:pPr>
              <w:pStyle w:val="P68B1DB1-Normal18"/>
              <w:spacing w:after="0" w:line="240" w:lineRule="auto"/>
              <w:jc w:val="center"/>
              <w:rPr>
                <w:rFonts w:eastAsia="MS Mincho" w:cs="Times New Roman"/>
                <w:noProof/>
                <w:szCs w:val="18"/>
              </w:rPr>
            </w:pPr>
            <w:r>
              <w:rPr>
                <w:noProof/>
              </w:rPr>
              <w:t>C1.I1</w:t>
            </w:r>
          </w:p>
        </w:tc>
        <w:tc>
          <w:tcPr>
            <w:tcW w:w="879" w:type="dxa"/>
            <w:shd w:val="clear" w:color="auto" w:fill="C6EFCE"/>
            <w:noWrap/>
          </w:tcPr>
          <w:p w14:paraId="6217FE15" w14:textId="77777777" w:rsidR="00D924EA" w:rsidRDefault="00011DE9">
            <w:pPr>
              <w:pStyle w:val="P68B1DB1-Normal18"/>
              <w:spacing w:after="0" w:line="240" w:lineRule="auto"/>
              <w:jc w:val="center"/>
              <w:rPr>
                <w:rFonts w:eastAsia="MS Mincho" w:cs="Times New Roman"/>
                <w:noProof/>
                <w:szCs w:val="18"/>
              </w:rPr>
            </w:pPr>
            <w:r>
              <w:rPr>
                <w:noProof/>
              </w:rPr>
              <w:t>T</w:t>
            </w:r>
          </w:p>
        </w:tc>
        <w:tc>
          <w:tcPr>
            <w:tcW w:w="2263" w:type="dxa"/>
            <w:shd w:val="clear" w:color="auto" w:fill="C6EFCE"/>
            <w:noWrap/>
          </w:tcPr>
          <w:p w14:paraId="4D7B53C7" w14:textId="77777777" w:rsidR="00D924EA" w:rsidRDefault="00011DE9">
            <w:pPr>
              <w:pStyle w:val="P68B1DB1-Normal18"/>
              <w:spacing w:after="0" w:line="240" w:lineRule="auto"/>
              <w:rPr>
                <w:rFonts w:eastAsia="MS Mincho" w:cs="Times New Roman"/>
                <w:noProof/>
                <w:szCs w:val="18"/>
              </w:rPr>
            </w:pPr>
            <w:r>
              <w:rPr>
                <w:noProof/>
              </w:rPr>
              <w:t>Bugetul cheltuit pentru achiziții sau acordat de municipalități cu scopul de a promova mobilitatea durabilă</w:t>
            </w:r>
          </w:p>
        </w:tc>
        <w:tc>
          <w:tcPr>
            <w:tcW w:w="1716" w:type="dxa"/>
            <w:shd w:val="clear" w:color="auto" w:fill="C6EFCE"/>
            <w:noWrap/>
          </w:tcPr>
          <w:p w14:paraId="0F49E591" w14:textId="77777777" w:rsidR="00D924EA" w:rsidRDefault="00011DE9">
            <w:pPr>
              <w:pStyle w:val="P68B1DB1-Normal18"/>
              <w:spacing w:after="0" w:line="240" w:lineRule="auto"/>
              <w:jc w:val="center"/>
              <w:rPr>
                <w:rFonts w:eastAsia="MS Mincho" w:cs="Times New Roman"/>
                <w:noProof/>
                <w:szCs w:val="18"/>
              </w:rPr>
            </w:pPr>
            <w:r>
              <w:rPr>
                <w:noProof/>
              </w:rPr>
              <w:t xml:space="preserve"> </w:t>
            </w:r>
          </w:p>
        </w:tc>
        <w:tc>
          <w:tcPr>
            <w:tcW w:w="834" w:type="dxa"/>
            <w:shd w:val="clear" w:color="auto" w:fill="C6EFCE"/>
            <w:noWrap/>
          </w:tcPr>
          <w:p w14:paraId="20F8B136" w14:textId="77777777" w:rsidR="00D924EA" w:rsidRDefault="00011DE9">
            <w:pPr>
              <w:pStyle w:val="P68B1DB1-Normal18"/>
              <w:spacing w:after="0" w:line="240" w:lineRule="auto"/>
              <w:rPr>
                <w:rFonts w:eastAsia="MS Mincho" w:cs="Times New Roman"/>
                <w:noProof/>
                <w:szCs w:val="18"/>
              </w:rPr>
            </w:pPr>
            <w:r>
              <w:rPr>
                <w:noProof/>
              </w:rPr>
              <w:t>Milioane EUR</w:t>
            </w:r>
          </w:p>
        </w:tc>
        <w:tc>
          <w:tcPr>
            <w:tcW w:w="972" w:type="dxa"/>
            <w:shd w:val="clear" w:color="auto" w:fill="C6EFCE"/>
            <w:noWrap/>
          </w:tcPr>
          <w:p w14:paraId="7FB32DAB" w14:textId="77777777" w:rsidR="00D924EA" w:rsidRDefault="00011DE9">
            <w:pPr>
              <w:pStyle w:val="P68B1DB1-Normal18"/>
              <w:spacing w:after="0" w:line="240" w:lineRule="auto"/>
              <w:jc w:val="right"/>
              <w:rPr>
                <w:rFonts w:eastAsia="MS Mincho" w:cs="Times New Roman"/>
                <w:noProof/>
                <w:szCs w:val="18"/>
              </w:rPr>
            </w:pPr>
            <w:r>
              <w:rPr>
                <w:noProof/>
              </w:rPr>
              <w:t>0</w:t>
            </w:r>
          </w:p>
        </w:tc>
        <w:tc>
          <w:tcPr>
            <w:tcW w:w="728" w:type="dxa"/>
            <w:shd w:val="clear" w:color="auto" w:fill="C6EFCE"/>
            <w:noWrap/>
          </w:tcPr>
          <w:p w14:paraId="17EBFD26" w14:textId="77777777" w:rsidR="00D924EA" w:rsidRDefault="00011DE9">
            <w:pPr>
              <w:pStyle w:val="P68B1DB1-Normal18"/>
              <w:spacing w:after="0" w:line="240" w:lineRule="auto"/>
              <w:jc w:val="right"/>
              <w:rPr>
                <w:rFonts w:eastAsia="MS Mincho" w:cs="Times New Roman"/>
                <w:noProof/>
                <w:szCs w:val="18"/>
              </w:rPr>
            </w:pPr>
            <w:r>
              <w:rPr>
                <w:noProof/>
              </w:rPr>
              <w:t>400</w:t>
            </w:r>
          </w:p>
        </w:tc>
        <w:tc>
          <w:tcPr>
            <w:tcW w:w="417" w:type="dxa"/>
            <w:shd w:val="clear" w:color="auto" w:fill="C6EFCE"/>
            <w:noWrap/>
          </w:tcPr>
          <w:p w14:paraId="535B5061" w14:textId="424A0A83" w:rsidR="00D924EA" w:rsidRDefault="005701C9">
            <w:pPr>
              <w:pStyle w:val="P68B1DB1-Normal18"/>
              <w:spacing w:after="0" w:line="240" w:lineRule="auto"/>
              <w:jc w:val="center"/>
              <w:rPr>
                <w:rFonts w:eastAsia="MS Mincho" w:cs="Times New Roman"/>
                <w:noProof/>
                <w:szCs w:val="18"/>
              </w:rPr>
            </w:pPr>
            <w:r>
              <w:rPr>
                <w:noProof/>
              </w:rPr>
              <w:t>T4</w:t>
            </w:r>
          </w:p>
        </w:tc>
        <w:tc>
          <w:tcPr>
            <w:tcW w:w="556" w:type="dxa"/>
            <w:shd w:val="clear" w:color="auto" w:fill="C6EFCE"/>
            <w:noWrap/>
          </w:tcPr>
          <w:p w14:paraId="71276E34" w14:textId="77777777" w:rsidR="00D924EA" w:rsidRDefault="00011DE9">
            <w:pPr>
              <w:pStyle w:val="P68B1DB1-Normal18"/>
              <w:spacing w:after="0" w:line="240" w:lineRule="auto"/>
              <w:jc w:val="center"/>
              <w:rPr>
                <w:rFonts w:eastAsia="MS Mincho" w:cs="Times New Roman"/>
                <w:noProof/>
                <w:szCs w:val="18"/>
              </w:rPr>
            </w:pPr>
            <w:r>
              <w:rPr>
                <w:noProof/>
              </w:rPr>
              <w:t>2022</w:t>
            </w:r>
          </w:p>
        </w:tc>
        <w:tc>
          <w:tcPr>
            <w:tcW w:w="5272" w:type="dxa"/>
            <w:shd w:val="clear" w:color="auto" w:fill="C6EFCE"/>
            <w:noWrap/>
          </w:tcPr>
          <w:p w14:paraId="10BBC059" w14:textId="339A3219" w:rsidR="00D924EA" w:rsidRDefault="00011DE9">
            <w:pPr>
              <w:spacing w:after="0" w:line="240" w:lineRule="auto"/>
              <w:rPr>
                <w:rFonts w:ascii="Times New Roman" w:eastAsia="MS Mincho" w:hAnsi="Times New Roman" w:cs="Times New Roman"/>
                <w:noProof/>
                <w:kern w:val="0"/>
                <w:sz w:val="18"/>
                <w:szCs w:val="18"/>
                <w14:ligatures w14:val="none"/>
              </w:rPr>
            </w:pPr>
            <w:r>
              <w:rPr>
                <w:rFonts w:ascii="Times New Roman" w:eastAsia="Calibri" w:hAnsi="Times New Roman" w:cs="Arial"/>
                <w:noProof/>
                <w:kern w:val="0"/>
                <w:sz w:val="18"/>
                <w14:ligatures w14:val="none"/>
              </w:rPr>
              <w:t>Publicarea atribuirii proiectului sau a subvențiilor în JO sau pe platforma de achiziții publice sau executarea cheltuielilor asociate achizițiilor efectuate de municipalități care contribuie la promovarea mobilității durabile în municipalitățile cu peste 50</w:t>
            </w:r>
            <w:r>
              <w:rPr>
                <w:rFonts w:ascii="Times New Roman" w:hAnsi="Times New Roman" w:cs="Times New Roman"/>
                <w:noProof/>
                <w:sz w:val="20"/>
                <w:szCs w:val="20"/>
              </w:rPr>
              <w:t xml:space="preserve"> </w:t>
            </w:r>
            <w:r>
              <w:rPr>
                <w:rFonts w:ascii="Times New Roman" w:eastAsia="Calibri" w:hAnsi="Times New Roman" w:cs="Arial"/>
                <w:noProof/>
                <w:kern w:val="0"/>
                <w:sz w:val="18"/>
                <w14:ligatures w14:val="none"/>
              </w:rPr>
              <w:t>000 de locuitori și în capitalele provinciei și, în anumite condiții, pot fi alocate și municipalităților cu o populație cuprinsă între 20</w:t>
            </w:r>
            <w:r>
              <w:rPr>
                <w:rFonts w:ascii="Times New Roman" w:hAnsi="Times New Roman" w:cs="Times New Roman"/>
                <w:noProof/>
                <w:sz w:val="20"/>
                <w:szCs w:val="20"/>
              </w:rPr>
              <w:t xml:space="preserve"> </w:t>
            </w:r>
            <w:r>
              <w:rPr>
                <w:rFonts w:ascii="Times New Roman" w:eastAsia="Calibri" w:hAnsi="Times New Roman" w:cs="Arial"/>
                <w:noProof/>
                <w:kern w:val="0"/>
                <w:sz w:val="18"/>
                <w14:ligatures w14:val="none"/>
              </w:rPr>
              <w:t>000 și 50</w:t>
            </w:r>
            <w:r>
              <w:rPr>
                <w:rFonts w:ascii="Times New Roman" w:hAnsi="Times New Roman" w:cs="Times New Roman"/>
                <w:noProof/>
                <w:sz w:val="20"/>
                <w:szCs w:val="20"/>
              </w:rPr>
              <w:t xml:space="preserve"> </w:t>
            </w:r>
            <w:r>
              <w:rPr>
                <w:rFonts w:ascii="Times New Roman" w:eastAsia="Calibri" w:hAnsi="Times New Roman" w:cs="Arial"/>
                <w:noProof/>
                <w:kern w:val="0"/>
                <w:sz w:val="18"/>
                <w14:ligatures w14:val="none"/>
              </w:rPr>
              <w:t>000 de locuitori. Proiectele sprijină, de exemplu: (a) conversia flotelor de transport public în vederea atingerii obiectivelor Directivei privind vehiculele nepoluante și în conformitate cu Orientările tehnice de „a nu prejudicia în mod semnificativ” (2021/C58/01); (b) punerea în aplicare și gestionarea zonelor cu emisii scăzute (LEZ); (c) digitalizarea transportului public, gestionarea administrației sale și îmbunătățirea accesibilității acestuia; (d) măsuri de stimulare și prioritizare a transportului în comun și a mobilității active.</w:t>
            </w:r>
            <w:r w:rsidR="00971820">
              <w:rPr>
                <w:rFonts w:ascii="Calibri" w:eastAsia="Calibri" w:hAnsi="Calibri" w:cs="Arial"/>
                <w:noProof/>
                <w:kern w:val="0"/>
                <w14:ligatures w14:val="none"/>
              </w:rPr>
              <w:t xml:space="preserve"> </w:t>
            </w:r>
            <w:r>
              <w:rPr>
                <w:rFonts w:ascii="Calibri" w:eastAsia="Calibri" w:hAnsi="Calibri" w:cs="Arial"/>
                <w:noProof/>
                <w:kern w:val="0"/>
                <w14:ligatures w14:val="none"/>
              </w:rPr>
              <w:br/>
            </w:r>
            <w:r>
              <w:rPr>
                <w:rFonts w:ascii="Times New Roman" w:eastAsia="Calibri" w:hAnsi="Times New Roman" w:cs="Arial"/>
                <w:noProof/>
                <w:kern w:val="0"/>
                <w:sz w:val="18"/>
                <w14:ligatures w14:val="none"/>
              </w:rPr>
              <w:t>Criteriile de selecție asigură faptul că, din bugetul final total de 1</w:t>
            </w:r>
            <w:r>
              <w:rPr>
                <w:rFonts w:ascii="Times New Roman" w:hAnsi="Times New Roman" w:cs="Times New Roman"/>
                <w:noProof/>
                <w:sz w:val="20"/>
                <w:szCs w:val="20"/>
              </w:rPr>
              <w:t xml:space="preserve"> </w:t>
            </w:r>
            <w:r>
              <w:rPr>
                <w:rFonts w:ascii="Times New Roman" w:eastAsia="Calibri" w:hAnsi="Times New Roman" w:cs="Arial"/>
                <w:noProof/>
                <w:kern w:val="0"/>
                <w:sz w:val="18"/>
                <w14:ligatures w14:val="none"/>
              </w:rPr>
              <w:t>500</w:t>
            </w:r>
            <w:r>
              <w:rPr>
                <w:rFonts w:ascii="Times New Roman" w:hAnsi="Times New Roman" w:cs="Times New Roman"/>
                <w:noProof/>
                <w:sz w:val="20"/>
                <w:szCs w:val="20"/>
              </w:rPr>
              <w:t xml:space="preserve"> </w:t>
            </w:r>
            <w:r>
              <w:rPr>
                <w:rFonts w:ascii="Times New Roman" w:eastAsia="Calibri" w:hAnsi="Times New Roman" w:cs="Arial"/>
                <w:noProof/>
                <w:kern w:val="0"/>
                <w:sz w:val="18"/>
                <w14:ligatures w14:val="none"/>
              </w:rPr>
              <w:t>000 000</w:t>
            </w:r>
            <w:r>
              <w:rPr>
                <w:rFonts w:ascii="Times New Roman" w:hAnsi="Times New Roman" w:cs="Times New Roman"/>
                <w:noProof/>
                <w:sz w:val="20"/>
                <w:szCs w:val="20"/>
              </w:rPr>
              <w:t xml:space="preserve"> </w:t>
            </w:r>
            <w:r>
              <w:rPr>
                <w:rFonts w:ascii="Times New Roman" w:eastAsia="Calibri" w:hAnsi="Times New Roman" w:cs="Arial"/>
                <w:noProof/>
                <w:kern w:val="0"/>
                <w:sz w:val="18"/>
                <w14:ligatures w14:val="none"/>
              </w:rPr>
              <w:t>EUR, cel puțin 310 000 000 EUR contribuie la obiectivele privind schimbările climatice cu un coeficient climatic de 100 % și cel puțin 1 190 000 000 EUR</w:t>
            </w:r>
            <w:r w:rsidR="00971820">
              <w:rPr>
                <w:rFonts w:ascii="Times New Roman" w:eastAsia="Calibri" w:hAnsi="Times New Roman" w:cs="Arial"/>
                <w:noProof/>
                <w:kern w:val="0"/>
                <w:sz w:val="18"/>
                <w14:ligatures w14:val="none"/>
              </w:rPr>
              <w:t xml:space="preserve"> </w:t>
            </w:r>
            <w:r>
              <w:rPr>
                <w:rFonts w:ascii="Times New Roman" w:eastAsia="Calibri" w:hAnsi="Times New Roman" w:cs="Arial"/>
                <w:noProof/>
                <w:kern w:val="0"/>
                <w:sz w:val="18"/>
                <w14:ligatures w14:val="none"/>
              </w:rPr>
              <w:t>cu un coeficient climatic de 40 %, în conformitate cu anexa VI la Regulamentul (UE) 2021/241 privind Mecanismul de redresare și reziliență.</w:t>
            </w:r>
          </w:p>
        </w:tc>
      </w:tr>
      <w:tr w:rsidR="00D924EA" w14:paraId="382DF4EF" w14:textId="77777777">
        <w:trPr>
          <w:trHeight w:val="309"/>
          <w:jc w:val="center"/>
        </w:trPr>
        <w:tc>
          <w:tcPr>
            <w:tcW w:w="696" w:type="dxa"/>
            <w:shd w:val="clear" w:color="auto" w:fill="C6EFCE"/>
            <w:noWrap/>
          </w:tcPr>
          <w:p w14:paraId="0B2EFB34" w14:textId="77777777" w:rsidR="00D924EA" w:rsidRDefault="00011DE9">
            <w:pPr>
              <w:pStyle w:val="P68B1DB1-Normal18"/>
              <w:spacing w:after="0" w:line="240" w:lineRule="auto"/>
              <w:jc w:val="center"/>
              <w:rPr>
                <w:rFonts w:eastAsia="MS Mincho" w:cs="Times New Roman"/>
                <w:noProof/>
                <w:szCs w:val="18"/>
              </w:rPr>
            </w:pPr>
            <w:r>
              <w:rPr>
                <w:noProof/>
              </w:rPr>
              <w:t>8</w:t>
            </w:r>
          </w:p>
        </w:tc>
        <w:tc>
          <w:tcPr>
            <w:tcW w:w="835" w:type="dxa"/>
            <w:shd w:val="clear" w:color="auto" w:fill="C6EFCE"/>
            <w:noWrap/>
          </w:tcPr>
          <w:p w14:paraId="2467A427" w14:textId="77777777" w:rsidR="00D924EA" w:rsidRDefault="00011DE9">
            <w:pPr>
              <w:pStyle w:val="P68B1DB1-Normal18"/>
              <w:spacing w:after="0" w:line="240" w:lineRule="auto"/>
              <w:jc w:val="center"/>
              <w:rPr>
                <w:rFonts w:eastAsia="MS Mincho" w:cs="Times New Roman"/>
                <w:noProof/>
                <w:szCs w:val="18"/>
              </w:rPr>
            </w:pPr>
            <w:r>
              <w:rPr>
                <w:noProof/>
              </w:rPr>
              <w:t>C1.I1</w:t>
            </w:r>
          </w:p>
        </w:tc>
        <w:tc>
          <w:tcPr>
            <w:tcW w:w="879" w:type="dxa"/>
            <w:shd w:val="clear" w:color="auto" w:fill="C6EFCE"/>
            <w:noWrap/>
          </w:tcPr>
          <w:p w14:paraId="37113C3B" w14:textId="77777777" w:rsidR="00D924EA" w:rsidRDefault="00011DE9">
            <w:pPr>
              <w:pStyle w:val="P68B1DB1-Normal18"/>
              <w:spacing w:after="0" w:line="240" w:lineRule="auto"/>
              <w:jc w:val="center"/>
              <w:rPr>
                <w:rFonts w:eastAsia="MS Mincho" w:cs="Times New Roman"/>
                <w:noProof/>
                <w:szCs w:val="18"/>
              </w:rPr>
            </w:pPr>
            <w:r>
              <w:rPr>
                <w:noProof/>
              </w:rPr>
              <w:t>T</w:t>
            </w:r>
          </w:p>
        </w:tc>
        <w:tc>
          <w:tcPr>
            <w:tcW w:w="2263" w:type="dxa"/>
            <w:shd w:val="clear" w:color="auto" w:fill="C6EFCE"/>
            <w:noWrap/>
          </w:tcPr>
          <w:p w14:paraId="2B406D47" w14:textId="77777777" w:rsidR="00D924EA" w:rsidRDefault="00011DE9">
            <w:pPr>
              <w:pStyle w:val="P68B1DB1-Normal18"/>
              <w:spacing w:after="0" w:line="240" w:lineRule="auto"/>
              <w:rPr>
                <w:rFonts w:eastAsia="MS Mincho" w:cs="Times New Roman"/>
                <w:noProof/>
                <w:szCs w:val="18"/>
              </w:rPr>
            </w:pPr>
            <w:r>
              <w:rPr>
                <w:noProof/>
              </w:rPr>
              <w:t xml:space="preserve">Contracte sau alte instrumente juridice atribuite pentru îmbunătățirea drumurilor publice din zonele urbane </w:t>
            </w:r>
          </w:p>
        </w:tc>
        <w:tc>
          <w:tcPr>
            <w:tcW w:w="1716" w:type="dxa"/>
            <w:shd w:val="clear" w:color="auto" w:fill="C6EFCE"/>
            <w:noWrap/>
          </w:tcPr>
          <w:p w14:paraId="61AD03AC" w14:textId="77777777" w:rsidR="00D924EA" w:rsidRDefault="00011DE9">
            <w:pPr>
              <w:pStyle w:val="P68B1DB1-Normal18"/>
              <w:spacing w:after="0" w:line="240" w:lineRule="auto"/>
              <w:jc w:val="center"/>
              <w:rPr>
                <w:rFonts w:eastAsia="MS Mincho" w:cs="Times New Roman"/>
                <w:noProof/>
                <w:szCs w:val="18"/>
              </w:rPr>
            </w:pPr>
            <w:r>
              <w:rPr>
                <w:noProof/>
              </w:rPr>
              <w:t xml:space="preserve"> </w:t>
            </w:r>
          </w:p>
        </w:tc>
        <w:tc>
          <w:tcPr>
            <w:tcW w:w="834" w:type="dxa"/>
            <w:shd w:val="clear" w:color="auto" w:fill="C6EFCE"/>
            <w:noWrap/>
          </w:tcPr>
          <w:p w14:paraId="4572D73E" w14:textId="77777777" w:rsidR="00D924EA" w:rsidRDefault="00011DE9">
            <w:pPr>
              <w:pStyle w:val="P68B1DB1-Normal18"/>
              <w:spacing w:after="0" w:line="240" w:lineRule="auto"/>
              <w:rPr>
                <w:rFonts w:eastAsia="MS Mincho" w:cs="Times New Roman"/>
                <w:noProof/>
                <w:szCs w:val="18"/>
              </w:rPr>
            </w:pPr>
            <w:r>
              <w:rPr>
                <w:noProof/>
              </w:rPr>
              <w:t>Contract sau alt instrument juridic</w:t>
            </w:r>
          </w:p>
        </w:tc>
        <w:tc>
          <w:tcPr>
            <w:tcW w:w="972" w:type="dxa"/>
            <w:shd w:val="clear" w:color="auto" w:fill="C6EFCE"/>
            <w:noWrap/>
          </w:tcPr>
          <w:p w14:paraId="61B845BB" w14:textId="77777777" w:rsidR="00D924EA" w:rsidRDefault="00011DE9">
            <w:pPr>
              <w:pStyle w:val="P68B1DB1-Normal18"/>
              <w:spacing w:after="0" w:line="240" w:lineRule="auto"/>
              <w:jc w:val="right"/>
              <w:rPr>
                <w:rFonts w:eastAsia="MS Mincho" w:cs="Times New Roman"/>
                <w:noProof/>
                <w:szCs w:val="18"/>
              </w:rPr>
            </w:pPr>
            <w:r>
              <w:rPr>
                <w:noProof/>
              </w:rPr>
              <w:t>0</w:t>
            </w:r>
          </w:p>
        </w:tc>
        <w:tc>
          <w:tcPr>
            <w:tcW w:w="728" w:type="dxa"/>
            <w:shd w:val="clear" w:color="auto" w:fill="C6EFCE"/>
            <w:noWrap/>
          </w:tcPr>
          <w:p w14:paraId="7557F976" w14:textId="77777777" w:rsidR="00D924EA" w:rsidRDefault="00011DE9">
            <w:pPr>
              <w:pStyle w:val="P68B1DB1-Normal18"/>
              <w:spacing w:after="0" w:line="240" w:lineRule="auto"/>
              <w:jc w:val="right"/>
              <w:rPr>
                <w:rFonts w:eastAsia="MS Mincho" w:cs="Times New Roman"/>
                <w:noProof/>
                <w:szCs w:val="18"/>
              </w:rPr>
            </w:pPr>
            <w:r>
              <w:rPr>
                <w:noProof/>
              </w:rPr>
              <w:t>35</w:t>
            </w:r>
          </w:p>
        </w:tc>
        <w:tc>
          <w:tcPr>
            <w:tcW w:w="417" w:type="dxa"/>
            <w:shd w:val="clear" w:color="auto" w:fill="C6EFCE"/>
            <w:noWrap/>
          </w:tcPr>
          <w:p w14:paraId="4B0A1E99" w14:textId="646710C5" w:rsidR="00D924EA" w:rsidRDefault="005701C9">
            <w:pPr>
              <w:pStyle w:val="P68B1DB1-Normal18"/>
              <w:spacing w:after="0" w:line="240" w:lineRule="auto"/>
              <w:jc w:val="center"/>
              <w:rPr>
                <w:rFonts w:eastAsia="MS Mincho" w:cs="Times New Roman"/>
                <w:noProof/>
                <w:szCs w:val="18"/>
              </w:rPr>
            </w:pPr>
            <w:r>
              <w:rPr>
                <w:noProof/>
              </w:rPr>
              <w:t>T</w:t>
            </w:r>
            <w:r w:rsidR="00011DE9">
              <w:rPr>
                <w:noProof/>
              </w:rPr>
              <w:t>2</w:t>
            </w:r>
          </w:p>
        </w:tc>
        <w:tc>
          <w:tcPr>
            <w:tcW w:w="556" w:type="dxa"/>
            <w:shd w:val="clear" w:color="auto" w:fill="C6EFCE"/>
            <w:noWrap/>
          </w:tcPr>
          <w:p w14:paraId="5E44C1CD" w14:textId="77777777" w:rsidR="00D924EA" w:rsidRDefault="00011DE9">
            <w:pPr>
              <w:pStyle w:val="P68B1DB1-Normal18"/>
              <w:spacing w:after="0" w:line="240" w:lineRule="auto"/>
              <w:jc w:val="center"/>
              <w:rPr>
                <w:rFonts w:eastAsia="MS Mincho" w:cs="Times New Roman"/>
                <w:noProof/>
                <w:szCs w:val="18"/>
              </w:rPr>
            </w:pPr>
            <w:r>
              <w:rPr>
                <w:noProof/>
              </w:rPr>
              <w:t>2023</w:t>
            </w:r>
          </w:p>
        </w:tc>
        <w:tc>
          <w:tcPr>
            <w:tcW w:w="5272" w:type="dxa"/>
            <w:shd w:val="clear" w:color="auto" w:fill="C6EFCE"/>
            <w:noWrap/>
          </w:tcPr>
          <w:p w14:paraId="0ECBB6BC" w14:textId="0C6C9808" w:rsidR="00D924EA" w:rsidRDefault="00011DE9">
            <w:pPr>
              <w:pStyle w:val="P68B1DB1-Normal18"/>
              <w:spacing w:after="0" w:line="240" w:lineRule="auto"/>
              <w:rPr>
                <w:rFonts w:eastAsia="MS Mincho" w:cs="Times New Roman"/>
                <w:noProof/>
                <w:szCs w:val="18"/>
              </w:rPr>
            </w:pPr>
            <w:r>
              <w:rPr>
                <w:noProof/>
              </w:rPr>
              <w:t xml:space="preserve">Cel puțin 35 contracte sau alte instrumente juridice atribuite pentru îmbunătățirea drumurilor publice din zonele urbane. Proiectele constau în construirea de noi benzi pentru biciclete, extinderea zonelor pietonale, reducerea zonelor de parcare sau îmbunătățirea siguranței la treceri. </w:t>
            </w:r>
          </w:p>
        </w:tc>
      </w:tr>
      <w:tr w:rsidR="00D924EA" w14:paraId="7E83B37E" w14:textId="77777777">
        <w:trPr>
          <w:trHeight w:val="309"/>
          <w:jc w:val="center"/>
        </w:trPr>
        <w:tc>
          <w:tcPr>
            <w:tcW w:w="696" w:type="dxa"/>
            <w:shd w:val="clear" w:color="auto" w:fill="C6EFCE"/>
            <w:noWrap/>
          </w:tcPr>
          <w:p w14:paraId="561A35DC" w14:textId="77777777" w:rsidR="00D924EA" w:rsidRDefault="00011DE9">
            <w:pPr>
              <w:pStyle w:val="P68B1DB1-Normal18"/>
              <w:spacing w:after="0" w:line="240" w:lineRule="auto"/>
              <w:jc w:val="center"/>
              <w:rPr>
                <w:noProof/>
              </w:rPr>
            </w:pPr>
            <w:r>
              <w:rPr>
                <w:noProof/>
              </w:rPr>
              <w:t>9</w:t>
            </w:r>
          </w:p>
          <w:p w14:paraId="46912C3D" w14:textId="77777777" w:rsidR="00D924EA" w:rsidRDefault="00D924EA">
            <w:pPr>
              <w:spacing w:after="0" w:line="240" w:lineRule="auto"/>
              <w:jc w:val="center"/>
              <w:rPr>
                <w:rFonts w:ascii="Times New Roman" w:eastAsia="MS Mincho" w:hAnsi="Times New Roman" w:cs="Times New Roman"/>
                <w:noProof/>
                <w:kern w:val="0"/>
                <w:sz w:val="18"/>
                <w:szCs w:val="18"/>
                <w14:ligatures w14:val="none"/>
              </w:rPr>
            </w:pPr>
          </w:p>
        </w:tc>
        <w:tc>
          <w:tcPr>
            <w:tcW w:w="835" w:type="dxa"/>
            <w:shd w:val="clear" w:color="auto" w:fill="C6EFCE"/>
            <w:noWrap/>
          </w:tcPr>
          <w:p w14:paraId="4A5AE88A" w14:textId="77777777" w:rsidR="00D924EA" w:rsidRDefault="00011DE9">
            <w:pPr>
              <w:pStyle w:val="P68B1DB1-Normal18"/>
              <w:spacing w:after="0" w:line="240" w:lineRule="auto"/>
              <w:jc w:val="center"/>
              <w:rPr>
                <w:rFonts w:eastAsia="MS Mincho" w:cs="Times New Roman"/>
                <w:noProof/>
                <w:szCs w:val="18"/>
              </w:rPr>
            </w:pPr>
            <w:r>
              <w:rPr>
                <w:noProof/>
              </w:rPr>
              <w:t>C1.I1</w:t>
            </w:r>
          </w:p>
        </w:tc>
        <w:tc>
          <w:tcPr>
            <w:tcW w:w="879" w:type="dxa"/>
            <w:shd w:val="clear" w:color="auto" w:fill="C6EFCE"/>
            <w:noWrap/>
          </w:tcPr>
          <w:p w14:paraId="1C97E1CF" w14:textId="3D1132FD" w:rsidR="00D924EA" w:rsidRDefault="00011DE9">
            <w:pPr>
              <w:pStyle w:val="P68B1DB1-Normal18"/>
              <w:spacing w:after="0" w:line="240" w:lineRule="auto"/>
              <w:jc w:val="center"/>
              <w:rPr>
                <w:rFonts w:eastAsia="MS Mincho" w:cs="Times New Roman"/>
                <w:noProof/>
                <w:szCs w:val="18"/>
              </w:rPr>
            </w:pPr>
            <w:r>
              <w:rPr>
                <w:noProof/>
              </w:rPr>
              <w:t>M</w:t>
            </w:r>
          </w:p>
        </w:tc>
        <w:tc>
          <w:tcPr>
            <w:tcW w:w="2263" w:type="dxa"/>
            <w:shd w:val="clear" w:color="auto" w:fill="C6EFCE"/>
            <w:noWrap/>
          </w:tcPr>
          <w:p w14:paraId="09BE765A" w14:textId="77777777" w:rsidR="00D924EA" w:rsidRDefault="00011DE9">
            <w:pPr>
              <w:pStyle w:val="P68B1DB1-Normal18"/>
              <w:spacing w:after="0" w:line="240" w:lineRule="auto"/>
              <w:rPr>
                <w:noProof/>
              </w:rPr>
            </w:pPr>
            <w:r>
              <w:rPr>
                <w:noProof/>
              </w:rPr>
              <w:t>Proiecte privind mobilitatea durabilă</w:t>
            </w:r>
          </w:p>
          <w:p w14:paraId="6ACF1E5A" w14:textId="77777777" w:rsidR="00D924EA" w:rsidRDefault="00011DE9">
            <w:pPr>
              <w:pStyle w:val="P68B1DB1-Normal18"/>
              <w:spacing w:after="0" w:line="240" w:lineRule="auto"/>
              <w:rPr>
                <w:rFonts w:eastAsia="MS Mincho" w:cs="Times New Roman"/>
                <w:noProof/>
                <w:szCs w:val="18"/>
              </w:rPr>
            </w:pPr>
            <w:r>
              <w:rPr>
                <w:noProof/>
              </w:rPr>
              <w:t xml:space="preserve"> </w:t>
            </w:r>
          </w:p>
        </w:tc>
        <w:tc>
          <w:tcPr>
            <w:tcW w:w="1716" w:type="dxa"/>
            <w:shd w:val="clear" w:color="auto" w:fill="C6EFCE"/>
            <w:noWrap/>
          </w:tcPr>
          <w:p w14:paraId="11D5201B" w14:textId="19D0D3B0" w:rsidR="00D924EA" w:rsidRDefault="00011DE9">
            <w:pPr>
              <w:pStyle w:val="P68B1DB1-Normal18"/>
              <w:spacing w:after="0" w:line="240" w:lineRule="auto"/>
              <w:rPr>
                <w:noProof/>
                <w:szCs w:val="22"/>
              </w:rPr>
            </w:pPr>
            <w:r>
              <w:rPr>
                <w:noProof/>
              </w:rPr>
              <w:t xml:space="preserve">Certificate de acceptare (inclusiv parțiale), declarații de conformitate sau echivalente </w:t>
            </w:r>
          </w:p>
        </w:tc>
        <w:tc>
          <w:tcPr>
            <w:tcW w:w="834" w:type="dxa"/>
            <w:shd w:val="clear" w:color="auto" w:fill="C6EFCE"/>
            <w:noWrap/>
          </w:tcPr>
          <w:p w14:paraId="383D77F0" w14:textId="57DDE3B5" w:rsidR="00D924EA" w:rsidRDefault="00D924EA">
            <w:pPr>
              <w:spacing w:after="0" w:line="240" w:lineRule="auto"/>
              <w:jc w:val="right"/>
              <w:rPr>
                <w:rFonts w:ascii="Times New Roman" w:eastAsia="MS Mincho" w:hAnsi="Times New Roman" w:cs="Times New Roman"/>
                <w:noProof/>
                <w:kern w:val="0"/>
                <w:sz w:val="18"/>
                <w:szCs w:val="18"/>
                <w14:ligatures w14:val="none"/>
              </w:rPr>
            </w:pPr>
          </w:p>
        </w:tc>
        <w:tc>
          <w:tcPr>
            <w:tcW w:w="972" w:type="dxa"/>
            <w:shd w:val="clear" w:color="auto" w:fill="C6EFCE"/>
            <w:noWrap/>
          </w:tcPr>
          <w:p w14:paraId="292EFAA5" w14:textId="14FF8B47" w:rsidR="00D924EA" w:rsidRDefault="00D924EA">
            <w:pPr>
              <w:spacing w:after="0" w:line="240" w:lineRule="auto"/>
              <w:jc w:val="right"/>
              <w:rPr>
                <w:rFonts w:ascii="Times New Roman" w:eastAsia="MS Mincho" w:hAnsi="Times New Roman" w:cs="Times New Roman"/>
                <w:noProof/>
                <w:kern w:val="0"/>
                <w:sz w:val="18"/>
                <w:szCs w:val="18"/>
                <w14:ligatures w14:val="none"/>
              </w:rPr>
            </w:pPr>
          </w:p>
        </w:tc>
        <w:tc>
          <w:tcPr>
            <w:tcW w:w="728" w:type="dxa"/>
            <w:shd w:val="clear" w:color="auto" w:fill="C6EFCE"/>
            <w:noWrap/>
          </w:tcPr>
          <w:p w14:paraId="0A525839" w14:textId="46FDCCDF" w:rsidR="00D924EA" w:rsidRDefault="00D924EA">
            <w:pPr>
              <w:spacing w:after="0" w:line="240" w:lineRule="auto"/>
              <w:jc w:val="right"/>
              <w:rPr>
                <w:rFonts w:ascii="Times New Roman" w:eastAsia="MS Mincho" w:hAnsi="Times New Roman" w:cs="Times New Roman"/>
                <w:noProof/>
                <w:kern w:val="0"/>
                <w:sz w:val="18"/>
                <w:szCs w:val="18"/>
                <w14:ligatures w14:val="none"/>
              </w:rPr>
            </w:pPr>
          </w:p>
        </w:tc>
        <w:tc>
          <w:tcPr>
            <w:tcW w:w="417" w:type="dxa"/>
            <w:shd w:val="clear" w:color="auto" w:fill="C6EFCE"/>
            <w:noWrap/>
          </w:tcPr>
          <w:p w14:paraId="140F32BD" w14:textId="24895E94" w:rsidR="00D924EA" w:rsidRDefault="005701C9">
            <w:pPr>
              <w:pStyle w:val="P68B1DB1-Normal18"/>
              <w:spacing w:after="0" w:line="240" w:lineRule="auto"/>
              <w:jc w:val="center"/>
              <w:rPr>
                <w:rFonts w:eastAsia="MS Mincho" w:cs="Times New Roman"/>
                <w:noProof/>
                <w:szCs w:val="18"/>
              </w:rPr>
            </w:pPr>
            <w:r>
              <w:rPr>
                <w:noProof/>
              </w:rPr>
              <w:t>T</w:t>
            </w:r>
            <w:r w:rsidR="00011DE9">
              <w:rPr>
                <w:noProof/>
              </w:rPr>
              <w:t>2</w:t>
            </w:r>
          </w:p>
        </w:tc>
        <w:tc>
          <w:tcPr>
            <w:tcW w:w="556" w:type="dxa"/>
            <w:shd w:val="clear" w:color="auto" w:fill="C6EFCE"/>
            <w:noWrap/>
          </w:tcPr>
          <w:p w14:paraId="261A40B2" w14:textId="2CDAFB81" w:rsidR="00D924EA" w:rsidRDefault="00011DE9">
            <w:pPr>
              <w:pStyle w:val="P68B1DB1-Normal18"/>
              <w:spacing w:after="0" w:line="240" w:lineRule="auto"/>
              <w:jc w:val="center"/>
              <w:rPr>
                <w:rFonts w:eastAsia="MS Mincho" w:cs="Times New Roman"/>
                <w:noProof/>
                <w:szCs w:val="18"/>
              </w:rPr>
            </w:pPr>
            <w:r>
              <w:rPr>
                <w:noProof/>
              </w:rPr>
              <w:t>2026</w:t>
            </w:r>
          </w:p>
        </w:tc>
        <w:tc>
          <w:tcPr>
            <w:tcW w:w="5272" w:type="dxa"/>
            <w:shd w:val="clear" w:color="auto" w:fill="C6EFCE"/>
            <w:noWrap/>
          </w:tcPr>
          <w:p w14:paraId="07F93570" w14:textId="6DFD83B6" w:rsidR="00D924EA" w:rsidRDefault="00011DE9">
            <w:pPr>
              <w:pStyle w:val="P68B1DB1-Normal19"/>
              <w:spacing w:after="0" w:line="240" w:lineRule="auto"/>
              <w:rPr>
                <w:rFonts w:eastAsia="MS Mincho"/>
                <w:noProof/>
              </w:rPr>
            </w:pPr>
            <w:r>
              <w:rPr>
                <w:noProof/>
              </w:rPr>
              <w:t>Confirmarea de către administrație a faptului că au fost executate contracte sau alte instrumente juridice sau părți corespunzătoare ale acestora pentru un număr cumulat de 587 de proiecte legate de mobilitatea durabilă.</w:t>
            </w:r>
          </w:p>
        </w:tc>
      </w:tr>
      <w:tr w:rsidR="00D924EA" w14:paraId="7ABD8431" w14:textId="77777777">
        <w:trPr>
          <w:trHeight w:val="309"/>
          <w:jc w:val="center"/>
        </w:trPr>
        <w:tc>
          <w:tcPr>
            <w:tcW w:w="696" w:type="dxa"/>
            <w:shd w:val="clear" w:color="auto" w:fill="C6EFCE"/>
            <w:noWrap/>
          </w:tcPr>
          <w:p w14:paraId="1D89F69D" w14:textId="31B2BD67" w:rsidR="00D924EA" w:rsidRDefault="00011DE9">
            <w:pPr>
              <w:pStyle w:val="P68B1DB1-Normal18"/>
              <w:spacing w:after="0" w:line="240" w:lineRule="auto"/>
              <w:jc w:val="center"/>
              <w:rPr>
                <w:noProof/>
              </w:rPr>
            </w:pPr>
            <w:r>
              <w:rPr>
                <w:noProof/>
              </w:rPr>
              <w:t>9b</w:t>
            </w:r>
          </w:p>
        </w:tc>
        <w:tc>
          <w:tcPr>
            <w:tcW w:w="835" w:type="dxa"/>
            <w:shd w:val="clear" w:color="auto" w:fill="C6EFCE"/>
            <w:noWrap/>
          </w:tcPr>
          <w:p w14:paraId="50C6B907" w14:textId="77777777" w:rsidR="00D924EA" w:rsidRDefault="00011DE9">
            <w:pPr>
              <w:pStyle w:val="P68B1DB1-Normal18"/>
              <w:spacing w:after="0" w:line="240" w:lineRule="auto"/>
              <w:jc w:val="center"/>
              <w:rPr>
                <w:noProof/>
              </w:rPr>
            </w:pPr>
            <w:r>
              <w:rPr>
                <w:noProof/>
              </w:rPr>
              <w:t>C1.I1</w:t>
            </w:r>
          </w:p>
        </w:tc>
        <w:tc>
          <w:tcPr>
            <w:tcW w:w="879" w:type="dxa"/>
            <w:shd w:val="clear" w:color="auto" w:fill="C6EFCE"/>
            <w:noWrap/>
          </w:tcPr>
          <w:p w14:paraId="72B53322" w14:textId="77777777" w:rsidR="00D924EA" w:rsidRDefault="00011DE9">
            <w:pPr>
              <w:pStyle w:val="P68B1DB1-Normal18"/>
              <w:spacing w:after="0" w:line="240" w:lineRule="auto"/>
              <w:jc w:val="center"/>
              <w:rPr>
                <w:noProof/>
              </w:rPr>
            </w:pPr>
            <w:r>
              <w:rPr>
                <w:noProof/>
              </w:rPr>
              <w:t>M</w:t>
            </w:r>
          </w:p>
        </w:tc>
        <w:tc>
          <w:tcPr>
            <w:tcW w:w="2263" w:type="dxa"/>
            <w:shd w:val="clear" w:color="auto" w:fill="C6EFCE"/>
            <w:noWrap/>
          </w:tcPr>
          <w:p w14:paraId="2C778747" w14:textId="0F584E32" w:rsidR="00D924EA" w:rsidRDefault="00011DE9">
            <w:pPr>
              <w:pStyle w:val="P68B1DB1-Normal18"/>
              <w:spacing w:after="0" w:line="240" w:lineRule="auto"/>
              <w:rPr>
                <w:noProof/>
              </w:rPr>
            </w:pPr>
            <w:r>
              <w:rPr>
                <w:noProof/>
              </w:rPr>
              <w:t>Casarea vehiculelor, achiziționarea de vehicule sau semiremorci cu emisii scăzute de dioxid de carbon sau instalarea de puncte de reîncărcare</w:t>
            </w:r>
            <w:r w:rsidR="00971820">
              <w:rPr>
                <w:noProof/>
              </w:rPr>
              <w:t xml:space="preserve"> </w:t>
            </w:r>
          </w:p>
        </w:tc>
        <w:tc>
          <w:tcPr>
            <w:tcW w:w="1716" w:type="dxa"/>
            <w:shd w:val="clear" w:color="auto" w:fill="C6EFCE"/>
            <w:noWrap/>
          </w:tcPr>
          <w:p w14:paraId="008D863D" w14:textId="746B3D4E" w:rsidR="00D924EA" w:rsidRDefault="00011DE9">
            <w:pPr>
              <w:pStyle w:val="P68B1DB1-Normal18"/>
              <w:spacing w:after="0" w:line="240" w:lineRule="auto"/>
              <w:rPr>
                <w:noProof/>
              </w:rPr>
            </w:pPr>
            <w:r>
              <w:rPr>
                <w:noProof/>
              </w:rPr>
              <w:t xml:space="preserve">Verificarea de către administrație a justificărilor documentare care atestă că au fost întreprinse acțiuni sau că au fost emise ordine de plată aferente </w:t>
            </w:r>
          </w:p>
          <w:p w14:paraId="506384A9" w14:textId="77777777" w:rsidR="00D924EA" w:rsidRDefault="00D924EA">
            <w:pPr>
              <w:spacing w:after="0"/>
              <w:rPr>
                <w:rFonts w:ascii="Times New Roman" w:eastAsia="Calibri" w:hAnsi="Times New Roman" w:cs="Arial"/>
                <w:noProof/>
                <w:kern w:val="0"/>
                <w:sz w:val="18"/>
                <w14:ligatures w14:val="none"/>
              </w:rPr>
            </w:pPr>
          </w:p>
          <w:p w14:paraId="14E53192" w14:textId="77777777" w:rsidR="00D924EA" w:rsidRDefault="00D924EA">
            <w:pPr>
              <w:spacing w:after="0"/>
              <w:rPr>
                <w:rFonts w:ascii="Times New Roman" w:eastAsia="Calibri" w:hAnsi="Times New Roman" w:cs="Arial"/>
                <w:noProof/>
                <w:kern w:val="0"/>
                <w:sz w:val="18"/>
                <w14:ligatures w14:val="none"/>
              </w:rPr>
            </w:pPr>
          </w:p>
        </w:tc>
        <w:tc>
          <w:tcPr>
            <w:tcW w:w="834" w:type="dxa"/>
            <w:shd w:val="clear" w:color="auto" w:fill="C6EFCE"/>
            <w:noWrap/>
          </w:tcPr>
          <w:p w14:paraId="37AB7BBE" w14:textId="77777777" w:rsidR="00D924EA" w:rsidRDefault="00D924EA">
            <w:pPr>
              <w:spacing w:after="0" w:line="240" w:lineRule="auto"/>
              <w:jc w:val="right"/>
              <w:rPr>
                <w:rFonts w:ascii="Times New Roman" w:eastAsia="Calibri" w:hAnsi="Times New Roman" w:cs="Arial"/>
                <w:noProof/>
                <w:kern w:val="0"/>
                <w:sz w:val="18"/>
                <w14:ligatures w14:val="none"/>
              </w:rPr>
            </w:pPr>
          </w:p>
        </w:tc>
        <w:tc>
          <w:tcPr>
            <w:tcW w:w="972" w:type="dxa"/>
            <w:shd w:val="clear" w:color="auto" w:fill="C6EFCE"/>
            <w:noWrap/>
          </w:tcPr>
          <w:p w14:paraId="48B6E95C" w14:textId="77777777" w:rsidR="00D924EA" w:rsidRDefault="00D924EA">
            <w:pPr>
              <w:spacing w:after="0" w:line="240" w:lineRule="auto"/>
              <w:jc w:val="right"/>
              <w:rPr>
                <w:rFonts w:ascii="Times New Roman" w:eastAsia="Calibri" w:hAnsi="Times New Roman" w:cs="Arial"/>
                <w:noProof/>
                <w:kern w:val="0"/>
                <w:sz w:val="18"/>
                <w14:ligatures w14:val="none"/>
              </w:rPr>
            </w:pPr>
          </w:p>
        </w:tc>
        <w:tc>
          <w:tcPr>
            <w:tcW w:w="728" w:type="dxa"/>
            <w:shd w:val="clear" w:color="auto" w:fill="C6EFCE"/>
            <w:noWrap/>
          </w:tcPr>
          <w:p w14:paraId="2C235740" w14:textId="77777777" w:rsidR="00D924EA" w:rsidRDefault="00D924EA">
            <w:pPr>
              <w:spacing w:after="0" w:line="240" w:lineRule="auto"/>
              <w:jc w:val="right"/>
              <w:rPr>
                <w:rFonts w:ascii="Times New Roman" w:eastAsia="Calibri" w:hAnsi="Times New Roman" w:cs="Arial"/>
                <w:noProof/>
                <w:kern w:val="0"/>
                <w:sz w:val="18"/>
                <w14:ligatures w14:val="none"/>
              </w:rPr>
            </w:pPr>
          </w:p>
        </w:tc>
        <w:tc>
          <w:tcPr>
            <w:tcW w:w="417" w:type="dxa"/>
            <w:shd w:val="clear" w:color="auto" w:fill="C6EFCE"/>
            <w:noWrap/>
          </w:tcPr>
          <w:p w14:paraId="62D6EA25" w14:textId="61DB7683" w:rsidR="00D924EA" w:rsidRDefault="005701C9">
            <w:pPr>
              <w:pStyle w:val="P68B1DB1-Normal18"/>
              <w:spacing w:after="0" w:line="240" w:lineRule="auto"/>
              <w:jc w:val="center"/>
              <w:rPr>
                <w:noProof/>
              </w:rPr>
            </w:pPr>
            <w:r>
              <w:rPr>
                <w:noProof/>
              </w:rPr>
              <w:t>T</w:t>
            </w:r>
            <w:r w:rsidR="00011DE9">
              <w:rPr>
                <w:noProof/>
              </w:rPr>
              <w:t>2</w:t>
            </w:r>
          </w:p>
        </w:tc>
        <w:tc>
          <w:tcPr>
            <w:tcW w:w="556" w:type="dxa"/>
            <w:shd w:val="clear" w:color="auto" w:fill="C6EFCE"/>
            <w:noWrap/>
          </w:tcPr>
          <w:p w14:paraId="69E17A9C" w14:textId="294CE9A8" w:rsidR="00D924EA" w:rsidRDefault="00011DE9">
            <w:pPr>
              <w:pStyle w:val="P68B1DB1-Normal18"/>
              <w:spacing w:after="0" w:line="240" w:lineRule="auto"/>
              <w:jc w:val="center"/>
              <w:rPr>
                <w:noProof/>
              </w:rPr>
            </w:pPr>
            <w:r>
              <w:rPr>
                <w:noProof/>
              </w:rPr>
              <w:t>2026</w:t>
            </w:r>
          </w:p>
        </w:tc>
        <w:tc>
          <w:tcPr>
            <w:tcW w:w="5272" w:type="dxa"/>
            <w:shd w:val="clear" w:color="auto" w:fill="C6EFCE"/>
            <w:noWrap/>
          </w:tcPr>
          <w:p w14:paraId="0A29A577" w14:textId="26CA7E1C" w:rsidR="00D924EA" w:rsidRDefault="00011DE9">
            <w:pPr>
              <w:rPr>
                <w:rFonts w:ascii="Times New Roman" w:eastAsia="Calibri" w:hAnsi="Times New Roman" w:cs="Arial"/>
                <w:noProof/>
                <w:sz w:val="18"/>
                <w:szCs w:val="18"/>
                <w14:ligatures w14:val="none"/>
              </w:rPr>
            </w:pPr>
            <w:r>
              <w:rPr>
                <w:rFonts w:ascii="Times New Roman" w:eastAsia="Calibri" w:hAnsi="Times New Roman" w:cs="Arial"/>
                <w:noProof/>
                <w:kern w:val="0"/>
                <w:sz w:val="18"/>
                <w:szCs w:val="18"/>
                <w14:ligatures w14:val="none"/>
              </w:rPr>
              <w:t>Verificarea de către administrație a documentelor justificative privind efectuarea acțiunilor sau a ordinelor de plată aferente care confirmă finalizarea activităților, în valoare totală de 250 000 000 EUR, pentru granturi legate de (a) casarea vehiculelor, (b) achiziționarea de vehicule cu emisii scăzute de dioxid de carbon, (c) achiziționarea de semiremorci sau (d) instalarea infrastructurii de reîncărcare pentru vehiculele electrice</w:t>
            </w:r>
            <w:r>
              <w:rPr>
                <w:rFonts w:ascii="Times New Roman" w:eastAsia="Calibri" w:hAnsi="Times New Roman" w:cs="Arial"/>
                <w:noProof/>
                <w:sz w:val="18"/>
                <w:szCs w:val="18"/>
              </w:rPr>
              <w:t xml:space="preserve">. </w:t>
            </w:r>
          </w:p>
        </w:tc>
      </w:tr>
      <w:tr w:rsidR="00D924EA" w14:paraId="1B332914" w14:textId="77777777">
        <w:trPr>
          <w:trHeight w:val="309"/>
          <w:jc w:val="center"/>
        </w:trPr>
        <w:tc>
          <w:tcPr>
            <w:tcW w:w="696" w:type="dxa"/>
            <w:shd w:val="clear" w:color="auto" w:fill="C6EFCE"/>
            <w:noWrap/>
          </w:tcPr>
          <w:p w14:paraId="53855452" w14:textId="77777777" w:rsidR="00D924EA" w:rsidRDefault="00011DE9">
            <w:pPr>
              <w:pStyle w:val="P68B1DB1-Normal18"/>
              <w:spacing w:after="0" w:line="240" w:lineRule="auto"/>
              <w:jc w:val="center"/>
              <w:rPr>
                <w:rFonts w:cs="Times New Roman"/>
                <w:noProof/>
                <w:szCs w:val="18"/>
              </w:rPr>
            </w:pPr>
            <w:r>
              <w:rPr>
                <w:noProof/>
              </w:rPr>
              <w:t>10</w:t>
            </w:r>
          </w:p>
        </w:tc>
        <w:tc>
          <w:tcPr>
            <w:tcW w:w="835" w:type="dxa"/>
            <w:shd w:val="clear" w:color="auto" w:fill="C6EFCE"/>
            <w:noWrap/>
          </w:tcPr>
          <w:p w14:paraId="3D00A5D5" w14:textId="77777777" w:rsidR="00D924EA" w:rsidRDefault="00011DE9">
            <w:pPr>
              <w:pStyle w:val="P68B1DB1-Normal18"/>
              <w:spacing w:after="0" w:line="240" w:lineRule="auto"/>
              <w:jc w:val="center"/>
              <w:rPr>
                <w:rFonts w:eastAsia="MS Mincho" w:cs="Times New Roman"/>
                <w:noProof/>
                <w:szCs w:val="18"/>
              </w:rPr>
            </w:pPr>
            <w:r>
              <w:rPr>
                <w:noProof/>
              </w:rPr>
              <w:t>C1.I1</w:t>
            </w:r>
          </w:p>
        </w:tc>
        <w:tc>
          <w:tcPr>
            <w:tcW w:w="879" w:type="dxa"/>
            <w:shd w:val="clear" w:color="auto" w:fill="C6EFCE"/>
            <w:noWrap/>
          </w:tcPr>
          <w:p w14:paraId="5CE6A043" w14:textId="547DB923" w:rsidR="00D924EA" w:rsidRDefault="00011DE9">
            <w:pPr>
              <w:pStyle w:val="P68B1DB1-Normal18"/>
              <w:spacing w:after="0" w:line="240" w:lineRule="auto"/>
              <w:jc w:val="center"/>
              <w:rPr>
                <w:rFonts w:cs="Times New Roman"/>
                <w:noProof/>
                <w:szCs w:val="18"/>
              </w:rPr>
            </w:pPr>
            <w:r>
              <w:rPr>
                <w:noProof/>
              </w:rPr>
              <w:t>M</w:t>
            </w:r>
          </w:p>
        </w:tc>
        <w:tc>
          <w:tcPr>
            <w:tcW w:w="2263" w:type="dxa"/>
            <w:shd w:val="clear" w:color="auto" w:fill="C6EFCE"/>
            <w:noWrap/>
          </w:tcPr>
          <w:p w14:paraId="169F19E9" w14:textId="76345711" w:rsidR="00D924EA" w:rsidRDefault="00011DE9">
            <w:pPr>
              <w:pStyle w:val="P68B1DB1-Normal18"/>
              <w:spacing w:after="0" w:line="240" w:lineRule="auto"/>
              <w:rPr>
                <w:noProof/>
              </w:rPr>
            </w:pPr>
            <w:r>
              <w:rPr>
                <w:noProof/>
              </w:rPr>
              <w:t xml:space="preserve">Lucrări privind siguranța și mobilitatea durabilă pe șosele </w:t>
            </w:r>
          </w:p>
        </w:tc>
        <w:tc>
          <w:tcPr>
            <w:tcW w:w="1716" w:type="dxa"/>
            <w:shd w:val="clear" w:color="auto" w:fill="C6EFCE"/>
            <w:noWrap/>
          </w:tcPr>
          <w:p w14:paraId="70B1C4E0" w14:textId="03650072" w:rsidR="00D924EA" w:rsidRDefault="00011DE9">
            <w:pPr>
              <w:pStyle w:val="P68B1DB1-Normal20"/>
              <w:spacing w:after="0" w:line="240" w:lineRule="auto"/>
              <w:rPr>
                <w:rFonts w:cs="Times New Roman"/>
                <w:noProof/>
                <w:kern w:val="0"/>
                <w14:ligatures w14:val="none"/>
              </w:rPr>
            </w:pPr>
            <w:r>
              <w:rPr>
                <w:noProof/>
                <w:kern w:val="0"/>
                <w14:ligatures w14:val="none"/>
              </w:rPr>
              <w:t>Certificate de acceptare (inclusiv parțiale), declarații de conformitate, certificate de expropriere,</w:t>
            </w:r>
            <w:r>
              <w:rPr>
                <w:noProof/>
              </w:rPr>
              <w:t xml:space="preserve"> certificate de punere în funcțiune </w:t>
            </w:r>
            <w:r>
              <w:rPr>
                <w:noProof/>
                <w:kern w:val="0"/>
                <w14:ligatures w14:val="none"/>
              </w:rPr>
              <w:t>sau echivalente.</w:t>
            </w:r>
          </w:p>
        </w:tc>
        <w:tc>
          <w:tcPr>
            <w:tcW w:w="834" w:type="dxa"/>
            <w:shd w:val="clear" w:color="auto" w:fill="C6EFCE"/>
            <w:noWrap/>
          </w:tcPr>
          <w:p w14:paraId="6EDABF48" w14:textId="50FD21D5" w:rsidR="00D924EA" w:rsidRDefault="00D924EA">
            <w:pPr>
              <w:spacing w:after="0" w:line="240" w:lineRule="auto"/>
              <w:jc w:val="right"/>
              <w:rPr>
                <w:rFonts w:ascii="Times New Roman" w:eastAsia="MS Mincho" w:hAnsi="Times New Roman" w:cs="Times New Roman"/>
                <w:noProof/>
                <w:kern w:val="0"/>
                <w:sz w:val="18"/>
                <w:szCs w:val="18"/>
                <w14:ligatures w14:val="none"/>
              </w:rPr>
            </w:pPr>
          </w:p>
        </w:tc>
        <w:tc>
          <w:tcPr>
            <w:tcW w:w="972" w:type="dxa"/>
            <w:shd w:val="clear" w:color="auto" w:fill="C6EFCE"/>
            <w:noWrap/>
          </w:tcPr>
          <w:p w14:paraId="58E91B60" w14:textId="1A07CF8F" w:rsidR="00D924EA" w:rsidRDefault="00D924EA">
            <w:pPr>
              <w:spacing w:after="0" w:line="240" w:lineRule="auto"/>
              <w:jc w:val="right"/>
              <w:rPr>
                <w:rFonts w:ascii="Times New Roman" w:eastAsia="MS Mincho" w:hAnsi="Times New Roman" w:cs="Times New Roman"/>
                <w:noProof/>
                <w:kern w:val="0"/>
                <w:sz w:val="18"/>
                <w:szCs w:val="18"/>
                <w14:ligatures w14:val="none"/>
              </w:rPr>
            </w:pPr>
          </w:p>
        </w:tc>
        <w:tc>
          <w:tcPr>
            <w:tcW w:w="728" w:type="dxa"/>
            <w:shd w:val="clear" w:color="auto" w:fill="C6EFCE"/>
            <w:noWrap/>
          </w:tcPr>
          <w:p w14:paraId="01CC1336" w14:textId="38B258FF" w:rsidR="00D924EA" w:rsidRDefault="00D924EA">
            <w:pPr>
              <w:spacing w:after="0" w:line="240" w:lineRule="auto"/>
              <w:jc w:val="right"/>
              <w:rPr>
                <w:rFonts w:ascii="Times New Roman" w:eastAsia="MS Mincho" w:hAnsi="Times New Roman" w:cs="Times New Roman"/>
                <w:noProof/>
                <w:kern w:val="0"/>
                <w:sz w:val="18"/>
                <w:szCs w:val="18"/>
                <w14:ligatures w14:val="none"/>
              </w:rPr>
            </w:pPr>
          </w:p>
        </w:tc>
        <w:tc>
          <w:tcPr>
            <w:tcW w:w="417" w:type="dxa"/>
            <w:shd w:val="clear" w:color="auto" w:fill="C6EFCE"/>
            <w:noWrap/>
          </w:tcPr>
          <w:p w14:paraId="0D09B039" w14:textId="74900C8B" w:rsidR="00D924EA" w:rsidRDefault="005701C9">
            <w:pPr>
              <w:pStyle w:val="P68B1DB1-Normal18"/>
              <w:spacing w:after="0" w:line="240" w:lineRule="auto"/>
              <w:jc w:val="center"/>
              <w:rPr>
                <w:rFonts w:cs="Times New Roman"/>
                <w:noProof/>
                <w:szCs w:val="18"/>
              </w:rPr>
            </w:pPr>
            <w:r>
              <w:rPr>
                <w:noProof/>
              </w:rPr>
              <w:t>T4</w:t>
            </w:r>
          </w:p>
        </w:tc>
        <w:tc>
          <w:tcPr>
            <w:tcW w:w="556" w:type="dxa"/>
            <w:shd w:val="clear" w:color="auto" w:fill="C6EFCE"/>
            <w:noWrap/>
          </w:tcPr>
          <w:p w14:paraId="47BA37A0" w14:textId="3A566832" w:rsidR="00D924EA" w:rsidRDefault="00011DE9">
            <w:pPr>
              <w:pStyle w:val="P68B1DB1-Normal18"/>
              <w:spacing w:after="0" w:line="240" w:lineRule="auto"/>
              <w:jc w:val="center"/>
              <w:rPr>
                <w:rFonts w:cs="Times New Roman"/>
                <w:noProof/>
                <w:szCs w:val="18"/>
              </w:rPr>
            </w:pPr>
            <w:r>
              <w:rPr>
                <w:noProof/>
              </w:rPr>
              <w:t>2025</w:t>
            </w:r>
          </w:p>
        </w:tc>
        <w:tc>
          <w:tcPr>
            <w:tcW w:w="5272" w:type="dxa"/>
            <w:shd w:val="clear" w:color="auto" w:fill="C6EFCE"/>
            <w:noWrap/>
          </w:tcPr>
          <w:p w14:paraId="45D86F50" w14:textId="0C2C179D" w:rsidR="00D924EA" w:rsidRDefault="00011DE9">
            <w:pPr>
              <w:pStyle w:val="P68B1DB1-Normal21"/>
              <w:spacing w:line="259" w:lineRule="auto"/>
              <w:rPr>
                <w:noProof/>
                <w:kern w:val="0"/>
                <w14:ligatures w14:val="none"/>
              </w:rPr>
            </w:pPr>
            <w:r>
              <w:rPr>
                <w:noProof/>
                <w:kern w:val="0"/>
                <w14:ligatures w14:val="none"/>
              </w:rPr>
              <w:t>Confirmarea de către administrație a faptului că au fost executate sau pot fi puse în funcțiune contracte sau alte instrumente juridice (inclusiv orice modificări) sau părți corespunzătoare ale acestora, în valoare totală de 94.5 milioane EUR, referitoare la lucrări privind siguranța rutieră sau mobilitatea durabilă pe șosele.</w:t>
            </w:r>
            <w:r>
              <w:rPr>
                <w:noProof/>
              </w:rPr>
              <w:t xml:space="preserve"> </w:t>
            </w:r>
          </w:p>
        </w:tc>
      </w:tr>
      <w:tr w:rsidR="00D924EA" w14:paraId="7A28F4C5" w14:textId="77777777">
        <w:trPr>
          <w:trHeight w:val="309"/>
          <w:jc w:val="center"/>
        </w:trPr>
        <w:tc>
          <w:tcPr>
            <w:tcW w:w="696" w:type="dxa"/>
            <w:shd w:val="clear" w:color="auto" w:fill="C6EFCE"/>
            <w:noWrap/>
          </w:tcPr>
          <w:p w14:paraId="14BBB604" w14:textId="77777777" w:rsidR="00D924EA" w:rsidRDefault="00011DE9">
            <w:pPr>
              <w:pStyle w:val="P68B1DB1-Normal18"/>
              <w:spacing w:after="0" w:line="240" w:lineRule="auto"/>
              <w:jc w:val="center"/>
              <w:rPr>
                <w:rFonts w:cs="Times New Roman"/>
                <w:noProof/>
                <w:szCs w:val="18"/>
              </w:rPr>
            </w:pPr>
            <w:r>
              <w:rPr>
                <w:noProof/>
              </w:rPr>
              <w:t xml:space="preserve"> 11</w:t>
            </w:r>
          </w:p>
        </w:tc>
        <w:tc>
          <w:tcPr>
            <w:tcW w:w="835" w:type="dxa"/>
            <w:shd w:val="clear" w:color="auto" w:fill="C6EFCE"/>
            <w:noWrap/>
          </w:tcPr>
          <w:p w14:paraId="00427174" w14:textId="77777777" w:rsidR="00D924EA" w:rsidRDefault="00011DE9">
            <w:pPr>
              <w:pStyle w:val="P68B1DB1-Normal18"/>
              <w:spacing w:after="0" w:line="240" w:lineRule="auto"/>
              <w:jc w:val="center"/>
              <w:rPr>
                <w:rFonts w:eastAsia="MS Mincho" w:cs="Times New Roman"/>
                <w:noProof/>
                <w:szCs w:val="18"/>
              </w:rPr>
            </w:pPr>
            <w:r>
              <w:rPr>
                <w:noProof/>
              </w:rPr>
              <w:t>C1.I2</w:t>
            </w:r>
          </w:p>
        </w:tc>
        <w:tc>
          <w:tcPr>
            <w:tcW w:w="879" w:type="dxa"/>
            <w:shd w:val="clear" w:color="auto" w:fill="C6EFCE"/>
            <w:noWrap/>
          </w:tcPr>
          <w:p w14:paraId="100712E2" w14:textId="77777777" w:rsidR="00D924EA" w:rsidRDefault="00011DE9">
            <w:pPr>
              <w:pStyle w:val="P68B1DB1-Normal18"/>
              <w:spacing w:after="0" w:line="240" w:lineRule="auto"/>
              <w:jc w:val="center"/>
              <w:rPr>
                <w:rFonts w:cs="Times New Roman"/>
                <w:noProof/>
                <w:szCs w:val="18"/>
              </w:rPr>
            </w:pPr>
            <w:r>
              <w:rPr>
                <w:noProof/>
              </w:rPr>
              <w:t>T</w:t>
            </w:r>
          </w:p>
        </w:tc>
        <w:tc>
          <w:tcPr>
            <w:tcW w:w="2263" w:type="dxa"/>
            <w:shd w:val="clear" w:color="auto" w:fill="C6EFCE"/>
            <w:noWrap/>
          </w:tcPr>
          <w:p w14:paraId="7A6C343A" w14:textId="77777777" w:rsidR="00D924EA" w:rsidRDefault="00011DE9">
            <w:pPr>
              <w:pStyle w:val="P68B1DB1-Normal18"/>
              <w:spacing w:after="0" w:line="240" w:lineRule="auto"/>
              <w:rPr>
                <w:rFonts w:cs="Times New Roman"/>
                <w:noProof/>
                <w:szCs w:val="18"/>
              </w:rPr>
            </w:pPr>
            <w:r>
              <w:rPr>
                <w:noProof/>
              </w:rPr>
              <w:t xml:space="preserve">Atribuirea proiectelor inovatoare de promovare a electromobilității </w:t>
            </w:r>
          </w:p>
        </w:tc>
        <w:tc>
          <w:tcPr>
            <w:tcW w:w="1716" w:type="dxa"/>
            <w:shd w:val="clear" w:color="auto" w:fill="C6EFCE"/>
            <w:noWrap/>
          </w:tcPr>
          <w:p w14:paraId="241C9242" w14:textId="77777777" w:rsidR="00D924EA" w:rsidRDefault="00011DE9">
            <w:pPr>
              <w:pStyle w:val="P68B1DB1-Normal18"/>
              <w:spacing w:after="0" w:line="240" w:lineRule="auto"/>
              <w:jc w:val="center"/>
              <w:rPr>
                <w:rFonts w:cs="Times New Roman"/>
                <w:noProof/>
                <w:szCs w:val="18"/>
              </w:rPr>
            </w:pPr>
            <w:r>
              <w:rPr>
                <w:noProof/>
              </w:rPr>
              <w:t xml:space="preserve"> </w:t>
            </w:r>
          </w:p>
        </w:tc>
        <w:tc>
          <w:tcPr>
            <w:tcW w:w="834" w:type="dxa"/>
            <w:shd w:val="clear" w:color="auto" w:fill="C6EFCE"/>
            <w:noWrap/>
          </w:tcPr>
          <w:p w14:paraId="7723BD53" w14:textId="77777777" w:rsidR="00D924EA" w:rsidRDefault="00011DE9">
            <w:pPr>
              <w:pStyle w:val="P68B1DB1-Normal18"/>
              <w:spacing w:after="0" w:line="240" w:lineRule="auto"/>
              <w:rPr>
                <w:rFonts w:eastAsia="MS Mincho" w:cs="Times New Roman"/>
                <w:noProof/>
                <w:szCs w:val="18"/>
              </w:rPr>
            </w:pPr>
            <w:r>
              <w:rPr>
                <w:noProof/>
              </w:rPr>
              <w:t>Milioane EUR</w:t>
            </w:r>
          </w:p>
        </w:tc>
        <w:tc>
          <w:tcPr>
            <w:tcW w:w="972" w:type="dxa"/>
            <w:shd w:val="clear" w:color="auto" w:fill="C6EFCE"/>
            <w:noWrap/>
          </w:tcPr>
          <w:p w14:paraId="312300B4" w14:textId="77777777" w:rsidR="00D924EA" w:rsidRDefault="00011DE9">
            <w:pPr>
              <w:pStyle w:val="P68B1DB1-Normal18"/>
              <w:spacing w:after="0" w:line="240" w:lineRule="auto"/>
              <w:jc w:val="right"/>
              <w:rPr>
                <w:rFonts w:eastAsia="MS Mincho" w:cs="Times New Roman"/>
                <w:noProof/>
                <w:szCs w:val="18"/>
              </w:rPr>
            </w:pPr>
            <w:r>
              <w:rPr>
                <w:noProof/>
              </w:rPr>
              <w:t>0</w:t>
            </w:r>
          </w:p>
        </w:tc>
        <w:tc>
          <w:tcPr>
            <w:tcW w:w="728" w:type="dxa"/>
            <w:shd w:val="clear" w:color="auto" w:fill="C6EFCE"/>
            <w:noWrap/>
          </w:tcPr>
          <w:p w14:paraId="26DED46E" w14:textId="77777777" w:rsidR="00D924EA" w:rsidRDefault="00011DE9">
            <w:pPr>
              <w:pStyle w:val="P68B1DB1-Normal18"/>
              <w:spacing w:after="0" w:line="240" w:lineRule="auto"/>
              <w:jc w:val="right"/>
              <w:rPr>
                <w:rFonts w:eastAsia="MS Mincho" w:cs="Times New Roman"/>
                <w:noProof/>
                <w:szCs w:val="18"/>
              </w:rPr>
            </w:pPr>
            <w:r>
              <w:rPr>
                <w:noProof/>
              </w:rPr>
              <w:t>250</w:t>
            </w:r>
          </w:p>
        </w:tc>
        <w:tc>
          <w:tcPr>
            <w:tcW w:w="417" w:type="dxa"/>
            <w:shd w:val="clear" w:color="auto" w:fill="C6EFCE"/>
            <w:noWrap/>
          </w:tcPr>
          <w:p w14:paraId="4D884E09" w14:textId="2E5A39F8" w:rsidR="00D924EA" w:rsidRDefault="005701C9">
            <w:pPr>
              <w:pStyle w:val="P68B1DB1-Normal18"/>
              <w:spacing w:after="0" w:line="240" w:lineRule="auto"/>
              <w:jc w:val="center"/>
              <w:rPr>
                <w:rFonts w:cs="Times New Roman"/>
                <w:noProof/>
                <w:szCs w:val="18"/>
              </w:rPr>
            </w:pPr>
            <w:r>
              <w:rPr>
                <w:noProof/>
              </w:rPr>
              <w:t>T</w:t>
            </w:r>
            <w:r w:rsidR="00011DE9">
              <w:rPr>
                <w:noProof/>
              </w:rPr>
              <w:t>2</w:t>
            </w:r>
          </w:p>
        </w:tc>
        <w:tc>
          <w:tcPr>
            <w:tcW w:w="556" w:type="dxa"/>
            <w:shd w:val="clear" w:color="auto" w:fill="C6EFCE"/>
            <w:noWrap/>
          </w:tcPr>
          <w:p w14:paraId="01269374" w14:textId="77777777" w:rsidR="00D924EA" w:rsidRDefault="00011DE9">
            <w:pPr>
              <w:pStyle w:val="P68B1DB1-Normal18"/>
              <w:spacing w:after="0" w:line="240" w:lineRule="auto"/>
              <w:jc w:val="center"/>
              <w:rPr>
                <w:rFonts w:cs="Times New Roman"/>
                <w:noProof/>
                <w:szCs w:val="18"/>
              </w:rPr>
            </w:pPr>
            <w:r>
              <w:rPr>
                <w:noProof/>
              </w:rPr>
              <w:t>2023</w:t>
            </w:r>
          </w:p>
        </w:tc>
        <w:tc>
          <w:tcPr>
            <w:tcW w:w="5272" w:type="dxa"/>
            <w:shd w:val="clear" w:color="auto" w:fill="C6EFCE"/>
            <w:noWrap/>
          </w:tcPr>
          <w:p w14:paraId="3FF376FF" w14:textId="77777777" w:rsidR="00D924EA" w:rsidRDefault="00011DE9">
            <w:pPr>
              <w:pStyle w:val="P68B1DB1-Normal18"/>
              <w:spacing w:after="0" w:line="240" w:lineRule="auto"/>
              <w:rPr>
                <w:rFonts w:cs="Times New Roman"/>
                <w:noProof/>
                <w:szCs w:val="18"/>
              </w:rPr>
            </w:pPr>
            <w:r>
              <w:rPr>
                <w:noProof/>
              </w:rPr>
              <w:t>Publicarea atribuirii a cel puțin 250 milioane EUR în cadrul cererilor de propuneri care sprijină proiecte inovatoare de promovare a electromobilității. Criteriile de selecție utilizate în cererile de propuneri pentru alocarea schemelor de ajutoare includ: I) reducerea impactului asupra mediului, ii) viabilitatea tehnico-economică, iii) nivelul de dezvoltare tehnologică și inovare, iv) reproductibilitatea și scalabilitatea, v) crearea de locuri de muncă asociată proiectului, direct și indirect și vi) impactul asupra lanțului valoric și sinergia cu alte sectoare, în principal industriale.</w:t>
            </w:r>
          </w:p>
        </w:tc>
      </w:tr>
      <w:tr w:rsidR="00D924EA" w14:paraId="43E34CEB" w14:textId="77777777">
        <w:trPr>
          <w:trHeight w:val="300"/>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6F6E72EC" w14:textId="77777777" w:rsidR="00D924EA" w:rsidRDefault="00011DE9">
            <w:pPr>
              <w:pStyle w:val="P68B1DB1-Normal18"/>
              <w:spacing w:after="0" w:line="240" w:lineRule="auto"/>
              <w:jc w:val="center"/>
              <w:rPr>
                <w:rFonts w:cs="Times New Roman"/>
                <w:noProof/>
                <w:szCs w:val="18"/>
              </w:rPr>
            </w:pPr>
            <w:r>
              <w:rPr>
                <w:noProof/>
              </w:rPr>
              <w:t>419</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B3BCA55" w14:textId="77777777" w:rsidR="00D924EA" w:rsidRDefault="00011DE9">
            <w:pPr>
              <w:pStyle w:val="P68B1DB1-Normal18"/>
              <w:spacing w:after="0" w:line="240" w:lineRule="auto"/>
              <w:jc w:val="center"/>
              <w:rPr>
                <w:rFonts w:cs="Times New Roman"/>
                <w:noProof/>
                <w:szCs w:val="18"/>
              </w:rPr>
            </w:pPr>
            <w:r>
              <w:rPr>
                <w:noProof/>
              </w:rPr>
              <w:t>C1.I2</w:t>
            </w:r>
          </w:p>
        </w:tc>
        <w:tc>
          <w:tcPr>
            <w:tcW w:w="879" w:type="dxa"/>
            <w:tcBorders>
              <w:top w:val="single" w:sz="4" w:space="0" w:color="auto"/>
              <w:left w:val="single" w:sz="4" w:space="0" w:color="auto"/>
              <w:bottom w:val="single" w:sz="4" w:space="0" w:color="auto"/>
              <w:right w:val="single" w:sz="4" w:space="0" w:color="auto"/>
            </w:tcBorders>
            <w:shd w:val="clear" w:color="auto" w:fill="C6EFCE"/>
            <w:noWrap/>
          </w:tcPr>
          <w:p w14:paraId="3FCE0FCC" w14:textId="77777777" w:rsidR="00D924EA" w:rsidRDefault="00011DE9">
            <w:pPr>
              <w:pStyle w:val="P68B1DB1-Normal18"/>
              <w:spacing w:after="0" w:line="240" w:lineRule="auto"/>
              <w:jc w:val="center"/>
              <w:rPr>
                <w:rFonts w:cs="Times New Roman"/>
                <w:noProof/>
                <w:szCs w:val="18"/>
              </w:rPr>
            </w:pPr>
            <w:r>
              <w:rPr>
                <w:noProof/>
              </w:rPr>
              <w:t>T</w:t>
            </w:r>
          </w:p>
        </w:tc>
        <w:tc>
          <w:tcPr>
            <w:tcW w:w="2263" w:type="dxa"/>
            <w:tcBorders>
              <w:top w:val="single" w:sz="4" w:space="0" w:color="auto"/>
              <w:left w:val="single" w:sz="4" w:space="0" w:color="auto"/>
              <w:bottom w:val="single" w:sz="4" w:space="0" w:color="auto"/>
              <w:right w:val="single" w:sz="4" w:space="0" w:color="auto"/>
            </w:tcBorders>
            <w:shd w:val="clear" w:color="auto" w:fill="C6EFCE"/>
            <w:noWrap/>
          </w:tcPr>
          <w:p w14:paraId="0541BF8A" w14:textId="77777777" w:rsidR="00D924EA" w:rsidRDefault="00011DE9">
            <w:pPr>
              <w:pStyle w:val="P68B1DB1-Normal20"/>
              <w:spacing w:after="0" w:line="240" w:lineRule="auto"/>
              <w:rPr>
                <w:noProof/>
                <w:kern w:val="0"/>
                <w14:ligatures w14:val="none"/>
              </w:rPr>
            </w:pPr>
            <w:r>
              <w:rPr>
                <w:noProof/>
              </w:rPr>
              <w:t xml:space="preserve">Permise de circulație eliberate pentru vehicule electrice </w:t>
            </w:r>
          </w:p>
        </w:tc>
        <w:tc>
          <w:tcPr>
            <w:tcW w:w="1716" w:type="dxa"/>
            <w:tcBorders>
              <w:top w:val="single" w:sz="4" w:space="0" w:color="auto"/>
              <w:left w:val="single" w:sz="4" w:space="0" w:color="auto"/>
              <w:bottom w:val="single" w:sz="4" w:space="0" w:color="auto"/>
              <w:right w:val="single" w:sz="4" w:space="0" w:color="auto"/>
            </w:tcBorders>
            <w:shd w:val="clear" w:color="auto" w:fill="C6EFCE"/>
            <w:noWrap/>
          </w:tcPr>
          <w:p w14:paraId="465DD2C5" w14:textId="77777777" w:rsidR="00D924EA" w:rsidRDefault="00D924EA">
            <w:pPr>
              <w:spacing w:after="0" w:line="240" w:lineRule="auto"/>
              <w:rPr>
                <w:rFonts w:ascii="Times New Roman" w:eastAsia="Calibri" w:hAnsi="Times New Roman" w:cs="Times New Roman"/>
                <w:noProof/>
                <w:kern w:val="0"/>
                <w:sz w:val="18"/>
                <w:szCs w:val="18"/>
                <w14:ligatures w14:val="none"/>
              </w:rPr>
            </w:pPr>
          </w:p>
        </w:tc>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186BADE7" w14:textId="6075D2B5" w:rsidR="00D924EA" w:rsidRDefault="00011DE9">
            <w:pPr>
              <w:pStyle w:val="P68B1DB1-Normal18"/>
              <w:spacing w:after="0" w:line="240" w:lineRule="auto"/>
              <w:rPr>
                <w:rFonts w:cs="Times New Roman"/>
                <w:noProof/>
                <w:szCs w:val="18"/>
              </w:rPr>
            </w:pPr>
            <w:r>
              <w:rPr>
                <w:noProof/>
              </w:rPr>
              <w:t>Număr</w:t>
            </w:r>
            <w:r w:rsidR="00971820">
              <w:rPr>
                <w:noProof/>
              </w:rPr>
              <w:t xml:space="preserve"> </w:t>
            </w:r>
          </w:p>
        </w:tc>
        <w:tc>
          <w:tcPr>
            <w:tcW w:w="972" w:type="dxa"/>
            <w:tcBorders>
              <w:top w:val="single" w:sz="4" w:space="0" w:color="auto"/>
              <w:left w:val="single" w:sz="4" w:space="0" w:color="auto"/>
              <w:bottom w:val="single" w:sz="4" w:space="0" w:color="auto"/>
              <w:right w:val="single" w:sz="4" w:space="0" w:color="auto"/>
            </w:tcBorders>
            <w:shd w:val="clear" w:color="auto" w:fill="C6EFCE"/>
            <w:noWrap/>
          </w:tcPr>
          <w:p w14:paraId="75FB44B1" w14:textId="77777777" w:rsidR="00D924EA" w:rsidRDefault="00011DE9">
            <w:pPr>
              <w:pStyle w:val="P68B1DB1-Normal18"/>
              <w:spacing w:after="0" w:line="240" w:lineRule="auto"/>
              <w:jc w:val="right"/>
              <w:rPr>
                <w:rFonts w:cs="Times New Roman"/>
                <w:noProof/>
                <w:szCs w:val="18"/>
              </w:rPr>
            </w:pPr>
            <w:r>
              <w:rPr>
                <w:noProof/>
              </w:rPr>
              <w:t>0</w:t>
            </w: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438728F8" w14:textId="2BBEE334" w:rsidR="00D924EA" w:rsidRDefault="00011DE9">
            <w:pPr>
              <w:pStyle w:val="P68B1DB1-Normal18"/>
              <w:spacing w:after="0" w:line="240" w:lineRule="auto"/>
              <w:jc w:val="right"/>
              <w:rPr>
                <w:rFonts w:cs="Times New Roman"/>
                <w:noProof/>
                <w:szCs w:val="18"/>
              </w:rPr>
            </w:pPr>
            <w:r>
              <w:rPr>
                <w:noProof/>
              </w:rPr>
              <w:t>142 800</w:t>
            </w:r>
          </w:p>
        </w:tc>
        <w:tc>
          <w:tcPr>
            <w:tcW w:w="417" w:type="dxa"/>
            <w:tcBorders>
              <w:top w:val="single" w:sz="4" w:space="0" w:color="auto"/>
              <w:left w:val="single" w:sz="4" w:space="0" w:color="auto"/>
              <w:bottom w:val="single" w:sz="4" w:space="0" w:color="auto"/>
              <w:right w:val="single" w:sz="4" w:space="0" w:color="auto"/>
            </w:tcBorders>
            <w:shd w:val="clear" w:color="auto" w:fill="C6EFCE"/>
            <w:noWrap/>
          </w:tcPr>
          <w:p w14:paraId="333B96E0" w14:textId="6F85E855" w:rsidR="00D924EA" w:rsidRDefault="005701C9">
            <w:pPr>
              <w:pStyle w:val="P68B1DB1-Normal18"/>
              <w:spacing w:after="0" w:line="240" w:lineRule="auto"/>
              <w:jc w:val="center"/>
              <w:rPr>
                <w:rFonts w:cs="Times New Roman"/>
                <w:noProof/>
                <w:szCs w:val="18"/>
              </w:rPr>
            </w:pPr>
            <w:r>
              <w:rPr>
                <w:noProof/>
              </w:rPr>
              <w:t>T</w:t>
            </w:r>
            <w:r w:rsidR="00011DE9">
              <w:rPr>
                <w:noProof/>
              </w:rPr>
              <w:t>2</w:t>
            </w:r>
          </w:p>
        </w:tc>
        <w:tc>
          <w:tcPr>
            <w:tcW w:w="556" w:type="dxa"/>
            <w:tcBorders>
              <w:top w:val="single" w:sz="4" w:space="0" w:color="auto"/>
              <w:left w:val="single" w:sz="4" w:space="0" w:color="auto"/>
              <w:bottom w:val="single" w:sz="4" w:space="0" w:color="auto"/>
              <w:right w:val="single" w:sz="4" w:space="0" w:color="auto"/>
            </w:tcBorders>
            <w:shd w:val="clear" w:color="auto" w:fill="C6EFCE"/>
            <w:noWrap/>
          </w:tcPr>
          <w:p w14:paraId="1017CE9E" w14:textId="3DFA984C" w:rsidR="00D924EA" w:rsidRDefault="00011DE9">
            <w:pPr>
              <w:pStyle w:val="P68B1DB1-Normal18"/>
              <w:spacing w:after="0" w:line="240" w:lineRule="auto"/>
              <w:jc w:val="center"/>
              <w:rPr>
                <w:rFonts w:cs="Times New Roman"/>
                <w:noProof/>
                <w:szCs w:val="18"/>
              </w:rPr>
            </w:pPr>
            <w:r>
              <w:rPr>
                <w:noProof/>
              </w:rPr>
              <w:t>2026</w:t>
            </w:r>
          </w:p>
        </w:tc>
        <w:tc>
          <w:tcPr>
            <w:tcW w:w="5272" w:type="dxa"/>
            <w:tcBorders>
              <w:top w:val="single" w:sz="4" w:space="0" w:color="auto"/>
              <w:left w:val="single" w:sz="4" w:space="0" w:color="auto"/>
              <w:bottom w:val="single" w:sz="4" w:space="0" w:color="auto"/>
              <w:right w:val="single" w:sz="4" w:space="0" w:color="auto"/>
            </w:tcBorders>
            <w:shd w:val="clear" w:color="auto" w:fill="C6EFCE"/>
            <w:noWrap/>
          </w:tcPr>
          <w:p w14:paraId="1C09ED5A" w14:textId="25102B43" w:rsidR="00D924EA" w:rsidRDefault="00011DE9">
            <w:pPr>
              <w:pStyle w:val="P68B1DB1-Normal20"/>
              <w:spacing w:after="0" w:line="240" w:lineRule="auto"/>
              <w:rPr>
                <w:noProof/>
                <w:kern w:val="0"/>
                <w14:ligatures w14:val="none"/>
              </w:rPr>
            </w:pPr>
            <w:r>
              <w:rPr>
                <w:noProof/>
              </w:rPr>
              <w:t>Permise de circulație eliberate pentru 142 800 vehicule electrice (BEV, REEV, PHEV sau FCEV).</w:t>
            </w:r>
          </w:p>
        </w:tc>
      </w:tr>
      <w:tr w:rsidR="00D924EA" w14:paraId="01D5D44D" w14:textId="77777777">
        <w:trPr>
          <w:trHeight w:val="309"/>
          <w:jc w:val="center"/>
        </w:trPr>
        <w:tc>
          <w:tcPr>
            <w:tcW w:w="696" w:type="dxa"/>
            <w:shd w:val="clear" w:color="auto" w:fill="C6EFCE"/>
            <w:noWrap/>
          </w:tcPr>
          <w:p w14:paraId="020AA832" w14:textId="77777777" w:rsidR="00D924EA" w:rsidRDefault="00011DE9">
            <w:pPr>
              <w:pStyle w:val="P68B1DB1-Normal18"/>
              <w:spacing w:after="0" w:line="240" w:lineRule="auto"/>
              <w:jc w:val="center"/>
              <w:rPr>
                <w:noProof/>
              </w:rPr>
            </w:pPr>
            <w:r>
              <w:rPr>
                <w:noProof/>
              </w:rPr>
              <w:t>419b</w:t>
            </w:r>
          </w:p>
        </w:tc>
        <w:tc>
          <w:tcPr>
            <w:tcW w:w="835" w:type="dxa"/>
            <w:shd w:val="clear" w:color="auto" w:fill="C6EFCE"/>
            <w:noWrap/>
          </w:tcPr>
          <w:p w14:paraId="6DE32AF4" w14:textId="77777777" w:rsidR="00D924EA" w:rsidRDefault="00011DE9">
            <w:pPr>
              <w:pStyle w:val="P68B1DB1-Normal18"/>
              <w:spacing w:after="0" w:line="240" w:lineRule="auto"/>
              <w:jc w:val="center"/>
              <w:rPr>
                <w:noProof/>
              </w:rPr>
            </w:pPr>
            <w:r>
              <w:rPr>
                <w:noProof/>
              </w:rPr>
              <w:t>C1.I2</w:t>
            </w:r>
          </w:p>
        </w:tc>
        <w:tc>
          <w:tcPr>
            <w:tcW w:w="879" w:type="dxa"/>
            <w:shd w:val="clear" w:color="auto" w:fill="C6EFCE"/>
            <w:noWrap/>
          </w:tcPr>
          <w:p w14:paraId="3EF3B39A" w14:textId="77777777" w:rsidR="00D924EA" w:rsidRDefault="00011DE9">
            <w:pPr>
              <w:pStyle w:val="P68B1DB1-Normal18"/>
              <w:spacing w:after="0" w:line="240" w:lineRule="auto"/>
              <w:jc w:val="center"/>
              <w:rPr>
                <w:noProof/>
              </w:rPr>
            </w:pPr>
            <w:r>
              <w:rPr>
                <w:noProof/>
              </w:rPr>
              <w:t>M</w:t>
            </w:r>
          </w:p>
        </w:tc>
        <w:tc>
          <w:tcPr>
            <w:tcW w:w="2263" w:type="dxa"/>
            <w:shd w:val="clear" w:color="auto" w:fill="C6EFCE"/>
            <w:noWrap/>
          </w:tcPr>
          <w:p w14:paraId="263DE726" w14:textId="77777777" w:rsidR="00D924EA" w:rsidRDefault="00011DE9">
            <w:pPr>
              <w:pStyle w:val="P68B1DB1-Normal18"/>
              <w:spacing w:after="0" w:line="240" w:lineRule="auto"/>
              <w:rPr>
                <w:noProof/>
              </w:rPr>
            </w:pPr>
            <w:r>
              <w:rPr>
                <w:noProof/>
              </w:rPr>
              <w:t>Puncte de încărcare instalate</w:t>
            </w:r>
          </w:p>
        </w:tc>
        <w:tc>
          <w:tcPr>
            <w:tcW w:w="1716" w:type="dxa"/>
            <w:shd w:val="clear" w:color="auto" w:fill="C6EFCE"/>
            <w:noWrap/>
          </w:tcPr>
          <w:p w14:paraId="2FD96C3B" w14:textId="77777777" w:rsidR="00D924EA" w:rsidRDefault="00011DE9">
            <w:pPr>
              <w:pStyle w:val="P68B1DB1-Normal18"/>
              <w:spacing w:after="0" w:line="240" w:lineRule="auto"/>
              <w:rPr>
                <w:noProof/>
              </w:rPr>
            </w:pPr>
            <w:r>
              <w:rPr>
                <w:noProof/>
              </w:rPr>
              <w:t>Rapoarte finale</w:t>
            </w:r>
          </w:p>
        </w:tc>
        <w:tc>
          <w:tcPr>
            <w:tcW w:w="834" w:type="dxa"/>
            <w:shd w:val="clear" w:color="auto" w:fill="C6EFCE"/>
            <w:noWrap/>
          </w:tcPr>
          <w:p w14:paraId="4319DB97" w14:textId="77777777" w:rsidR="00D924EA" w:rsidRDefault="00D924EA">
            <w:pPr>
              <w:spacing w:after="0" w:line="240" w:lineRule="auto"/>
              <w:rPr>
                <w:rFonts w:ascii="Times New Roman" w:eastAsia="Calibri" w:hAnsi="Times New Roman" w:cs="Arial"/>
                <w:noProof/>
                <w:kern w:val="0"/>
                <w:sz w:val="18"/>
                <w14:ligatures w14:val="none"/>
              </w:rPr>
            </w:pPr>
          </w:p>
        </w:tc>
        <w:tc>
          <w:tcPr>
            <w:tcW w:w="972" w:type="dxa"/>
            <w:shd w:val="clear" w:color="auto" w:fill="C6EFCE"/>
            <w:noWrap/>
          </w:tcPr>
          <w:p w14:paraId="520A069F" w14:textId="77777777" w:rsidR="00D924EA" w:rsidRDefault="00D924EA">
            <w:pPr>
              <w:spacing w:after="0" w:line="240" w:lineRule="auto"/>
              <w:jc w:val="right"/>
              <w:rPr>
                <w:rFonts w:ascii="Times New Roman" w:eastAsia="Calibri" w:hAnsi="Times New Roman" w:cs="Arial"/>
                <w:noProof/>
                <w:kern w:val="0"/>
                <w:sz w:val="18"/>
                <w14:ligatures w14:val="none"/>
              </w:rPr>
            </w:pPr>
          </w:p>
        </w:tc>
        <w:tc>
          <w:tcPr>
            <w:tcW w:w="728" w:type="dxa"/>
            <w:shd w:val="clear" w:color="auto" w:fill="C6EFCE"/>
            <w:noWrap/>
          </w:tcPr>
          <w:p w14:paraId="65ACE8A3" w14:textId="77777777" w:rsidR="00D924EA" w:rsidRDefault="00D924EA">
            <w:pPr>
              <w:spacing w:after="0" w:line="240" w:lineRule="auto"/>
              <w:jc w:val="right"/>
              <w:rPr>
                <w:rFonts w:ascii="Times New Roman" w:eastAsia="Calibri" w:hAnsi="Times New Roman" w:cs="Arial"/>
                <w:noProof/>
                <w:kern w:val="0"/>
                <w:sz w:val="18"/>
                <w14:ligatures w14:val="none"/>
              </w:rPr>
            </w:pPr>
          </w:p>
        </w:tc>
        <w:tc>
          <w:tcPr>
            <w:tcW w:w="417" w:type="dxa"/>
            <w:shd w:val="clear" w:color="auto" w:fill="C6EFCE"/>
            <w:noWrap/>
          </w:tcPr>
          <w:p w14:paraId="35659E1E" w14:textId="46E90AB9" w:rsidR="00D924EA" w:rsidRDefault="005701C9">
            <w:pPr>
              <w:pStyle w:val="P68B1DB1-Normal18"/>
              <w:spacing w:after="0" w:line="240" w:lineRule="auto"/>
              <w:jc w:val="center"/>
              <w:rPr>
                <w:noProof/>
              </w:rPr>
            </w:pPr>
            <w:r>
              <w:rPr>
                <w:noProof/>
              </w:rPr>
              <w:t>T</w:t>
            </w:r>
            <w:r w:rsidR="00011DE9">
              <w:rPr>
                <w:noProof/>
              </w:rPr>
              <w:t>2</w:t>
            </w:r>
          </w:p>
        </w:tc>
        <w:tc>
          <w:tcPr>
            <w:tcW w:w="556" w:type="dxa"/>
            <w:shd w:val="clear" w:color="auto" w:fill="C6EFCE"/>
            <w:noWrap/>
          </w:tcPr>
          <w:p w14:paraId="166FA3C4" w14:textId="77777777" w:rsidR="00D924EA" w:rsidRDefault="00011DE9">
            <w:pPr>
              <w:pStyle w:val="P68B1DB1-Normal18"/>
              <w:spacing w:after="0" w:line="240" w:lineRule="auto"/>
              <w:jc w:val="center"/>
              <w:rPr>
                <w:noProof/>
              </w:rPr>
            </w:pPr>
            <w:r>
              <w:rPr>
                <w:noProof/>
              </w:rPr>
              <w:t>2026</w:t>
            </w:r>
          </w:p>
        </w:tc>
        <w:tc>
          <w:tcPr>
            <w:tcW w:w="5272" w:type="dxa"/>
            <w:shd w:val="clear" w:color="auto" w:fill="C6EFCE"/>
            <w:noWrap/>
          </w:tcPr>
          <w:p w14:paraId="53EA58E3" w14:textId="7E79155E" w:rsidR="00D924EA" w:rsidRDefault="00011DE9">
            <w:pPr>
              <w:pStyle w:val="P68B1DB1-Normal21"/>
              <w:spacing w:after="0" w:line="240" w:lineRule="auto"/>
              <w:rPr>
                <w:noProof/>
                <w:kern w:val="0"/>
                <w14:ligatures w14:val="none"/>
              </w:rPr>
            </w:pPr>
            <w:r>
              <w:rPr>
                <w:noProof/>
              </w:rPr>
              <w:t xml:space="preserve">Rapoarte finale care confirmă instalarea a 95 200 </w:t>
            </w:r>
            <w:r>
              <w:rPr>
                <w:noProof/>
                <w:kern w:val="0"/>
                <w14:ligatures w14:val="none"/>
              </w:rPr>
              <w:t>de puncte de</w:t>
            </w:r>
            <w:r>
              <w:rPr>
                <w:noProof/>
              </w:rPr>
              <w:t xml:space="preserve"> încărcare, prezentate de entitățile beneficiare sau de persoane fizice.</w:t>
            </w:r>
          </w:p>
          <w:p w14:paraId="6060EFA1" w14:textId="77777777" w:rsidR="00D924EA" w:rsidRDefault="00D924EA">
            <w:pPr>
              <w:spacing w:after="0" w:line="240" w:lineRule="auto"/>
              <w:rPr>
                <w:rFonts w:ascii="Times New Roman" w:eastAsia="Calibri" w:hAnsi="Times New Roman" w:cs="Arial"/>
                <w:noProof/>
                <w:kern w:val="0"/>
                <w:sz w:val="18"/>
                <w14:ligatures w14:val="none"/>
              </w:rPr>
            </w:pPr>
          </w:p>
        </w:tc>
      </w:tr>
      <w:tr w:rsidR="00D924EA" w14:paraId="268EA945" w14:textId="77777777">
        <w:trPr>
          <w:trHeight w:val="309"/>
          <w:jc w:val="center"/>
        </w:trPr>
        <w:tc>
          <w:tcPr>
            <w:tcW w:w="696" w:type="dxa"/>
            <w:shd w:val="clear" w:color="auto" w:fill="C6EFCE"/>
            <w:noWrap/>
          </w:tcPr>
          <w:p w14:paraId="033E352A" w14:textId="77777777" w:rsidR="00D924EA" w:rsidRDefault="00011DE9">
            <w:pPr>
              <w:pStyle w:val="P68B1DB1-Normal18"/>
              <w:spacing w:after="0" w:line="240" w:lineRule="auto"/>
              <w:jc w:val="center"/>
              <w:rPr>
                <w:rFonts w:cs="Times New Roman"/>
                <w:noProof/>
                <w:szCs w:val="18"/>
              </w:rPr>
            </w:pPr>
            <w:r>
              <w:rPr>
                <w:noProof/>
              </w:rPr>
              <w:t>13</w:t>
            </w:r>
          </w:p>
        </w:tc>
        <w:tc>
          <w:tcPr>
            <w:tcW w:w="835" w:type="dxa"/>
            <w:shd w:val="clear" w:color="auto" w:fill="C6EFCE"/>
            <w:noWrap/>
          </w:tcPr>
          <w:p w14:paraId="048A3FAA" w14:textId="34E7CF24" w:rsidR="00D924EA" w:rsidRDefault="00011DE9">
            <w:pPr>
              <w:pStyle w:val="P68B1DB1-Normal20"/>
              <w:spacing w:after="0" w:line="240" w:lineRule="auto"/>
              <w:jc w:val="center"/>
              <w:rPr>
                <w:rFonts w:eastAsia="MS Mincho" w:cs="Times New Roman"/>
                <w:noProof/>
                <w:kern w:val="0"/>
                <w14:ligatures w14:val="none"/>
              </w:rPr>
            </w:pPr>
            <w:r>
              <w:rPr>
                <w:noProof/>
              </w:rPr>
              <w:t>C1.I2</w:t>
            </w:r>
          </w:p>
        </w:tc>
        <w:tc>
          <w:tcPr>
            <w:tcW w:w="879" w:type="dxa"/>
            <w:shd w:val="clear" w:color="auto" w:fill="C6EFCE"/>
            <w:noWrap/>
          </w:tcPr>
          <w:p w14:paraId="46B91819" w14:textId="51B15DEC" w:rsidR="00D924EA" w:rsidRDefault="00011DE9">
            <w:pPr>
              <w:pStyle w:val="P68B1DB1-Normal18"/>
              <w:spacing w:after="0" w:line="240" w:lineRule="auto"/>
              <w:jc w:val="center"/>
              <w:rPr>
                <w:rFonts w:cs="Times New Roman"/>
                <w:noProof/>
                <w:szCs w:val="18"/>
              </w:rPr>
            </w:pPr>
            <w:r>
              <w:rPr>
                <w:noProof/>
              </w:rPr>
              <w:t>M</w:t>
            </w:r>
          </w:p>
        </w:tc>
        <w:tc>
          <w:tcPr>
            <w:tcW w:w="2263" w:type="dxa"/>
            <w:shd w:val="clear" w:color="auto" w:fill="C6EFCE"/>
            <w:noWrap/>
          </w:tcPr>
          <w:p w14:paraId="45DE43E6" w14:textId="77777777" w:rsidR="00D924EA" w:rsidRDefault="00011DE9">
            <w:pPr>
              <w:pStyle w:val="P68B1DB1-Normal18"/>
              <w:spacing w:after="0" w:line="240" w:lineRule="auto"/>
              <w:rPr>
                <w:rFonts w:cs="Times New Roman"/>
                <w:noProof/>
                <w:szCs w:val="18"/>
              </w:rPr>
            </w:pPr>
            <w:r>
              <w:rPr>
                <w:noProof/>
              </w:rPr>
              <w:t xml:space="preserve">Proiecte inovatoare de promovare a electromobilității </w:t>
            </w:r>
          </w:p>
        </w:tc>
        <w:tc>
          <w:tcPr>
            <w:tcW w:w="1716" w:type="dxa"/>
            <w:shd w:val="clear" w:color="auto" w:fill="C6EFCE"/>
            <w:noWrap/>
          </w:tcPr>
          <w:p w14:paraId="7ADF9FD9" w14:textId="77777777" w:rsidR="00D924EA" w:rsidRDefault="00011DE9">
            <w:pPr>
              <w:pStyle w:val="P68B1DB1-Normal18"/>
              <w:spacing w:after="0" w:line="240" w:lineRule="auto"/>
              <w:rPr>
                <w:rFonts w:cs="Times New Roman"/>
                <w:noProof/>
                <w:szCs w:val="18"/>
              </w:rPr>
            </w:pPr>
            <w:r>
              <w:rPr>
                <w:noProof/>
              </w:rPr>
              <w:t>Rapoarte finale</w:t>
            </w:r>
          </w:p>
        </w:tc>
        <w:tc>
          <w:tcPr>
            <w:tcW w:w="834" w:type="dxa"/>
            <w:shd w:val="clear" w:color="auto" w:fill="C6EFCE"/>
            <w:noWrap/>
          </w:tcPr>
          <w:p w14:paraId="70044B1B" w14:textId="77777777" w:rsidR="00D924EA" w:rsidRDefault="00D924EA">
            <w:pPr>
              <w:spacing w:after="0" w:line="240" w:lineRule="auto"/>
              <w:rPr>
                <w:rFonts w:ascii="Times New Roman" w:eastAsia="MS Mincho" w:hAnsi="Times New Roman" w:cs="Times New Roman"/>
                <w:noProof/>
                <w:kern w:val="0"/>
                <w:sz w:val="18"/>
                <w:szCs w:val="18"/>
                <w14:ligatures w14:val="none"/>
              </w:rPr>
            </w:pPr>
          </w:p>
        </w:tc>
        <w:tc>
          <w:tcPr>
            <w:tcW w:w="972" w:type="dxa"/>
            <w:shd w:val="clear" w:color="auto" w:fill="C6EFCE"/>
            <w:noWrap/>
          </w:tcPr>
          <w:p w14:paraId="6FC22DA3" w14:textId="1C6CF70F" w:rsidR="00D924EA" w:rsidRDefault="00D924EA">
            <w:pPr>
              <w:spacing w:after="0" w:line="240" w:lineRule="auto"/>
              <w:jc w:val="right"/>
              <w:rPr>
                <w:rFonts w:ascii="Times New Roman" w:eastAsia="MS Mincho" w:hAnsi="Times New Roman" w:cs="Times New Roman"/>
                <w:noProof/>
                <w:kern w:val="0"/>
                <w:sz w:val="18"/>
                <w:szCs w:val="18"/>
                <w14:ligatures w14:val="none"/>
              </w:rPr>
            </w:pPr>
          </w:p>
        </w:tc>
        <w:tc>
          <w:tcPr>
            <w:tcW w:w="728" w:type="dxa"/>
            <w:shd w:val="clear" w:color="auto" w:fill="C6EFCE"/>
            <w:noWrap/>
          </w:tcPr>
          <w:p w14:paraId="075DB689" w14:textId="1B4EC980" w:rsidR="00D924EA" w:rsidRDefault="00D924EA">
            <w:pPr>
              <w:spacing w:after="0" w:line="240" w:lineRule="auto"/>
              <w:jc w:val="right"/>
              <w:rPr>
                <w:rFonts w:ascii="Times New Roman" w:eastAsia="MS Mincho" w:hAnsi="Times New Roman" w:cs="Times New Roman"/>
                <w:noProof/>
                <w:kern w:val="0"/>
                <w:sz w:val="18"/>
                <w:szCs w:val="18"/>
                <w14:ligatures w14:val="none"/>
              </w:rPr>
            </w:pPr>
          </w:p>
        </w:tc>
        <w:tc>
          <w:tcPr>
            <w:tcW w:w="417" w:type="dxa"/>
            <w:shd w:val="clear" w:color="auto" w:fill="C6EFCE"/>
            <w:noWrap/>
          </w:tcPr>
          <w:p w14:paraId="31306409" w14:textId="4BA02EA4" w:rsidR="00D924EA" w:rsidRDefault="005701C9">
            <w:pPr>
              <w:pStyle w:val="P68B1DB1-Normal18"/>
              <w:spacing w:after="0" w:line="240" w:lineRule="auto"/>
              <w:jc w:val="center"/>
              <w:rPr>
                <w:rFonts w:cs="Times New Roman"/>
                <w:noProof/>
                <w:szCs w:val="18"/>
              </w:rPr>
            </w:pPr>
            <w:r>
              <w:rPr>
                <w:noProof/>
              </w:rPr>
              <w:t>T4</w:t>
            </w:r>
          </w:p>
        </w:tc>
        <w:tc>
          <w:tcPr>
            <w:tcW w:w="556" w:type="dxa"/>
            <w:shd w:val="clear" w:color="auto" w:fill="C6EFCE"/>
            <w:noWrap/>
          </w:tcPr>
          <w:p w14:paraId="287A84F0" w14:textId="77777777" w:rsidR="00D924EA" w:rsidRDefault="00011DE9">
            <w:pPr>
              <w:pStyle w:val="P68B1DB1-Normal18"/>
              <w:spacing w:after="0" w:line="240" w:lineRule="auto"/>
              <w:jc w:val="center"/>
              <w:rPr>
                <w:rFonts w:cs="Times New Roman"/>
                <w:noProof/>
                <w:szCs w:val="18"/>
              </w:rPr>
            </w:pPr>
            <w:r>
              <w:rPr>
                <w:noProof/>
              </w:rPr>
              <w:t>2025</w:t>
            </w:r>
          </w:p>
        </w:tc>
        <w:tc>
          <w:tcPr>
            <w:tcW w:w="5272" w:type="dxa"/>
            <w:shd w:val="clear" w:color="auto" w:fill="C6EFCE"/>
            <w:noWrap/>
          </w:tcPr>
          <w:p w14:paraId="6FB24F07" w14:textId="054A537A" w:rsidR="00D924EA" w:rsidRDefault="00011DE9">
            <w:pPr>
              <w:pStyle w:val="P68B1DB1-Normal22"/>
              <w:spacing w:after="0" w:line="240" w:lineRule="auto"/>
              <w:rPr>
                <w:rFonts w:cs="Times New Roman"/>
                <w:noProof/>
              </w:rPr>
            </w:pPr>
            <w:r>
              <w:rPr>
                <w:noProof/>
              </w:rPr>
              <w:t xml:space="preserve">Entitățile beneficiare sau persoanele fizice au prezentat 85 rapoarte finale care confirmă finalizarea activităților atribuite pentru granturi legate de proiecte inovatoare în cadrul programului de sprijin pentru proiecte de inovare în domeniul electromobilității (MOVES Singulares II). </w:t>
            </w:r>
          </w:p>
        </w:tc>
      </w:tr>
      <w:tr w:rsidR="00D924EA" w14:paraId="470DDBAA" w14:textId="77777777">
        <w:trPr>
          <w:trHeight w:val="309"/>
          <w:jc w:val="center"/>
        </w:trPr>
        <w:tc>
          <w:tcPr>
            <w:tcW w:w="696" w:type="dxa"/>
            <w:shd w:val="clear" w:color="auto" w:fill="C6EFCE"/>
            <w:noWrap/>
          </w:tcPr>
          <w:p w14:paraId="4A007AEE" w14:textId="77777777" w:rsidR="00D924EA" w:rsidRDefault="00011DE9">
            <w:pPr>
              <w:pStyle w:val="P68B1DB1-Normal18"/>
              <w:spacing w:after="0" w:line="240" w:lineRule="auto"/>
              <w:jc w:val="center"/>
              <w:rPr>
                <w:rFonts w:cs="Times New Roman"/>
                <w:noProof/>
                <w:szCs w:val="18"/>
              </w:rPr>
            </w:pPr>
            <w:r>
              <w:rPr>
                <w:noProof/>
              </w:rPr>
              <w:t>14</w:t>
            </w:r>
          </w:p>
        </w:tc>
        <w:tc>
          <w:tcPr>
            <w:tcW w:w="835" w:type="dxa"/>
            <w:shd w:val="clear" w:color="auto" w:fill="C6EFCE"/>
            <w:noWrap/>
          </w:tcPr>
          <w:p w14:paraId="0F78E584" w14:textId="77777777" w:rsidR="00D924EA" w:rsidRDefault="00011DE9">
            <w:pPr>
              <w:pStyle w:val="P68B1DB1-Normal18"/>
              <w:spacing w:after="0" w:line="240" w:lineRule="auto"/>
              <w:jc w:val="center"/>
              <w:rPr>
                <w:rFonts w:eastAsia="MS Mincho" w:cs="Times New Roman"/>
                <w:noProof/>
                <w:szCs w:val="18"/>
              </w:rPr>
            </w:pPr>
            <w:r>
              <w:rPr>
                <w:noProof/>
              </w:rPr>
              <w:t>C1.I3</w:t>
            </w:r>
          </w:p>
        </w:tc>
        <w:tc>
          <w:tcPr>
            <w:tcW w:w="879" w:type="dxa"/>
            <w:shd w:val="clear" w:color="auto" w:fill="C6EFCE"/>
            <w:noWrap/>
          </w:tcPr>
          <w:p w14:paraId="2C099F65" w14:textId="77777777" w:rsidR="00D924EA" w:rsidRDefault="00011DE9">
            <w:pPr>
              <w:pStyle w:val="P68B1DB1-Normal18"/>
              <w:spacing w:after="0" w:line="240" w:lineRule="auto"/>
              <w:jc w:val="center"/>
              <w:rPr>
                <w:rFonts w:cs="Times New Roman"/>
                <w:noProof/>
                <w:szCs w:val="18"/>
              </w:rPr>
            </w:pPr>
            <w:r>
              <w:rPr>
                <w:noProof/>
              </w:rPr>
              <w:t>T</w:t>
            </w:r>
          </w:p>
        </w:tc>
        <w:tc>
          <w:tcPr>
            <w:tcW w:w="2263" w:type="dxa"/>
            <w:shd w:val="clear" w:color="auto" w:fill="C6EFCE"/>
            <w:noWrap/>
          </w:tcPr>
          <w:p w14:paraId="0834A024" w14:textId="77777777" w:rsidR="00D924EA" w:rsidRDefault="00011DE9">
            <w:pPr>
              <w:pStyle w:val="P68B1DB1-Normal18"/>
              <w:spacing w:after="0" w:line="240" w:lineRule="auto"/>
              <w:rPr>
                <w:rFonts w:cs="Times New Roman"/>
                <w:noProof/>
                <w:szCs w:val="18"/>
              </w:rPr>
            </w:pPr>
            <w:r>
              <w:rPr>
                <w:noProof/>
              </w:rPr>
              <w:t>Modernizarea liniilor de cale ferată pe distanțe scurte</w:t>
            </w:r>
          </w:p>
        </w:tc>
        <w:tc>
          <w:tcPr>
            <w:tcW w:w="1716" w:type="dxa"/>
            <w:shd w:val="clear" w:color="auto" w:fill="C6EFCE"/>
            <w:noWrap/>
          </w:tcPr>
          <w:p w14:paraId="65F02C43" w14:textId="77777777" w:rsidR="00D924EA" w:rsidRDefault="00011DE9">
            <w:pPr>
              <w:pStyle w:val="P68B1DB1-Normal18"/>
              <w:spacing w:after="0" w:line="240" w:lineRule="auto"/>
              <w:rPr>
                <w:rFonts w:cs="Times New Roman"/>
                <w:noProof/>
                <w:szCs w:val="18"/>
              </w:rPr>
            </w:pPr>
            <w:r>
              <w:rPr>
                <w:noProof/>
              </w:rPr>
              <w:t xml:space="preserve"> </w:t>
            </w:r>
          </w:p>
        </w:tc>
        <w:tc>
          <w:tcPr>
            <w:tcW w:w="834" w:type="dxa"/>
            <w:shd w:val="clear" w:color="auto" w:fill="C6EFCE"/>
            <w:noWrap/>
          </w:tcPr>
          <w:p w14:paraId="49DF0678" w14:textId="77777777" w:rsidR="00D924EA" w:rsidRDefault="00011DE9">
            <w:pPr>
              <w:pStyle w:val="P68B1DB1-Normal18"/>
              <w:spacing w:after="0" w:line="240" w:lineRule="auto"/>
              <w:rPr>
                <w:rFonts w:eastAsia="MS Mincho" w:cs="Times New Roman"/>
                <w:noProof/>
                <w:szCs w:val="18"/>
              </w:rPr>
            </w:pPr>
            <w:r>
              <w:rPr>
                <w:noProof/>
              </w:rPr>
              <w:t>Număr (km)</w:t>
            </w:r>
          </w:p>
        </w:tc>
        <w:tc>
          <w:tcPr>
            <w:tcW w:w="972" w:type="dxa"/>
            <w:shd w:val="clear" w:color="auto" w:fill="C6EFCE"/>
            <w:noWrap/>
          </w:tcPr>
          <w:p w14:paraId="0C07F44D" w14:textId="77777777" w:rsidR="00D924EA" w:rsidRDefault="00011DE9">
            <w:pPr>
              <w:pStyle w:val="P68B1DB1-Normal18"/>
              <w:spacing w:after="0" w:line="240" w:lineRule="auto"/>
              <w:jc w:val="right"/>
              <w:rPr>
                <w:rFonts w:eastAsia="MS Mincho" w:cs="Times New Roman"/>
                <w:noProof/>
                <w:szCs w:val="18"/>
              </w:rPr>
            </w:pPr>
            <w:r>
              <w:rPr>
                <w:noProof/>
              </w:rPr>
              <w:t>0</w:t>
            </w:r>
          </w:p>
        </w:tc>
        <w:tc>
          <w:tcPr>
            <w:tcW w:w="728" w:type="dxa"/>
            <w:shd w:val="clear" w:color="auto" w:fill="C6EFCE"/>
            <w:noWrap/>
          </w:tcPr>
          <w:p w14:paraId="2833E51F" w14:textId="77777777" w:rsidR="00D924EA" w:rsidRDefault="00011DE9">
            <w:pPr>
              <w:pStyle w:val="P68B1DB1-Normal18"/>
              <w:spacing w:after="0" w:line="240" w:lineRule="auto"/>
              <w:jc w:val="right"/>
              <w:rPr>
                <w:rFonts w:eastAsia="MS Mincho" w:cs="Times New Roman"/>
                <w:noProof/>
                <w:szCs w:val="18"/>
              </w:rPr>
            </w:pPr>
            <w:r>
              <w:rPr>
                <w:noProof/>
              </w:rPr>
              <w:t>200</w:t>
            </w:r>
          </w:p>
        </w:tc>
        <w:tc>
          <w:tcPr>
            <w:tcW w:w="417" w:type="dxa"/>
            <w:shd w:val="clear" w:color="auto" w:fill="C6EFCE"/>
            <w:noWrap/>
          </w:tcPr>
          <w:p w14:paraId="69E9A41C" w14:textId="2CF06AEE" w:rsidR="00D924EA" w:rsidRDefault="005701C9">
            <w:pPr>
              <w:pStyle w:val="P68B1DB1-Normal18"/>
              <w:spacing w:after="0" w:line="240" w:lineRule="auto"/>
              <w:jc w:val="center"/>
              <w:rPr>
                <w:rFonts w:cs="Times New Roman"/>
                <w:noProof/>
                <w:szCs w:val="18"/>
              </w:rPr>
            </w:pPr>
            <w:r>
              <w:rPr>
                <w:noProof/>
              </w:rPr>
              <w:t>T</w:t>
            </w:r>
            <w:r w:rsidR="00011DE9">
              <w:rPr>
                <w:noProof/>
              </w:rPr>
              <w:t>2</w:t>
            </w:r>
          </w:p>
        </w:tc>
        <w:tc>
          <w:tcPr>
            <w:tcW w:w="556" w:type="dxa"/>
            <w:shd w:val="clear" w:color="auto" w:fill="C6EFCE"/>
            <w:noWrap/>
          </w:tcPr>
          <w:p w14:paraId="4349BBCF" w14:textId="77777777" w:rsidR="00D924EA" w:rsidRDefault="00011DE9">
            <w:pPr>
              <w:pStyle w:val="P68B1DB1-Normal18"/>
              <w:spacing w:after="0" w:line="240" w:lineRule="auto"/>
              <w:jc w:val="center"/>
              <w:rPr>
                <w:rFonts w:cs="Times New Roman"/>
                <w:noProof/>
                <w:szCs w:val="18"/>
              </w:rPr>
            </w:pPr>
            <w:r>
              <w:rPr>
                <w:noProof/>
              </w:rPr>
              <w:t>2023</w:t>
            </w:r>
          </w:p>
        </w:tc>
        <w:tc>
          <w:tcPr>
            <w:tcW w:w="5272" w:type="dxa"/>
            <w:shd w:val="clear" w:color="auto" w:fill="C6EFCE"/>
            <w:noWrap/>
          </w:tcPr>
          <w:p w14:paraId="7EB6D4C7" w14:textId="77777777" w:rsidR="00D924EA" w:rsidRDefault="00011DE9">
            <w:pPr>
              <w:pStyle w:val="P68B1DB1-Normal18"/>
              <w:spacing w:after="0" w:line="240" w:lineRule="auto"/>
              <w:rPr>
                <w:rFonts w:cs="Times New Roman"/>
                <w:noProof/>
                <w:szCs w:val="18"/>
              </w:rPr>
            </w:pPr>
            <w:r>
              <w:rPr>
                <w:noProof/>
              </w:rPr>
              <w:t xml:space="preserve">Modernizarea a cel puțin 200 km de linii de cale ferată pe distanțe scurte. Intervențiile pot include, fără a se limita la acestea, oricare dintre următoarele: Reînnoirea peronului sau a căii ferate sau îmbunătățirea instalațiilor de electrificare sau de securitate și comunicații/semnalizare </w:t>
            </w:r>
            <w:r>
              <w:rPr>
                <w:noProof/>
                <w:color w:val="000000"/>
              </w:rPr>
              <w:t>sau a sistemelor de siguranță</w:t>
            </w:r>
            <w:r>
              <w:rPr>
                <w:noProof/>
              </w:rPr>
              <w:t xml:space="preserve"> și se implementează pe teritoriul național.</w:t>
            </w:r>
          </w:p>
        </w:tc>
      </w:tr>
      <w:tr w:rsidR="00D924EA" w14:paraId="6DD2CF99" w14:textId="77777777">
        <w:trPr>
          <w:trHeight w:val="309"/>
          <w:jc w:val="center"/>
        </w:trPr>
        <w:tc>
          <w:tcPr>
            <w:tcW w:w="696" w:type="dxa"/>
            <w:shd w:val="clear" w:color="auto" w:fill="C6EFCE"/>
            <w:noWrap/>
          </w:tcPr>
          <w:p w14:paraId="79B0EEE2" w14:textId="77777777" w:rsidR="00D924EA" w:rsidRDefault="00011DE9">
            <w:pPr>
              <w:pStyle w:val="P68B1DB1-Normal18"/>
              <w:spacing w:after="0" w:line="240" w:lineRule="auto"/>
              <w:jc w:val="center"/>
              <w:rPr>
                <w:rFonts w:cs="Times New Roman"/>
                <w:noProof/>
                <w:szCs w:val="18"/>
              </w:rPr>
            </w:pPr>
            <w:r>
              <w:rPr>
                <w:noProof/>
              </w:rPr>
              <w:t>15</w:t>
            </w:r>
          </w:p>
        </w:tc>
        <w:tc>
          <w:tcPr>
            <w:tcW w:w="835" w:type="dxa"/>
            <w:shd w:val="clear" w:color="auto" w:fill="C6EFCE"/>
            <w:noWrap/>
          </w:tcPr>
          <w:p w14:paraId="13C9440C" w14:textId="77777777" w:rsidR="00D924EA" w:rsidRDefault="00011DE9">
            <w:pPr>
              <w:pStyle w:val="P68B1DB1-Normal18"/>
              <w:spacing w:after="0" w:line="240" w:lineRule="auto"/>
              <w:jc w:val="center"/>
              <w:rPr>
                <w:rFonts w:eastAsia="MS Mincho" w:cs="Times New Roman"/>
                <w:noProof/>
                <w:szCs w:val="18"/>
              </w:rPr>
            </w:pPr>
            <w:r>
              <w:rPr>
                <w:noProof/>
              </w:rPr>
              <w:t>C1.I3</w:t>
            </w:r>
          </w:p>
        </w:tc>
        <w:tc>
          <w:tcPr>
            <w:tcW w:w="879" w:type="dxa"/>
            <w:shd w:val="clear" w:color="auto" w:fill="C6EFCE"/>
            <w:noWrap/>
          </w:tcPr>
          <w:p w14:paraId="2B444239" w14:textId="77777777" w:rsidR="00D924EA" w:rsidRDefault="00011DE9">
            <w:pPr>
              <w:pStyle w:val="P68B1DB1-Normal18"/>
              <w:spacing w:after="0" w:line="240" w:lineRule="auto"/>
              <w:jc w:val="center"/>
              <w:rPr>
                <w:rFonts w:cs="Times New Roman"/>
                <w:noProof/>
                <w:szCs w:val="18"/>
              </w:rPr>
            </w:pPr>
            <w:r>
              <w:rPr>
                <w:noProof/>
              </w:rPr>
              <w:t>T</w:t>
            </w:r>
          </w:p>
        </w:tc>
        <w:tc>
          <w:tcPr>
            <w:tcW w:w="2263" w:type="dxa"/>
            <w:shd w:val="clear" w:color="auto" w:fill="C6EFCE"/>
            <w:noWrap/>
          </w:tcPr>
          <w:p w14:paraId="74AD5195" w14:textId="77777777" w:rsidR="00D924EA" w:rsidRDefault="00011DE9">
            <w:pPr>
              <w:pStyle w:val="P68B1DB1-Normal18"/>
              <w:spacing w:after="0" w:line="240" w:lineRule="auto"/>
              <w:rPr>
                <w:rFonts w:cs="Times New Roman"/>
                <w:noProof/>
                <w:szCs w:val="18"/>
              </w:rPr>
            </w:pPr>
            <w:r>
              <w:rPr>
                <w:noProof/>
              </w:rPr>
              <w:t xml:space="preserve">Stații îmbunătățite odată cu digitalizarea </w:t>
            </w:r>
          </w:p>
        </w:tc>
        <w:tc>
          <w:tcPr>
            <w:tcW w:w="1716" w:type="dxa"/>
            <w:shd w:val="clear" w:color="auto" w:fill="C6EFCE"/>
            <w:noWrap/>
          </w:tcPr>
          <w:p w14:paraId="381FA8E8" w14:textId="77777777" w:rsidR="00D924EA" w:rsidRDefault="00011DE9">
            <w:pPr>
              <w:pStyle w:val="P68B1DB1-Normal18"/>
              <w:spacing w:after="0" w:line="240" w:lineRule="auto"/>
              <w:rPr>
                <w:rFonts w:cs="Times New Roman"/>
                <w:noProof/>
                <w:szCs w:val="18"/>
              </w:rPr>
            </w:pPr>
            <w:r>
              <w:rPr>
                <w:noProof/>
              </w:rPr>
              <w:t xml:space="preserve"> </w:t>
            </w:r>
          </w:p>
        </w:tc>
        <w:tc>
          <w:tcPr>
            <w:tcW w:w="834" w:type="dxa"/>
            <w:shd w:val="clear" w:color="auto" w:fill="C6EFCE"/>
            <w:noWrap/>
          </w:tcPr>
          <w:p w14:paraId="319F95CA" w14:textId="77777777" w:rsidR="00D924EA" w:rsidRDefault="00011DE9">
            <w:pPr>
              <w:pStyle w:val="P68B1DB1-Normal18"/>
              <w:spacing w:after="0" w:line="240" w:lineRule="auto"/>
              <w:rPr>
                <w:rFonts w:eastAsia="MS Mincho" w:cs="Times New Roman"/>
                <w:noProof/>
                <w:szCs w:val="18"/>
              </w:rPr>
            </w:pPr>
            <w:r>
              <w:rPr>
                <w:noProof/>
              </w:rPr>
              <w:t>Număr</w:t>
            </w:r>
          </w:p>
        </w:tc>
        <w:tc>
          <w:tcPr>
            <w:tcW w:w="972" w:type="dxa"/>
            <w:shd w:val="clear" w:color="auto" w:fill="C6EFCE"/>
            <w:noWrap/>
          </w:tcPr>
          <w:p w14:paraId="52422120" w14:textId="77777777" w:rsidR="00D924EA" w:rsidRDefault="00011DE9">
            <w:pPr>
              <w:pStyle w:val="P68B1DB1-Normal18"/>
              <w:spacing w:after="0" w:line="240" w:lineRule="auto"/>
              <w:jc w:val="right"/>
              <w:rPr>
                <w:rFonts w:eastAsia="MS Mincho" w:cs="Times New Roman"/>
                <w:noProof/>
                <w:szCs w:val="18"/>
              </w:rPr>
            </w:pPr>
            <w:r>
              <w:rPr>
                <w:noProof/>
              </w:rPr>
              <w:t>0</w:t>
            </w:r>
          </w:p>
        </w:tc>
        <w:tc>
          <w:tcPr>
            <w:tcW w:w="728" w:type="dxa"/>
            <w:shd w:val="clear" w:color="auto" w:fill="C6EFCE"/>
            <w:noWrap/>
          </w:tcPr>
          <w:p w14:paraId="4DFDB20C" w14:textId="77777777" w:rsidR="00D924EA" w:rsidRDefault="00011DE9">
            <w:pPr>
              <w:pStyle w:val="P68B1DB1-Normal18"/>
              <w:spacing w:after="0" w:line="240" w:lineRule="auto"/>
              <w:jc w:val="right"/>
              <w:rPr>
                <w:rFonts w:eastAsia="MS Mincho" w:cs="Times New Roman"/>
                <w:noProof/>
                <w:szCs w:val="18"/>
              </w:rPr>
            </w:pPr>
            <w:r>
              <w:rPr>
                <w:noProof/>
              </w:rPr>
              <w:t>420</w:t>
            </w:r>
          </w:p>
        </w:tc>
        <w:tc>
          <w:tcPr>
            <w:tcW w:w="417" w:type="dxa"/>
            <w:shd w:val="clear" w:color="auto" w:fill="C6EFCE"/>
            <w:noWrap/>
          </w:tcPr>
          <w:p w14:paraId="18A46601" w14:textId="0B9D91ED" w:rsidR="00D924EA" w:rsidRDefault="005701C9">
            <w:pPr>
              <w:pStyle w:val="P68B1DB1-Normal18"/>
              <w:spacing w:after="0" w:line="240" w:lineRule="auto"/>
              <w:jc w:val="center"/>
              <w:rPr>
                <w:rFonts w:cs="Times New Roman"/>
                <w:noProof/>
                <w:szCs w:val="18"/>
              </w:rPr>
            </w:pPr>
            <w:r>
              <w:rPr>
                <w:noProof/>
              </w:rPr>
              <w:t>T</w:t>
            </w:r>
            <w:r w:rsidR="00011DE9">
              <w:rPr>
                <w:noProof/>
              </w:rPr>
              <w:t>2</w:t>
            </w:r>
          </w:p>
        </w:tc>
        <w:tc>
          <w:tcPr>
            <w:tcW w:w="556" w:type="dxa"/>
            <w:shd w:val="clear" w:color="auto" w:fill="C6EFCE"/>
            <w:noWrap/>
          </w:tcPr>
          <w:p w14:paraId="75EA0090" w14:textId="77777777" w:rsidR="00D924EA" w:rsidRDefault="00011DE9">
            <w:pPr>
              <w:pStyle w:val="P68B1DB1-Normal18"/>
              <w:spacing w:after="0" w:line="240" w:lineRule="auto"/>
              <w:jc w:val="center"/>
              <w:rPr>
                <w:rFonts w:cs="Times New Roman"/>
                <w:noProof/>
                <w:szCs w:val="18"/>
              </w:rPr>
            </w:pPr>
            <w:r>
              <w:rPr>
                <w:noProof/>
              </w:rPr>
              <w:t>2023</w:t>
            </w:r>
          </w:p>
        </w:tc>
        <w:tc>
          <w:tcPr>
            <w:tcW w:w="5272" w:type="dxa"/>
            <w:shd w:val="clear" w:color="auto" w:fill="C6EFCE"/>
            <w:noWrap/>
          </w:tcPr>
          <w:p w14:paraId="2D248A1A" w14:textId="4E560DF3" w:rsidR="00D924EA" w:rsidRDefault="00011DE9">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Cel puțin 420 stații s-au îmbunătățit cu toate proiectele dezvoltate de RENFE sau cu unele dintre acestea în calitate de operator SPO, enumerate în continuare:</w:t>
            </w:r>
            <w:r w:rsidR="00971820">
              <w:rPr>
                <w:rFonts w:ascii="Times New Roman" w:eastAsia="Calibri" w:hAnsi="Times New Roman" w:cs="Arial"/>
                <w:noProof/>
                <w:sz w:val="18"/>
              </w:rPr>
              <w:t xml:space="preserve">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Digitalizarea sistemelor de securitate în stații (cum ar fi analiza video inteligentă, securitatea cibernetică și controlul fraudelor)</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Sisteme de informare a pasagerilor</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Îmbunătățirea controlului accesului în stații</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Proiecte privind distribuitoarele automate de bilete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 Adaptarea facilităților </w:t>
            </w:r>
          </w:p>
        </w:tc>
      </w:tr>
      <w:tr w:rsidR="00D924EA" w14:paraId="11303748" w14:textId="77777777">
        <w:trPr>
          <w:trHeight w:val="309"/>
          <w:jc w:val="center"/>
        </w:trPr>
        <w:tc>
          <w:tcPr>
            <w:tcW w:w="696" w:type="dxa"/>
            <w:shd w:val="clear" w:color="auto" w:fill="C6EFCE"/>
            <w:noWrap/>
          </w:tcPr>
          <w:p w14:paraId="4B731DB6" w14:textId="77777777" w:rsidR="00D924EA" w:rsidRDefault="00011DE9">
            <w:pPr>
              <w:pStyle w:val="P68B1DB1-Normal18"/>
              <w:spacing w:after="0" w:line="240" w:lineRule="auto"/>
              <w:jc w:val="center"/>
              <w:rPr>
                <w:rFonts w:cs="Times New Roman"/>
                <w:noProof/>
                <w:szCs w:val="18"/>
              </w:rPr>
            </w:pPr>
            <w:r>
              <w:rPr>
                <w:noProof/>
              </w:rPr>
              <w:t>16</w:t>
            </w:r>
          </w:p>
        </w:tc>
        <w:tc>
          <w:tcPr>
            <w:tcW w:w="835" w:type="dxa"/>
            <w:shd w:val="clear" w:color="auto" w:fill="C6EFCE"/>
            <w:noWrap/>
          </w:tcPr>
          <w:p w14:paraId="1A47B625" w14:textId="77777777" w:rsidR="00D924EA" w:rsidRDefault="00011DE9">
            <w:pPr>
              <w:pStyle w:val="P68B1DB1-Normal18"/>
              <w:spacing w:after="0" w:line="240" w:lineRule="auto"/>
              <w:jc w:val="center"/>
              <w:rPr>
                <w:rFonts w:eastAsia="MS Mincho" w:cs="Times New Roman"/>
                <w:noProof/>
                <w:szCs w:val="18"/>
              </w:rPr>
            </w:pPr>
            <w:r>
              <w:rPr>
                <w:noProof/>
              </w:rPr>
              <w:t>C1.I3</w:t>
            </w:r>
          </w:p>
        </w:tc>
        <w:tc>
          <w:tcPr>
            <w:tcW w:w="879" w:type="dxa"/>
            <w:shd w:val="clear" w:color="auto" w:fill="C6EFCE"/>
            <w:noWrap/>
          </w:tcPr>
          <w:p w14:paraId="4C2379EA" w14:textId="77777777" w:rsidR="00D924EA" w:rsidRDefault="00011DE9">
            <w:pPr>
              <w:pStyle w:val="P68B1DB1-Normal18"/>
              <w:spacing w:after="0" w:line="240" w:lineRule="auto"/>
              <w:jc w:val="center"/>
              <w:rPr>
                <w:rFonts w:cs="Times New Roman"/>
                <w:noProof/>
                <w:szCs w:val="18"/>
              </w:rPr>
            </w:pPr>
            <w:r>
              <w:rPr>
                <w:noProof/>
              </w:rPr>
              <w:t>T</w:t>
            </w:r>
          </w:p>
        </w:tc>
        <w:tc>
          <w:tcPr>
            <w:tcW w:w="2263" w:type="dxa"/>
            <w:shd w:val="clear" w:color="auto" w:fill="C6EFCE"/>
            <w:noWrap/>
          </w:tcPr>
          <w:p w14:paraId="0808E2FF" w14:textId="77777777" w:rsidR="00D924EA" w:rsidRDefault="00011DE9">
            <w:pPr>
              <w:pStyle w:val="P68B1DB1-Normal18"/>
              <w:spacing w:after="0" w:line="240" w:lineRule="auto"/>
              <w:rPr>
                <w:rFonts w:cs="Times New Roman"/>
                <w:noProof/>
                <w:szCs w:val="18"/>
              </w:rPr>
            </w:pPr>
            <w:r>
              <w:rPr>
                <w:noProof/>
              </w:rPr>
              <w:t xml:space="preserve">Stații de cale ferată îmbunătățite sau noi pe distanțe scurte </w:t>
            </w:r>
          </w:p>
        </w:tc>
        <w:tc>
          <w:tcPr>
            <w:tcW w:w="1716" w:type="dxa"/>
            <w:shd w:val="clear" w:color="auto" w:fill="C6EFCE"/>
            <w:noWrap/>
          </w:tcPr>
          <w:p w14:paraId="57F91412" w14:textId="77777777" w:rsidR="00D924EA" w:rsidRDefault="00011DE9">
            <w:pPr>
              <w:pStyle w:val="P68B1DB1-Normal18"/>
              <w:spacing w:after="0" w:line="240" w:lineRule="auto"/>
              <w:rPr>
                <w:rFonts w:cs="Times New Roman"/>
                <w:noProof/>
                <w:szCs w:val="18"/>
              </w:rPr>
            </w:pPr>
            <w:r>
              <w:rPr>
                <w:noProof/>
              </w:rPr>
              <w:t xml:space="preserve"> </w:t>
            </w:r>
          </w:p>
        </w:tc>
        <w:tc>
          <w:tcPr>
            <w:tcW w:w="834" w:type="dxa"/>
            <w:shd w:val="clear" w:color="auto" w:fill="C6EFCE"/>
            <w:noWrap/>
          </w:tcPr>
          <w:p w14:paraId="0983E2AA" w14:textId="77777777" w:rsidR="00D924EA" w:rsidRDefault="00011DE9">
            <w:pPr>
              <w:pStyle w:val="P68B1DB1-Normal18"/>
              <w:spacing w:after="0" w:line="240" w:lineRule="auto"/>
              <w:rPr>
                <w:rFonts w:eastAsia="MS Mincho" w:cs="Times New Roman"/>
                <w:noProof/>
                <w:szCs w:val="18"/>
              </w:rPr>
            </w:pPr>
            <w:r>
              <w:rPr>
                <w:noProof/>
              </w:rPr>
              <w:t>Număr</w:t>
            </w:r>
          </w:p>
        </w:tc>
        <w:tc>
          <w:tcPr>
            <w:tcW w:w="972" w:type="dxa"/>
            <w:shd w:val="clear" w:color="auto" w:fill="C6EFCE"/>
            <w:noWrap/>
          </w:tcPr>
          <w:p w14:paraId="239B4B5B" w14:textId="77777777" w:rsidR="00D924EA" w:rsidRDefault="00011DE9">
            <w:pPr>
              <w:pStyle w:val="P68B1DB1-Normal18"/>
              <w:spacing w:after="0" w:line="240" w:lineRule="auto"/>
              <w:jc w:val="right"/>
              <w:rPr>
                <w:rFonts w:eastAsia="MS Mincho" w:cs="Times New Roman"/>
                <w:noProof/>
                <w:szCs w:val="18"/>
              </w:rPr>
            </w:pPr>
            <w:r>
              <w:rPr>
                <w:noProof/>
              </w:rPr>
              <w:t>0</w:t>
            </w:r>
          </w:p>
        </w:tc>
        <w:tc>
          <w:tcPr>
            <w:tcW w:w="728" w:type="dxa"/>
            <w:shd w:val="clear" w:color="auto" w:fill="C6EFCE"/>
            <w:noWrap/>
          </w:tcPr>
          <w:p w14:paraId="17A6B35C" w14:textId="77777777" w:rsidR="00D924EA" w:rsidRDefault="00011DE9">
            <w:pPr>
              <w:pStyle w:val="P68B1DB1-Normal18"/>
              <w:spacing w:after="0" w:line="240" w:lineRule="auto"/>
              <w:jc w:val="right"/>
              <w:rPr>
                <w:rFonts w:eastAsia="MS Mincho" w:cs="Times New Roman"/>
                <w:noProof/>
                <w:szCs w:val="18"/>
              </w:rPr>
            </w:pPr>
            <w:r>
              <w:rPr>
                <w:noProof/>
              </w:rPr>
              <w:t>20</w:t>
            </w:r>
          </w:p>
        </w:tc>
        <w:tc>
          <w:tcPr>
            <w:tcW w:w="417" w:type="dxa"/>
            <w:shd w:val="clear" w:color="auto" w:fill="C6EFCE"/>
            <w:noWrap/>
          </w:tcPr>
          <w:p w14:paraId="713B86F8" w14:textId="44CB7621" w:rsidR="00D924EA" w:rsidRDefault="005701C9">
            <w:pPr>
              <w:pStyle w:val="P68B1DB1-Normal18"/>
              <w:spacing w:after="0" w:line="240" w:lineRule="auto"/>
              <w:jc w:val="center"/>
              <w:rPr>
                <w:rFonts w:cs="Times New Roman"/>
                <w:noProof/>
                <w:szCs w:val="18"/>
              </w:rPr>
            </w:pPr>
            <w:r>
              <w:rPr>
                <w:noProof/>
              </w:rPr>
              <w:t>T</w:t>
            </w:r>
            <w:r w:rsidR="00011DE9">
              <w:rPr>
                <w:noProof/>
              </w:rPr>
              <w:t>2</w:t>
            </w:r>
          </w:p>
        </w:tc>
        <w:tc>
          <w:tcPr>
            <w:tcW w:w="556" w:type="dxa"/>
            <w:shd w:val="clear" w:color="auto" w:fill="C6EFCE"/>
            <w:noWrap/>
          </w:tcPr>
          <w:p w14:paraId="13B5BAED" w14:textId="77777777" w:rsidR="00D924EA" w:rsidRDefault="00011DE9">
            <w:pPr>
              <w:pStyle w:val="P68B1DB1-Normal18"/>
              <w:spacing w:after="0" w:line="240" w:lineRule="auto"/>
              <w:jc w:val="center"/>
              <w:rPr>
                <w:rFonts w:cs="Times New Roman"/>
                <w:noProof/>
                <w:szCs w:val="18"/>
              </w:rPr>
            </w:pPr>
            <w:r>
              <w:rPr>
                <w:noProof/>
              </w:rPr>
              <w:t>2023</w:t>
            </w:r>
          </w:p>
        </w:tc>
        <w:tc>
          <w:tcPr>
            <w:tcW w:w="5272" w:type="dxa"/>
            <w:shd w:val="clear" w:color="auto" w:fill="C6EFCE"/>
            <w:noWrap/>
          </w:tcPr>
          <w:p w14:paraId="3DD0E00D" w14:textId="77777777" w:rsidR="00D924EA" w:rsidRDefault="00011DE9">
            <w:pPr>
              <w:pStyle w:val="P68B1DB1-Normal18"/>
              <w:spacing w:after="0" w:line="240" w:lineRule="auto"/>
              <w:rPr>
                <w:rFonts w:cs="Times New Roman"/>
                <w:noProof/>
                <w:szCs w:val="18"/>
              </w:rPr>
            </w:pPr>
            <w:r>
              <w:rPr>
                <w:noProof/>
              </w:rPr>
              <w:t>Cel puțin 20 stații de linii de cale ferată pe distanțe scurte îmbunătățite sau nou construite de ADIF/ADIF AV. Lucrările pot include, fără a se limita la acestea, lucrări de accesibilitate, modernizarea clădirilor sau a peroanelor, construirea de gări noi și/sau de linii de cale ferată noi sau renovate.</w:t>
            </w:r>
          </w:p>
        </w:tc>
      </w:tr>
      <w:tr w:rsidR="00D924EA" w14:paraId="3C49BEE6" w14:textId="77777777">
        <w:trPr>
          <w:trHeight w:val="309"/>
          <w:jc w:val="center"/>
        </w:trPr>
        <w:tc>
          <w:tcPr>
            <w:tcW w:w="696" w:type="dxa"/>
            <w:shd w:val="clear" w:color="auto" w:fill="C6EFCE"/>
            <w:noWrap/>
          </w:tcPr>
          <w:p w14:paraId="01C56F7F" w14:textId="77777777" w:rsidR="00D924EA" w:rsidRDefault="00011DE9">
            <w:pPr>
              <w:pStyle w:val="P68B1DB1-Normal18"/>
              <w:spacing w:after="0" w:line="240" w:lineRule="auto"/>
              <w:jc w:val="center"/>
              <w:rPr>
                <w:rFonts w:cs="Times New Roman"/>
                <w:noProof/>
                <w:szCs w:val="18"/>
              </w:rPr>
            </w:pPr>
            <w:r>
              <w:rPr>
                <w:noProof/>
              </w:rPr>
              <w:t>17</w:t>
            </w:r>
          </w:p>
        </w:tc>
        <w:tc>
          <w:tcPr>
            <w:tcW w:w="835" w:type="dxa"/>
            <w:shd w:val="clear" w:color="auto" w:fill="C6EFCE"/>
            <w:noWrap/>
          </w:tcPr>
          <w:p w14:paraId="0E53004E" w14:textId="77777777" w:rsidR="00D924EA" w:rsidRDefault="00011DE9">
            <w:pPr>
              <w:pStyle w:val="P68B1DB1-Normal18"/>
              <w:spacing w:after="0" w:line="240" w:lineRule="auto"/>
              <w:jc w:val="center"/>
              <w:rPr>
                <w:rFonts w:eastAsia="MS Mincho" w:cs="Times New Roman"/>
                <w:noProof/>
                <w:szCs w:val="18"/>
              </w:rPr>
            </w:pPr>
            <w:r>
              <w:rPr>
                <w:noProof/>
              </w:rPr>
              <w:t>C1.I3</w:t>
            </w:r>
          </w:p>
        </w:tc>
        <w:tc>
          <w:tcPr>
            <w:tcW w:w="879" w:type="dxa"/>
            <w:shd w:val="clear" w:color="auto" w:fill="C6EFCE"/>
            <w:noWrap/>
          </w:tcPr>
          <w:p w14:paraId="213F676A" w14:textId="77777777" w:rsidR="00D924EA" w:rsidRDefault="00011DE9">
            <w:pPr>
              <w:pStyle w:val="P68B1DB1-Normal18"/>
              <w:spacing w:after="0" w:line="240" w:lineRule="auto"/>
              <w:jc w:val="center"/>
              <w:rPr>
                <w:rFonts w:cs="Times New Roman"/>
                <w:noProof/>
                <w:szCs w:val="18"/>
              </w:rPr>
            </w:pPr>
            <w:r>
              <w:rPr>
                <w:noProof/>
              </w:rPr>
              <w:t>T</w:t>
            </w:r>
          </w:p>
        </w:tc>
        <w:tc>
          <w:tcPr>
            <w:tcW w:w="2263" w:type="dxa"/>
            <w:shd w:val="clear" w:color="auto" w:fill="C6EFCE"/>
            <w:noWrap/>
          </w:tcPr>
          <w:p w14:paraId="186F0508" w14:textId="77777777" w:rsidR="00D924EA" w:rsidRDefault="00011DE9">
            <w:pPr>
              <w:pStyle w:val="P68B1DB1-Normal18"/>
              <w:spacing w:after="0" w:line="240" w:lineRule="auto"/>
              <w:rPr>
                <w:noProof/>
              </w:rPr>
            </w:pPr>
            <w:r>
              <w:rPr>
                <w:noProof/>
              </w:rPr>
              <w:t xml:space="preserve">Contracte sau alte instrumente juridice atribuite pentru investiții în linii feroviare pe distanțe scurte </w:t>
            </w:r>
          </w:p>
        </w:tc>
        <w:tc>
          <w:tcPr>
            <w:tcW w:w="1716" w:type="dxa"/>
            <w:shd w:val="clear" w:color="auto" w:fill="C6EFCE"/>
            <w:noWrap/>
          </w:tcPr>
          <w:p w14:paraId="7620CE3B" w14:textId="77777777" w:rsidR="00D924EA" w:rsidRDefault="00011DE9">
            <w:pPr>
              <w:pStyle w:val="P68B1DB1-Normal18"/>
              <w:spacing w:after="0" w:line="240" w:lineRule="auto"/>
              <w:rPr>
                <w:noProof/>
              </w:rPr>
            </w:pPr>
            <w:r>
              <w:rPr>
                <w:noProof/>
              </w:rPr>
              <w:t xml:space="preserve"> </w:t>
            </w:r>
          </w:p>
        </w:tc>
        <w:tc>
          <w:tcPr>
            <w:tcW w:w="834" w:type="dxa"/>
            <w:shd w:val="clear" w:color="auto" w:fill="C6EFCE"/>
            <w:noWrap/>
          </w:tcPr>
          <w:p w14:paraId="6394B4D4" w14:textId="77777777" w:rsidR="00D924EA" w:rsidRDefault="00011DE9">
            <w:pPr>
              <w:pStyle w:val="P68B1DB1-Normal18"/>
              <w:spacing w:after="0" w:line="240" w:lineRule="auto"/>
              <w:rPr>
                <w:noProof/>
              </w:rPr>
            </w:pPr>
            <w:r>
              <w:rPr>
                <w:noProof/>
              </w:rPr>
              <w:t>Contract sau alt instrument juridic</w:t>
            </w:r>
          </w:p>
        </w:tc>
        <w:tc>
          <w:tcPr>
            <w:tcW w:w="972" w:type="dxa"/>
            <w:shd w:val="clear" w:color="auto" w:fill="C6EFCE"/>
            <w:noWrap/>
          </w:tcPr>
          <w:p w14:paraId="5AEA0B8C" w14:textId="77777777" w:rsidR="00D924EA" w:rsidRDefault="00011DE9">
            <w:pPr>
              <w:pStyle w:val="P68B1DB1-Normal18"/>
              <w:spacing w:after="0" w:line="240" w:lineRule="auto"/>
              <w:jc w:val="right"/>
              <w:rPr>
                <w:noProof/>
              </w:rPr>
            </w:pPr>
            <w:r>
              <w:rPr>
                <w:noProof/>
              </w:rPr>
              <w:t>0</w:t>
            </w:r>
          </w:p>
        </w:tc>
        <w:tc>
          <w:tcPr>
            <w:tcW w:w="728" w:type="dxa"/>
            <w:shd w:val="clear" w:color="auto" w:fill="C6EFCE"/>
            <w:noWrap/>
          </w:tcPr>
          <w:p w14:paraId="5FC9CE3A" w14:textId="77777777" w:rsidR="00D924EA" w:rsidRDefault="00011DE9">
            <w:pPr>
              <w:pStyle w:val="P68B1DB1-Normal18"/>
              <w:spacing w:after="0" w:line="240" w:lineRule="auto"/>
              <w:jc w:val="right"/>
              <w:rPr>
                <w:noProof/>
              </w:rPr>
            </w:pPr>
            <w:r>
              <w:rPr>
                <w:noProof/>
              </w:rPr>
              <w:t>288</w:t>
            </w:r>
          </w:p>
        </w:tc>
        <w:tc>
          <w:tcPr>
            <w:tcW w:w="417" w:type="dxa"/>
            <w:shd w:val="clear" w:color="auto" w:fill="C6EFCE"/>
            <w:noWrap/>
          </w:tcPr>
          <w:p w14:paraId="5BF97523" w14:textId="55CE9C47" w:rsidR="00D924EA" w:rsidRDefault="005701C9">
            <w:pPr>
              <w:pStyle w:val="P68B1DB1-Normal18"/>
              <w:spacing w:after="0" w:line="240" w:lineRule="auto"/>
              <w:jc w:val="center"/>
              <w:rPr>
                <w:noProof/>
              </w:rPr>
            </w:pPr>
            <w:r>
              <w:rPr>
                <w:noProof/>
              </w:rPr>
              <w:t>T</w:t>
            </w:r>
            <w:r w:rsidR="00011DE9">
              <w:rPr>
                <w:noProof/>
              </w:rPr>
              <w:t>2</w:t>
            </w:r>
          </w:p>
        </w:tc>
        <w:tc>
          <w:tcPr>
            <w:tcW w:w="556" w:type="dxa"/>
            <w:shd w:val="clear" w:color="auto" w:fill="C6EFCE"/>
            <w:noWrap/>
          </w:tcPr>
          <w:p w14:paraId="0C0FB967" w14:textId="77777777" w:rsidR="00D924EA" w:rsidRDefault="00011DE9">
            <w:pPr>
              <w:pStyle w:val="P68B1DB1-Normal18"/>
              <w:spacing w:after="0" w:line="240" w:lineRule="auto"/>
              <w:jc w:val="center"/>
              <w:rPr>
                <w:noProof/>
              </w:rPr>
            </w:pPr>
            <w:r>
              <w:rPr>
                <w:noProof/>
              </w:rPr>
              <w:t>2023</w:t>
            </w:r>
          </w:p>
        </w:tc>
        <w:tc>
          <w:tcPr>
            <w:tcW w:w="5272" w:type="dxa"/>
            <w:shd w:val="clear" w:color="auto" w:fill="C6EFCE"/>
            <w:noWrap/>
          </w:tcPr>
          <w:p w14:paraId="5248574B" w14:textId="77777777" w:rsidR="00D924EA" w:rsidRDefault="00011DE9">
            <w:pPr>
              <w:pStyle w:val="P68B1DB1-Normal18"/>
              <w:spacing w:after="0" w:line="240" w:lineRule="auto"/>
              <w:rPr>
                <w:noProof/>
              </w:rPr>
            </w:pPr>
            <w:r>
              <w:rPr>
                <w:noProof/>
              </w:rPr>
              <w:t>Cel puțin 288 contracte sau alte instrumente juridice atribuite de-a lungul teritoriului național legate de investiții în linii feroviare pe distanțe scurte.</w:t>
            </w:r>
          </w:p>
        </w:tc>
      </w:tr>
      <w:tr w:rsidR="00D924EA" w14:paraId="3865AA6E" w14:textId="77777777">
        <w:trPr>
          <w:trHeight w:val="309"/>
          <w:jc w:val="center"/>
        </w:trPr>
        <w:tc>
          <w:tcPr>
            <w:tcW w:w="696" w:type="dxa"/>
            <w:shd w:val="clear" w:color="auto" w:fill="C6EFCE"/>
            <w:noWrap/>
          </w:tcPr>
          <w:p w14:paraId="742D518C" w14:textId="77777777" w:rsidR="00D924EA" w:rsidRDefault="00011DE9">
            <w:pPr>
              <w:pStyle w:val="P68B1DB1-Normal23"/>
              <w:spacing w:after="0" w:line="240" w:lineRule="auto"/>
              <w:jc w:val="center"/>
              <w:rPr>
                <w:rFonts w:eastAsia="Calibri" w:cs="Arial"/>
                <w:noProof/>
                <w:kern w:val="0"/>
                <w14:ligatures w14:val="none"/>
              </w:rPr>
            </w:pPr>
            <w:r>
              <w:rPr>
                <w:noProof/>
              </w:rPr>
              <w:t>18</w:t>
            </w:r>
          </w:p>
        </w:tc>
        <w:tc>
          <w:tcPr>
            <w:tcW w:w="835" w:type="dxa"/>
            <w:shd w:val="clear" w:color="auto" w:fill="C6EFCE"/>
            <w:noWrap/>
          </w:tcPr>
          <w:p w14:paraId="099E5974" w14:textId="77777777" w:rsidR="00D924EA" w:rsidRDefault="00011DE9">
            <w:pPr>
              <w:pStyle w:val="P68B1DB1-Normal23"/>
              <w:spacing w:after="0" w:line="240" w:lineRule="auto"/>
              <w:jc w:val="center"/>
              <w:rPr>
                <w:rFonts w:eastAsia="Calibri" w:cs="Arial"/>
                <w:noProof/>
                <w:kern w:val="0"/>
                <w14:ligatures w14:val="none"/>
              </w:rPr>
            </w:pPr>
            <w:r>
              <w:rPr>
                <w:noProof/>
              </w:rPr>
              <w:t>C1.I3</w:t>
            </w:r>
          </w:p>
        </w:tc>
        <w:tc>
          <w:tcPr>
            <w:tcW w:w="879" w:type="dxa"/>
            <w:shd w:val="clear" w:color="auto" w:fill="C6EFCE"/>
            <w:noWrap/>
          </w:tcPr>
          <w:p w14:paraId="1ADA78B5" w14:textId="77777777" w:rsidR="00D924EA" w:rsidRDefault="00011DE9">
            <w:pPr>
              <w:pStyle w:val="P68B1DB1-Normal23"/>
              <w:spacing w:after="0" w:line="240" w:lineRule="auto"/>
              <w:jc w:val="center"/>
              <w:rPr>
                <w:rFonts w:eastAsia="Calibri" w:cs="Arial"/>
                <w:noProof/>
                <w:kern w:val="0"/>
                <w14:ligatures w14:val="none"/>
              </w:rPr>
            </w:pPr>
            <w:r>
              <w:rPr>
                <w:noProof/>
              </w:rPr>
              <w:t>T</w:t>
            </w:r>
          </w:p>
        </w:tc>
        <w:tc>
          <w:tcPr>
            <w:tcW w:w="2263" w:type="dxa"/>
            <w:shd w:val="clear" w:color="auto" w:fill="C6EFCE"/>
            <w:noWrap/>
          </w:tcPr>
          <w:p w14:paraId="4A5568C2" w14:textId="78587DA2" w:rsidR="00D924EA" w:rsidRDefault="00011DE9">
            <w:pPr>
              <w:pStyle w:val="P68B1DB1-Normal23"/>
              <w:spacing w:after="0" w:line="240" w:lineRule="auto"/>
              <w:rPr>
                <w:rFonts w:eastAsia="Calibri" w:cs="Arial"/>
                <w:noProof/>
                <w:kern w:val="0"/>
                <w14:ligatures w14:val="none"/>
              </w:rPr>
            </w:pPr>
            <w:r>
              <w:rPr>
                <w:noProof/>
              </w:rPr>
              <w:t xml:space="preserve">Modernizarea liniilor de cale ferată </w:t>
            </w:r>
          </w:p>
        </w:tc>
        <w:tc>
          <w:tcPr>
            <w:tcW w:w="1716" w:type="dxa"/>
            <w:shd w:val="clear" w:color="auto" w:fill="C6EFCE"/>
            <w:noWrap/>
          </w:tcPr>
          <w:p w14:paraId="49A0AC5F" w14:textId="77777777" w:rsidR="00D924EA" w:rsidRDefault="00011DE9">
            <w:pPr>
              <w:pStyle w:val="P68B1DB1-Normal23"/>
              <w:spacing w:after="0" w:line="240" w:lineRule="auto"/>
              <w:rPr>
                <w:rFonts w:eastAsia="Calibri" w:cs="Arial"/>
                <w:noProof/>
                <w:kern w:val="0"/>
                <w14:ligatures w14:val="none"/>
              </w:rPr>
            </w:pPr>
            <w:r>
              <w:rPr>
                <w:noProof/>
              </w:rPr>
              <w:t xml:space="preserve"> </w:t>
            </w:r>
          </w:p>
        </w:tc>
        <w:tc>
          <w:tcPr>
            <w:tcW w:w="834" w:type="dxa"/>
            <w:shd w:val="clear" w:color="auto" w:fill="C6EFCE"/>
            <w:noWrap/>
          </w:tcPr>
          <w:p w14:paraId="3401A6CF" w14:textId="77777777" w:rsidR="00D924EA" w:rsidRDefault="00011DE9">
            <w:pPr>
              <w:pStyle w:val="P68B1DB1-Normal23"/>
              <w:spacing w:after="0" w:line="240" w:lineRule="auto"/>
              <w:rPr>
                <w:rFonts w:eastAsia="Calibri" w:cs="Arial"/>
                <w:noProof/>
                <w:kern w:val="0"/>
                <w14:ligatures w14:val="none"/>
              </w:rPr>
            </w:pPr>
            <w:r>
              <w:rPr>
                <w:noProof/>
              </w:rPr>
              <w:t>Număr (km)</w:t>
            </w:r>
          </w:p>
        </w:tc>
        <w:tc>
          <w:tcPr>
            <w:tcW w:w="972" w:type="dxa"/>
            <w:shd w:val="clear" w:color="auto" w:fill="C6EFCE"/>
            <w:noWrap/>
          </w:tcPr>
          <w:p w14:paraId="3E691510" w14:textId="77777777" w:rsidR="00D924EA" w:rsidRDefault="00011DE9">
            <w:pPr>
              <w:pStyle w:val="P68B1DB1-Normal23"/>
              <w:spacing w:after="0" w:line="240" w:lineRule="auto"/>
              <w:jc w:val="right"/>
              <w:rPr>
                <w:rFonts w:eastAsia="Calibri" w:cs="Arial"/>
                <w:noProof/>
                <w:kern w:val="0"/>
                <w14:ligatures w14:val="none"/>
              </w:rPr>
            </w:pPr>
            <w:r>
              <w:rPr>
                <w:noProof/>
              </w:rPr>
              <w:t>200</w:t>
            </w:r>
          </w:p>
        </w:tc>
        <w:tc>
          <w:tcPr>
            <w:tcW w:w="728" w:type="dxa"/>
            <w:shd w:val="clear" w:color="auto" w:fill="C6EFCE"/>
            <w:noWrap/>
          </w:tcPr>
          <w:p w14:paraId="6059D3B0" w14:textId="0F7131DC" w:rsidR="00D924EA" w:rsidRDefault="00011DE9">
            <w:pPr>
              <w:pStyle w:val="P68B1DB1-Normal24"/>
              <w:spacing w:after="0" w:line="240" w:lineRule="auto"/>
              <w:jc w:val="right"/>
              <w:rPr>
                <w:rFonts w:eastAsia="Calibri" w:cs="Arial"/>
                <w:noProof/>
                <w:kern w:val="0"/>
                <w14:ligatures w14:val="none"/>
              </w:rPr>
            </w:pPr>
            <w:r>
              <w:rPr>
                <w:noProof/>
              </w:rPr>
              <w:t>700</w:t>
            </w:r>
          </w:p>
        </w:tc>
        <w:tc>
          <w:tcPr>
            <w:tcW w:w="417" w:type="dxa"/>
            <w:shd w:val="clear" w:color="auto" w:fill="C6EFCE"/>
            <w:noWrap/>
          </w:tcPr>
          <w:p w14:paraId="711AEEB6" w14:textId="3BF639A5" w:rsidR="00D924EA" w:rsidRDefault="005701C9">
            <w:pPr>
              <w:pStyle w:val="P68B1DB1-Normal23"/>
              <w:spacing w:after="0" w:line="240" w:lineRule="auto"/>
              <w:jc w:val="center"/>
              <w:rPr>
                <w:rFonts w:eastAsia="Calibri" w:cs="Arial"/>
                <w:noProof/>
                <w:kern w:val="0"/>
                <w14:ligatures w14:val="none"/>
              </w:rPr>
            </w:pPr>
            <w:r>
              <w:rPr>
                <w:noProof/>
              </w:rPr>
              <w:t>T</w:t>
            </w:r>
            <w:r w:rsidR="00011DE9">
              <w:rPr>
                <w:noProof/>
              </w:rPr>
              <w:t>2</w:t>
            </w:r>
          </w:p>
        </w:tc>
        <w:tc>
          <w:tcPr>
            <w:tcW w:w="556" w:type="dxa"/>
            <w:shd w:val="clear" w:color="auto" w:fill="C6EFCE"/>
            <w:noWrap/>
          </w:tcPr>
          <w:p w14:paraId="3144ABE9" w14:textId="77777777" w:rsidR="00D924EA" w:rsidRDefault="00011DE9">
            <w:pPr>
              <w:pStyle w:val="P68B1DB1-Normal23"/>
              <w:spacing w:after="0" w:line="240" w:lineRule="auto"/>
              <w:jc w:val="center"/>
              <w:rPr>
                <w:rFonts w:eastAsia="Calibri" w:cs="Arial"/>
                <w:noProof/>
                <w:kern w:val="0"/>
                <w14:ligatures w14:val="none"/>
              </w:rPr>
            </w:pPr>
            <w:r>
              <w:rPr>
                <w:noProof/>
              </w:rPr>
              <w:t>2026</w:t>
            </w:r>
          </w:p>
        </w:tc>
        <w:tc>
          <w:tcPr>
            <w:tcW w:w="5272" w:type="dxa"/>
            <w:shd w:val="clear" w:color="auto" w:fill="C6EFCE"/>
            <w:noWrap/>
          </w:tcPr>
          <w:p w14:paraId="3CF25CCC" w14:textId="3CBEFE08" w:rsidR="00D924EA" w:rsidRDefault="00011DE9">
            <w:pPr>
              <w:pStyle w:val="P68B1DB1-Normal25"/>
              <w:spacing w:after="0" w:line="240" w:lineRule="auto"/>
              <w:rPr>
                <w:rFonts w:ascii="Times New Roman" w:eastAsia="Calibri" w:hAnsi="Times New Roman" w:cs="Arial"/>
                <w:noProof/>
                <w14:ligatures w14:val="none"/>
              </w:rPr>
            </w:pPr>
            <w:r>
              <w:rPr>
                <w:rFonts w:ascii="Times New Roman" w:eastAsia="Calibri" w:hAnsi="Times New Roman" w:cs="Times New Roman"/>
                <w:noProof/>
                <w14:ligatures w14:val="none"/>
              </w:rPr>
              <w:t xml:space="preserve">Confirmarea de către administrație a executării contractelor sau a altor instrumente juridice sau a părților corespunzătoare ale acestora referitoare la </w:t>
            </w:r>
            <w:r>
              <w:rPr>
                <w:rFonts w:ascii="Times New Roman" w:eastAsia="Calibri" w:hAnsi="Times New Roman" w:cs="Times New Roman"/>
                <w:noProof/>
              </w:rPr>
              <w:t xml:space="preserve">modernizarea a </w:t>
            </w:r>
            <w:r>
              <w:rPr>
                <w:rFonts w:ascii="Times New Roman" w:eastAsia="Calibri" w:hAnsi="Times New Roman" w:cs="Arial"/>
                <w:noProof/>
                <w14:ligatures w14:val="none"/>
              </w:rPr>
              <w:t>700 de</w:t>
            </w:r>
            <w:r>
              <w:rPr>
                <w:rFonts w:ascii="Times New Roman" w:eastAsia="Calibri" w:hAnsi="Times New Roman" w:cs="Arial"/>
                <w:i/>
                <w:noProof/>
                <w14:ligatures w14:val="none"/>
              </w:rPr>
              <w:t xml:space="preserve"> </w:t>
            </w:r>
            <w:r>
              <w:rPr>
                <w:rFonts w:ascii="Times New Roman" w:eastAsia="Calibri" w:hAnsi="Times New Roman" w:cs="Arial"/>
                <w:noProof/>
                <w14:ligatures w14:val="none"/>
              </w:rPr>
              <w:t xml:space="preserve">kilometri de linii de cale ferată. </w:t>
            </w:r>
          </w:p>
          <w:p w14:paraId="38DECDD5" w14:textId="77777777" w:rsidR="00D924EA" w:rsidRDefault="00D924EA">
            <w:pPr>
              <w:spacing w:after="0" w:line="240" w:lineRule="auto"/>
              <w:rPr>
                <w:rFonts w:ascii="Times New Roman" w:hAnsi="Times New Roman"/>
                <w:noProof/>
                <w:sz w:val="18"/>
                <w:szCs w:val="18"/>
              </w:rPr>
            </w:pPr>
          </w:p>
          <w:p w14:paraId="568B4868" w14:textId="0F5F50C7" w:rsidR="00D924EA" w:rsidRDefault="00011DE9">
            <w:pPr>
              <w:pStyle w:val="P68B1DB1-Normal24"/>
              <w:spacing w:after="0" w:line="240" w:lineRule="auto"/>
              <w:rPr>
                <w:rFonts w:eastAsia="Calibri" w:cs="Arial"/>
                <w:noProof/>
                <w:kern w:val="0"/>
                <w14:ligatures w14:val="none"/>
              </w:rPr>
            </w:pPr>
            <w:r>
              <w:rPr>
                <w:noProof/>
              </w:rPr>
              <w:t>(Referință: Data îndeplinirii țintei 14)</w:t>
            </w:r>
          </w:p>
        </w:tc>
      </w:tr>
      <w:tr w:rsidR="00D924EA" w14:paraId="13AB24E6" w14:textId="77777777">
        <w:trPr>
          <w:trHeight w:val="309"/>
          <w:jc w:val="center"/>
        </w:trPr>
        <w:tc>
          <w:tcPr>
            <w:tcW w:w="696" w:type="dxa"/>
            <w:shd w:val="clear" w:color="auto" w:fill="C6EFCE"/>
            <w:noWrap/>
          </w:tcPr>
          <w:p w14:paraId="2F47FFF9" w14:textId="77777777" w:rsidR="00D924EA" w:rsidRDefault="00011DE9">
            <w:pPr>
              <w:pStyle w:val="P68B1DB1-Normal23"/>
              <w:spacing w:after="0" w:line="240" w:lineRule="auto"/>
              <w:jc w:val="center"/>
              <w:rPr>
                <w:rFonts w:eastAsia="Calibri" w:cs="Arial"/>
                <w:noProof/>
                <w:kern w:val="0"/>
                <w14:ligatures w14:val="none"/>
              </w:rPr>
            </w:pPr>
            <w:r>
              <w:rPr>
                <w:noProof/>
              </w:rPr>
              <w:t>19</w:t>
            </w:r>
          </w:p>
        </w:tc>
        <w:tc>
          <w:tcPr>
            <w:tcW w:w="835" w:type="dxa"/>
            <w:shd w:val="clear" w:color="auto" w:fill="C6EFCE"/>
            <w:noWrap/>
          </w:tcPr>
          <w:p w14:paraId="7833CE44" w14:textId="77777777" w:rsidR="00D924EA" w:rsidRDefault="00011DE9">
            <w:pPr>
              <w:pStyle w:val="P68B1DB1-Normal23"/>
              <w:spacing w:after="0" w:line="240" w:lineRule="auto"/>
              <w:jc w:val="center"/>
              <w:rPr>
                <w:rFonts w:eastAsia="Calibri" w:cs="Arial"/>
                <w:noProof/>
                <w:kern w:val="0"/>
                <w14:ligatures w14:val="none"/>
              </w:rPr>
            </w:pPr>
            <w:r>
              <w:rPr>
                <w:noProof/>
              </w:rPr>
              <w:t>C1.I3</w:t>
            </w:r>
          </w:p>
        </w:tc>
        <w:tc>
          <w:tcPr>
            <w:tcW w:w="879" w:type="dxa"/>
            <w:shd w:val="clear" w:color="auto" w:fill="C6EFCE"/>
            <w:noWrap/>
          </w:tcPr>
          <w:p w14:paraId="767D0C99" w14:textId="77777777" w:rsidR="00D924EA" w:rsidRDefault="00011DE9">
            <w:pPr>
              <w:pStyle w:val="P68B1DB1-Normal23"/>
              <w:spacing w:after="0" w:line="240" w:lineRule="auto"/>
              <w:jc w:val="center"/>
              <w:rPr>
                <w:rFonts w:eastAsia="Calibri" w:cs="Arial"/>
                <w:noProof/>
                <w:kern w:val="0"/>
                <w14:ligatures w14:val="none"/>
              </w:rPr>
            </w:pPr>
            <w:r>
              <w:rPr>
                <w:noProof/>
              </w:rPr>
              <w:t>T</w:t>
            </w:r>
          </w:p>
        </w:tc>
        <w:tc>
          <w:tcPr>
            <w:tcW w:w="2263" w:type="dxa"/>
            <w:shd w:val="clear" w:color="auto" w:fill="C6EFCE"/>
            <w:noWrap/>
          </w:tcPr>
          <w:p w14:paraId="36593A33" w14:textId="77777777" w:rsidR="00D924EA" w:rsidRDefault="00011DE9">
            <w:pPr>
              <w:pStyle w:val="P68B1DB1-Normal23"/>
              <w:spacing w:after="0" w:line="240" w:lineRule="auto"/>
              <w:rPr>
                <w:rFonts w:eastAsia="Calibri" w:cs="Arial"/>
                <w:noProof/>
                <w:kern w:val="0"/>
                <w14:ligatures w14:val="none"/>
              </w:rPr>
            </w:pPr>
            <w:r>
              <w:rPr>
                <w:noProof/>
              </w:rPr>
              <w:t xml:space="preserve">Stații îmbunătățite odată cu digitalizarea </w:t>
            </w:r>
          </w:p>
        </w:tc>
        <w:tc>
          <w:tcPr>
            <w:tcW w:w="1716" w:type="dxa"/>
            <w:shd w:val="clear" w:color="auto" w:fill="C6EFCE"/>
            <w:noWrap/>
          </w:tcPr>
          <w:p w14:paraId="181A90AB" w14:textId="77777777" w:rsidR="00D924EA" w:rsidRDefault="00011DE9">
            <w:pPr>
              <w:pStyle w:val="P68B1DB1-Normal23"/>
              <w:spacing w:after="0" w:line="240" w:lineRule="auto"/>
              <w:jc w:val="center"/>
              <w:rPr>
                <w:rFonts w:eastAsia="Calibri" w:cs="Arial"/>
                <w:noProof/>
                <w:kern w:val="0"/>
                <w14:ligatures w14:val="none"/>
              </w:rPr>
            </w:pPr>
            <w:r>
              <w:rPr>
                <w:noProof/>
              </w:rPr>
              <w:t xml:space="preserve"> </w:t>
            </w:r>
          </w:p>
        </w:tc>
        <w:tc>
          <w:tcPr>
            <w:tcW w:w="834" w:type="dxa"/>
            <w:shd w:val="clear" w:color="auto" w:fill="C6EFCE"/>
            <w:noWrap/>
          </w:tcPr>
          <w:p w14:paraId="4E2CB74D" w14:textId="77777777" w:rsidR="00D924EA" w:rsidRDefault="00011DE9">
            <w:pPr>
              <w:pStyle w:val="P68B1DB1-Normal23"/>
              <w:spacing w:after="0" w:line="240" w:lineRule="auto"/>
              <w:rPr>
                <w:rFonts w:eastAsia="Calibri" w:cs="Arial"/>
                <w:noProof/>
                <w:kern w:val="0"/>
                <w14:ligatures w14:val="none"/>
              </w:rPr>
            </w:pPr>
            <w:r>
              <w:rPr>
                <w:noProof/>
              </w:rPr>
              <w:t>Număr</w:t>
            </w:r>
          </w:p>
        </w:tc>
        <w:tc>
          <w:tcPr>
            <w:tcW w:w="972" w:type="dxa"/>
            <w:shd w:val="clear" w:color="auto" w:fill="C6EFCE"/>
            <w:noWrap/>
          </w:tcPr>
          <w:p w14:paraId="2480F43E" w14:textId="77777777" w:rsidR="00D924EA" w:rsidRDefault="00011DE9">
            <w:pPr>
              <w:pStyle w:val="P68B1DB1-Normal23"/>
              <w:spacing w:after="0" w:line="240" w:lineRule="auto"/>
              <w:jc w:val="right"/>
              <w:rPr>
                <w:rFonts w:eastAsia="Calibri" w:cs="Arial"/>
                <w:noProof/>
                <w:kern w:val="0"/>
                <w14:ligatures w14:val="none"/>
              </w:rPr>
            </w:pPr>
            <w:r>
              <w:rPr>
                <w:noProof/>
              </w:rPr>
              <w:t>420</w:t>
            </w:r>
          </w:p>
        </w:tc>
        <w:tc>
          <w:tcPr>
            <w:tcW w:w="728" w:type="dxa"/>
            <w:shd w:val="clear" w:color="auto" w:fill="C6EFCE"/>
            <w:noWrap/>
          </w:tcPr>
          <w:p w14:paraId="0226BE40" w14:textId="77777777" w:rsidR="00D924EA" w:rsidRDefault="00011DE9">
            <w:pPr>
              <w:pStyle w:val="P68B1DB1-Normal23"/>
              <w:spacing w:after="0" w:line="240" w:lineRule="auto"/>
              <w:jc w:val="right"/>
              <w:rPr>
                <w:rFonts w:eastAsia="Calibri" w:cs="Arial"/>
                <w:noProof/>
                <w:kern w:val="0"/>
                <w14:ligatures w14:val="none"/>
              </w:rPr>
            </w:pPr>
            <w:r>
              <w:rPr>
                <w:noProof/>
              </w:rPr>
              <w:t>850</w:t>
            </w:r>
          </w:p>
        </w:tc>
        <w:tc>
          <w:tcPr>
            <w:tcW w:w="417" w:type="dxa"/>
            <w:shd w:val="clear" w:color="auto" w:fill="C6EFCE"/>
            <w:noWrap/>
          </w:tcPr>
          <w:p w14:paraId="235D5AEB" w14:textId="6DB201D8" w:rsidR="00D924EA" w:rsidRDefault="005701C9">
            <w:pPr>
              <w:pStyle w:val="P68B1DB1-Normal23"/>
              <w:spacing w:after="0" w:line="240" w:lineRule="auto"/>
              <w:jc w:val="center"/>
              <w:rPr>
                <w:rFonts w:eastAsia="Calibri" w:cs="Arial"/>
                <w:noProof/>
                <w:kern w:val="0"/>
                <w14:ligatures w14:val="none"/>
              </w:rPr>
            </w:pPr>
            <w:r>
              <w:rPr>
                <w:noProof/>
              </w:rPr>
              <w:t>T</w:t>
            </w:r>
            <w:r w:rsidR="00011DE9">
              <w:rPr>
                <w:noProof/>
              </w:rPr>
              <w:t>2</w:t>
            </w:r>
          </w:p>
        </w:tc>
        <w:tc>
          <w:tcPr>
            <w:tcW w:w="556" w:type="dxa"/>
            <w:shd w:val="clear" w:color="auto" w:fill="C6EFCE"/>
            <w:noWrap/>
          </w:tcPr>
          <w:p w14:paraId="4F75AFA8" w14:textId="77777777" w:rsidR="00D924EA" w:rsidRDefault="00011DE9">
            <w:pPr>
              <w:pStyle w:val="P68B1DB1-Normal23"/>
              <w:spacing w:after="0" w:line="240" w:lineRule="auto"/>
              <w:jc w:val="center"/>
              <w:rPr>
                <w:rFonts w:eastAsia="Calibri" w:cs="Arial"/>
                <w:noProof/>
                <w:kern w:val="0"/>
                <w14:ligatures w14:val="none"/>
              </w:rPr>
            </w:pPr>
            <w:r>
              <w:rPr>
                <w:noProof/>
              </w:rPr>
              <w:t>2026</w:t>
            </w:r>
          </w:p>
        </w:tc>
        <w:tc>
          <w:tcPr>
            <w:tcW w:w="5272" w:type="dxa"/>
            <w:shd w:val="clear" w:color="auto" w:fill="C6EFCE"/>
            <w:noWrap/>
          </w:tcPr>
          <w:p w14:paraId="735C331A" w14:textId="06E03FFB" w:rsidR="00D924EA" w:rsidRDefault="00D924EA">
            <w:pPr>
              <w:spacing w:after="0" w:line="240" w:lineRule="auto"/>
              <w:rPr>
                <w:rFonts w:ascii="Times New Roman" w:hAnsi="Times New Roman"/>
                <w:noProof/>
                <w:sz w:val="18"/>
                <w:szCs w:val="18"/>
                <w14:ligatures w14:val="none"/>
              </w:rPr>
            </w:pPr>
          </w:p>
          <w:p w14:paraId="3321733E" w14:textId="77777777" w:rsidR="00D924EA" w:rsidRDefault="00011DE9">
            <w:pPr>
              <w:pStyle w:val="P68B1DB1-Normal26"/>
              <w:spacing w:after="0" w:line="240" w:lineRule="auto"/>
              <w:rPr>
                <w:noProof/>
              </w:rPr>
            </w:pPr>
            <w:r>
              <w:rPr>
                <w:noProof/>
              </w:rPr>
              <w:t>Confirmarea de către administrație a executării contractelor sau a altor instrumente juridice sau a părților corespunzătoare ale acestora referitoare la digitalizarea a 850 gări feroviare. Lucrările de digitalizare acoperă unul sau mai multe dintre următoarele elemente:</w:t>
            </w:r>
          </w:p>
          <w:p w14:paraId="254EE2AC" w14:textId="77777777" w:rsidR="00D924EA" w:rsidRDefault="00011DE9">
            <w:pPr>
              <w:spacing w:after="0" w:line="240" w:lineRule="auto"/>
              <w:rPr>
                <w:rFonts w:ascii="Times New Roman" w:hAnsi="Times New Roman" w:cs="Times New Roman"/>
                <w:noProof/>
                <w:sz w:val="18"/>
                <w:szCs w:val="18"/>
              </w:rPr>
            </w:pPr>
            <w:r>
              <w:rPr>
                <w:noProof/>
              </w:rPr>
              <w:br/>
            </w:r>
            <w:r>
              <w:rPr>
                <w:rFonts w:ascii="Times New Roman" w:hAnsi="Times New Roman"/>
                <w:noProof/>
                <w:sz w:val="18"/>
              </w:rPr>
              <w:t>• Digitalizarea sistemelor de securitate în stații (cum ar fi analiza video inteligentă, securitatea cibernetică și controlul fraudelor)</w:t>
            </w:r>
            <w:r>
              <w:rPr>
                <w:noProof/>
              </w:rPr>
              <w:t xml:space="preserve"> </w:t>
            </w:r>
            <w:r>
              <w:rPr>
                <w:noProof/>
              </w:rPr>
              <w:br/>
              <w:t xml:space="preserve"> </w:t>
            </w:r>
            <w:r>
              <w:rPr>
                <w:rFonts w:ascii="Times New Roman" w:hAnsi="Times New Roman"/>
                <w:noProof/>
                <w:sz w:val="18"/>
              </w:rPr>
              <w:t>• Sisteme de informare a pasagerilor</w:t>
            </w:r>
            <w:r>
              <w:rPr>
                <w:noProof/>
              </w:rPr>
              <w:t xml:space="preserve"> </w:t>
            </w:r>
            <w:r>
              <w:rPr>
                <w:noProof/>
              </w:rPr>
              <w:br/>
              <w:t xml:space="preserve"> </w:t>
            </w:r>
            <w:r>
              <w:rPr>
                <w:rFonts w:ascii="Times New Roman" w:hAnsi="Times New Roman"/>
                <w:noProof/>
                <w:sz w:val="18"/>
              </w:rPr>
              <w:t>• Îmbunătățirea controlului accesului în stații</w:t>
            </w:r>
            <w:r>
              <w:rPr>
                <w:noProof/>
              </w:rPr>
              <w:t xml:space="preserve"> </w:t>
            </w:r>
            <w:r>
              <w:rPr>
                <w:noProof/>
              </w:rPr>
              <w:br/>
              <w:t xml:space="preserve"> </w:t>
            </w:r>
            <w:r>
              <w:rPr>
                <w:rFonts w:ascii="Times New Roman" w:hAnsi="Times New Roman"/>
                <w:noProof/>
                <w:sz w:val="18"/>
              </w:rPr>
              <w:t>• Proiecte privind distribuitoarele automate de bilete</w:t>
            </w:r>
            <w:r>
              <w:rPr>
                <w:noProof/>
              </w:rPr>
              <w:t xml:space="preserve"> </w:t>
            </w:r>
            <w:r>
              <w:rPr>
                <w:noProof/>
              </w:rPr>
              <w:br/>
              <w:t xml:space="preserve"> </w:t>
            </w:r>
            <w:r>
              <w:rPr>
                <w:rFonts w:ascii="Times New Roman" w:hAnsi="Times New Roman"/>
                <w:noProof/>
                <w:sz w:val="18"/>
              </w:rPr>
              <w:t xml:space="preserve">• Adaptarea facilităților </w:t>
            </w:r>
          </w:p>
          <w:p w14:paraId="5E5AAF75" w14:textId="77777777" w:rsidR="00D924EA" w:rsidRDefault="00D924EA">
            <w:pPr>
              <w:spacing w:after="0" w:line="240" w:lineRule="auto"/>
              <w:rPr>
                <w:rFonts w:ascii="Times New Roman" w:hAnsi="Times New Roman"/>
                <w:noProof/>
                <w:sz w:val="18"/>
                <w:szCs w:val="18"/>
              </w:rPr>
            </w:pPr>
          </w:p>
          <w:p w14:paraId="580A0693" w14:textId="77777777" w:rsidR="00D924EA" w:rsidRDefault="00011DE9">
            <w:pPr>
              <w:pStyle w:val="P68B1DB1-Normal23"/>
              <w:spacing w:after="0" w:line="240" w:lineRule="auto"/>
              <w:rPr>
                <w:rFonts w:eastAsia="Calibri" w:cs="Arial"/>
                <w:noProof/>
                <w:kern w:val="0"/>
                <w14:ligatures w14:val="none"/>
              </w:rPr>
            </w:pPr>
            <w:r>
              <w:rPr>
                <w:noProof/>
              </w:rPr>
              <w:t>(Referință: Data îndeplinirii țintei 15)</w:t>
            </w:r>
          </w:p>
        </w:tc>
      </w:tr>
      <w:tr w:rsidR="00D924EA" w14:paraId="31D6E17C" w14:textId="77777777">
        <w:trPr>
          <w:trHeight w:val="309"/>
          <w:jc w:val="center"/>
        </w:trPr>
        <w:tc>
          <w:tcPr>
            <w:tcW w:w="696" w:type="dxa"/>
            <w:shd w:val="clear" w:color="auto" w:fill="C6EFCE"/>
            <w:noWrap/>
          </w:tcPr>
          <w:p w14:paraId="27B349D2" w14:textId="77777777" w:rsidR="00D924EA" w:rsidRDefault="00011DE9">
            <w:pPr>
              <w:pStyle w:val="P68B1DB1-Normal23"/>
              <w:spacing w:after="0" w:line="240" w:lineRule="auto"/>
              <w:jc w:val="center"/>
              <w:rPr>
                <w:rFonts w:eastAsia="Calibri" w:cs="Arial"/>
                <w:noProof/>
                <w:kern w:val="0"/>
                <w14:ligatures w14:val="none"/>
              </w:rPr>
            </w:pPr>
            <w:r>
              <w:rPr>
                <w:noProof/>
              </w:rPr>
              <w:t>20</w:t>
            </w:r>
          </w:p>
        </w:tc>
        <w:tc>
          <w:tcPr>
            <w:tcW w:w="835" w:type="dxa"/>
            <w:shd w:val="clear" w:color="auto" w:fill="C6EFCE"/>
            <w:noWrap/>
          </w:tcPr>
          <w:p w14:paraId="2423D4F5" w14:textId="77777777" w:rsidR="00D924EA" w:rsidRDefault="00011DE9">
            <w:pPr>
              <w:pStyle w:val="P68B1DB1-Normal23"/>
              <w:spacing w:after="0" w:line="240" w:lineRule="auto"/>
              <w:jc w:val="center"/>
              <w:rPr>
                <w:rFonts w:eastAsia="Calibri" w:cs="Arial"/>
                <w:noProof/>
                <w:kern w:val="0"/>
                <w14:ligatures w14:val="none"/>
              </w:rPr>
            </w:pPr>
            <w:r>
              <w:rPr>
                <w:noProof/>
              </w:rPr>
              <w:t>C1.I3</w:t>
            </w:r>
          </w:p>
        </w:tc>
        <w:tc>
          <w:tcPr>
            <w:tcW w:w="879" w:type="dxa"/>
            <w:shd w:val="clear" w:color="auto" w:fill="C6EFCE"/>
            <w:noWrap/>
          </w:tcPr>
          <w:p w14:paraId="0DAD826A" w14:textId="77777777" w:rsidR="00D924EA" w:rsidRDefault="00011DE9">
            <w:pPr>
              <w:pStyle w:val="P68B1DB1-Normal23"/>
              <w:spacing w:after="0" w:line="240" w:lineRule="auto"/>
              <w:jc w:val="center"/>
              <w:rPr>
                <w:rFonts w:eastAsia="Calibri" w:cs="Arial"/>
                <w:noProof/>
                <w:kern w:val="0"/>
                <w14:ligatures w14:val="none"/>
              </w:rPr>
            </w:pPr>
            <w:r>
              <w:rPr>
                <w:noProof/>
              </w:rPr>
              <w:t>T</w:t>
            </w:r>
          </w:p>
        </w:tc>
        <w:tc>
          <w:tcPr>
            <w:tcW w:w="2263" w:type="dxa"/>
            <w:shd w:val="clear" w:color="auto" w:fill="C6EFCE"/>
            <w:noWrap/>
          </w:tcPr>
          <w:p w14:paraId="5470D3F4" w14:textId="77777777" w:rsidR="00D924EA" w:rsidRDefault="00011DE9">
            <w:pPr>
              <w:pStyle w:val="P68B1DB1-Normal23"/>
              <w:spacing w:after="0" w:line="240" w:lineRule="auto"/>
              <w:rPr>
                <w:rFonts w:eastAsia="Calibri" w:cs="Arial"/>
                <w:noProof/>
                <w:kern w:val="0"/>
                <w14:ligatures w14:val="none"/>
              </w:rPr>
            </w:pPr>
            <w:r>
              <w:rPr>
                <w:noProof/>
              </w:rPr>
              <w:t xml:space="preserve">Gări de linii de cale ferată îmbunătățite sau noi </w:t>
            </w:r>
          </w:p>
        </w:tc>
        <w:tc>
          <w:tcPr>
            <w:tcW w:w="1716" w:type="dxa"/>
            <w:shd w:val="clear" w:color="auto" w:fill="C6EFCE"/>
            <w:noWrap/>
          </w:tcPr>
          <w:p w14:paraId="0780215E" w14:textId="77777777" w:rsidR="00D924EA" w:rsidRDefault="00011DE9">
            <w:pPr>
              <w:pStyle w:val="P68B1DB1-Normal23"/>
              <w:spacing w:after="0" w:line="240" w:lineRule="auto"/>
              <w:jc w:val="center"/>
              <w:rPr>
                <w:rFonts w:eastAsia="Calibri" w:cs="Arial"/>
                <w:noProof/>
                <w:kern w:val="0"/>
                <w14:ligatures w14:val="none"/>
              </w:rPr>
            </w:pPr>
            <w:r>
              <w:rPr>
                <w:noProof/>
              </w:rPr>
              <w:t xml:space="preserve"> </w:t>
            </w:r>
          </w:p>
        </w:tc>
        <w:tc>
          <w:tcPr>
            <w:tcW w:w="834" w:type="dxa"/>
            <w:shd w:val="clear" w:color="auto" w:fill="C6EFCE"/>
            <w:noWrap/>
          </w:tcPr>
          <w:p w14:paraId="598CD1F0" w14:textId="77777777" w:rsidR="00D924EA" w:rsidRDefault="00011DE9">
            <w:pPr>
              <w:pStyle w:val="P68B1DB1-Normal23"/>
              <w:spacing w:after="0" w:line="240" w:lineRule="auto"/>
              <w:rPr>
                <w:rFonts w:eastAsia="Calibri" w:cs="Arial"/>
                <w:noProof/>
                <w:kern w:val="0"/>
                <w14:ligatures w14:val="none"/>
              </w:rPr>
            </w:pPr>
            <w:r>
              <w:rPr>
                <w:noProof/>
              </w:rPr>
              <w:t>Număr</w:t>
            </w:r>
          </w:p>
        </w:tc>
        <w:tc>
          <w:tcPr>
            <w:tcW w:w="972" w:type="dxa"/>
            <w:shd w:val="clear" w:color="auto" w:fill="C6EFCE"/>
            <w:noWrap/>
          </w:tcPr>
          <w:p w14:paraId="0A5EC646" w14:textId="77777777" w:rsidR="00D924EA" w:rsidRDefault="00011DE9">
            <w:pPr>
              <w:pStyle w:val="P68B1DB1-Normal23"/>
              <w:spacing w:after="0" w:line="240" w:lineRule="auto"/>
              <w:jc w:val="right"/>
              <w:rPr>
                <w:rFonts w:eastAsia="Calibri" w:cs="Arial"/>
                <w:noProof/>
                <w:kern w:val="0"/>
                <w14:ligatures w14:val="none"/>
              </w:rPr>
            </w:pPr>
            <w:r>
              <w:rPr>
                <w:noProof/>
              </w:rPr>
              <w:t>20</w:t>
            </w:r>
          </w:p>
        </w:tc>
        <w:tc>
          <w:tcPr>
            <w:tcW w:w="728" w:type="dxa"/>
            <w:shd w:val="clear" w:color="auto" w:fill="C6EFCE"/>
            <w:noWrap/>
          </w:tcPr>
          <w:p w14:paraId="70E915FC" w14:textId="77777777" w:rsidR="00D924EA" w:rsidRDefault="00011DE9">
            <w:pPr>
              <w:pStyle w:val="P68B1DB1-Normal23"/>
              <w:spacing w:after="0" w:line="240" w:lineRule="auto"/>
              <w:jc w:val="right"/>
              <w:rPr>
                <w:rFonts w:eastAsia="Calibri" w:cs="Arial"/>
                <w:noProof/>
                <w:kern w:val="0"/>
                <w14:ligatures w14:val="none"/>
              </w:rPr>
            </w:pPr>
            <w:r>
              <w:rPr>
                <w:noProof/>
              </w:rPr>
              <w:t>70</w:t>
            </w:r>
          </w:p>
        </w:tc>
        <w:tc>
          <w:tcPr>
            <w:tcW w:w="417" w:type="dxa"/>
            <w:shd w:val="clear" w:color="auto" w:fill="C6EFCE"/>
            <w:noWrap/>
          </w:tcPr>
          <w:p w14:paraId="38FD6B58" w14:textId="00690EFF" w:rsidR="00D924EA" w:rsidRDefault="005701C9">
            <w:pPr>
              <w:pStyle w:val="P68B1DB1-Normal23"/>
              <w:spacing w:after="0" w:line="240" w:lineRule="auto"/>
              <w:jc w:val="center"/>
              <w:rPr>
                <w:rFonts w:eastAsia="Calibri" w:cs="Arial"/>
                <w:noProof/>
                <w:kern w:val="0"/>
                <w14:ligatures w14:val="none"/>
              </w:rPr>
            </w:pPr>
            <w:r>
              <w:rPr>
                <w:noProof/>
              </w:rPr>
              <w:t>T</w:t>
            </w:r>
            <w:r w:rsidR="00011DE9">
              <w:rPr>
                <w:noProof/>
              </w:rPr>
              <w:t>2</w:t>
            </w:r>
          </w:p>
        </w:tc>
        <w:tc>
          <w:tcPr>
            <w:tcW w:w="556" w:type="dxa"/>
            <w:shd w:val="clear" w:color="auto" w:fill="C6EFCE"/>
            <w:noWrap/>
          </w:tcPr>
          <w:p w14:paraId="6D0BE01D" w14:textId="77777777" w:rsidR="00D924EA" w:rsidRDefault="00011DE9">
            <w:pPr>
              <w:pStyle w:val="P68B1DB1-Normal23"/>
              <w:spacing w:after="0" w:line="240" w:lineRule="auto"/>
              <w:jc w:val="center"/>
              <w:rPr>
                <w:rFonts w:eastAsia="Calibri" w:cs="Arial"/>
                <w:noProof/>
                <w:kern w:val="0"/>
                <w14:ligatures w14:val="none"/>
              </w:rPr>
            </w:pPr>
            <w:r>
              <w:rPr>
                <w:noProof/>
              </w:rPr>
              <w:t>2026</w:t>
            </w:r>
          </w:p>
        </w:tc>
        <w:tc>
          <w:tcPr>
            <w:tcW w:w="5272" w:type="dxa"/>
            <w:shd w:val="clear" w:color="auto" w:fill="C6EFCE"/>
            <w:noWrap/>
          </w:tcPr>
          <w:p w14:paraId="5D58E7F0" w14:textId="3B4D0FE9" w:rsidR="00D924EA" w:rsidRDefault="00011DE9">
            <w:pPr>
              <w:pStyle w:val="P68B1DB1-Normal27"/>
              <w:spacing w:after="0" w:line="240" w:lineRule="auto"/>
              <w:rPr>
                <w:rFonts w:ascii="Times New Roman" w:eastAsia="Calibri" w:hAnsi="Times New Roman" w:cs="Arial"/>
                <w:noProof/>
              </w:rPr>
            </w:pPr>
            <w:r>
              <w:rPr>
                <w:rFonts w:ascii="Times New Roman" w:eastAsia="Calibri" w:hAnsi="Times New Roman" w:cs="Times New Roman"/>
                <w:noProof/>
                <w:szCs w:val="18"/>
              </w:rPr>
              <w:t xml:space="preserve">Confirmarea de către administrație a executării contractelor sau a altor instrumente juridice sau a părților corespunzătoare ale acestora referitoare la </w:t>
            </w:r>
            <w:r>
              <w:rPr>
                <w:rFonts w:ascii="Times New Roman" w:eastAsia="Calibri" w:hAnsi="Times New Roman" w:cs="Arial"/>
                <w:noProof/>
              </w:rPr>
              <w:t>construirea sau îmbunătățirea a 70 de stații de cale ferată.</w:t>
            </w:r>
          </w:p>
          <w:p w14:paraId="36C6C58B" w14:textId="77777777" w:rsidR="00D924EA" w:rsidRDefault="00D924EA">
            <w:pPr>
              <w:spacing w:after="0" w:line="240" w:lineRule="auto"/>
              <w:rPr>
                <w:rFonts w:ascii="Times New Roman" w:hAnsi="Times New Roman"/>
                <w:noProof/>
                <w:sz w:val="18"/>
                <w:szCs w:val="18"/>
              </w:rPr>
            </w:pPr>
          </w:p>
          <w:p w14:paraId="029539CB" w14:textId="5F96E9CF" w:rsidR="00D924EA" w:rsidRDefault="00011DE9">
            <w:pPr>
              <w:pStyle w:val="P68B1DB1-Normal23"/>
              <w:spacing w:after="0" w:line="240" w:lineRule="auto"/>
              <w:rPr>
                <w:rFonts w:eastAsia="Calibri" w:cs="Arial"/>
                <w:noProof/>
                <w:kern w:val="0"/>
                <w14:ligatures w14:val="none"/>
              </w:rPr>
            </w:pPr>
            <w:r>
              <w:rPr>
                <w:noProof/>
              </w:rPr>
              <w:t>(Referință: Data îndeplinirii țintei 16)</w:t>
            </w:r>
          </w:p>
        </w:tc>
      </w:tr>
    </w:tbl>
    <w:p w14:paraId="000EBA78" w14:textId="77777777" w:rsidR="00D924EA" w:rsidRDefault="00D924EA">
      <w:pPr>
        <w:spacing w:after="200" w:line="276" w:lineRule="auto"/>
        <w:rPr>
          <w:rFonts w:ascii="Times New Roman" w:eastAsia="Calibri" w:hAnsi="Times New Roman" w:cs="Times New Roman"/>
          <w:noProof/>
          <w:kern w:val="0"/>
          <w14:ligatures w14:val="none"/>
        </w:rPr>
        <w:sectPr w:rsidR="00D924EA" w:rsidSect="00B528FB">
          <w:headerReference w:type="even" r:id="rId26"/>
          <w:headerReference w:type="default" r:id="rId27"/>
          <w:footerReference w:type="even" r:id="rId28"/>
          <w:footerReference w:type="default" r:id="rId29"/>
          <w:headerReference w:type="first" r:id="rId30"/>
          <w:footerReference w:type="first" r:id="rId31"/>
          <w:pgSz w:w="16839" w:h="11907" w:orient="landscape"/>
          <w:pgMar w:top="1134" w:right="1418" w:bottom="1134" w:left="1418" w:header="567" w:footer="567" w:gutter="0"/>
          <w:cols w:space="720"/>
          <w:docGrid w:linePitch="360"/>
        </w:sectPr>
      </w:pPr>
    </w:p>
    <w:p w14:paraId="5014336F" w14:textId="0A63009D" w:rsidR="00D924EA" w:rsidRDefault="00011DE9">
      <w:pPr>
        <w:pStyle w:val="P68B1DB1-Normal6"/>
        <w:spacing w:before="120" w:after="120" w:line="240" w:lineRule="auto"/>
        <w:ind w:left="709"/>
        <w:jc w:val="both"/>
        <w:rPr>
          <w:rFonts w:ascii="Times New Roman" w:eastAsia="Calibri" w:hAnsi="Times New Roman" w:cs="Times New Roman"/>
          <w:b/>
          <w:noProof/>
          <w:u w:val="single"/>
        </w:rPr>
      </w:pPr>
      <w:r>
        <w:rPr>
          <w:rFonts w:ascii="Times New Roman" w:eastAsia="Calibri" w:hAnsi="Times New Roman" w:cs="Arial"/>
          <w:b/>
          <w:noProof/>
          <w:u w:val="single"/>
        </w:rPr>
        <w:t>A.4.</w:t>
      </w:r>
      <w:r w:rsidR="00971820">
        <w:rPr>
          <w:rFonts w:ascii="Times New Roman" w:eastAsia="Calibri" w:hAnsi="Times New Roman" w:cs="Arial"/>
          <w:b/>
          <w:noProof/>
          <w:u w:val="single"/>
        </w:rPr>
        <w:t xml:space="preserve"> </w:t>
      </w:r>
      <w:r>
        <w:rPr>
          <w:rFonts w:ascii="Times New Roman" w:eastAsia="Calibri" w:hAnsi="Times New Roman" w:cs="Arial"/>
          <w:b/>
          <w:noProof/>
          <w:u w:val="single"/>
        </w:rPr>
        <w:t>Descrierea reformelor și a investițiilor pentru sprijinul sub formă de împrumut</w:t>
      </w:r>
    </w:p>
    <w:p w14:paraId="3205F8C0" w14:textId="77777777" w:rsidR="00D924EA" w:rsidRDefault="00011DE9">
      <w:pPr>
        <w:pStyle w:val="P68B1DB1-Normal8"/>
        <w:spacing w:before="120" w:after="120" w:line="240" w:lineRule="auto"/>
        <w:jc w:val="both"/>
        <w:rPr>
          <w:rFonts w:cs="Times New Roman"/>
          <w:noProof/>
        </w:rPr>
      </w:pPr>
      <w:r>
        <w:rPr>
          <w:noProof/>
        </w:rPr>
        <w:t>Reforma 3 (C1.R3) – Decretul regal de reglementare a criteriilor minime pentru zonele cu emisii scăzute</w:t>
      </w:r>
    </w:p>
    <w:p w14:paraId="2A24B38B" w14:textId="3C68EA4B" w:rsidR="00D924EA" w:rsidRDefault="00011DE9">
      <w:pPr>
        <w:pStyle w:val="P68B1DB1-Normal7"/>
        <w:spacing w:before="120" w:after="120" w:line="240" w:lineRule="auto"/>
        <w:jc w:val="both"/>
        <w:rPr>
          <w:rFonts w:cs="Times New Roman"/>
          <w:noProof/>
        </w:rPr>
      </w:pPr>
      <w:r>
        <w:rPr>
          <w:noProof/>
        </w:rPr>
        <w:t xml:space="preserve">Obiectivul acestei reforme este intrarea în vigoare a Decretului regal nr. 1052/2022 din 27 decembrie de stabilire a cerințelor minime care trebuie îndeplinite de zonele cu emisii scăzute (LEZs) instituite de autoritățile locale în municipalitățile cu peste 50 000 de locuitori și în teritoriile insulare, în conformitate cu cerințele legale stabilite la articolul 14 alineatul (3) din Legea nr. 7/2021 din 20 mai. </w:t>
      </w:r>
    </w:p>
    <w:p w14:paraId="5D08B482" w14:textId="77777777" w:rsidR="00D924EA" w:rsidRDefault="00011DE9">
      <w:pPr>
        <w:pStyle w:val="P68B1DB1-Normal7"/>
        <w:spacing w:before="120" w:after="120" w:line="240" w:lineRule="auto"/>
        <w:jc w:val="both"/>
        <w:rPr>
          <w:rFonts w:cs="Times New Roman"/>
          <w:noProof/>
        </w:rPr>
      </w:pPr>
      <w:r>
        <w:rPr>
          <w:noProof/>
        </w:rPr>
        <w:t xml:space="preserve">Aceste cerințe minime prevăzute de decretul regal acoperă: </w:t>
      </w:r>
    </w:p>
    <w:p w14:paraId="3201D756" w14:textId="77777777" w:rsidR="00D924EA" w:rsidRDefault="00011DE9">
      <w:pPr>
        <w:pStyle w:val="P68B1DB1-Normal7"/>
        <w:spacing w:before="120" w:after="120" w:line="240" w:lineRule="auto"/>
        <w:jc w:val="both"/>
        <w:rPr>
          <w:rFonts w:cs="Times New Roman"/>
          <w:noProof/>
        </w:rPr>
      </w:pPr>
      <w:r>
        <w:rPr>
          <w:noProof/>
        </w:rPr>
        <w:t>— obligația autorităților locale de a stabili măsurile specifice care trebuie puse în aplicare pentru a îndeplini obiectivele zonelor cu emisii scăzute, și anume îmbunătățirea calității aerului și atenuarea efectelor schimbărilor climatice, precum și promovarea respectării obiectivelor privind zgomotul, mobilitatea durabilă și eficiența energetică în utilizarea mijloacelor de transport. Aceste măsuri vizează încurajarea transferului modal către moduri de transport mai durabile, acordând prioritate mobilității active și transportului public.</w:t>
      </w:r>
    </w:p>
    <w:p w14:paraId="0BAEDE9A" w14:textId="77777777" w:rsidR="00D924EA" w:rsidRDefault="00011DE9">
      <w:pPr>
        <w:pStyle w:val="P68B1DB1-Normal7"/>
        <w:spacing w:before="120" w:after="120" w:line="240" w:lineRule="auto"/>
        <w:jc w:val="both"/>
        <w:rPr>
          <w:rFonts w:cs="Times New Roman"/>
          <w:noProof/>
        </w:rPr>
      </w:pPr>
      <w:r>
        <w:rPr>
          <w:noProof/>
        </w:rPr>
        <w:t xml:space="preserve">— Obligația de a delimita zonele cu emisii scăzute luând în considerare originea și destinația călătoriilor cu privire la care s-a considerat necesar să se intervină, prin intermediul transferului modal sau prin încurajarea reducerii călătoriilor. </w:t>
      </w:r>
    </w:p>
    <w:p w14:paraId="4E9E840D" w14:textId="77777777" w:rsidR="00D924EA" w:rsidRDefault="00011DE9">
      <w:pPr>
        <w:pStyle w:val="P68B1DB1-Normal7"/>
        <w:spacing w:before="120" w:after="120" w:line="240" w:lineRule="auto"/>
        <w:jc w:val="both"/>
        <w:rPr>
          <w:rFonts w:cs="Times New Roman"/>
          <w:noProof/>
        </w:rPr>
      </w:pPr>
      <w:r>
        <w:rPr>
          <w:noProof/>
        </w:rPr>
        <w:t xml:space="preserve">Suprafața zonelor cu emisii scăzute trebuie să fie adecvată și suficientă pentru îndeplinirea obiectivelor stabilite și proporțională cu acestea. Decretul regal stabilește posibilitatea, la decizia autorităților locale, de a proiecta mai multe zone cu emisii scăzute în orașele mai mari, precum și în teritoriile insulare. </w:t>
      </w:r>
    </w:p>
    <w:p w14:paraId="323CB2DA" w14:textId="77777777" w:rsidR="00D924EA" w:rsidRDefault="00011DE9">
      <w:pPr>
        <w:pStyle w:val="P68B1DB1-Normal7"/>
        <w:spacing w:before="120" w:after="120" w:line="240" w:lineRule="auto"/>
        <w:jc w:val="both"/>
        <w:rPr>
          <w:rFonts w:cs="Times New Roman"/>
          <w:noProof/>
        </w:rPr>
      </w:pPr>
      <w:r>
        <w:rPr>
          <w:noProof/>
        </w:rPr>
        <w:t>— Definirea unor obiective cuantificabile de calitate a aerului care să conducă la o îmbunătățire în comparație cu situația de referință fără zone cu emisii scăzute. Zonele cu emisii scăzute contribuie, în plus, la atingerea valorilor orientative din directivele Organizației Mondiale a Sănătății privind calitatea aerului.</w:t>
      </w:r>
    </w:p>
    <w:p w14:paraId="5DA61DA6" w14:textId="77777777" w:rsidR="00D924EA" w:rsidRDefault="00011DE9">
      <w:pPr>
        <w:pStyle w:val="P68B1DB1-Normal7"/>
        <w:spacing w:before="120" w:after="120" w:line="240" w:lineRule="auto"/>
        <w:jc w:val="both"/>
        <w:rPr>
          <w:rFonts w:cs="Times New Roman"/>
          <w:noProof/>
        </w:rPr>
      </w:pPr>
      <w:r>
        <w:rPr>
          <w:noProof/>
        </w:rPr>
        <w:t xml:space="preserve">— Proiectul privind zonele cu emisii scăzute include obiective măsurabile și cuantificabile de reducere a emisiilor de gaze cu efect de seră în zonele cu emisii scăzute până în 2030, în concordanță cu obiectivele stabilite în Planul național integrat privind energia și clima (PNIEC), în special cu obiectivul de reducere a utilizării vehiculelor motorizate private în comparație cu alte moduri de transport. </w:t>
      </w:r>
    </w:p>
    <w:p w14:paraId="48CC5BF2" w14:textId="77777777" w:rsidR="00D924EA" w:rsidRDefault="00011DE9">
      <w:pPr>
        <w:pStyle w:val="P68B1DB1-Normal7"/>
        <w:spacing w:before="120" w:after="120" w:line="240" w:lineRule="auto"/>
        <w:jc w:val="both"/>
        <w:rPr>
          <w:rFonts w:cs="Times New Roman"/>
          <w:noProof/>
        </w:rPr>
      </w:pPr>
      <w:r>
        <w:rPr>
          <w:noProof/>
        </w:rPr>
        <w:t xml:space="preserve">Interdicții sau restricții privind accesul, circulația și parcarea vehiculelor, în funcție de potențialul lor de poluare. </w:t>
      </w:r>
    </w:p>
    <w:p w14:paraId="62F0294E" w14:textId="77777777" w:rsidR="00D924EA" w:rsidRDefault="00011DE9">
      <w:pPr>
        <w:pStyle w:val="P68B1DB1-Normal7"/>
        <w:spacing w:before="120" w:after="120" w:line="240" w:lineRule="auto"/>
        <w:jc w:val="both"/>
        <w:rPr>
          <w:rFonts w:cs="Times New Roman"/>
          <w:noProof/>
        </w:rPr>
      </w:pPr>
      <w:r>
        <w:rPr>
          <w:noProof/>
        </w:rPr>
        <w:t>Decretul regal acordă zonelor LEZ preexistente stabilite înainte de aprobarea Decretului regal 1052/2022 o perioadă tranzitorie de 18 luni pentru adaptarea la aceste cerințe minime.</w:t>
      </w:r>
    </w:p>
    <w:p w14:paraId="326D7FBC" w14:textId="77777777" w:rsidR="00D924EA" w:rsidRDefault="00011DE9">
      <w:pPr>
        <w:pStyle w:val="P68B1DB1-Normal7"/>
        <w:spacing w:after="0" w:line="276" w:lineRule="auto"/>
        <w:rPr>
          <w:rFonts w:cs="Times New Roman"/>
          <w:noProof/>
        </w:rPr>
      </w:pPr>
      <w:r>
        <w:rPr>
          <w:noProof/>
        </w:rPr>
        <w:t xml:space="preserve">Punerea în aplicare a măsurii se finalizează până în decembrie 2022. </w:t>
      </w:r>
    </w:p>
    <w:p w14:paraId="2DCA2671" w14:textId="18191453" w:rsidR="00D924EA" w:rsidRDefault="00011DE9">
      <w:pPr>
        <w:pStyle w:val="P68B1DB1-Normal6"/>
        <w:spacing w:before="120" w:after="120" w:line="240" w:lineRule="auto"/>
        <w:ind w:left="709"/>
        <w:jc w:val="both"/>
        <w:rPr>
          <w:rFonts w:ascii="Times New Roman" w:eastAsia="Calibri" w:hAnsi="Times New Roman" w:cs="Times New Roman"/>
          <w:b/>
          <w:noProof/>
          <w:u w:val="single"/>
        </w:rPr>
      </w:pPr>
      <w:r>
        <w:rPr>
          <w:rFonts w:ascii="Times New Roman" w:eastAsia="Calibri" w:hAnsi="Times New Roman" w:cs="Arial"/>
          <w:b/>
          <w:noProof/>
          <w:u w:val="single"/>
        </w:rPr>
        <w:t>A.5.</w:t>
      </w:r>
      <w:r w:rsidR="00971820">
        <w:rPr>
          <w:rFonts w:ascii="Times New Roman" w:eastAsia="Calibri" w:hAnsi="Times New Roman" w:cs="Arial"/>
          <w:b/>
          <w:noProof/>
          <w:u w:val="single"/>
        </w:rPr>
        <w:t xml:space="preserve"> </w:t>
      </w:r>
      <w:r>
        <w:rPr>
          <w:rFonts w:ascii="Times New Roman" w:eastAsia="Calibri" w:hAnsi="Times New Roman" w:cs="Arial"/>
          <w:b/>
          <w:noProof/>
          <w:u w:val="single"/>
        </w:rPr>
        <w:t>Jaloane, ținte, indicatori și calendarul de monitorizare și punere în aplicare pentru sprijinul sub formă de împrumut</w:t>
      </w:r>
    </w:p>
    <w:p w14:paraId="3F317A0B" w14:textId="77777777" w:rsidR="00D924EA" w:rsidRDefault="00011DE9">
      <w:pPr>
        <w:pStyle w:val="P68B1DB1-Normal7"/>
        <w:spacing w:before="120" w:after="120" w:line="240" w:lineRule="auto"/>
        <w:jc w:val="both"/>
        <w:rPr>
          <w:rFonts w:cs="Times New Roman"/>
          <w:i/>
          <w:iCs/>
          <w:noProof/>
        </w:rPr>
        <w:sectPr w:rsidR="00D924EA" w:rsidSect="00473A06">
          <w:headerReference w:type="even" r:id="rId32"/>
          <w:headerReference w:type="default" r:id="rId33"/>
          <w:footerReference w:type="even" r:id="rId34"/>
          <w:footerReference w:type="default" r:id="rId35"/>
          <w:headerReference w:type="first" r:id="rId36"/>
          <w:footerReference w:type="first" r:id="rId37"/>
          <w:pgSz w:w="11907" w:h="16839"/>
          <w:pgMar w:top="1134" w:right="1134" w:bottom="1134" w:left="1134" w:header="567" w:footer="567" w:gutter="0"/>
          <w:cols w:space="720"/>
          <w:docGrid w:linePitch="360"/>
        </w:sect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8"/>
        <w:gridCol w:w="828"/>
        <w:gridCol w:w="2893"/>
        <w:gridCol w:w="1104"/>
        <w:gridCol w:w="829"/>
        <w:gridCol w:w="966"/>
        <w:gridCol w:w="828"/>
        <w:gridCol w:w="415"/>
        <w:gridCol w:w="553"/>
        <w:gridCol w:w="5234"/>
      </w:tblGrid>
      <w:tr w:rsidR="00D924EA" w14:paraId="7829DEF8" w14:textId="77777777">
        <w:trPr>
          <w:trHeight w:val="309"/>
          <w:tblHeader/>
          <w:jc w:val="center"/>
        </w:trPr>
        <w:tc>
          <w:tcPr>
            <w:tcW w:w="832" w:type="dxa"/>
            <w:vMerge w:val="restart"/>
            <w:shd w:val="clear" w:color="auto" w:fill="B7D4EF" w:themeFill="text2" w:themeFillTint="33"/>
            <w:noWrap/>
            <w:vAlign w:val="center"/>
          </w:tcPr>
          <w:p w14:paraId="6823CC4A" w14:textId="77777777" w:rsidR="00D924EA" w:rsidRDefault="00011DE9">
            <w:pPr>
              <w:pStyle w:val="P68B1DB1-Normal28"/>
              <w:spacing w:after="0" w:line="240" w:lineRule="auto"/>
              <w:jc w:val="center"/>
              <w:rPr>
                <w:rFonts w:cs="Times New Roman"/>
                <w:noProof/>
                <w:szCs w:val="18"/>
              </w:rPr>
            </w:pPr>
            <w:r>
              <w:rPr>
                <w:noProof/>
              </w:rPr>
              <w:t>Număr</w:t>
            </w:r>
          </w:p>
        </w:tc>
        <w:tc>
          <w:tcPr>
            <w:tcW w:w="828" w:type="dxa"/>
            <w:vMerge w:val="restart"/>
            <w:shd w:val="clear" w:color="auto" w:fill="B7D4EF" w:themeFill="text2" w:themeFillTint="33"/>
            <w:noWrap/>
            <w:vAlign w:val="center"/>
          </w:tcPr>
          <w:p w14:paraId="406119FC" w14:textId="77777777" w:rsidR="00D924EA" w:rsidRDefault="00011DE9">
            <w:pPr>
              <w:pStyle w:val="P68B1DB1-Normal28"/>
              <w:spacing w:after="0" w:line="240" w:lineRule="auto"/>
              <w:jc w:val="center"/>
              <w:rPr>
                <w:rFonts w:cs="Times New Roman"/>
                <w:noProof/>
                <w:szCs w:val="18"/>
              </w:rPr>
            </w:pPr>
            <w:r>
              <w:rPr>
                <w:noProof/>
              </w:rPr>
              <w:t>Măsură</w:t>
            </w:r>
          </w:p>
        </w:tc>
        <w:tc>
          <w:tcPr>
            <w:tcW w:w="828" w:type="dxa"/>
            <w:vMerge w:val="restart"/>
            <w:shd w:val="clear" w:color="auto" w:fill="B7D4EF" w:themeFill="text2" w:themeFillTint="33"/>
            <w:noWrap/>
            <w:vAlign w:val="center"/>
          </w:tcPr>
          <w:p w14:paraId="682EAFFC" w14:textId="0971C2BA" w:rsidR="00D924EA" w:rsidRDefault="00011DE9">
            <w:pPr>
              <w:spacing w:after="0" w:line="240" w:lineRule="auto"/>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2893" w:type="dxa"/>
            <w:vMerge w:val="restart"/>
            <w:shd w:val="clear" w:color="auto" w:fill="B7D4EF" w:themeFill="text2" w:themeFillTint="33"/>
            <w:noWrap/>
            <w:vAlign w:val="center"/>
          </w:tcPr>
          <w:p w14:paraId="622255C6" w14:textId="77777777" w:rsidR="00D924EA" w:rsidRDefault="00011DE9">
            <w:pPr>
              <w:pStyle w:val="P68B1DB1-Normal28"/>
              <w:spacing w:after="0" w:line="240" w:lineRule="auto"/>
              <w:jc w:val="center"/>
              <w:rPr>
                <w:rFonts w:cs="Times New Roman"/>
                <w:noProof/>
                <w:szCs w:val="18"/>
              </w:rPr>
            </w:pPr>
            <w:r>
              <w:rPr>
                <w:noProof/>
              </w:rPr>
              <w:t>Nume</w:t>
            </w:r>
          </w:p>
        </w:tc>
        <w:tc>
          <w:tcPr>
            <w:tcW w:w="1104" w:type="dxa"/>
            <w:vMerge w:val="restart"/>
            <w:shd w:val="clear" w:color="auto" w:fill="B7D4EF" w:themeFill="text2" w:themeFillTint="33"/>
            <w:noWrap/>
          </w:tcPr>
          <w:p w14:paraId="5A41771A" w14:textId="77777777" w:rsidR="00D924EA" w:rsidRDefault="00011DE9">
            <w:pPr>
              <w:pStyle w:val="P68B1DB1-Normal28"/>
              <w:spacing w:after="0" w:line="240" w:lineRule="auto"/>
              <w:jc w:val="center"/>
              <w:rPr>
                <w:rFonts w:cs="Times New Roman"/>
                <w:noProof/>
                <w:szCs w:val="18"/>
              </w:rPr>
            </w:pPr>
            <w:r>
              <w:rPr>
                <w:noProof/>
              </w:rPr>
              <w:t>Indicator calitativ pentru jaloane</w:t>
            </w:r>
          </w:p>
        </w:tc>
        <w:tc>
          <w:tcPr>
            <w:tcW w:w="2623" w:type="dxa"/>
            <w:gridSpan w:val="3"/>
            <w:shd w:val="clear" w:color="auto" w:fill="B7D4EF" w:themeFill="text2" w:themeFillTint="33"/>
            <w:noWrap/>
            <w:vAlign w:val="center"/>
          </w:tcPr>
          <w:p w14:paraId="1C83090C" w14:textId="77777777" w:rsidR="00D924EA" w:rsidRDefault="00011DE9">
            <w:pPr>
              <w:pStyle w:val="P68B1DB1-Normal28"/>
              <w:spacing w:after="0" w:line="240" w:lineRule="auto"/>
              <w:jc w:val="center"/>
              <w:rPr>
                <w:rFonts w:cs="Times New Roman"/>
                <w:noProof/>
                <w:szCs w:val="18"/>
              </w:rPr>
            </w:pPr>
            <w:r>
              <w:rPr>
                <w:noProof/>
              </w:rPr>
              <w:t>Indicator cantitativ pentru ținte</w:t>
            </w:r>
          </w:p>
        </w:tc>
        <w:tc>
          <w:tcPr>
            <w:tcW w:w="968" w:type="dxa"/>
            <w:gridSpan w:val="2"/>
            <w:shd w:val="clear" w:color="auto" w:fill="B7D4EF" w:themeFill="text2" w:themeFillTint="33"/>
            <w:noWrap/>
            <w:vAlign w:val="center"/>
          </w:tcPr>
          <w:p w14:paraId="69FEDAB6" w14:textId="77777777" w:rsidR="00D924EA" w:rsidRDefault="00011DE9">
            <w:pPr>
              <w:pStyle w:val="P68B1DB1-Normal28"/>
              <w:spacing w:after="0" w:line="240" w:lineRule="auto"/>
              <w:jc w:val="center"/>
              <w:rPr>
                <w:rFonts w:cs="Times New Roman"/>
                <w:noProof/>
                <w:szCs w:val="18"/>
              </w:rPr>
            </w:pPr>
            <w:r>
              <w:rPr>
                <w:noProof/>
              </w:rPr>
              <w:t>Timp</w:t>
            </w:r>
          </w:p>
        </w:tc>
        <w:tc>
          <w:tcPr>
            <w:tcW w:w="5234" w:type="dxa"/>
            <w:vMerge w:val="restart"/>
            <w:shd w:val="clear" w:color="auto" w:fill="B7D4EF" w:themeFill="text2" w:themeFillTint="33"/>
            <w:noWrap/>
            <w:vAlign w:val="center"/>
          </w:tcPr>
          <w:p w14:paraId="711971A6" w14:textId="77777777" w:rsidR="00D924EA" w:rsidRDefault="00011DE9">
            <w:pPr>
              <w:pStyle w:val="P68B1DB1-Normal28"/>
              <w:spacing w:after="0" w:line="240" w:lineRule="auto"/>
              <w:jc w:val="center"/>
              <w:rPr>
                <w:rFonts w:cs="Times New Roman"/>
                <w:noProof/>
                <w:szCs w:val="18"/>
              </w:rPr>
            </w:pPr>
            <w:r>
              <w:rPr>
                <w:noProof/>
              </w:rPr>
              <w:t>Descrierea fiecărui jalon și a fiecărei ținte</w:t>
            </w:r>
          </w:p>
        </w:tc>
      </w:tr>
      <w:tr w:rsidR="00D924EA" w14:paraId="1B581CE9" w14:textId="77777777">
        <w:trPr>
          <w:trHeight w:val="309"/>
          <w:tblHeader/>
          <w:jc w:val="center"/>
        </w:trPr>
        <w:tc>
          <w:tcPr>
            <w:tcW w:w="832" w:type="dxa"/>
            <w:vMerge/>
            <w:shd w:val="clear" w:color="auto" w:fill="B7D4EF" w:themeFill="text2" w:themeFillTint="33"/>
            <w:noWrap/>
          </w:tcPr>
          <w:p w14:paraId="795BBF0F" w14:textId="77777777" w:rsidR="00D924EA" w:rsidRDefault="00D924EA">
            <w:pPr>
              <w:spacing w:after="0" w:line="240" w:lineRule="auto"/>
              <w:jc w:val="center"/>
              <w:rPr>
                <w:rFonts w:ascii="Times New Roman" w:hAnsi="Times New Roman" w:cs="Times New Roman"/>
                <w:b/>
                <w:noProof/>
                <w:sz w:val="18"/>
                <w:szCs w:val="18"/>
              </w:rPr>
            </w:pPr>
          </w:p>
        </w:tc>
        <w:tc>
          <w:tcPr>
            <w:tcW w:w="828" w:type="dxa"/>
            <w:vMerge/>
            <w:shd w:val="clear" w:color="auto" w:fill="B7D4EF" w:themeFill="text2" w:themeFillTint="33"/>
            <w:noWrap/>
          </w:tcPr>
          <w:p w14:paraId="4FBDA31A" w14:textId="77777777" w:rsidR="00D924EA" w:rsidRDefault="00D924EA">
            <w:pPr>
              <w:spacing w:after="0" w:line="240" w:lineRule="auto"/>
              <w:jc w:val="center"/>
              <w:rPr>
                <w:rFonts w:ascii="Times New Roman" w:hAnsi="Times New Roman" w:cs="Times New Roman"/>
                <w:b/>
                <w:noProof/>
                <w:sz w:val="18"/>
                <w:szCs w:val="18"/>
              </w:rPr>
            </w:pPr>
          </w:p>
        </w:tc>
        <w:tc>
          <w:tcPr>
            <w:tcW w:w="828" w:type="dxa"/>
            <w:vMerge/>
            <w:shd w:val="clear" w:color="auto" w:fill="B7D4EF" w:themeFill="text2" w:themeFillTint="33"/>
            <w:noWrap/>
          </w:tcPr>
          <w:p w14:paraId="3926F1A4" w14:textId="77777777" w:rsidR="00D924EA" w:rsidRDefault="00D924EA">
            <w:pPr>
              <w:spacing w:after="0" w:line="240" w:lineRule="auto"/>
              <w:jc w:val="center"/>
              <w:rPr>
                <w:rFonts w:ascii="Times New Roman" w:hAnsi="Times New Roman" w:cs="Times New Roman"/>
                <w:b/>
                <w:noProof/>
                <w:sz w:val="18"/>
                <w:szCs w:val="18"/>
              </w:rPr>
            </w:pPr>
          </w:p>
        </w:tc>
        <w:tc>
          <w:tcPr>
            <w:tcW w:w="2893" w:type="dxa"/>
            <w:vMerge/>
            <w:shd w:val="clear" w:color="auto" w:fill="B7D4EF" w:themeFill="text2" w:themeFillTint="33"/>
            <w:noWrap/>
          </w:tcPr>
          <w:p w14:paraId="2610E836" w14:textId="77777777" w:rsidR="00D924EA" w:rsidRDefault="00D924EA">
            <w:pPr>
              <w:spacing w:after="0" w:line="240" w:lineRule="auto"/>
              <w:rPr>
                <w:rFonts w:ascii="Times New Roman" w:hAnsi="Times New Roman" w:cs="Times New Roman"/>
                <w:b/>
                <w:noProof/>
                <w:sz w:val="18"/>
                <w:szCs w:val="18"/>
              </w:rPr>
            </w:pPr>
          </w:p>
        </w:tc>
        <w:tc>
          <w:tcPr>
            <w:tcW w:w="1104" w:type="dxa"/>
            <w:vMerge/>
            <w:shd w:val="clear" w:color="auto" w:fill="B7D4EF" w:themeFill="text2" w:themeFillTint="33"/>
            <w:noWrap/>
          </w:tcPr>
          <w:p w14:paraId="71A92BF7" w14:textId="77777777" w:rsidR="00D924EA" w:rsidRDefault="00D924EA">
            <w:pPr>
              <w:spacing w:after="0" w:line="240" w:lineRule="auto"/>
              <w:jc w:val="center"/>
              <w:rPr>
                <w:rFonts w:ascii="Times New Roman" w:hAnsi="Times New Roman" w:cs="Times New Roman"/>
                <w:b/>
                <w:noProof/>
                <w:sz w:val="18"/>
                <w:szCs w:val="18"/>
              </w:rPr>
            </w:pPr>
          </w:p>
        </w:tc>
        <w:tc>
          <w:tcPr>
            <w:tcW w:w="829" w:type="dxa"/>
            <w:shd w:val="clear" w:color="auto" w:fill="B7D4EF" w:themeFill="text2" w:themeFillTint="33"/>
            <w:noWrap/>
          </w:tcPr>
          <w:p w14:paraId="0208A675" w14:textId="77777777" w:rsidR="00D924EA" w:rsidRDefault="00011DE9">
            <w:pPr>
              <w:pStyle w:val="P68B1DB1-Normal28"/>
              <w:spacing w:after="0" w:line="240" w:lineRule="auto"/>
              <w:jc w:val="center"/>
              <w:rPr>
                <w:rFonts w:cs="Times New Roman"/>
                <w:noProof/>
                <w:szCs w:val="18"/>
              </w:rPr>
            </w:pPr>
            <w:r>
              <w:rPr>
                <w:noProof/>
              </w:rPr>
              <w:t>Unitate</w:t>
            </w:r>
          </w:p>
        </w:tc>
        <w:tc>
          <w:tcPr>
            <w:tcW w:w="966" w:type="dxa"/>
            <w:shd w:val="clear" w:color="auto" w:fill="B7D4EF" w:themeFill="text2" w:themeFillTint="33"/>
            <w:noWrap/>
          </w:tcPr>
          <w:p w14:paraId="20E69692" w14:textId="77777777" w:rsidR="00D924EA" w:rsidRDefault="00011DE9">
            <w:pPr>
              <w:pStyle w:val="P68B1DB1-Normal28"/>
              <w:spacing w:after="0" w:line="240" w:lineRule="auto"/>
              <w:jc w:val="center"/>
              <w:rPr>
                <w:rFonts w:cs="Times New Roman"/>
                <w:noProof/>
                <w:szCs w:val="18"/>
              </w:rPr>
            </w:pPr>
            <w:r>
              <w:rPr>
                <w:noProof/>
              </w:rPr>
              <w:t>Situația de referință</w:t>
            </w:r>
          </w:p>
        </w:tc>
        <w:tc>
          <w:tcPr>
            <w:tcW w:w="828" w:type="dxa"/>
            <w:shd w:val="clear" w:color="auto" w:fill="B7D4EF" w:themeFill="text2" w:themeFillTint="33"/>
            <w:noWrap/>
          </w:tcPr>
          <w:p w14:paraId="492B1E21" w14:textId="77777777" w:rsidR="00D924EA" w:rsidRDefault="00011DE9">
            <w:pPr>
              <w:pStyle w:val="P68B1DB1-Normal28"/>
              <w:spacing w:after="0" w:line="240" w:lineRule="auto"/>
              <w:jc w:val="center"/>
              <w:rPr>
                <w:rFonts w:cs="Times New Roman"/>
                <w:noProof/>
                <w:szCs w:val="18"/>
              </w:rPr>
            </w:pPr>
            <w:r>
              <w:rPr>
                <w:noProof/>
              </w:rPr>
              <w:t>Obiectiv</w:t>
            </w:r>
          </w:p>
        </w:tc>
        <w:tc>
          <w:tcPr>
            <w:tcW w:w="415" w:type="dxa"/>
            <w:shd w:val="clear" w:color="auto" w:fill="B7D4EF" w:themeFill="text2" w:themeFillTint="33"/>
            <w:noWrap/>
          </w:tcPr>
          <w:p w14:paraId="162FC696" w14:textId="4F137379" w:rsidR="00D924EA" w:rsidRDefault="005701C9">
            <w:pPr>
              <w:pStyle w:val="P68B1DB1-Normal28"/>
              <w:spacing w:after="0" w:line="240" w:lineRule="auto"/>
              <w:jc w:val="center"/>
              <w:rPr>
                <w:rFonts w:cs="Times New Roman"/>
                <w:noProof/>
                <w:szCs w:val="18"/>
              </w:rPr>
            </w:pPr>
            <w:r>
              <w:rPr>
                <w:noProof/>
              </w:rPr>
              <w:t>T</w:t>
            </w:r>
          </w:p>
        </w:tc>
        <w:tc>
          <w:tcPr>
            <w:tcW w:w="553" w:type="dxa"/>
            <w:shd w:val="clear" w:color="auto" w:fill="B7D4EF" w:themeFill="text2" w:themeFillTint="33"/>
            <w:noWrap/>
          </w:tcPr>
          <w:p w14:paraId="41E21FDD" w14:textId="77777777" w:rsidR="00D924EA" w:rsidRDefault="00011DE9">
            <w:pPr>
              <w:pStyle w:val="P68B1DB1-Normal28"/>
              <w:spacing w:after="0" w:line="240" w:lineRule="auto"/>
              <w:jc w:val="center"/>
              <w:rPr>
                <w:rFonts w:cs="Times New Roman"/>
                <w:noProof/>
                <w:szCs w:val="18"/>
              </w:rPr>
            </w:pPr>
            <w:r>
              <w:rPr>
                <w:noProof/>
              </w:rPr>
              <w:t>Anul</w:t>
            </w:r>
          </w:p>
        </w:tc>
        <w:tc>
          <w:tcPr>
            <w:tcW w:w="5234" w:type="dxa"/>
            <w:vMerge/>
            <w:shd w:val="clear" w:color="auto" w:fill="B7D4EF" w:themeFill="text2" w:themeFillTint="33"/>
            <w:noWrap/>
          </w:tcPr>
          <w:p w14:paraId="1AED440B" w14:textId="77777777" w:rsidR="00D924EA" w:rsidRDefault="00D924EA">
            <w:pPr>
              <w:spacing w:after="0" w:line="240" w:lineRule="auto"/>
              <w:rPr>
                <w:rFonts w:ascii="Times New Roman" w:hAnsi="Times New Roman" w:cs="Times New Roman"/>
                <w:b/>
                <w:noProof/>
                <w:sz w:val="18"/>
                <w:szCs w:val="18"/>
              </w:rPr>
            </w:pPr>
          </w:p>
        </w:tc>
      </w:tr>
      <w:tr w:rsidR="00D924EA" w14:paraId="598B8FF4" w14:textId="77777777">
        <w:trPr>
          <w:trHeight w:val="1382"/>
          <w:jc w:val="center"/>
        </w:trPr>
        <w:tc>
          <w:tcPr>
            <w:tcW w:w="832" w:type="dxa"/>
            <w:shd w:val="clear" w:color="auto" w:fill="C6EFCE"/>
            <w:noWrap/>
          </w:tcPr>
          <w:p w14:paraId="1E59D1FD" w14:textId="3314D3E9" w:rsidR="00D924EA" w:rsidRDefault="00011DE9">
            <w:pPr>
              <w:spacing w:after="0" w:line="240" w:lineRule="auto"/>
              <w:jc w:val="center"/>
              <w:rPr>
                <w:rFonts w:ascii="Times New Roman" w:eastAsia="MS Mincho" w:hAnsi="Times New Roman" w:cs="Times New Roman"/>
                <w:noProof/>
                <w:sz w:val="18"/>
                <w:szCs w:val="18"/>
              </w:rPr>
            </w:pPr>
            <w:r>
              <w:rPr>
                <w:rFonts w:ascii="Times New Roman" w:hAnsi="Times New Roman"/>
                <w:noProof/>
                <w:sz w:val="18"/>
              </w:rPr>
              <w:t>L1</w:t>
            </w:r>
            <w:r>
              <w:rPr>
                <w:rFonts w:ascii="Arial" w:hAnsi="Arial"/>
                <w:b/>
                <w:noProof/>
                <w:sz w:val="48"/>
              </w:rPr>
              <w:t xml:space="preserve"> </w:t>
            </w:r>
            <w:r>
              <w:rPr>
                <w:noProof/>
              </w:rPr>
              <w:tab/>
            </w:r>
          </w:p>
        </w:tc>
        <w:tc>
          <w:tcPr>
            <w:tcW w:w="828" w:type="dxa"/>
            <w:shd w:val="clear" w:color="auto" w:fill="C6EFCE"/>
            <w:noWrap/>
          </w:tcPr>
          <w:p w14:paraId="76D9AB5A" w14:textId="77777777" w:rsidR="00D924EA" w:rsidRDefault="00011DE9">
            <w:pPr>
              <w:pStyle w:val="P68B1DB1-Normal23"/>
              <w:spacing w:after="0" w:line="240" w:lineRule="auto"/>
              <w:jc w:val="center"/>
              <w:rPr>
                <w:rFonts w:eastAsia="MS Mincho" w:cs="Times New Roman"/>
                <w:noProof/>
                <w:szCs w:val="18"/>
              </w:rPr>
            </w:pPr>
            <w:r>
              <w:rPr>
                <w:noProof/>
              </w:rPr>
              <w:t>C1.R3</w:t>
            </w:r>
          </w:p>
        </w:tc>
        <w:tc>
          <w:tcPr>
            <w:tcW w:w="828" w:type="dxa"/>
            <w:shd w:val="clear" w:color="auto" w:fill="C6EFCE"/>
            <w:noWrap/>
          </w:tcPr>
          <w:p w14:paraId="178F90BC"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2893" w:type="dxa"/>
            <w:shd w:val="clear" w:color="auto" w:fill="C6EFCE"/>
            <w:noWrap/>
          </w:tcPr>
          <w:p w14:paraId="79B04BA5" w14:textId="77777777" w:rsidR="00D924EA" w:rsidRDefault="00011DE9">
            <w:pPr>
              <w:pStyle w:val="P68B1DB1-Normal23"/>
              <w:spacing w:after="0" w:line="240" w:lineRule="auto"/>
              <w:rPr>
                <w:rFonts w:eastAsia="MS Mincho" w:cs="Times New Roman"/>
                <w:noProof/>
                <w:szCs w:val="18"/>
              </w:rPr>
            </w:pPr>
            <w:r>
              <w:rPr>
                <w:noProof/>
              </w:rPr>
              <w:t>Intrarea în vigoare a Decretului regal de reglementare a zonelor cu emisii scăzute (LEZs)</w:t>
            </w:r>
          </w:p>
        </w:tc>
        <w:tc>
          <w:tcPr>
            <w:tcW w:w="1104" w:type="dxa"/>
            <w:shd w:val="clear" w:color="auto" w:fill="C6EFCE"/>
            <w:noWrap/>
          </w:tcPr>
          <w:p w14:paraId="7B52E07D" w14:textId="77777777" w:rsidR="00D924EA" w:rsidRDefault="00011DE9">
            <w:pPr>
              <w:pStyle w:val="P68B1DB1-Normal23"/>
              <w:spacing w:after="0" w:line="240" w:lineRule="auto"/>
              <w:jc w:val="center"/>
              <w:rPr>
                <w:rFonts w:eastAsia="MS Mincho" w:cs="Times New Roman"/>
                <w:noProof/>
                <w:szCs w:val="18"/>
              </w:rPr>
            </w:pPr>
            <w:r>
              <w:rPr>
                <w:noProof/>
              </w:rPr>
              <w:t>Dispoziție din Decretul regal care indică intrarea sa în vigoare</w:t>
            </w:r>
          </w:p>
        </w:tc>
        <w:tc>
          <w:tcPr>
            <w:tcW w:w="829" w:type="dxa"/>
            <w:shd w:val="clear" w:color="auto" w:fill="C6EFCE"/>
            <w:noWrap/>
          </w:tcPr>
          <w:p w14:paraId="357B1CD0"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F0D25B6"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828" w:type="dxa"/>
            <w:shd w:val="clear" w:color="auto" w:fill="C6EFCE"/>
            <w:noWrap/>
          </w:tcPr>
          <w:p w14:paraId="466CA244"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5099DACD" w14:textId="519532D8" w:rsidR="00D924EA" w:rsidRDefault="005701C9">
            <w:pPr>
              <w:pStyle w:val="P68B1DB1-Normal23"/>
              <w:spacing w:after="0" w:line="240" w:lineRule="auto"/>
              <w:jc w:val="center"/>
              <w:rPr>
                <w:rFonts w:eastAsia="MS Mincho" w:cs="Times New Roman"/>
                <w:noProof/>
                <w:szCs w:val="18"/>
              </w:rPr>
            </w:pPr>
            <w:r>
              <w:rPr>
                <w:noProof/>
              </w:rPr>
              <w:t>T</w:t>
            </w:r>
            <w:r w:rsidR="00011DE9">
              <w:rPr>
                <w:noProof/>
              </w:rPr>
              <w:t>4</w:t>
            </w:r>
          </w:p>
        </w:tc>
        <w:tc>
          <w:tcPr>
            <w:tcW w:w="553" w:type="dxa"/>
            <w:shd w:val="clear" w:color="auto" w:fill="C6EFCE"/>
            <w:noWrap/>
          </w:tcPr>
          <w:p w14:paraId="396BCAFB" w14:textId="77777777" w:rsidR="00D924EA" w:rsidRDefault="00011DE9">
            <w:pPr>
              <w:pStyle w:val="P68B1DB1-Normal23"/>
              <w:spacing w:after="0" w:line="240" w:lineRule="auto"/>
              <w:jc w:val="center"/>
              <w:rPr>
                <w:rFonts w:eastAsia="MS Mincho" w:cs="Times New Roman"/>
                <w:noProof/>
                <w:szCs w:val="18"/>
              </w:rPr>
            </w:pPr>
            <w:r>
              <w:rPr>
                <w:noProof/>
              </w:rPr>
              <w:t>2022</w:t>
            </w:r>
          </w:p>
        </w:tc>
        <w:tc>
          <w:tcPr>
            <w:tcW w:w="5234" w:type="dxa"/>
            <w:shd w:val="clear" w:color="auto" w:fill="C6EFCE"/>
            <w:noWrap/>
          </w:tcPr>
          <w:p w14:paraId="7756D739" w14:textId="77777777" w:rsidR="00D924EA" w:rsidRDefault="00011DE9">
            <w:pPr>
              <w:pStyle w:val="P68B1DB1-Normal23"/>
              <w:spacing w:after="0" w:line="240" w:lineRule="auto"/>
              <w:rPr>
                <w:rFonts w:eastAsia="MS Mincho" w:cs="Times New Roman"/>
                <w:noProof/>
                <w:szCs w:val="18"/>
              </w:rPr>
            </w:pPr>
            <w:r>
              <w:rPr>
                <w:noProof/>
              </w:rPr>
              <w:t>Intrarea în vigoare a Decretului regal 1052/2022 din 27 decembrie, care reglementează zonele cu emisii scăzute (LEZs)</w:t>
            </w:r>
          </w:p>
        </w:tc>
      </w:tr>
    </w:tbl>
    <w:p w14:paraId="53BE7EA5" w14:textId="51CBC8FD" w:rsidR="00D924EA" w:rsidRDefault="00D924EA">
      <w:pPr>
        <w:rPr>
          <w:rFonts w:ascii="Times New Roman" w:hAnsi="Times New Roman"/>
          <w:noProof/>
        </w:rPr>
        <w:sectPr w:rsidR="00D924EA" w:rsidSect="00507C22">
          <w:headerReference w:type="even" r:id="rId38"/>
          <w:headerReference w:type="default" r:id="rId39"/>
          <w:footerReference w:type="even" r:id="rId40"/>
          <w:footerReference w:type="default" r:id="rId41"/>
          <w:headerReference w:type="first" r:id="rId42"/>
          <w:footerReference w:type="first" r:id="rId43"/>
          <w:pgSz w:w="16839" w:h="11907" w:orient="landscape"/>
          <w:pgMar w:top="1134" w:right="1134" w:bottom="1134" w:left="1134" w:header="567" w:footer="567" w:gutter="0"/>
          <w:cols w:space="720"/>
          <w:docGrid w:linePitch="360"/>
        </w:sectPr>
      </w:pPr>
    </w:p>
    <w:p w14:paraId="6539A235" w14:textId="77777777" w:rsidR="00D924EA" w:rsidRDefault="00011DE9">
      <w:pPr>
        <w:pStyle w:val="Heading1"/>
        <w:rPr>
          <w:noProof/>
        </w:rPr>
      </w:pPr>
      <w:r>
        <w:rPr>
          <w:noProof/>
        </w:rPr>
        <w:t>B. COMPONENTA 02: Punerea în aplicare a Agendei urbane a Spaniei: Planul de reabilitare și regenerare urbană</w:t>
      </w:r>
    </w:p>
    <w:p w14:paraId="6F10C4DC" w14:textId="77777777" w:rsidR="00D924EA" w:rsidRDefault="00011DE9">
      <w:pPr>
        <w:pStyle w:val="P68B1DB1-Normal29"/>
        <w:spacing w:before="120" w:after="120" w:line="240" w:lineRule="auto"/>
        <w:jc w:val="both"/>
        <w:rPr>
          <w:rFonts w:cs="Times New Roman"/>
          <w:noProof/>
        </w:rPr>
      </w:pPr>
      <w:r>
        <w:rPr>
          <w:noProof/>
        </w:rPr>
        <w:t>Această componentă a planului spaniol de redresare și reziliență abordează reabilitarea energetică a clădirilor, decarbonizarea acestora și îmbunătățirea calității și a confortului acestora. Aceasta abordează, de asemenea, problema locuințelor sociale de închiriat, sporind fondul acestora și asigurând o redresare mai echitabilă și mai favorabilă incluziunii. În plus, componenta urmărește să abordeze sărăcia energetică prin sprijinirea locuințelor sociale sau a locuințelor de închiriat la prețuri accesibile. Sunt incluse, de asemenea, activitățile de digitalizare. Această componentă a planului spaniol de redresare și reziliență sprijină punerea în aplicare a planului național privind energia și clima (PNEC) al Spaniei, care prevede renovarea a 1</w:t>
      </w:r>
      <w:r>
        <w:rPr>
          <w:noProof/>
          <w:sz w:val="20"/>
        </w:rPr>
        <w:t xml:space="preserve"> </w:t>
      </w:r>
      <w:r>
        <w:rPr>
          <w:noProof/>
        </w:rPr>
        <w:t>200</w:t>
      </w:r>
      <w:r>
        <w:rPr>
          <w:noProof/>
          <w:sz w:val="20"/>
        </w:rPr>
        <w:t xml:space="preserve"> </w:t>
      </w:r>
      <w:r>
        <w:rPr>
          <w:noProof/>
        </w:rPr>
        <w:t>000 de clădiri rezidențiale până în 2030 și a sistemelor de încălzire și răcire a 300</w:t>
      </w:r>
      <w:r>
        <w:rPr>
          <w:noProof/>
          <w:sz w:val="20"/>
        </w:rPr>
        <w:t xml:space="preserve"> </w:t>
      </w:r>
      <w:r>
        <w:rPr>
          <w:noProof/>
        </w:rPr>
        <w:t>000 de clădiri rezidențiale în medie pe an. În acest context, Spania propune:</w:t>
      </w:r>
    </w:p>
    <w:p w14:paraId="715D248E" w14:textId="77777777" w:rsidR="00D924EA" w:rsidRDefault="00011DE9">
      <w:pPr>
        <w:pStyle w:val="P68B1DB1-Normal29"/>
        <w:numPr>
          <w:ilvl w:val="0"/>
          <w:numId w:val="22"/>
        </w:numPr>
        <w:spacing w:before="120" w:after="0" w:line="240" w:lineRule="auto"/>
        <w:ind w:left="709" w:hanging="357"/>
        <w:contextualSpacing/>
        <w:jc w:val="both"/>
        <w:rPr>
          <w:rFonts w:cs="Times New Roman"/>
          <w:noProof/>
        </w:rPr>
      </w:pPr>
      <w:r>
        <w:rPr>
          <w:noProof/>
        </w:rPr>
        <w:t>Să elaboreze și să pună în aplicare măsuri de reformă, inclusiv Agenda urbană spaniolă, strategia de renovare pe termen lung a Spaniei, o lege privind locuințele, o lege de îmbunătățire a peisajului arhitectural și crearea de „ghișee unice” pentru renovarea clădirilor;</w:t>
      </w:r>
    </w:p>
    <w:p w14:paraId="1D504683" w14:textId="77777777" w:rsidR="00D924EA" w:rsidRDefault="00011DE9">
      <w:pPr>
        <w:pStyle w:val="P68B1DB1-Normal29"/>
        <w:numPr>
          <w:ilvl w:val="0"/>
          <w:numId w:val="22"/>
        </w:numPr>
        <w:spacing w:before="120" w:after="0" w:line="240" w:lineRule="auto"/>
        <w:ind w:left="709" w:hanging="357"/>
        <w:contextualSpacing/>
        <w:jc w:val="both"/>
        <w:rPr>
          <w:rFonts w:cs="Times New Roman"/>
          <w:noProof/>
        </w:rPr>
      </w:pPr>
      <w:r>
        <w:rPr>
          <w:noProof/>
        </w:rPr>
        <w:t>să renoveze cel puțin 285</w:t>
      </w:r>
      <w:r>
        <w:rPr>
          <w:noProof/>
          <w:sz w:val="20"/>
        </w:rPr>
        <w:t xml:space="preserve"> </w:t>
      </w:r>
      <w:r>
        <w:rPr>
          <w:noProof/>
        </w:rPr>
        <w:t>000 de locuințe rezidențiale unice ca parte a cel puțin 410 000 de acțiuni de renovare, cel puțin 600 hectare de zone urbane, echivalentul a cel puțin 40 000 de clădiri rezidențiale și 690 000</w:t>
      </w:r>
      <w:r>
        <w:rPr>
          <w:noProof/>
          <w:vertAlign w:val="superscript"/>
        </w:rPr>
        <w:t xml:space="preserve"> m</w:t>
      </w:r>
      <w:r>
        <w:rPr>
          <w:noProof/>
        </w:rPr>
        <w:t xml:space="preserve"> 2 de clădiri nerezidențiale, echivalentul a cel puțin 4 300 de clădiri rezidențiale și 230 000</w:t>
      </w:r>
      <w:r>
        <w:rPr>
          <w:noProof/>
          <w:sz w:val="20"/>
        </w:rPr>
        <w:t xml:space="preserve"> </w:t>
      </w:r>
      <w:r>
        <w:rPr>
          <w:noProof/>
        </w:rPr>
        <w:t>m</w:t>
      </w:r>
      <w:r>
        <w:rPr>
          <w:noProof/>
          <w:vertAlign w:val="superscript"/>
        </w:rPr>
        <w:t xml:space="preserve"> 2</w:t>
      </w:r>
      <w:r>
        <w:rPr>
          <w:noProof/>
        </w:rPr>
        <w:t xml:space="preserve"> de clădiri nerezidențiale în municipalități și zone urbane cu mai puțin de 5</w:t>
      </w:r>
      <w:r>
        <w:rPr>
          <w:noProof/>
          <w:sz w:val="20"/>
        </w:rPr>
        <w:t xml:space="preserve"> </w:t>
      </w:r>
      <w:r>
        <w:rPr>
          <w:noProof/>
        </w:rPr>
        <w:t>000 de locuitori și cel puțin 1 230 000 m 2</w:t>
      </w:r>
      <w:r>
        <w:rPr>
          <w:noProof/>
          <w:vertAlign w:val="superscript"/>
        </w:rPr>
        <w:t xml:space="preserve"> de clădiri publice</w:t>
      </w:r>
      <w:r>
        <w:rPr>
          <w:noProof/>
        </w:rPr>
        <w:t xml:space="preserve"> până în 2026, realizând, în medie, economii de energie primară de peste 30 %, inclusiv prin renovarea și modernizarea sistemelor de încălzire și răcire;</w:t>
      </w:r>
    </w:p>
    <w:p w14:paraId="2BADCADC" w14:textId="77777777" w:rsidR="00D924EA" w:rsidRDefault="00011DE9">
      <w:pPr>
        <w:pStyle w:val="P68B1DB1-Normal29"/>
        <w:numPr>
          <w:ilvl w:val="0"/>
          <w:numId w:val="22"/>
        </w:numPr>
        <w:spacing w:before="120" w:after="0" w:line="240" w:lineRule="auto"/>
        <w:ind w:left="709" w:hanging="357"/>
        <w:contextualSpacing/>
        <w:jc w:val="both"/>
        <w:rPr>
          <w:rFonts w:cs="Times New Roman"/>
          <w:noProof/>
        </w:rPr>
      </w:pPr>
      <w:r>
        <w:rPr>
          <w:noProof/>
        </w:rPr>
        <w:t xml:space="preserve">să construiască cel puțin 20 000 de locuințe noi în scopuri de închiriere socială sau la prețuri accesibile, cu o cerere de energie primară de cel puțin 20 % sub cerințele pentru clădirile al căror consum de energie este aproape egal cu zero; </w:t>
      </w:r>
    </w:p>
    <w:p w14:paraId="454C2766" w14:textId="77777777" w:rsidR="00D924EA" w:rsidRDefault="00011DE9">
      <w:pPr>
        <w:pStyle w:val="P68B1DB1-Normal29"/>
        <w:numPr>
          <w:ilvl w:val="0"/>
          <w:numId w:val="22"/>
        </w:numPr>
        <w:spacing w:before="120" w:after="0" w:line="240" w:lineRule="auto"/>
        <w:ind w:left="709" w:hanging="357"/>
        <w:contextualSpacing/>
        <w:jc w:val="both"/>
        <w:rPr>
          <w:rFonts w:cs="Times New Roman"/>
          <w:noProof/>
        </w:rPr>
      </w:pPr>
      <w:r>
        <w:rPr>
          <w:noProof/>
        </w:rPr>
        <w:t>să pună în aplicare cel puțin 100 proiecte-pilot la nivel local care să sprijine eficiența energetică și punerea în aplicare a Agendei urbane spaniole; și</w:t>
      </w:r>
    </w:p>
    <w:p w14:paraId="159046DA" w14:textId="77777777" w:rsidR="00D924EA" w:rsidRDefault="00011DE9">
      <w:pPr>
        <w:pStyle w:val="P68B1DB1-Normal29"/>
        <w:numPr>
          <w:ilvl w:val="0"/>
          <w:numId w:val="22"/>
        </w:numPr>
        <w:spacing w:before="120" w:after="0" w:line="240" w:lineRule="auto"/>
        <w:ind w:left="709" w:hanging="357"/>
        <w:contextualSpacing/>
        <w:jc w:val="both"/>
        <w:rPr>
          <w:rFonts w:eastAsia="@MS Mincho" w:cs="Times New Roman"/>
          <w:noProof/>
        </w:rPr>
      </w:pPr>
      <w:r>
        <w:rPr>
          <w:noProof/>
        </w:rPr>
        <w:t>îmbunătățirea accesului la finanțare pentru construirea și renovarea de locuințe sociale eficiente din punct de vedere energetic și la prețuri accesibile și dezvoltarea piețelor de capital în aceste domenii.</w:t>
      </w:r>
    </w:p>
    <w:p w14:paraId="5AFAE805" w14:textId="77777777" w:rsidR="00D924EA" w:rsidRDefault="00011DE9">
      <w:pPr>
        <w:pStyle w:val="P68B1DB1-Normal29"/>
        <w:spacing w:before="120" w:after="120" w:line="240" w:lineRule="auto"/>
        <w:jc w:val="both"/>
        <w:rPr>
          <w:rFonts w:cs="Times New Roman"/>
          <w:noProof/>
        </w:rPr>
      </w:pPr>
      <w:r>
        <w:rPr>
          <w:noProof/>
        </w:rPr>
        <w:t xml:space="preserve">Această componentă a planului spaniol de redresare și reziliență contribuie la punerea în aplicare a recomandărilor specifice fiecărei țări 3 2023 și 4 2022 de a spori disponibilitatea locuințelor sociale și la prețuri accesibile eficiente din punct de vedere energetic, inclusiv prin renovare. Acesta sprijină, de asemenea, tranziția verde (recomandările specifice fiecărei țări 1 2023, 1 2022 și 3 2019) și, în special, îmbunătățirea eficienței energetice (Recomandarea specifică fiecărei țări 3 2020). De asemenea, îmbunătățește sprijinul acordat familiilor (Recomandarea specifică fiecărei țări 2 2019; Recomandarea specifică fiecărei țări 2 2020) și contribuie la concentrarea la începutul perioadei a proiectelor de investiții publice mature și la promovarea investițiilor private pentru a stimula redresarea economică (Recomandarea specifică fiecărei țări 3 2020). </w:t>
      </w:r>
    </w:p>
    <w:p w14:paraId="66A3E4F3" w14:textId="20E79107" w:rsidR="00D924EA" w:rsidRDefault="00011DE9">
      <w:pPr>
        <w:pStyle w:val="P68B1DB1-Normal29"/>
        <w:spacing w:before="120" w:after="120"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r w:rsidR="00971820">
        <w:rPr>
          <w:noProof/>
        </w:rPr>
        <w:t xml:space="preserve"> </w:t>
      </w:r>
    </w:p>
    <w:p w14:paraId="38933603" w14:textId="77C2C3F2" w:rsidR="00D924EA" w:rsidRDefault="00011DE9">
      <w:pPr>
        <w:spacing w:before="120" w:after="120" w:line="240" w:lineRule="auto"/>
        <w:ind w:left="709"/>
        <w:jc w:val="both"/>
        <w:rPr>
          <w:rFonts w:ascii="Times New Roman" w:hAnsi="Times New Roman" w:cs="Times New Roman"/>
          <w:b/>
          <w:i/>
          <w:noProof/>
        </w:rPr>
      </w:pPr>
      <w:r>
        <w:rPr>
          <w:noProof/>
        </w:rPr>
        <w:br w:type="page"/>
      </w:r>
      <w:r>
        <w:rPr>
          <w:rFonts w:ascii="Times New Roman" w:hAnsi="Times New Roman"/>
          <w:b/>
          <w:noProof/>
          <w:u w:val="single"/>
        </w:rPr>
        <w:t>B.1.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028BF4F9" w14:textId="77777777" w:rsidR="00D924EA" w:rsidRDefault="00011DE9">
      <w:pPr>
        <w:pStyle w:val="P68B1DB1-Normal30"/>
        <w:spacing w:before="120" w:after="120" w:line="240" w:lineRule="auto"/>
        <w:jc w:val="both"/>
        <w:rPr>
          <w:rFonts w:cs="Times New Roman"/>
          <w:noProof/>
        </w:rPr>
      </w:pPr>
      <w:r>
        <w:rPr>
          <w:noProof/>
        </w:rPr>
        <w:t>Reforma 1 (C2.R1) – Punerea în aplicare a Agendei urbane a Spaniei (și a planului de acțiune aferent)</w:t>
      </w:r>
    </w:p>
    <w:p w14:paraId="4E41ACCD" w14:textId="77777777" w:rsidR="00D924EA" w:rsidRDefault="00011DE9">
      <w:pPr>
        <w:pStyle w:val="P68B1DB1-Normal29"/>
        <w:spacing w:before="120" w:after="120" w:line="240" w:lineRule="auto"/>
        <w:jc w:val="both"/>
        <w:rPr>
          <w:rFonts w:cs="Times New Roman"/>
          <w:noProof/>
        </w:rPr>
      </w:pPr>
      <w:r>
        <w:rPr>
          <w:noProof/>
        </w:rPr>
        <w:t xml:space="preserve">Obiectivul acestei măsuri este pregătirea și aprobarea Agendei urbane spaniole, care este un document strategic și fără caracter de reglementare care integrează durabilitatea în domeniul politicii de dezvoltare urbană. Aceasta este, de asemenea, o metodă de lucru care ghidează toate părțile interesate din sectorul public și privat să realizeze o dezvoltare echitabilă, corectă și durabilă în zonele lor specifice și să deservească administrația locală, orașele și satele, indiferent de dimensiunea populației lor, ca instrument cu o perspectivă strategică, integrată și cuprinzătoare, astfel cum se prevede în Agenda urbană a UE și în Noua Cartă de la Leipzig. </w:t>
      </w:r>
    </w:p>
    <w:p w14:paraId="488F2518" w14:textId="77777777" w:rsidR="00D924EA" w:rsidRDefault="00011DE9">
      <w:pPr>
        <w:pStyle w:val="P68B1DB1-Normal29"/>
        <w:spacing w:before="120" w:after="120" w:line="240" w:lineRule="auto"/>
        <w:jc w:val="both"/>
        <w:rPr>
          <w:rFonts w:cs="Times New Roman"/>
          <w:noProof/>
        </w:rPr>
      </w:pPr>
      <w:r>
        <w:rPr>
          <w:noProof/>
        </w:rPr>
        <w:t xml:space="preserve">Agenda urbană spaniolă trebuie să includă un diagnostic al punctelor slabe și al provocărilor cu care se confruntă orașele și satele din Spania, pentru a realiza o dezvoltare urbană durabilă din punctul de vedere al mediului, coezivă din punct de vedere social și fezabilă din punct de vedere economic. Acesta include un cadru strategic structurat în jurul următoarelor zece provocări strategice: demografică; mediului; economic și social; situația actuală a parcului imobiliar; vulnerabilitatea la efectele negative ale schimbărilor climatice; dependență (ridicată) de turism; și riscurile legate de poluare. </w:t>
      </w:r>
    </w:p>
    <w:p w14:paraId="368ED46C" w14:textId="77777777" w:rsidR="00D924EA" w:rsidRDefault="00011DE9">
      <w:pPr>
        <w:pStyle w:val="P68B1DB1-Normal29"/>
        <w:spacing w:before="120" w:after="120" w:line="240" w:lineRule="auto"/>
        <w:jc w:val="both"/>
        <w:rPr>
          <w:rFonts w:cs="Times New Roman"/>
          <w:noProof/>
        </w:rPr>
      </w:pPr>
      <w:r>
        <w:rPr>
          <w:noProof/>
        </w:rPr>
        <w:t>Agenda urbană include, de asemenea, un plan de acțiune specific pentru administrația națională și orientări pentru a sprijini entitățile locale în pregătirea propriilor planuri de acțiune locale în conformitate cu metodologia propusă de Administrația Generală a Statului, angajându-se să îmbunătățească guvernanța publică și public-privat. Investiția 6 completează această reformă prin sprijinirea elaborării a cel puțin 100 de planuri de acțiune locale.</w:t>
      </w:r>
    </w:p>
    <w:p w14:paraId="207810BF" w14:textId="77777777" w:rsidR="00D924EA" w:rsidRDefault="00011DE9">
      <w:pPr>
        <w:pStyle w:val="P68B1DB1-Normal29"/>
        <w:spacing w:before="120" w:after="120" w:line="240" w:lineRule="auto"/>
        <w:jc w:val="both"/>
        <w:rPr>
          <w:rFonts w:cs="Times New Roman"/>
          <w:noProof/>
        </w:rPr>
      </w:pPr>
      <w:r>
        <w:rPr>
          <w:noProof/>
        </w:rPr>
        <w:t>Ca parte a Agendei urbane și a necesității de a respecta Directiva (UE) 2018/844 privind performanța energetică a clădirilor și eficiența energetică, Spania stabilește o strategie de renovare pe termen lung pentru a sprijini renovarea parcului național de clădiri rezidențiale și nerezidențiale. Aceasta include atât clădirile publice, cât și pe cele private și realizează un parc imobiliar foarte eficient din punct de vedere energetic și decarbonizat până în 2050, facilitând transformarea eficientă din punctul de vedere al costurilor a clădirilor existente în clădiri al căror consum de energie este aproape egal cu zero.</w:t>
      </w:r>
    </w:p>
    <w:p w14:paraId="39273D3D" w14:textId="77777777" w:rsidR="00D924EA" w:rsidRDefault="00011DE9">
      <w:pPr>
        <w:pStyle w:val="P68B1DB1-Normal29"/>
        <w:spacing w:before="120" w:after="120" w:line="240" w:lineRule="auto"/>
        <w:jc w:val="both"/>
        <w:rPr>
          <w:rFonts w:cs="Times New Roman"/>
          <w:noProof/>
        </w:rPr>
      </w:pPr>
      <w:r>
        <w:rPr>
          <w:noProof/>
        </w:rPr>
        <w:t>Punerea în aplicare a măsurii se finalizează până la 30 iunie 2020.</w:t>
      </w:r>
    </w:p>
    <w:p w14:paraId="31651C6F" w14:textId="77777777" w:rsidR="00D924EA" w:rsidRDefault="00011DE9">
      <w:pPr>
        <w:pStyle w:val="P68B1DB1-Normal30"/>
        <w:spacing w:before="120" w:after="120" w:line="240" w:lineRule="auto"/>
        <w:jc w:val="both"/>
        <w:rPr>
          <w:rFonts w:cs="Times New Roman"/>
          <w:noProof/>
        </w:rPr>
      </w:pPr>
      <w:r>
        <w:rPr>
          <w:noProof/>
        </w:rPr>
        <w:t>Reforma 2 (C2.R2) – Actualizarea din 2020 a strategiei spaniole de renovare pe termen lung și a planului de acțiune aferent</w:t>
      </w:r>
    </w:p>
    <w:p w14:paraId="0F00AEE9" w14:textId="77777777" w:rsidR="00D924EA" w:rsidRDefault="00011DE9">
      <w:pPr>
        <w:pStyle w:val="P68B1DB1-Normal29"/>
        <w:spacing w:before="120" w:after="120" w:line="240" w:lineRule="auto"/>
        <w:jc w:val="both"/>
        <w:rPr>
          <w:rFonts w:cs="Times New Roman"/>
          <w:noProof/>
        </w:rPr>
      </w:pPr>
      <w:r>
        <w:rPr>
          <w:noProof/>
        </w:rPr>
        <w:t>Obiectivul acestei măsuri este punerea în aplicare a Strategiei de renovare pe termen lung (ERESEE). Aceasta include acțiuni pentru pregătirea, discutarea în grupuri de lucru specifice, aprobarea și diseminarea documentului strategic al planului de acțiune privind strategia de renovare pe termen lung. Planul de acțiune este în conformitate cu acțiunile incluse în ERESEE. În vederea punerii în aplicare a ERESEE, vor fi create mai multe grupuri de lucru pentru a elabora recomandări clare pentru punerea în aplicare a planului de acțiune pentru reabilitarea și regenerarea urbană. Se publică rapoarte cu recomandările grupurilor de lucru.</w:t>
      </w:r>
    </w:p>
    <w:p w14:paraId="2842D94B" w14:textId="77777777" w:rsidR="00D924EA" w:rsidRDefault="00011DE9">
      <w:pPr>
        <w:pStyle w:val="P68B1DB1-xmsonormal31"/>
        <w:jc w:val="both"/>
        <w:rPr>
          <w:rFonts w:cs="Times New Roman"/>
          <w:noProof/>
          <w:szCs w:val="24"/>
        </w:rPr>
      </w:pPr>
      <w:r>
        <w:rPr>
          <w:noProof/>
        </w:rPr>
        <w:t>În partea III a ERESEE, „Punerea în aplicare”, ERESEE include un set de acțiuni, printre care se evidențiază un set de reforme ca parte a unei foi de parcurs care promovează reabilitarea și reînnoirea urbană și promovează tranziția verde și cea digitală. Foaia de parcurs este structurată în jurul a unsprezece axe și acțiuni menite să îmbunătățească guvernanța, reglementările și finanțarea. Această foaie de parcurs este inclusă în documentul strategic ca principal pas către punerea în aplicare a ERESEE. Printre cele mai relevante acțiuni se numără:</w:t>
      </w:r>
    </w:p>
    <w:p w14:paraId="2796D203" w14:textId="77777777" w:rsidR="00D924EA" w:rsidRDefault="00011DE9">
      <w:pPr>
        <w:pStyle w:val="P68B1DB1-Normal29"/>
        <w:numPr>
          <w:ilvl w:val="0"/>
          <w:numId w:val="23"/>
        </w:numPr>
        <w:spacing w:before="120" w:line="259" w:lineRule="auto"/>
        <w:contextualSpacing/>
        <w:jc w:val="both"/>
        <w:rPr>
          <w:rFonts w:cs="Times New Roman"/>
          <w:noProof/>
        </w:rPr>
      </w:pPr>
      <w:r>
        <w:rPr>
          <w:noProof/>
        </w:rPr>
        <w:t>Renovarea clădirilor administrației publice (aliniată la componenta 11 a planului spaniol de redresare și reziliență);</w:t>
      </w:r>
    </w:p>
    <w:p w14:paraId="600386AB" w14:textId="77777777" w:rsidR="00D924EA" w:rsidRDefault="00011DE9">
      <w:pPr>
        <w:pStyle w:val="P68B1DB1-Normal29"/>
        <w:numPr>
          <w:ilvl w:val="0"/>
          <w:numId w:val="23"/>
        </w:numPr>
        <w:spacing w:before="120" w:line="259" w:lineRule="auto"/>
        <w:contextualSpacing/>
        <w:jc w:val="both"/>
        <w:rPr>
          <w:rFonts w:cs="Times New Roman"/>
          <w:noProof/>
        </w:rPr>
      </w:pPr>
      <w:r>
        <w:rPr>
          <w:noProof/>
        </w:rPr>
        <w:t>domeniile de finanțare identificate ca necesitând îmbunătățiri, inclusiv o nouă impozitare favorabilă renovării, atât în sectorul rezidențial, cât și în cel terțiar;</w:t>
      </w:r>
    </w:p>
    <w:p w14:paraId="02523633" w14:textId="77777777" w:rsidR="00D924EA" w:rsidRDefault="00011DE9">
      <w:pPr>
        <w:pStyle w:val="P68B1DB1-Normal29"/>
        <w:numPr>
          <w:ilvl w:val="0"/>
          <w:numId w:val="23"/>
        </w:numPr>
        <w:spacing w:before="120" w:line="259" w:lineRule="auto"/>
        <w:contextualSpacing/>
        <w:jc w:val="both"/>
        <w:rPr>
          <w:rFonts w:cs="Times New Roman"/>
          <w:noProof/>
        </w:rPr>
      </w:pPr>
      <w:r>
        <w:rPr>
          <w:noProof/>
        </w:rPr>
        <w:t>promovarea și mobilizarea finanțării private;</w:t>
      </w:r>
    </w:p>
    <w:p w14:paraId="26F60178" w14:textId="77777777" w:rsidR="00D924EA" w:rsidRDefault="00011DE9">
      <w:pPr>
        <w:pStyle w:val="P68B1DB1-Normal29"/>
        <w:numPr>
          <w:ilvl w:val="0"/>
          <w:numId w:val="23"/>
        </w:numPr>
        <w:spacing w:before="120" w:line="259" w:lineRule="auto"/>
        <w:contextualSpacing/>
        <w:jc w:val="both"/>
        <w:rPr>
          <w:rFonts w:cs="Times New Roman"/>
          <w:noProof/>
        </w:rPr>
      </w:pPr>
      <w:r>
        <w:rPr>
          <w:noProof/>
        </w:rPr>
        <w:t>combaterea sărăciei energetice;</w:t>
      </w:r>
    </w:p>
    <w:p w14:paraId="46A32240" w14:textId="77777777" w:rsidR="00D924EA" w:rsidRDefault="00011DE9">
      <w:pPr>
        <w:pStyle w:val="P68B1DB1-Normal29"/>
        <w:numPr>
          <w:ilvl w:val="0"/>
          <w:numId w:val="23"/>
        </w:numPr>
        <w:spacing w:before="120" w:line="259" w:lineRule="auto"/>
        <w:contextualSpacing/>
        <w:jc w:val="both"/>
        <w:rPr>
          <w:rFonts w:cs="Times New Roman"/>
          <w:noProof/>
        </w:rPr>
      </w:pPr>
      <w:r>
        <w:rPr>
          <w:noProof/>
        </w:rPr>
        <w:t>implementarea unui nou model energetic în sectorul construcțiilor, pentru a încuraja consumul de energie din surse regenerabile în clădiri;</w:t>
      </w:r>
    </w:p>
    <w:p w14:paraId="7B65D0EE" w14:textId="77777777" w:rsidR="00D924EA" w:rsidRDefault="00011DE9">
      <w:pPr>
        <w:pStyle w:val="P68B1DB1-Normal29"/>
        <w:numPr>
          <w:ilvl w:val="0"/>
          <w:numId w:val="23"/>
        </w:numPr>
        <w:spacing w:before="120" w:line="259" w:lineRule="auto"/>
        <w:contextualSpacing/>
        <w:jc w:val="both"/>
        <w:rPr>
          <w:rFonts w:cs="Times New Roman"/>
          <w:noProof/>
        </w:rPr>
      </w:pPr>
      <w:r>
        <w:rPr>
          <w:noProof/>
        </w:rPr>
        <w:t>activarea și agregarea cererii de reabilitare;</w:t>
      </w:r>
    </w:p>
    <w:p w14:paraId="0C0D38F2" w14:textId="77777777" w:rsidR="00D924EA" w:rsidRDefault="00011DE9">
      <w:pPr>
        <w:pStyle w:val="P68B1DB1-Normal29"/>
        <w:numPr>
          <w:ilvl w:val="0"/>
          <w:numId w:val="23"/>
        </w:numPr>
        <w:spacing w:before="120" w:line="259" w:lineRule="auto"/>
        <w:contextualSpacing/>
        <w:jc w:val="both"/>
        <w:rPr>
          <w:rFonts w:cs="Times New Roman"/>
          <w:noProof/>
        </w:rPr>
      </w:pPr>
      <w:r>
        <w:rPr>
          <w:noProof/>
        </w:rPr>
        <w:t>să îmbunătățească condițiile de aprovizionare, stimulând modernizarea sectorului reabilitării prin cercetare, dezvoltare și inovare, digitalizare și monitorizare, consolidând competențele și cursurile de formare;</w:t>
      </w:r>
    </w:p>
    <w:p w14:paraId="724E4067" w14:textId="77777777" w:rsidR="00D924EA" w:rsidRDefault="00011DE9">
      <w:pPr>
        <w:pStyle w:val="P68B1DB1-Normal29"/>
        <w:numPr>
          <w:ilvl w:val="0"/>
          <w:numId w:val="23"/>
        </w:numPr>
        <w:spacing w:before="120" w:line="259" w:lineRule="auto"/>
        <w:contextualSpacing/>
        <w:jc w:val="both"/>
        <w:rPr>
          <w:rFonts w:cs="Times New Roman"/>
          <w:noProof/>
        </w:rPr>
      </w:pPr>
      <w:r>
        <w:rPr>
          <w:noProof/>
        </w:rPr>
        <w:t>diseminarea informațiilor către cetățeni și întreprinderi și schimbul de bune practici între administrații; și</w:t>
      </w:r>
    </w:p>
    <w:p w14:paraId="3F099ADE" w14:textId="77777777" w:rsidR="00D924EA" w:rsidRDefault="00011DE9">
      <w:pPr>
        <w:pStyle w:val="P68B1DB1-Normal29"/>
        <w:numPr>
          <w:ilvl w:val="0"/>
          <w:numId w:val="23"/>
        </w:numPr>
        <w:spacing w:before="120" w:after="120" w:line="259" w:lineRule="auto"/>
        <w:jc w:val="both"/>
        <w:rPr>
          <w:rFonts w:eastAsia="Arial" w:cs="Times New Roman"/>
          <w:noProof/>
        </w:rPr>
      </w:pPr>
      <w:r>
        <w:rPr>
          <w:noProof/>
        </w:rPr>
        <w:t>elaborarea de statistici și indicatori pentru monitorizarea acțiunilor finanțate din fonduri publice, astfel încât politicile publice să poată fi evaluate în mod corespunzător.</w:t>
      </w:r>
    </w:p>
    <w:p w14:paraId="6E86FC67" w14:textId="77777777" w:rsidR="00D924EA" w:rsidRDefault="00011DE9">
      <w:pPr>
        <w:pStyle w:val="P68B1DB1-Normal29"/>
        <w:spacing w:before="120" w:after="120" w:line="240" w:lineRule="auto"/>
        <w:jc w:val="both"/>
        <w:rPr>
          <w:rFonts w:cs="Times New Roman"/>
          <w:noProof/>
        </w:rPr>
      </w:pPr>
      <w:r>
        <w:rPr>
          <w:noProof/>
        </w:rPr>
        <w:t>Acest document strategic va permite punerea în aplicare a ERESEE, în cadrul Agendei urbane spaniole, integrând diferitele administrații (centrale, regionale și locale).</w:t>
      </w:r>
    </w:p>
    <w:p w14:paraId="4B8DFFBE" w14:textId="77777777" w:rsidR="00D924EA" w:rsidRDefault="00011DE9">
      <w:pPr>
        <w:pStyle w:val="P68B1DB1-Normal29"/>
        <w:spacing w:before="120" w:after="120" w:line="240" w:lineRule="auto"/>
        <w:jc w:val="both"/>
        <w:rPr>
          <w:rFonts w:cs="Times New Roman"/>
          <w:noProof/>
        </w:rPr>
      </w:pPr>
      <w:r>
        <w:rPr>
          <w:noProof/>
        </w:rPr>
        <w:t>Punerea în aplicare a măsurii se finalizează până la 30 iunie 2023.</w:t>
      </w:r>
    </w:p>
    <w:p w14:paraId="2198ED79" w14:textId="77777777" w:rsidR="00D924EA" w:rsidRDefault="00011DE9">
      <w:pPr>
        <w:pStyle w:val="P68B1DB1-Normal30"/>
        <w:spacing w:before="120" w:after="120" w:line="240" w:lineRule="auto"/>
        <w:jc w:val="both"/>
        <w:rPr>
          <w:rFonts w:cs="Times New Roman"/>
          <w:noProof/>
        </w:rPr>
      </w:pPr>
      <w:r>
        <w:rPr>
          <w:noProof/>
        </w:rPr>
        <w:t>Reforma 3 (C2.R3) – Legea privind locuințele</w:t>
      </w:r>
    </w:p>
    <w:p w14:paraId="02DAFF72" w14:textId="77777777" w:rsidR="00D924EA" w:rsidRDefault="00011DE9">
      <w:pPr>
        <w:pStyle w:val="P68B1DB1-Normal29"/>
        <w:spacing w:before="120" w:after="120" w:line="240" w:lineRule="auto"/>
        <w:jc w:val="both"/>
        <w:rPr>
          <w:rFonts w:cs="Times New Roman"/>
          <w:noProof/>
        </w:rPr>
      </w:pPr>
      <w:r>
        <w:rPr>
          <w:noProof/>
        </w:rPr>
        <w:t>Obiectivul acestei măsuri este de a pune în aplicare, prin intermediul Legii privind locuințele, un prim regulament de acest tip în Spania, pentru a aborda diferitele instrumente publice de planificare, programare și colaborare deja existente pentru a sprijini dreptul la o locuință decentă și adecvată. Aceasta abordează reabilitarea și îmbunătățirea fondului locativ existent, atât public, cât și privat, precum și regenerarea și reînnoirea mediilor rezidențiale în care sunt situate, pentru a îmbunătăți calitatea vieții. Legea abordează atingerea unui nivel suficient al fondului locativ pentru proprietățile de închiriat, disponibil la prețuri accesibile.</w:t>
      </w:r>
    </w:p>
    <w:p w14:paraId="26866CA4" w14:textId="77777777" w:rsidR="00D924EA" w:rsidRDefault="00011DE9">
      <w:pPr>
        <w:pStyle w:val="P68B1DB1-Normal29"/>
        <w:spacing w:before="120" w:after="120" w:line="240" w:lineRule="auto"/>
        <w:jc w:val="both"/>
        <w:rPr>
          <w:rFonts w:cs="Times New Roman"/>
          <w:noProof/>
        </w:rPr>
      </w:pPr>
      <w:r>
        <w:rPr>
          <w:noProof/>
        </w:rPr>
        <w:t xml:space="preserve">Legislația abordează diverse instrumente de planificare, programare și colaborare pentru a asigura respectarea dreptului la o locuință decentă și adecvată, inclusiv, ca una dintre prioritățile sale, reabilitarea și îmbunătățirea fondului locativ existent, precum și regenerarea și renovarea mediilor rezidențiale în care sunt situate. </w:t>
      </w:r>
    </w:p>
    <w:p w14:paraId="0E029A36" w14:textId="77777777" w:rsidR="00D924EA" w:rsidRDefault="00011DE9">
      <w:pPr>
        <w:pStyle w:val="P68B1DB1-Normal29"/>
        <w:spacing w:before="120" w:after="120" w:line="240" w:lineRule="auto"/>
        <w:jc w:val="both"/>
        <w:rPr>
          <w:rFonts w:cs="Times New Roman"/>
          <w:noProof/>
        </w:rPr>
      </w:pPr>
      <w:r>
        <w:rPr>
          <w:noProof/>
        </w:rPr>
        <w:t>În plus, legea încurajează creșterea ofertei de locuințe sociale și la prețuri accesibile prin asigurarea respectării cerințelor prevăzute în prezent pentru clădirile al căror consum de energie este aproape egal cu zero, în conformitate cu documentul de bază privind economisirea energiei (DB-HE) din Codul tehnic al clădirilor (CTE), și evită măsurile care ar putea împiedica oferta de locuințe pe termen mediu.</w:t>
      </w:r>
    </w:p>
    <w:p w14:paraId="14E2D0CD" w14:textId="77777777" w:rsidR="00D924EA" w:rsidRDefault="00011DE9">
      <w:pPr>
        <w:pStyle w:val="P68B1DB1-Normal29"/>
        <w:spacing w:before="120" w:after="120" w:line="240" w:lineRule="auto"/>
        <w:jc w:val="both"/>
        <w:rPr>
          <w:rFonts w:cs="Times New Roman"/>
          <w:noProof/>
        </w:rPr>
      </w:pPr>
      <w:r>
        <w:rPr>
          <w:noProof/>
        </w:rPr>
        <w:t>Această punere în aplicare a reformei se finalizează până la 30 septembrie 2022.</w:t>
      </w:r>
    </w:p>
    <w:p w14:paraId="5C711160" w14:textId="77777777" w:rsidR="00D924EA" w:rsidRDefault="00011DE9">
      <w:pPr>
        <w:pStyle w:val="P68B1DB1-Normal30"/>
        <w:spacing w:before="120" w:after="120" w:line="240" w:lineRule="auto"/>
        <w:jc w:val="both"/>
        <w:rPr>
          <w:rFonts w:cs="Times New Roman"/>
          <w:noProof/>
        </w:rPr>
      </w:pPr>
      <w:r>
        <w:rPr>
          <w:noProof/>
        </w:rPr>
        <w:t>Reforma 4 (C2.R4) – Legea privind calitatea arhitecturii și a mediului de construcții și noua strategie națională în materie de arhitectură</w:t>
      </w:r>
    </w:p>
    <w:p w14:paraId="78B485F5" w14:textId="77777777" w:rsidR="00D924EA" w:rsidRDefault="00011DE9">
      <w:pPr>
        <w:pStyle w:val="P68B1DB1-Normal29"/>
        <w:spacing w:before="120" w:after="120" w:line="240" w:lineRule="auto"/>
        <w:jc w:val="both"/>
        <w:rPr>
          <w:rFonts w:cs="Times New Roman"/>
          <w:noProof/>
        </w:rPr>
      </w:pPr>
      <w:r>
        <w:rPr>
          <w:noProof/>
        </w:rPr>
        <w:t>Obiectivul acestei legi este de a declara calitatea arhitecturii și a clădirilor drept bun public, de a îmbunătăți calitatea vieții, de a promova rădăcinile sociale ale arhitecturii, de a promova dezvoltarea durabilă a zonelor și a centrelor urbane, de a contribui la dezvoltarea economică și socială și de a proteja și salvgarda patrimoniul cultural și natural.</w:t>
      </w:r>
    </w:p>
    <w:p w14:paraId="40841266" w14:textId="77777777" w:rsidR="00D924EA" w:rsidRDefault="00011DE9">
      <w:pPr>
        <w:pStyle w:val="P68B1DB1-Normal29"/>
        <w:spacing w:before="120" w:after="120" w:line="240" w:lineRule="auto"/>
        <w:jc w:val="both"/>
        <w:rPr>
          <w:rFonts w:cs="Times New Roman"/>
          <w:noProof/>
        </w:rPr>
      </w:pPr>
      <w:r>
        <w:rPr>
          <w:noProof/>
        </w:rPr>
        <w:t xml:space="preserve">În acest scop, legea abordează diverse inițiative și acțiuni strâns legate de programele de reabilitare și regenerare din cadrul acestei componente a planului spaniol de redresare și reziliență. În special, legea reglementează: (I) măsuri de cooperare interadministrativă în domeniul achizițiilor publice de proiecte și lucrări de arhitectură, inginerie și urbanism; (II) instrumente de diseminare a bunelor practici și de sprijin, formare și parteneriate public-privat; și (iii) promovarea reabilitării dintr-o perspectivă cuprinzătoare, cum ar fi cea descrisă mai sus. </w:t>
      </w:r>
    </w:p>
    <w:p w14:paraId="25C2996A" w14:textId="77777777" w:rsidR="00D924EA" w:rsidRDefault="00011DE9">
      <w:pPr>
        <w:pStyle w:val="P68B1DB1-Normal29"/>
        <w:spacing w:before="120" w:after="120" w:line="240" w:lineRule="auto"/>
        <w:jc w:val="both"/>
        <w:rPr>
          <w:rFonts w:cs="Times New Roman"/>
          <w:noProof/>
        </w:rPr>
      </w:pPr>
      <w:r>
        <w:rPr>
          <w:noProof/>
        </w:rPr>
        <w:t>Această punere în aplicare a reformei se finalizează până la 30 septembrie 2022.</w:t>
      </w:r>
    </w:p>
    <w:p w14:paraId="04C33D51" w14:textId="77777777" w:rsidR="00D924EA" w:rsidRDefault="00011DE9">
      <w:pPr>
        <w:pStyle w:val="P68B1DB1-Normal30"/>
        <w:rPr>
          <w:noProof/>
        </w:rPr>
      </w:pPr>
      <w:r>
        <w:rPr>
          <w:noProof/>
        </w:rPr>
        <w:br w:type="page"/>
      </w:r>
    </w:p>
    <w:p w14:paraId="3584407D" w14:textId="4A930212" w:rsidR="00D924EA" w:rsidRDefault="00011DE9">
      <w:pPr>
        <w:pStyle w:val="P68B1DB1-Normal30"/>
        <w:spacing w:before="120" w:after="120" w:line="240" w:lineRule="auto"/>
        <w:jc w:val="both"/>
        <w:rPr>
          <w:rFonts w:cs="Times New Roman"/>
          <w:noProof/>
        </w:rPr>
      </w:pPr>
      <w:r>
        <w:rPr>
          <w:noProof/>
        </w:rPr>
        <w:t>Reforma 5 (C2.R5) – Birouri de renovare („ghișeu unic”)</w:t>
      </w:r>
    </w:p>
    <w:p w14:paraId="2DAAD21B" w14:textId="77777777" w:rsidR="00D924EA" w:rsidRDefault="00011DE9">
      <w:pPr>
        <w:pStyle w:val="P68B1DB1-Normal29"/>
        <w:spacing w:before="120" w:after="120" w:line="240" w:lineRule="auto"/>
        <w:jc w:val="both"/>
        <w:rPr>
          <w:rFonts w:cs="Times New Roman"/>
          <w:noProof/>
        </w:rPr>
      </w:pPr>
      <w:r>
        <w:rPr>
          <w:noProof/>
        </w:rPr>
        <w:t>Obiectivul acestei măsuri este de a încuraja și de a extinde birourile locale de renovare înființate în unele municipalități pentru a însoți gospodăriile și comunitățile de proprietari în sarcinile extrem de complexe de reabilitare a unei clădiri rezidențiale.</w:t>
      </w:r>
    </w:p>
    <w:p w14:paraId="0D4B0F5B" w14:textId="77777777" w:rsidR="00D924EA" w:rsidRDefault="00011DE9">
      <w:pPr>
        <w:pStyle w:val="P68B1DB1-Normal29"/>
        <w:spacing w:before="120" w:after="120" w:line="240" w:lineRule="auto"/>
        <w:jc w:val="both"/>
        <w:rPr>
          <w:rFonts w:cs="Times New Roman"/>
          <w:noProof/>
        </w:rPr>
      </w:pPr>
      <w:r>
        <w:rPr>
          <w:noProof/>
        </w:rPr>
        <w:t>În acest scop, această măsură încurajează și extinde și mai mult această abordare prin instituirea unui proces care să asigure o colaborare și o cooperare eficace între administrațiile centrale, regionale și/sau locale. Aceasta include consolidarea coordonării întregului sprijin public (la nivel central, regional sau local). Toate nivelurile de guvernare sunt implicate în aceste ghișee unice pentru a maximiza eficacitatea acțiunilor de renovare.</w:t>
      </w:r>
    </w:p>
    <w:p w14:paraId="1398DCB8" w14:textId="77777777" w:rsidR="00D924EA" w:rsidRDefault="00011DE9">
      <w:pPr>
        <w:pStyle w:val="P68B1DB1-Normal29"/>
        <w:rPr>
          <w:rFonts w:cs="Times New Roman"/>
          <w:noProof/>
        </w:rPr>
      </w:pPr>
      <w:r>
        <w:rPr>
          <w:noProof/>
        </w:rPr>
        <w:t>Punerea în aplicare a reformei se finalizează până la 30 septembrie 2021.</w:t>
      </w:r>
    </w:p>
    <w:p w14:paraId="6A583D55" w14:textId="77777777" w:rsidR="00D924EA" w:rsidRDefault="00011DE9">
      <w:pPr>
        <w:pStyle w:val="P68B1DB1-Normal30"/>
        <w:spacing w:before="120" w:after="120" w:line="240" w:lineRule="auto"/>
        <w:jc w:val="both"/>
        <w:rPr>
          <w:rFonts w:cs="Times New Roman"/>
          <w:noProof/>
        </w:rPr>
      </w:pPr>
      <w:r>
        <w:rPr>
          <w:noProof/>
        </w:rPr>
        <w:t>Reforma 6 (C2.R6) – Îmbunătățirea finanțării pentru acțiunile de renovare</w:t>
      </w:r>
    </w:p>
    <w:p w14:paraId="5635D273" w14:textId="77777777" w:rsidR="00D924EA" w:rsidRDefault="00011DE9">
      <w:pPr>
        <w:pStyle w:val="P68B1DB1-Normal29"/>
        <w:spacing w:before="120" w:after="120" w:line="240" w:lineRule="auto"/>
        <w:jc w:val="both"/>
        <w:rPr>
          <w:rFonts w:cs="Times New Roman"/>
          <w:noProof/>
        </w:rPr>
      </w:pPr>
      <w:r>
        <w:rPr>
          <w:noProof/>
        </w:rPr>
        <w:t>Obiectivul acestei măsuri este de a aborda unul dintre principalele obstacole din calea lansării activității de renovare, și anume accesul la finanțare în condiții favorabile. Pentru ca un împrumut pentru renovare să fie aprobat, este necesar, uneori, să se acorde un împrumut personal individual fiecărui proprietar individual dintr-o clădire. Acest lucru a reprezentat un obstacol în calea renovării aprofundate și integrate a clădirilor.</w:t>
      </w:r>
    </w:p>
    <w:p w14:paraId="69D7672F" w14:textId="77777777" w:rsidR="00D924EA" w:rsidRDefault="00011DE9">
      <w:pPr>
        <w:pStyle w:val="P68B1DB1-Normal29"/>
        <w:spacing w:before="120" w:after="120" w:line="240" w:lineRule="auto"/>
        <w:jc w:val="both"/>
        <w:rPr>
          <w:rFonts w:cs="Times New Roman"/>
          <w:noProof/>
        </w:rPr>
      </w:pPr>
      <w:r>
        <w:rPr>
          <w:noProof/>
        </w:rPr>
        <w:t>Pentru a aborda această problemă, măsura:</w:t>
      </w:r>
    </w:p>
    <w:p w14:paraId="079E5503" w14:textId="77777777" w:rsidR="00D924EA" w:rsidRDefault="00011DE9">
      <w:pPr>
        <w:pStyle w:val="P68B1DB1-Normal29"/>
        <w:numPr>
          <w:ilvl w:val="0"/>
          <w:numId w:val="24"/>
        </w:numPr>
        <w:autoSpaceDE w:val="0"/>
        <w:autoSpaceDN w:val="0"/>
        <w:adjustRightInd w:val="0"/>
        <w:spacing w:before="120" w:after="120" w:line="240" w:lineRule="auto"/>
        <w:contextualSpacing/>
        <w:jc w:val="both"/>
        <w:rPr>
          <w:rFonts w:eastAsia="Arial" w:cs="Times New Roman"/>
          <w:noProof/>
        </w:rPr>
      </w:pPr>
      <w:r>
        <w:rPr>
          <w:noProof/>
        </w:rPr>
        <w:t xml:space="preserve">Instituie o nouă linie de garantare a </w:t>
      </w:r>
      <w:r>
        <w:rPr>
          <w:i/>
          <w:noProof/>
        </w:rPr>
        <w:t>Instituto de Crédito Oficial</w:t>
      </w:r>
      <w:r>
        <w:rPr>
          <w:noProof/>
        </w:rPr>
        <w:t xml:space="preserve"> (ICO) pentru a acoperi parțial riscul împrumuturilor acordate de instituțiile financiare private pentru renovarea clădirilor rezidențiale;</w:t>
      </w:r>
    </w:p>
    <w:p w14:paraId="60300CE2" w14:textId="77777777" w:rsidR="00D924EA" w:rsidRDefault="00011DE9">
      <w:pPr>
        <w:pStyle w:val="P68B1DB1-Normal29"/>
        <w:numPr>
          <w:ilvl w:val="0"/>
          <w:numId w:val="24"/>
        </w:numPr>
        <w:autoSpaceDE w:val="0"/>
        <w:autoSpaceDN w:val="0"/>
        <w:adjustRightInd w:val="0"/>
        <w:spacing w:before="120" w:after="120" w:line="240" w:lineRule="auto"/>
        <w:contextualSpacing/>
        <w:jc w:val="both"/>
        <w:rPr>
          <w:rFonts w:eastAsia="Arial" w:cs="Times New Roman"/>
          <w:noProof/>
        </w:rPr>
      </w:pPr>
      <w:r>
        <w:rPr>
          <w:noProof/>
        </w:rPr>
        <w:t>promovează adoptarea unor dispoziții de reglementare specifice, inclusiv reforma legii orizontale privind proprietatea, pentru a îmbunătăți accesul la finanțare pentru comunitățile de proprietari; și</w:t>
      </w:r>
    </w:p>
    <w:p w14:paraId="2E6B2E2B" w14:textId="77777777" w:rsidR="00D924EA" w:rsidRDefault="00011DE9">
      <w:pPr>
        <w:pStyle w:val="P68B1DB1-Normal29"/>
        <w:numPr>
          <w:ilvl w:val="0"/>
          <w:numId w:val="24"/>
        </w:numPr>
        <w:autoSpaceDE w:val="0"/>
        <w:autoSpaceDN w:val="0"/>
        <w:adjustRightInd w:val="0"/>
        <w:spacing w:before="120" w:after="120" w:line="240" w:lineRule="auto"/>
        <w:jc w:val="both"/>
        <w:rPr>
          <w:rFonts w:eastAsia="Arial" w:cs="Times New Roman"/>
          <w:noProof/>
        </w:rPr>
      </w:pPr>
      <w:r>
        <w:rPr>
          <w:noProof/>
        </w:rPr>
        <w:t>încurajează utilizarea finanțării verzi de către instituțiile financiare.</w:t>
      </w:r>
    </w:p>
    <w:p w14:paraId="60D6E8F5" w14:textId="77777777" w:rsidR="00D924EA" w:rsidRDefault="00011DE9">
      <w:pPr>
        <w:pStyle w:val="P68B1DB1-Normal29"/>
        <w:autoSpaceDE w:val="0"/>
        <w:autoSpaceDN w:val="0"/>
        <w:adjustRightInd w:val="0"/>
        <w:spacing w:before="120" w:after="120" w:line="240" w:lineRule="auto"/>
        <w:jc w:val="both"/>
        <w:rPr>
          <w:rFonts w:eastAsia="Arial" w:cs="Times New Roman"/>
          <w:noProof/>
        </w:rPr>
      </w:pPr>
      <w:r>
        <w:rPr>
          <w:noProof/>
        </w:rPr>
        <w:t>Punerea în aplicare a reformei se finalizează până la 30 septembrie 2022.</w:t>
      </w:r>
    </w:p>
    <w:p w14:paraId="2FB3E7D4" w14:textId="77777777" w:rsidR="00D924EA" w:rsidRDefault="00011DE9">
      <w:pPr>
        <w:pStyle w:val="P68B1DB1-Normal30"/>
        <w:spacing w:before="120" w:after="120" w:line="240" w:lineRule="auto"/>
        <w:jc w:val="both"/>
        <w:rPr>
          <w:rFonts w:cs="Times New Roman"/>
          <w:noProof/>
        </w:rPr>
      </w:pPr>
      <w:r>
        <w:rPr>
          <w:noProof/>
        </w:rPr>
        <w:t>Investiția 1 (C2.I1) – Programul de reabilitare pentru redresarea economică și socială în mediile rezidențiale</w:t>
      </w:r>
    </w:p>
    <w:p w14:paraId="394C009A" w14:textId="4D1A5CD5" w:rsidR="00D924EA" w:rsidRDefault="00011DE9">
      <w:pPr>
        <w:pStyle w:val="P68B1DB1-Normal29"/>
        <w:spacing w:before="120" w:after="120" w:line="240" w:lineRule="auto"/>
        <w:jc w:val="both"/>
        <w:rPr>
          <w:rFonts w:cs="Times New Roman"/>
          <w:noProof/>
        </w:rPr>
      </w:pPr>
      <w:r>
        <w:rPr>
          <w:noProof/>
        </w:rPr>
        <w:t>Obiectivul acestei măsuri este de a sprijini renovările energetice în locuințe și clădiri rezidențiale. Măsura constă în reducerea consumului de energie primară din surse neregenerabile în locuințe sau clădiri rezidențiale și în depunerea declarațiilor fiscale care includ deduceri legate de renovările energetice.</w:t>
      </w:r>
    </w:p>
    <w:p w14:paraId="33BFE060" w14:textId="07682F6C" w:rsidR="00D924EA" w:rsidRDefault="00011DE9">
      <w:pPr>
        <w:pStyle w:val="P68B1DB1-Normal30"/>
        <w:spacing w:before="120" w:after="120" w:line="240" w:lineRule="auto"/>
        <w:jc w:val="both"/>
        <w:rPr>
          <w:rFonts w:cs="Times New Roman"/>
          <w:noProof/>
        </w:rPr>
      </w:pPr>
      <w:r>
        <w:rPr>
          <w:noProof/>
        </w:rPr>
        <w:t xml:space="preserve">Investiția 2 (C2.I2) – Program de sprijinire a construirii de locuințe sociale de închiriat în clădiri eficiente din punct de vedere energetic </w:t>
      </w:r>
    </w:p>
    <w:p w14:paraId="630F80D7" w14:textId="42F0061F" w:rsidR="00D924EA" w:rsidRDefault="00011DE9">
      <w:pPr>
        <w:pStyle w:val="P68B1DB1-Normal29"/>
        <w:spacing w:before="120" w:after="120" w:line="240" w:lineRule="auto"/>
        <w:jc w:val="both"/>
        <w:rPr>
          <w:noProof/>
        </w:rPr>
      </w:pPr>
      <w:r>
        <w:rPr>
          <w:noProof/>
        </w:rPr>
        <w:t xml:space="preserve">Obiectivul acestei măsuri este de a sprijini locuințele sociale de închiriat eficiente din punct de vedere energetic. Măsura constă în furnizarea de locuințe în cadrul </w:t>
      </w:r>
      <w:r>
        <w:rPr>
          <w:i/>
          <w:noProof/>
        </w:rPr>
        <w:t>programului pentru sprijinirea construirii de locuințe sociale de închiriat în clădiri eficiente din punct</w:t>
      </w:r>
      <w:r>
        <w:rPr>
          <w:noProof/>
        </w:rPr>
        <w:t xml:space="preserve"> de vedere energetic</w:t>
      </w:r>
      <w:r>
        <w:rPr>
          <w:i/>
          <w:noProof/>
        </w:rPr>
        <w:t xml:space="preserve"> (Programa de ayuda a la construcción de viviendas en alquiler social en edificios energéticamente Eficientes</w:t>
      </w:r>
      <w:r>
        <w:rPr>
          <w:noProof/>
        </w:rPr>
        <w:t>). Fiecare construcție a unei locuințe în cadrul acestei măsuri poate primi, de asemenea, sprijin complementar din partea mecanismului de împrumut al ICO pentru promovarea locuințelor sociale (C2.I7), în măsura în care nu acoperă aceleași costuri.</w:t>
      </w:r>
    </w:p>
    <w:p w14:paraId="6BDAB7BE" w14:textId="77777777" w:rsidR="00D924EA" w:rsidRDefault="00011DE9">
      <w:pPr>
        <w:pStyle w:val="P68B1DB1-Normal30"/>
        <w:spacing w:before="120" w:after="120" w:line="240" w:lineRule="auto"/>
        <w:jc w:val="both"/>
        <w:rPr>
          <w:rFonts w:cs="Times New Roman"/>
          <w:noProof/>
        </w:rPr>
      </w:pPr>
      <w:r>
        <w:rPr>
          <w:noProof/>
        </w:rPr>
        <w:t>Investiția 3 (C2.I3) – Programul de reabilitare energetică a clădirilor</w:t>
      </w:r>
    </w:p>
    <w:p w14:paraId="50AF354D" w14:textId="404B4999" w:rsidR="00D924EA" w:rsidRDefault="00011DE9">
      <w:pPr>
        <w:pStyle w:val="P68B1DB1-Normal29"/>
        <w:spacing w:before="120" w:after="120" w:line="240" w:lineRule="auto"/>
        <w:jc w:val="both"/>
        <w:rPr>
          <w:noProof/>
        </w:rPr>
      </w:pPr>
      <w:r>
        <w:rPr>
          <w:noProof/>
        </w:rPr>
        <w:t>Obiectivul acestei măsuri este de a sprijini renovările energetice ale clădirilor. Măsura constă în reducerea consumului de energie primară din surse neregenerabile în locuințe, clădiri rezidențiale sau clădiri nerezidențiale sau părți ale acestora.</w:t>
      </w:r>
    </w:p>
    <w:p w14:paraId="6C9CAC87" w14:textId="77777777" w:rsidR="00D924EA" w:rsidRDefault="00011DE9" w:rsidP="005701C9">
      <w:pPr>
        <w:pStyle w:val="P68B1DB1-Normal30"/>
        <w:keepNext/>
        <w:spacing w:before="120" w:after="120" w:line="240" w:lineRule="auto"/>
        <w:jc w:val="both"/>
        <w:rPr>
          <w:rFonts w:cs="Times New Roman"/>
          <w:noProof/>
        </w:rPr>
      </w:pPr>
      <w:r>
        <w:rPr>
          <w:noProof/>
        </w:rPr>
        <w:t>Investiția 4 (C2.I4) – Programul de regenerare și provocarea demografică</w:t>
      </w:r>
    </w:p>
    <w:p w14:paraId="6D3A8522" w14:textId="1FF10FA5" w:rsidR="00D924EA" w:rsidRDefault="00011DE9">
      <w:pPr>
        <w:pStyle w:val="P68B1DB1-Normal29"/>
        <w:spacing w:before="120" w:after="120" w:line="240" w:lineRule="auto"/>
        <w:jc w:val="both"/>
        <w:rPr>
          <w:noProof/>
        </w:rPr>
      </w:pPr>
      <w:r>
        <w:rPr>
          <w:noProof/>
        </w:rPr>
        <w:t>Obiectivul acestei măsuri este de a sprijini renovările și proiectele energetice din municipalitățile eligibile în cadrul programelor PREE 5000 și DUS 5000. Măsura constă în reducerea consumului de energie primară din surse neregenerabile în locuințe, clădiri rezidențiale sau clădiri nerezidențiale sau părți ale acestora, precum și în activități legate de programul DUS 5000.</w:t>
      </w:r>
    </w:p>
    <w:p w14:paraId="791247FC" w14:textId="77777777" w:rsidR="00D924EA" w:rsidRDefault="00011DE9">
      <w:pPr>
        <w:pStyle w:val="P68B1DB1-Normal30"/>
        <w:spacing w:before="120" w:after="120" w:line="240" w:lineRule="auto"/>
        <w:jc w:val="both"/>
        <w:rPr>
          <w:rFonts w:cs="Times New Roman"/>
          <w:noProof/>
        </w:rPr>
      </w:pPr>
      <w:r>
        <w:rPr>
          <w:noProof/>
        </w:rPr>
        <w:t>Investiția 5 (C2.I5) – Programul de reabilitare a clădirilor publice</w:t>
      </w:r>
    </w:p>
    <w:p w14:paraId="08F2D44C" w14:textId="11709B8B" w:rsidR="00D924EA" w:rsidRDefault="00011DE9">
      <w:pPr>
        <w:pStyle w:val="P68B1DB1-Normal29"/>
        <w:spacing w:before="120" w:after="120" w:line="240" w:lineRule="auto"/>
        <w:jc w:val="both"/>
        <w:rPr>
          <w:noProof/>
        </w:rPr>
      </w:pPr>
      <w:r>
        <w:rPr>
          <w:noProof/>
        </w:rPr>
        <w:t>Obiectivul acestei măsuri este de a sprijini renovările energetice în clădirile publice. Măsura constă în renovarea clădirilor publice.</w:t>
      </w:r>
    </w:p>
    <w:p w14:paraId="66C72A4B" w14:textId="77777777" w:rsidR="00D924EA" w:rsidRDefault="00011DE9">
      <w:pPr>
        <w:pStyle w:val="P68B1DB1-Normal30"/>
        <w:spacing w:before="120" w:after="120" w:line="240" w:lineRule="auto"/>
        <w:jc w:val="both"/>
        <w:rPr>
          <w:rFonts w:cs="Times New Roman"/>
          <w:noProof/>
        </w:rPr>
      </w:pPr>
      <w:r>
        <w:rPr>
          <w:noProof/>
        </w:rPr>
        <w:t>Investiția 6 (C2.I6) – Program de sprijin pentru dezvoltarea de proiecte-pilot pentru planurile de acțiune locală din cadrul Agendei urbane a Spaniei</w:t>
      </w:r>
    </w:p>
    <w:p w14:paraId="01AE726A" w14:textId="77777777" w:rsidR="00D924EA" w:rsidRDefault="00011DE9">
      <w:pPr>
        <w:pStyle w:val="P68B1DB1-Normal29"/>
        <w:spacing w:before="120" w:after="120" w:line="240" w:lineRule="auto"/>
        <w:jc w:val="both"/>
        <w:rPr>
          <w:rFonts w:cs="Times New Roman"/>
          <w:noProof/>
        </w:rPr>
      </w:pPr>
      <w:r>
        <w:rPr>
          <w:noProof/>
        </w:rPr>
        <w:t>Obiectivul acestei măsuri este de a sprijini autoritățile locale în punerea în aplicare a celor zece obiective strategice ale Agendei urbane spaniole prin aprobarea a cel puțin 100 de planuri de acțiune locale. Cele zece obiective strategice ale Agendei urbane a Spaniei sunt: (I) planificarea utilizării terenurilor și utilizarea mai rațională a acestora, precum și conservarea și protejarea lor; (II) evitarea extinderii urbane și revitalizarea orașelor existente; (III) prevenirea și reducerea impactului schimbărilor climatice și a rezilienței la acestea; (IV) utilizarea durabilă a resurselor și promovarea economiei circulare; (V) promovarea proximității și a mobilității durabile; (VI) încurajarea coeziunii sociale și promovarea egalității; (VII) promovarea și încurajarea economiei urbane; (VIII) asigurarea accesului la locuințe; (IX) conducerea și promovarea inovării digitale; și (x) îmbunătățirea instrumentelor de participare și guvernanță.</w:t>
      </w:r>
    </w:p>
    <w:p w14:paraId="1C6806F4" w14:textId="43A2ADC5" w:rsidR="00D924EA" w:rsidRDefault="00011DE9">
      <w:pPr>
        <w:pStyle w:val="P68B1DB1-Normal29"/>
        <w:spacing w:before="120" w:after="120" w:line="240" w:lineRule="auto"/>
        <w:jc w:val="both"/>
        <w:rPr>
          <w:rFonts w:cs="Times New Roman"/>
          <w:noProof/>
        </w:rPr>
      </w:pPr>
      <w:r>
        <w:rPr>
          <w:noProof/>
        </w:rPr>
        <w:t>Măsura (i) servește drept model și ghid pentru alte autorități locale în elaborarea propriilor planuri de acțiune; (II) punerea în aplicare a Agendei urbane spaniole cu planuri de acțiune la nivel local; și (iii)</w:t>
      </w:r>
      <w:r w:rsidR="005701C9">
        <w:rPr>
          <w:noProof/>
        </w:rPr>
        <w:t> </w:t>
      </w:r>
      <w:r>
        <w:rPr>
          <w:noProof/>
        </w:rPr>
        <w:t xml:space="preserve">să pună în aplicare proiecte concrete ca parte a planurilor de acțiune locale pentru a evidenția potențialul Agendei urbane spaniole. Sprijinul este acordat prin licitații competitive și cuprinde în special proiecte transversale și integrate cu o viziune strategică și printr-un model de guvernanță care asigură cea mai largă participare. </w:t>
      </w:r>
    </w:p>
    <w:p w14:paraId="5DDF8C31" w14:textId="77777777" w:rsidR="00D924EA" w:rsidRDefault="00011DE9">
      <w:pPr>
        <w:pStyle w:val="P68B1DB1-Normal29"/>
        <w:spacing w:before="120" w:after="120" w:line="240" w:lineRule="auto"/>
        <w:jc w:val="both"/>
        <w:rPr>
          <w:rFonts w:cs="Times New Roman"/>
          <w:noProof/>
        </w:rPr>
      </w:pPr>
      <w:r>
        <w:rPr>
          <w:noProof/>
        </w:rPr>
        <w:t>Investițiile din cadrul acestei măsuri se finalizează până la 31 decembrie 2022.</w:t>
      </w:r>
    </w:p>
    <w:p w14:paraId="64122491" w14:textId="1ACEA133" w:rsidR="00D924EA" w:rsidRDefault="00011DE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B.2.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2711B6AE" w14:textId="77777777" w:rsidR="00D924EA" w:rsidRDefault="00011DE9">
      <w:pPr>
        <w:pStyle w:val="P68B1DB1-Normal29"/>
        <w:spacing w:before="120" w:after="120" w:line="240" w:lineRule="auto"/>
        <w:jc w:val="both"/>
        <w:rPr>
          <w:rFonts w:cs="Times New Roman"/>
          <w:i/>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6D99E92E" w14:textId="77777777" w:rsidR="00D924EA" w:rsidRDefault="00D924EA">
      <w:pPr>
        <w:spacing w:before="120" w:after="120" w:line="240" w:lineRule="auto"/>
        <w:jc w:val="both"/>
        <w:rPr>
          <w:rFonts w:ascii="Times New Roman" w:hAnsi="Times New Roman" w:cs="Times New Roman"/>
          <w:noProof/>
        </w:rPr>
      </w:pPr>
    </w:p>
    <w:p w14:paraId="44937DDA" w14:textId="77777777" w:rsidR="00D924EA" w:rsidRDefault="00D924EA">
      <w:pPr>
        <w:spacing w:before="120" w:after="120" w:line="240" w:lineRule="auto"/>
        <w:jc w:val="both"/>
        <w:rPr>
          <w:rFonts w:ascii="Times New Roman" w:hAnsi="Times New Roman" w:cs="Times New Roman"/>
          <w:noProof/>
        </w:rPr>
        <w:sectPr w:rsidR="00D924EA" w:rsidSect="00B528FB">
          <w:headerReference w:type="default" r:id="rId44"/>
          <w:footerReference w:type="default" r:id="rId45"/>
          <w:pgSz w:w="11907" w:h="16839"/>
          <w:pgMar w:top="1134" w:right="1134" w:bottom="1134" w:left="1134" w:header="567" w:footer="567" w:gutter="0"/>
          <w:cols w:space="720"/>
          <w:docGrid w:linePitch="360"/>
        </w:sectPr>
      </w:pPr>
    </w:p>
    <w:tbl>
      <w:tblPr>
        <w:tblpPr w:leftFromText="180" w:rightFromText="180" w:vertAnchor="text" w:tblpXSpec="center" w:tblpY="1"/>
        <w:tblOverlap w:val="neve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8"/>
        <w:gridCol w:w="836"/>
        <w:gridCol w:w="835"/>
        <w:gridCol w:w="1595"/>
        <w:gridCol w:w="1467"/>
        <w:gridCol w:w="835"/>
        <w:gridCol w:w="974"/>
        <w:gridCol w:w="836"/>
        <w:gridCol w:w="418"/>
        <w:gridCol w:w="558"/>
        <w:gridCol w:w="6258"/>
      </w:tblGrid>
      <w:tr w:rsidR="00D924EA" w14:paraId="61641F30" w14:textId="77777777">
        <w:trPr>
          <w:trHeight w:val="309"/>
          <w:tblHeader/>
          <w:jc w:val="center"/>
        </w:trPr>
        <w:tc>
          <w:tcPr>
            <w:tcW w:w="698" w:type="dxa"/>
            <w:vMerge w:val="restart"/>
            <w:shd w:val="clear" w:color="auto" w:fill="B7D4EF" w:themeFill="text2" w:themeFillTint="33"/>
            <w:noWrap/>
            <w:vAlign w:val="center"/>
          </w:tcPr>
          <w:p w14:paraId="694FDCA6" w14:textId="77777777" w:rsidR="00D924EA" w:rsidRDefault="00011DE9">
            <w:pPr>
              <w:pStyle w:val="P68B1DB1-Normal28"/>
              <w:spacing w:after="0" w:line="240" w:lineRule="auto"/>
              <w:jc w:val="center"/>
              <w:rPr>
                <w:rFonts w:cs="Times New Roman"/>
                <w:noProof/>
                <w:szCs w:val="18"/>
              </w:rPr>
            </w:pPr>
            <w:r>
              <w:rPr>
                <w:noProof/>
              </w:rPr>
              <w:t>Număr</w:t>
            </w:r>
          </w:p>
        </w:tc>
        <w:tc>
          <w:tcPr>
            <w:tcW w:w="836" w:type="dxa"/>
            <w:vMerge w:val="restart"/>
            <w:shd w:val="clear" w:color="auto" w:fill="B7D4EF" w:themeFill="text2" w:themeFillTint="33"/>
            <w:noWrap/>
            <w:vAlign w:val="center"/>
          </w:tcPr>
          <w:p w14:paraId="37D0BEF2" w14:textId="77777777" w:rsidR="00D924EA" w:rsidRDefault="00011DE9">
            <w:pPr>
              <w:pStyle w:val="P68B1DB1-Normal28"/>
              <w:spacing w:after="0" w:line="240" w:lineRule="auto"/>
              <w:jc w:val="center"/>
              <w:rPr>
                <w:rFonts w:cs="Times New Roman"/>
                <w:noProof/>
                <w:szCs w:val="18"/>
              </w:rPr>
            </w:pPr>
            <w:r>
              <w:rPr>
                <w:noProof/>
              </w:rPr>
              <w:t>Măsură</w:t>
            </w:r>
          </w:p>
        </w:tc>
        <w:tc>
          <w:tcPr>
            <w:tcW w:w="835" w:type="dxa"/>
            <w:vMerge w:val="restart"/>
            <w:shd w:val="clear" w:color="auto" w:fill="B7D4EF" w:themeFill="text2" w:themeFillTint="33"/>
            <w:noWrap/>
            <w:vAlign w:val="center"/>
          </w:tcPr>
          <w:p w14:paraId="5E3A204E" w14:textId="313DDAA5" w:rsidR="00D924EA" w:rsidRDefault="00011DE9">
            <w:pPr>
              <w:spacing w:after="0" w:line="240" w:lineRule="auto"/>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1595" w:type="dxa"/>
            <w:vMerge w:val="restart"/>
            <w:shd w:val="clear" w:color="auto" w:fill="B7D4EF" w:themeFill="text2" w:themeFillTint="33"/>
            <w:noWrap/>
            <w:vAlign w:val="center"/>
          </w:tcPr>
          <w:p w14:paraId="76F63ABB" w14:textId="77777777" w:rsidR="00D924EA" w:rsidRDefault="00011DE9">
            <w:pPr>
              <w:pStyle w:val="P68B1DB1-Normal28"/>
              <w:spacing w:after="0" w:line="240" w:lineRule="auto"/>
              <w:jc w:val="center"/>
              <w:rPr>
                <w:rFonts w:cs="Times New Roman"/>
                <w:noProof/>
                <w:szCs w:val="18"/>
              </w:rPr>
            </w:pPr>
            <w:r>
              <w:rPr>
                <w:noProof/>
              </w:rPr>
              <w:t>Nume</w:t>
            </w:r>
          </w:p>
        </w:tc>
        <w:tc>
          <w:tcPr>
            <w:tcW w:w="1467" w:type="dxa"/>
            <w:vMerge w:val="restart"/>
            <w:shd w:val="clear" w:color="auto" w:fill="B7D4EF" w:themeFill="text2" w:themeFillTint="33"/>
            <w:noWrap/>
            <w:vAlign w:val="center"/>
          </w:tcPr>
          <w:p w14:paraId="5F381570" w14:textId="77777777" w:rsidR="00D924EA" w:rsidRDefault="00011DE9">
            <w:pPr>
              <w:pStyle w:val="P68B1DB1-Normal28"/>
              <w:spacing w:after="0" w:line="240" w:lineRule="auto"/>
              <w:jc w:val="center"/>
              <w:rPr>
                <w:rFonts w:cs="Times New Roman"/>
                <w:noProof/>
                <w:szCs w:val="18"/>
              </w:rPr>
            </w:pPr>
            <w:r>
              <w:rPr>
                <w:noProof/>
              </w:rPr>
              <w:t>Indicator calitativ pentru jaloane</w:t>
            </w:r>
          </w:p>
        </w:tc>
        <w:tc>
          <w:tcPr>
            <w:tcW w:w="2645" w:type="dxa"/>
            <w:gridSpan w:val="3"/>
            <w:shd w:val="clear" w:color="auto" w:fill="B7D4EF" w:themeFill="text2" w:themeFillTint="33"/>
            <w:noWrap/>
            <w:vAlign w:val="center"/>
          </w:tcPr>
          <w:p w14:paraId="059B4D1F" w14:textId="77777777" w:rsidR="00D924EA" w:rsidRDefault="00011DE9">
            <w:pPr>
              <w:pStyle w:val="P68B1DB1-Normal28"/>
              <w:spacing w:after="0" w:line="240" w:lineRule="auto"/>
              <w:jc w:val="center"/>
              <w:rPr>
                <w:rFonts w:cs="Times New Roman"/>
                <w:noProof/>
                <w:szCs w:val="18"/>
              </w:rPr>
            </w:pPr>
            <w:r>
              <w:rPr>
                <w:noProof/>
              </w:rPr>
              <w:t>Indicator cantitativ pentru ținte</w:t>
            </w:r>
          </w:p>
        </w:tc>
        <w:tc>
          <w:tcPr>
            <w:tcW w:w="976" w:type="dxa"/>
            <w:gridSpan w:val="2"/>
            <w:shd w:val="clear" w:color="auto" w:fill="B7D4EF" w:themeFill="text2" w:themeFillTint="33"/>
            <w:noWrap/>
            <w:vAlign w:val="center"/>
          </w:tcPr>
          <w:p w14:paraId="31EA532A" w14:textId="77777777" w:rsidR="00D924EA" w:rsidRDefault="00011DE9">
            <w:pPr>
              <w:pStyle w:val="P68B1DB1-Normal28"/>
              <w:spacing w:after="0" w:line="240" w:lineRule="auto"/>
              <w:jc w:val="center"/>
              <w:rPr>
                <w:rFonts w:cs="Times New Roman"/>
                <w:noProof/>
                <w:szCs w:val="18"/>
              </w:rPr>
            </w:pPr>
            <w:r>
              <w:rPr>
                <w:noProof/>
              </w:rPr>
              <w:t>Timp</w:t>
            </w:r>
          </w:p>
        </w:tc>
        <w:tc>
          <w:tcPr>
            <w:tcW w:w="6258" w:type="dxa"/>
            <w:vMerge w:val="restart"/>
            <w:shd w:val="clear" w:color="auto" w:fill="B7D4EF" w:themeFill="text2" w:themeFillTint="33"/>
            <w:noWrap/>
            <w:vAlign w:val="center"/>
          </w:tcPr>
          <w:p w14:paraId="05852EE1" w14:textId="77777777" w:rsidR="00D924EA" w:rsidRDefault="00011DE9">
            <w:pPr>
              <w:pStyle w:val="P68B1DB1-Normal28"/>
              <w:spacing w:after="0" w:line="240" w:lineRule="auto"/>
              <w:jc w:val="center"/>
              <w:rPr>
                <w:rFonts w:cs="Times New Roman"/>
                <w:noProof/>
                <w:szCs w:val="18"/>
              </w:rPr>
            </w:pPr>
            <w:r>
              <w:rPr>
                <w:noProof/>
              </w:rPr>
              <w:t>Descrierea fiecărui jalon și a fiecărei ținte</w:t>
            </w:r>
          </w:p>
        </w:tc>
      </w:tr>
      <w:tr w:rsidR="00D924EA" w14:paraId="15A7B4BA" w14:textId="77777777">
        <w:trPr>
          <w:trHeight w:val="309"/>
          <w:tblHeader/>
          <w:jc w:val="center"/>
        </w:trPr>
        <w:tc>
          <w:tcPr>
            <w:tcW w:w="698" w:type="dxa"/>
            <w:vMerge/>
            <w:noWrap/>
          </w:tcPr>
          <w:p w14:paraId="590D7025" w14:textId="77777777" w:rsidR="00D924EA" w:rsidRDefault="00D924EA">
            <w:pPr>
              <w:spacing w:after="0" w:line="240" w:lineRule="auto"/>
              <w:jc w:val="center"/>
              <w:rPr>
                <w:rFonts w:ascii="Times New Roman" w:hAnsi="Times New Roman" w:cs="Times New Roman"/>
                <w:b/>
                <w:noProof/>
                <w:sz w:val="18"/>
                <w:szCs w:val="18"/>
              </w:rPr>
            </w:pPr>
          </w:p>
        </w:tc>
        <w:tc>
          <w:tcPr>
            <w:tcW w:w="836" w:type="dxa"/>
            <w:vMerge/>
            <w:noWrap/>
          </w:tcPr>
          <w:p w14:paraId="73941102" w14:textId="77777777" w:rsidR="00D924EA" w:rsidRDefault="00D924EA">
            <w:pPr>
              <w:spacing w:after="0" w:line="240" w:lineRule="auto"/>
              <w:jc w:val="center"/>
              <w:rPr>
                <w:rFonts w:ascii="Times New Roman" w:hAnsi="Times New Roman" w:cs="Times New Roman"/>
                <w:b/>
                <w:noProof/>
                <w:sz w:val="18"/>
                <w:szCs w:val="18"/>
              </w:rPr>
            </w:pPr>
          </w:p>
        </w:tc>
        <w:tc>
          <w:tcPr>
            <w:tcW w:w="835" w:type="dxa"/>
            <w:vMerge/>
            <w:noWrap/>
          </w:tcPr>
          <w:p w14:paraId="125D6434" w14:textId="77777777" w:rsidR="00D924EA" w:rsidRDefault="00D924EA">
            <w:pPr>
              <w:spacing w:after="0" w:line="240" w:lineRule="auto"/>
              <w:jc w:val="center"/>
              <w:rPr>
                <w:rFonts w:ascii="Times New Roman" w:hAnsi="Times New Roman" w:cs="Times New Roman"/>
                <w:b/>
                <w:noProof/>
                <w:sz w:val="18"/>
                <w:szCs w:val="18"/>
              </w:rPr>
            </w:pPr>
          </w:p>
        </w:tc>
        <w:tc>
          <w:tcPr>
            <w:tcW w:w="1595" w:type="dxa"/>
            <w:vMerge/>
            <w:noWrap/>
          </w:tcPr>
          <w:p w14:paraId="23D9D6B7" w14:textId="77777777" w:rsidR="00D924EA" w:rsidRDefault="00D924EA">
            <w:pPr>
              <w:spacing w:after="0" w:line="240" w:lineRule="auto"/>
              <w:rPr>
                <w:rFonts w:ascii="Times New Roman" w:hAnsi="Times New Roman" w:cs="Times New Roman"/>
                <w:b/>
                <w:noProof/>
                <w:sz w:val="18"/>
                <w:szCs w:val="18"/>
              </w:rPr>
            </w:pPr>
          </w:p>
        </w:tc>
        <w:tc>
          <w:tcPr>
            <w:tcW w:w="1467" w:type="dxa"/>
            <w:vMerge/>
            <w:noWrap/>
          </w:tcPr>
          <w:p w14:paraId="770EEA51" w14:textId="77777777" w:rsidR="00D924EA" w:rsidRDefault="00D924EA">
            <w:pPr>
              <w:spacing w:after="0" w:line="240" w:lineRule="auto"/>
              <w:jc w:val="center"/>
              <w:rPr>
                <w:rFonts w:ascii="Times New Roman" w:hAnsi="Times New Roman" w:cs="Times New Roman"/>
                <w:b/>
                <w:noProof/>
                <w:sz w:val="18"/>
                <w:szCs w:val="18"/>
              </w:rPr>
            </w:pPr>
          </w:p>
        </w:tc>
        <w:tc>
          <w:tcPr>
            <w:tcW w:w="835" w:type="dxa"/>
            <w:shd w:val="clear" w:color="auto" w:fill="B7D4EF" w:themeFill="text2" w:themeFillTint="33"/>
            <w:noWrap/>
            <w:vAlign w:val="center"/>
          </w:tcPr>
          <w:p w14:paraId="12401C57" w14:textId="77777777" w:rsidR="00D924EA" w:rsidRDefault="00011DE9">
            <w:pPr>
              <w:pStyle w:val="P68B1DB1-Normal28"/>
              <w:spacing w:after="0" w:line="240" w:lineRule="auto"/>
              <w:jc w:val="center"/>
              <w:rPr>
                <w:rFonts w:cs="Times New Roman"/>
                <w:noProof/>
                <w:szCs w:val="18"/>
              </w:rPr>
            </w:pPr>
            <w:r>
              <w:rPr>
                <w:noProof/>
              </w:rPr>
              <w:t>Unitate</w:t>
            </w:r>
          </w:p>
        </w:tc>
        <w:tc>
          <w:tcPr>
            <w:tcW w:w="974" w:type="dxa"/>
            <w:shd w:val="clear" w:color="auto" w:fill="B7D4EF" w:themeFill="text2" w:themeFillTint="33"/>
            <w:noWrap/>
            <w:vAlign w:val="center"/>
          </w:tcPr>
          <w:p w14:paraId="408BF346" w14:textId="77777777" w:rsidR="00D924EA" w:rsidRDefault="00011DE9">
            <w:pPr>
              <w:pStyle w:val="P68B1DB1-Normal28"/>
              <w:spacing w:after="0" w:line="240" w:lineRule="auto"/>
              <w:jc w:val="center"/>
              <w:rPr>
                <w:rFonts w:cs="Times New Roman"/>
                <w:noProof/>
                <w:szCs w:val="18"/>
              </w:rPr>
            </w:pPr>
            <w:r>
              <w:rPr>
                <w:noProof/>
              </w:rPr>
              <w:t>Situația de referință</w:t>
            </w:r>
          </w:p>
        </w:tc>
        <w:tc>
          <w:tcPr>
            <w:tcW w:w="836" w:type="dxa"/>
            <w:shd w:val="clear" w:color="auto" w:fill="B7D4EF" w:themeFill="text2" w:themeFillTint="33"/>
            <w:noWrap/>
            <w:vAlign w:val="center"/>
          </w:tcPr>
          <w:p w14:paraId="54008AB6" w14:textId="77777777" w:rsidR="00D924EA" w:rsidRDefault="00011DE9">
            <w:pPr>
              <w:pStyle w:val="P68B1DB1-Normal28"/>
              <w:spacing w:after="0" w:line="240" w:lineRule="auto"/>
              <w:jc w:val="center"/>
              <w:rPr>
                <w:rFonts w:cs="Times New Roman"/>
                <w:noProof/>
                <w:szCs w:val="18"/>
              </w:rPr>
            </w:pPr>
            <w:r>
              <w:rPr>
                <w:noProof/>
              </w:rPr>
              <w:t>Obiectiv</w:t>
            </w:r>
          </w:p>
        </w:tc>
        <w:tc>
          <w:tcPr>
            <w:tcW w:w="418" w:type="dxa"/>
            <w:shd w:val="clear" w:color="auto" w:fill="B7D4EF" w:themeFill="text2" w:themeFillTint="33"/>
            <w:noWrap/>
            <w:vAlign w:val="center"/>
          </w:tcPr>
          <w:p w14:paraId="33D6507E" w14:textId="78A0C86E" w:rsidR="00D924EA" w:rsidRDefault="005701C9">
            <w:pPr>
              <w:pStyle w:val="P68B1DB1-Normal28"/>
              <w:spacing w:after="0" w:line="240" w:lineRule="auto"/>
              <w:jc w:val="center"/>
              <w:rPr>
                <w:rFonts w:cs="Times New Roman"/>
                <w:noProof/>
                <w:szCs w:val="18"/>
              </w:rPr>
            </w:pPr>
            <w:r>
              <w:rPr>
                <w:noProof/>
              </w:rPr>
              <w:t>T</w:t>
            </w:r>
          </w:p>
        </w:tc>
        <w:tc>
          <w:tcPr>
            <w:tcW w:w="558" w:type="dxa"/>
            <w:shd w:val="clear" w:color="auto" w:fill="B7D4EF" w:themeFill="text2" w:themeFillTint="33"/>
            <w:noWrap/>
            <w:vAlign w:val="center"/>
          </w:tcPr>
          <w:p w14:paraId="3FDACC96" w14:textId="77777777" w:rsidR="00D924EA" w:rsidRDefault="00011DE9">
            <w:pPr>
              <w:pStyle w:val="P68B1DB1-Normal28"/>
              <w:spacing w:after="0" w:line="240" w:lineRule="auto"/>
              <w:jc w:val="center"/>
              <w:rPr>
                <w:rFonts w:cs="Times New Roman"/>
                <w:noProof/>
                <w:szCs w:val="18"/>
              </w:rPr>
            </w:pPr>
            <w:r>
              <w:rPr>
                <w:noProof/>
              </w:rPr>
              <w:t>Anul</w:t>
            </w:r>
          </w:p>
        </w:tc>
        <w:tc>
          <w:tcPr>
            <w:tcW w:w="6258" w:type="dxa"/>
            <w:vMerge/>
            <w:noWrap/>
          </w:tcPr>
          <w:p w14:paraId="47E77607" w14:textId="77777777" w:rsidR="00D924EA" w:rsidRDefault="00D924EA">
            <w:pPr>
              <w:spacing w:after="0" w:line="240" w:lineRule="auto"/>
              <w:rPr>
                <w:rFonts w:ascii="Times New Roman" w:hAnsi="Times New Roman" w:cs="Times New Roman"/>
                <w:b/>
                <w:noProof/>
                <w:sz w:val="18"/>
                <w:szCs w:val="18"/>
              </w:rPr>
            </w:pPr>
          </w:p>
        </w:tc>
      </w:tr>
      <w:tr w:rsidR="00D924EA" w14:paraId="4587DECD" w14:textId="77777777">
        <w:trPr>
          <w:trHeight w:val="309"/>
          <w:jc w:val="center"/>
        </w:trPr>
        <w:tc>
          <w:tcPr>
            <w:tcW w:w="698" w:type="dxa"/>
            <w:shd w:val="clear" w:color="auto" w:fill="C6EFCE"/>
            <w:noWrap/>
          </w:tcPr>
          <w:p w14:paraId="5DCCF04D" w14:textId="77777777" w:rsidR="00D924EA" w:rsidRDefault="00011DE9">
            <w:pPr>
              <w:pStyle w:val="P68B1DB1-Normal23"/>
              <w:spacing w:after="0" w:line="240" w:lineRule="auto"/>
              <w:jc w:val="center"/>
              <w:rPr>
                <w:rFonts w:eastAsia="MS Mincho" w:cs="Times New Roman"/>
                <w:noProof/>
                <w:szCs w:val="18"/>
              </w:rPr>
            </w:pPr>
            <w:r>
              <w:rPr>
                <w:noProof/>
              </w:rPr>
              <w:t>21</w:t>
            </w:r>
          </w:p>
        </w:tc>
        <w:tc>
          <w:tcPr>
            <w:tcW w:w="836" w:type="dxa"/>
            <w:shd w:val="clear" w:color="auto" w:fill="C6EFCE"/>
            <w:noWrap/>
          </w:tcPr>
          <w:p w14:paraId="1A2BA4AC" w14:textId="77777777" w:rsidR="00D924EA" w:rsidRDefault="00011DE9">
            <w:pPr>
              <w:pStyle w:val="P68B1DB1-Normal23"/>
              <w:spacing w:after="0" w:line="240" w:lineRule="auto"/>
              <w:jc w:val="center"/>
              <w:rPr>
                <w:rFonts w:eastAsia="MS Mincho" w:cs="Times New Roman"/>
                <w:noProof/>
                <w:szCs w:val="18"/>
              </w:rPr>
            </w:pPr>
            <w:r>
              <w:rPr>
                <w:noProof/>
              </w:rPr>
              <w:t>C2.R1</w:t>
            </w:r>
          </w:p>
        </w:tc>
        <w:tc>
          <w:tcPr>
            <w:tcW w:w="835" w:type="dxa"/>
            <w:shd w:val="clear" w:color="auto" w:fill="C6EFCE"/>
            <w:noWrap/>
          </w:tcPr>
          <w:p w14:paraId="17592724"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1595" w:type="dxa"/>
            <w:shd w:val="clear" w:color="auto" w:fill="C6EFCE"/>
            <w:noWrap/>
          </w:tcPr>
          <w:p w14:paraId="523F3C96" w14:textId="77777777" w:rsidR="00D924EA" w:rsidRDefault="00011DE9">
            <w:pPr>
              <w:pStyle w:val="P68B1DB1-Normal23"/>
              <w:spacing w:after="0" w:line="240" w:lineRule="auto"/>
              <w:rPr>
                <w:rFonts w:eastAsia="MS Mincho" w:cs="Times New Roman"/>
                <w:noProof/>
                <w:szCs w:val="18"/>
              </w:rPr>
            </w:pPr>
            <w:r>
              <w:rPr>
                <w:noProof/>
              </w:rPr>
              <w:t xml:space="preserve">Intrarea în vigoare a Agendei urbane spaniole și a Strategiei de renovare pe termen lung pentru reabilitarea energetică în sectorul construcțiilor din Spania </w:t>
            </w:r>
          </w:p>
        </w:tc>
        <w:tc>
          <w:tcPr>
            <w:tcW w:w="1467" w:type="dxa"/>
            <w:shd w:val="clear" w:color="auto" w:fill="C6EFCE"/>
            <w:noWrap/>
          </w:tcPr>
          <w:p w14:paraId="5F041C49" w14:textId="77777777" w:rsidR="00D924EA" w:rsidRDefault="00011DE9">
            <w:pPr>
              <w:pStyle w:val="P68B1DB1-Normal23"/>
              <w:spacing w:after="0" w:line="240" w:lineRule="auto"/>
              <w:jc w:val="center"/>
              <w:rPr>
                <w:rFonts w:eastAsia="MS Mincho" w:cs="Times New Roman"/>
                <w:noProof/>
                <w:szCs w:val="18"/>
              </w:rPr>
            </w:pPr>
            <w:r>
              <w:rPr>
                <w:noProof/>
              </w:rPr>
              <w:t>Publicarea în Jurnalul Oficial</w:t>
            </w:r>
          </w:p>
        </w:tc>
        <w:tc>
          <w:tcPr>
            <w:tcW w:w="835" w:type="dxa"/>
            <w:shd w:val="clear" w:color="auto" w:fill="C6EFCE"/>
            <w:noWrap/>
          </w:tcPr>
          <w:p w14:paraId="3BBDF589"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974" w:type="dxa"/>
            <w:shd w:val="clear" w:color="auto" w:fill="C6EFCE"/>
            <w:noWrap/>
          </w:tcPr>
          <w:p w14:paraId="01815A85"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836" w:type="dxa"/>
            <w:shd w:val="clear" w:color="auto" w:fill="C6EFCE"/>
            <w:noWrap/>
          </w:tcPr>
          <w:p w14:paraId="5A7A5A4F"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8" w:type="dxa"/>
            <w:shd w:val="clear" w:color="auto" w:fill="C6EFCE"/>
            <w:noWrap/>
          </w:tcPr>
          <w:p w14:paraId="22E7792B" w14:textId="7B6A0198" w:rsidR="00D924EA" w:rsidRDefault="005701C9">
            <w:pPr>
              <w:pStyle w:val="P68B1DB1-Normal23"/>
              <w:spacing w:after="0" w:line="240" w:lineRule="auto"/>
              <w:jc w:val="center"/>
              <w:rPr>
                <w:rFonts w:eastAsia="MS Mincho" w:cs="Times New Roman"/>
                <w:noProof/>
                <w:szCs w:val="18"/>
              </w:rPr>
            </w:pPr>
            <w:r>
              <w:rPr>
                <w:noProof/>
              </w:rPr>
              <w:t>T2</w:t>
            </w:r>
          </w:p>
        </w:tc>
        <w:tc>
          <w:tcPr>
            <w:tcW w:w="558" w:type="dxa"/>
            <w:shd w:val="clear" w:color="auto" w:fill="C6EFCE"/>
            <w:noWrap/>
          </w:tcPr>
          <w:p w14:paraId="25203E37" w14:textId="77777777" w:rsidR="00D924EA" w:rsidRDefault="00011DE9">
            <w:pPr>
              <w:pStyle w:val="P68B1DB1-Normal23"/>
              <w:spacing w:after="0" w:line="240" w:lineRule="auto"/>
              <w:jc w:val="center"/>
              <w:rPr>
                <w:rFonts w:eastAsia="MS Mincho" w:cs="Times New Roman"/>
                <w:noProof/>
                <w:szCs w:val="18"/>
              </w:rPr>
            </w:pPr>
            <w:r>
              <w:rPr>
                <w:noProof/>
              </w:rPr>
              <w:t>2020</w:t>
            </w:r>
          </w:p>
        </w:tc>
        <w:tc>
          <w:tcPr>
            <w:tcW w:w="6258" w:type="dxa"/>
            <w:shd w:val="clear" w:color="auto" w:fill="C6EFCE"/>
            <w:noWrap/>
          </w:tcPr>
          <w:p w14:paraId="60FF846B" w14:textId="77777777" w:rsidR="00D924EA" w:rsidRDefault="00011DE9">
            <w:pPr>
              <w:pStyle w:val="P68B1DB1-Normal23"/>
              <w:spacing w:after="0" w:line="240" w:lineRule="auto"/>
              <w:rPr>
                <w:rFonts w:eastAsia="MS Mincho" w:cs="Times New Roman"/>
                <w:noProof/>
                <w:szCs w:val="18"/>
              </w:rPr>
            </w:pPr>
            <w:r>
              <w:rPr>
                <w:noProof/>
              </w:rPr>
              <w:t xml:space="preserve">Intrarea în vigoare a Agendei urbane spaniole ca politică urbană națională care asigură o planificare strategică integrată și cuprinzătoare a orașelor și actualizarea din 2020 a Strategiei de renovare pe termen lung (SRTL) pentru reabilitarea energetică în sectorul construcțiilor din Spania (ERESEE). Scopul strategiei ERESEE este de a diagnostica parcul imobiliar din Spania, de a elimina obstacolele și de a genera noi abordări pentru extinderea renovării clădirilor, de a stimula investițiile în acest sector, de a spori economiile de energie și de a reduce emisiile de dioxid de carbon în conformitate cu obiectivele climatice. </w:t>
            </w:r>
            <w:r>
              <w:rPr>
                <w:noProof/>
                <w:szCs w:val="18"/>
              </w:rPr>
              <w:t>Publicarea pe site-ul oficial relevant este considerată un indicator calitativ al intrării în vigoare.</w:t>
            </w:r>
          </w:p>
        </w:tc>
      </w:tr>
      <w:tr w:rsidR="00D924EA" w14:paraId="49BB6796" w14:textId="77777777">
        <w:trPr>
          <w:trHeight w:val="309"/>
          <w:jc w:val="center"/>
        </w:trPr>
        <w:tc>
          <w:tcPr>
            <w:tcW w:w="698" w:type="dxa"/>
            <w:shd w:val="clear" w:color="auto" w:fill="C6EFCE"/>
            <w:noWrap/>
          </w:tcPr>
          <w:p w14:paraId="087B47D3" w14:textId="77777777" w:rsidR="00D924EA" w:rsidRDefault="00011DE9">
            <w:pPr>
              <w:pStyle w:val="P68B1DB1-Normal23"/>
              <w:spacing w:after="0" w:line="240" w:lineRule="auto"/>
              <w:jc w:val="center"/>
              <w:rPr>
                <w:rFonts w:cs="Times New Roman"/>
                <w:noProof/>
                <w:szCs w:val="18"/>
              </w:rPr>
            </w:pPr>
            <w:r>
              <w:rPr>
                <w:noProof/>
              </w:rPr>
              <w:t>21bis</w:t>
            </w:r>
          </w:p>
        </w:tc>
        <w:tc>
          <w:tcPr>
            <w:tcW w:w="836" w:type="dxa"/>
            <w:shd w:val="clear" w:color="auto" w:fill="C6EFCE"/>
            <w:noWrap/>
          </w:tcPr>
          <w:p w14:paraId="7C7F2BF6" w14:textId="77777777" w:rsidR="00D924EA" w:rsidRDefault="00011DE9">
            <w:pPr>
              <w:pStyle w:val="P68B1DB1-Normal23"/>
              <w:spacing w:after="0" w:line="240" w:lineRule="auto"/>
              <w:jc w:val="center"/>
              <w:rPr>
                <w:rFonts w:cs="Times New Roman"/>
                <w:noProof/>
                <w:szCs w:val="18"/>
              </w:rPr>
            </w:pPr>
            <w:r>
              <w:rPr>
                <w:noProof/>
              </w:rPr>
              <w:t>C2.R2</w:t>
            </w:r>
          </w:p>
        </w:tc>
        <w:tc>
          <w:tcPr>
            <w:tcW w:w="835" w:type="dxa"/>
            <w:shd w:val="clear" w:color="auto" w:fill="C6EFCE"/>
            <w:noWrap/>
          </w:tcPr>
          <w:p w14:paraId="35C6730E" w14:textId="77777777" w:rsidR="00D924EA" w:rsidRDefault="00011DE9">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1938AF23" w14:textId="77777777" w:rsidR="00D924EA" w:rsidRDefault="00011DE9">
            <w:pPr>
              <w:pStyle w:val="P68B1DB1-Normal23"/>
              <w:spacing w:after="0" w:line="240" w:lineRule="auto"/>
              <w:rPr>
                <w:rFonts w:cs="Times New Roman"/>
                <w:noProof/>
                <w:szCs w:val="18"/>
              </w:rPr>
            </w:pPr>
            <w:r>
              <w:rPr>
                <w:noProof/>
              </w:rPr>
              <w:t>Publicarea recomandărilor grupurilor de lucru pentru punerea în aplicare a strategiei de renovare pe termen lung în Spania</w:t>
            </w:r>
          </w:p>
        </w:tc>
        <w:tc>
          <w:tcPr>
            <w:tcW w:w="1467" w:type="dxa"/>
            <w:shd w:val="clear" w:color="auto" w:fill="C6EFCE"/>
            <w:noWrap/>
          </w:tcPr>
          <w:p w14:paraId="2EA39D65" w14:textId="2CA481BB" w:rsidR="00D924EA" w:rsidRDefault="00011DE9">
            <w:pPr>
              <w:pStyle w:val="P68B1DB1-Normal23"/>
              <w:spacing w:after="0" w:line="240" w:lineRule="auto"/>
              <w:jc w:val="center"/>
              <w:rPr>
                <w:rFonts w:cs="Times New Roman"/>
                <w:noProof/>
                <w:szCs w:val="18"/>
              </w:rPr>
            </w:pPr>
            <w:r>
              <w:rPr>
                <w:noProof/>
              </w:rPr>
              <w:t>Publicarea recomandărilor grupurilor de lucru</w:t>
            </w:r>
          </w:p>
        </w:tc>
        <w:tc>
          <w:tcPr>
            <w:tcW w:w="835" w:type="dxa"/>
            <w:shd w:val="clear" w:color="auto" w:fill="C6EFCE"/>
            <w:noWrap/>
          </w:tcPr>
          <w:p w14:paraId="55D9F0B3" w14:textId="77777777" w:rsidR="00D924EA" w:rsidRDefault="00D924EA">
            <w:pPr>
              <w:spacing w:after="0" w:line="240" w:lineRule="auto"/>
              <w:jc w:val="center"/>
              <w:rPr>
                <w:rFonts w:ascii="Times New Roman" w:hAnsi="Times New Roman" w:cs="Times New Roman"/>
                <w:noProof/>
                <w:sz w:val="18"/>
                <w:szCs w:val="18"/>
              </w:rPr>
            </w:pPr>
          </w:p>
        </w:tc>
        <w:tc>
          <w:tcPr>
            <w:tcW w:w="974" w:type="dxa"/>
            <w:shd w:val="clear" w:color="auto" w:fill="C6EFCE"/>
            <w:noWrap/>
          </w:tcPr>
          <w:p w14:paraId="24F3E808" w14:textId="77777777" w:rsidR="00D924EA" w:rsidRDefault="00D924EA">
            <w:pPr>
              <w:spacing w:after="0" w:line="240" w:lineRule="auto"/>
              <w:jc w:val="center"/>
              <w:rPr>
                <w:rFonts w:ascii="Times New Roman" w:hAnsi="Times New Roman" w:cs="Times New Roman"/>
                <w:noProof/>
                <w:sz w:val="18"/>
                <w:szCs w:val="18"/>
              </w:rPr>
            </w:pPr>
          </w:p>
        </w:tc>
        <w:tc>
          <w:tcPr>
            <w:tcW w:w="836" w:type="dxa"/>
            <w:shd w:val="clear" w:color="auto" w:fill="C6EFCE"/>
            <w:noWrap/>
          </w:tcPr>
          <w:p w14:paraId="3C194F0D" w14:textId="77777777" w:rsidR="00D924EA" w:rsidRDefault="00D924EA">
            <w:pPr>
              <w:spacing w:after="0" w:line="240" w:lineRule="auto"/>
              <w:jc w:val="center"/>
              <w:rPr>
                <w:rFonts w:ascii="Times New Roman" w:hAnsi="Times New Roman" w:cs="Times New Roman"/>
                <w:noProof/>
                <w:sz w:val="18"/>
                <w:szCs w:val="18"/>
              </w:rPr>
            </w:pPr>
          </w:p>
        </w:tc>
        <w:tc>
          <w:tcPr>
            <w:tcW w:w="418" w:type="dxa"/>
            <w:shd w:val="clear" w:color="auto" w:fill="C6EFCE"/>
            <w:noWrap/>
          </w:tcPr>
          <w:p w14:paraId="31FA7EE3" w14:textId="2DB53F88" w:rsidR="00D924EA" w:rsidRDefault="005701C9">
            <w:pPr>
              <w:pStyle w:val="P68B1DB1-Normal23"/>
              <w:spacing w:after="0" w:line="240" w:lineRule="auto"/>
              <w:jc w:val="center"/>
              <w:rPr>
                <w:rFonts w:cs="Times New Roman"/>
                <w:noProof/>
                <w:szCs w:val="18"/>
              </w:rPr>
            </w:pPr>
            <w:r>
              <w:rPr>
                <w:noProof/>
              </w:rPr>
              <w:t>T2</w:t>
            </w:r>
          </w:p>
        </w:tc>
        <w:tc>
          <w:tcPr>
            <w:tcW w:w="558" w:type="dxa"/>
            <w:shd w:val="clear" w:color="auto" w:fill="C6EFCE"/>
            <w:noWrap/>
          </w:tcPr>
          <w:p w14:paraId="71E2AA25" w14:textId="77777777" w:rsidR="00D924EA" w:rsidRDefault="00011DE9">
            <w:pPr>
              <w:pStyle w:val="P68B1DB1-Normal23"/>
              <w:spacing w:after="0" w:line="240" w:lineRule="auto"/>
              <w:jc w:val="center"/>
              <w:rPr>
                <w:rFonts w:cs="Times New Roman"/>
                <w:noProof/>
                <w:szCs w:val="18"/>
              </w:rPr>
            </w:pPr>
            <w:r>
              <w:rPr>
                <w:noProof/>
              </w:rPr>
              <w:t>2023</w:t>
            </w:r>
          </w:p>
        </w:tc>
        <w:tc>
          <w:tcPr>
            <w:tcW w:w="6258" w:type="dxa"/>
            <w:shd w:val="clear" w:color="auto" w:fill="C6EFCE"/>
            <w:noWrap/>
          </w:tcPr>
          <w:p w14:paraId="1FA64BEC" w14:textId="77777777" w:rsidR="00D924EA" w:rsidRDefault="00011DE9">
            <w:pPr>
              <w:pStyle w:val="P68B1DB1-Normal23"/>
              <w:spacing w:after="0" w:line="240" w:lineRule="auto"/>
              <w:rPr>
                <w:rFonts w:cs="Times New Roman"/>
                <w:noProof/>
                <w:szCs w:val="18"/>
              </w:rPr>
            </w:pPr>
            <w:r>
              <w:rPr>
                <w:noProof/>
              </w:rPr>
              <w:t>Publicarea recomandărilor detaliate ale grupurilor de lucru pentru punerea în aplicare a actualizării din 2020 a Strategiei de renovare pe termen lung (SRTL) pentru reabilitarea energetică în sectorul construcțiilor din Spania (ERESEE). Scopul strategiei ERESEE este de a diagnostica parcul imobiliar din Spania, de a elimina obstacolele și de a genera noi abordări pentru extinderea renovărilor clădirilor, de a stimula investițiile în acest sector, de a spori economiile de energie și de a reduce emisiile de dioxid de carbon în conformitate cu obiectivele climatice. În vederea punerii în aplicare a ERESEE, vor fi create mai multe grupuri de lucru pentru a elabora recomandări clare pentru punerea în aplicare a planului de acțiune pentru reabilitarea și regenerarea urbană. Recomandările detaliate includ o foaie de parcurs și ghiduri metodologice pentru fiecare măsură care urmează să fie luată și se adresează fiecărui agent implicat (administrație publică, părți interesate etc.).</w:t>
            </w:r>
            <w:r>
              <w:rPr>
                <w:noProof/>
                <w:szCs w:val="18"/>
              </w:rPr>
              <w:t xml:space="preserve"> </w:t>
            </w:r>
            <w:r>
              <w:rPr>
                <w:noProof/>
              </w:rPr>
              <w:t>Ghidurile metodologice înseamnă sarcini.</w:t>
            </w:r>
          </w:p>
        </w:tc>
      </w:tr>
      <w:tr w:rsidR="00D924EA" w14:paraId="606DAFC7" w14:textId="77777777">
        <w:trPr>
          <w:trHeight w:val="309"/>
          <w:jc w:val="center"/>
        </w:trPr>
        <w:tc>
          <w:tcPr>
            <w:tcW w:w="698" w:type="dxa"/>
            <w:shd w:val="clear" w:color="auto" w:fill="C6EFCE"/>
            <w:noWrap/>
          </w:tcPr>
          <w:p w14:paraId="3581D0F1" w14:textId="77777777" w:rsidR="00D924EA" w:rsidRDefault="00011DE9">
            <w:pPr>
              <w:pStyle w:val="P68B1DB1-Normal23"/>
              <w:spacing w:after="0" w:line="240" w:lineRule="auto"/>
              <w:jc w:val="center"/>
              <w:rPr>
                <w:rFonts w:eastAsia="MS Mincho" w:cs="Times New Roman"/>
                <w:noProof/>
                <w:szCs w:val="18"/>
              </w:rPr>
            </w:pPr>
            <w:r>
              <w:rPr>
                <w:noProof/>
              </w:rPr>
              <w:t>22</w:t>
            </w:r>
          </w:p>
        </w:tc>
        <w:tc>
          <w:tcPr>
            <w:tcW w:w="836" w:type="dxa"/>
            <w:shd w:val="clear" w:color="auto" w:fill="C6EFCE"/>
            <w:noWrap/>
          </w:tcPr>
          <w:p w14:paraId="50397329" w14:textId="77777777" w:rsidR="00D924EA" w:rsidRDefault="00011DE9">
            <w:pPr>
              <w:pStyle w:val="P68B1DB1-Normal23"/>
              <w:spacing w:after="0" w:line="240" w:lineRule="auto"/>
              <w:jc w:val="center"/>
              <w:rPr>
                <w:rFonts w:eastAsia="MS Mincho" w:cs="Times New Roman"/>
                <w:noProof/>
                <w:szCs w:val="18"/>
              </w:rPr>
            </w:pPr>
            <w:r>
              <w:rPr>
                <w:noProof/>
              </w:rPr>
              <w:t>C2.R3</w:t>
            </w:r>
          </w:p>
        </w:tc>
        <w:tc>
          <w:tcPr>
            <w:tcW w:w="835" w:type="dxa"/>
            <w:shd w:val="clear" w:color="auto" w:fill="C6EFCE"/>
            <w:noWrap/>
          </w:tcPr>
          <w:p w14:paraId="4703BBEB"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1595" w:type="dxa"/>
            <w:shd w:val="clear" w:color="auto" w:fill="C6EFCE"/>
            <w:noWrap/>
          </w:tcPr>
          <w:p w14:paraId="754CFFE8" w14:textId="77777777" w:rsidR="00D924EA" w:rsidRDefault="00011DE9">
            <w:pPr>
              <w:pStyle w:val="P68B1DB1-Normal23"/>
              <w:spacing w:after="0" w:line="240" w:lineRule="auto"/>
              <w:rPr>
                <w:rFonts w:eastAsia="MS Mincho" w:cs="Times New Roman"/>
                <w:noProof/>
                <w:szCs w:val="18"/>
              </w:rPr>
            </w:pPr>
            <w:r>
              <w:rPr>
                <w:noProof/>
              </w:rPr>
              <w:t xml:space="preserve">Intrarea în vigoare a Legii privind locuințele, inclusiv acțiuni de sprijinire a creșterii ofertei de locuințe în conformitate cu clădirile al căror consum de energie este aproape egal cu zero </w:t>
            </w:r>
          </w:p>
        </w:tc>
        <w:tc>
          <w:tcPr>
            <w:tcW w:w="1467" w:type="dxa"/>
            <w:shd w:val="clear" w:color="auto" w:fill="C6EFCE"/>
            <w:noWrap/>
          </w:tcPr>
          <w:p w14:paraId="260269CF" w14:textId="77777777" w:rsidR="00D924EA" w:rsidRDefault="00011DE9">
            <w:pPr>
              <w:pStyle w:val="P68B1DB1-Normal23"/>
              <w:spacing w:after="0" w:line="240" w:lineRule="auto"/>
              <w:jc w:val="center"/>
              <w:rPr>
                <w:rFonts w:eastAsia="MS Mincho" w:cs="Times New Roman"/>
                <w:noProof/>
                <w:szCs w:val="18"/>
              </w:rPr>
            </w:pPr>
            <w:r>
              <w:rPr>
                <w:noProof/>
              </w:rPr>
              <w:t>Dispoziție din Legea privind locuințele referitoare la intrarea în vigoare</w:t>
            </w:r>
          </w:p>
        </w:tc>
        <w:tc>
          <w:tcPr>
            <w:tcW w:w="835" w:type="dxa"/>
            <w:shd w:val="clear" w:color="auto" w:fill="C6EFCE"/>
            <w:noWrap/>
          </w:tcPr>
          <w:p w14:paraId="45A1EDDC"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974" w:type="dxa"/>
            <w:shd w:val="clear" w:color="auto" w:fill="C6EFCE"/>
            <w:noWrap/>
          </w:tcPr>
          <w:p w14:paraId="702EEB95"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836" w:type="dxa"/>
            <w:shd w:val="clear" w:color="auto" w:fill="C6EFCE"/>
            <w:noWrap/>
          </w:tcPr>
          <w:p w14:paraId="5310AB17"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8" w:type="dxa"/>
            <w:shd w:val="clear" w:color="auto" w:fill="C6EFCE"/>
            <w:noWrap/>
          </w:tcPr>
          <w:p w14:paraId="418063DA" w14:textId="016EB0B3" w:rsidR="00D924EA" w:rsidRDefault="005701C9">
            <w:pPr>
              <w:pStyle w:val="P68B1DB1-Normal23"/>
              <w:spacing w:after="0" w:line="240" w:lineRule="auto"/>
              <w:jc w:val="center"/>
              <w:rPr>
                <w:rFonts w:eastAsia="MS Mincho" w:cs="Times New Roman"/>
                <w:noProof/>
                <w:szCs w:val="18"/>
              </w:rPr>
            </w:pPr>
            <w:r>
              <w:rPr>
                <w:noProof/>
              </w:rPr>
              <w:t>T3</w:t>
            </w:r>
          </w:p>
        </w:tc>
        <w:tc>
          <w:tcPr>
            <w:tcW w:w="558" w:type="dxa"/>
            <w:shd w:val="clear" w:color="auto" w:fill="C6EFCE"/>
            <w:noWrap/>
          </w:tcPr>
          <w:p w14:paraId="75837B82" w14:textId="77777777" w:rsidR="00D924EA" w:rsidRDefault="00011DE9">
            <w:pPr>
              <w:pStyle w:val="P68B1DB1-Normal23"/>
              <w:spacing w:after="0" w:line="240" w:lineRule="auto"/>
              <w:jc w:val="center"/>
              <w:rPr>
                <w:rFonts w:eastAsia="MS Mincho" w:cs="Times New Roman"/>
                <w:noProof/>
                <w:szCs w:val="18"/>
              </w:rPr>
            </w:pPr>
            <w:r>
              <w:rPr>
                <w:noProof/>
              </w:rPr>
              <w:t>2022</w:t>
            </w:r>
          </w:p>
        </w:tc>
        <w:tc>
          <w:tcPr>
            <w:tcW w:w="6258" w:type="dxa"/>
            <w:shd w:val="clear" w:color="auto" w:fill="C6EFCE"/>
            <w:noWrap/>
          </w:tcPr>
          <w:p w14:paraId="502617D9" w14:textId="77777777" w:rsidR="00D924EA" w:rsidRDefault="00011DE9">
            <w:pPr>
              <w:pStyle w:val="P68B1DB1-Normal23"/>
              <w:spacing w:after="0" w:line="240" w:lineRule="auto"/>
              <w:rPr>
                <w:rFonts w:eastAsia="MS Mincho" w:cs="Times New Roman"/>
                <w:noProof/>
                <w:szCs w:val="18"/>
              </w:rPr>
            </w:pPr>
            <w:r>
              <w:rPr>
                <w:noProof/>
              </w:rPr>
              <w:t xml:space="preserve">Legea privind locuințele abordează diverse instrumente de planificare, programare și colaborare pentru a asigura respectarea corespunzătoare a dreptului la o locuință decentă și adecvată, inclusiv, ca una dintre priorități, reabilitarea și îmbunătățirea fondului locativ existent, precum și regenerarea și renovarea mediilor rezidențiale în care sunt situate. Legea încurajează o creștere a ofertei de locuințe sociale și la prețuri accesibile prin asigurarea respectării cerințelor prevăzute în prezent pentru clădirile al căror consum de energie este aproape egal cu zero, în conformitate cu documentul de bază privind economisirea energiei (DB-HE) din Codul tehnic al clădirilor (CTE). </w:t>
            </w:r>
          </w:p>
        </w:tc>
      </w:tr>
      <w:tr w:rsidR="00D924EA" w14:paraId="0E867827" w14:textId="77777777">
        <w:trPr>
          <w:trHeight w:val="309"/>
          <w:jc w:val="center"/>
        </w:trPr>
        <w:tc>
          <w:tcPr>
            <w:tcW w:w="698" w:type="dxa"/>
            <w:shd w:val="clear" w:color="auto" w:fill="C6EFCE"/>
            <w:noWrap/>
          </w:tcPr>
          <w:p w14:paraId="6AFD5E3A" w14:textId="77777777" w:rsidR="00D924EA" w:rsidRDefault="00011DE9">
            <w:pPr>
              <w:pStyle w:val="P68B1DB1-Normal23"/>
              <w:spacing w:after="0" w:line="240" w:lineRule="auto"/>
              <w:jc w:val="center"/>
              <w:rPr>
                <w:rFonts w:eastAsia="MS Mincho" w:cs="Times New Roman"/>
                <w:noProof/>
                <w:szCs w:val="18"/>
              </w:rPr>
            </w:pPr>
            <w:r>
              <w:rPr>
                <w:noProof/>
              </w:rPr>
              <w:t>23</w:t>
            </w:r>
          </w:p>
        </w:tc>
        <w:tc>
          <w:tcPr>
            <w:tcW w:w="836" w:type="dxa"/>
            <w:shd w:val="clear" w:color="auto" w:fill="C6EFCE"/>
            <w:noWrap/>
          </w:tcPr>
          <w:p w14:paraId="1514B75B" w14:textId="77777777" w:rsidR="00D924EA" w:rsidRDefault="00011DE9">
            <w:pPr>
              <w:pStyle w:val="P68B1DB1-Normal23"/>
              <w:spacing w:after="0" w:line="240" w:lineRule="auto"/>
              <w:jc w:val="center"/>
              <w:rPr>
                <w:rFonts w:eastAsia="MS Mincho" w:cs="Times New Roman"/>
                <w:noProof/>
                <w:szCs w:val="18"/>
              </w:rPr>
            </w:pPr>
            <w:r>
              <w:rPr>
                <w:noProof/>
              </w:rPr>
              <w:t>C2.R4</w:t>
            </w:r>
          </w:p>
        </w:tc>
        <w:tc>
          <w:tcPr>
            <w:tcW w:w="835" w:type="dxa"/>
            <w:shd w:val="clear" w:color="auto" w:fill="C6EFCE"/>
            <w:noWrap/>
          </w:tcPr>
          <w:p w14:paraId="56CAE145"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1595" w:type="dxa"/>
            <w:shd w:val="clear" w:color="auto" w:fill="C6EFCE"/>
            <w:noWrap/>
          </w:tcPr>
          <w:p w14:paraId="4030EB49" w14:textId="77777777" w:rsidR="00D924EA" w:rsidRDefault="00011DE9">
            <w:pPr>
              <w:pStyle w:val="P68B1DB1-Normal23"/>
              <w:spacing w:after="0" w:line="240" w:lineRule="auto"/>
              <w:rPr>
                <w:rFonts w:eastAsia="MS Mincho" w:cs="Times New Roman"/>
                <w:noProof/>
                <w:szCs w:val="18"/>
              </w:rPr>
            </w:pPr>
            <w:r>
              <w:rPr>
                <w:noProof/>
              </w:rPr>
              <w:t xml:space="preserve">Intrarea în vigoare a Legii privind calitatea arhitecturii și a mediului construit </w:t>
            </w:r>
          </w:p>
        </w:tc>
        <w:tc>
          <w:tcPr>
            <w:tcW w:w="1467" w:type="dxa"/>
            <w:shd w:val="clear" w:color="auto" w:fill="C6EFCE"/>
            <w:noWrap/>
          </w:tcPr>
          <w:p w14:paraId="2FBF137B" w14:textId="77777777" w:rsidR="00D924EA" w:rsidRDefault="00011DE9">
            <w:pPr>
              <w:pStyle w:val="P68B1DB1-Normal23"/>
              <w:spacing w:after="0" w:line="240" w:lineRule="auto"/>
              <w:jc w:val="center"/>
              <w:rPr>
                <w:rFonts w:eastAsia="MS Mincho" w:cs="Times New Roman"/>
                <w:noProof/>
                <w:szCs w:val="18"/>
              </w:rPr>
            </w:pPr>
            <w:r>
              <w:rPr>
                <w:noProof/>
              </w:rPr>
              <w:t>Dispoziție din Legea privind calitatea arhitecturii și a mediului construit referitoare la intrarea în vigoare</w:t>
            </w:r>
          </w:p>
        </w:tc>
        <w:tc>
          <w:tcPr>
            <w:tcW w:w="835" w:type="dxa"/>
            <w:shd w:val="clear" w:color="auto" w:fill="C6EFCE"/>
            <w:noWrap/>
          </w:tcPr>
          <w:p w14:paraId="505B25DB"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974" w:type="dxa"/>
            <w:shd w:val="clear" w:color="auto" w:fill="C6EFCE"/>
            <w:noWrap/>
          </w:tcPr>
          <w:p w14:paraId="53C82A09"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836" w:type="dxa"/>
            <w:shd w:val="clear" w:color="auto" w:fill="C6EFCE"/>
            <w:noWrap/>
          </w:tcPr>
          <w:p w14:paraId="41016F31"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8" w:type="dxa"/>
            <w:shd w:val="clear" w:color="auto" w:fill="C6EFCE"/>
            <w:noWrap/>
          </w:tcPr>
          <w:p w14:paraId="6F136F0F" w14:textId="784C2C50" w:rsidR="00D924EA" w:rsidRDefault="005701C9">
            <w:pPr>
              <w:pStyle w:val="P68B1DB1-Normal23"/>
              <w:spacing w:after="0" w:line="240" w:lineRule="auto"/>
              <w:jc w:val="center"/>
              <w:rPr>
                <w:rFonts w:eastAsia="MS Mincho" w:cs="Times New Roman"/>
                <w:noProof/>
                <w:szCs w:val="18"/>
              </w:rPr>
            </w:pPr>
            <w:r>
              <w:rPr>
                <w:noProof/>
              </w:rPr>
              <w:t>T3</w:t>
            </w:r>
          </w:p>
        </w:tc>
        <w:tc>
          <w:tcPr>
            <w:tcW w:w="558" w:type="dxa"/>
            <w:shd w:val="clear" w:color="auto" w:fill="C6EFCE"/>
            <w:noWrap/>
          </w:tcPr>
          <w:p w14:paraId="57987E7F" w14:textId="77777777" w:rsidR="00D924EA" w:rsidRDefault="00011DE9">
            <w:pPr>
              <w:pStyle w:val="P68B1DB1-Normal23"/>
              <w:spacing w:after="0" w:line="240" w:lineRule="auto"/>
              <w:jc w:val="center"/>
              <w:rPr>
                <w:rFonts w:eastAsia="MS Mincho" w:cs="Times New Roman"/>
                <w:noProof/>
                <w:szCs w:val="18"/>
              </w:rPr>
            </w:pPr>
            <w:r>
              <w:rPr>
                <w:noProof/>
              </w:rPr>
              <w:t>2022</w:t>
            </w:r>
          </w:p>
        </w:tc>
        <w:tc>
          <w:tcPr>
            <w:tcW w:w="6258" w:type="dxa"/>
            <w:shd w:val="clear" w:color="auto" w:fill="C6EFCE"/>
            <w:noWrap/>
          </w:tcPr>
          <w:p w14:paraId="1039A548" w14:textId="77777777" w:rsidR="00D924EA" w:rsidRDefault="00011DE9">
            <w:pPr>
              <w:pStyle w:val="P68B1DB1-Normal23"/>
              <w:spacing w:after="0" w:line="240" w:lineRule="auto"/>
              <w:rPr>
                <w:rFonts w:eastAsia="MS Mincho" w:cs="Times New Roman"/>
                <w:noProof/>
                <w:szCs w:val="18"/>
              </w:rPr>
            </w:pPr>
            <w:r>
              <w:rPr>
                <w:noProof/>
              </w:rPr>
              <w:t xml:space="preserve">Adoptarea Legii privind calitatea arhitecturii și a mediului imobiliar, inclusiv o abordare integrată a reabilitării, care va stimula creșterea parcului imobiliar al cărui consum de energie este aproape egal cu zero, nu numai între clădirile noi, ci și între clădirile existente. Legea stabilește principiul calității arhitecturii și a mediului construit, consacrând durabilitatea mediului și contribuția la realizarea obiectivelor de eficiență energetică drept unul dintre criteriile-cheie de evaluare și orientează reabilitarea necesară a fondului locativ către o abordare integrată a reabilitării. </w:t>
            </w:r>
          </w:p>
        </w:tc>
      </w:tr>
      <w:tr w:rsidR="00D924EA" w14:paraId="1765BF18" w14:textId="77777777">
        <w:trPr>
          <w:trHeight w:val="309"/>
          <w:jc w:val="center"/>
        </w:trPr>
        <w:tc>
          <w:tcPr>
            <w:tcW w:w="698" w:type="dxa"/>
            <w:shd w:val="clear" w:color="auto" w:fill="C6EFCE"/>
            <w:noWrap/>
          </w:tcPr>
          <w:p w14:paraId="57BC1E19" w14:textId="77777777" w:rsidR="00D924EA" w:rsidRDefault="00011DE9">
            <w:pPr>
              <w:pStyle w:val="P68B1DB1-Normal23"/>
              <w:spacing w:after="0" w:line="240" w:lineRule="auto"/>
              <w:jc w:val="center"/>
              <w:rPr>
                <w:rFonts w:cs="Times New Roman"/>
                <w:noProof/>
                <w:szCs w:val="18"/>
              </w:rPr>
            </w:pPr>
            <w:r>
              <w:rPr>
                <w:noProof/>
              </w:rPr>
              <w:t>24</w:t>
            </w:r>
          </w:p>
        </w:tc>
        <w:tc>
          <w:tcPr>
            <w:tcW w:w="836" w:type="dxa"/>
            <w:shd w:val="clear" w:color="auto" w:fill="C6EFCE"/>
            <w:noWrap/>
          </w:tcPr>
          <w:p w14:paraId="66DB8C2E" w14:textId="77777777" w:rsidR="00D924EA" w:rsidRDefault="00011DE9">
            <w:pPr>
              <w:pStyle w:val="P68B1DB1-Normal23"/>
              <w:spacing w:after="0" w:line="240" w:lineRule="auto"/>
              <w:jc w:val="center"/>
              <w:rPr>
                <w:rFonts w:eastAsia="MS Mincho" w:cs="Times New Roman"/>
                <w:noProof/>
                <w:szCs w:val="18"/>
              </w:rPr>
            </w:pPr>
            <w:r>
              <w:rPr>
                <w:noProof/>
              </w:rPr>
              <w:t>C2.R5</w:t>
            </w:r>
          </w:p>
        </w:tc>
        <w:tc>
          <w:tcPr>
            <w:tcW w:w="835" w:type="dxa"/>
            <w:shd w:val="clear" w:color="auto" w:fill="C6EFCE"/>
            <w:noWrap/>
          </w:tcPr>
          <w:p w14:paraId="0F9DBE85" w14:textId="77777777" w:rsidR="00D924EA" w:rsidRDefault="00011DE9">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31A2A6D2" w14:textId="77777777" w:rsidR="00D924EA" w:rsidRDefault="00011DE9">
            <w:pPr>
              <w:pStyle w:val="P68B1DB1-Normal23"/>
              <w:spacing w:after="0" w:line="240" w:lineRule="auto"/>
              <w:rPr>
                <w:rFonts w:cs="Times New Roman"/>
                <w:noProof/>
                <w:szCs w:val="18"/>
              </w:rPr>
            </w:pPr>
            <w:r>
              <w:rPr>
                <w:noProof/>
              </w:rPr>
              <w:t xml:space="preserve">Intrarea în vigoare a Decretului regal privind birourile de renovare („ghișee unice”) </w:t>
            </w:r>
          </w:p>
        </w:tc>
        <w:tc>
          <w:tcPr>
            <w:tcW w:w="1467" w:type="dxa"/>
            <w:shd w:val="clear" w:color="auto" w:fill="C6EFCE"/>
            <w:noWrap/>
          </w:tcPr>
          <w:p w14:paraId="47E68A19" w14:textId="77777777" w:rsidR="00D924EA" w:rsidRDefault="00011DE9">
            <w:pPr>
              <w:pStyle w:val="P68B1DB1-Normal23"/>
              <w:spacing w:after="0" w:line="240" w:lineRule="auto"/>
              <w:jc w:val="center"/>
              <w:rPr>
                <w:rFonts w:cs="Times New Roman"/>
                <w:noProof/>
                <w:szCs w:val="18"/>
              </w:rPr>
            </w:pPr>
            <w:r>
              <w:rPr>
                <w:noProof/>
              </w:rPr>
              <w:t>Dispoziție din Decretul regal privind birourile de renovare referitoare la intrarea în vigoare</w:t>
            </w:r>
          </w:p>
        </w:tc>
        <w:tc>
          <w:tcPr>
            <w:tcW w:w="835" w:type="dxa"/>
            <w:shd w:val="clear" w:color="auto" w:fill="C6EFCE"/>
            <w:noWrap/>
          </w:tcPr>
          <w:p w14:paraId="724CC9AE"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974" w:type="dxa"/>
            <w:shd w:val="clear" w:color="auto" w:fill="C6EFCE"/>
            <w:noWrap/>
          </w:tcPr>
          <w:p w14:paraId="06E207EF"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836" w:type="dxa"/>
            <w:shd w:val="clear" w:color="auto" w:fill="C6EFCE"/>
            <w:noWrap/>
          </w:tcPr>
          <w:p w14:paraId="285708B5"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8" w:type="dxa"/>
            <w:shd w:val="clear" w:color="auto" w:fill="C6EFCE"/>
            <w:noWrap/>
          </w:tcPr>
          <w:p w14:paraId="2DF5DA07" w14:textId="2C627EB2" w:rsidR="00D924EA" w:rsidRDefault="005701C9">
            <w:pPr>
              <w:pStyle w:val="P68B1DB1-Normal23"/>
              <w:spacing w:after="0" w:line="240" w:lineRule="auto"/>
              <w:jc w:val="center"/>
              <w:rPr>
                <w:rFonts w:cs="Times New Roman"/>
                <w:noProof/>
                <w:szCs w:val="18"/>
              </w:rPr>
            </w:pPr>
            <w:r>
              <w:rPr>
                <w:noProof/>
              </w:rPr>
              <w:t>T3</w:t>
            </w:r>
          </w:p>
        </w:tc>
        <w:tc>
          <w:tcPr>
            <w:tcW w:w="558" w:type="dxa"/>
            <w:shd w:val="clear" w:color="auto" w:fill="C6EFCE"/>
            <w:noWrap/>
          </w:tcPr>
          <w:p w14:paraId="4BBA02F4" w14:textId="77777777" w:rsidR="00D924EA" w:rsidRDefault="00011DE9">
            <w:pPr>
              <w:pStyle w:val="P68B1DB1-Normal23"/>
              <w:spacing w:after="0" w:line="240" w:lineRule="auto"/>
              <w:jc w:val="center"/>
              <w:rPr>
                <w:rFonts w:cs="Times New Roman"/>
                <w:noProof/>
                <w:szCs w:val="18"/>
              </w:rPr>
            </w:pPr>
            <w:r>
              <w:rPr>
                <w:noProof/>
              </w:rPr>
              <w:t>2021</w:t>
            </w:r>
          </w:p>
        </w:tc>
        <w:tc>
          <w:tcPr>
            <w:tcW w:w="6258" w:type="dxa"/>
            <w:shd w:val="clear" w:color="auto" w:fill="C6EFCE"/>
            <w:noWrap/>
          </w:tcPr>
          <w:p w14:paraId="3A101E43" w14:textId="77777777" w:rsidR="00D924EA" w:rsidRDefault="00011DE9">
            <w:pPr>
              <w:pStyle w:val="P68B1DB1-Normal23"/>
              <w:spacing w:after="0" w:line="240" w:lineRule="auto"/>
              <w:rPr>
                <w:rFonts w:cs="Times New Roman"/>
                <w:noProof/>
                <w:szCs w:val="18"/>
              </w:rPr>
            </w:pPr>
            <w:r>
              <w:rPr>
                <w:noProof/>
              </w:rPr>
              <w:t xml:space="preserve">Adoptarea Decretului regal de stabilire a domeniului de aplicare al birourilor de renovare („ghișee unice”) și a finanțării acestora. Se organizează Conferința sectorială privind locuințele, iar etapa de informare publică și alte proceduri juridice se finalizează înainte de finalizarea decretului regal. </w:t>
            </w:r>
          </w:p>
        </w:tc>
      </w:tr>
      <w:tr w:rsidR="00D924EA" w14:paraId="4EDCEB08" w14:textId="77777777">
        <w:trPr>
          <w:trHeight w:val="309"/>
          <w:jc w:val="center"/>
        </w:trPr>
        <w:tc>
          <w:tcPr>
            <w:tcW w:w="698" w:type="dxa"/>
            <w:shd w:val="clear" w:color="auto" w:fill="C6EFCE"/>
            <w:noWrap/>
          </w:tcPr>
          <w:p w14:paraId="3560AB86" w14:textId="77777777" w:rsidR="00D924EA" w:rsidRDefault="00011DE9">
            <w:pPr>
              <w:pStyle w:val="P68B1DB1-Normal23"/>
              <w:spacing w:after="0" w:line="240" w:lineRule="auto"/>
              <w:jc w:val="center"/>
              <w:rPr>
                <w:rFonts w:cs="Times New Roman"/>
                <w:noProof/>
                <w:szCs w:val="18"/>
              </w:rPr>
            </w:pPr>
            <w:r>
              <w:rPr>
                <w:noProof/>
              </w:rPr>
              <w:t>25</w:t>
            </w:r>
          </w:p>
        </w:tc>
        <w:tc>
          <w:tcPr>
            <w:tcW w:w="836" w:type="dxa"/>
            <w:shd w:val="clear" w:color="auto" w:fill="C6EFCE"/>
            <w:noWrap/>
          </w:tcPr>
          <w:p w14:paraId="58A1092C" w14:textId="77777777" w:rsidR="00D924EA" w:rsidRDefault="00011DE9">
            <w:pPr>
              <w:pStyle w:val="P68B1DB1-Normal23"/>
              <w:spacing w:after="0" w:line="240" w:lineRule="auto"/>
              <w:jc w:val="center"/>
              <w:rPr>
                <w:rFonts w:eastAsia="MS Mincho" w:cs="Times New Roman"/>
                <w:noProof/>
                <w:szCs w:val="18"/>
              </w:rPr>
            </w:pPr>
            <w:r>
              <w:rPr>
                <w:noProof/>
              </w:rPr>
              <w:t>C2.R6</w:t>
            </w:r>
          </w:p>
        </w:tc>
        <w:tc>
          <w:tcPr>
            <w:tcW w:w="835" w:type="dxa"/>
            <w:shd w:val="clear" w:color="auto" w:fill="C6EFCE"/>
            <w:noWrap/>
          </w:tcPr>
          <w:p w14:paraId="34E9C07D" w14:textId="77777777" w:rsidR="00D924EA" w:rsidRDefault="00011DE9">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068A5DA5" w14:textId="77777777" w:rsidR="00D924EA" w:rsidRDefault="00011DE9">
            <w:pPr>
              <w:pStyle w:val="P68B1DB1-Normal23"/>
              <w:spacing w:after="0" w:line="240" w:lineRule="auto"/>
              <w:rPr>
                <w:rFonts w:cs="Times New Roman"/>
                <w:noProof/>
                <w:szCs w:val="18"/>
              </w:rPr>
            </w:pPr>
            <w:r>
              <w:rPr>
                <w:noProof/>
              </w:rPr>
              <w:t xml:space="preserve">Intrarea în vigoare a modificărilor aduse Legii orizontale privind proprietatea pentru a facilita finanțarea reabilitării </w:t>
            </w:r>
          </w:p>
        </w:tc>
        <w:tc>
          <w:tcPr>
            <w:tcW w:w="1467" w:type="dxa"/>
            <w:shd w:val="clear" w:color="auto" w:fill="C6EFCE"/>
            <w:noWrap/>
          </w:tcPr>
          <w:p w14:paraId="05373B71" w14:textId="77777777" w:rsidR="00D924EA" w:rsidRDefault="00011DE9">
            <w:pPr>
              <w:pStyle w:val="P68B1DB1-Normal23"/>
              <w:spacing w:after="0" w:line="240" w:lineRule="auto"/>
              <w:jc w:val="center"/>
              <w:rPr>
                <w:rFonts w:cs="Times New Roman"/>
                <w:noProof/>
                <w:szCs w:val="18"/>
              </w:rPr>
            </w:pPr>
            <w:r>
              <w:rPr>
                <w:noProof/>
              </w:rPr>
              <w:t>Dispoziție din Legea privind proprietatea orizontală referitoare la intrarea în vigoare</w:t>
            </w:r>
          </w:p>
        </w:tc>
        <w:tc>
          <w:tcPr>
            <w:tcW w:w="835" w:type="dxa"/>
            <w:shd w:val="clear" w:color="auto" w:fill="C6EFCE"/>
            <w:noWrap/>
          </w:tcPr>
          <w:p w14:paraId="32F00FE1"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974" w:type="dxa"/>
            <w:shd w:val="clear" w:color="auto" w:fill="C6EFCE"/>
            <w:noWrap/>
          </w:tcPr>
          <w:p w14:paraId="3E9DFC8F"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836" w:type="dxa"/>
            <w:shd w:val="clear" w:color="auto" w:fill="C6EFCE"/>
            <w:noWrap/>
          </w:tcPr>
          <w:p w14:paraId="4DEEE146"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8" w:type="dxa"/>
            <w:shd w:val="clear" w:color="auto" w:fill="C6EFCE"/>
            <w:noWrap/>
          </w:tcPr>
          <w:p w14:paraId="604526C6" w14:textId="640C1876" w:rsidR="00D924EA" w:rsidRDefault="005701C9">
            <w:pPr>
              <w:pStyle w:val="P68B1DB1-Normal23"/>
              <w:spacing w:after="0" w:line="240" w:lineRule="auto"/>
              <w:jc w:val="center"/>
              <w:rPr>
                <w:rFonts w:cs="Times New Roman"/>
                <w:noProof/>
                <w:szCs w:val="18"/>
              </w:rPr>
            </w:pPr>
            <w:r>
              <w:rPr>
                <w:noProof/>
              </w:rPr>
              <w:t>T3</w:t>
            </w:r>
          </w:p>
        </w:tc>
        <w:tc>
          <w:tcPr>
            <w:tcW w:w="558" w:type="dxa"/>
            <w:shd w:val="clear" w:color="auto" w:fill="C6EFCE"/>
            <w:noWrap/>
          </w:tcPr>
          <w:p w14:paraId="57ED6CCB" w14:textId="77777777" w:rsidR="00D924EA" w:rsidRDefault="00011DE9">
            <w:pPr>
              <w:pStyle w:val="P68B1DB1-Normal23"/>
              <w:spacing w:after="0" w:line="240" w:lineRule="auto"/>
              <w:jc w:val="center"/>
              <w:rPr>
                <w:rFonts w:cs="Times New Roman"/>
                <w:noProof/>
                <w:szCs w:val="18"/>
              </w:rPr>
            </w:pPr>
            <w:r>
              <w:rPr>
                <w:noProof/>
              </w:rPr>
              <w:t>2022</w:t>
            </w:r>
          </w:p>
        </w:tc>
        <w:tc>
          <w:tcPr>
            <w:tcW w:w="6258" w:type="dxa"/>
            <w:shd w:val="clear" w:color="auto" w:fill="C6EFCE"/>
            <w:noWrap/>
          </w:tcPr>
          <w:p w14:paraId="4A73930B" w14:textId="77777777" w:rsidR="00D924EA" w:rsidRDefault="00011DE9">
            <w:pPr>
              <w:pStyle w:val="P68B1DB1-Normal23"/>
              <w:spacing w:after="0" w:line="240" w:lineRule="auto"/>
              <w:rPr>
                <w:rFonts w:cs="Times New Roman"/>
                <w:noProof/>
                <w:szCs w:val="18"/>
              </w:rPr>
            </w:pPr>
            <w:r>
              <w:rPr>
                <w:noProof/>
              </w:rPr>
              <w:t>Modificări ale Legii nr. 49/1960 (Legea orizontală privind proprietatea) din 21 iulie privind coproprietatea pentru a promova punerea în aplicare a renovării și îmbunătățirii clădirilor de către comunitățile de proprietari, precum și accesul la finanțare. Obiectivul amendamentului este de a facilita luarea deciziilor de către comunitățile de proprietari în ceea ce privește lucrările de renovare a clădirilor care contribuie la îmbunătățirea eficienței energetice și de a facilita accesul la finanțare bancară.</w:t>
            </w:r>
          </w:p>
        </w:tc>
      </w:tr>
      <w:tr w:rsidR="00D924EA" w14:paraId="1816D5E7" w14:textId="77777777">
        <w:trPr>
          <w:trHeight w:val="309"/>
          <w:jc w:val="center"/>
        </w:trPr>
        <w:tc>
          <w:tcPr>
            <w:tcW w:w="698" w:type="dxa"/>
            <w:shd w:val="clear" w:color="auto" w:fill="C6EFCE"/>
            <w:noWrap/>
          </w:tcPr>
          <w:p w14:paraId="0C316A2D" w14:textId="77777777" w:rsidR="00D924EA" w:rsidRDefault="00011DE9">
            <w:pPr>
              <w:pStyle w:val="P68B1DB1-Normal23"/>
              <w:spacing w:after="0" w:line="240" w:lineRule="auto"/>
              <w:jc w:val="center"/>
              <w:rPr>
                <w:rFonts w:cs="Times New Roman"/>
                <w:noProof/>
                <w:szCs w:val="18"/>
              </w:rPr>
            </w:pPr>
            <w:r>
              <w:rPr>
                <w:noProof/>
              </w:rPr>
              <w:t>26</w:t>
            </w:r>
          </w:p>
        </w:tc>
        <w:tc>
          <w:tcPr>
            <w:tcW w:w="836" w:type="dxa"/>
            <w:shd w:val="clear" w:color="auto" w:fill="C6EFCE"/>
            <w:noWrap/>
          </w:tcPr>
          <w:p w14:paraId="5EC2F2C6" w14:textId="77777777" w:rsidR="00D924EA" w:rsidRDefault="00011DE9">
            <w:pPr>
              <w:pStyle w:val="P68B1DB1-Normal23"/>
              <w:spacing w:after="0" w:line="240" w:lineRule="auto"/>
              <w:jc w:val="center"/>
              <w:rPr>
                <w:rFonts w:eastAsia="MS Mincho" w:cs="Times New Roman"/>
                <w:noProof/>
                <w:szCs w:val="18"/>
              </w:rPr>
            </w:pPr>
            <w:r>
              <w:rPr>
                <w:noProof/>
              </w:rPr>
              <w:t>C2.I1</w:t>
            </w:r>
          </w:p>
        </w:tc>
        <w:tc>
          <w:tcPr>
            <w:tcW w:w="835" w:type="dxa"/>
            <w:shd w:val="clear" w:color="auto" w:fill="C6EFCE"/>
            <w:noWrap/>
          </w:tcPr>
          <w:p w14:paraId="77E87922" w14:textId="77777777" w:rsidR="00D924EA" w:rsidRDefault="00011DE9">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2C7BFA13" w14:textId="77777777" w:rsidR="00D924EA" w:rsidRDefault="00011DE9">
            <w:pPr>
              <w:pStyle w:val="P68B1DB1-Normal23"/>
              <w:spacing w:after="0" w:line="240" w:lineRule="auto"/>
              <w:rPr>
                <w:rFonts w:cs="Times New Roman"/>
                <w:noProof/>
                <w:szCs w:val="18"/>
              </w:rPr>
            </w:pPr>
            <w:r>
              <w:rPr>
                <w:noProof/>
              </w:rPr>
              <w:t xml:space="preserve">Intrarea în vigoare a Decretului regal privind cadrul de reglementare pentru punerea în aplicare a programului de reînnoire; și Decretul-lege regal de reglementare a stimulentelor pentru impozitul pe venitul persoanelor fizice în vederea sprijinirii programului </w:t>
            </w:r>
          </w:p>
        </w:tc>
        <w:tc>
          <w:tcPr>
            <w:tcW w:w="1467" w:type="dxa"/>
            <w:shd w:val="clear" w:color="auto" w:fill="C6EFCE"/>
            <w:noWrap/>
          </w:tcPr>
          <w:p w14:paraId="2B3573F6" w14:textId="77777777" w:rsidR="00D924EA" w:rsidRDefault="00011DE9">
            <w:pPr>
              <w:pStyle w:val="P68B1DB1-Normal23"/>
              <w:spacing w:after="0" w:line="240" w:lineRule="auto"/>
              <w:jc w:val="center"/>
              <w:rPr>
                <w:rFonts w:cs="Times New Roman"/>
                <w:noProof/>
                <w:szCs w:val="18"/>
              </w:rPr>
            </w:pPr>
            <w:r>
              <w:rPr>
                <w:noProof/>
              </w:rPr>
              <w:t>Dispoziție din decretul regal și decretele-lege regale privind intrarea în vigoare</w:t>
            </w:r>
          </w:p>
        </w:tc>
        <w:tc>
          <w:tcPr>
            <w:tcW w:w="835" w:type="dxa"/>
            <w:shd w:val="clear" w:color="auto" w:fill="C6EFCE"/>
            <w:noWrap/>
          </w:tcPr>
          <w:p w14:paraId="3CAE5BAA"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974" w:type="dxa"/>
            <w:shd w:val="clear" w:color="auto" w:fill="C6EFCE"/>
            <w:noWrap/>
          </w:tcPr>
          <w:p w14:paraId="07FF648C"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836" w:type="dxa"/>
            <w:shd w:val="clear" w:color="auto" w:fill="C6EFCE"/>
            <w:noWrap/>
          </w:tcPr>
          <w:p w14:paraId="6BC115E4"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8" w:type="dxa"/>
            <w:shd w:val="clear" w:color="auto" w:fill="C6EFCE"/>
            <w:noWrap/>
          </w:tcPr>
          <w:p w14:paraId="6971AD28" w14:textId="6526DD90" w:rsidR="00D924EA" w:rsidRDefault="005701C9">
            <w:pPr>
              <w:pStyle w:val="P68B1DB1-Normal23"/>
              <w:spacing w:after="0" w:line="240" w:lineRule="auto"/>
              <w:jc w:val="center"/>
              <w:rPr>
                <w:rFonts w:cs="Times New Roman"/>
                <w:noProof/>
                <w:szCs w:val="18"/>
              </w:rPr>
            </w:pPr>
            <w:r>
              <w:rPr>
                <w:noProof/>
              </w:rPr>
              <w:t>T3</w:t>
            </w:r>
          </w:p>
        </w:tc>
        <w:tc>
          <w:tcPr>
            <w:tcW w:w="558" w:type="dxa"/>
            <w:shd w:val="clear" w:color="auto" w:fill="C6EFCE"/>
            <w:noWrap/>
          </w:tcPr>
          <w:p w14:paraId="490CD5EF" w14:textId="77777777" w:rsidR="00D924EA" w:rsidRDefault="00011DE9">
            <w:pPr>
              <w:pStyle w:val="P68B1DB1-Normal23"/>
              <w:spacing w:after="0" w:line="240" w:lineRule="auto"/>
              <w:jc w:val="center"/>
              <w:rPr>
                <w:rFonts w:cs="Times New Roman"/>
                <w:noProof/>
                <w:szCs w:val="18"/>
              </w:rPr>
            </w:pPr>
            <w:r>
              <w:rPr>
                <w:noProof/>
              </w:rPr>
              <w:t>2021</w:t>
            </w:r>
          </w:p>
        </w:tc>
        <w:tc>
          <w:tcPr>
            <w:tcW w:w="6258" w:type="dxa"/>
            <w:shd w:val="clear" w:color="auto" w:fill="C6EFCE"/>
            <w:noWrap/>
          </w:tcPr>
          <w:p w14:paraId="0C781C13" w14:textId="77777777" w:rsidR="00D924EA" w:rsidRDefault="00011DE9">
            <w:pPr>
              <w:pStyle w:val="P68B1DB1-Normal23"/>
              <w:spacing w:after="0" w:line="240" w:lineRule="auto"/>
              <w:rPr>
                <w:noProof/>
              </w:rPr>
            </w:pPr>
            <w:r>
              <w:rPr>
                <w:noProof/>
              </w:rPr>
              <w:t>Adoptarea unui decret regal care să definească cadrul de reglementare pentru punerea în aplicare a programului de reînnoire; și un decret-lege regal care să reglementeze stimulentele fiscale pentru venitul persoanelor fizice în vederea sprijinirii programului. Decretul regal de definire a cadrului de reglementare stabilește cerințele tehnice pentru a asigura respectarea reducerii medii de 30 % a consumului de energie primară din surse neregenerabile. Se organizează Conferința sectorială privind locuințele, iar etapa de informare publică și alte proceduri juridice se finalizează înainte de finalizarea decretului regal.</w:t>
            </w:r>
            <w:r>
              <w:rPr>
                <w:noProof/>
                <w:szCs w:val="18"/>
              </w:rPr>
              <w:t xml:space="preserve"> </w:t>
            </w:r>
            <w:r>
              <w:rPr>
                <w:noProof/>
              </w:rPr>
              <w:t xml:space="preserve">Sunt sprijinite următoarele acțiuni: </w:t>
            </w:r>
          </w:p>
          <w:p w14:paraId="76D9CE1B" w14:textId="77777777" w:rsidR="00D924EA" w:rsidRDefault="00011DE9">
            <w:pPr>
              <w:pStyle w:val="P68B1DB1-Normal23"/>
              <w:spacing w:after="0" w:line="240" w:lineRule="auto"/>
              <w:rPr>
                <w:noProof/>
              </w:rPr>
            </w:pPr>
            <w:r>
              <w:rPr>
                <w:noProof/>
              </w:rPr>
              <w:t xml:space="preserve">a) Un program de sprijinire a renovărilor energetice la nivel de cartier. Programul renovează cel puțin 600 de hectare de zone urbane, realizând în medie o reducere a cererii de energie primară de cel puțin 30 %, verificată prin certificate de performanță energetică. Printre acțiuni se numără îmbunătățirea eficienței energetice, instalarea infrastructurii pentru mobilitatea electrică, îmbunătățirea accesibilității clădirilor și eliminarea substanțelor periculoase. Un procent maxim de 15 % din măsură este dedicat îmbunătățirilor la nivelul cartierelor, cum ar fi îmbunătățirea iluminatului exterior, a pistelor pentru biciclete, a infrastructurii verzi și a sistemelor de drenaj, ținând seama de caracteristicile socioeconomice ale vecinătății. </w:t>
            </w:r>
          </w:p>
          <w:p w14:paraId="1CC4CD68" w14:textId="77777777" w:rsidR="00D924EA" w:rsidRDefault="00011DE9">
            <w:pPr>
              <w:pStyle w:val="P68B1DB1-Normal23"/>
              <w:spacing w:after="0" w:line="240" w:lineRule="auto"/>
              <w:rPr>
                <w:noProof/>
              </w:rPr>
            </w:pPr>
            <w:r>
              <w:rPr>
                <w:noProof/>
              </w:rPr>
              <w:t xml:space="preserve">un program de sprijinire a renovărilor energetice ale clădirilor rezidențiale. Nivelul sprijinului este mai mare pentru acțiunile în cazul cărora reducerea cererii de energie primară este mai mare și pentru gospodăriile cu venituri mici. Printre acțiuni se numără îmbunătățirea eficienței energetice, instalarea infrastructurii pentru mobilitatea electrică, îmbunătățirea accesibilității clădirilor și eliminarea substanțelor periculoase. </w:t>
            </w:r>
          </w:p>
          <w:p w14:paraId="4508E254" w14:textId="77777777" w:rsidR="00D924EA" w:rsidRDefault="00011DE9">
            <w:pPr>
              <w:pStyle w:val="P68B1DB1-Normal23"/>
              <w:spacing w:after="0" w:line="240" w:lineRule="auto"/>
              <w:rPr>
                <w:noProof/>
              </w:rPr>
            </w:pPr>
            <w:r>
              <w:rPr>
                <w:noProof/>
              </w:rPr>
              <w:t xml:space="preserve">c) Un set de activități abordează stimulentele pentru renovările energetice. Aceasta include, printre altele, (i) posibilitatea de a deduce renovările din impozitul pe venitul persoanelor fizice dacă se realizează o reducere cu cel puțin 30 % a cererii de energie primară și (ii) îmbunătățirea cadrului de finanțare prin încurajarea parteneriatelor public-privat. </w:t>
            </w:r>
          </w:p>
          <w:p w14:paraId="00DF784D" w14:textId="77777777" w:rsidR="00D924EA" w:rsidRDefault="00011DE9">
            <w:pPr>
              <w:pStyle w:val="P68B1DB1-Normal23"/>
              <w:spacing w:after="0" w:line="240" w:lineRule="auto"/>
              <w:rPr>
                <w:rFonts w:cs="Times New Roman"/>
                <w:noProof/>
                <w:szCs w:val="18"/>
              </w:rPr>
            </w:pPr>
            <w:r>
              <w:rPr>
                <w:noProof/>
              </w:rPr>
              <w:t>Un decret regal stabilește cerințele tehnice pentru a asigura respectarea reducerii medii cu 30 % a cererii de energie primară. Modificările impozitului pe venitul persoanelor fizice sunt aprobate prin Decretul-lege regal și au ca obiectiv definirea stimulentelor fiscale pentru acțiunile de renovare a clădirilor în vederea îmbunătățirii eficienței energetice.</w:t>
            </w:r>
          </w:p>
        </w:tc>
      </w:tr>
      <w:tr w:rsidR="00D924EA" w14:paraId="72B515A4" w14:textId="77777777">
        <w:trPr>
          <w:trHeight w:val="309"/>
          <w:jc w:val="center"/>
        </w:trPr>
        <w:tc>
          <w:tcPr>
            <w:tcW w:w="698" w:type="dxa"/>
            <w:shd w:val="clear" w:color="auto" w:fill="C6EFCE"/>
            <w:noWrap/>
          </w:tcPr>
          <w:p w14:paraId="040B216E" w14:textId="77777777" w:rsidR="00D924EA" w:rsidRDefault="00011DE9">
            <w:pPr>
              <w:pStyle w:val="P68B1DB1-Normal23"/>
              <w:spacing w:after="0" w:line="240" w:lineRule="auto"/>
              <w:jc w:val="center"/>
              <w:rPr>
                <w:rFonts w:cs="Times New Roman"/>
                <w:noProof/>
                <w:szCs w:val="18"/>
              </w:rPr>
            </w:pPr>
            <w:r>
              <w:rPr>
                <w:noProof/>
              </w:rPr>
              <w:t>29</w:t>
            </w:r>
          </w:p>
        </w:tc>
        <w:tc>
          <w:tcPr>
            <w:tcW w:w="836" w:type="dxa"/>
            <w:shd w:val="clear" w:color="auto" w:fill="C6EFCE"/>
            <w:noWrap/>
          </w:tcPr>
          <w:p w14:paraId="3A0E1C67" w14:textId="77777777" w:rsidR="00D924EA" w:rsidRDefault="00011DE9">
            <w:pPr>
              <w:pStyle w:val="P68B1DB1-Normal23"/>
              <w:spacing w:after="0" w:line="240" w:lineRule="auto"/>
              <w:jc w:val="center"/>
              <w:rPr>
                <w:rFonts w:eastAsia="MS Mincho" w:cs="Times New Roman"/>
                <w:noProof/>
                <w:szCs w:val="18"/>
              </w:rPr>
            </w:pPr>
            <w:r>
              <w:rPr>
                <w:noProof/>
              </w:rPr>
              <w:t>C2.I1</w:t>
            </w:r>
          </w:p>
        </w:tc>
        <w:tc>
          <w:tcPr>
            <w:tcW w:w="835" w:type="dxa"/>
            <w:shd w:val="clear" w:color="auto" w:fill="C6EFCE"/>
            <w:noWrap/>
          </w:tcPr>
          <w:p w14:paraId="4A647209" w14:textId="77777777" w:rsidR="00D924EA" w:rsidRDefault="00011DE9">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0A779C37" w14:textId="280BDF71" w:rsidR="00D924EA" w:rsidRDefault="00011DE9">
            <w:pPr>
              <w:pStyle w:val="P68B1DB1-Normal23"/>
              <w:spacing w:after="0" w:line="240" w:lineRule="auto"/>
              <w:rPr>
                <w:rFonts w:cs="Times New Roman"/>
                <w:noProof/>
                <w:szCs w:val="18"/>
              </w:rPr>
            </w:pPr>
            <w:r>
              <w:rPr>
                <w:noProof/>
              </w:rPr>
              <w:t>Reducerea consumului de energie primară din surse neregenerabile în locuințe sau clădiri rezidențiale</w:t>
            </w:r>
          </w:p>
        </w:tc>
        <w:tc>
          <w:tcPr>
            <w:tcW w:w="1467" w:type="dxa"/>
            <w:shd w:val="clear" w:color="auto" w:fill="C6EFCE"/>
            <w:noWrap/>
          </w:tcPr>
          <w:p w14:paraId="29B08E66" w14:textId="77777777" w:rsidR="00D924EA" w:rsidRDefault="00011DE9">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75539D2B" w14:textId="77777777" w:rsidR="00D924EA" w:rsidRDefault="00011DE9">
            <w:pPr>
              <w:pStyle w:val="P68B1DB1-Normal23"/>
              <w:spacing w:after="0" w:line="240" w:lineRule="auto"/>
              <w:rPr>
                <w:rFonts w:eastAsia="MS Mincho" w:cs="Times New Roman"/>
                <w:noProof/>
                <w:szCs w:val="18"/>
              </w:rPr>
            </w:pPr>
            <w:r>
              <w:rPr>
                <w:noProof/>
              </w:rPr>
              <w:t>Număr</w:t>
            </w:r>
          </w:p>
        </w:tc>
        <w:tc>
          <w:tcPr>
            <w:tcW w:w="974" w:type="dxa"/>
            <w:shd w:val="clear" w:color="auto" w:fill="C6EFCE"/>
            <w:noWrap/>
          </w:tcPr>
          <w:p w14:paraId="23C16AB7" w14:textId="2E455D61" w:rsidR="00D924EA" w:rsidRDefault="00011DE9">
            <w:pPr>
              <w:pStyle w:val="P68B1DB1-Normal23"/>
              <w:spacing w:after="0" w:line="240" w:lineRule="auto"/>
              <w:jc w:val="right"/>
              <w:rPr>
                <w:rFonts w:eastAsia="MS Mincho" w:cs="Times New Roman"/>
                <w:noProof/>
                <w:szCs w:val="18"/>
              </w:rPr>
            </w:pPr>
            <w:r>
              <w:rPr>
                <w:noProof/>
              </w:rPr>
              <w:t>0</w:t>
            </w:r>
          </w:p>
        </w:tc>
        <w:tc>
          <w:tcPr>
            <w:tcW w:w="836" w:type="dxa"/>
            <w:shd w:val="clear" w:color="auto" w:fill="C6EFCE"/>
            <w:noWrap/>
          </w:tcPr>
          <w:p w14:paraId="4E27BE21" w14:textId="117191E9" w:rsidR="00D924EA" w:rsidRDefault="00011DE9">
            <w:pPr>
              <w:pStyle w:val="P68B1DB1-Normal23"/>
              <w:spacing w:after="0" w:line="240" w:lineRule="auto"/>
              <w:jc w:val="right"/>
              <w:rPr>
                <w:rFonts w:eastAsia="MS Mincho" w:cs="Times New Roman"/>
                <w:noProof/>
                <w:szCs w:val="18"/>
              </w:rPr>
            </w:pPr>
            <w:r>
              <w:rPr>
                <w:noProof/>
              </w:rPr>
              <w:t>32 390</w:t>
            </w:r>
          </w:p>
        </w:tc>
        <w:tc>
          <w:tcPr>
            <w:tcW w:w="418" w:type="dxa"/>
            <w:shd w:val="clear" w:color="auto" w:fill="C6EFCE"/>
            <w:noWrap/>
          </w:tcPr>
          <w:p w14:paraId="65B5D50C" w14:textId="1909C512" w:rsidR="00D924EA" w:rsidRDefault="005701C9">
            <w:pPr>
              <w:pStyle w:val="P68B1DB1-Normal23"/>
              <w:spacing w:after="0" w:line="240" w:lineRule="auto"/>
              <w:jc w:val="center"/>
              <w:rPr>
                <w:rFonts w:cs="Times New Roman"/>
                <w:noProof/>
                <w:szCs w:val="18"/>
              </w:rPr>
            </w:pPr>
            <w:r>
              <w:rPr>
                <w:noProof/>
              </w:rPr>
              <w:t>T2</w:t>
            </w:r>
          </w:p>
        </w:tc>
        <w:tc>
          <w:tcPr>
            <w:tcW w:w="558" w:type="dxa"/>
            <w:shd w:val="clear" w:color="auto" w:fill="C6EFCE"/>
            <w:noWrap/>
          </w:tcPr>
          <w:p w14:paraId="0BBB1E21" w14:textId="77777777" w:rsidR="00D924EA" w:rsidRDefault="00011DE9">
            <w:pPr>
              <w:pStyle w:val="P68B1DB1-Normal23"/>
              <w:spacing w:after="0" w:line="240" w:lineRule="auto"/>
              <w:jc w:val="center"/>
              <w:rPr>
                <w:rFonts w:cs="Times New Roman"/>
                <w:noProof/>
                <w:szCs w:val="18"/>
              </w:rPr>
            </w:pPr>
            <w:r>
              <w:rPr>
                <w:noProof/>
              </w:rPr>
              <w:t>2026</w:t>
            </w:r>
          </w:p>
        </w:tc>
        <w:tc>
          <w:tcPr>
            <w:tcW w:w="6258" w:type="dxa"/>
            <w:shd w:val="clear" w:color="auto" w:fill="C6EFCE"/>
            <w:noWrap/>
          </w:tcPr>
          <w:p w14:paraId="247F99A1" w14:textId="7BDA7AF5" w:rsidR="00D924EA" w:rsidRDefault="00011DE9">
            <w:pPr>
              <w:pStyle w:val="P68B1DB1-Normal23"/>
              <w:spacing w:after="0" w:line="240" w:lineRule="auto"/>
              <w:rPr>
                <w:noProof/>
              </w:rPr>
            </w:pPr>
            <w:r>
              <w:rPr>
                <w:noProof/>
              </w:rPr>
              <w:t>Furnizarea unui total de 32 390 certificate de performanță energetică pentru locuințe sau clădiri rezidențiale, indicând, în medie, o reducere cu 30 % a consumului de energie primară din surse neregenerabile, ponderată în funcție de suprafața locuibilă, astfel cum se indică în certificatul de performanță energetică.</w:t>
            </w:r>
          </w:p>
          <w:p w14:paraId="4E356D76" w14:textId="1B6FE568" w:rsidR="00D924EA" w:rsidRDefault="00D924EA">
            <w:pPr>
              <w:spacing w:after="0" w:line="240" w:lineRule="auto"/>
              <w:rPr>
                <w:rFonts w:ascii="Times New Roman" w:hAnsi="Times New Roman" w:cs="Times New Roman"/>
                <w:noProof/>
                <w:sz w:val="18"/>
                <w:szCs w:val="18"/>
              </w:rPr>
            </w:pPr>
          </w:p>
        </w:tc>
      </w:tr>
      <w:tr w:rsidR="00D924EA" w14:paraId="5429143D" w14:textId="77777777">
        <w:trPr>
          <w:trHeight w:val="309"/>
          <w:jc w:val="center"/>
        </w:trPr>
        <w:tc>
          <w:tcPr>
            <w:tcW w:w="698" w:type="dxa"/>
            <w:shd w:val="clear" w:color="auto" w:fill="C6EFCE"/>
            <w:noWrap/>
          </w:tcPr>
          <w:p w14:paraId="280C2340" w14:textId="638DBC68" w:rsidR="00D924EA" w:rsidRDefault="00011DE9">
            <w:pPr>
              <w:pStyle w:val="P68B1DB1-Normal23"/>
              <w:spacing w:after="0" w:line="240" w:lineRule="auto"/>
              <w:jc w:val="center"/>
              <w:rPr>
                <w:noProof/>
              </w:rPr>
            </w:pPr>
            <w:r>
              <w:rPr>
                <w:noProof/>
              </w:rPr>
              <w:t>29bis</w:t>
            </w:r>
          </w:p>
        </w:tc>
        <w:tc>
          <w:tcPr>
            <w:tcW w:w="836" w:type="dxa"/>
            <w:shd w:val="clear" w:color="auto" w:fill="C6EFCE"/>
            <w:noWrap/>
          </w:tcPr>
          <w:p w14:paraId="74B10CAA" w14:textId="77777777" w:rsidR="00D924EA" w:rsidRDefault="00011DE9">
            <w:pPr>
              <w:pStyle w:val="P68B1DB1-Normal23"/>
              <w:spacing w:after="0" w:line="240" w:lineRule="auto"/>
              <w:jc w:val="center"/>
              <w:rPr>
                <w:noProof/>
              </w:rPr>
            </w:pPr>
            <w:r>
              <w:rPr>
                <w:noProof/>
              </w:rPr>
              <w:t>C2.I1</w:t>
            </w:r>
          </w:p>
        </w:tc>
        <w:tc>
          <w:tcPr>
            <w:tcW w:w="835" w:type="dxa"/>
            <w:shd w:val="clear" w:color="auto" w:fill="C6EFCE"/>
            <w:noWrap/>
          </w:tcPr>
          <w:p w14:paraId="473FBB5C" w14:textId="77777777" w:rsidR="00D924EA" w:rsidRDefault="00011DE9">
            <w:pPr>
              <w:pStyle w:val="P68B1DB1-Normal23"/>
              <w:spacing w:after="0" w:line="240" w:lineRule="auto"/>
              <w:jc w:val="center"/>
              <w:rPr>
                <w:noProof/>
              </w:rPr>
            </w:pPr>
            <w:r>
              <w:rPr>
                <w:noProof/>
              </w:rPr>
              <w:t>T</w:t>
            </w:r>
          </w:p>
        </w:tc>
        <w:tc>
          <w:tcPr>
            <w:tcW w:w="1595" w:type="dxa"/>
            <w:shd w:val="clear" w:color="auto" w:fill="C6EFCE"/>
            <w:noWrap/>
          </w:tcPr>
          <w:p w14:paraId="73039DF2" w14:textId="77777777" w:rsidR="00D924EA" w:rsidRDefault="00011DE9">
            <w:pPr>
              <w:pStyle w:val="P68B1DB1-Normal24"/>
              <w:spacing w:after="0" w:line="240" w:lineRule="auto"/>
              <w:rPr>
                <w:noProof/>
              </w:rPr>
            </w:pPr>
            <w:r>
              <w:rPr>
                <w:noProof/>
              </w:rPr>
              <w:t>Deduceri fiscale declarate pentru renovările energetice</w:t>
            </w:r>
          </w:p>
        </w:tc>
        <w:tc>
          <w:tcPr>
            <w:tcW w:w="1467" w:type="dxa"/>
            <w:shd w:val="clear" w:color="auto" w:fill="C6EFCE"/>
            <w:noWrap/>
          </w:tcPr>
          <w:p w14:paraId="6CCF51D6" w14:textId="77777777" w:rsidR="00D924EA" w:rsidRDefault="00D924EA">
            <w:pPr>
              <w:spacing w:after="0" w:line="240" w:lineRule="auto"/>
              <w:jc w:val="center"/>
              <w:rPr>
                <w:rFonts w:ascii="Times New Roman" w:hAnsi="Times New Roman"/>
                <w:noProof/>
                <w:sz w:val="18"/>
              </w:rPr>
            </w:pPr>
          </w:p>
        </w:tc>
        <w:tc>
          <w:tcPr>
            <w:tcW w:w="835" w:type="dxa"/>
            <w:shd w:val="clear" w:color="auto" w:fill="C6EFCE"/>
            <w:noWrap/>
          </w:tcPr>
          <w:p w14:paraId="68836192" w14:textId="77777777" w:rsidR="00D924EA" w:rsidRDefault="00011DE9">
            <w:pPr>
              <w:pStyle w:val="P68B1DB1-Normal24"/>
              <w:spacing w:after="0" w:line="240" w:lineRule="auto"/>
              <w:rPr>
                <w:noProof/>
              </w:rPr>
            </w:pPr>
            <w:r>
              <w:rPr>
                <w:noProof/>
              </w:rPr>
              <w:t>Milioane EUR</w:t>
            </w:r>
          </w:p>
        </w:tc>
        <w:tc>
          <w:tcPr>
            <w:tcW w:w="974" w:type="dxa"/>
            <w:shd w:val="clear" w:color="auto" w:fill="C6EFCE"/>
            <w:noWrap/>
          </w:tcPr>
          <w:p w14:paraId="13430E5C" w14:textId="77777777" w:rsidR="00D924EA" w:rsidRDefault="00011DE9">
            <w:pPr>
              <w:pStyle w:val="P68B1DB1-Normal23"/>
              <w:spacing w:after="0" w:line="240" w:lineRule="auto"/>
              <w:jc w:val="right"/>
              <w:rPr>
                <w:noProof/>
              </w:rPr>
            </w:pPr>
            <w:r>
              <w:rPr>
                <w:noProof/>
              </w:rPr>
              <w:t>0</w:t>
            </w:r>
          </w:p>
        </w:tc>
        <w:tc>
          <w:tcPr>
            <w:tcW w:w="836" w:type="dxa"/>
            <w:shd w:val="clear" w:color="auto" w:fill="C6EFCE"/>
            <w:noWrap/>
          </w:tcPr>
          <w:p w14:paraId="0E8A9D9E" w14:textId="77777777" w:rsidR="00D924EA" w:rsidRDefault="00011DE9">
            <w:pPr>
              <w:pStyle w:val="P68B1DB1-Normal23"/>
              <w:spacing w:after="0" w:line="240" w:lineRule="auto"/>
              <w:jc w:val="right"/>
              <w:rPr>
                <w:noProof/>
              </w:rPr>
            </w:pPr>
            <w:r>
              <w:rPr>
                <w:noProof/>
              </w:rPr>
              <w:t>700</w:t>
            </w:r>
          </w:p>
        </w:tc>
        <w:tc>
          <w:tcPr>
            <w:tcW w:w="418" w:type="dxa"/>
            <w:shd w:val="clear" w:color="auto" w:fill="C6EFCE"/>
            <w:noWrap/>
          </w:tcPr>
          <w:p w14:paraId="76CD60BB" w14:textId="1367804F" w:rsidR="00D924EA" w:rsidRDefault="005701C9">
            <w:pPr>
              <w:pStyle w:val="P68B1DB1-Normal23"/>
              <w:spacing w:after="0" w:line="240" w:lineRule="auto"/>
              <w:jc w:val="center"/>
              <w:rPr>
                <w:noProof/>
              </w:rPr>
            </w:pPr>
            <w:r>
              <w:rPr>
                <w:noProof/>
              </w:rPr>
              <w:t>T2</w:t>
            </w:r>
          </w:p>
        </w:tc>
        <w:tc>
          <w:tcPr>
            <w:tcW w:w="558" w:type="dxa"/>
            <w:shd w:val="clear" w:color="auto" w:fill="C6EFCE"/>
            <w:noWrap/>
          </w:tcPr>
          <w:p w14:paraId="4004D7D3" w14:textId="77777777" w:rsidR="00D924EA" w:rsidRDefault="00011DE9">
            <w:pPr>
              <w:pStyle w:val="P68B1DB1-Normal23"/>
              <w:spacing w:after="0" w:line="240" w:lineRule="auto"/>
              <w:jc w:val="center"/>
              <w:rPr>
                <w:noProof/>
              </w:rPr>
            </w:pPr>
            <w:r>
              <w:rPr>
                <w:noProof/>
              </w:rPr>
              <w:t>2026</w:t>
            </w:r>
          </w:p>
        </w:tc>
        <w:tc>
          <w:tcPr>
            <w:tcW w:w="6258" w:type="dxa"/>
            <w:shd w:val="clear" w:color="auto" w:fill="C6EFCE"/>
            <w:noWrap/>
          </w:tcPr>
          <w:p w14:paraId="14D89717" w14:textId="03ACCC46" w:rsidR="00D924EA" w:rsidRDefault="00011DE9">
            <w:pPr>
              <w:pStyle w:val="P68B1DB1-Normal24"/>
              <w:spacing w:after="0" w:line="240" w:lineRule="auto"/>
              <w:rPr>
                <w:noProof/>
              </w:rPr>
            </w:pPr>
            <w:r>
              <w:rPr>
                <w:noProof/>
              </w:rPr>
              <w:t>Se depun declarații fiscale pentru un cuantum total al deducerilor de 700 000 000 EUR legate de renovările energetice.</w:t>
            </w:r>
            <w:r w:rsidR="00971820">
              <w:rPr>
                <w:noProof/>
              </w:rPr>
              <w:t xml:space="preserve"> </w:t>
            </w:r>
          </w:p>
        </w:tc>
      </w:tr>
      <w:tr w:rsidR="00D924EA" w14:paraId="61FD8C10" w14:textId="77777777">
        <w:trPr>
          <w:trHeight w:val="309"/>
          <w:jc w:val="center"/>
        </w:trPr>
        <w:tc>
          <w:tcPr>
            <w:tcW w:w="698" w:type="dxa"/>
            <w:shd w:val="clear" w:color="auto" w:fill="C6EFCE"/>
            <w:noWrap/>
          </w:tcPr>
          <w:p w14:paraId="46FA3B8E" w14:textId="77777777" w:rsidR="00D924EA" w:rsidRDefault="00011DE9">
            <w:pPr>
              <w:pStyle w:val="P68B1DB1-Normal23"/>
              <w:spacing w:after="0" w:line="240" w:lineRule="auto"/>
              <w:jc w:val="center"/>
              <w:rPr>
                <w:rFonts w:cs="Times New Roman"/>
                <w:noProof/>
                <w:szCs w:val="18"/>
              </w:rPr>
            </w:pPr>
            <w:r>
              <w:rPr>
                <w:noProof/>
              </w:rPr>
              <w:t>30</w:t>
            </w:r>
          </w:p>
        </w:tc>
        <w:tc>
          <w:tcPr>
            <w:tcW w:w="836" w:type="dxa"/>
            <w:shd w:val="clear" w:color="auto" w:fill="C6EFCE"/>
            <w:noWrap/>
          </w:tcPr>
          <w:p w14:paraId="08CB96CC" w14:textId="77777777" w:rsidR="00D924EA" w:rsidRDefault="00011DE9">
            <w:pPr>
              <w:pStyle w:val="P68B1DB1-Normal23"/>
              <w:spacing w:after="0" w:line="240" w:lineRule="auto"/>
              <w:jc w:val="center"/>
              <w:rPr>
                <w:rFonts w:cs="Times New Roman"/>
                <w:noProof/>
                <w:szCs w:val="18"/>
              </w:rPr>
            </w:pPr>
            <w:r>
              <w:rPr>
                <w:noProof/>
              </w:rPr>
              <w:t>C2.I2</w:t>
            </w:r>
          </w:p>
        </w:tc>
        <w:tc>
          <w:tcPr>
            <w:tcW w:w="835" w:type="dxa"/>
            <w:shd w:val="clear" w:color="auto" w:fill="C6EFCE"/>
            <w:noWrap/>
          </w:tcPr>
          <w:p w14:paraId="0564CC48" w14:textId="77777777" w:rsidR="00D924EA" w:rsidRDefault="00011DE9">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06FD942B" w14:textId="77777777" w:rsidR="00D924EA" w:rsidRDefault="00011DE9">
            <w:pPr>
              <w:pStyle w:val="P68B1DB1-Normal23"/>
              <w:spacing w:after="0" w:line="240" w:lineRule="auto"/>
              <w:rPr>
                <w:rFonts w:cs="Times New Roman"/>
                <w:noProof/>
                <w:szCs w:val="18"/>
              </w:rPr>
            </w:pPr>
            <w:r>
              <w:rPr>
                <w:noProof/>
              </w:rPr>
              <w:t xml:space="preserve">Intrarea în vigoare a Decretului regal privind definirea cadrului de reglementare pentru punerea în aplicare a programului privind locuințele sociale de închiriat eficiente din punct de vedere energetic care respectă criteriile de eficiență energetică </w:t>
            </w:r>
          </w:p>
        </w:tc>
        <w:tc>
          <w:tcPr>
            <w:tcW w:w="1467" w:type="dxa"/>
            <w:shd w:val="clear" w:color="auto" w:fill="C6EFCE"/>
            <w:noWrap/>
          </w:tcPr>
          <w:p w14:paraId="4929D6F7" w14:textId="77777777" w:rsidR="00D924EA" w:rsidRDefault="00011DE9">
            <w:pPr>
              <w:pStyle w:val="P68B1DB1-Normal23"/>
              <w:spacing w:after="0" w:line="240" w:lineRule="auto"/>
              <w:jc w:val="center"/>
              <w:rPr>
                <w:rFonts w:cs="Times New Roman"/>
                <w:noProof/>
                <w:szCs w:val="18"/>
              </w:rPr>
            </w:pPr>
            <w:r>
              <w:rPr>
                <w:noProof/>
              </w:rPr>
              <w:t>Dispoziție din Decretul regal privind intrarea în vigoare</w:t>
            </w:r>
          </w:p>
        </w:tc>
        <w:tc>
          <w:tcPr>
            <w:tcW w:w="835" w:type="dxa"/>
            <w:shd w:val="clear" w:color="auto" w:fill="C6EFCE"/>
            <w:noWrap/>
          </w:tcPr>
          <w:p w14:paraId="6528950C" w14:textId="77777777" w:rsidR="00D924EA" w:rsidRDefault="00011DE9">
            <w:pPr>
              <w:pStyle w:val="P68B1DB1-Normal23"/>
              <w:spacing w:after="0" w:line="240" w:lineRule="auto"/>
              <w:rPr>
                <w:rFonts w:cs="Times New Roman"/>
                <w:noProof/>
                <w:szCs w:val="18"/>
              </w:rPr>
            </w:pPr>
            <w:r>
              <w:rPr>
                <w:noProof/>
              </w:rPr>
              <w:t xml:space="preserve"> </w:t>
            </w:r>
          </w:p>
        </w:tc>
        <w:tc>
          <w:tcPr>
            <w:tcW w:w="974" w:type="dxa"/>
            <w:shd w:val="clear" w:color="auto" w:fill="C6EFCE"/>
            <w:noWrap/>
          </w:tcPr>
          <w:p w14:paraId="60EAECF6" w14:textId="77777777" w:rsidR="00D924EA" w:rsidRDefault="00011DE9">
            <w:pPr>
              <w:pStyle w:val="P68B1DB1-Normal23"/>
              <w:spacing w:after="0" w:line="240" w:lineRule="auto"/>
              <w:jc w:val="right"/>
              <w:rPr>
                <w:rFonts w:cs="Times New Roman"/>
                <w:noProof/>
                <w:szCs w:val="18"/>
              </w:rPr>
            </w:pPr>
            <w:r>
              <w:rPr>
                <w:noProof/>
              </w:rPr>
              <w:t xml:space="preserve"> </w:t>
            </w:r>
          </w:p>
        </w:tc>
        <w:tc>
          <w:tcPr>
            <w:tcW w:w="836" w:type="dxa"/>
            <w:shd w:val="clear" w:color="auto" w:fill="C6EFCE"/>
            <w:noWrap/>
          </w:tcPr>
          <w:p w14:paraId="2F918005" w14:textId="77777777" w:rsidR="00D924EA" w:rsidRDefault="00011DE9">
            <w:pPr>
              <w:pStyle w:val="P68B1DB1-Normal23"/>
              <w:spacing w:after="0" w:line="240" w:lineRule="auto"/>
              <w:jc w:val="right"/>
              <w:rPr>
                <w:rFonts w:cs="Times New Roman"/>
                <w:noProof/>
                <w:szCs w:val="18"/>
              </w:rPr>
            </w:pPr>
            <w:r>
              <w:rPr>
                <w:noProof/>
              </w:rPr>
              <w:t xml:space="preserve"> </w:t>
            </w:r>
          </w:p>
        </w:tc>
        <w:tc>
          <w:tcPr>
            <w:tcW w:w="418" w:type="dxa"/>
            <w:shd w:val="clear" w:color="auto" w:fill="C6EFCE"/>
            <w:noWrap/>
          </w:tcPr>
          <w:p w14:paraId="7BE913CF" w14:textId="17D38873" w:rsidR="00D924EA" w:rsidRDefault="005701C9">
            <w:pPr>
              <w:pStyle w:val="P68B1DB1-Normal23"/>
              <w:spacing w:after="0" w:line="240" w:lineRule="auto"/>
              <w:jc w:val="center"/>
              <w:rPr>
                <w:rFonts w:cs="Times New Roman"/>
                <w:noProof/>
                <w:szCs w:val="18"/>
              </w:rPr>
            </w:pPr>
            <w:r>
              <w:rPr>
                <w:noProof/>
              </w:rPr>
              <w:t>T3</w:t>
            </w:r>
          </w:p>
        </w:tc>
        <w:tc>
          <w:tcPr>
            <w:tcW w:w="558" w:type="dxa"/>
            <w:shd w:val="clear" w:color="auto" w:fill="C6EFCE"/>
            <w:noWrap/>
          </w:tcPr>
          <w:p w14:paraId="37A9DDCB" w14:textId="77777777" w:rsidR="00D924EA" w:rsidRDefault="00011DE9">
            <w:pPr>
              <w:pStyle w:val="P68B1DB1-Normal23"/>
              <w:spacing w:after="0" w:line="240" w:lineRule="auto"/>
              <w:jc w:val="center"/>
              <w:rPr>
                <w:rFonts w:cs="Times New Roman"/>
                <w:noProof/>
                <w:szCs w:val="18"/>
              </w:rPr>
            </w:pPr>
            <w:r>
              <w:rPr>
                <w:noProof/>
              </w:rPr>
              <w:t>2021</w:t>
            </w:r>
          </w:p>
        </w:tc>
        <w:tc>
          <w:tcPr>
            <w:tcW w:w="6258" w:type="dxa"/>
            <w:shd w:val="clear" w:color="auto" w:fill="C6EFCE"/>
            <w:noWrap/>
          </w:tcPr>
          <w:p w14:paraId="0AAE7650" w14:textId="77777777" w:rsidR="00D924EA" w:rsidRDefault="00011DE9">
            <w:pPr>
              <w:pStyle w:val="P68B1DB1-Normal23"/>
              <w:spacing w:after="0" w:line="240" w:lineRule="auto"/>
              <w:rPr>
                <w:rFonts w:cs="Times New Roman"/>
                <w:noProof/>
                <w:szCs w:val="18"/>
              </w:rPr>
            </w:pPr>
            <w:r>
              <w:rPr>
                <w:noProof/>
              </w:rPr>
              <w:t>Adoptarea Decretului regal de definire a cadrului de reglementare pentru punerea în aplicare a Programului privind locuințele sociale de închiriat eficiente din punct de vedere energetic care respectă criteriile de eficiență energetică. Decretul regal stabilește cerințele tehnice pentru a asigura, în construcția de clădiri, obiectivul de a atinge o cerere de energie primară cu cel puțin 20 % mai mică decât cerința privind clădirile al căror consum de energie este aproape egal cu zero, în conformitate cu orientările naționale. În acest scop, o cerință este de a limita valoarea consumului de energie primară din surse neregenerabile la 80 % din limita stabilită în secțiunea HE 0 din Documentul de bază privind economisirea energiei (DB-HE) din Codul tehnic al clădirilor (CTE). Se organizează Conferința sectorială privind locuințele, iar etapa de informare publică și alte proceduri juridice se finalizează înainte de finalizarea decretului regal.</w:t>
            </w:r>
          </w:p>
        </w:tc>
      </w:tr>
      <w:tr w:rsidR="00D924EA" w14:paraId="75733E5F" w14:textId="77777777">
        <w:trPr>
          <w:trHeight w:val="309"/>
          <w:jc w:val="center"/>
        </w:trPr>
        <w:tc>
          <w:tcPr>
            <w:tcW w:w="698" w:type="dxa"/>
            <w:shd w:val="clear" w:color="auto" w:fill="C6EFCE"/>
            <w:noWrap/>
          </w:tcPr>
          <w:p w14:paraId="56F33A12" w14:textId="77777777" w:rsidR="00D924EA" w:rsidRDefault="00011DE9">
            <w:pPr>
              <w:pStyle w:val="P68B1DB1-Normal23"/>
              <w:spacing w:after="0" w:line="240" w:lineRule="auto"/>
              <w:jc w:val="center"/>
              <w:rPr>
                <w:rFonts w:cs="Times New Roman"/>
                <w:noProof/>
                <w:szCs w:val="18"/>
              </w:rPr>
            </w:pPr>
            <w:r>
              <w:rPr>
                <w:noProof/>
              </w:rPr>
              <w:t>31</w:t>
            </w:r>
          </w:p>
        </w:tc>
        <w:tc>
          <w:tcPr>
            <w:tcW w:w="836" w:type="dxa"/>
            <w:shd w:val="clear" w:color="auto" w:fill="C6EFCE"/>
            <w:noWrap/>
          </w:tcPr>
          <w:p w14:paraId="4C07B2D5" w14:textId="77777777" w:rsidR="00D924EA" w:rsidRDefault="00011DE9">
            <w:pPr>
              <w:pStyle w:val="P68B1DB1-Normal23"/>
              <w:spacing w:after="0" w:line="240" w:lineRule="auto"/>
              <w:jc w:val="center"/>
              <w:rPr>
                <w:rFonts w:eastAsia="MS Mincho" w:cs="Times New Roman"/>
                <w:noProof/>
                <w:szCs w:val="18"/>
              </w:rPr>
            </w:pPr>
            <w:r>
              <w:rPr>
                <w:noProof/>
              </w:rPr>
              <w:t>C2.I2</w:t>
            </w:r>
          </w:p>
        </w:tc>
        <w:tc>
          <w:tcPr>
            <w:tcW w:w="835" w:type="dxa"/>
            <w:shd w:val="clear" w:color="auto" w:fill="C6EFCE"/>
            <w:noWrap/>
          </w:tcPr>
          <w:p w14:paraId="5E647D9A" w14:textId="77777777" w:rsidR="00D924EA" w:rsidRDefault="00011DE9">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5033702F" w14:textId="2EC07C35" w:rsidR="00D924EA" w:rsidRDefault="00011DE9">
            <w:pPr>
              <w:pStyle w:val="P68B1DB1-Normal24"/>
              <w:spacing w:after="0" w:line="240" w:lineRule="auto"/>
              <w:rPr>
                <w:rFonts w:cs="Times New Roman"/>
                <w:noProof/>
              </w:rPr>
            </w:pPr>
            <w:r>
              <w:rPr>
                <w:noProof/>
              </w:rPr>
              <w:t>Furnizare de locuințe</w:t>
            </w:r>
          </w:p>
        </w:tc>
        <w:tc>
          <w:tcPr>
            <w:tcW w:w="1467" w:type="dxa"/>
            <w:shd w:val="clear" w:color="auto" w:fill="C6EFCE"/>
            <w:noWrap/>
          </w:tcPr>
          <w:p w14:paraId="6063A2D9" w14:textId="77777777" w:rsidR="00D924EA" w:rsidRDefault="00011DE9">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696B4E9F" w14:textId="77777777" w:rsidR="00D924EA" w:rsidRDefault="00011DE9">
            <w:pPr>
              <w:pStyle w:val="P68B1DB1-Normal23"/>
              <w:spacing w:after="0" w:line="240" w:lineRule="auto"/>
              <w:rPr>
                <w:rFonts w:eastAsia="MS Mincho" w:cs="Times New Roman"/>
                <w:noProof/>
                <w:szCs w:val="18"/>
              </w:rPr>
            </w:pPr>
            <w:r>
              <w:rPr>
                <w:noProof/>
              </w:rPr>
              <w:t>Număr</w:t>
            </w:r>
          </w:p>
        </w:tc>
        <w:tc>
          <w:tcPr>
            <w:tcW w:w="974" w:type="dxa"/>
            <w:shd w:val="clear" w:color="auto" w:fill="C6EFCE"/>
            <w:noWrap/>
          </w:tcPr>
          <w:p w14:paraId="54B42A43" w14:textId="77777777" w:rsidR="00D924EA" w:rsidRDefault="00011DE9">
            <w:pPr>
              <w:pStyle w:val="P68B1DB1-Normal23"/>
              <w:spacing w:after="0" w:line="240" w:lineRule="auto"/>
              <w:jc w:val="right"/>
              <w:rPr>
                <w:rFonts w:eastAsia="MS Mincho" w:cs="Times New Roman"/>
                <w:noProof/>
                <w:szCs w:val="18"/>
              </w:rPr>
            </w:pPr>
            <w:r>
              <w:rPr>
                <w:noProof/>
              </w:rPr>
              <w:t>0</w:t>
            </w:r>
          </w:p>
        </w:tc>
        <w:tc>
          <w:tcPr>
            <w:tcW w:w="836" w:type="dxa"/>
            <w:shd w:val="clear" w:color="auto" w:fill="C6EFCE"/>
            <w:noWrap/>
          </w:tcPr>
          <w:p w14:paraId="1EC639E3" w14:textId="521A06E7" w:rsidR="00D924EA" w:rsidRDefault="00011DE9">
            <w:pPr>
              <w:pStyle w:val="P68B1DB1-Normal24"/>
              <w:spacing w:after="0" w:line="240" w:lineRule="auto"/>
              <w:jc w:val="right"/>
              <w:rPr>
                <w:rFonts w:eastAsia="MS Mincho" w:cs="Times New Roman"/>
                <w:noProof/>
              </w:rPr>
            </w:pPr>
            <w:r>
              <w:rPr>
                <w:noProof/>
              </w:rPr>
              <w:t>17 365</w:t>
            </w:r>
          </w:p>
        </w:tc>
        <w:tc>
          <w:tcPr>
            <w:tcW w:w="418" w:type="dxa"/>
            <w:shd w:val="clear" w:color="auto" w:fill="C6EFCE"/>
            <w:noWrap/>
          </w:tcPr>
          <w:p w14:paraId="35A7825F" w14:textId="3E2047CE" w:rsidR="00D924EA" w:rsidRDefault="005701C9">
            <w:pPr>
              <w:pStyle w:val="P68B1DB1-Normal23"/>
              <w:spacing w:after="0" w:line="240" w:lineRule="auto"/>
              <w:jc w:val="center"/>
              <w:rPr>
                <w:rFonts w:cs="Times New Roman"/>
                <w:noProof/>
                <w:szCs w:val="18"/>
              </w:rPr>
            </w:pPr>
            <w:r>
              <w:rPr>
                <w:noProof/>
              </w:rPr>
              <w:t>T2</w:t>
            </w:r>
          </w:p>
        </w:tc>
        <w:tc>
          <w:tcPr>
            <w:tcW w:w="558" w:type="dxa"/>
            <w:shd w:val="clear" w:color="auto" w:fill="C6EFCE"/>
            <w:noWrap/>
          </w:tcPr>
          <w:p w14:paraId="7641463C" w14:textId="77777777" w:rsidR="00D924EA" w:rsidRDefault="00011DE9">
            <w:pPr>
              <w:pStyle w:val="P68B1DB1-Normal23"/>
              <w:spacing w:after="0" w:line="240" w:lineRule="auto"/>
              <w:jc w:val="center"/>
              <w:rPr>
                <w:rFonts w:cs="Times New Roman"/>
                <w:noProof/>
                <w:szCs w:val="18"/>
              </w:rPr>
            </w:pPr>
            <w:r>
              <w:rPr>
                <w:noProof/>
              </w:rPr>
              <w:t>2026</w:t>
            </w:r>
          </w:p>
        </w:tc>
        <w:tc>
          <w:tcPr>
            <w:tcW w:w="6258" w:type="dxa"/>
            <w:shd w:val="clear" w:color="auto" w:fill="C6EFCE"/>
            <w:noWrap/>
          </w:tcPr>
          <w:p w14:paraId="41304FD4" w14:textId="30F6F23B" w:rsidR="00D924EA" w:rsidRDefault="00011DE9">
            <w:pPr>
              <w:pStyle w:val="P68B1DB1-Normal24"/>
              <w:spacing w:after="0" w:line="240" w:lineRule="auto"/>
              <w:rPr>
                <w:rFonts w:cs="Times New Roman"/>
                <w:noProof/>
              </w:rPr>
            </w:pPr>
            <w:r>
              <w:rPr>
                <w:noProof/>
              </w:rPr>
              <w:t xml:space="preserve">Furnizarea unui număr total de 17 365 de locuințe în cadrul programului pentru a sprijini construirea de locuințe sociale de închiriat în clădiri eficiente din punct de vedere energetic (Programa de ayuda a la construcción de viviendas en alquiler social en edificios energéticamente Eficientes). </w:t>
            </w:r>
          </w:p>
        </w:tc>
      </w:tr>
      <w:tr w:rsidR="00D924EA" w14:paraId="2B925850" w14:textId="77777777">
        <w:trPr>
          <w:trHeight w:val="309"/>
          <w:jc w:val="center"/>
        </w:trPr>
        <w:tc>
          <w:tcPr>
            <w:tcW w:w="698" w:type="dxa"/>
            <w:shd w:val="clear" w:color="auto" w:fill="C6EFCE"/>
            <w:noWrap/>
          </w:tcPr>
          <w:p w14:paraId="03ECBD4B" w14:textId="77777777" w:rsidR="00D924EA" w:rsidRDefault="00011DE9">
            <w:pPr>
              <w:pStyle w:val="P68B1DB1-Normal23"/>
              <w:spacing w:after="0" w:line="240" w:lineRule="auto"/>
              <w:jc w:val="center"/>
              <w:rPr>
                <w:rFonts w:cs="Times New Roman"/>
                <w:noProof/>
                <w:szCs w:val="18"/>
              </w:rPr>
            </w:pPr>
            <w:r>
              <w:rPr>
                <w:noProof/>
              </w:rPr>
              <w:t>33</w:t>
            </w:r>
          </w:p>
        </w:tc>
        <w:tc>
          <w:tcPr>
            <w:tcW w:w="836" w:type="dxa"/>
            <w:shd w:val="clear" w:color="auto" w:fill="C6EFCE"/>
            <w:noWrap/>
          </w:tcPr>
          <w:p w14:paraId="2C26A257" w14:textId="77777777" w:rsidR="00D924EA" w:rsidRDefault="00011DE9">
            <w:pPr>
              <w:pStyle w:val="P68B1DB1-Normal23"/>
              <w:spacing w:after="0" w:line="240" w:lineRule="auto"/>
              <w:jc w:val="center"/>
              <w:rPr>
                <w:rFonts w:eastAsia="MS Mincho" w:cs="Times New Roman"/>
                <w:noProof/>
                <w:szCs w:val="18"/>
              </w:rPr>
            </w:pPr>
            <w:r>
              <w:rPr>
                <w:noProof/>
              </w:rPr>
              <w:t>C2.I3</w:t>
            </w:r>
          </w:p>
        </w:tc>
        <w:tc>
          <w:tcPr>
            <w:tcW w:w="835" w:type="dxa"/>
            <w:shd w:val="clear" w:color="auto" w:fill="C6EFCE"/>
            <w:noWrap/>
          </w:tcPr>
          <w:p w14:paraId="612EB101" w14:textId="32596FA0" w:rsidR="00D924EA" w:rsidRDefault="00011DE9">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5749658E" w14:textId="2C1C20BF" w:rsidR="00D924EA" w:rsidRDefault="00011DE9">
            <w:pPr>
              <w:pStyle w:val="P68B1DB1-Normal24"/>
              <w:spacing w:after="0" w:line="240" w:lineRule="auto"/>
              <w:rPr>
                <w:rFonts w:cs="Times New Roman"/>
                <w:noProof/>
              </w:rPr>
            </w:pPr>
            <w:r>
              <w:rPr>
                <w:noProof/>
              </w:rPr>
              <w:t xml:space="preserve">Reducerea consumului de energie primară din surse neregenerabile în locuințe, clădiri rezidențiale sau clădiri nerezidențiale sau părți ale acestora </w:t>
            </w:r>
          </w:p>
        </w:tc>
        <w:tc>
          <w:tcPr>
            <w:tcW w:w="1467" w:type="dxa"/>
            <w:shd w:val="clear" w:color="auto" w:fill="C6EFCE"/>
            <w:noWrap/>
          </w:tcPr>
          <w:p w14:paraId="35C9CB88" w14:textId="4E210E23" w:rsidR="00D924EA" w:rsidRDefault="00D924EA">
            <w:pPr>
              <w:spacing w:after="0" w:line="240" w:lineRule="auto"/>
              <w:jc w:val="center"/>
              <w:rPr>
                <w:rFonts w:ascii="Times New Roman" w:hAnsi="Times New Roman" w:cs="Times New Roman"/>
                <w:noProof/>
                <w:sz w:val="18"/>
                <w:szCs w:val="18"/>
              </w:rPr>
            </w:pPr>
          </w:p>
        </w:tc>
        <w:tc>
          <w:tcPr>
            <w:tcW w:w="835" w:type="dxa"/>
            <w:shd w:val="clear" w:color="auto" w:fill="C6EFCE"/>
            <w:noWrap/>
          </w:tcPr>
          <w:p w14:paraId="1991FD2C" w14:textId="0D5D4DF3" w:rsidR="00D924EA" w:rsidRDefault="00011DE9">
            <w:pPr>
              <w:pStyle w:val="P68B1DB1-Normal23"/>
              <w:spacing w:after="0" w:line="240" w:lineRule="auto"/>
              <w:rPr>
                <w:rFonts w:eastAsia="MS Mincho" w:cs="Times New Roman"/>
                <w:noProof/>
                <w:szCs w:val="18"/>
              </w:rPr>
            </w:pPr>
            <w:r>
              <w:rPr>
                <w:noProof/>
                <w:szCs w:val="18"/>
              </w:rPr>
              <w:t>Număr</w:t>
            </w:r>
            <w:r w:rsidR="00971820">
              <w:rPr>
                <w:noProof/>
              </w:rPr>
              <w:t xml:space="preserve"> </w:t>
            </w:r>
          </w:p>
        </w:tc>
        <w:tc>
          <w:tcPr>
            <w:tcW w:w="974" w:type="dxa"/>
            <w:shd w:val="clear" w:color="auto" w:fill="C6EFCE"/>
            <w:noWrap/>
          </w:tcPr>
          <w:p w14:paraId="10AA2F85" w14:textId="77777777" w:rsidR="00D924EA" w:rsidRDefault="00011DE9">
            <w:pPr>
              <w:pStyle w:val="P68B1DB1-Normal23"/>
              <w:spacing w:after="0" w:line="240" w:lineRule="auto"/>
              <w:jc w:val="right"/>
              <w:rPr>
                <w:rFonts w:eastAsia="MS Mincho" w:cs="Times New Roman"/>
                <w:noProof/>
                <w:szCs w:val="18"/>
              </w:rPr>
            </w:pPr>
            <w:r>
              <w:rPr>
                <w:noProof/>
              </w:rPr>
              <w:t xml:space="preserve">0 </w:t>
            </w:r>
          </w:p>
        </w:tc>
        <w:tc>
          <w:tcPr>
            <w:tcW w:w="836" w:type="dxa"/>
            <w:shd w:val="clear" w:color="auto" w:fill="C6EFCE"/>
            <w:noWrap/>
          </w:tcPr>
          <w:p w14:paraId="6BEDAD12" w14:textId="7AB59F22" w:rsidR="00D924EA" w:rsidRDefault="00011DE9">
            <w:pPr>
              <w:pStyle w:val="P68B1DB1-Normal23"/>
              <w:spacing w:after="0" w:line="240" w:lineRule="auto"/>
              <w:jc w:val="right"/>
              <w:rPr>
                <w:rFonts w:eastAsia="MS Mincho" w:cs="Times New Roman"/>
                <w:noProof/>
                <w:szCs w:val="18"/>
              </w:rPr>
            </w:pPr>
            <w:r>
              <w:rPr>
                <w:noProof/>
                <w:szCs w:val="18"/>
              </w:rPr>
              <w:t>2 918</w:t>
            </w:r>
            <w:r>
              <w:rPr>
                <w:noProof/>
              </w:rPr>
              <w:t xml:space="preserve"> </w:t>
            </w:r>
          </w:p>
        </w:tc>
        <w:tc>
          <w:tcPr>
            <w:tcW w:w="418" w:type="dxa"/>
            <w:shd w:val="clear" w:color="auto" w:fill="C6EFCE"/>
            <w:noWrap/>
          </w:tcPr>
          <w:p w14:paraId="18158EBE" w14:textId="093E5680" w:rsidR="00D924EA" w:rsidRDefault="005701C9">
            <w:pPr>
              <w:pStyle w:val="P68B1DB1-Normal23"/>
              <w:spacing w:after="0" w:line="240" w:lineRule="auto"/>
              <w:jc w:val="center"/>
              <w:rPr>
                <w:rFonts w:cs="Times New Roman"/>
                <w:noProof/>
                <w:szCs w:val="18"/>
              </w:rPr>
            </w:pPr>
            <w:r>
              <w:rPr>
                <w:noProof/>
              </w:rPr>
              <w:t>T2</w:t>
            </w:r>
          </w:p>
        </w:tc>
        <w:tc>
          <w:tcPr>
            <w:tcW w:w="558" w:type="dxa"/>
            <w:shd w:val="clear" w:color="auto" w:fill="C6EFCE"/>
            <w:noWrap/>
          </w:tcPr>
          <w:p w14:paraId="0E11C49A" w14:textId="77777777" w:rsidR="00D924EA" w:rsidRDefault="00011DE9">
            <w:pPr>
              <w:pStyle w:val="P68B1DB1-Normal23"/>
              <w:spacing w:after="0" w:line="240" w:lineRule="auto"/>
              <w:jc w:val="center"/>
              <w:rPr>
                <w:rFonts w:cs="Times New Roman"/>
                <w:noProof/>
                <w:szCs w:val="18"/>
              </w:rPr>
            </w:pPr>
            <w:r>
              <w:rPr>
                <w:noProof/>
              </w:rPr>
              <w:t>2026</w:t>
            </w:r>
          </w:p>
        </w:tc>
        <w:tc>
          <w:tcPr>
            <w:tcW w:w="6258" w:type="dxa"/>
            <w:shd w:val="clear" w:color="auto" w:fill="C6EFCE"/>
            <w:noWrap/>
          </w:tcPr>
          <w:p w14:paraId="5AAFF68D" w14:textId="77967844" w:rsidR="00D924EA" w:rsidRDefault="00011DE9">
            <w:pPr>
              <w:pStyle w:val="P68B1DB1-Normal24"/>
              <w:spacing w:after="0" w:line="240" w:lineRule="auto"/>
              <w:rPr>
                <w:rFonts w:cs="Times New Roman"/>
                <w:noProof/>
              </w:rPr>
            </w:pPr>
            <w:r>
              <w:rPr>
                <w:noProof/>
              </w:rPr>
              <w:t>Furnizarea unui total de 2 918 de certificate de performanță energetică pentru locuințe, clădiri rezidențiale sau clădiri nerezidențiale sau părți ale acestora, indicând, în medie, o reducere cu 30 % a consumului de energie primară din surse neregenerabile.</w:t>
            </w:r>
          </w:p>
        </w:tc>
      </w:tr>
      <w:tr w:rsidR="00D924EA" w14:paraId="09E82EF7" w14:textId="77777777">
        <w:trPr>
          <w:trHeight w:val="309"/>
          <w:jc w:val="center"/>
        </w:trPr>
        <w:tc>
          <w:tcPr>
            <w:tcW w:w="698" w:type="dxa"/>
            <w:shd w:val="clear" w:color="auto" w:fill="C6EFCE"/>
            <w:noWrap/>
          </w:tcPr>
          <w:p w14:paraId="2852CDC8" w14:textId="77777777" w:rsidR="00D924EA" w:rsidRDefault="00011DE9">
            <w:pPr>
              <w:pStyle w:val="P68B1DB1-Normal23"/>
              <w:spacing w:after="0" w:line="240" w:lineRule="auto"/>
              <w:jc w:val="center"/>
              <w:rPr>
                <w:rFonts w:cs="Times New Roman"/>
                <w:noProof/>
                <w:szCs w:val="18"/>
              </w:rPr>
            </w:pPr>
            <w:r>
              <w:rPr>
                <w:noProof/>
              </w:rPr>
              <w:t>34</w:t>
            </w:r>
          </w:p>
        </w:tc>
        <w:tc>
          <w:tcPr>
            <w:tcW w:w="836" w:type="dxa"/>
            <w:shd w:val="clear" w:color="auto" w:fill="C6EFCE"/>
            <w:noWrap/>
          </w:tcPr>
          <w:p w14:paraId="0BAD2789" w14:textId="77777777" w:rsidR="00D924EA" w:rsidRDefault="00011DE9">
            <w:pPr>
              <w:pStyle w:val="P68B1DB1-Normal23"/>
              <w:spacing w:after="0" w:line="240" w:lineRule="auto"/>
              <w:jc w:val="center"/>
              <w:rPr>
                <w:rFonts w:eastAsia="MS Mincho" w:cs="Times New Roman"/>
                <w:noProof/>
                <w:szCs w:val="18"/>
              </w:rPr>
            </w:pPr>
            <w:r>
              <w:rPr>
                <w:noProof/>
              </w:rPr>
              <w:t>C2.I4</w:t>
            </w:r>
          </w:p>
        </w:tc>
        <w:tc>
          <w:tcPr>
            <w:tcW w:w="835" w:type="dxa"/>
            <w:shd w:val="clear" w:color="auto" w:fill="C6EFCE"/>
            <w:noWrap/>
          </w:tcPr>
          <w:p w14:paraId="0CD256E3" w14:textId="06B1B127" w:rsidR="00D924EA" w:rsidRDefault="00011DE9">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7C5C0B11" w14:textId="3A22002A" w:rsidR="00D924EA" w:rsidRDefault="00011DE9">
            <w:pPr>
              <w:pStyle w:val="P68B1DB1-Normal24"/>
              <w:spacing w:after="0" w:line="240" w:lineRule="auto"/>
              <w:rPr>
                <w:rFonts w:cs="Times New Roman"/>
                <w:noProof/>
              </w:rPr>
            </w:pPr>
            <w:r>
              <w:rPr>
                <w:noProof/>
              </w:rPr>
              <w:t>Reducerea consumului de energie primară din surse neregenerabile în locuințe, clădiri rezidențiale sau clădiri nerezidențiale sau părți ale acestora, situate în municipalități eligibile în cadrul programului PREE 5 000</w:t>
            </w:r>
          </w:p>
        </w:tc>
        <w:tc>
          <w:tcPr>
            <w:tcW w:w="1467" w:type="dxa"/>
            <w:shd w:val="clear" w:color="auto" w:fill="C6EFCE"/>
            <w:noWrap/>
          </w:tcPr>
          <w:p w14:paraId="72218BC0" w14:textId="77777777" w:rsidR="00D924EA" w:rsidRDefault="00011DE9">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0BFB3944" w14:textId="77777777" w:rsidR="00D924EA" w:rsidRDefault="00011DE9">
            <w:pPr>
              <w:pStyle w:val="P68B1DB1-Normal32"/>
              <w:spacing w:after="0" w:line="240" w:lineRule="auto"/>
              <w:rPr>
                <w:noProof/>
              </w:rPr>
            </w:pPr>
            <w:r>
              <w:rPr>
                <w:noProof/>
              </w:rPr>
              <w:t>Număr</w:t>
            </w:r>
          </w:p>
        </w:tc>
        <w:tc>
          <w:tcPr>
            <w:tcW w:w="974" w:type="dxa"/>
            <w:shd w:val="clear" w:color="auto" w:fill="C6EFCE"/>
            <w:noWrap/>
          </w:tcPr>
          <w:p w14:paraId="3FD0AA90" w14:textId="77777777" w:rsidR="00D924EA" w:rsidRDefault="00011DE9">
            <w:pPr>
              <w:pStyle w:val="P68B1DB1-Normal32"/>
              <w:spacing w:after="0" w:line="240" w:lineRule="auto"/>
              <w:jc w:val="right"/>
              <w:rPr>
                <w:noProof/>
              </w:rPr>
            </w:pPr>
            <w:r>
              <w:rPr>
                <w:noProof/>
              </w:rPr>
              <w:t>0</w:t>
            </w:r>
          </w:p>
        </w:tc>
        <w:tc>
          <w:tcPr>
            <w:tcW w:w="836" w:type="dxa"/>
            <w:shd w:val="clear" w:color="auto" w:fill="C6EFCE"/>
            <w:noWrap/>
          </w:tcPr>
          <w:p w14:paraId="432C2D61" w14:textId="2F61726C" w:rsidR="00D924EA" w:rsidRDefault="00011DE9">
            <w:pPr>
              <w:pStyle w:val="P68B1DB1-Normal32"/>
              <w:spacing w:after="0" w:line="240" w:lineRule="auto"/>
              <w:jc w:val="right"/>
              <w:rPr>
                <w:noProof/>
              </w:rPr>
            </w:pPr>
            <w:r>
              <w:rPr>
                <w:noProof/>
              </w:rPr>
              <w:t>1 377</w:t>
            </w:r>
          </w:p>
        </w:tc>
        <w:tc>
          <w:tcPr>
            <w:tcW w:w="418" w:type="dxa"/>
            <w:shd w:val="clear" w:color="auto" w:fill="C6EFCE"/>
            <w:noWrap/>
          </w:tcPr>
          <w:p w14:paraId="10D5BEA1" w14:textId="24CFF225" w:rsidR="00D924EA" w:rsidRDefault="005701C9">
            <w:pPr>
              <w:pStyle w:val="P68B1DB1-Normal23"/>
              <w:spacing w:after="0" w:line="240" w:lineRule="auto"/>
              <w:jc w:val="center"/>
              <w:rPr>
                <w:rFonts w:cs="Times New Roman"/>
                <w:noProof/>
                <w:szCs w:val="18"/>
              </w:rPr>
            </w:pPr>
            <w:r>
              <w:rPr>
                <w:noProof/>
              </w:rPr>
              <w:t>T2</w:t>
            </w:r>
          </w:p>
        </w:tc>
        <w:tc>
          <w:tcPr>
            <w:tcW w:w="558" w:type="dxa"/>
            <w:shd w:val="clear" w:color="auto" w:fill="C6EFCE"/>
            <w:noWrap/>
          </w:tcPr>
          <w:p w14:paraId="72FED88A" w14:textId="77777777" w:rsidR="00D924EA" w:rsidRDefault="00011DE9">
            <w:pPr>
              <w:pStyle w:val="P68B1DB1-Normal23"/>
              <w:spacing w:after="0" w:line="240" w:lineRule="auto"/>
              <w:jc w:val="center"/>
              <w:rPr>
                <w:rFonts w:cs="Times New Roman"/>
                <w:noProof/>
                <w:szCs w:val="18"/>
              </w:rPr>
            </w:pPr>
            <w:r>
              <w:rPr>
                <w:noProof/>
              </w:rPr>
              <w:t>2026</w:t>
            </w:r>
          </w:p>
        </w:tc>
        <w:tc>
          <w:tcPr>
            <w:tcW w:w="6258" w:type="dxa"/>
            <w:shd w:val="clear" w:color="auto" w:fill="C6EFCE"/>
            <w:noWrap/>
          </w:tcPr>
          <w:p w14:paraId="35C60CDC" w14:textId="6290C143" w:rsidR="00D924EA" w:rsidRDefault="00011DE9">
            <w:pPr>
              <w:pStyle w:val="P68B1DB1-Normal24"/>
              <w:spacing w:after="0" w:line="240" w:lineRule="auto"/>
              <w:rPr>
                <w:rFonts w:cs="Times New Roman"/>
                <w:noProof/>
              </w:rPr>
            </w:pPr>
            <w:r>
              <w:rPr>
                <w:noProof/>
              </w:rPr>
              <w:t>Furnizarea unui total de 1 377 de certificate de performanță energetică pentru locuințe, clădiri rezidențiale sau clădiri nerezidențiale sau părți ale acestora, situate în municipalități eligibile în cadrul programului PREE 5000, indicând o reducere medie de 30 % a consumului de energie primară din surse neregenerabile.</w:t>
            </w:r>
          </w:p>
        </w:tc>
      </w:tr>
      <w:tr w:rsidR="00D924EA" w14:paraId="16A30D37" w14:textId="77777777">
        <w:trPr>
          <w:trHeight w:val="309"/>
          <w:jc w:val="center"/>
        </w:trPr>
        <w:tc>
          <w:tcPr>
            <w:tcW w:w="698" w:type="dxa"/>
            <w:shd w:val="clear" w:color="auto" w:fill="C6EFCE"/>
            <w:noWrap/>
          </w:tcPr>
          <w:p w14:paraId="2B5E6172" w14:textId="77777777" w:rsidR="00D924EA" w:rsidRDefault="00011DE9">
            <w:pPr>
              <w:pStyle w:val="P68B1DB1-Normal23"/>
              <w:spacing w:after="0" w:line="240" w:lineRule="auto"/>
              <w:jc w:val="center"/>
              <w:rPr>
                <w:rFonts w:cs="Times New Roman"/>
                <w:noProof/>
                <w:szCs w:val="18"/>
              </w:rPr>
            </w:pPr>
            <w:r>
              <w:rPr>
                <w:noProof/>
              </w:rPr>
              <w:t>35</w:t>
            </w:r>
          </w:p>
        </w:tc>
        <w:tc>
          <w:tcPr>
            <w:tcW w:w="836" w:type="dxa"/>
            <w:shd w:val="clear" w:color="auto" w:fill="C6EFCE"/>
            <w:noWrap/>
          </w:tcPr>
          <w:p w14:paraId="5ECD103A" w14:textId="77777777" w:rsidR="00D924EA" w:rsidRDefault="00011DE9">
            <w:pPr>
              <w:pStyle w:val="P68B1DB1-Normal23"/>
              <w:spacing w:after="0" w:line="240" w:lineRule="auto"/>
              <w:jc w:val="center"/>
              <w:rPr>
                <w:rFonts w:eastAsia="MS Mincho" w:cs="Times New Roman"/>
                <w:noProof/>
                <w:szCs w:val="18"/>
              </w:rPr>
            </w:pPr>
            <w:r>
              <w:rPr>
                <w:noProof/>
              </w:rPr>
              <w:t>C2.I4</w:t>
            </w:r>
          </w:p>
        </w:tc>
        <w:tc>
          <w:tcPr>
            <w:tcW w:w="835" w:type="dxa"/>
            <w:shd w:val="clear" w:color="auto" w:fill="C6EFCE"/>
            <w:noWrap/>
          </w:tcPr>
          <w:p w14:paraId="7BF47BA6" w14:textId="77777777" w:rsidR="00D924EA" w:rsidRDefault="00011DE9">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6D3895CC" w14:textId="750CDD56" w:rsidR="00D924EA" w:rsidRDefault="00011DE9">
            <w:pPr>
              <w:pStyle w:val="P68B1DB1-Normal24"/>
              <w:spacing w:after="0" w:line="240" w:lineRule="auto"/>
              <w:rPr>
                <w:rFonts w:cs="Times New Roman"/>
                <w:noProof/>
              </w:rPr>
            </w:pPr>
            <w:r>
              <w:rPr>
                <w:noProof/>
              </w:rPr>
              <w:t xml:space="preserve">Rapoarte finale pentru granturile legate de programul DUS 5 000 </w:t>
            </w:r>
          </w:p>
        </w:tc>
        <w:tc>
          <w:tcPr>
            <w:tcW w:w="1467" w:type="dxa"/>
            <w:shd w:val="clear" w:color="auto" w:fill="C6EFCE"/>
            <w:noWrap/>
          </w:tcPr>
          <w:p w14:paraId="2ED7B51D" w14:textId="77777777" w:rsidR="00D924EA" w:rsidRDefault="00011DE9">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244BD2B5" w14:textId="77777777" w:rsidR="00D924EA" w:rsidRDefault="00011DE9">
            <w:pPr>
              <w:pStyle w:val="P68B1DB1-Normal23"/>
              <w:spacing w:after="0" w:line="240" w:lineRule="auto"/>
              <w:jc w:val="right"/>
              <w:rPr>
                <w:rFonts w:eastAsia="MS Mincho" w:cs="Times New Roman"/>
                <w:noProof/>
                <w:szCs w:val="18"/>
              </w:rPr>
            </w:pPr>
            <w:r>
              <w:rPr>
                <w:noProof/>
              </w:rPr>
              <w:t>Număr</w:t>
            </w:r>
          </w:p>
        </w:tc>
        <w:tc>
          <w:tcPr>
            <w:tcW w:w="974" w:type="dxa"/>
            <w:shd w:val="clear" w:color="auto" w:fill="C6EFCE"/>
            <w:noWrap/>
          </w:tcPr>
          <w:p w14:paraId="0BDF33F0" w14:textId="77777777" w:rsidR="00D924EA" w:rsidRDefault="00011DE9">
            <w:pPr>
              <w:pStyle w:val="P68B1DB1-Normal23"/>
              <w:spacing w:after="0" w:line="240" w:lineRule="auto"/>
              <w:jc w:val="right"/>
              <w:rPr>
                <w:rFonts w:eastAsia="MS Mincho" w:cs="Times New Roman"/>
                <w:noProof/>
                <w:szCs w:val="18"/>
              </w:rPr>
            </w:pPr>
            <w:r>
              <w:rPr>
                <w:noProof/>
              </w:rPr>
              <w:t>0</w:t>
            </w:r>
          </w:p>
        </w:tc>
        <w:tc>
          <w:tcPr>
            <w:tcW w:w="836" w:type="dxa"/>
            <w:shd w:val="clear" w:color="auto" w:fill="C6EFCE"/>
            <w:noWrap/>
          </w:tcPr>
          <w:p w14:paraId="0CD82AEC" w14:textId="44FB87D2" w:rsidR="00D924EA" w:rsidRDefault="00011DE9">
            <w:pPr>
              <w:pStyle w:val="P68B1DB1-Normal24"/>
              <w:spacing w:after="0" w:line="240" w:lineRule="auto"/>
              <w:jc w:val="right"/>
              <w:rPr>
                <w:rFonts w:eastAsia="MS Mincho" w:cs="Times New Roman"/>
                <w:noProof/>
              </w:rPr>
            </w:pPr>
            <w:r>
              <w:rPr>
                <w:noProof/>
              </w:rPr>
              <w:t>854</w:t>
            </w:r>
          </w:p>
        </w:tc>
        <w:tc>
          <w:tcPr>
            <w:tcW w:w="418" w:type="dxa"/>
            <w:shd w:val="clear" w:color="auto" w:fill="C6EFCE"/>
            <w:noWrap/>
          </w:tcPr>
          <w:p w14:paraId="5BF36411" w14:textId="2651933A" w:rsidR="00D924EA" w:rsidRDefault="005701C9">
            <w:pPr>
              <w:pStyle w:val="P68B1DB1-Normal23"/>
              <w:spacing w:after="0" w:line="240" w:lineRule="auto"/>
              <w:jc w:val="center"/>
              <w:rPr>
                <w:rFonts w:cs="Times New Roman"/>
                <w:noProof/>
                <w:szCs w:val="18"/>
              </w:rPr>
            </w:pPr>
            <w:r>
              <w:rPr>
                <w:noProof/>
              </w:rPr>
              <w:t>T2</w:t>
            </w:r>
          </w:p>
        </w:tc>
        <w:tc>
          <w:tcPr>
            <w:tcW w:w="558" w:type="dxa"/>
            <w:shd w:val="clear" w:color="auto" w:fill="C6EFCE"/>
            <w:noWrap/>
          </w:tcPr>
          <w:p w14:paraId="2352D331" w14:textId="77777777" w:rsidR="00D924EA" w:rsidRDefault="00011DE9">
            <w:pPr>
              <w:pStyle w:val="P68B1DB1-Normal23"/>
              <w:spacing w:after="0" w:line="240" w:lineRule="auto"/>
              <w:jc w:val="center"/>
              <w:rPr>
                <w:rFonts w:cs="Times New Roman"/>
                <w:noProof/>
                <w:szCs w:val="18"/>
              </w:rPr>
            </w:pPr>
            <w:r>
              <w:rPr>
                <w:noProof/>
              </w:rPr>
              <w:t>2026</w:t>
            </w:r>
          </w:p>
        </w:tc>
        <w:tc>
          <w:tcPr>
            <w:tcW w:w="6258" w:type="dxa"/>
            <w:shd w:val="clear" w:color="auto" w:fill="C6EFCE"/>
            <w:noWrap/>
          </w:tcPr>
          <w:p w14:paraId="3B7CD1AC" w14:textId="66530B38" w:rsidR="00D924EA" w:rsidRDefault="00011DE9">
            <w:pPr>
              <w:pStyle w:val="P68B1DB1-Normal24"/>
              <w:spacing w:after="0" w:line="240" w:lineRule="auto"/>
              <w:rPr>
                <w:noProof/>
              </w:rPr>
            </w:pPr>
            <w:r>
              <w:rPr>
                <w:noProof/>
              </w:rPr>
              <w:t xml:space="preserve">854 entitățile sau persoanele beneficiare prezintă rapoarte finale care confirmă finalizarea activităților atribuite pentru granturile legate de programul DUS 5000. </w:t>
            </w:r>
          </w:p>
          <w:p w14:paraId="5FFA0BC9" w14:textId="49EB1915" w:rsidR="00D924EA" w:rsidRDefault="00D924EA">
            <w:pPr>
              <w:spacing w:after="0" w:line="240" w:lineRule="auto"/>
              <w:rPr>
                <w:rFonts w:ascii="Times New Roman" w:hAnsi="Times New Roman" w:cs="Times New Roman"/>
                <w:noProof/>
                <w:sz w:val="18"/>
                <w:szCs w:val="18"/>
              </w:rPr>
            </w:pPr>
          </w:p>
        </w:tc>
      </w:tr>
      <w:tr w:rsidR="00D924EA" w14:paraId="635F69ED" w14:textId="77777777">
        <w:trPr>
          <w:trHeight w:val="309"/>
          <w:jc w:val="center"/>
        </w:trPr>
        <w:tc>
          <w:tcPr>
            <w:tcW w:w="698" w:type="dxa"/>
            <w:shd w:val="clear" w:color="auto" w:fill="C6EFCE"/>
            <w:noWrap/>
          </w:tcPr>
          <w:p w14:paraId="13DD3A31" w14:textId="77777777" w:rsidR="00D924EA" w:rsidRDefault="00011DE9">
            <w:pPr>
              <w:pStyle w:val="P68B1DB1-Normal23"/>
              <w:spacing w:after="0" w:line="240" w:lineRule="auto"/>
              <w:jc w:val="center"/>
              <w:rPr>
                <w:rFonts w:cs="Times New Roman"/>
                <w:noProof/>
                <w:szCs w:val="18"/>
              </w:rPr>
            </w:pPr>
            <w:r>
              <w:rPr>
                <w:noProof/>
              </w:rPr>
              <w:t>37</w:t>
            </w:r>
          </w:p>
        </w:tc>
        <w:tc>
          <w:tcPr>
            <w:tcW w:w="836" w:type="dxa"/>
            <w:shd w:val="clear" w:color="auto" w:fill="C6EFCE"/>
            <w:noWrap/>
          </w:tcPr>
          <w:p w14:paraId="290E1988" w14:textId="77777777" w:rsidR="00D924EA" w:rsidRDefault="00011DE9">
            <w:pPr>
              <w:pStyle w:val="P68B1DB1-Normal23"/>
              <w:spacing w:after="0" w:line="240" w:lineRule="auto"/>
              <w:jc w:val="center"/>
              <w:rPr>
                <w:rFonts w:eastAsia="MS Mincho" w:cs="Times New Roman"/>
                <w:noProof/>
                <w:szCs w:val="18"/>
              </w:rPr>
            </w:pPr>
            <w:r>
              <w:rPr>
                <w:noProof/>
              </w:rPr>
              <w:t>C2.I5</w:t>
            </w:r>
          </w:p>
        </w:tc>
        <w:tc>
          <w:tcPr>
            <w:tcW w:w="835" w:type="dxa"/>
            <w:shd w:val="clear" w:color="auto" w:fill="C6EFCE"/>
            <w:noWrap/>
          </w:tcPr>
          <w:p w14:paraId="1CF644EF" w14:textId="5B2E2746" w:rsidR="00D924EA" w:rsidRDefault="00011DE9">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2EBF4617" w14:textId="2B71EE78" w:rsidR="00D924EA" w:rsidRDefault="00011DE9">
            <w:pPr>
              <w:pStyle w:val="P68B1DB1-Normal24"/>
              <w:spacing w:after="0" w:line="240" w:lineRule="auto"/>
              <w:rPr>
                <w:rFonts w:cs="Times New Roman"/>
                <w:noProof/>
              </w:rPr>
            </w:pPr>
            <w:r>
              <w:rPr>
                <w:noProof/>
              </w:rPr>
              <w:t>Renovarea clădirilor publice</w:t>
            </w:r>
          </w:p>
        </w:tc>
        <w:tc>
          <w:tcPr>
            <w:tcW w:w="1467" w:type="dxa"/>
            <w:shd w:val="clear" w:color="auto" w:fill="C6EFCE"/>
            <w:noWrap/>
          </w:tcPr>
          <w:p w14:paraId="7AF09BD8" w14:textId="3A3ED6EB" w:rsidR="00D924EA" w:rsidRDefault="00011DE9">
            <w:pPr>
              <w:pStyle w:val="P68B1DB1-Normal24"/>
              <w:spacing w:after="0" w:line="240" w:lineRule="auto"/>
              <w:rPr>
                <w:rFonts w:cs="Times New Roman"/>
                <w:noProof/>
              </w:rPr>
            </w:pPr>
            <w:r>
              <w:rPr>
                <w:noProof/>
              </w:rPr>
              <w:t>Certificate de acceptare, declarații de conformitate sau alte documente echivalente care atestă executarea contractelor</w:t>
            </w:r>
          </w:p>
        </w:tc>
        <w:tc>
          <w:tcPr>
            <w:tcW w:w="835" w:type="dxa"/>
            <w:shd w:val="clear" w:color="auto" w:fill="C6EFCE"/>
            <w:noWrap/>
          </w:tcPr>
          <w:p w14:paraId="7B97B636" w14:textId="481BBF63" w:rsidR="00D924EA" w:rsidRDefault="00D924EA">
            <w:pPr>
              <w:spacing w:after="0" w:line="240" w:lineRule="auto"/>
              <w:jc w:val="right"/>
              <w:rPr>
                <w:rFonts w:ascii="Times New Roman" w:eastAsia="MS Mincho" w:hAnsi="Times New Roman" w:cs="Times New Roman"/>
                <w:noProof/>
                <w:sz w:val="18"/>
                <w:szCs w:val="18"/>
              </w:rPr>
            </w:pPr>
          </w:p>
        </w:tc>
        <w:tc>
          <w:tcPr>
            <w:tcW w:w="974" w:type="dxa"/>
            <w:shd w:val="clear" w:color="auto" w:fill="C6EFCE"/>
            <w:noWrap/>
          </w:tcPr>
          <w:p w14:paraId="0636227E" w14:textId="335C0BE4" w:rsidR="00D924EA" w:rsidRDefault="00D924EA">
            <w:pPr>
              <w:spacing w:after="0" w:line="240" w:lineRule="auto"/>
              <w:jc w:val="right"/>
              <w:rPr>
                <w:rFonts w:ascii="Times New Roman" w:eastAsia="MS Mincho" w:hAnsi="Times New Roman" w:cs="Times New Roman"/>
                <w:noProof/>
                <w:sz w:val="18"/>
                <w:szCs w:val="18"/>
              </w:rPr>
            </w:pPr>
          </w:p>
        </w:tc>
        <w:tc>
          <w:tcPr>
            <w:tcW w:w="836" w:type="dxa"/>
            <w:shd w:val="clear" w:color="auto" w:fill="C6EFCE"/>
            <w:noWrap/>
          </w:tcPr>
          <w:p w14:paraId="65D5EC66" w14:textId="47ADDA37" w:rsidR="00D924EA" w:rsidRDefault="00D924EA">
            <w:pPr>
              <w:spacing w:after="0" w:line="240" w:lineRule="auto"/>
              <w:jc w:val="right"/>
              <w:rPr>
                <w:rFonts w:ascii="Times New Roman" w:eastAsia="MS Mincho" w:hAnsi="Times New Roman" w:cs="Times New Roman"/>
                <w:noProof/>
                <w:sz w:val="18"/>
                <w:szCs w:val="18"/>
              </w:rPr>
            </w:pPr>
          </w:p>
        </w:tc>
        <w:tc>
          <w:tcPr>
            <w:tcW w:w="418" w:type="dxa"/>
            <w:shd w:val="clear" w:color="auto" w:fill="C6EFCE"/>
            <w:noWrap/>
          </w:tcPr>
          <w:p w14:paraId="5ADB00D6" w14:textId="1F01611D" w:rsidR="00D924EA" w:rsidRDefault="005701C9">
            <w:pPr>
              <w:pStyle w:val="P68B1DB1-Normal23"/>
              <w:spacing w:after="0" w:line="240" w:lineRule="auto"/>
              <w:jc w:val="center"/>
              <w:rPr>
                <w:rFonts w:cs="Times New Roman"/>
                <w:noProof/>
                <w:szCs w:val="18"/>
              </w:rPr>
            </w:pPr>
            <w:r>
              <w:rPr>
                <w:noProof/>
              </w:rPr>
              <w:t>T2</w:t>
            </w:r>
          </w:p>
        </w:tc>
        <w:tc>
          <w:tcPr>
            <w:tcW w:w="558" w:type="dxa"/>
            <w:shd w:val="clear" w:color="auto" w:fill="C6EFCE"/>
            <w:noWrap/>
          </w:tcPr>
          <w:p w14:paraId="1EBBEE48" w14:textId="77777777" w:rsidR="00D924EA" w:rsidRDefault="00011DE9">
            <w:pPr>
              <w:pStyle w:val="P68B1DB1-Normal23"/>
              <w:spacing w:after="0" w:line="240" w:lineRule="auto"/>
              <w:jc w:val="center"/>
              <w:rPr>
                <w:rFonts w:cs="Times New Roman"/>
                <w:noProof/>
                <w:szCs w:val="18"/>
              </w:rPr>
            </w:pPr>
            <w:r>
              <w:rPr>
                <w:noProof/>
              </w:rPr>
              <w:t>2026</w:t>
            </w:r>
          </w:p>
        </w:tc>
        <w:tc>
          <w:tcPr>
            <w:tcW w:w="6258" w:type="dxa"/>
            <w:shd w:val="clear" w:color="auto" w:fill="C6EFCE"/>
            <w:noWrap/>
          </w:tcPr>
          <w:p w14:paraId="2AB10026" w14:textId="2A856324" w:rsidR="00D924EA" w:rsidRDefault="00011DE9">
            <w:pPr>
              <w:pStyle w:val="P68B1DB1-Normal24"/>
              <w:spacing w:after="0" w:line="240" w:lineRule="auto"/>
              <w:rPr>
                <w:rFonts w:cs="Times New Roman"/>
                <w:noProof/>
              </w:rPr>
            </w:pPr>
            <w:r>
              <w:rPr>
                <w:noProof/>
              </w:rPr>
              <w:t>Confirmarea de către administrație a executării contractelor privind renovarea a 1 230 000 m 2</w:t>
            </w:r>
            <w:r>
              <w:rPr>
                <w:noProof/>
                <w:vertAlign w:val="superscript"/>
              </w:rPr>
              <w:t xml:space="preserve"> de </w:t>
            </w:r>
            <w:r>
              <w:rPr>
                <w:noProof/>
              </w:rPr>
              <w:t>clădiri publice.</w:t>
            </w:r>
          </w:p>
        </w:tc>
      </w:tr>
      <w:tr w:rsidR="00D924EA" w14:paraId="2C73F93B" w14:textId="77777777">
        <w:trPr>
          <w:trHeight w:val="309"/>
          <w:jc w:val="center"/>
        </w:trPr>
        <w:tc>
          <w:tcPr>
            <w:tcW w:w="698" w:type="dxa"/>
            <w:shd w:val="clear" w:color="auto" w:fill="C6EFCE"/>
            <w:noWrap/>
          </w:tcPr>
          <w:p w14:paraId="5E6F84CF" w14:textId="77777777" w:rsidR="00D924EA" w:rsidRDefault="00011DE9">
            <w:pPr>
              <w:pStyle w:val="P68B1DB1-Normal23"/>
              <w:spacing w:after="0" w:line="240" w:lineRule="auto"/>
              <w:jc w:val="center"/>
              <w:rPr>
                <w:rFonts w:cs="Times New Roman"/>
                <w:noProof/>
                <w:szCs w:val="18"/>
              </w:rPr>
            </w:pPr>
            <w:r>
              <w:rPr>
                <w:noProof/>
              </w:rPr>
              <w:t>38</w:t>
            </w:r>
          </w:p>
        </w:tc>
        <w:tc>
          <w:tcPr>
            <w:tcW w:w="836" w:type="dxa"/>
            <w:shd w:val="clear" w:color="auto" w:fill="C6EFCE"/>
            <w:noWrap/>
          </w:tcPr>
          <w:p w14:paraId="7746DFA0" w14:textId="77777777" w:rsidR="00D924EA" w:rsidRDefault="00011DE9">
            <w:pPr>
              <w:pStyle w:val="P68B1DB1-Normal23"/>
              <w:spacing w:after="0" w:line="240" w:lineRule="auto"/>
              <w:jc w:val="center"/>
              <w:rPr>
                <w:rFonts w:eastAsia="MS Mincho" w:cs="Times New Roman"/>
                <w:noProof/>
                <w:szCs w:val="18"/>
              </w:rPr>
            </w:pPr>
            <w:r>
              <w:rPr>
                <w:noProof/>
              </w:rPr>
              <w:t>C2.I6</w:t>
            </w:r>
          </w:p>
        </w:tc>
        <w:tc>
          <w:tcPr>
            <w:tcW w:w="835" w:type="dxa"/>
            <w:shd w:val="clear" w:color="auto" w:fill="C6EFCE"/>
            <w:noWrap/>
          </w:tcPr>
          <w:p w14:paraId="74FDE293" w14:textId="77777777" w:rsidR="00D924EA" w:rsidRDefault="00011DE9">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4AEA1F82" w14:textId="77777777" w:rsidR="00D924EA" w:rsidRDefault="00011DE9">
            <w:pPr>
              <w:pStyle w:val="P68B1DB1-Normal23"/>
              <w:spacing w:after="0" w:line="240" w:lineRule="auto"/>
              <w:rPr>
                <w:rFonts w:cs="Times New Roman"/>
                <w:noProof/>
                <w:szCs w:val="18"/>
              </w:rPr>
            </w:pPr>
            <w:r>
              <w:rPr>
                <w:noProof/>
              </w:rPr>
              <w:t xml:space="preserve">Planuri de acțiune în cadrul Agendei urbane a Spaniei </w:t>
            </w:r>
          </w:p>
        </w:tc>
        <w:tc>
          <w:tcPr>
            <w:tcW w:w="1467" w:type="dxa"/>
            <w:shd w:val="clear" w:color="auto" w:fill="C6EFCE"/>
            <w:noWrap/>
          </w:tcPr>
          <w:p w14:paraId="12C78CAE" w14:textId="77777777" w:rsidR="00D924EA" w:rsidRDefault="00011DE9">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0C6CA982" w14:textId="77777777" w:rsidR="00D924EA" w:rsidRDefault="00011DE9">
            <w:pPr>
              <w:pStyle w:val="P68B1DB1-Normal23"/>
              <w:spacing w:after="0" w:line="240" w:lineRule="auto"/>
              <w:jc w:val="right"/>
              <w:rPr>
                <w:rFonts w:eastAsia="MS Mincho" w:cs="Times New Roman"/>
                <w:noProof/>
                <w:szCs w:val="18"/>
              </w:rPr>
            </w:pPr>
            <w:r>
              <w:rPr>
                <w:noProof/>
              </w:rPr>
              <w:t>Număr</w:t>
            </w:r>
          </w:p>
        </w:tc>
        <w:tc>
          <w:tcPr>
            <w:tcW w:w="974" w:type="dxa"/>
            <w:shd w:val="clear" w:color="auto" w:fill="C6EFCE"/>
            <w:noWrap/>
          </w:tcPr>
          <w:p w14:paraId="3FAF9FD7" w14:textId="77777777" w:rsidR="00D924EA" w:rsidRDefault="00011DE9">
            <w:pPr>
              <w:pStyle w:val="P68B1DB1-Normal23"/>
              <w:spacing w:after="0" w:line="240" w:lineRule="auto"/>
              <w:jc w:val="right"/>
              <w:rPr>
                <w:rFonts w:eastAsia="MS Mincho" w:cs="Times New Roman"/>
                <w:noProof/>
                <w:szCs w:val="18"/>
              </w:rPr>
            </w:pPr>
            <w:r>
              <w:rPr>
                <w:noProof/>
              </w:rPr>
              <w:t>0</w:t>
            </w:r>
          </w:p>
        </w:tc>
        <w:tc>
          <w:tcPr>
            <w:tcW w:w="836" w:type="dxa"/>
            <w:shd w:val="clear" w:color="auto" w:fill="C6EFCE"/>
            <w:noWrap/>
          </w:tcPr>
          <w:p w14:paraId="4F93DD1C" w14:textId="77777777" w:rsidR="00D924EA" w:rsidRDefault="00011DE9">
            <w:pPr>
              <w:pStyle w:val="P68B1DB1-Normal23"/>
              <w:spacing w:after="0" w:line="240" w:lineRule="auto"/>
              <w:jc w:val="right"/>
              <w:rPr>
                <w:rFonts w:eastAsia="MS Mincho" w:cs="Times New Roman"/>
                <w:noProof/>
                <w:szCs w:val="18"/>
              </w:rPr>
            </w:pPr>
            <w:r>
              <w:rPr>
                <w:noProof/>
              </w:rPr>
              <w:t>100</w:t>
            </w:r>
          </w:p>
        </w:tc>
        <w:tc>
          <w:tcPr>
            <w:tcW w:w="418" w:type="dxa"/>
            <w:shd w:val="clear" w:color="auto" w:fill="C6EFCE"/>
            <w:noWrap/>
          </w:tcPr>
          <w:p w14:paraId="76966B7D" w14:textId="7E1E25B2" w:rsidR="00D924EA" w:rsidRDefault="005701C9">
            <w:pPr>
              <w:pStyle w:val="P68B1DB1-Normal23"/>
              <w:spacing w:after="0" w:line="240" w:lineRule="auto"/>
              <w:jc w:val="center"/>
              <w:rPr>
                <w:rFonts w:cs="Times New Roman"/>
                <w:noProof/>
                <w:szCs w:val="18"/>
              </w:rPr>
            </w:pPr>
            <w:r>
              <w:rPr>
                <w:noProof/>
              </w:rPr>
              <w:t>T4</w:t>
            </w:r>
          </w:p>
        </w:tc>
        <w:tc>
          <w:tcPr>
            <w:tcW w:w="558" w:type="dxa"/>
            <w:shd w:val="clear" w:color="auto" w:fill="C6EFCE"/>
            <w:noWrap/>
          </w:tcPr>
          <w:p w14:paraId="03A67EF8" w14:textId="77777777" w:rsidR="00D924EA" w:rsidRDefault="00011DE9">
            <w:pPr>
              <w:pStyle w:val="P68B1DB1-Normal23"/>
              <w:spacing w:after="0" w:line="240" w:lineRule="auto"/>
              <w:jc w:val="center"/>
              <w:rPr>
                <w:rFonts w:cs="Times New Roman"/>
                <w:noProof/>
                <w:szCs w:val="18"/>
              </w:rPr>
            </w:pPr>
            <w:r>
              <w:rPr>
                <w:noProof/>
              </w:rPr>
              <w:t>2022</w:t>
            </w:r>
          </w:p>
        </w:tc>
        <w:tc>
          <w:tcPr>
            <w:tcW w:w="6258" w:type="dxa"/>
            <w:shd w:val="clear" w:color="auto" w:fill="C6EFCE"/>
            <w:noWrap/>
          </w:tcPr>
          <w:p w14:paraId="25619A94" w14:textId="77777777" w:rsidR="00D924EA" w:rsidRDefault="00011DE9">
            <w:pPr>
              <w:pStyle w:val="P68B1DB1-Normal23"/>
              <w:spacing w:after="0" w:line="240" w:lineRule="auto"/>
              <w:rPr>
                <w:rFonts w:cs="Times New Roman"/>
                <w:noProof/>
                <w:szCs w:val="18"/>
              </w:rPr>
            </w:pPr>
            <w:r>
              <w:rPr>
                <w:noProof/>
              </w:rPr>
              <w:t xml:space="preserve">Cel puțin 100 de municipalități trebuie să obțină aprobarea planului lor de acțiune locală (strategia orașului) și să fie echipate cu criteriile stabilite în Agenda urbană spaniolă, cuprinzând o evaluare și linii de acțiune în conformitate cu cele zece obiective strategice ale acesteia. </w:t>
            </w:r>
          </w:p>
        </w:tc>
      </w:tr>
    </w:tbl>
    <w:p w14:paraId="782D21A0" w14:textId="77777777" w:rsidR="00D924EA" w:rsidRDefault="00D924EA">
      <w:pPr>
        <w:spacing w:before="120" w:after="120" w:line="240" w:lineRule="auto"/>
        <w:jc w:val="both"/>
        <w:rPr>
          <w:rFonts w:ascii="Times New Roman" w:hAnsi="Times New Roman" w:cs="Times New Roman"/>
          <w:noProof/>
        </w:rPr>
      </w:pPr>
    </w:p>
    <w:p w14:paraId="766FE51E" w14:textId="77777777" w:rsidR="00D924EA" w:rsidRDefault="00D924EA">
      <w:pPr>
        <w:rPr>
          <w:rFonts w:ascii="Times New Roman" w:hAnsi="Times New Roman" w:cs="Times New Roman"/>
          <w:noProof/>
        </w:rPr>
        <w:sectPr w:rsidR="00D924EA" w:rsidSect="00B528FB">
          <w:headerReference w:type="even" r:id="rId46"/>
          <w:headerReference w:type="default" r:id="rId47"/>
          <w:footerReference w:type="even" r:id="rId48"/>
          <w:footerReference w:type="default" r:id="rId49"/>
          <w:headerReference w:type="first" r:id="rId50"/>
          <w:footerReference w:type="first" r:id="rId51"/>
          <w:pgSz w:w="16839" w:h="11907" w:orient="landscape"/>
          <w:pgMar w:top="1134" w:right="1134" w:bottom="1134" w:left="1134" w:header="567" w:footer="567" w:gutter="0"/>
          <w:cols w:space="720"/>
          <w:docGrid w:linePitch="360"/>
        </w:sectPr>
      </w:pPr>
    </w:p>
    <w:p w14:paraId="3DB5A29D" w14:textId="77777777" w:rsidR="00D924EA" w:rsidRDefault="00011DE9">
      <w:pPr>
        <w:pStyle w:val="P68B1DB1-Normal33"/>
        <w:spacing w:before="120" w:after="120" w:line="240" w:lineRule="auto"/>
        <w:ind w:left="709"/>
        <w:jc w:val="both"/>
        <w:rPr>
          <w:rFonts w:cs="Times New Roman"/>
          <w:noProof/>
        </w:rPr>
      </w:pPr>
      <w:r>
        <w:rPr>
          <w:noProof/>
        </w:rPr>
        <w:t>B.3. Descrierea reformelor și a investițiilor pentru împrumut</w:t>
      </w:r>
    </w:p>
    <w:p w14:paraId="7C2C3E78" w14:textId="5A39267B" w:rsidR="00D924EA" w:rsidRDefault="00011DE9">
      <w:pPr>
        <w:pStyle w:val="P68B1DB1-Normal30"/>
        <w:spacing w:before="120" w:after="120" w:line="240" w:lineRule="auto"/>
        <w:rPr>
          <w:rFonts w:cs="Times New Roman"/>
          <w:noProof/>
        </w:rPr>
      </w:pPr>
      <w:r>
        <w:rPr>
          <w:noProof/>
        </w:rPr>
        <w:t>Reforma 7 (C2.R7) – Accesibilitatea locuințelor</w:t>
      </w:r>
    </w:p>
    <w:p w14:paraId="4B95E21C" w14:textId="6C9E9630" w:rsidR="00D924EA" w:rsidRDefault="00011DE9">
      <w:pPr>
        <w:pStyle w:val="P68B1DB1-Normal29"/>
        <w:spacing w:before="120" w:after="120" w:line="240" w:lineRule="auto"/>
        <w:jc w:val="both"/>
        <w:rPr>
          <w:rFonts w:cs="Times New Roman"/>
          <w:noProof/>
        </w:rPr>
      </w:pPr>
      <w:r>
        <w:rPr>
          <w:noProof/>
        </w:rPr>
        <w:t xml:space="preserve">Obiectivul acestei măsuri este de a spori accesibilitatea și prețul abordabil al locuințelor. Măsura constă în intrarea în vigoare a unui act juridic de actualizare a statutului Entidad Pública Empresarial de Suelo (SEPES) și în publicarea </w:t>
      </w:r>
      <w:r>
        <w:rPr>
          <w:i/>
          <w:noProof/>
        </w:rPr>
        <w:t>Ghidului de recomandări și bune practici pentru autorizațiile de urbanism în sectorul rezidențial</w:t>
      </w:r>
      <w:r>
        <w:rPr>
          <w:noProof/>
        </w:rPr>
        <w:t xml:space="preserve"> </w:t>
      </w:r>
      <w:r>
        <w:rPr>
          <w:i/>
          <w:noProof/>
        </w:rPr>
        <w:t>(Guía de recomendaciones y buenas prácticas en materia de licencias urbanísticas en el ámbito residencial)</w:t>
      </w:r>
      <w:r>
        <w:rPr>
          <w:noProof/>
        </w:rPr>
        <w:t>.</w:t>
      </w:r>
    </w:p>
    <w:p w14:paraId="501031ED" w14:textId="77777777" w:rsidR="00D924EA" w:rsidRDefault="00011DE9">
      <w:pPr>
        <w:pStyle w:val="P68B1DB1-Normal30"/>
        <w:spacing w:before="120" w:after="120" w:line="240" w:lineRule="auto"/>
        <w:jc w:val="both"/>
        <w:rPr>
          <w:rFonts w:cs="Times New Roman"/>
          <w:noProof/>
        </w:rPr>
      </w:pPr>
      <w:r>
        <w:rPr>
          <w:noProof/>
        </w:rPr>
        <w:t>Investiția 7 (C2.I7) – Facilitatea de împrumut a ICO pentru promovarea locuințelor sociale</w:t>
      </w:r>
    </w:p>
    <w:p w14:paraId="18581E34" w14:textId="1772B26C" w:rsidR="00D924EA" w:rsidRDefault="00011DE9">
      <w:pPr>
        <w:pStyle w:val="P68B1DB1-Normal29"/>
        <w:spacing w:before="120" w:after="120" w:line="240" w:lineRule="auto"/>
        <w:jc w:val="both"/>
        <w:rPr>
          <w:rFonts w:eastAsia="@MS Mincho" w:cs="Times New Roman"/>
          <w:noProof/>
        </w:rPr>
      </w:pPr>
      <w:r>
        <w:rPr>
          <w:noProof/>
        </w:rPr>
        <w:t>Această măsură constă într-o investiție publică într-un mecanism, mecanismul de împrumut al ICO pentru promovarea locuințelor sociale, pentru a stimula investițiile private și a îmbunătăți accesul la finanțare pentru construirea și renovarea locuințelor sociale eficiente din punct de vedere energetic și la prețuri accesibile, precum și pentru a dezvolta piețele de capital în aceste domenii. Mecanismul funcționează prin acordarea de împrumuturi în mod direct sau prin intermediari sectorului privat, precum și entităților din sectorul public implicate în activități similare. Pe baza investițiilor MRR, mecanismul urmărește să ofere inițial o finanțare de cel puțin</w:t>
      </w:r>
      <w:r>
        <w:rPr>
          <w:noProof/>
          <w:sz w:val="20"/>
        </w:rPr>
        <w:t xml:space="preserve"> </w:t>
      </w:r>
      <w:r>
        <w:rPr>
          <w:noProof/>
        </w:rPr>
        <w:t>750</w:t>
      </w:r>
      <w:r w:rsidR="00971820">
        <w:rPr>
          <w:noProof/>
          <w:sz w:val="20"/>
        </w:rPr>
        <w:t xml:space="preserve"> </w:t>
      </w:r>
      <w:r>
        <w:rPr>
          <w:noProof/>
        </w:rPr>
        <w:t>000 000 EUR. Fiecare beneficiar final din cadrul acestei măsuri poate primi, de asemenea, sprijin complementar sub formă de granturi în cadrul Programului pentru construirea de locuințe sociale închiriate în clădiri eficiente din punct de vedere energetic (C2.I2), în măsura în care acesta nu acoperă aceleași costuri.</w:t>
      </w:r>
    </w:p>
    <w:p w14:paraId="078B60D9" w14:textId="77777777" w:rsidR="00D924EA" w:rsidRDefault="00011DE9">
      <w:pPr>
        <w:pStyle w:val="P68B1DB1-Normal29"/>
        <w:spacing w:before="120" w:after="120" w:line="240" w:lineRule="auto"/>
        <w:jc w:val="both"/>
        <w:rPr>
          <w:rFonts w:eastAsia="@MS Mincho" w:cs="Times New Roman"/>
          <w:noProof/>
        </w:rPr>
      </w:pPr>
      <w:r>
        <w:rPr>
          <w:noProof/>
        </w:rPr>
        <w:t>Instrumentul este gestionat de Instituto de Crédito Official (ICO) în calitate de partener de implementare. Mecanismul include următoarele linii de produse:</w:t>
      </w:r>
    </w:p>
    <w:p w14:paraId="090F21E7" w14:textId="77777777" w:rsidR="00D924EA" w:rsidRDefault="00011DE9">
      <w:pPr>
        <w:pStyle w:val="P68B1DB1-ListParagraph34"/>
        <w:numPr>
          <w:ilvl w:val="0"/>
          <w:numId w:val="25"/>
        </w:numPr>
        <w:spacing w:line="240" w:lineRule="auto"/>
        <w:jc w:val="both"/>
        <w:rPr>
          <w:rFonts w:eastAsia="@MS Mincho" w:cs="Times New Roman"/>
          <w:noProof/>
        </w:rPr>
      </w:pPr>
      <w:r>
        <w:rPr>
          <w:noProof/>
        </w:rPr>
        <w:t>Împrumuturi directe pentru construirea de clădiri eficiente din punct de vedere energetic. Clădirile trebuie să atingă un consum de energie primară cu cel puțin 20 % mai mic decât cerințele energetice ale clădirilor al căror consum de energie este aproape egal cu zero din orientările naționale.</w:t>
      </w:r>
    </w:p>
    <w:p w14:paraId="24944FD2" w14:textId="77777777" w:rsidR="00D924EA" w:rsidRDefault="00011DE9">
      <w:pPr>
        <w:pStyle w:val="P68B1DB1-ListParagraph34"/>
        <w:numPr>
          <w:ilvl w:val="0"/>
          <w:numId w:val="25"/>
        </w:numPr>
        <w:spacing w:line="240" w:lineRule="auto"/>
        <w:jc w:val="both"/>
        <w:rPr>
          <w:rFonts w:eastAsia="@MS Mincho" w:cs="Times New Roman"/>
          <w:noProof/>
        </w:rPr>
      </w:pPr>
      <w:r>
        <w:rPr>
          <w:noProof/>
        </w:rPr>
        <w:t xml:space="preserve">Împrumuturi directe pentru renovarea clădirilor existente. Renovarea are ca rezultat o reducere cu cel puțin 30 % a consumului de energie primară din surse neregenerabile. </w:t>
      </w:r>
    </w:p>
    <w:p w14:paraId="68C6E7E7" w14:textId="77777777" w:rsidR="00D924EA" w:rsidRDefault="00011DE9">
      <w:pPr>
        <w:pStyle w:val="P68B1DB1-ListParagraph34"/>
        <w:numPr>
          <w:ilvl w:val="0"/>
          <w:numId w:val="25"/>
        </w:numPr>
        <w:spacing w:line="240" w:lineRule="auto"/>
        <w:jc w:val="both"/>
        <w:rPr>
          <w:rFonts w:eastAsia="@MS Mincho" w:cs="Times New Roman"/>
          <w:noProof/>
        </w:rPr>
      </w:pPr>
      <w:r>
        <w:rPr>
          <w:noProof/>
        </w:rPr>
        <w:t>Linie de mediere: linia de mediere constă în împrumuturi acordate de ICO băncilor comerciale, care, la rândul lor, acordă împrumuturi beneficiarilor finali pentru construirea de clădiri eficiente din punct de vedere energetic sau pentru renovarea clădirilor existente.</w:t>
      </w:r>
    </w:p>
    <w:p w14:paraId="31BB8719" w14:textId="77777777" w:rsidR="00D924EA" w:rsidRDefault="00011DE9">
      <w:pPr>
        <w:pStyle w:val="P68B1DB1-Normal29"/>
        <w:spacing w:line="240" w:lineRule="auto"/>
        <w:jc w:val="both"/>
        <w:rPr>
          <w:rFonts w:cs="Times New Roman"/>
          <w:noProof/>
        </w:rPr>
      </w:pPr>
      <w:r>
        <w:rPr>
          <w:noProof/>
        </w:rPr>
        <w:t>Clădirile construite și/sau renovate trebuie să fie utilizate pentru chirii sociale sau la prețuri accesibile sau să fie transferate în uz pentru chirii sociale și la prețuri accesibile pentru o perioadă minimă de 50 de ani. Criteriile utilizate pentru a determina chiria socială și la prețuri accesibile sunt cele stabilite în Programul 6 din Decretul regal 853/2021.</w:t>
      </w:r>
    </w:p>
    <w:p w14:paraId="023A9F6E" w14:textId="77777777" w:rsidR="00D924EA" w:rsidRDefault="00011DE9">
      <w:pPr>
        <w:pStyle w:val="P68B1DB1-Normal29"/>
        <w:spacing w:line="240" w:lineRule="auto"/>
        <w:jc w:val="both"/>
        <w:rPr>
          <w:rFonts w:cs="Times New Roman"/>
          <w:noProof/>
        </w:rPr>
      </w:pPr>
      <w:r>
        <w:rPr>
          <w:noProof/>
        </w:rPr>
        <w:t>Pentru a pune în aplicare investiția în facilitate, Spania și ICO semnează un acord de punere în aplicare care include următorul conținut:</w:t>
      </w:r>
    </w:p>
    <w:p w14:paraId="1E02EE2B" w14:textId="77777777" w:rsidR="00D924EA" w:rsidRDefault="00011DE9">
      <w:pPr>
        <w:pStyle w:val="P68B1DB1-Normal29"/>
        <w:rPr>
          <w:rFonts w:eastAsia="Times New Roman" w:cs="Times New Roman"/>
          <w:noProof/>
        </w:rPr>
      </w:pPr>
      <w:r>
        <w:rPr>
          <w:noProof/>
        </w:rPr>
        <w:t>1. Descrierea procesului decizional al instrumentului: decizia finală de investiție a facilității este luată de un comitet pentru investiții sau de un alt organ de conducere echivalent relevant și este aprobată cu o majoritate de voturi de către membri care sunt independenți de guvernul spaniol. În cazul investițiilor intermediate, decizia finală de investiție este luată de intermediari.</w:t>
      </w:r>
    </w:p>
    <w:p w14:paraId="7177ABBB" w14:textId="77777777" w:rsidR="00D924EA" w:rsidRDefault="00011DE9">
      <w:pPr>
        <w:pStyle w:val="P68B1DB1-Normal29"/>
        <w:spacing w:after="0"/>
        <w:jc w:val="both"/>
        <w:rPr>
          <w:rFonts w:eastAsia="Times New Roman" w:cs="Times New Roman"/>
          <w:noProof/>
        </w:rPr>
      </w:pPr>
      <w:r>
        <w:rPr>
          <w:noProof/>
        </w:rPr>
        <w:t xml:space="preserve">2. Cerințele-cheie ale politicii de investiții asociate, care includ: </w:t>
      </w:r>
    </w:p>
    <w:p w14:paraId="17041A0D" w14:textId="77777777" w:rsidR="00D924EA" w:rsidRDefault="00011DE9">
      <w:pPr>
        <w:pStyle w:val="P68B1DB1-LegalNumPar335"/>
        <w:numPr>
          <w:ilvl w:val="2"/>
          <w:numId w:val="0"/>
        </w:numPr>
        <w:spacing w:after="0"/>
        <w:ind w:left="720"/>
        <w:rPr>
          <w:rFonts w:eastAsia="Times New Roman" w:cs="Times New Roman"/>
          <w:noProof/>
          <w:szCs w:val="24"/>
        </w:rPr>
      </w:pPr>
      <w:r>
        <w:rPr>
          <w:noProof/>
        </w:rPr>
        <w:t>a. Descrierea produselor financiare și a beneficiarilor finali eligibili în conformitate cu descrierea măsurii.</w:t>
      </w:r>
    </w:p>
    <w:p w14:paraId="1368149B" w14:textId="77777777" w:rsidR="00D924EA" w:rsidRDefault="00011DE9">
      <w:pPr>
        <w:pStyle w:val="P68B1DB1-ListParagraph34"/>
        <w:spacing w:after="0"/>
        <w:jc w:val="both"/>
        <w:rPr>
          <w:rFonts w:eastAsia="Times New Roman" w:cs="Times New Roman"/>
          <w:noProof/>
        </w:rPr>
      </w:pPr>
      <w:r>
        <w:rPr>
          <w:noProof/>
        </w:rPr>
        <w:t xml:space="preserve">b. Cerința ca toate investițiile care beneficiază de sprijin să fie viabile din punct de vedere economic. </w:t>
      </w:r>
    </w:p>
    <w:p w14:paraId="1AEB3469" w14:textId="77777777" w:rsidR="00D924EA" w:rsidRDefault="00011DE9">
      <w:pPr>
        <w:pStyle w:val="P68B1DB1-ListParagraph34"/>
        <w:spacing w:after="0"/>
        <w:jc w:val="both"/>
        <w:rPr>
          <w:rFonts w:eastAsia="Times New Roman" w:cs="Times New Roman"/>
          <w:noProof/>
        </w:rPr>
      </w:pPr>
      <w:r>
        <w:rPr>
          <w:noProof/>
        </w:rPr>
        <w:t>c. Interdicția de a refinanța orice credit restant.</w:t>
      </w:r>
    </w:p>
    <w:p w14:paraId="4C46592A" w14:textId="77777777" w:rsidR="00D924EA" w:rsidRDefault="00011DE9">
      <w:pPr>
        <w:pStyle w:val="P68B1DB1-ListParagraph34"/>
        <w:spacing w:after="0"/>
        <w:jc w:val="both"/>
        <w:rPr>
          <w:rFonts w:eastAsia="Times New Roman" w:cs="Times New Roman"/>
          <w:noProof/>
        </w:rPr>
      </w:pPr>
      <w:r>
        <w:rPr>
          <w:noProof/>
        </w:rPr>
        <w:t>d. Cerința de a respecta principiul de „a nu prejudicia în mod semnificativ”, astfel cum este prevăzută în Orientările tehnice privind principiul de „a nu prejudicia în mod semnificativ” (2021/C58/01), în special:</w:t>
      </w:r>
    </w:p>
    <w:p w14:paraId="41D782DD" w14:textId="2170A1E3" w:rsidR="00D924EA" w:rsidRDefault="00011DE9">
      <w:pPr>
        <w:pStyle w:val="ListParagraph"/>
        <w:numPr>
          <w:ilvl w:val="0"/>
          <w:numId w:val="26"/>
        </w:numPr>
        <w:spacing w:after="0" w:line="259" w:lineRule="auto"/>
        <w:jc w:val="both"/>
        <w:rPr>
          <w:rFonts w:ascii="Times New Roman" w:hAnsi="Times New Roman" w:cs="Times New Roman"/>
          <w:noProof/>
          <w:u w:val="single"/>
        </w:rPr>
      </w:pPr>
      <w:r>
        <w:rPr>
          <w:rFonts w:ascii="Times New Roman" w:hAnsi="Times New Roman"/>
          <w:noProof/>
        </w:rPr>
        <w:t>În cazul împrumuturilor: politica de investiții exclude de la eligibilitate următoarele activități și active: (I) activitățile și activele legate de combustibilii fosili, inclusiv utilizarea în aval</w:t>
      </w:r>
      <w:r>
        <w:rPr>
          <w:rStyle w:val="FootnoteReference"/>
          <w:rFonts w:ascii="Times New Roman" w:eastAsia="Times New Roman" w:hAnsi="Times New Roman" w:cs="Times New Roman"/>
          <w:noProof/>
        </w:rPr>
        <w:footnoteReference w:id="2"/>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Times New Roman" w:hAnsi="Times New Roman" w:cs="Times New Roman"/>
          <w:noProof/>
        </w:rPr>
        <w:footnoteReference w:id="3"/>
      </w:r>
      <w:r>
        <w:rPr>
          <w:rFonts w:ascii="Times New Roman" w:hAnsi="Times New Roman"/>
          <w:noProof/>
        </w:rPr>
        <w:t>, (iii) activitățile și activele legate de depozitele de deșeuri, incineratoare</w:t>
      </w:r>
      <w:r>
        <w:rPr>
          <w:rStyle w:val="FootnoteReference"/>
          <w:rFonts w:ascii="Times New Roman" w:eastAsia="Times New Roman" w:hAnsi="Times New Roman" w:cs="Times New Roman"/>
          <w:noProof/>
        </w:rPr>
        <w:footnoteReference w:id="4"/>
      </w:r>
      <w:r>
        <w:rPr>
          <w:rFonts w:ascii="Times New Roman" w:hAnsi="Times New Roman"/>
          <w:noProof/>
        </w:rPr>
        <w:t xml:space="preserve"> și stațiile de tratare mecano-biologică</w:t>
      </w:r>
      <w:r>
        <w:rPr>
          <w:rStyle w:val="FootnoteReference"/>
          <w:rFonts w:ascii="Times New Roman" w:eastAsia="Times New Roman" w:hAnsi="Times New Roman" w:cs="Times New Roman"/>
          <w:noProof/>
        </w:rPr>
        <w:footnoteReference w:id="5"/>
      </w:r>
      <w:r>
        <w:rPr>
          <w:rFonts w:ascii="Times New Roman" w:hAnsi="Times New Roman"/>
          <w:noProof/>
        </w:rPr>
        <w:t>.</w:t>
      </w:r>
      <w:r w:rsidR="00971820">
        <w:rPr>
          <w:rFonts w:ascii="Times New Roman" w:hAnsi="Times New Roman"/>
          <w:noProof/>
        </w:rPr>
        <w:t xml:space="preserve"> </w:t>
      </w:r>
    </w:p>
    <w:p w14:paraId="03C433A0" w14:textId="77777777" w:rsidR="00D924EA" w:rsidRDefault="00011DE9">
      <w:pPr>
        <w:pStyle w:val="P68B1DB1-ListParagraph34"/>
        <w:numPr>
          <w:ilvl w:val="0"/>
          <w:numId w:val="26"/>
        </w:numPr>
        <w:spacing w:after="0" w:line="259" w:lineRule="auto"/>
        <w:jc w:val="both"/>
        <w:rPr>
          <w:rFonts w:eastAsia="Times New Roman" w:cs="Times New Roman"/>
          <w:noProof/>
          <w:u w:val="single"/>
        </w:rPr>
      </w:pPr>
      <w:r>
        <w:rPr>
          <w:noProof/>
        </w:rPr>
        <w:t>Politica de investiții impune respectarea legislației UE și naționale relevante în materie de mediu de către beneficiarii finali ai facilității.</w:t>
      </w:r>
    </w:p>
    <w:p w14:paraId="18FD44B7" w14:textId="77777777" w:rsidR="00D924EA" w:rsidRDefault="00011DE9">
      <w:pPr>
        <w:pStyle w:val="P68B1DB1-Normal29"/>
        <w:spacing w:after="0"/>
        <w:ind w:left="720"/>
        <w:jc w:val="both"/>
        <w:rPr>
          <w:rFonts w:eastAsia="Times New Roman" w:cs="Times New Roman"/>
          <w:noProof/>
        </w:rPr>
      </w:pPr>
      <w:r>
        <w:rPr>
          <w:noProof/>
        </w:rPr>
        <w:t xml:space="preserve">e. Cerința ca beneficiarii finali ai mecanismului să nu primească sprijin din partea niciunui instrument al Uniunii pentru a acoperi aceleași costuri. </w:t>
      </w:r>
    </w:p>
    <w:p w14:paraId="4741CDD0" w14:textId="77777777" w:rsidR="00D924EA" w:rsidRDefault="00D924EA">
      <w:pPr>
        <w:spacing w:after="0"/>
        <w:jc w:val="both"/>
        <w:rPr>
          <w:rFonts w:ascii="Times New Roman" w:eastAsia="Times New Roman" w:hAnsi="Times New Roman" w:cs="Times New Roman"/>
          <w:noProof/>
        </w:rPr>
      </w:pPr>
    </w:p>
    <w:p w14:paraId="42817A48" w14:textId="2C05BDED" w:rsidR="00D924EA" w:rsidRDefault="00011DE9">
      <w:pPr>
        <w:pStyle w:val="P68B1DB1-Normal29"/>
        <w:spacing w:after="0"/>
        <w:jc w:val="both"/>
        <w:rPr>
          <w:rFonts w:eastAsia="Times New Roman" w:cs="Times New Roman"/>
          <w:noProof/>
        </w:rPr>
      </w:pPr>
      <w:r>
        <w:rPr>
          <w:noProof/>
        </w:rPr>
        <w:t>3. Suma care face obiectul acordului de punere în aplicare, structura comisioanelor pentru partenerul de implementare și cerința de a reinvesti orice restituiri în conformitate cu politica de investiții a mecanismului, cu excepția cazului în care acestea sunt utilizate pentru a rambursa împrumuturile din cadrul Mecanismului de redresare și reziliență.</w:t>
      </w:r>
    </w:p>
    <w:p w14:paraId="7C3CEE33" w14:textId="75A1050D" w:rsidR="00D924EA" w:rsidRDefault="00011DE9">
      <w:pPr>
        <w:pStyle w:val="P68B1DB1-Normal29"/>
        <w:spacing w:after="0"/>
        <w:jc w:val="both"/>
        <w:rPr>
          <w:rFonts w:eastAsia="Times New Roman" w:cs="Times New Roman"/>
          <w:noProof/>
        </w:rPr>
      </w:pPr>
      <w:r>
        <w:rPr>
          <w:noProof/>
        </w:rPr>
        <w:t>4. Cerințe de monitorizare, audit și control, inclusiv:</w:t>
      </w:r>
      <w:r w:rsidR="00971820">
        <w:rPr>
          <w:noProof/>
        </w:rPr>
        <w:t xml:space="preserve"> </w:t>
      </w:r>
    </w:p>
    <w:p w14:paraId="488B16C2" w14:textId="77777777" w:rsidR="00D924EA" w:rsidRDefault="00011DE9">
      <w:pPr>
        <w:pStyle w:val="P68B1DB1-ListParagraph34"/>
        <w:numPr>
          <w:ilvl w:val="0"/>
          <w:numId w:val="24"/>
        </w:numPr>
        <w:spacing w:line="259" w:lineRule="auto"/>
        <w:rPr>
          <w:rFonts w:eastAsia="Times New Roman" w:cs="Times New Roman"/>
          <w:noProof/>
        </w:rPr>
      </w:pPr>
      <w:r>
        <w:rPr>
          <w:noProof/>
        </w:rPr>
        <w:t>Descrierea sistemului de monitorizare al partenerului de implementare pentru raportarea cu privire la investițiile mobilizate.</w:t>
      </w:r>
    </w:p>
    <w:p w14:paraId="1AF4F09D" w14:textId="77777777" w:rsidR="00D924EA" w:rsidRDefault="00011DE9">
      <w:pPr>
        <w:pStyle w:val="P68B1DB1-ListParagraph34"/>
        <w:numPr>
          <w:ilvl w:val="0"/>
          <w:numId w:val="24"/>
        </w:numPr>
        <w:spacing w:line="259" w:lineRule="auto"/>
        <w:rPr>
          <w:rFonts w:eastAsia="Times New Roman" w:cs="Times New Roman"/>
          <w:noProof/>
        </w:rPr>
      </w:pPr>
      <w:r>
        <w:rPr>
          <w:noProof/>
        </w:rPr>
        <w:t>Descrierea procedurilor partenerului de implementare care vor asigura prevenirea, detectarea și corectarea fraudei, a corupției și a conflictelor de interese.</w:t>
      </w:r>
    </w:p>
    <w:p w14:paraId="41BF6C3C" w14:textId="77777777" w:rsidR="00D924EA" w:rsidRDefault="00011DE9">
      <w:pPr>
        <w:pStyle w:val="P68B1DB1-ListParagraph34"/>
        <w:numPr>
          <w:ilvl w:val="0"/>
          <w:numId w:val="24"/>
        </w:numPr>
        <w:spacing w:line="259" w:lineRule="auto"/>
        <w:rPr>
          <w:rFonts w:eastAsia="Times New Roman" w:cs="Times New Roman"/>
          <w:noProof/>
        </w:rPr>
      </w:pPr>
      <w:r>
        <w:rPr>
          <w:noProof/>
        </w:rPr>
        <w:t>Obligația de a verifica eligibilitatea fiecărei operațiuni în conformitate cu cerințele prevăzute în acordul de punere în aplicare și în Mecanismul de redresare și reziliență înainte de a se angaja să finanțeze o operațiune.</w:t>
      </w:r>
    </w:p>
    <w:p w14:paraId="67A81249" w14:textId="77777777" w:rsidR="00D924EA" w:rsidRDefault="00011DE9">
      <w:pPr>
        <w:pStyle w:val="P68B1DB1-ListParagraph34"/>
        <w:numPr>
          <w:ilvl w:val="0"/>
          <w:numId w:val="24"/>
        </w:numPr>
        <w:spacing w:line="259" w:lineRule="auto"/>
        <w:rPr>
          <w:rFonts w:eastAsia="Times New Roman" w:cs="Times New Roman"/>
          <w:noProof/>
        </w:rPr>
      </w:pPr>
      <w:r>
        <w:rPr>
          <w:noProof/>
        </w:rPr>
        <w:t xml:space="preserve">Obligația de a efectua audituri ex post bazate pe riscuri, în conformitate cu un plan de audit al ICO.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intermediarul să controleze dacă același cost este acoperit de un alt instrument al Uniunii. Auditurile verifică, de asemenea, legalitatea tranzacțiilor și respectarea condițiilor din acordurile de punere în aplicare și de finanțare aplicabile. </w:t>
      </w:r>
    </w:p>
    <w:p w14:paraId="35D26837" w14:textId="499C2744" w:rsidR="00D924EA" w:rsidRDefault="00011DE9">
      <w:pPr>
        <w:spacing w:after="0"/>
        <w:jc w:val="both"/>
        <w:rPr>
          <w:rFonts w:ascii="Times New Roman" w:eastAsia="Times New Roman" w:hAnsi="Times New Roman" w:cs="Times New Roman"/>
          <w:noProof/>
        </w:rPr>
      </w:pPr>
      <w:r>
        <w:rPr>
          <w:rFonts w:ascii="Times New Roman" w:hAnsi="Times New Roman"/>
          <w:noProof/>
        </w:rPr>
        <w:t>5. Cerințe pentru investițiile în domeniul climei efectuate de partenerul de implementare: cel puțin 397 500 000 EUR din investiția MRR în mecanism contribuie la obiectivele climatice în conformitate cu anexa VI la Regulamentul privind MRR.</w:t>
      </w:r>
      <w:r>
        <w:rPr>
          <w:rStyle w:val="FootnoteReference"/>
          <w:rFonts w:ascii="Times New Roman" w:hAnsi="Times New Roman" w:cs="Times New Roman"/>
          <w:noProof/>
        </w:rPr>
        <w:footnoteReference w:id="6"/>
      </w:r>
    </w:p>
    <w:p w14:paraId="63F4DCD2" w14:textId="77777777" w:rsidR="00D924EA" w:rsidRDefault="00D924EA">
      <w:pPr>
        <w:spacing w:after="0"/>
        <w:jc w:val="both"/>
        <w:rPr>
          <w:rFonts w:ascii="Times New Roman" w:eastAsia="Times New Roman" w:hAnsi="Times New Roman" w:cs="Times New Roman"/>
          <w:noProof/>
        </w:rPr>
      </w:pPr>
    </w:p>
    <w:p w14:paraId="43C85222" w14:textId="77777777" w:rsidR="00D924EA" w:rsidRDefault="00011DE9">
      <w:pPr>
        <w:pStyle w:val="P68B1DB1-Normal29"/>
        <w:spacing w:after="0"/>
        <w:jc w:val="both"/>
        <w:rPr>
          <w:rFonts w:eastAsia="Times New Roman" w:cs="Times New Roman"/>
          <w:noProof/>
        </w:rPr>
      </w:pPr>
      <w:r>
        <w:rPr>
          <w:noProof/>
        </w:rPr>
        <w:t>6. Cerințe pentru selectarea intermediarilor financiari: ICO selectează intermediarii financiari în mod deschis, transparent și nediscriminatoriu. Controalele privind absența conflictelor de interese în ceea ce privește intermediarii financiari au loc și se efectuează ex ante prin intermediul unui sistem informatic, cum ar fi Minerva, pentru toți actorii financiari implicați.</w:t>
      </w:r>
    </w:p>
    <w:p w14:paraId="7703C721" w14:textId="77777777" w:rsidR="00D924EA" w:rsidRDefault="00D924EA">
      <w:pPr>
        <w:spacing w:after="0"/>
        <w:jc w:val="both"/>
        <w:rPr>
          <w:rFonts w:ascii="Times New Roman" w:eastAsia="Times New Roman" w:hAnsi="Times New Roman" w:cs="Times New Roman"/>
          <w:noProof/>
        </w:rPr>
      </w:pPr>
    </w:p>
    <w:p w14:paraId="66FB2297" w14:textId="77777777" w:rsidR="00D924EA" w:rsidRDefault="00011DE9">
      <w:pPr>
        <w:pStyle w:val="P68B1DB1-Normal29"/>
        <w:spacing w:after="0"/>
        <w:jc w:val="both"/>
        <w:rPr>
          <w:rFonts w:eastAsia="Times New Roman" w:cs="Times New Roman"/>
          <w:noProof/>
          <w:u w:val="single"/>
        </w:rPr>
      </w:pPr>
      <w:r>
        <w:rPr>
          <w:noProof/>
        </w:rPr>
        <w:t>7. Cerința de a semna acorduri de finanțare: ICO semnează acorduri de finanțare cu intermediarii financiari în conformitate cu cerințele-cheie care sunt prevăzute ca anexă la acordul de punere în aplicare. Cerințele-cheie ale acordului de finanțare includ toate cerințele în temeiul cărora funcționează fondul, inclusiv:</w:t>
      </w:r>
    </w:p>
    <w:p w14:paraId="4B6AE062" w14:textId="77777777" w:rsidR="00D924EA" w:rsidRDefault="00011DE9">
      <w:pPr>
        <w:pStyle w:val="P68B1DB1-ListParagraph34"/>
        <w:numPr>
          <w:ilvl w:val="0"/>
          <w:numId w:val="24"/>
        </w:numPr>
        <w:spacing w:line="259" w:lineRule="auto"/>
        <w:rPr>
          <w:rFonts w:eastAsia="Times New Roman" w:cs="Times New Roman"/>
          <w:noProof/>
        </w:rPr>
      </w:pPr>
      <w:r>
        <w:rPr>
          <w:noProof/>
        </w:rPr>
        <w:t>Obligația intermediarului financiar de a lua decizii în conformitate mutatis mutandis cu cerințele de luare a deciziilor și de politică de investiții specificate mai sus, inclusiv în ceea ce privește respectarea principiului DNSH.</w:t>
      </w:r>
    </w:p>
    <w:p w14:paraId="5E2EEE29" w14:textId="77777777" w:rsidR="00D924EA" w:rsidRDefault="00011DE9">
      <w:pPr>
        <w:pStyle w:val="P68B1DB1-ListParagraph34"/>
        <w:numPr>
          <w:ilvl w:val="0"/>
          <w:numId w:val="24"/>
        </w:numPr>
        <w:spacing w:line="259" w:lineRule="auto"/>
        <w:rPr>
          <w:rFonts w:eastAsia="Times New Roman" w:cs="Times New Roman"/>
          <w:noProof/>
        </w:rPr>
      </w:pPr>
      <w:r>
        <w:rPr>
          <w:noProof/>
        </w:rPr>
        <w:t xml:space="preserve">Descrierea cadrului de monitorizare, audit și control pe care intermediarul financiar trebuie să îl instituie și care, mutatis mutandis, face obiectul tuturor cerințelor de monitorizare, audit și control specificate mai sus. </w:t>
      </w:r>
    </w:p>
    <w:p w14:paraId="6EA552B5" w14:textId="77777777" w:rsidR="00D924EA" w:rsidRDefault="00011DE9">
      <w:pPr>
        <w:pStyle w:val="P68B1DB1-Normal33"/>
        <w:spacing w:before="120" w:line="240" w:lineRule="auto"/>
        <w:ind w:left="720"/>
        <w:jc w:val="both"/>
        <w:rPr>
          <w:rFonts w:cs="Times New Roman"/>
          <w:bCs/>
          <w:noProof/>
        </w:rPr>
      </w:pPr>
      <w:r>
        <w:rPr>
          <w:noProof/>
        </w:rPr>
        <w:t>B.4. Jaloane, ținte, indicatori și calendarul de monitorizare și implementare pentru sprijinul sub formă de împrumut</w:t>
      </w:r>
    </w:p>
    <w:p w14:paraId="5762CF95" w14:textId="77777777" w:rsidR="00D924EA" w:rsidRDefault="00011DE9">
      <w:pPr>
        <w:pStyle w:val="P68B1DB1-Normal36"/>
        <w:spacing w:before="120" w:after="120" w:line="240" w:lineRule="auto"/>
        <w:jc w:val="both"/>
        <w:rPr>
          <w:rFonts w:cs="Times New Roman"/>
          <w:noProof/>
        </w:rPr>
        <w:sectPr w:rsidR="00D924EA" w:rsidSect="00B528FB">
          <w:headerReference w:type="even" r:id="rId52"/>
          <w:headerReference w:type="default" r:id="rId53"/>
          <w:footerReference w:type="even" r:id="rId54"/>
          <w:footerReference w:type="default" r:id="rId55"/>
          <w:headerReference w:type="first" r:id="rId56"/>
          <w:footerReference w:type="first" r:id="rId57"/>
          <w:pgSz w:w="11907" w:h="16839"/>
          <w:pgMar w:top="1134" w:right="1134" w:bottom="1134" w:left="1134" w:header="567" w:footer="567" w:gutter="0"/>
          <w:cols w:space="720"/>
          <w:docGrid w:linePitch="360"/>
        </w:sectPr>
      </w:pPr>
      <w:r>
        <w:rPr>
          <w:noProof/>
        </w:rPr>
        <w:t xml:space="preserve">A se vedea tabelul de mai jos. Data de referință pentru toți indicatorii este 1 februarie 2020, cu excepția cazului în care se indică altfel în descrierea acțiunii. </w:t>
      </w: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828"/>
        <w:gridCol w:w="1518"/>
        <w:gridCol w:w="1241"/>
        <w:gridCol w:w="701"/>
        <w:gridCol w:w="850"/>
        <w:gridCol w:w="844"/>
        <w:gridCol w:w="368"/>
        <w:gridCol w:w="553"/>
        <w:gridCol w:w="6888"/>
      </w:tblGrid>
      <w:tr w:rsidR="00D924EA" w14:paraId="70BEC7C1" w14:textId="77777777">
        <w:trPr>
          <w:trHeight w:val="309"/>
          <w:tblHeader/>
          <w:jc w:val="center"/>
        </w:trPr>
        <w:tc>
          <w:tcPr>
            <w:tcW w:w="832" w:type="dxa"/>
            <w:vMerge w:val="restart"/>
            <w:shd w:val="clear" w:color="auto" w:fill="B7D4EF" w:themeFill="text2" w:themeFillTint="33"/>
            <w:noWrap/>
            <w:vAlign w:val="center"/>
          </w:tcPr>
          <w:p w14:paraId="04C25B47" w14:textId="77777777" w:rsidR="00D924EA" w:rsidRDefault="00011DE9">
            <w:pPr>
              <w:pStyle w:val="P68B1DB1-Normal28"/>
              <w:spacing w:after="0" w:line="240" w:lineRule="auto"/>
              <w:jc w:val="center"/>
              <w:rPr>
                <w:rFonts w:cs="Times New Roman"/>
                <w:noProof/>
                <w:szCs w:val="18"/>
              </w:rPr>
            </w:pPr>
            <w:r>
              <w:rPr>
                <w:noProof/>
              </w:rPr>
              <w:t>Număr</w:t>
            </w:r>
          </w:p>
        </w:tc>
        <w:tc>
          <w:tcPr>
            <w:tcW w:w="829" w:type="dxa"/>
            <w:vMerge w:val="restart"/>
            <w:shd w:val="clear" w:color="auto" w:fill="B7D4EF" w:themeFill="text2" w:themeFillTint="33"/>
            <w:noWrap/>
            <w:vAlign w:val="center"/>
          </w:tcPr>
          <w:p w14:paraId="2F346599" w14:textId="77777777" w:rsidR="00D924EA" w:rsidRDefault="00011DE9">
            <w:pPr>
              <w:pStyle w:val="P68B1DB1-Normal28"/>
              <w:spacing w:after="0" w:line="240" w:lineRule="auto"/>
              <w:jc w:val="center"/>
              <w:rPr>
                <w:rFonts w:cs="Times New Roman"/>
                <w:noProof/>
                <w:szCs w:val="18"/>
              </w:rPr>
            </w:pPr>
            <w:r>
              <w:rPr>
                <w:noProof/>
              </w:rPr>
              <w:t>Măsură</w:t>
            </w:r>
          </w:p>
        </w:tc>
        <w:tc>
          <w:tcPr>
            <w:tcW w:w="828" w:type="dxa"/>
            <w:vMerge w:val="restart"/>
            <w:shd w:val="clear" w:color="auto" w:fill="B7D4EF" w:themeFill="text2" w:themeFillTint="33"/>
            <w:noWrap/>
            <w:vAlign w:val="center"/>
          </w:tcPr>
          <w:p w14:paraId="082A57E8" w14:textId="1C9744A5" w:rsidR="00D924EA" w:rsidRDefault="00011DE9">
            <w:pPr>
              <w:spacing w:after="0" w:line="240" w:lineRule="auto"/>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1518" w:type="dxa"/>
            <w:vMerge w:val="restart"/>
            <w:shd w:val="clear" w:color="auto" w:fill="B7D4EF" w:themeFill="text2" w:themeFillTint="33"/>
            <w:noWrap/>
            <w:vAlign w:val="center"/>
          </w:tcPr>
          <w:p w14:paraId="5B7B1108" w14:textId="77777777" w:rsidR="00D924EA" w:rsidRDefault="00011DE9">
            <w:pPr>
              <w:pStyle w:val="P68B1DB1-Normal28"/>
              <w:spacing w:after="0" w:line="240" w:lineRule="auto"/>
              <w:jc w:val="center"/>
              <w:rPr>
                <w:rFonts w:cs="Times New Roman"/>
                <w:noProof/>
                <w:szCs w:val="18"/>
              </w:rPr>
            </w:pPr>
            <w:r>
              <w:rPr>
                <w:noProof/>
              </w:rPr>
              <w:t>Nume</w:t>
            </w:r>
          </w:p>
        </w:tc>
        <w:tc>
          <w:tcPr>
            <w:tcW w:w="1241" w:type="dxa"/>
            <w:vMerge w:val="restart"/>
            <w:shd w:val="clear" w:color="auto" w:fill="B7D4EF" w:themeFill="text2" w:themeFillTint="33"/>
            <w:noWrap/>
            <w:vAlign w:val="center"/>
          </w:tcPr>
          <w:p w14:paraId="1B495120" w14:textId="77777777" w:rsidR="00D924EA" w:rsidRDefault="00011DE9">
            <w:pPr>
              <w:pStyle w:val="P68B1DB1-Normal28"/>
              <w:spacing w:after="0" w:line="240" w:lineRule="auto"/>
              <w:jc w:val="center"/>
              <w:rPr>
                <w:rFonts w:cs="Times New Roman"/>
                <w:noProof/>
                <w:szCs w:val="18"/>
              </w:rPr>
            </w:pPr>
            <w:r>
              <w:rPr>
                <w:noProof/>
              </w:rPr>
              <w:t>Indicator calitativ pentru jaloane</w:t>
            </w:r>
          </w:p>
        </w:tc>
        <w:tc>
          <w:tcPr>
            <w:tcW w:w="2395" w:type="dxa"/>
            <w:gridSpan w:val="3"/>
            <w:shd w:val="clear" w:color="auto" w:fill="B7D4EF" w:themeFill="text2" w:themeFillTint="33"/>
            <w:noWrap/>
            <w:vAlign w:val="center"/>
          </w:tcPr>
          <w:p w14:paraId="66B9FDB5" w14:textId="77777777" w:rsidR="00D924EA" w:rsidRDefault="00011DE9">
            <w:pPr>
              <w:pStyle w:val="P68B1DB1-Normal28"/>
              <w:spacing w:after="0" w:line="240" w:lineRule="auto"/>
              <w:jc w:val="center"/>
              <w:rPr>
                <w:rFonts w:cs="Times New Roman"/>
                <w:noProof/>
                <w:szCs w:val="18"/>
              </w:rPr>
            </w:pPr>
            <w:r>
              <w:rPr>
                <w:noProof/>
              </w:rPr>
              <w:t>Indicator cantitativ pentru ținte</w:t>
            </w:r>
          </w:p>
        </w:tc>
        <w:tc>
          <w:tcPr>
            <w:tcW w:w="921" w:type="dxa"/>
            <w:gridSpan w:val="2"/>
            <w:shd w:val="clear" w:color="auto" w:fill="B7D4EF" w:themeFill="text2" w:themeFillTint="33"/>
            <w:noWrap/>
            <w:vAlign w:val="center"/>
          </w:tcPr>
          <w:p w14:paraId="0846F4BB" w14:textId="77777777" w:rsidR="00D924EA" w:rsidRDefault="00011DE9">
            <w:pPr>
              <w:pStyle w:val="P68B1DB1-Normal28"/>
              <w:spacing w:after="0" w:line="240" w:lineRule="auto"/>
              <w:jc w:val="center"/>
              <w:rPr>
                <w:rFonts w:cs="Times New Roman"/>
                <w:noProof/>
                <w:szCs w:val="18"/>
              </w:rPr>
            </w:pPr>
            <w:r>
              <w:rPr>
                <w:noProof/>
              </w:rPr>
              <w:t>Timp</w:t>
            </w:r>
          </w:p>
        </w:tc>
        <w:tc>
          <w:tcPr>
            <w:tcW w:w="6888" w:type="dxa"/>
            <w:vMerge w:val="restart"/>
            <w:shd w:val="clear" w:color="auto" w:fill="B7D4EF" w:themeFill="text2" w:themeFillTint="33"/>
            <w:noWrap/>
            <w:vAlign w:val="center"/>
          </w:tcPr>
          <w:p w14:paraId="25275398" w14:textId="77777777" w:rsidR="00D924EA" w:rsidRDefault="00011DE9">
            <w:pPr>
              <w:pStyle w:val="P68B1DB1-Normal28"/>
              <w:spacing w:after="0" w:line="240" w:lineRule="auto"/>
              <w:jc w:val="center"/>
              <w:rPr>
                <w:rFonts w:cs="Times New Roman"/>
                <w:noProof/>
                <w:szCs w:val="18"/>
              </w:rPr>
            </w:pPr>
            <w:r>
              <w:rPr>
                <w:noProof/>
              </w:rPr>
              <w:t>Descrierea fiecărui jalon și a fiecărei ținte</w:t>
            </w:r>
          </w:p>
        </w:tc>
      </w:tr>
      <w:tr w:rsidR="00D924EA" w14:paraId="7A000FE7" w14:textId="77777777" w:rsidTr="005701C9">
        <w:trPr>
          <w:trHeight w:val="309"/>
          <w:tblHeader/>
          <w:jc w:val="center"/>
        </w:trPr>
        <w:tc>
          <w:tcPr>
            <w:tcW w:w="832" w:type="dxa"/>
            <w:vMerge/>
            <w:noWrap/>
          </w:tcPr>
          <w:p w14:paraId="620239A3" w14:textId="77777777" w:rsidR="00D924EA" w:rsidRDefault="00D924EA">
            <w:pPr>
              <w:spacing w:after="0" w:line="240" w:lineRule="auto"/>
              <w:jc w:val="center"/>
              <w:rPr>
                <w:rFonts w:ascii="Times New Roman" w:hAnsi="Times New Roman" w:cs="Times New Roman"/>
                <w:b/>
                <w:noProof/>
                <w:sz w:val="18"/>
                <w:szCs w:val="18"/>
              </w:rPr>
            </w:pPr>
          </w:p>
        </w:tc>
        <w:tc>
          <w:tcPr>
            <w:tcW w:w="829" w:type="dxa"/>
            <w:vMerge/>
            <w:noWrap/>
          </w:tcPr>
          <w:p w14:paraId="0A6A0C3E" w14:textId="77777777" w:rsidR="00D924EA" w:rsidRDefault="00D924EA">
            <w:pPr>
              <w:spacing w:after="0" w:line="240" w:lineRule="auto"/>
              <w:jc w:val="center"/>
              <w:rPr>
                <w:rFonts w:ascii="Times New Roman" w:hAnsi="Times New Roman" w:cs="Times New Roman"/>
                <w:b/>
                <w:noProof/>
                <w:sz w:val="18"/>
                <w:szCs w:val="18"/>
              </w:rPr>
            </w:pPr>
          </w:p>
        </w:tc>
        <w:tc>
          <w:tcPr>
            <w:tcW w:w="828" w:type="dxa"/>
            <w:vMerge/>
            <w:noWrap/>
          </w:tcPr>
          <w:p w14:paraId="21645AD3" w14:textId="77777777" w:rsidR="00D924EA" w:rsidRDefault="00D924EA">
            <w:pPr>
              <w:spacing w:after="0" w:line="240" w:lineRule="auto"/>
              <w:jc w:val="center"/>
              <w:rPr>
                <w:rFonts w:ascii="Times New Roman" w:hAnsi="Times New Roman" w:cs="Times New Roman"/>
                <w:b/>
                <w:noProof/>
                <w:sz w:val="18"/>
                <w:szCs w:val="18"/>
              </w:rPr>
            </w:pPr>
          </w:p>
        </w:tc>
        <w:tc>
          <w:tcPr>
            <w:tcW w:w="1518" w:type="dxa"/>
            <w:vMerge/>
            <w:noWrap/>
          </w:tcPr>
          <w:p w14:paraId="21FD2240" w14:textId="77777777" w:rsidR="00D924EA" w:rsidRDefault="00D924EA">
            <w:pPr>
              <w:spacing w:after="0" w:line="240" w:lineRule="auto"/>
              <w:rPr>
                <w:rFonts w:ascii="Times New Roman" w:hAnsi="Times New Roman" w:cs="Times New Roman"/>
                <w:b/>
                <w:noProof/>
                <w:sz w:val="18"/>
                <w:szCs w:val="18"/>
              </w:rPr>
            </w:pPr>
          </w:p>
        </w:tc>
        <w:tc>
          <w:tcPr>
            <w:tcW w:w="1241" w:type="dxa"/>
            <w:vMerge/>
            <w:noWrap/>
          </w:tcPr>
          <w:p w14:paraId="0717C3AD" w14:textId="77777777" w:rsidR="00D924EA" w:rsidRDefault="00D924EA">
            <w:pPr>
              <w:spacing w:after="0" w:line="240" w:lineRule="auto"/>
              <w:jc w:val="center"/>
              <w:rPr>
                <w:rFonts w:ascii="Times New Roman" w:hAnsi="Times New Roman" w:cs="Times New Roman"/>
                <w:b/>
                <w:noProof/>
                <w:sz w:val="18"/>
                <w:szCs w:val="18"/>
              </w:rPr>
            </w:pPr>
          </w:p>
        </w:tc>
        <w:tc>
          <w:tcPr>
            <w:tcW w:w="701" w:type="dxa"/>
            <w:shd w:val="clear" w:color="auto" w:fill="B7D4EF" w:themeFill="text2" w:themeFillTint="33"/>
            <w:noWrap/>
            <w:vAlign w:val="center"/>
          </w:tcPr>
          <w:p w14:paraId="35BA6FD5" w14:textId="77777777" w:rsidR="00D924EA" w:rsidRDefault="00011DE9">
            <w:pPr>
              <w:pStyle w:val="P68B1DB1-Normal28"/>
              <w:spacing w:after="0" w:line="240" w:lineRule="auto"/>
              <w:jc w:val="center"/>
              <w:rPr>
                <w:rFonts w:cs="Times New Roman"/>
                <w:noProof/>
                <w:szCs w:val="18"/>
              </w:rPr>
            </w:pPr>
            <w:r>
              <w:rPr>
                <w:noProof/>
              </w:rPr>
              <w:t>Unitate</w:t>
            </w:r>
          </w:p>
        </w:tc>
        <w:tc>
          <w:tcPr>
            <w:tcW w:w="850" w:type="dxa"/>
            <w:shd w:val="clear" w:color="auto" w:fill="B7D4EF" w:themeFill="text2" w:themeFillTint="33"/>
            <w:noWrap/>
            <w:vAlign w:val="center"/>
          </w:tcPr>
          <w:p w14:paraId="4C6109C2" w14:textId="77777777" w:rsidR="00D924EA" w:rsidRDefault="00011DE9">
            <w:pPr>
              <w:pStyle w:val="P68B1DB1-Normal28"/>
              <w:spacing w:after="0" w:line="240" w:lineRule="auto"/>
              <w:jc w:val="center"/>
              <w:rPr>
                <w:rFonts w:cs="Times New Roman"/>
                <w:noProof/>
                <w:szCs w:val="18"/>
              </w:rPr>
            </w:pPr>
            <w:r>
              <w:rPr>
                <w:noProof/>
              </w:rPr>
              <w:t>Situația de referință</w:t>
            </w:r>
          </w:p>
        </w:tc>
        <w:tc>
          <w:tcPr>
            <w:tcW w:w="844" w:type="dxa"/>
            <w:shd w:val="clear" w:color="auto" w:fill="B7D4EF" w:themeFill="text2" w:themeFillTint="33"/>
            <w:noWrap/>
            <w:vAlign w:val="center"/>
          </w:tcPr>
          <w:p w14:paraId="41C026FA" w14:textId="77777777" w:rsidR="00D924EA" w:rsidRDefault="00011DE9">
            <w:pPr>
              <w:pStyle w:val="P68B1DB1-Normal28"/>
              <w:spacing w:after="0" w:line="240" w:lineRule="auto"/>
              <w:jc w:val="center"/>
              <w:rPr>
                <w:rFonts w:cs="Times New Roman"/>
                <w:noProof/>
                <w:szCs w:val="18"/>
              </w:rPr>
            </w:pPr>
            <w:r>
              <w:rPr>
                <w:noProof/>
              </w:rPr>
              <w:t>Obiectiv</w:t>
            </w:r>
          </w:p>
        </w:tc>
        <w:tc>
          <w:tcPr>
            <w:tcW w:w="368" w:type="dxa"/>
            <w:shd w:val="clear" w:color="auto" w:fill="B7D4EF" w:themeFill="text2" w:themeFillTint="33"/>
            <w:noWrap/>
            <w:vAlign w:val="center"/>
          </w:tcPr>
          <w:p w14:paraId="03A413F3" w14:textId="7B6BB77C" w:rsidR="00D924EA" w:rsidRDefault="005701C9">
            <w:pPr>
              <w:pStyle w:val="P68B1DB1-Normal28"/>
              <w:spacing w:after="0" w:line="240" w:lineRule="auto"/>
              <w:jc w:val="center"/>
              <w:rPr>
                <w:rFonts w:cs="Times New Roman"/>
                <w:noProof/>
                <w:szCs w:val="18"/>
              </w:rPr>
            </w:pPr>
            <w:r>
              <w:rPr>
                <w:noProof/>
              </w:rPr>
              <w:t>T</w:t>
            </w:r>
          </w:p>
        </w:tc>
        <w:tc>
          <w:tcPr>
            <w:tcW w:w="553" w:type="dxa"/>
            <w:shd w:val="clear" w:color="auto" w:fill="B7D4EF" w:themeFill="text2" w:themeFillTint="33"/>
            <w:noWrap/>
            <w:vAlign w:val="center"/>
          </w:tcPr>
          <w:p w14:paraId="489DFD8F" w14:textId="77777777" w:rsidR="00D924EA" w:rsidRDefault="00011DE9">
            <w:pPr>
              <w:pStyle w:val="P68B1DB1-Normal28"/>
              <w:spacing w:after="0" w:line="240" w:lineRule="auto"/>
              <w:jc w:val="center"/>
              <w:rPr>
                <w:rFonts w:cs="Times New Roman"/>
                <w:noProof/>
                <w:szCs w:val="18"/>
              </w:rPr>
            </w:pPr>
            <w:r>
              <w:rPr>
                <w:noProof/>
              </w:rPr>
              <w:t>Anul</w:t>
            </w:r>
          </w:p>
        </w:tc>
        <w:tc>
          <w:tcPr>
            <w:tcW w:w="6888" w:type="dxa"/>
            <w:vMerge/>
            <w:noWrap/>
          </w:tcPr>
          <w:p w14:paraId="70153E33" w14:textId="77777777" w:rsidR="00D924EA" w:rsidRDefault="00D924EA">
            <w:pPr>
              <w:spacing w:after="0" w:line="240" w:lineRule="auto"/>
              <w:rPr>
                <w:rFonts w:ascii="Times New Roman" w:hAnsi="Times New Roman" w:cs="Times New Roman"/>
                <w:b/>
                <w:noProof/>
                <w:sz w:val="18"/>
                <w:szCs w:val="18"/>
              </w:rPr>
            </w:pPr>
          </w:p>
        </w:tc>
      </w:tr>
      <w:tr w:rsidR="00D924EA" w14:paraId="59B9018B" w14:textId="77777777" w:rsidTr="005701C9">
        <w:trPr>
          <w:trHeight w:val="309"/>
          <w:jc w:val="center"/>
        </w:trPr>
        <w:tc>
          <w:tcPr>
            <w:tcW w:w="832" w:type="dxa"/>
            <w:shd w:val="clear" w:color="auto" w:fill="C6EFCE"/>
            <w:noWrap/>
          </w:tcPr>
          <w:p w14:paraId="4688AEF1" w14:textId="1208A608" w:rsidR="00D924EA" w:rsidRDefault="00011DE9">
            <w:pPr>
              <w:pStyle w:val="P68B1DB1-Normal24"/>
              <w:spacing w:after="0" w:line="240" w:lineRule="auto"/>
              <w:jc w:val="center"/>
              <w:rPr>
                <w:noProof/>
              </w:rPr>
            </w:pPr>
            <w:r>
              <w:rPr>
                <w:noProof/>
              </w:rPr>
              <w:t>L2A</w:t>
            </w:r>
          </w:p>
        </w:tc>
        <w:tc>
          <w:tcPr>
            <w:tcW w:w="829" w:type="dxa"/>
            <w:shd w:val="clear" w:color="auto" w:fill="C6EFCE"/>
            <w:noWrap/>
          </w:tcPr>
          <w:p w14:paraId="04AC3D34" w14:textId="77777777" w:rsidR="00D924EA" w:rsidRDefault="00011DE9">
            <w:pPr>
              <w:pStyle w:val="P68B1DB1-Normal23"/>
              <w:spacing w:after="0" w:line="240" w:lineRule="auto"/>
              <w:jc w:val="center"/>
              <w:rPr>
                <w:noProof/>
              </w:rPr>
            </w:pPr>
            <w:r>
              <w:rPr>
                <w:noProof/>
              </w:rPr>
              <w:t>C2.R7</w:t>
            </w:r>
          </w:p>
        </w:tc>
        <w:tc>
          <w:tcPr>
            <w:tcW w:w="828" w:type="dxa"/>
            <w:shd w:val="clear" w:color="auto" w:fill="C6EFCE"/>
            <w:noWrap/>
          </w:tcPr>
          <w:p w14:paraId="5EB4ABB6" w14:textId="77777777" w:rsidR="00D924EA" w:rsidRDefault="00011DE9">
            <w:pPr>
              <w:pStyle w:val="P68B1DB1-Normal23"/>
              <w:spacing w:after="0" w:line="240" w:lineRule="auto"/>
              <w:jc w:val="center"/>
              <w:rPr>
                <w:noProof/>
              </w:rPr>
            </w:pPr>
            <w:r>
              <w:rPr>
                <w:noProof/>
              </w:rPr>
              <w:t>M</w:t>
            </w:r>
          </w:p>
        </w:tc>
        <w:tc>
          <w:tcPr>
            <w:tcW w:w="1518" w:type="dxa"/>
            <w:shd w:val="clear" w:color="auto" w:fill="C6EFCE"/>
            <w:noWrap/>
          </w:tcPr>
          <w:p w14:paraId="542C4B52" w14:textId="77777777" w:rsidR="00D924EA" w:rsidRDefault="00011DE9">
            <w:pPr>
              <w:pStyle w:val="P68B1DB1-Normal24"/>
              <w:spacing w:after="0" w:line="240" w:lineRule="auto"/>
              <w:rPr>
                <w:noProof/>
              </w:rPr>
            </w:pPr>
            <w:r>
              <w:rPr>
                <w:noProof/>
              </w:rPr>
              <w:t>Intrarea în vigoare a unui act juridic de actualizare a statutului Entidad Pública Empresarial de Suelo (SEPES)</w:t>
            </w:r>
          </w:p>
        </w:tc>
        <w:tc>
          <w:tcPr>
            <w:tcW w:w="1241" w:type="dxa"/>
            <w:shd w:val="clear" w:color="auto" w:fill="C6EFCE"/>
            <w:noWrap/>
          </w:tcPr>
          <w:p w14:paraId="42525956" w14:textId="3677B94D" w:rsidR="00D924EA" w:rsidRDefault="00011DE9">
            <w:pPr>
              <w:pStyle w:val="P68B1DB1-Normal24"/>
              <w:spacing w:after="0" w:line="240" w:lineRule="auto"/>
              <w:jc w:val="center"/>
              <w:rPr>
                <w:noProof/>
              </w:rPr>
            </w:pPr>
            <w:r>
              <w:rPr>
                <w:noProof/>
              </w:rPr>
              <w:t>Intrarea în vigoare a unui act juridic</w:t>
            </w:r>
          </w:p>
        </w:tc>
        <w:tc>
          <w:tcPr>
            <w:tcW w:w="701" w:type="dxa"/>
            <w:shd w:val="clear" w:color="auto" w:fill="C6EFCE"/>
            <w:noWrap/>
          </w:tcPr>
          <w:p w14:paraId="6C3A1C32" w14:textId="77777777" w:rsidR="00D924EA" w:rsidRDefault="00D924EA">
            <w:pPr>
              <w:spacing w:after="0" w:line="240" w:lineRule="auto"/>
              <w:jc w:val="right"/>
              <w:rPr>
                <w:rFonts w:ascii="Times New Roman" w:eastAsia="MS Mincho" w:hAnsi="Times New Roman" w:cs="Times New Roman"/>
                <w:noProof/>
                <w:sz w:val="18"/>
                <w:szCs w:val="18"/>
              </w:rPr>
            </w:pPr>
          </w:p>
        </w:tc>
        <w:tc>
          <w:tcPr>
            <w:tcW w:w="850" w:type="dxa"/>
            <w:shd w:val="clear" w:color="auto" w:fill="C6EFCE"/>
            <w:noWrap/>
          </w:tcPr>
          <w:p w14:paraId="0C588FD8" w14:textId="77777777" w:rsidR="00D924EA" w:rsidRDefault="00D924EA">
            <w:pPr>
              <w:spacing w:after="0" w:line="240" w:lineRule="auto"/>
              <w:jc w:val="right"/>
              <w:rPr>
                <w:rFonts w:ascii="Times New Roman" w:eastAsia="MS Mincho" w:hAnsi="Times New Roman" w:cs="Times New Roman"/>
                <w:noProof/>
                <w:sz w:val="18"/>
                <w:szCs w:val="18"/>
              </w:rPr>
            </w:pPr>
          </w:p>
        </w:tc>
        <w:tc>
          <w:tcPr>
            <w:tcW w:w="844" w:type="dxa"/>
            <w:shd w:val="clear" w:color="auto" w:fill="C6EFCE"/>
            <w:noWrap/>
          </w:tcPr>
          <w:p w14:paraId="3C9317AD" w14:textId="77777777" w:rsidR="00D924EA" w:rsidRDefault="00D924EA">
            <w:pPr>
              <w:spacing w:after="0" w:line="240" w:lineRule="auto"/>
              <w:jc w:val="right"/>
              <w:rPr>
                <w:rFonts w:ascii="Times New Roman" w:eastAsia="MS Mincho" w:hAnsi="Times New Roman" w:cs="Times New Roman"/>
                <w:noProof/>
                <w:sz w:val="18"/>
                <w:szCs w:val="18"/>
              </w:rPr>
            </w:pPr>
          </w:p>
        </w:tc>
        <w:tc>
          <w:tcPr>
            <w:tcW w:w="368" w:type="dxa"/>
            <w:shd w:val="clear" w:color="auto" w:fill="C6EFCE"/>
            <w:noWrap/>
          </w:tcPr>
          <w:p w14:paraId="72002940" w14:textId="74640A5F" w:rsidR="00D924EA" w:rsidRDefault="005701C9">
            <w:pPr>
              <w:pStyle w:val="P68B1DB1-Normal23"/>
              <w:spacing w:after="0" w:line="240" w:lineRule="auto"/>
              <w:jc w:val="center"/>
              <w:rPr>
                <w:noProof/>
              </w:rPr>
            </w:pPr>
            <w:r>
              <w:rPr>
                <w:noProof/>
              </w:rPr>
              <w:t>T4</w:t>
            </w:r>
          </w:p>
        </w:tc>
        <w:tc>
          <w:tcPr>
            <w:tcW w:w="553" w:type="dxa"/>
            <w:shd w:val="clear" w:color="auto" w:fill="C6EFCE"/>
            <w:noWrap/>
          </w:tcPr>
          <w:p w14:paraId="0B3B818D" w14:textId="77777777" w:rsidR="00D924EA" w:rsidRDefault="00011DE9">
            <w:pPr>
              <w:pStyle w:val="P68B1DB1-Normal23"/>
              <w:spacing w:after="0" w:line="240" w:lineRule="auto"/>
              <w:jc w:val="center"/>
              <w:rPr>
                <w:noProof/>
              </w:rPr>
            </w:pPr>
            <w:r>
              <w:rPr>
                <w:noProof/>
              </w:rPr>
              <w:t>2025</w:t>
            </w:r>
          </w:p>
        </w:tc>
        <w:tc>
          <w:tcPr>
            <w:tcW w:w="6888" w:type="dxa"/>
            <w:shd w:val="clear" w:color="auto" w:fill="C6EFCE"/>
            <w:noWrap/>
          </w:tcPr>
          <w:p w14:paraId="04E5B719" w14:textId="77777777" w:rsidR="00D924EA" w:rsidRDefault="00011DE9">
            <w:pPr>
              <w:pStyle w:val="P68B1DB1-Normal24"/>
              <w:spacing w:after="0" w:line="240" w:lineRule="auto"/>
              <w:jc w:val="both"/>
              <w:rPr>
                <w:noProof/>
              </w:rPr>
            </w:pPr>
            <w:r>
              <w:rPr>
                <w:noProof/>
              </w:rPr>
              <w:t>Trebuie să fi intrat în vigoare un act juridic de actualizare a statutului Entidad Pública Empresarial de Suelo (SEPES).</w:t>
            </w:r>
          </w:p>
          <w:p w14:paraId="7BADE862" w14:textId="77777777" w:rsidR="00D924EA" w:rsidRDefault="00D924EA">
            <w:pPr>
              <w:spacing w:after="0" w:line="240" w:lineRule="auto"/>
              <w:jc w:val="both"/>
              <w:rPr>
                <w:rFonts w:ascii="Times New Roman" w:hAnsi="Times New Roman"/>
                <w:noProof/>
                <w:sz w:val="18"/>
              </w:rPr>
            </w:pPr>
          </w:p>
        </w:tc>
      </w:tr>
      <w:tr w:rsidR="00D924EA" w14:paraId="55C66823" w14:textId="77777777" w:rsidTr="005701C9">
        <w:trPr>
          <w:trHeight w:val="309"/>
          <w:jc w:val="center"/>
        </w:trPr>
        <w:tc>
          <w:tcPr>
            <w:tcW w:w="832" w:type="dxa"/>
            <w:shd w:val="clear" w:color="auto" w:fill="C6EFCE"/>
            <w:noWrap/>
          </w:tcPr>
          <w:p w14:paraId="297D1AC6" w14:textId="77777777" w:rsidR="00D924EA" w:rsidRDefault="00011DE9">
            <w:pPr>
              <w:pStyle w:val="P68B1DB1-Normal23"/>
              <w:spacing w:after="0" w:line="240" w:lineRule="auto"/>
              <w:jc w:val="center"/>
              <w:rPr>
                <w:rFonts w:cs="Times New Roman"/>
                <w:noProof/>
                <w:szCs w:val="18"/>
              </w:rPr>
            </w:pPr>
            <w:r>
              <w:rPr>
                <w:noProof/>
              </w:rPr>
              <w:t>L3</w:t>
            </w:r>
          </w:p>
        </w:tc>
        <w:tc>
          <w:tcPr>
            <w:tcW w:w="829" w:type="dxa"/>
            <w:shd w:val="clear" w:color="auto" w:fill="C6EFCE"/>
            <w:noWrap/>
          </w:tcPr>
          <w:p w14:paraId="3F78D946" w14:textId="77777777" w:rsidR="00D924EA" w:rsidRDefault="00011DE9">
            <w:pPr>
              <w:pStyle w:val="P68B1DB1-Normal23"/>
              <w:spacing w:after="0" w:line="240" w:lineRule="auto"/>
              <w:jc w:val="center"/>
              <w:rPr>
                <w:rFonts w:eastAsia="MS Mincho" w:cs="Times New Roman"/>
                <w:noProof/>
                <w:szCs w:val="18"/>
              </w:rPr>
            </w:pPr>
            <w:r>
              <w:rPr>
                <w:noProof/>
              </w:rPr>
              <w:t>C2.R7</w:t>
            </w:r>
          </w:p>
        </w:tc>
        <w:tc>
          <w:tcPr>
            <w:tcW w:w="828" w:type="dxa"/>
            <w:shd w:val="clear" w:color="auto" w:fill="C6EFCE"/>
            <w:noWrap/>
          </w:tcPr>
          <w:p w14:paraId="1A3426E0"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1518" w:type="dxa"/>
            <w:shd w:val="clear" w:color="auto" w:fill="C6EFCE"/>
            <w:noWrap/>
          </w:tcPr>
          <w:p w14:paraId="5DC42E0C" w14:textId="70D62A7D" w:rsidR="00D924EA" w:rsidRDefault="00011DE9">
            <w:pPr>
              <w:pStyle w:val="P68B1DB1-Normal24"/>
              <w:spacing w:after="0" w:line="240" w:lineRule="auto"/>
              <w:rPr>
                <w:rFonts w:eastAsia="MS Mincho" w:cs="Times New Roman"/>
                <w:noProof/>
              </w:rPr>
            </w:pPr>
            <w:r>
              <w:rPr>
                <w:noProof/>
              </w:rPr>
              <w:t xml:space="preserve">Publicarea </w:t>
            </w:r>
            <w:r>
              <w:rPr>
                <w:i/>
                <w:noProof/>
              </w:rPr>
              <w:t>Ghidului de recomandări și bune practici pentru autorizațiile de urbanism în sectorul rezidențial (Guía de recomendaciones y buenas prácticas en materia de licencias urbanísticas en el ámbito residencial)</w:t>
            </w:r>
          </w:p>
        </w:tc>
        <w:tc>
          <w:tcPr>
            <w:tcW w:w="1241" w:type="dxa"/>
            <w:shd w:val="clear" w:color="auto" w:fill="C6EFCE"/>
            <w:noWrap/>
          </w:tcPr>
          <w:p w14:paraId="4A2777EC" w14:textId="77777777" w:rsidR="00D924EA" w:rsidRDefault="00011DE9">
            <w:pPr>
              <w:pStyle w:val="P68B1DB1-Normal23"/>
              <w:spacing w:after="0" w:line="240" w:lineRule="auto"/>
              <w:jc w:val="center"/>
              <w:rPr>
                <w:rFonts w:eastAsia="MS Mincho" w:cs="Times New Roman"/>
                <w:noProof/>
                <w:szCs w:val="18"/>
              </w:rPr>
            </w:pPr>
            <w:r>
              <w:rPr>
                <w:noProof/>
              </w:rPr>
              <w:t>Publicare online</w:t>
            </w:r>
          </w:p>
        </w:tc>
        <w:tc>
          <w:tcPr>
            <w:tcW w:w="701" w:type="dxa"/>
            <w:shd w:val="clear" w:color="auto" w:fill="C6EFCE"/>
            <w:noWrap/>
          </w:tcPr>
          <w:p w14:paraId="67307259" w14:textId="77777777" w:rsidR="00D924EA" w:rsidRDefault="00D924EA">
            <w:pPr>
              <w:spacing w:after="0" w:line="240" w:lineRule="auto"/>
              <w:jc w:val="right"/>
              <w:rPr>
                <w:rFonts w:ascii="Times New Roman" w:eastAsia="MS Mincho" w:hAnsi="Times New Roman" w:cs="Times New Roman"/>
                <w:noProof/>
                <w:sz w:val="18"/>
                <w:szCs w:val="18"/>
              </w:rPr>
            </w:pPr>
          </w:p>
        </w:tc>
        <w:tc>
          <w:tcPr>
            <w:tcW w:w="850" w:type="dxa"/>
            <w:shd w:val="clear" w:color="auto" w:fill="C6EFCE"/>
            <w:noWrap/>
          </w:tcPr>
          <w:p w14:paraId="489FA376" w14:textId="77777777" w:rsidR="00D924EA" w:rsidRDefault="00D924EA">
            <w:pPr>
              <w:spacing w:after="0" w:line="240" w:lineRule="auto"/>
              <w:jc w:val="right"/>
              <w:rPr>
                <w:rFonts w:ascii="Times New Roman" w:eastAsia="MS Mincho" w:hAnsi="Times New Roman" w:cs="Times New Roman"/>
                <w:noProof/>
                <w:sz w:val="18"/>
                <w:szCs w:val="18"/>
              </w:rPr>
            </w:pPr>
          </w:p>
        </w:tc>
        <w:tc>
          <w:tcPr>
            <w:tcW w:w="844" w:type="dxa"/>
            <w:shd w:val="clear" w:color="auto" w:fill="C6EFCE"/>
            <w:noWrap/>
          </w:tcPr>
          <w:p w14:paraId="2F4ECB9F" w14:textId="77777777" w:rsidR="00D924EA" w:rsidRDefault="00D924EA">
            <w:pPr>
              <w:spacing w:after="0" w:line="240" w:lineRule="auto"/>
              <w:jc w:val="right"/>
              <w:rPr>
                <w:rFonts w:ascii="Times New Roman" w:eastAsia="MS Mincho" w:hAnsi="Times New Roman" w:cs="Times New Roman"/>
                <w:noProof/>
                <w:sz w:val="18"/>
                <w:szCs w:val="18"/>
              </w:rPr>
            </w:pPr>
          </w:p>
        </w:tc>
        <w:tc>
          <w:tcPr>
            <w:tcW w:w="368" w:type="dxa"/>
            <w:shd w:val="clear" w:color="auto" w:fill="C6EFCE"/>
            <w:noWrap/>
          </w:tcPr>
          <w:p w14:paraId="7CE65FDC" w14:textId="310B7970" w:rsidR="00D924EA" w:rsidRDefault="005701C9">
            <w:pPr>
              <w:pStyle w:val="P68B1DB1-Normal24"/>
              <w:spacing w:after="0" w:line="240" w:lineRule="auto"/>
              <w:jc w:val="center"/>
              <w:rPr>
                <w:rFonts w:eastAsia="MS Mincho" w:cs="Times New Roman"/>
                <w:noProof/>
              </w:rPr>
            </w:pPr>
            <w:r>
              <w:rPr>
                <w:noProof/>
              </w:rPr>
              <w:t>T4</w:t>
            </w:r>
          </w:p>
        </w:tc>
        <w:tc>
          <w:tcPr>
            <w:tcW w:w="553" w:type="dxa"/>
            <w:shd w:val="clear" w:color="auto" w:fill="C6EFCE"/>
            <w:noWrap/>
          </w:tcPr>
          <w:p w14:paraId="2CF8779B" w14:textId="77777777" w:rsidR="00D924EA" w:rsidRDefault="00011DE9">
            <w:pPr>
              <w:pStyle w:val="P68B1DB1-Normal24"/>
              <w:spacing w:after="0" w:line="240" w:lineRule="auto"/>
              <w:jc w:val="center"/>
              <w:rPr>
                <w:rFonts w:eastAsia="MS Mincho" w:cs="Times New Roman"/>
                <w:noProof/>
              </w:rPr>
            </w:pPr>
            <w:r>
              <w:rPr>
                <w:noProof/>
              </w:rPr>
              <w:t>2025</w:t>
            </w:r>
          </w:p>
        </w:tc>
        <w:tc>
          <w:tcPr>
            <w:tcW w:w="6888" w:type="dxa"/>
            <w:shd w:val="clear" w:color="auto" w:fill="C6EFCE"/>
            <w:noWrap/>
          </w:tcPr>
          <w:p w14:paraId="53113260" w14:textId="357F6E67" w:rsidR="00D924EA" w:rsidRDefault="00011DE9">
            <w:pPr>
              <w:pStyle w:val="P68B1DB1-Normal24"/>
              <w:spacing w:after="0" w:line="240" w:lineRule="auto"/>
              <w:jc w:val="both"/>
              <w:rPr>
                <w:rFonts w:cs="Times New Roman"/>
                <w:noProof/>
              </w:rPr>
            </w:pPr>
            <w:r>
              <w:rPr>
                <w:noProof/>
              </w:rPr>
              <w:t xml:space="preserve">Publicarea </w:t>
            </w:r>
            <w:r>
              <w:rPr>
                <w:i/>
                <w:noProof/>
              </w:rPr>
              <w:t>Ghidului de recomandări și bune practici pentru autorizațiile de urbanism în sectorul rezidențial</w:t>
            </w:r>
            <w:r>
              <w:rPr>
                <w:noProof/>
              </w:rPr>
              <w:t xml:space="preserve"> (</w:t>
            </w:r>
            <w:r>
              <w:rPr>
                <w:i/>
                <w:noProof/>
              </w:rPr>
              <w:t>Guía de recomendaciones y buenas prácticas en materia de licencias urbanísticas en el ámbito residencial).</w:t>
            </w:r>
          </w:p>
        </w:tc>
      </w:tr>
      <w:tr w:rsidR="00D924EA" w14:paraId="467EF651" w14:textId="77777777" w:rsidTr="005701C9">
        <w:trPr>
          <w:trHeight w:val="309"/>
          <w:jc w:val="center"/>
        </w:trPr>
        <w:tc>
          <w:tcPr>
            <w:tcW w:w="832" w:type="dxa"/>
            <w:shd w:val="clear" w:color="auto" w:fill="C6EFCE"/>
            <w:noWrap/>
          </w:tcPr>
          <w:p w14:paraId="3795E9B2" w14:textId="77777777" w:rsidR="00D924EA" w:rsidRDefault="00011DE9">
            <w:pPr>
              <w:pStyle w:val="P68B1DB1-Normal23"/>
              <w:spacing w:after="0" w:line="240" w:lineRule="auto"/>
              <w:jc w:val="center"/>
              <w:rPr>
                <w:rFonts w:cs="Times New Roman"/>
                <w:noProof/>
                <w:szCs w:val="18"/>
              </w:rPr>
            </w:pPr>
            <w:r>
              <w:rPr>
                <w:noProof/>
              </w:rPr>
              <w:t>L4</w:t>
            </w:r>
          </w:p>
        </w:tc>
        <w:tc>
          <w:tcPr>
            <w:tcW w:w="829" w:type="dxa"/>
            <w:shd w:val="clear" w:color="auto" w:fill="C6EFCE"/>
            <w:noWrap/>
          </w:tcPr>
          <w:p w14:paraId="0D33297C" w14:textId="77777777" w:rsidR="00D924EA" w:rsidRDefault="00011DE9">
            <w:pPr>
              <w:pStyle w:val="P68B1DB1-Normal23"/>
              <w:spacing w:after="0" w:line="240" w:lineRule="auto"/>
              <w:jc w:val="center"/>
              <w:rPr>
                <w:rFonts w:cs="Times New Roman"/>
                <w:noProof/>
                <w:szCs w:val="18"/>
              </w:rPr>
            </w:pPr>
            <w:r>
              <w:rPr>
                <w:noProof/>
              </w:rPr>
              <w:t>C2.I7</w:t>
            </w:r>
          </w:p>
        </w:tc>
        <w:tc>
          <w:tcPr>
            <w:tcW w:w="828" w:type="dxa"/>
            <w:shd w:val="clear" w:color="auto" w:fill="C6EFCE"/>
            <w:noWrap/>
          </w:tcPr>
          <w:p w14:paraId="7ECB2906"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1518" w:type="dxa"/>
            <w:shd w:val="clear" w:color="auto" w:fill="C6EFCE"/>
            <w:noWrap/>
          </w:tcPr>
          <w:p w14:paraId="52F1C71C" w14:textId="77777777" w:rsidR="00D924EA" w:rsidRDefault="00011DE9">
            <w:pPr>
              <w:pStyle w:val="P68B1DB1-Normal23"/>
              <w:spacing w:after="0" w:line="240" w:lineRule="auto"/>
              <w:rPr>
                <w:rFonts w:eastAsia="MS Mincho" w:cs="Times New Roman"/>
                <w:noProof/>
                <w:szCs w:val="18"/>
              </w:rPr>
            </w:pPr>
            <w:r>
              <w:rPr>
                <w:noProof/>
              </w:rPr>
              <w:t>Acord de punere în aplicare</w:t>
            </w:r>
          </w:p>
        </w:tc>
        <w:tc>
          <w:tcPr>
            <w:tcW w:w="1241" w:type="dxa"/>
            <w:shd w:val="clear" w:color="auto" w:fill="C6EFCE"/>
            <w:noWrap/>
          </w:tcPr>
          <w:p w14:paraId="207067CC" w14:textId="77777777" w:rsidR="00D924EA" w:rsidRDefault="00011DE9">
            <w:pPr>
              <w:pStyle w:val="P68B1DB1-Normal23"/>
              <w:spacing w:after="0" w:line="240" w:lineRule="auto"/>
              <w:jc w:val="center"/>
              <w:rPr>
                <w:rFonts w:eastAsia="MS Mincho" w:cs="Times New Roman"/>
                <w:noProof/>
                <w:szCs w:val="18"/>
              </w:rPr>
            </w:pPr>
            <w:r>
              <w:rPr>
                <w:noProof/>
              </w:rPr>
              <w:t>Intrarea în vigoare a acordului de punere în aplicare </w:t>
            </w:r>
          </w:p>
        </w:tc>
        <w:tc>
          <w:tcPr>
            <w:tcW w:w="701" w:type="dxa"/>
            <w:shd w:val="clear" w:color="auto" w:fill="C6EFCE"/>
            <w:noWrap/>
          </w:tcPr>
          <w:p w14:paraId="134AC2CC" w14:textId="77777777" w:rsidR="00D924EA" w:rsidRDefault="00D924EA">
            <w:pPr>
              <w:spacing w:after="0" w:line="240" w:lineRule="auto"/>
              <w:jc w:val="center"/>
              <w:rPr>
                <w:rFonts w:ascii="Times New Roman" w:eastAsia="MS Mincho" w:hAnsi="Times New Roman" w:cs="Times New Roman"/>
                <w:noProof/>
                <w:sz w:val="18"/>
                <w:szCs w:val="18"/>
              </w:rPr>
            </w:pPr>
          </w:p>
        </w:tc>
        <w:tc>
          <w:tcPr>
            <w:tcW w:w="850" w:type="dxa"/>
            <w:shd w:val="clear" w:color="auto" w:fill="C6EFCE"/>
            <w:noWrap/>
          </w:tcPr>
          <w:p w14:paraId="361FBCBD" w14:textId="77777777" w:rsidR="00D924EA" w:rsidRDefault="00D924EA">
            <w:pPr>
              <w:spacing w:after="0" w:line="240" w:lineRule="auto"/>
              <w:jc w:val="center"/>
              <w:rPr>
                <w:rFonts w:ascii="Times New Roman" w:eastAsia="MS Mincho" w:hAnsi="Times New Roman" w:cs="Times New Roman"/>
                <w:noProof/>
                <w:sz w:val="18"/>
                <w:szCs w:val="18"/>
              </w:rPr>
            </w:pPr>
          </w:p>
        </w:tc>
        <w:tc>
          <w:tcPr>
            <w:tcW w:w="844" w:type="dxa"/>
            <w:shd w:val="clear" w:color="auto" w:fill="C6EFCE"/>
            <w:noWrap/>
          </w:tcPr>
          <w:p w14:paraId="7A987413" w14:textId="77777777" w:rsidR="00D924EA" w:rsidRDefault="00D924EA">
            <w:pPr>
              <w:spacing w:after="0" w:line="240" w:lineRule="auto"/>
              <w:jc w:val="center"/>
              <w:rPr>
                <w:rFonts w:ascii="Times New Roman" w:eastAsia="MS Mincho" w:hAnsi="Times New Roman" w:cs="Times New Roman"/>
                <w:noProof/>
                <w:sz w:val="18"/>
                <w:szCs w:val="18"/>
              </w:rPr>
            </w:pPr>
          </w:p>
        </w:tc>
        <w:tc>
          <w:tcPr>
            <w:tcW w:w="368" w:type="dxa"/>
            <w:shd w:val="clear" w:color="auto" w:fill="C6EFCE"/>
            <w:noWrap/>
          </w:tcPr>
          <w:p w14:paraId="45A9FFCD" w14:textId="1B0E95D0" w:rsidR="00D924EA" w:rsidRDefault="005701C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25C741E7" w14:textId="77777777" w:rsidR="00D924EA" w:rsidRDefault="00011DE9">
            <w:pPr>
              <w:pStyle w:val="P68B1DB1-Normal23"/>
              <w:spacing w:after="0" w:line="240" w:lineRule="auto"/>
              <w:jc w:val="center"/>
              <w:rPr>
                <w:rFonts w:eastAsia="MS Mincho" w:cs="Times New Roman"/>
                <w:noProof/>
                <w:szCs w:val="18"/>
              </w:rPr>
            </w:pPr>
            <w:r>
              <w:rPr>
                <w:noProof/>
              </w:rPr>
              <w:t>2023</w:t>
            </w:r>
          </w:p>
        </w:tc>
        <w:tc>
          <w:tcPr>
            <w:tcW w:w="6888" w:type="dxa"/>
            <w:shd w:val="clear" w:color="auto" w:fill="C6EFCE"/>
            <w:noWrap/>
          </w:tcPr>
          <w:p w14:paraId="6837FA01" w14:textId="77777777" w:rsidR="00D924EA" w:rsidRDefault="00011DE9">
            <w:pPr>
              <w:pStyle w:val="P68B1DB1-Normal23"/>
              <w:spacing w:after="0" w:line="240" w:lineRule="auto"/>
              <w:rPr>
                <w:rFonts w:eastAsia="Times New Roman" w:cs="Times New Roman"/>
                <w:noProof/>
                <w:szCs w:val="18"/>
              </w:rPr>
            </w:pPr>
            <w:r>
              <w:rPr>
                <w:noProof/>
              </w:rPr>
              <w:t>Intrarea în vigoare a acordului de punere în aplicare.</w:t>
            </w:r>
          </w:p>
        </w:tc>
      </w:tr>
      <w:tr w:rsidR="00D924EA" w14:paraId="72EE9188" w14:textId="77777777" w:rsidTr="005701C9">
        <w:trPr>
          <w:trHeight w:val="1347"/>
          <w:jc w:val="center"/>
        </w:trPr>
        <w:tc>
          <w:tcPr>
            <w:tcW w:w="832" w:type="dxa"/>
            <w:shd w:val="clear" w:color="auto" w:fill="C6EFCE"/>
            <w:noWrap/>
          </w:tcPr>
          <w:p w14:paraId="507A5E2E" w14:textId="77777777" w:rsidR="00D924EA" w:rsidRDefault="00011DE9">
            <w:pPr>
              <w:pStyle w:val="P68B1DB1-Normal23"/>
              <w:spacing w:line="240" w:lineRule="auto"/>
              <w:jc w:val="center"/>
              <w:rPr>
                <w:rFonts w:cs="Times New Roman"/>
                <w:noProof/>
                <w:szCs w:val="18"/>
              </w:rPr>
            </w:pPr>
            <w:r>
              <w:rPr>
                <w:noProof/>
              </w:rPr>
              <w:t>L6</w:t>
            </w:r>
          </w:p>
        </w:tc>
        <w:tc>
          <w:tcPr>
            <w:tcW w:w="829" w:type="dxa"/>
            <w:shd w:val="clear" w:color="auto" w:fill="C6EFCE"/>
            <w:noWrap/>
          </w:tcPr>
          <w:p w14:paraId="017BE048" w14:textId="77777777" w:rsidR="00D924EA" w:rsidRDefault="00011DE9">
            <w:pPr>
              <w:pStyle w:val="P68B1DB1-Normal23"/>
              <w:spacing w:line="240" w:lineRule="auto"/>
              <w:jc w:val="center"/>
              <w:rPr>
                <w:rFonts w:cs="Times New Roman"/>
                <w:noProof/>
                <w:szCs w:val="18"/>
              </w:rPr>
            </w:pPr>
            <w:r>
              <w:rPr>
                <w:noProof/>
              </w:rPr>
              <w:t>C2.I7</w:t>
            </w:r>
          </w:p>
        </w:tc>
        <w:tc>
          <w:tcPr>
            <w:tcW w:w="828" w:type="dxa"/>
            <w:shd w:val="clear" w:color="auto" w:fill="C6EFCE"/>
            <w:noWrap/>
          </w:tcPr>
          <w:p w14:paraId="0857EE45" w14:textId="74BB367D" w:rsidR="00D924EA" w:rsidRDefault="00011DE9">
            <w:pPr>
              <w:pStyle w:val="P68B1DB1-Normal23"/>
              <w:spacing w:line="240" w:lineRule="auto"/>
              <w:jc w:val="center"/>
              <w:rPr>
                <w:rFonts w:cs="Times New Roman"/>
                <w:noProof/>
                <w:szCs w:val="18"/>
              </w:rPr>
            </w:pPr>
            <w:r>
              <w:rPr>
                <w:noProof/>
              </w:rPr>
              <w:t>M</w:t>
            </w:r>
          </w:p>
        </w:tc>
        <w:tc>
          <w:tcPr>
            <w:tcW w:w="1518" w:type="dxa"/>
            <w:shd w:val="clear" w:color="auto" w:fill="C6EFCE"/>
            <w:noWrap/>
          </w:tcPr>
          <w:p w14:paraId="305C84D1" w14:textId="4D2647C7" w:rsidR="00D924EA" w:rsidRDefault="00011DE9">
            <w:pPr>
              <w:pStyle w:val="P68B1DB1-Normal23"/>
              <w:spacing w:line="240" w:lineRule="auto"/>
              <w:rPr>
                <w:rFonts w:eastAsia="Times New Roman" w:cs="Times New Roman"/>
                <w:noProof/>
                <w:szCs w:val="18"/>
              </w:rPr>
            </w:pPr>
            <w:r>
              <w:rPr>
                <w:noProof/>
              </w:rPr>
              <w:t>Mecanismul de împrumut al ICO pentru promovarea locuințelor sociale: Acorduri juridice semnate cu beneficiarii finali și finalizarea investiției</w:t>
            </w:r>
          </w:p>
        </w:tc>
        <w:tc>
          <w:tcPr>
            <w:tcW w:w="1241" w:type="dxa"/>
            <w:shd w:val="clear" w:color="auto" w:fill="C6EFCE"/>
            <w:noWrap/>
          </w:tcPr>
          <w:p w14:paraId="68600A4C" w14:textId="20C9400A" w:rsidR="00D924EA" w:rsidRDefault="00011DE9">
            <w:pPr>
              <w:pStyle w:val="P68B1DB1-Normal37"/>
              <w:spacing w:line="240" w:lineRule="auto"/>
              <w:jc w:val="center"/>
              <w:rPr>
                <w:rFonts w:ascii="Times New Roman" w:eastAsia="MS Mincho" w:hAnsi="Times New Roman" w:cs="Times New Roman"/>
                <w:noProof/>
                <w:szCs w:val="18"/>
              </w:rPr>
            </w:pPr>
            <w:r>
              <w:rPr>
                <w:rFonts w:ascii="Times New Roman" w:hAnsi="Times New Roman"/>
                <w:noProof/>
              </w:rPr>
              <w:t xml:space="preserve">Acorduri juridice de finanțare semnate </w:t>
            </w:r>
            <w:r>
              <w:rPr>
                <w:rFonts w:ascii="Times New Roman" w:eastAsia="Times New Roman" w:hAnsi="Times New Roman" w:cs="Times New Roman"/>
                <w:noProof/>
                <w:szCs w:val="18"/>
              </w:rPr>
              <w:t>și certificat de transfer</w:t>
            </w:r>
          </w:p>
        </w:tc>
        <w:tc>
          <w:tcPr>
            <w:tcW w:w="701" w:type="dxa"/>
            <w:shd w:val="clear" w:color="auto" w:fill="C6EFCE"/>
            <w:noWrap/>
          </w:tcPr>
          <w:p w14:paraId="4777E8ED" w14:textId="77777777" w:rsidR="00D924EA" w:rsidRDefault="00D924EA">
            <w:pPr>
              <w:spacing w:line="240" w:lineRule="auto"/>
              <w:jc w:val="center"/>
              <w:rPr>
                <w:rFonts w:ascii="Times New Roman" w:eastAsia="MS Mincho" w:hAnsi="Times New Roman" w:cs="Times New Roman"/>
                <w:noProof/>
                <w:sz w:val="18"/>
                <w:szCs w:val="18"/>
              </w:rPr>
            </w:pPr>
          </w:p>
        </w:tc>
        <w:tc>
          <w:tcPr>
            <w:tcW w:w="850" w:type="dxa"/>
            <w:shd w:val="clear" w:color="auto" w:fill="C6EFCE"/>
            <w:noWrap/>
          </w:tcPr>
          <w:p w14:paraId="5E2FB00D" w14:textId="63AA7D4C" w:rsidR="00D924EA" w:rsidRDefault="00D924EA">
            <w:pPr>
              <w:spacing w:line="240" w:lineRule="auto"/>
              <w:jc w:val="center"/>
              <w:rPr>
                <w:rFonts w:ascii="Times New Roman" w:eastAsia="MS Mincho" w:hAnsi="Times New Roman" w:cs="Times New Roman"/>
                <w:noProof/>
                <w:sz w:val="18"/>
                <w:szCs w:val="18"/>
              </w:rPr>
            </w:pPr>
          </w:p>
        </w:tc>
        <w:tc>
          <w:tcPr>
            <w:tcW w:w="844" w:type="dxa"/>
            <w:shd w:val="clear" w:color="auto" w:fill="C6EFCE"/>
            <w:noWrap/>
          </w:tcPr>
          <w:p w14:paraId="6681C866" w14:textId="1E95B942" w:rsidR="00D924EA" w:rsidRDefault="00D924EA">
            <w:pPr>
              <w:spacing w:line="240" w:lineRule="auto"/>
              <w:jc w:val="center"/>
              <w:rPr>
                <w:rFonts w:ascii="Times New Roman" w:eastAsia="MS Mincho" w:hAnsi="Times New Roman" w:cs="Times New Roman"/>
                <w:noProof/>
                <w:sz w:val="18"/>
                <w:szCs w:val="18"/>
              </w:rPr>
            </w:pPr>
          </w:p>
        </w:tc>
        <w:tc>
          <w:tcPr>
            <w:tcW w:w="368" w:type="dxa"/>
            <w:shd w:val="clear" w:color="auto" w:fill="C6EFCE"/>
            <w:noWrap/>
          </w:tcPr>
          <w:p w14:paraId="1BF1DD8E" w14:textId="36382A2F" w:rsidR="00D924EA" w:rsidRDefault="005701C9">
            <w:pPr>
              <w:pStyle w:val="P68B1DB1-Normal23"/>
              <w:spacing w:line="240" w:lineRule="auto"/>
              <w:jc w:val="center"/>
              <w:rPr>
                <w:rFonts w:eastAsia="MS Mincho" w:cs="Times New Roman"/>
                <w:noProof/>
                <w:szCs w:val="18"/>
              </w:rPr>
            </w:pPr>
            <w:r>
              <w:rPr>
                <w:noProof/>
              </w:rPr>
              <w:t>T2</w:t>
            </w:r>
          </w:p>
        </w:tc>
        <w:tc>
          <w:tcPr>
            <w:tcW w:w="553" w:type="dxa"/>
            <w:shd w:val="clear" w:color="auto" w:fill="C6EFCE"/>
            <w:noWrap/>
          </w:tcPr>
          <w:p w14:paraId="28CD44AA" w14:textId="77777777" w:rsidR="00D924EA" w:rsidRDefault="00011DE9">
            <w:pPr>
              <w:pStyle w:val="P68B1DB1-Normal23"/>
              <w:spacing w:line="240" w:lineRule="auto"/>
              <w:jc w:val="center"/>
              <w:rPr>
                <w:rFonts w:eastAsia="MS Mincho" w:cs="Times New Roman"/>
                <w:noProof/>
                <w:szCs w:val="18"/>
              </w:rPr>
            </w:pPr>
            <w:r>
              <w:rPr>
                <w:noProof/>
              </w:rPr>
              <w:t>2026</w:t>
            </w:r>
          </w:p>
        </w:tc>
        <w:tc>
          <w:tcPr>
            <w:tcW w:w="6888" w:type="dxa"/>
            <w:shd w:val="clear" w:color="auto" w:fill="C6EFCE"/>
            <w:noWrap/>
          </w:tcPr>
          <w:p w14:paraId="65CFEA73" w14:textId="77777777" w:rsidR="00D924EA" w:rsidRDefault="00011DE9">
            <w:pPr>
              <w:pStyle w:val="P68B1DB1-Normal23"/>
              <w:spacing w:line="240" w:lineRule="auto"/>
              <w:rPr>
                <w:noProof/>
              </w:rPr>
            </w:pPr>
            <w:r>
              <w:rPr>
                <w:noProof/>
              </w:rPr>
              <w:t>ICO și intermediarii selectați de ICO trebuie să fi încheiat acorduri de finanțare legală cu beneficiarii finali, pentru o sumă necesară pentru a utiliza 100 % din investițiile MRR în mecanism (ținând seama de comisioanele de gestionare). Cel puțin 53 % din această finanțare contribuie la obiectivele climatice utilizând metodologia din anexa VI la Regulamentul privind MRR.</w:t>
            </w:r>
          </w:p>
          <w:p w14:paraId="74621C8F" w14:textId="77777777" w:rsidR="00D924EA" w:rsidRDefault="00011DE9">
            <w:pPr>
              <w:pStyle w:val="P68B1DB1-Normal29"/>
              <w:spacing w:line="240" w:lineRule="auto"/>
              <w:rPr>
                <w:rFonts w:eastAsia="Times New Roman" w:cs="Times New Roman"/>
                <w:noProof/>
                <w:sz w:val="18"/>
                <w:szCs w:val="18"/>
              </w:rPr>
            </w:pPr>
            <w:r>
              <w:rPr>
                <w:noProof/>
                <w:sz w:val="18"/>
              </w:rPr>
              <w:t>Spania transferă</w:t>
            </w:r>
            <w:r>
              <w:rPr>
                <w:noProof/>
                <w:sz w:val="20"/>
              </w:rPr>
              <w:t xml:space="preserve"> </w:t>
            </w:r>
            <w:r>
              <w:rPr>
                <w:noProof/>
                <w:sz w:val="18"/>
              </w:rPr>
              <w:t>750</w:t>
            </w:r>
            <w:r>
              <w:rPr>
                <w:noProof/>
                <w:sz w:val="20"/>
              </w:rPr>
              <w:t xml:space="preserve"> </w:t>
            </w:r>
            <w:r>
              <w:rPr>
                <w:noProof/>
                <w:sz w:val="18"/>
              </w:rPr>
              <w:t>000</w:t>
            </w:r>
            <w:r>
              <w:rPr>
                <w:noProof/>
                <w:sz w:val="20"/>
              </w:rPr>
              <w:t xml:space="preserve"> </w:t>
            </w:r>
            <w:r>
              <w:rPr>
                <w:noProof/>
                <w:sz w:val="18"/>
              </w:rPr>
              <w:t>000 EUR către mecanismul ICO.</w:t>
            </w:r>
          </w:p>
        </w:tc>
      </w:tr>
    </w:tbl>
    <w:p w14:paraId="7C1619D8" w14:textId="77777777" w:rsidR="00D924EA" w:rsidRDefault="00D924EA">
      <w:pPr>
        <w:spacing w:before="120" w:after="120" w:line="240" w:lineRule="auto"/>
        <w:jc w:val="both"/>
        <w:rPr>
          <w:rFonts w:ascii="Times New Roman" w:hAnsi="Times New Roman" w:cs="Times New Roman"/>
          <w:noProof/>
        </w:rPr>
      </w:pPr>
    </w:p>
    <w:p w14:paraId="5009DAFB" w14:textId="77777777" w:rsidR="00D924EA" w:rsidRDefault="00D924EA">
      <w:pPr>
        <w:rPr>
          <w:rFonts w:ascii="Times New Roman" w:hAnsi="Times New Roman" w:cs="Times New Roman"/>
          <w:noProof/>
        </w:rPr>
        <w:sectPr w:rsidR="00D924EA" w:rsidSect="00014682">
          <w:headerReference w:type="even" r:id="rId58"/>
          <w:headerReference w:type="default" r:id="rId59"/>
          <w:footerReference w:type="even" r:id="rId60"/>
          <w:footerReference w:type="default" r:id="rId61"/>
          <w:headerReference w:type="first" r:id="rId62"/>
          <w:footerReference w:type="first" r:id="rId63"/>
          <w:pgSz w:w="16839" w:h="11907" w:orient="landscape"/>
          <w:pgMar w:top="1134" w:right="1134" w:bottom="1134" w:left="1134" w:header="567" w:footer="567" w:gutter="0"/>
          <w:cols w:space="720"/>
          <w:docGrid w:linePitch="360"/>
        </w:sectPr>
      </w:pPr>
    </w:p>
    <w:p w14:paraId="46809C2D" w14:textId="77777777" w:rsidR="00D924EA" w:rsidRDefault="00011DE9">
      <w:pPr>
        <w:pStyle w:val="Heading1"/>
        <w:rPr>
          <w:rFonts w:cs="Times New Roman"/>
          <w:noProof/>
        </w:rPr>
      </w:pPr>
      <w:r>
        <w:rPr>
          <w:noProof/>
        </w:rPr>
        <w:t>C. COMPONENTA 03: Transformarea ecologică și digitală a sistemului agroalimentar și de pescuit</w:t>
      </w:r>
    </w:p>
    <w:p w14:paraId="4EF431C1" w14:textId="77777777" w:rsidR="00D924EA" w:rsidRDefault="00011DE9">
      <w:pPr>
        <w:pStyle w:val="P68B1DB1-Normal29"/>
        <w:spacing w:before="120" w:after="120" w:line="240" w:lineRule="auto"/>
        <w:jc w:val="both"/>
        <w:rPr>
          <w:rFonts w:cs="Times New Roman"/>
          <w:noProof/>
        </w:rPr>
      </w:pPr>
      <w:r>
        <w:rPr>
          <w:noProof/>
        </w:rPr>
        <w:t>Această componentă a planului spaniol de redresare și reziliență va îmbunătăți sustenabilitatea, competitivitatea și reziliența sectorului agroalimentar și al pescuitului din punct de vedere economic, ecologic și social. Pentru a îndeplini acest obiectiv, investițiile și reformele incluse în această componentă a planului spaniol de redresare și reziliență se axează</w:t>
      </w:r>
      <w:r>
        <w:rPr>
          <w:b/>
          <w:noProof/>
        </w:rPr>
        <w:t xml:space="preserve"> </w:t>
      </w:r>
      <w:r>
        <w:rPr>
          <w:noProof/>
        </w:rPr>
        <w:t>pe următoarele elemente:</w:t>
      </w:r>
    </w:p>
    <w:p w14:paraId="092596ED" w14:textId="77777777" w:rsidR="00D924EA" w:rsidRDefault="00011DE9">
      <w:pPr>
        <w:pStyle w:val="P68B1DB1-Normal29"/>
        <w:numPr>
          <w:ilvl w:val="0"/>
          <w:numId w:val="27"/>
        </w:numPr>
        <w:spacing w:before="120" w:after="120" w:line="240" w:lineRule="auto"/>
        <w:ind w:left="425" w:hanging="425"/>
        <w:contextualSpacing/>
        <w:jc w:val="both"/>
        <w:rPr>
          <w:rFonts w:cs="Times New Roman"/>
          <w:noProof/>
        </w:rPr>
      </w:pPr>
      <w:r>
        <w:rPr>
          <w:noProof/>
        </w:rPr>
        <w:t>Îmbunătățirea eficienței și sustenabilității irigațiilor;</w:t>
      </w:r>
    </w:p>
    <w:p w14:paraId="021BC576" w14:textId="77777777" w:rsidR="00D924EA" w:rsidRDefault="00011DE9">
      <w:pPr>
        <w:pStyle w:val="P68B1DB1-Normal29"/>
        <w:numPr>
          <w:ilvl w:val="0"/>
          <w:numId w:val="27"/>
        </w:numPr>
        <w:spacing w:before="120" w:after="120" w:line="240" w:lineRule="auto"/>
        <w:ind w:left="425" w:hanging="425"/>
        <w:contextualSpacing/>
        <w:jc w:val="both"/>
        <w:rPr>
          <w:rFonts w:cs="Times New Roman"/>
          <w:noProof/>
        </w:rPr>
      </w:pPr>
      <w:r>
        <w:rPr>
          <w:noProof/>
        </w:rPr>
        <w:t>stimularea sustenabilității și a competitivității agriculturii și a creșterii animalelor;</w:t>
      </w:r>
    </w:p>
    <w:p w14:paraId="7E72FEA7" w14:textId="77777777" w:rsidR="00D924EA" w:rsidRDefault="00011DE9">
      <w:pPr>
        <w:pStyle w:val="P68B1DB1-Normal29"/>
        <w:numPr>
          <w:ilvl w:val="0"/>
          <w:numId w:val="27"/>
        </w:numPr>
        <w:spacing w:before="120" w:after="120" w:line="240" w:lineRule="auto"/>
        <w:ind w:left="425" w:hanging="425"/>
        <w:contextualSpacing/>
        <w:jc w:val="both"/>
        <w:rPr>
          <w:noProof/>
        </w:rPr>
      </w:pPr>
      <w:r>
        <w:rPr>
          <w:noProof/>
        </w:rPr>
        <w:t>punerea în aplicare a unei strategii de promovare a digitalizării în sectorul agroalimentar și în cel rural în ansamblu; și</w:t>
      </w:r>
    </w:p>
    <w:p w14:paraId="1CA0551E" w14:textId="77777777" w:rsidR="00D924EA" w:rsidRDefault="00011DE9">
      <w:pPr>
        <w:pStyle w:val="P68B1DB1-Normal29"/>
        <w:numPr>
          <w:ilvl w:val="0"/>
          <w:numId w:val="27"/>
        </w:numPr>
        <w:spacing w:before="120" w:after="120" w:line="240" w:lineRule="auto"/>
        <w:ind w:left="425" w:hanging="425"/>
        <w:contextualSpacing/>
        <w:jc w:val="both"/>
        <w:rPr>
          <w:rFonts w:cs="Times New Roman"/>
          <w:noProof/>
        </w:rPr>
      </w:pPr>
      <w:r>
        <w:rPr>
          <w:noProof/>
        </w:rPr>
        <w:t>stimularea sustenabilității, a cercetării, a inovării și a digitalizării sectorului pescuitului.</w:t>
      </w:r>
    </w:p>
    <w:p w14:paraId="4DEE2176" w14:textId="77777777" w:rsidR="00D924EA" w:rsidRDefault="00011DE9">
      <w:pPr>
        <w:pStyle w:val="P68B1DB1-Normal29"/>
        <w:spacing w:before="120" w:after="120" w:line="240" w:lineRule="auto"/>
        <w:jc w:val="both"/>
        <w:rPr>
          <w:rFonts w:cs="Times New Roman"/>
          <w:noProof/>
        </w:rPr>
      </w:pPr>
      <w:r>
        <w:rPr>
          <w:noProof/>
        </w:rPr>
        <w:t>Componenta abordează recomandările specifice fiecărei țări privind promovarea investițiilor în inovare și în eficiența energetică (Recomandarea specifică fiecărei țări 3 2019), îmbunătățirea accesului la învățarea digitală (Recomandarea specifică fiecărei țări 2 2020) și privind promovarea investițiilor publice și private și încurajarea tranziției verzi (Recomandarea specifică fiecărei țări 3 2020).</w:t>
      </w:r>
    </w:p>
    <w:p w14:paraId="4386833C" w14:textId="77777777" w:rsidR="00D924EA" w:rsidRDefault="00011DE9">
      <w:pPr>
        <w:pStyle w:val="P68B1DB1-Normal29"/>
        <w:spacing w:before="120" w:after="120" w:line="240" w:lineRule="auto"/>
        <w:jc w:val="both"/>
        <w:rPr>
          <w:rFonts w:cs="Times New Roman"/>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1A6566B2" w14:textId="617CFBCF" w:rsidR="00D924EA" w:rsidRDefault="00011DE9">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C.1.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3F218298" w14:textId="77777777" w:rsidR="00D924EA" w:rsidRDefault="00011DE9">
      <w:pPr>
        <w:pStyle w:val="P68B1DB1-Normal30"/>
        <w:spacing w:before="120" w:after="120" w:line="240" w:lineRule="auto"/>
        <w:jc w:val="both"/>
        <w:rPr>
          <w:rFonts w:cs="Times New Roman"/>
          <w:noProof/>
        </w:rPr>
      </w:pPr>
      <w:r>
        <w:rPr>
          <w:noProof/>
        </w:rPr>
        <w:t>Reforma 1 (C3.R1) – Modificarea normelor care reglementează relațiile comerciale în cadrul lanțului alimentar, inclusiv modificarea Legii nr. 12/2013 din 2 august 2007 privind măsurile de îmbunătățire a funcționării lanțului alimentar</w:t>
      </w:r>
    </w:p>
    <w:p w14:paraId="039BE973" w14:textId="1FF4A58B" w:rsidR="00D924EA" w:rsidRDefault="00011DE9">
      <w:pPr>
        <w:pStyle w:val="P68B1DB1-Normal29"/>
        <w:spacing w:before="120" w:after="120" w:line="240" w:lineRule="auto"/>
        <w:jc w:val="both"/>
        <w:rPr>
          <w:rFonts w:cs="Times New Roman"/>
          <w:noProof/>
        </w:rPr>
      </w:pPr>
      <w:r>
        <w:rPr>
          <w:noProof/>
        </w:rPr>
        <w:t>Obiectivul acestei măsuri este de a îmbunătăți funcționarea lanțului alimentar prin modificarea legislației naționale care reglementează relațiile comerciale din cadrul lanțului alimentar (Legea nr.</w:t>
      </w:r>
      <w:r w:rsidR="0042520D">
        <w:rPr>
          <w:noProof/>
        </w:rPr>
        <w:t> </w:t>
      </w:r>
      <w:r>
        <w:rPr>
          <w:noProof/>
        </w:rPr>
        <w:t>12/2013), inclusiv, dar dincolo de transpunerea Directivei (UE) 2019/633. Măsura acoperă cel puțin:</w:t>
      </w:r>
    </w:p>
    <w:p w14:paraId="0F57874B" w14:textId="455B6010" w:rsidR="00D924EA" w:rsidRDefault="00011DE9">
      <w:pPr>
        <w:pStyle w:val="P68B1DB1-Normal29"/>
        <w:numPr>
          <w:ilvl w:val="0"/>
          <w:numId w:val="28"/>
        </w:numPr>
        <w:spacing w:before="120" w:after="120" w:line="240" w:lineRule="auto"/>
        <w:ind w:left="425" w:hanging="425"/>
        <w:contextualSpacing/>
        <w:jc w:val="both"/>
        <w:rPr>
          <w:rFonts w:cs="Times New Roman"/>
          <w:noProof/>
        </w:rPr>
      </w:pPr>
      <w:r>
        <w:rPr>
          <w:noProof/>
        </w:rPr>
        <w:t>Extinderea domeniului de aplicare al legii prin includerea (i) relațiilor comerciale atât cu statele membre, cât și cu țările terțe ori de câte ori un operator se află în Spania și (ii) a materiilor prime și a altor produse care intră sub incidența anexei I la Tratatul privind funcționarea Uniunii</w:t>
      </w:r>
      <w:r w:rsidR="0042520D">
        <w:rPr>
          <w:noProof/>
        </w:rPr>
        <w:t> </w:t>
      </w:r>
      <w:r>
        <w:rPr>
          <w:noProof/>
        </w:rPr>
        <w:t>Europene;</w:t>
      </w:r>
    </w:p>
    <w:p w14:paraId="2BEE09A9" w14:textId="77777777" w:rsidR="00D924EA" w:rsidRDefault="00011DE9">
      <w:pPr>
        <w:pStyle w:val="P68B1DB1-Normal29"/>
        <w:numPr>
          <w:ilvl w:val="0"/>
          <w:numId w:val="28"/>
        </w:numPr>
        <w:spacing w:before="120" w:after="120" w:line="240" w:lineRule="auto"/>
        <w:ind w:left="425" w:hanging="425"/>
        <w:contextualSpacing/>
        <w:jc w:val="both"/>
        <w:rPr>
          <w:rFonts w:cs="Times New Roman"/>
          <w:noProof/>
        </w:rPr>
      </w:pPr>
      <w:r>
        <w:rPr>
          <w:noProof/>
        </w:rPr>
        <w:t>extinderea conținutului minim al contractelor alimentare prin includerea (i) sancțiunilor contractuale, (ii) excepțiilor din motive de forță majoră și (iii) a unei trimiteri la cererea de mediere a părților implicate pentru a aborda cazurile de neconformare;</w:t>
      </w:r>
    </w:p>
    <w:p w14:paraId="65F561D3" w14:textId="77777777" w:rsidR="00D924EA" w:rsidRDefault="00011DE9">
      <w:pPr>
        <w:pStyle w:val="P68B1DB1-Normal29"/>
        <w:numPr>
          <w:ilvl w:val="0"/>
          <w:numId w:val="28"/>
        </w:numPr>
        <w:spacing w:before="120" w:after="120" w:line="240" w:lineRule="auto"/>
        <w:ind w:left="425" w:hanging="425"/>
        <w:contextualSpacing/>
        <w:jc w:val="both"/>
        <w:rPr>
          <w:noProof/>
        </w:rPr>
      </w:pPr>
      <w:r>
        <w:rPr>
          <w:noProof/>
        </w:rPr>
        <w:t>extinderea listei practicilor comerciale neloiale, cum ar fi modificarea unilaterală a contractelor în ceea ce privește volumul sau returnarea produselor nevândute; și</w:t>
      </w:r>
    </w:p>
    <w:p w14:paraId="11B6B5CB" w14:textId="77777777" w:rsidR="00D924EA" w:rsidRDefault="00011DE9">
      <w:pPr>
        <w:numPr>
          <w:ilvl w:val="0"/>
          <w:numId w:val="28"/>
        </w:numPr>
        <w:spacing w:before="120" w:after="120" w:line="240" w:lineRule="auto"/>
        <w:ind w:left="425" w:hanging="425"/>
        <w:contextualSpacing/>
        <w:jc w:val="both"/>
        <w:rPr>
          <w:rFonts w:ascii="Times New Roman" w:hAnsi="Times New Roman" w:cs="Times New Roman"/>
          <w:noProof/>
        </w:rPr>
      </w:pPr>
      <w:r>
        <w:rPr>
          <w:rFonts w:ascii="Times New Roman" w:hAnsi="Times New Roman"/>
          <w:noProof/>
        </w:rPr>
        <w:t>recunoașterea Agenției de Informare și Control al Alimentelor ca organism responsabil cu instituirea și dezvoltarea sistemului de control necesar pentru verificarea respectării legislației la nivel național și ca punct de contact pentru cooperarea dintre autoritățile de aplicare a legii, precum și cu Comisia Europeană și comunitățile autonome în zonele lor teritoriale respective.</w:t>
      </w:r>
      <w:r>
        <w:rPr>
          <w:noProof/>
        </w:rPr>
        <w:tab/>
      </w:r>
    </w:p>
    <w:p w14:paraId="2968F3EE" w14:textId="3C40CB82" w:rsidR="00D924EA" w:rsidRDefault="00011DE9">
      <w:pPr>
        <w:pStyle w:val="P68B1DB1-Normal29"/>
        <w:spacing w:before="120" w:after="120" w:line="240" w:lineRule="auto"/>
        <w:jc w:val="both"/>
        <w:rPr>
          <w:rFonts w:cs="Times New Roman"/>
          <w:noProof/>
        </w:rPr>
      </w:pPr>
      <w:r>
        <w:rPr>
          <w:noProof/>
        </w:rPr>
        <w:t>Măsura este complementară (i) Decretului-lege regal nr. 5/2020 din 25 februarie 2020, care a adoptat măsuri urgente privind agricultura și alimentele, și (ii) Legii nr. 8/2020 de modificare a Legii nr.</w:t>
      </w:r>
      <w:r w:rsidR="0042520D">
        <w:rPr>
          <w:noProof/>
        </w:rPr>
        <w:t> </w:t>
      </w:r>
      <w:r>
        <w:rPr>
          <w:noProof/>
        </w:rPr>
        <w:t>12/2013 privind măsuri urgente pentru îmbunătățirea funcționării lanțului alimentar.</w:t>
      </w:r>
    </w:p>
    <w:p w14:paraId="3A62BA5E" w14:textId="77777777" w:rsidR="00D924EA" w:rsidRDefault="00011DE9">
      <w:pPr>
        <w:pStyle w:val="P68B1DB1-Normal29"/>
        <w:spacing w:before="120" w:after="120" w:line="240" w:lineRule="auto"/>
        <w:jc w:val="both"/>
        <w:rPr>
          <w:rFonts w:cs="Times New Roman"/>
          <w:noProof/>
        </w:rPr>
      </w:pPr>
      <w:r>
        <w:rPr>
          <w:noProof/>
        </w:rPr>
        <w:t>Punerea în aplicare a măsurii se finalizează până la 31 decembrie 2021.</w:t>
      </w:r>
    </w:p>
    <w:p w14:paraId="789477DE" w14:textId="77777777" w:rsidR="00D924EA" w:rsidRDefault="00011DE9">
      <w:pPr>
        <w:pStyle w:val="P68B1DB1-Normal30"/>
        <w:spacing w:before="120" w:after="120" w:line="240" w:lineRule="auto"/>
        <w:jc w:val="both"/>
        <w:rPr>
          <w:rFonts w:cs="Times New Roman"/>
          <w:noProof/>
        </w:rPr>
      </w:pPr>
      <w:r>
        <w:rPr>
          <w:noProof/>
        </w:rPr>
        <w:t>Reforma 2 (C3.R2) – Elaborarea și revizuirea cadrului de reglementare pentru sustenabilitatea din punctul de vedere al mediului a creșterii animalelor</w:t>
      </w:r>
    </w:p>
    <w:p w14:paraId="72C78A0A" w14:textId="77777777" w:rsidR="00D924EA" w:rsidRDefault="00011DE9">
      <w:pPr>
        <w:pStyle w:val="P68B1DB1-Normal29"/>
        <w:spacing w:before="120" w:after="120" w:line="240" w:lineRule="auto"/>
        <w:jc w:val="both"/>
        <w:rPr>
          <w:rFonts w:cs="Times New Roman"/>
          <w:noProof/>
        </w:rPr>
      </w:pPr>
      <w:r>
        <w:rPr>
          <w:noProof/>
        </w:rPr>
        <w:t>Această măsură îmbunătățește sustenabilitatea ecologică a creșterii animalelor prin dezvoltarea și revizuirea cadrului legislativ după cum urmează:</w:t>
      </w:r>
    </w:p>
    <w:p w14:paraId="6C078E5A" w14:textId="77777777" w:rsidR="00D924EA" w:rsidRDefault="00011DE9">
      <w:pPr>
        <w:pStyle w:val="P68B1DB1-Normal29"/>
        <w:numPr>
          <w:ilvl w:val="0"/>
          <w:numId w:val="29"/>
        </w:numPr>
        <w:spacing w:before="120" w:after="120" w:line="240" w:lineRule="auto"/>
        <w:ind w:left="425" w:hanging="425"/>
        <w:contextualSpacing/>
        <w:jc w:val="both"/>
        <w:rPr>
          <w:rFonts w:cs="Times New Roman"/>
          <w:noProof/>
        </w:rPr>
      </w:pPr>
      <w:r>
        <w:rPr>
          <w:noProof/>
        </w:rPr>
        <w:t>Dezvoltarea unui registru general al celor mai bune tehnici disponibile (BAT) pentru a facilita calcularea emisiilor poluante și de gaze cu efect de seră (GES) în fermele de porcine și de păsări de curte, precum și acoperirea altor date de mediu. Aceasta oferă o mai bună evaluare a respectării de către crescătorii de animale a angajamentelor privind emisiile de gaze cu efect de seră și de poluanți.</w:t>
      </w:r>
    </w:p>
    <w:p w14:paraId="78ED021C" w14:textId="77777777" w:rsidR="00D924EA" w:rsidRDefault="00011DE9">
      <w:pPr>
        <w:pStyle w:val="P68B1DB1-Normal29"/>
        <w:numPr>
          <w:ilvl w:val="0"/>
          <w:numId w:val="29"/>
        </w:numPr>
        <w:spacing w:before="120" w:after="120" w:line="240" w:lineRule="auto"/>
        <w:ind w:left="426" w:hanging="426"/>
        <w:jc w:val="both"/>
        <w:rPr>
          <w:rFonts w:cs="Times New Roman"/>
          <w:noProof/>
        </w:rPr>
      </w:pPr>
      <w:r>
        <w:rPr>
          <w:noProof/>
        </w:rPr>
        <w:t>Revizuirea treptată a legislației de planificare în sectoarele creșterii animalelor, care stabilește cerințe privind amplasarea, distanța, dimensiunea, condițiile de sănătate, biosecuritatea și infrastructura de mediu și de bunăstare a animalelor în fermele din sectoarele care dispun deja de aceasta (creșterea porcinelor), precum și stabilirea unui nou cadru de reglementare în sectoare (creșterea păsărilor de curte), care nu fusese încă reglementat. Aceasta stabilește angajamente sectoriale individuale de reducere a emisiilor, stabilind cerințe în funcție de contribuția acestora la generarea poluanților, în aplicarea principiului proporționalității.</w:t>
      </w:r>
    </w:p>
    <w:p w14:paraId="3776F045" w14:textId="77777777" w:rsidR="00D924EA" w:rsidRDefault="00011DE9">
      <w:pPr>
        <w:pStyle w:val="P68B1DB1-Normal29"/>
        <w:spacing w:before="120" w:after="120" w:line="240" w:lineRule="auto"/>
        <w:jc w:val="both"/>
        <w:rPr>
          <w:rFonts w:cs="Times New Roman"/>
          <w:noProof/>
        </w:rPr>
      </w:pPr>
      <w:r>
        <w:rPr>
          <w:noProof/>
        </w:rPr>
        <w:t>Măsura include ambele dispoziții legislative, care urmează să fie publicate până la sfârșitul anului 2022. De asemenea, se anticipează că punerea în aplicare a registrului general al BAT va fi operațională pentru fermele de porcine și de păsări de curte până la 31 decembrie 2023. Aplicarea legislației revizuite privind planificarea se realizează progresiv în termen de aproximativ doi ani de la publicarea acesteia.</w:t>
      </w:r>
    </w:p>
    <w:p w14:paraId="68EC69E5" w14:textId="77777777" w:rsidR="00D924EA" w:rsidRDefault="00011DE9">
      <w:pPr>
        <w:pStyle w:val="P68B1DB1-Normal29"/>
        <w:spacing w:before="120" w:after="120" w:line="240" w:lineRule="auto"/>
        <w:contextualSpacing/>
        <w:jc w:val="both"/>
        <w:rPr>
          <w:rFonts w:cs="Times New Roman"/>
          <w:noProof/>
        </w:rPr>
      </w:pPr>
      <w:r>
        <w:rPr>
          <w:noProof/>
        </w:rPr>
        <w:t>În plus, această măsură vizează:</w:t>
      </w:r>
    </w:p>
    <w:p w14:paraId="50A7666F" w14:textId="77777777" w:rsidR="00D924EA" w:rsidRDefault="00011DE9">
      <w:pPr>
        <w:pStyle w:val="P68B1DB1-Normal29"/>
        <w:numPr>
          <w:ilvl w:val="0"/>
          <w:numId w:val="39"/>
        </w:numPr>
        <w:spacing w:before="120" w:after="120" w:line="240" w:lineRule="auto"/>
        <w:ind w:left="425" w:hanging="425"/>
        <w:contextualSpacing/>
        <w:jc w:val="both"/>
        <w:rPr>
          <w:rFonts w:cs="Times New Roman"/>
          <w:noProof/>
        </w:rPr>
      </w:pPr>
      <w:r>
        <w:rPr>
          <w:noProof/>
        </w:rPr>
        <w:t xml:space="preserve">Îmbunătățirea biosecurității transportului de animale în ceea ce privește bolile transmisibile ale animalelor. Noul regulament va încorpora digitalizarea și noile tehnologii în vehiculele utilizate ca mijloace de transport, precum și în centrele de curățare și dezinfectare. </w:t>
      </w:r>
    </w:p>
    <w:p w14:paraId="41118DE9" w14:textId="159C03DF" w:rsidR="00D924EA" w:rsidRDefault="00011DE9">
      <w:pPr>
        <w:pStyle w:val="P68B1DB1-Normal29"/>
        <w:numPr>
          <w:ilvl w:val="0"/>
          <w:numId w:val="39"/>
        </w:numPr>
        <w:spacing w:before="120" w:after="120" w:line="240" w:lineRule="auto"/>
        <w:ind w:left="425" w:hanging="425"/>
        <w:contextualSpacing/>
        <w:jc w:val="both"/>
        <w:rPr>
          <w:rFonts w:cs="Times New Roman"/>
          <w:noProof/>
        </w:rPr>
      </w:pPr>
      <w:r>
        <w:rPr>
          <w:noProof/>
        </w:rPr>
        <w:t>Reglementarea utilizării antibioticelor la speciile de interes pentru animale, utilizând o metodă de calculare a consumului regulat și trimestrial de antibiotice per exploatație de animale și indicatorul național de referință. Regulamentul descrie măsurile care trebuie luate pe baza rezultatelor. Legislația prevede o perioadă de tranziție de un an pentru exploatațiile de creștere a animalelor care nu au obligația de a avea un sistem integrat de gestionare în legislația lor sectorială.</w:t>
      </w:r>
      <w:r w:rsidR="00971820">
        <w:rPr>
          <w:noProof/>
        </w:rPr>
        <w:t xml:space="preserve"> </w:t>
      </w:r>
      <w:r>
        <w:rPr>
          <w:noProof/>
        </w:rPr>
        <w:t xml:space="preserve"> </w:t>
      </w:r>
    </w:p>
    <w:p w14:paraId="597DF876" w14:textId="77777777" w:rsidR="00D924EA" w:rsidRDefault="00D924EA">
      <w:pPr>
        <w:spacing w:before="120" w:after="120" w:line="240" w:lineRule="auto"/>
        <w:ind w:left="425"/>
        <w:contextualSpacing/>
        <w:jc w:val="both"/>
        <w:rPr>
          <w:rFonts w:ascii="Times New Roman" w:hAnsi="Times New Roman" w:cs="Times New Roman"/>
          <w:noProof/>
        </w:rPr>
      </w:pPr>
    </w:p>
    <w:p w14:paraId="50B1B862" w14:textId="77777777" w:rsidR="00D924EA" w:rsidRDefault="00011DE9">
      <w:pPr>
        <w:pStyle w:val="P68B1DB1-Normal29"/>
        <w:spacing w:before="120" w:after="120" w:line="240" w:lineRule="auto"/>
        <w:contextualSpacing/>
        <w:jc w:val="both"/>
        <w:rPr>
          <w:rFonts w:cs="Times New Roman"/>
          <w:noProof/>
        </w:rPr>
      </w:pPr>
      <w:r>
        <w:rPr>
          <w:noProof/>
        </w:rPr>
        <w:t>Punerea în aplicare a măsurii se finalizează până la 30 iunie 2023.</w:t>
      </w:r>
    </w:p>
    <w:p w14:paraId="4CFB688F" w14:textId="77777777" w:rsidR="00D924EA" w:rsidRDefault="00D924EA">
      <w:pPr>
        <w:spacing w:before="120" w:after="120" w:line="240" w:lineRule="auto"/>
        <w:jc w:val="both"/>
        <w:rPr>
          <w:rFonts w:ascii="Times New Roman" w:hAnsi="Times New Roman" w:cs="Times New Roman"/>
          <w:noProof/>
          <w:u w:val="single"/>
        </w:rPr>
      </w:pPr>
    </w:p>
    <w:p w14:paraId="63E7116F" w14:textId="77777777" w:rsidR="00D924EA" w:rsidRDefault="00011DE9">
      <w:pPr>
        <w:pStyle w:val="P68B1DB1-Normal30"/>
        <w:spacing w:before="120" w:after="120" w:line="240" w:lineRule="auto"/>
        <w:jc w:val="both"/>
        <w:rPr>
          <w:rFonts w:cs="Times New Roman"/>
          <w:noProof/>
        </w:rPr>
      </w:pPr>
      <w:r>
        <w:rPr>
          <w:noProof/>
        </w:rPr>
        <w:t>Reforma 3 (C3.R3) – Cadrul legislativ privind nutriția durabilă în solurile agricole și legislația privind poluarea de origine agricolă</w:t>
      </w:r>
    </w:p>
    <w:p w14:paraId="3294C736" w14:textId="77777777" w:rsidR="00D924EA" w:rsidRDefault="00011DE9">
      <w:pPr>
        <w:pStyle w:val="P68B1DB1-Normal29"/>
        <w:spacing w:before="120" w:after="120" w:line="240" w:lineRule="auto"/>
        <w:jc w:val="both"/>
        <w:rPr>
          <w:rFonts w:cs="Times New Roman"/>
          <w:noProof/>
        </w:rPr>
      </w:pPr>
      <w:r>
        <w:rPr>
          <w:noProof/>
        </w:rPr>
        <w:t>Obiectivul acestei măsuri este de a reglementa fertilizarea agricolă pentru a aborda în mod consecvent diferitele surse de aport de nutrienți în solurile agricole. În plus, aceasta oferă consiliere tehnică fermierilor pentru a-i sprijini să respecte cerințele legale și pentru a raționaliza fertilizarea. Aceasta: (I) să abordeze efectele negative ale schimbărilor climatice; (II) reducerea poluării apei cu nitrați și fosfați de origine agricolă; și (iii) îmbunătățirea calității aerului.</w:t>
      </w:r>
    </w:p>
    <w:p w14:paraId="10AB2E13" w14:textId="77777777" w:rsidR="00D924EA" w:rsidRDefault="00011DE9">
      <w:pPr>
        <w:pStyle w:val="P68B1DB1-Normal29"/>
        <w:spacing w:before="120" w:after="120" w:line="240" w:lineRule="auto"/>
        <w:jc w:val="both"/>
        <w:rPr>
          <w:rFonts w:cs="Times New Roman"/>
          <w:noProof/>
        </w:rPr>
      </w:pPr>
      <w:r>
        <w:rPr>
          <w:noProof/>
        </w:rPr>
        <w:t>Cadrul legislativ propus este legat de un alt instrument juridic: proiectul de decret regal privind protecția apelor împotriva poluării difuze cu nitrați proveniți din surse agricole (care înlocuiește Decretul regal 261/1996 din 16 februarie). De asemenea, aceasta este legată de elaborarea unui plan de acțiune pentru prevenirea, corectarea și reducerea poluării difuze cauzate de nitrați, în special din surse agricole. Această măsură introduce un decret regal de transpunere a Directivei 91/676/CEE din 12 decembrie 1991 privind protecția apelor împotriva poluării cu nitrați proveniți din surse agricole, stabilind obiective mai ambițioase decât Directiva privind nitrații și sporind convergența cu obiectivele de planificare a apei în temeiul Directivei-cadru privind apa.</w:t>
      </w:r>
    </w:p>
    <w:p w14:paraId="12133F02" w14:textId="77777777" w:rsidR="00D924EA" w:rsidRDefault="00011DE9">
      <w:pPr>
        <w:pStyle w:val="P68B1DB1-Normal29"/>
        <w:spacing w:before="120" w:after="120" w:line="240" w:lineRule="auto"/>
        <w:jc w:val="both"/>
        <w:rPr>
          <w:rFonts w:cs="Times New Roman"/>
          <w:noProof/>
        </w:rPr>
      </w:pPr>
      <w:r>
        <w:rPr>
          <w:noProof/>
        </w:rPr>
        <w:t xml:space="preserve">Punerea în aplicare a măsurii se finalizează până la 31 martie 2023. </w:t>
      </w:r>
    </w:p>
    <w:p w14:paraId="0764FABC" w14:textId="77777777" w:rsidR="00D924EA" w:rsidRDefault="00011DE9">
      <w:pPr>
        <w:pStyle w:val="P68B1DB1-Normal30"/>
        <w:spacing w:before="120" w:after="120" w:line="240" w:lineRule="auto"/>
        <w:jc w:val="both"/>
        <w:rPr>
          <w:rFonts w:cs="Times New Roman"/>
          <w:noProof/>
        </w:rPr>
      </w:pPr>
      <w:r>
        <w:rPr>
          <w:noProof/>
        </w:rPr>
        <w:t>Reforma 4 (C3.R4) – Stimularea guvernanței și a gestionării durabile a irigațiilor spaniole</w:t>
      </w:r>
    </w:p>
    <w:p w14:paraId="47F3AAF4" w14:textId="77777777" w:rsidR="00D924EA" w:rsidRDefault="00011DE9">
      <w:pPr>
        <w:pStyle w:val="P68B1DB1-Normal29"/>
        <w:spacing w:before="120" w:after="120" w:line="240" w:lineRule="auto"/>
        <w:jc w:val="both"/>
        <w:rPr>
          <w:rFonts w:cs="Times New Roman"/>
          <w:noProof/>
        </w:rPr>
      </w:pPr>
      <w:r>
        <w:rPr>
          <w:noProof/>
        </w:rPr>
        <w:t>Obiectivul acestei măsuri este de a institui un mecanism de guvernanță la nivel național care să permită tuturor sectoarelor și nivelurilor autorităților publice în cauză să coopereze în domeniul irigațiilor. Aceasta include durabilitatea mediului, criteriile de punere în aplicare și aspectele legate de legislația aplicabilă. Măsura instituie un observator al sustenabilității irigațiilor în Spania pentru a furniza date privind impactul economic, social și de mediu al irigațiilor asupra teritoriului.</w:t>
      </w:r>
    </w:p>
    <w:p w14:paraId="69F2365E" w14:textId="0BAE613C" w:rsidR="00D924EA" w:rsidRDefault="00011DE9">
      <w:pPr>
        <w:pStyle w:val="P68B1DB1-Normal29"/>
        <w:spacing w:before="120" w:after="120" w:line="240" w:lineRule="auto"/>
        <w:jc w:val="both"/>
        <w:rPr>
          <w:rFonts w:cs="Times New Roman"/>
          <w:noProof/>
          <w:u w:val="single"/>
        </w:rPr>
      </w:pPr>
      <w:r>
        <w:rPr>
          <w:noProof/>
        </w:rPr>
        <w:t>Punerea în aplicare a reformei se finalizează până la 31 decembrie 2022.</w:t>
      </w:r>
    </w:p>
    <w:p w14:paraId="0C1CAB4A" w14:textId="77777777" w:rsidR="00D924EA" w:rsidRDefault="00011DE9">
      <w:pPr>
        <w:pStyle w:val="P68B1DB1-Normal30"/>
        <w:spacing w:before="120" w:after="120" w:line="240" w:lineRule="auto"/>
        <w:jc w:val="both"/>
        <w:rPr>
          <w:rFonts w:cs="Times New Roman"/>
          <w:noProof/>
        </w:rPr>
      </w:pPr>
      <w:r>
        <w:rPr>
          <w:noProof/>
        </w:rPr>
        <w:t>Reforma 5 (C3.R5) – Punerea în aplicare a Planului de acțiune II al Strategiei pentru digitalizarea zonelor agroalimentare și rurale</w:t>
      </w:r>
    </w:p>
    <w:p w14:paraId="42E3E204" w14:textId="77777777" w:rsidR="00D924EA" w:rsidRDefault="00011DE9">
      <w:pPr>
        <w:pStyle w:val="P68B1DB1-Normal29"/>
        <w:spacing w:before="120" w:after="120" w:line="240" w:lineRule="auto"/>
        <w:jc w:val="both"/>
        <w:rPr>
          <w:rFonts w:cs="Times New Roman"/>
          <w:noProof/>
        </w:rPr>
      </w:pPr>
      <w:r>
        <w:rPr>
          <w:noProof/>
        </w:rPr>
        <w:t xml:space="preserve">Această măsură urmărește să continue punerea în aplicare a Strategiei spaniole pentru digitalizarea zonelor agroalimentare și rurale, adoptată de guvernul spaniol în martie 2019. Măsura stabilește un al doilea plan de acțiune care răspunde celor trei obiective de bază ale strategiei: (I) reducerea decalajului digital; (II) promovarea utilizării datelor; și (iii) stimularea dezvoltării întreprinderilor și a noilor modele de afaceri. </w:t>
      </w:r>
    </w:p>
    <w:p w14:paraId="3B628CC5" w14:textId="77777777" w:rsidR="00D924EA" w:rsidRDefault="00011DE9">
      <w:pPr>
        <w:pStyle w:val="P68B1DB1-Normal29"/>
        <w:spacing w:before="120" w:after="120" w:line="240" w:lineRule="auto"/>
        <w:jc w:val="both"/>
        <w:rPr>
          <w:rFonts w:cs="Times New Roman"/>
          <w:noProof/>
        </w:rPr>
      </w:pPr>
      <w:r>
        <w:rPr>
          <w:noProof/>
        </w:rPr>
        <w:t>Măsura sprijină în continuare adoptarea și integrarea proceselor și competențelor digitale în activitatea economică legată de zonele rurale și de structura socială a acestora. Măsura concepe, elaborează și pune în aplicare cel de al doilea plan de acțiune al Strategiei de digitalizare a sectorului agroalimentar și a zonelor rurale.</w:t>
      </w:r>
    </w:p>
    <w:p w14:paraId="4EBF28D3" w14:textId="77777777" w:rsidR="00D924EA" w:rsidRDefault="00011DE9">
      <w:pPr>
        <w:pStyle w:val="P68B1DB1-Normal29"/>
        <w:spacing w:before="120" w:after="120" w:line="240" w:lineRule="auto"/>
        <w:jc w:val="both"/>
        <w:rPr>
          <w:rFonts w:cs="Times New Roman"/>
          <w:noProof/>
        </w:rPr>
      </w:pPr>
      <w:r>
        <w:rPr>
          <w:noProof/>
        </w:rPr>
        <w:t>Punerea în aplicare a măsurii se finalizează până la 31 decembrie 2023.</w:t>
      </w:r>
    </w:p>
    <w:p w14:paraId="168DF687" w14:textId="77777777" w:rsidR="00D924EA" w:rsidRDefault="00011DE9">
      <w:pPr>
        <w:pStyle w:val="P68B1DB1-Normal30"/>
        <w:spacing w:before="120" w:after="120" w:line="240" w:lineRule="auto"/>
        <w:jc w:val="both"/>
        <w:rPr>
          <w:rFonts w:cs="Times New Roman"/>
          <w:noProof/>
        </w:rPr>
      </w:pPr>
      <w:r>
        <w:rPr>
          <w:noProof/>
        </w:rPr>
        <w:t>Reforma 6 (C3.R6) – Revizuirea cadrului național de reglementare pentru reglementarea pescuitului durabil</w:t>
      </w:r>
    </w:p>
    <w:p w14:paraId="5F3764A5" w14:textId="77777777" w:rsidR="00D924EA" w:rsidRDefault="00011DE9">
      <w:pPr>
        <w:pStyle w:val="P68B1DB1-Normal29"/>
        <w:spacing w:before="120" w:after="120" w:line="240" w:lineRule="auto"/>
        <w:jc w:val="both"/>
        <w:rPr>
          <w:rFonts w:cs="Times New Roman"/>
          <w:noProof/>
        </w:rPr>
      </w:pPr>
      <w:r>
        <w:rPr>
          <w:noProof/>
        </w:rPr>
        <w:t>Obiectivul acestei măsuri este: (I) să încurajeze integrarea sustenabilității economice și sociale în gestionarea pescuitului; (II) să asigure o mai mare securitate juridică pentru toți actorii din sectorul pescuitului; și (iii) să asigure o mai mare transparență, modernizare și digitalizare în gestionarea pescuitului. Măsura ține seama de obiectivele politicilor și provocărilor UE, inclusiv de reforma politicii comune în domeniul pescuitului, de Strategia privind biodiversitatea pentru 2030, de strategiile marine și de obiectivele de dezvoltare durabilă.</w:t>
      </w:r>
    </w:p>
    <w:p w14:paraId="39EED7ED" w14:textId="6DA3FD8B" w:rsidR="00D924EA" w:rsidRDefault="00011DE9">
      <w:pPr>
        <w:pStyle w:val="P68B1DB1-Normal30"/>
        <w:spacing w:before="120" w:after="120" w:line="240" w:lineRule="auto"/>
        <w:jc w:val="both"/>
        <w:rPr>
          <w:rFonts w:cs="Times New Roman"/>
          <w:noProof/>
        </w:rPr>
      </w:pPr>
      <w:r>
        <w:rPr>
          <w:noProof/>
        </w:rPr>
        <w:t xml:space="preserve">Investiția 1 (C3.I1) – Plan de sporire a eficienței și a sustenabilității irigațiilor </w:t>
      </w:r>
    </w:p>
    <w:p w14:paraId="1ADE69F4" w14:textId="4742B59B" w:rsidR="00D924EA" w:rsidRDefault="00011DE9">
      <w:pPr>
        <w:pStyle w:val="P68B1DB1-Normal29"/>
        <w:spacing w:before="120" w:after="120" w:line="240" w:lineRule="auto"/>
        <w:jc w:val="both"/>
        <w:rPr>
          <w:noProof/>
        </w:rPr>
      </w:pPr>
      <w:r>
        <w:rPr>
          <w:noProof/>
        </w:rPr>
        <w:t xml:space="preserve">Obiectivul acestei măsuri este de a spori eficiența și sustenabilitatea irigațiilor printr-un set de acțiuni selectate. </w:t>
      </w:r>
    </w:p>
    <w:p w14:paraId="1342AD63" w14:textId="049283CA" w:rsidR="00D924EA" w:rsidRDefault="00011DE9">
      <w:pPr>
        <w:pStyle w:val="P68B1DB1-Normal29"/>
        <w:spacing w:before="120" w:after="120" w:line="240" w:lineRule="auto"/>
        <w:jc w:val="both"/>
        <w:rPr>
          <w:noProof/>
        </w:rPr>
      </w:pPr>
      <w:r>
        <w:rPr>
          <w:noProof/>
        </w:rPr>
        <w:t xml:space="preserve">Aceasta constă în modernizarea sistemelor de irigații. </w:t>
      </w:r>
    </w:p>
    <w:p w14:paraId="00027819" w14:textId="77777777" w:rsidR="00D924EA" w:rsidRDefault="00011DE9">
      <w:pPr>
        <w:pStyle w:val="P68B1DB1-Normal30"/>
        <w:spacing w:before="120" w:after="120" w:line="240" w:lineRule="auto"/>
        <w:jc w:val="both"/>
        <w:rPr>
          <w:rFonts w:cs="Times New Roman"/>
          <w:noProof/>
        </w:rPr>
      </w:pPr>
      <w:r>
        <w:rPr>
          <w:noProof/>
        </w:rPr>
        <w:t xml:space="preserve">Investiția 2 (C3.I2) – Plan de stimulare a sustenabilității și competitivității agriculturii și creșterii animalelor (I): Modernizarea laboratoarelor pentru sănătatea animalelor și a plantelor </w:t>
      </w:r>
    </w:p>
    <w:p w14:paraId="14448B3F" w14:textId="1D7CF29F" w:rsidR="00D924EA" w:rsidRDefault="00011DE9">
      <w:pPr>
        <w:pStyle w:val="P68B1DB1-Normal29"/>
        <w:spacing w:before="120" w:after="120" w:line="240" w:lineRule="auto"/>
        <w:jc w:val="both"/>
        <w:rPr>
          <w:rFonts w:cs="Times New Roman"/>
          <w:noProof/>
          <w:u w:val="single"/>
        </w:rPr>
      </w:pPr>
      <w:r>
        <w:rPr>
          <w:noProof/>
        </w:rPr>
        <w:t xml:space="preserve">Obiectivul acestei măsuri este de a spori securitatea alimentară în sectorul agricol și zootehnic, precum și de a îmbunătăți sănătatea plantelor. </w:t>
      </w:r>
    </w:p>
    <w:p w14:paraId="249EA7A3" w14:textId="77777777" w:rsidR="00D924EA" w:rsidRDefault="00011DE9">
      <w:pPr>
        <w:pStyle w:val="P68B1DB1-Normal29"/>
        <w:spacing w:before="120" w:after="120" w:line="240" w:lineRule="auto"/>
        <w:jc w:val="both"/>
        <w:rPr>
          <w:noProof/>
        </w:rPr>
      </w:pPr>
      <w:r>
        <w:rPr>
          <w:noProof/>
        </w:rPr>
        <w:t>Măsura constă în construirea a două instalații de biosecuritate și în acreditarea unui laborator național fitosanitar.</w:t>
      </w:r>
    </w:p>
    <w:p w14:paraId="7591D115" w14:textId="571203DE" w:rsidR="00D924EA" w:rsidRDefault="00011DE9">
      <w:pPr>
        <w:pStyle w:val="P68B1DB1-Normal30"/>
        <w:spacing w:before="120" w:after="120" w:line="240" w:lineRule="auto"/>
        <w:jc w:val="both"/>
        <w:rPr>
          <w:rFonts w:cs="Times New Roman"/>
          <w:noProof/>
        </w:rPr>
      </w:pPr>
      <w:r>
        <w:rPr>
          <w:noProof/>
        </w:rPr>
        <w:t xml:space="preserve">Investiția 3 (C3.I3) – Plan de stimulare a sustenabilității și competitivității agriculturii și creșterii animalelor (II): Consolidarea capacităților și a sistemelor de biosecuritate în pepiniere, centre de curățare și dezinfectare </w:t>
      </w:r>
    </w:p>
    <w:p w14:paraId="3A8BF020" w14:textId="003EA5F9" w:rsidR="00D924EA" w:rsidRDefault="00011DE9">
      <w:pPr>
        <w:pStyle w:val="P68B1DB1-Normal29"/>
        <w:spacing w:before="120" w:after="120" w:line="240" w:lineRule="auto"/>
        <w:jc w:val="both"/>
        <w:rPr>
          <w:rFonts w:cs="Times New Roman"/>
          <w:noProof/>
        </w:rPr>
      </w:pPr>
      <w:r>
        <w:rPr>
          <w:noProof/>
        </w:rPr>
        <w:t xml:space="preserve">Obiectivul acestei măsuri este de a consolida prevenirea bolilor animalelor și a organismelor dăunătoare plantelor și protecția împotriva acestora. </w:t>
      </w:r>
    </w:p>
    <w:p w14:paraId="2587CC79" w14:textId="25A99664" w:rsidR="00D924EA" w:rsidRDefault="00011DE9">
      <w:pPr>
        <w:pStyle w:val="P68B1DB1-Normal29"/>
        <w:spacing w:before="120" w:after="120" w:line="240" w:lineRule="auto"/>
        <w:jc w:val="both"/>
        <w:rPr>
          <w:rFonts w:cs="Times New Roman"/>
          <w:noProof/>
        </w:rPr>
      </w:pPr>
      <w:r>
        <w:rPr>
          <w:noProof/>
        </w:rPr>
        <w:t>Măsura constă în construirea, renovarea sau recondiționarea infrastructurii sau în achiziționarea de echipamente sau de vehicule de dezinfectare în centrele de curățare și dezinfectare și în centrele care produc material de reproducere a plantelor.</w:t>
      </w:r>
    </w:p>
    <w:p w14:paraId="7BDB5F6D" w14:textId="1D680E11" w:rsidR="00D924EA" w:rsidRDefault="00011DE9">
      <w:pPr>
        <w:pStyle w:val="P68B1DB1-Normal30"/>
        <w:spacing w:before="120" w:after="120" w:line="240" w:lineRule="auto"/>
        <w:jc w:val="both"/>
        <w:rPr>
          <w:rFonts w:cs="Times New Roman"/>
          <w:noProof/>
        </w:rPr>
      </w:pPr>
      <w:r>
        <w:rPr>
          <w:noProof/>
        </w:rPr>
        <w:t xml:space="preserve">Investiția 4 (C3.I4) – Plan de stimulare a sustenabilității și competitivității agriculturii și creșterii animalelor (III): Investiții în agricultura de precizie, în eficiența energetică sau în economia circulară în sectorul agriculturii și al creșterii animalelor </w:t>
      </w:r>
    </w:p>
    <w:p w14:paraId="389540A5" w14:textId="3BF0714D" w:rsidR="00D924EA" w:rsidRDefault="00011DE9">
      <w:pPr>
        <w:pStyle w:val="P68B1DB1-Normal29"/>
        <w:spacing w:before="120" w:after="120" w:line="240" w:lineRule="auto"/>
        <w:jc w:val="both"/>
        <w:rPr>
          <w:noProof/>
        </w:rPr>
      </w:pPr>
      <w:r>
        <w:rPr>
          <w:noProof/>
        </w:rPr>
        <w:t xml:space="preserve">Obiectivul acestei măsuri este de a stimula sustenabilitatea și competitivitatea sectorului agricol și a sectorului creșterii animalelor. </w:t>
      </w:r>
    </w:p>
    <w:p w14:paraId="5809DB64" w14:textId="0D666698" w:rsidR="00D924EA" w:rsidRDefault="00011DE9">
      <w:pPr>
        <w:pStyle w:val="P68B1DB1-Normal29"/>
        <w:spacing w:before="120" w:after="120" w:line="240" w:lineRule="auto"/>
        <w:jc w:val="both"/>
        <w:rPr>
          <w:noProof/>
        </w:rPr>
      </w:pPr>
      <w:r>
        <w:rPr>
          <w:noProof/>
        </w:rPr>
        <w:t>Măsura constă în proiecte pentru agricultura de precizie, eficiența energetică, economia circulară sau utilizarea energiei din surse regenerabile.</w:t>
      </w:r>
    </w:p>
    <w:p w14:paraId="40C55E5E" w14:textId="77777777" w:rsidR="00D924EA" w:rsidRDefault="00011DE9">
      <w:pPr>
        <w:pStyle w:val="P68B1DB1-Normal30"/>
        <w:spacing w:before="120" w:after="120" w:line="240" w:lineRule="auto"/>
        <w:jc w:val="both"/>
        <w:rPr>
          <w:rFonts w:cs="Times New Roman"/>
          <w:noProof/>
        </w:rPr>
      </w:pPr>
      <w:r>
        <w:rPr>
          <w:noProof/>
        </w:rPr>
        <w:t xml:space="preserve">Investiția 5 (C3.I5) – Strategia pentru digitalizarea sectorului agroalimentar și forestier și a mediului rural: dezvoltarea de acțiuni de sprijinire a digitalizării și a antreprenoriatului în sectorul agroalimentar și forestier și în mediul rural </w:t>
      </w:r>
    </w:p>
    <w:p w14:paraId="6EC22173" w14:textId="77777777" w:rsidR="00D924EA" w:rsidRDefault="00011DE9">
      <w:pPr>
        <w:pStyle w:val="P68B1DB1-Normal29"/>
        <w:spacing w:before="120" w:after="120" w:line="240" w:lineRule="auto"/>
        <w:jc w:val="both"/>
        <w:rPr>
          <w:rFonts w:cs="Times New Roman"/>
          <w:noProof/>
        </w:rPr>
      </w:pPr>
      <w:r>
        <w:rPr>
          <w:noProof/>
        </w:rPr>
        <w:t>Această măsură stabilește acțiuni în Strategia pentru digitalizarea sectoarelor agroalimentar, forestier și rural, adoptată de guvernul spaniol în martie 2019, și în cel de al doilea plan de acțiune al său pentru perioada 2021-2023. Acțiunile includ:</w:t>
      </w:r>
    </w:p>
    <w:p w14:paraId="288A28CC" w14:textId="77777777" w:rsidR="00D924EA" w:rsidRDefault="00011DE9">
      <w:pPr>
        <w:pStyle w:val="P68B1DB1-Normal29"/>
        <w:numPr>
          <w:ilvl w:val="0"/>
          <w:numId w:val="31"/>
        </w:numPr>
        <w:spacing w:before="120" w:after="120" w:line="240" w:lineRule="auto"/>
        <w:ind w:left="425" w:hanging="425"/>
        <w:contextualSpacing/>
        <w:jc w:val="both"/>
        <w:rPr>
          <w:rFonts w:cs="Times New Roman"/>
          <w:noProof/>
        </w:rPr>
      </w:pPr>
      <w:r>
        <w:rPr>
          <w:noProof/>
        </w:rPr>
        <w:t>O linie specifică de sprijin financiar pentru IMM-urile din sectorul agroalimentar pentru a stimula proiectele de afaceri inovatoare și digitale, care urmează să fie pusă în aplicare prin acordarea de împrumuturi participative;</w:t>
      </w:r>
    </w:p>
    <w:p w14:paraId="574BE2DD" w14:textId="77777777" w:rsidR="00D924EA" w:rsidRDefault="00011DE9">
      <w:pPr>
        <w:pStyle w:val="P68B1DB1-Normal29"/>
        <w:numPr>
          <w:ilvl w:val="0"/>
          <w:numId w:val="31"/>
        </w:numPr>
        <w:spacing w:before="120" w:after="120" w:line="240" w:lineRule="auto"/>
        <w:ind w:left="425" w:hanging="425"/>
        <w:contextualSpacing/>
        <w:jc w:val="both"/>
        <w:rPr>
          <w:rFonts w:cs="Times New Roman"/>
          <w:noProof/>
        </w:rPr>
      </w:pPr>
      <w:r>
        <w:rPr>
          <w:noProof/>
        </w:rPr>
        <w:t>un centru de inovare digitală pentru întreprinderile din sectorul agroalimentar, care urmează să fie pus în aplicare prin intermediul unui contract intern și al achizițiilor publice prin proceduri competitive de atribuire;</w:t>
      </w:r>
    </w:p>
    <w:p w14:paraId="154B2070" w14:textId="77777777" w:rsidR="00D924EA" w:rsidRDefault="00011DE9">
      <w:pPr>
        <w:pStyle w:val="P68B1DB1-Normal29"/>
        <w:numPr>
          <w:ilvl w:val="0"/>
          <w:numId w:val="31"/>
        </w:numPr>
        <w:spacing w:before="120" w:after="120" w:line="240" w:lineRule="auto"/>
        <w:ind w:left="425" w:hanging="425"/>
        <w:contextualSpacing/>
        <w:jc w:val="both"/>
        <w:rPr>
          <w:noProof/>
        </w:rPr>
      </w:pPr>
      <w:r>
        <w:rPr>
          <w:noProof/>
        </w:rPr>
        <w:t>un observator al digitalizării în sectorul agroalimentar prin intermediul unui acord de parteneriat între MAPA și organismul colaborator; și</w:t>
      </w:r>
    </w:p>
    <w:p w14:paraId="7E282E98" w14:textId="77777777" w:rsidR="00D924EA" w:rsidRDefault="00011DE9">
      <w:pPr>
        <w:pStyle w:val="P68B1DB1-Normal29"/>
        <w:numPr>
          <w:ilvl w:val="0"/>
          <w:numId w:val="31"/>
        </w:numPr>
        <w:spacing w:before="120" w:after="120" w:line="240" w:lineRule="auto"/>
        <w:ind w:left="425" w:hanging="425"/>
        <w:contextualSpacing/>
        <w:jc w:val="both"/>
        <w:rPr>
          <w:rFonts w:cs="Times New Roman"/>
          <w:noProof/>
        </w:rPr>
      </w:pPr>
      <w:r>
        <w:rPr>
          <w:noProof/>
        </w:rPr>
        <w:t>o platformă de consilieri pentru sistemul de cunoștințe și informații agricole (AKIS) care să funcționeze ca instrument de promovare a transferului de cunoștințe și informații între actorii AKIS, care urmează să fie pusă în aplicare prin intermediul a două contracte interne.</w:t>
      </w:r>
    </w:p>
    <w:p w14:paraId="6690691D" w14:textId="77777777" w:rsidR="00D924EA" w:rsidRDefault="00011DE9">
      <w:pPr>
        <w:pStyle w:val="P68B1DB1-Normal29"/>
        <w:spacing w:before="120" w:after="120" w:line="240" w:lineRule="auto"/>
        <w:jc w:val="both"/>
        <w:rPr>
          <w:rFonts w:cs="Times New Roman"/>
          <w:noProof/>
        </w:rPr>
      </w:pPr>
      <w:r>
        <w:rPr>
          <w:noProof/>
        </w:rPr>
        <w:t xml:space="preserve">Ca parte a măsurii, cel puțin 60 de IMM-uri din sectorul agroalimentar pun în aplicare proiecte de afaceri inovatoare și digitale care respectă Orientările tehnice de „a nu prejudicia în mod semnificativ” (2021/C58/01) și care sunt finanțate prin împrumuturi participative până la sfârșitul anului 2023. </w:t>
      </w:r>
    </w:p>
    <w:p w14:paraId="4D1D6CF4" w14:textId="77777777" w:rsidR="00D924EA" w:rsidRDefault="00011DE9">
      <w:pPr>
        <w:pStyle w:val="P68B1DB1-Text138"/>
        <w:ind w:left="0"/>
        <w:rPr>
          <w:noProof/>
        </w:rPr>
      </w:pPr>
      <w:r>
        <w:rPr>
          <w:noProof/>
        </w:rPr>
        <w:t xml:space="preserve">Pentru a se asigura că măsura respectă Orientările tehnice de „a nu prejudicia în mod semnificativ” (2021/C58/01), acordul juridic dintre Ministerul Agriculturii, Pescuitului și Alimentației și Empresa Nacional de Innovación (ENISA) și politica de investiții ulterioară a instrumentului financiar: </w:t>
      </w:r>
    </w:p>
    <w:p w14:paraId="7CE9AA4C" w14:textId="77777777" w:rsidR="00D924EA" w:rsidRDefault="00011DE9">
      <w:pPr>
        <w:pStyle w:val="P68B1DB1-Text139"/>
        <w:numPr>
          <w:ilvl w:val="0"/>
          <w:numId w:val="37"/>
        </w:numPr>
        <w:ind w:left="714" w:hanging="357"/>
        <w:contextualSpacing/>
        <w:rPr>
          <w:rFonts w:cs="Times New Roman"/>
          <w:noProof/>
          <w:szCs w:val="24"/>
        </w:rPr>
      </w:pPr>
      <w:r>
        <w:rPr>
          <w:noProof/>
        </w:rPr>
        <w:t>să solicite aplicarea orientărilor tehnice ale Comisiei privind evaluarea durabilității pentru Fondul InvestEU; și</w:t>
      </w:r>
    </w:p>
    <w:p w14:paraId="2B3727C3" w14:textId="77777777" w:rsidR="00D924EA" w:rsidRDefault="00011DE9">
      <w:pPr>
        <w:pStyle w:val="Text1"/>
        <w:numPr>
          <w:ilvl w:val="0"/>
          <w:numId w:val="37"/>
        </w:numPr>
        <w:ind w:left="714" w:hanging="357"/>
        <w:contextualSpacing/>
        <w:rPr>
          <w:rFonts w:ascii="Times New Roman" w:hAnsi="Times New Roman" w:cs="Times New Roman"/>
          <w:noProof/>
          <w:szCs w:val="24"/>
        </w:rPr>
      </w:pPr>
      <w:r>
        <w:rPr>
          <w:rFonts w:ascii="Times New Roman" w:hAnsi="Times New Roman"/>
          <w:noProof/>
        </w:rPr>
        <w:t>excluderea de la eligibilitate a următoarelor activități și active: (I) activități și active legate de combustibilii fosili, inclusiv utilizarea în aval</w:t>
      </w:r>
      <w:r>
        <w:rPr>
          <w:rStyle w:val="FootnoteReference"/>
          <w:rFonts w:ascii="Times New Roman" w:hAnsi="Times New Roman" w:cs="Times New Roman"/>
          <w:noProof/>
        </w:rPr>
        <w:footnoteReference w:id="7"/>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8"/>
      </w:r>
      <w:r>
        <w:rPr>
          <w:rFonts w:ascii="Times New Roman" w:hAnsi="Times New Roman"/>
          <w:noProof/>
        </w:rPr>
        <w:t>; (III) activități și active legate de depozitele de deșeuri, incineratoare</w:t>
      </w:r>
      <w:r>
        <w:rPr>
          <w:rStyle w:val="FootnoteReference"/>
          <w:rFonts w:ascii="Times New Roman" w:hAnsi="Times New Roman" w:cs="Times New Roman"/>
          <w:noProof/>
        </w:rPr>
        <w:footnoteReference w:id="9"/>
      </w:r>
      <w:r>
        <w:rPr>
          <w:rFonts w:ascii="Times New Roman" w:hAnsi="Times New Roman"/>
          <w:noProof/>
        </w:rPr>
        <w:t xml:space="preserve"> și stații de tratare mecano-biologică</w:t>
      </w:r>
      <w:r>
        <w:rPr>
          <w:rStyle w:val="FootnoteReference"/>
          <w:rFonts w:ascii="Times New Roman" w:hAnsi="Times New Roman" w:cs="Times New Roman"/>
          <w:noProof/>
        </w:rPr>
        <w:footnoteReference w:id="10"/>
      </w:r>
      <w:r>
        <w:rPr>
          <w:rFonts w:ascii="Times New Roman" w:hAnsi="Times New Roman"/>
          <w:noProof/>
        </w:rPr>
        <w:t xml:space="preserve">; și (iv) activitățile și activele în cazul cărora eliminarea pe termen lung a deșeurilor poate dăuna mediului; </w:t>
      </w:r>
    </w:p>
    <w:p w14:paraId="7DFD2AF1" w14:textId="77777777" w:rsidR="00D924EA" w:rsidRDefault="00011DE9">
      <w:pPr>
        <w:pStyle w:val="P68B1DB1-Text139"/>
        <w:numPr>
          <w:ilvl w:val="0"/>
          <w:numId w:val="37"/>
        </w:numPr>
        <w:rPr>
          <w:rFonts w:cs="Times New Roman"/>
          <w:noProof/>
          <w:szCs w:val="24"/>
        </w:rPr>
      </w:pPr>
      <w:r>
        <w:rPr>
          <w:noProof/>
        </w:rPr>
        <w:t>să solicite verificarea de către ENISA a conformității juridice a proiectelor cu legislația UE și națională relevantă în materie de mediu pentru toate tranzacțiile, inclusiv pentru cele exceptate de la evaluarea durabilității.</w:t>
      </w:r>
    </w:p>
    <w:p w14:paraId="74656E36" w14:textId="77777777" w:rsidR="00D924EA" w:rsidRDefault="00011DE9">
      <w:pPr>
        <w:pStyle w:val="P68B1DB1-Normal29"/>
        <w:spacing w:before="120" w:after="120" w:line="240" w:lineRule="auto"/>
        <w:jc w:val="both"/>
        <w:rPr>
          <w:rFonts w:cs="Times New Roman"/>
          <w:noProof/>
        </w:rPr>
      </w:pPr>
      <w:r>
        <w:rPr>
          <w:noProof/>
        </w:rPr>
        <w:t xml:space="preserve">Nu este sprijinită nicio activitate legată de captarea și stocarea dioxidului de carbon. </w:t>
      </w:r>
    </w:p>
    <w:p w14:paraId="724207D3" w14:textId="77777777" w:rsidR="00D924EA" w:rsidRDefault="00011DE9">
      <w:pPr>
        <w:pStyle w:val="P68B1DB1-Normal29"/>
        <w:spacing w:before="120" w:after="120" w:line="240" w:lineRule="auto"/>
        <w:jc w:val="both"/>
        <w:rPr>
          <w:rFonts w:cs="Times New Roman"/>
          <w:noProof/>
        </w:rPr>
      </w:pPr>
      <w:r>
        <w:rPr>
          <w:noProof/>
        </w:rPr>
        <w:t>Punerea în aplicare a investiției se finalizează până la 30 iunie 2023.</w:t>
      </w:r>
    </w:p>
    <w:p w14:paraId="6A330D61" w14:textId="77777777" w:rsidR="00D924EA" w:rsidRDefault="00011DE9">
      <w:pPr>
        <w:pStyle w:val="P68B1DB1-Normal30"/>
        <w:spacing w:before="120" w:after="120" w:line="240" w:lineRule="auto"/>
        <w:jc w:val="both"/>
        <w:rPr>
          <w:rFonts w:cs="Times New Roman"/>
          <w:noProof/>
        </w:rPr>
      </w:pPr>
      <w:r>
        <w:rPr>
          <w:noProof/>
        </w:rPr>
        <w:t xml:space="preserve">Investiția 6 (C3.I6) – Plan de promovare a sustenabilității, a cercetării, a inovării și a digitalizării în sectorul pescuitului (I): Modernizarea rețelei de rezerve marine de interes pentru pescuit </w:t>
      </w:r>
    </w:p>
    <w:p w14:paraId="43953973" w14:textId="77777777" w:rsidR="00D924EA" w:rsidRDefault="00011DE9">
      <w:pPr>
        <w:pStyle w:val="P68B1DB1-Normal29"/>
        <w:spacing w:before="120" w:after="120" w:line="240" w:lineRule="auto"/>
        <w:jc w:val="both"/>
        <w:rPr>
          <w:rFonts w:cs="Times New Roman"/>
          <w:noProof/>
        </w:rPr>
      </w:pPr>
      <w:r>
        <w:rPr>
          <w:noProof/>
        </w:rPr>
        <w:t>Obiectivul acestei măsuri este modernizarea rețelei de rezerve marine de interes pentru pescuit prin intermediul următoarelor acțiuni:</w:t>
      </w:r>
    </w:p>
    <w:p w14:paraId="4EC9CA3E" w14:textId="77777777" w:rsidR="00D924EA" w:rsidRDefault="00011DE9">
      <w:pPr>
        <w:pStyle w:val="P68B1DB1-Normal29"/>
        <w:numPr>
          <w:ilvl w:val="0"/>
          <w:numId w:val="32"/>
        </w:numPr>
        <w:spacing w:before="120" w:after="120" w:line="240" w:lineRule="auto"/>
        <w:ind w:left="425" w:hanging="425"/>
        <w:contextualSpacing/>
        <w:jc w:val="both"/>
        <w:rPr>
          <w:rFonts w:cs="Times New Roman"/>
          <w:noProof/>
        </w:rPr>
      </w:pPr>
      <w:r>
        <w:rPr>
          <w:noProof/>
        </w:rPr>
        <w:t>Achiziționarea a două nave auxiliare cu destinație specială pentru a asigura controlul și supravegherea activităților desfășurate în rezerve;</w:t>
      </w:r>
    </w:p>
    <w:p w14:paraId="2E6081B8" w14:textId="77777777" w:rsidR="00D924EA" w:rsidRDefault="00011DE9">
      <w:pPr>
        <w:pStyle w:val="P68B1DB1-Normal29"/>
        <w:numPr>
          <w:ilvl w:val="0"/>
          <w:numId w:val="32"/>
        </w:numPr>
        <w:spacing w:before="120" w:after="120" w:line="240" w:lineRule="auto"/>
        <w:ind w:left="425" w:hanging="425"/>
        <w:contextualSpacing/>
        <w:jc w:val="both"/>
        <w:rPr>
          <w:rFonts w:cs="Times New Roman"/>
          <w:noProof/>
        </w:rPr>
      </w:pPr>
      <w:r>
        <w:rPr>
          <w:noProof/>
        </w:rPr>
        <w:t>implementarea tehnologiei informației și comunicațiilor pentru a permite controlul și monitorizarea rezervelor, prin achiziționarea cel puțin a dronelor cu suficientă putere pentru a permite activități de control și monitorizare și pentru a optimiza mijloacele existente;</w:t>
      </w:r>
    </w:p>
    <w:p w14:paraId="475D377A" w14:textId="77777777" w:rsidR="00D924EA" w:rsidRDefault="00011DE9">
      <w:pPr>
        <w:pStyle w:val="P68B1DB1-Normal29"/>
        <w:numPr>
          <w:ilvl w:val="0"/>
          <w:numId w:val="32"/>
        </w:numPr>
        <w:spacing w:before="120" w:after="120" w:line="240" w:lineRule="auto"/>
        <w:ind w:left="425" w:hanging="425"/>
        <w:contextualSpacing/>
        <w:jc w:val="both"/>
        <w:rPr>
          <w:rFonts w:cs="Times New Roman"/>
          <w:noProof/>
        </w:rPr>
      </w:pPr>
      <w:r>
        <w:rPr>
          <w:noProof/>
        </w:rPr>
        <w:t>extinderea rețelei de rezerve prin crearea unei noi rezerve marine; și</w:t>
      </w:r>
    </w:p>
    <w:p w14:paraId="5E260FAC" w14:textId="77777777" w:rsidR="00D924EA" w:rsidRDefault="00011DE9">
      <w:pPr>
        <w:pStyle w:val="P68B1DB1-Normal29"/>
        <w:numPr>
          <w:ilvl w:val="0"/>
          <w:numId w:val="32"/>
        </w:numPr>
        <w:spacing w:before="120" w:after="120" w:line="240" w:lineRule="auto"/>
        <w:ind w:left="426" w:hanging="426"/>
        <w:jc w:val="both"/>
        <w:rPr>
          <w:rFonts w:cs="Times New Roman"/>
          <w:noProof/>
        </w:rPr>
      </w:pPr>
      <w:r>
        <w:rPr>
          <w:noProof/>
        </w:rPr>
        <w:t xml:space="preserve">actualizarea unei rezerve marine existente, </w:t>
      </w:r>
      <w:r>
        <w:rPr>
          <w:i/>
          <w:noProof/>
        </w:rPr>
        <w:t>Isla de Alborán, și</w:t>
      </w:r>
      <w:r>
        <w:rPr>
          <w:noProof/>
        </w:rPr>
        <w:t xml:space="preserve"> a împrejurimilor sale pentru a facilita accesul, a-i îmbunătăți eficiența energetică, precum și pentru a o dota cu instalații adecvate (și anume, o legătură radio radar către peninsulă) pentru a monitoriza și controla rezerva. </w:t>
      </w:r>
    </w:p>
    <w:p w14:paraId="753416D8" w14:textId="77777777" w:rsidR="00D924EA" w:rsidRDefault="00011DE9">
      <w:pPr>
        <w:pStyle w:val="P68B1DB1-Normal29"/>
        <w:spacing w:before="120" w:after="120" w:line="240" w:lineRule="auto"/>
        <w:jc w:val="both"/>
        <w:rPr>
          <w:rFonts w:cs="Times New Roman"/>
          <w:noProof/>
        </w:rPr>
      </w:pPr>
      <w:r>
        <w:rPr>
          <w:noProof/>
        </w:rPr>
        <w:t xml:space="preserve">Achiziționarea celor două nave auxiliare cu destinație specială și punerea în aplicare a tehnologiei informației și comunicațiilor pentru a permite controlul și monitorizarea sunt puse în aplicare prin intermediul procedurilor de achiziții publice. </w:t>
      </w:r>
    </w:p>
    <w:p w14:paraId="6A5D42BE" w14:textId="77777777" w:rsidR="00D924EA" w:rsidRDefault="00011DE9">
      <w:pPr>
        <w:pStyle w:val="P68B1DB1-Normal29"/>
        <w:spacing w:before="120" w:after="120" w:line="240" w:lineRule="auto"/>
        <w:jc w:val="both"/>
        <w:rPr>
          <w:rFonts w:cs="Times New Roman"/>
          <w:noProof/>
        </w:rPr>
      </w:pPr>
      <w:r>
        <w:rPr>
          <w:noProof/>
        </w:rPr>
        <w:t xml:space="preserve">Se preconizează că această măsură nu prejudiciază în mod semnificativ obiectivele de mediu în sensul articolul 17 din Regulamentul (UE) 2020/852, ținând seama de descrierea măsurii și de etapele de atenuare prevăzute în planul de redresare și reziliență în conformitate cu Orientările tehnice DNSH (2021/C58/01). În special, cele două nave auxiliare cu destinație specială trebuie să aibă cea mai bună tehnologie disponibilă cu cel mai mic impact asupra mediului din sector. Investiția privind extinderea rețelei de rezerve marine constă într-un studiu pentru crearea unei noi rezerve marine, care este planificat să fie realizat prin intermediul unui contract intern. Același lucru este valabil și pentru lucrările planificate pentru actualizarea rezervei </w:t>
      </w:r>
      <w:r>
        <w:rPr>
          <w:i/>
          <w:noProof/>
        </w:rPr>
        <w:t>Isla de</w:t>
      </w:r>
      <w:r>
        <w:rPr>
          <w:noProof/>
        </w:rPr>
        <w:t xml:space="preserve"> Alborán și a împrejurimilor sale, care trebuie să includă un studiu necesar privind construirea și optimizarea energiei.</w:t>
      </w:r>
    </w:p>
    <w:p w14:paraId="16D670FB" w14:textId="3E779322" w:rsidR="00D924EA" w:rsidRDefault="00011DE9">
      <w:pPr>
        <w:pStyle w:val="P68B1DB1-Normal29"/>
        <w:spacing w:before="120" w:after="120" w:line="240" w:lineRule="auto"/>
        <w:jc w:val="both"/>
        <w:rPr>
          <w:rFonts w:cs="Times New Roman"/>
          <w:noProof/>
        </w:rPr>
      </w:pPr>
      <w:r>
        <w:rPr>
          <w:noProof/>
        </w:rPr>
        <w:t>Punerea în aplicare a investiției se finalizează până la 31 decembrie 2024.</w:t>
      </w:r>
    </w:p>
    <w:p w14:paraId="3BB90D9F" w14:textId="77777777" w:rsidR="00D924EA" w:rsidRDefault="00011DE9">
      <w:pPr>
        <w:pStyle w:val="P68B1DB1-Normal30"/>
        <w:spacing w:before="120" w:after="120" w:line="240" w:lineRule="auto"/>
        <w:jc w:val="both"/>
        <w:rPr>
          <w:rFonts w:cs="Times New Roman"/>
          <w:noProof/>
        </w:rPr>
      </w:pPr>
      <w:r>
        <w:rPr>
          <w:noProof/>
        </w:rPr>
        <w:t>Investiția 7 (C3.I7) – Plan de stimulare a sustenabilității, a cercetării, a inovării și a digitalizării sectorului pescuitului (II): Stimularea cercetării în domeniul pescuitului și acvaculturii și sprijinirea formării</w:t>
      </w:r>
    </w:p>
    <w:p w14:paraId="454C6EB1" w14:textId="77777777" w:rsidR="00D924EA" w:rsidRDefault="00011DE9">
      <w:pPr>
        <w:pStyle w:val="P68B1DB1-Normal29"/>
        <w:spacing w:before="120" w:after="120" w:line="240" w:lineRule="auto"/>
        <w:jc w:val="both"/>
        <w:rPr>
          <w:rFonts w:cs="Times New Roman"/>
          <w:noProof/>
        </w:rPr>
      </w:pPr>
      <w:r>
        <w:rPr>
          <w:noProof/>
        </w:rPr>
        <w:t>Această măsură îmbunătățește cantitatea și calitatea cunoștințelor științifice care stau la baza procesului decizional în materie de gestionare a pescuitului. Inițiativa prevede: (I) achiziționarea a cel puțin două sonde acustice pentru echiparea a două nave de pescuit și de cercetare oceanografică existente pentru a asigura calitatea datelor obținute pentru evaluarea științifică a diferitelor stocuri de specii pelagice; și (ii) promovarea cercetării în domeniul pescuitului și al acvaculturii pentru a asigura o abordare ecosistemică a procesului decizional în gestionarea pescuitului.</w:t>
      </w:r>
    </w:p>
    <w:p w14:paraId="203F65A7" w14:textId="77777777" w:rsidR="00D924EA" w:rsidRDefault="00011DE9">
      <w:pPr>
        <w:pStyle w:val="P68B1DB1-Normal29"/>
        <w:spacing w:before="120" w:after="120" w:line="240" w:lineRule="auto"/>
        <w:jc w:val="both"/>
        <w:rPr>
          <w:rFonts w:cs="Times New Roman"/>
          <w:noProof/>
        </w:rPr>
      </w:pPr>
      <w:r>
        <w:rPr>
          <w:noProof/>
        </w:rPr>
        <w:t>Achiziționarea celor două sonde acustice este pusă în aplicare pe baza unei proceduri de achiziții publice în cadrul căreia licitația are loc în mod exclusiv. Promovarea cercetării în domeniul pescuitului și al acvaculturii se realizează prin semnarea de acorduri cu organismele publice de cercetare și, după caz, prin alocarea de resurse proprii pentru recrutarea de observatori la bord sau prin organizarea de licitații.</w:t>
      </w:r>
    </w:p>
    <w:p w14:paraId="3B2B79FB" w14:textId="77777777" w:rsidR="00D924EA" w:rsidRDefault="00011DE9">
      <w:pPr>
        <w:pStyle w:val="P68B1DB1-Normal29"/>
        <w:spacing w:before="120" w:after="120" w:line="240" w:lineRule="auto"/>
        <w:jc w:val="both"/>
        <w:rPr>
          <w:rFonts w:cs="Times New Roman"/>
          <w:noProof/>
        </w:rPr>
      </w:pPr>
      <w:r>
        <w:rPr>
          <w:noProof/>
        </w:rPr>
        <w:t>Punerea în aplicare a investiției se finalizează până la 30 iunie 2022.</w:t>
      </w:r>
    </w:p>
    <w:p w14:paraId="2B0CC658" w14:textId="77777777" w:rsidR="00D924EA" w:rsidRDefault="00011DE9">
      <w:pPr>
        <w:pStyle w:val="P68B1DB1-Normal30"/>
        <w:rPr>
          <w:noProof/>
        </w:rPr>
      </w:pPr>
      <w:r>
        <w:rPr>
          <w:noProof/>
        </w:rPr>
        <w:br w:type="page"/>
      </w:r>
    </w:p>
    <w:p w14:paraId="0DF36283" w14:textId="48100E98" w:rsidR="00D924EA" w:rsidRDefault="00011DE9">
      <w:pPr>
        <w:pStyle w:val="P68B1DB1-Normal30"/>
        <w:spacing w:before="120" w:after="120" w:line="240" w:lineRule="auto"/>
        <w:jc w:val="both"/>
        <w:rPr>
          <w:rFonts w:cs="Times New Roman"/>
          <w:noProof/>
        </w:rPr>
      </w:pPr>
      <w:r>
        <w:rPr>
          <w:noProof/>
        </w:rPr>
        <w:t xml:space="preserve">Investiția 8 (C3.I8) – Plan de stimulare a sustenabilității, a cercetării, a inovării și a digitalizării sectorului pescuitului (III): Dezvoltarea tehnologică și inovarea în domeniul pescuitului și acvaculturii </w:t>
      </w:r>
    </w:p>
    <w:p w14:paraId="4D16E447" w14:textId="77777777" w:rsidR="00D924EA" w:rsidRDefault="00011DE9">
      <w:pPr>
        <w:pStyle w:val="P68B1DB1-Normal29"/>
        <w:spacing w:before="120" w:after="120" w:line="240" w:lineRule="auto"/>
        <w:jc w:val="both"/>
        <w:rPr>
          <w:rFonts w:cs="Times New Roman"/>
          <w:noProof/>
        </w:rPr>
      </w:pPr>
      <w:r>
        <w:rPr>
          <w:noProof/>
        </w:rPr>
        <w:t>Obiectivul acestei măsuri este de a crea un sector al pescuitului și acvaculturii mai sustenabil din punct de vedere ecologic, economic și social, prin intermediul a două linii de acțiune:</w:t>
      </w:r>
    </w:p>
    <w:p w14:paraId="0240437A" w14:textId="77777777" w:rsidR="00D924EA" w:rsidRDefault="00011DE9">
      <w:pPr>
        <w:pStyle w:val="P68B1DB1-Normal29"/>
        <w:numPr>
          <w:ilvl w:val="0"/>
          <w:numId w:val="33"/>
        </w:numPr>
        <w:spacing w:before="120" w:after="120" w:line="240" w:lineRule="auto"/>
        <w:ind w:left="425" w:hanging="425"/>
        <w:contextualSpacing/>
        <w:jc w:val="both"/>
        <w:rPr>
          <w:rFonts w:cs="Times New Roman"/>
          <w:noProof/>
        </w:rPr>
      </w:pPr>
      <w:r>
        <w:rPr>
          <w:noProof/>
        </w:rPr>
        <w:t>Crearea de parteneriate public-privat pentru a stimula creșterea albastră în acest sector, cu scopul de a pune în aplicare proiecte care servesc drept catalizatori pentru procesele economiei albastre; și</w:t>
      </w:r>
    </w:p>
    <w:p w14:paraId="76693DF7" w14:textId="77777777" w:rsidR="00D924EA" w:rsidRDefault="00011DE9">
      <w:pPr>
        <w:pStyle w:val="P68B1DB1-Normal29"/>
        <w:numPr>
          <w:ilvl w:val="0"/>
          <w:numId w:val="33"/>
        </w:numPr>
        <w:spacing w:before="120" w:after="120" w:line="240" w:lineRule="auto"/>
        <w:ind w:left="426" w:hanging="426"/>
        <w:jc w:val="both"/>
        <w:rPr>
          <w:rFonts w:cs="Times New Roman"/>
          <w:noProof/>
        </w:rPr>
      </w:pPr>
      <w:r>
        <w:rPr>
          <w:noProof/>
        </w:rPr>
        <w:t xml:space="preserve">sprijinirea dezvoltării tehnologice și a inovării în acest sector. </w:t>
      </w:r>
    </w:p>
    <w:p w14:paraId="3E7B11BD" w14:textId="77777777" w:rsidR="00D924EA" w:rsidRDefault="00011DE9">
      <w:pPr>
        <w:pStyle w:val="P68B1DB1-Normal29"/>
        <w:spacing w:before="120" w:after="120" w:line="240" w:lineRule="auto"/>
        <w:jc w:val="both"/>
        <w:rPr>
          <w:rFonts w:cs="Times New Roman"/>
          <w:noProof/>
        </w:rPr>
      </w:pPr>
      <w:r>
        <w:rPr>
          <w:noProof/>
        </w:rPr>
        <w:t>Măsura prevede finalizarea a cel puțin 20 de proiecte de cercetare, dezvoltare și inovare pentru adoptarea de noi tehnologii care să favorizeze reziliența și sustenabilitatea sectorului pescuitului și acvaculturii.</w:t>
      </w:r>
    </w:p>
    <w:p w14:paraId="12644486" w14:textId="77777777" w:rsidR="00D924EA" w:rsidRDefault="00011DE9">
      <w:pPr>
        <w:pStyle w:val="P68B1DB1-Normal29"/>
        <w:spacing w:before="120" w:after="120" w:line="240" w:lineRule="auto"/>
        <w:jc w:val="both"/>
        <w:rPr>
          <w:rFonts w:cs="Times New Roman"/>
          <w:noProof/>
        </w:rPr>
      </w:pPr>
      <w:r>
        <w:rPr>
          <w:noProof/>
        </w:rPr>
        <w:t>Punerea în aplicare a investiției se finalizează până la 30 iunie 2023.</w:t>
      </w:r>
    </w:p>
    <w:p w14:paraId="2BA57962" w14:textId="77777777" w:rsidR="00D924EA" w:rsidRDefault="00011DE9">
      <w:pPr>
        <w:pStyle w:val="P68B1DB1-Normal30"/>
        <w:spacing w:before="120" w:after="120" w:line="240" w:lineRule="auto"/>
        <w:jc w:val="both"/>
        <w:rPr>
          <w:rFonts w:cs="Times New Roman"/>
          <w:noProof/>
        </w:rPr>
      </w:pPr>
      <w:r>
        <w:rPr>
          <w:noProof/>
        </w:rPr>
        <w:t xml:space="preserve">Investiția 9 (C3.I9) – Plan de stimulare a sustenabilității, a cercetării, a inovării și a digitalizării în sectorul pescuitului (IV): Digitalizarea și utilizarea TIC în sectorul pescuitului </w:t>
      </w:r>
    </w:p>
    <w:p w14:paraId="062E80FE" w14:textId="77777777" w:rsidR="00D924EA" w:rsidRDefault="00011DE9">
      <w:pPr>
        <w:pStyle w:val="P68B1DB1-Normal29"/>
        <w:spacing w:before="120" w:after="120" w:line="240" w:lineRule="auto"/>
        <w:jc w:val="both"/>
        <w:rPr>
          <w:rFonts w:cs="Times New Roman"/>
          <w:noProof/>
        </w:rPr>
      </w:pPr>
      <w:r>
        <w:rPr>
          <w:noProof/>
        </w:rPr>
        <w:t>Această măsură vizează îmbunătățirea supravegherii activității de pescuit pentru a asigura sustenabilitatea mediului, precum și viabilitatea pe termen mediu și lung a sectorului pescuitului. Măsura cuprinde două linii de acțiune:</w:t>
      </w:r>
    </w:p>
    <w:p w14:paraId="41174253" w14:textId="77777777" w:rsidR="00D924EA" w:rsidRDefault="00011DE9">
      <w:pPr>
        <w:pStyle w:val="P68B1DB1-Normal29"/>
        <w:numPr>
          <w:ilvl w:val="0"/>
          <w:numId w:val="34"/>
        </w:numPr>
        <w:spacing w:before="120" w:after="120" w:line="240" w:lineRule="auto"/>
        <w:ind w:left="425" w:hanging="425"/>
        <w:contextualSpacing/>
        <w:jc w:val="both"/>
        <w:rPr>
          <w:rFonts w:cs="Times New Roman"/>
          <w:noProof/>
        </w:rPr>
      </w:pPr>
      <w:r>
        <w:rPr>
          <w:noProof/>
        </w:rPr>
        <w:t>O schemă de ajutoare pentru digitalizarea sectorului pescuitului și acvaculturii, inclusiv ajutoare pentru instalarea unui sistem de supraveghere care utilizează camere de luat vederi pentru monitorizarea de la distanță a pescuitului și pentru combaterea aruncării capturilor înapoi în mare pentru navele cu o lungime mai mare de 24 metri; și</w:t>
      </w:r>
    </w:p>
    <w:p w14:paraId="345850E1" w14:textId="77777777" w:rsidR="00D924EA" w:rsidRDefault="00011DE9">
      <w:pPr>
        <w:pStyle w:val="P68B1DB1-Normal29"/>
        <w:numPr>
          <w:ilvl w:val="0"/>
          <w:numId w:val="34"/>
        </w:numPr>
        <w:spacing w:before="120" w:after="120" w:line="240" w:lineRule="auto"/>
        <w:ind w:left="426" w:hanging="426"/>
        <w:jc w:val="both"/>
        <w:rPr>
          <w:rFonts w:cs="Times New Roman"/>
          <w:noProof/>
        </w:rPr>
      </w:pPr>
      <w:r>
        <w:rPr>
          <w:noProof/>
        </w:rPr>
        <w:t xml:space="preserve">soluții TIC moderne pentru supravegherea pescuitului, inclusiv (i) un sistem de înregistrare a capturilor (inclusiv achiziționarea de dispozitive pentru transmiterea electronică a capturilor, precum și geolocalizarea acestora), cu posibilitatea de urmărire a navelor cu o lungime mai mică de 12 metri; (II) desfășurarea unui proiect-pilot privind un serviciu de zbor cu drone pentru controlul și supravegherea pescuitului și a unui proiect-pilot privind un sistem de monitorizare la distanță a capturilor navelor de pescuit cu o lungime mai mare de 24 metri; și (iii) dispozitive și software (și anume instalarea unui al doilea firewall) pentru consolidarea securității sistemului spaniol de informații privind pescuitul. </w:t>
      </w:r>
    </w:p>
    <w:p w14:paraId="3B23A2B4" w14:textId="77777777" w:rsidR="00D924EA" w:rsidRDefault="00011DE9">
      <w:pPr>
        <w:pStyle w:val="P68B1DB1-Normal29"/>
        <w:spacing w:before="120" w:after="120" w:line="240" w:lineRule="auto"/>
        <w:jc w:val="both"/>
        <w:rPr>
          <w:rFonts w:cs="Times New Roman"/>
          <w:noProof/>
        </w:rPr>
      </w:pPr>
      <w:r>
        <w:rPr>
          <w:noProof/>
        </w:rPr>
        <w:t>Digitalizarea sectorului pescuitului și acvaculturii din Spania este pusă în aplicare sub formă de granturi pentru licitații competitive, în timp ce punerea în aplicare a soluțiilor TIC moderne pentru supravegherea pescuitului se realizează prin achiziții publice deschise și centralizate.</w:t>
      </w:r>
    </w:p>
    <w:p w14:paraId="61259A7F" w14:textId="77777777" w:rsidR="00D924EA" w:rsidRDefault="00011DE9">
      <w:pPr>
        <w:pStyle w:val="P68B1DB1-Normal29"/>
        <w:spacing w:before="120" w:after="120" w:line="240" w:lineRule="auto"/>
        <w:jc w:val="both"/>
        <w:rPr>
          <w:rFonts w:cs="Times New Roman"/>
          <w:noProof/>
        </w:rPr>
      </w:pPr>
      <w:r>
        <w:rPr>
          <w:noProof/>
        </w:rPr>
        <w:t>Punerea în aplicare a investiției se finalizează până la 31 decembrie 2024.</w:t>
      </w:r>
    </w:p>
    <w:p w14:paraId="7AA4E26F" w14:textId="77777777" w:rsidR="00D924EA" w:rsidRDefault="00011DE9">
      <w:pPr>
        <w:pStyle w:val="P68B1DB1-Normal30"/>
        <w:spacing w:before="120" w:after="120" w:line="240" w:lineRule="auto"/>
        <w:jc w:val="both"/>
        <w:rPr>
          <w:rFonts w:cs="Times New Roman"/>
          <w:noProof/>
        </w:rPr>
      </w:pPr>
      <w:r>
        <w:rPr>
          <w:noProof/>
        </w:rPr>
        <w:t>Investiția 10 (C3.I10) – Plan de stimulare a sustenabilității, a cercetării, a inovării și a digitalizării sectorului pescuitului (V): Sprijin pentru combaterea pescuitului ilegal, nedeclarat și nereglementat</w:t>
      </w:r>
    </w:p>
    <w:p w14:paraId="228FB689" w14:textId="77777777" w:rsidR="00D924EA" w:rsidRDefault="00011DE9">
      <w:pPr>
        <w:pStyle w:val="P68B1DB1-Normal29"/>
        <w:spacing w:before="120" w:after="120" w:line="240" w:lineRule="auto"/>
        <w:jc w:val="both"/>
        <w:rPr>
          <w:rFonts w:cs="Times New Roman"/>
          <w:noProof/>
        </w:rPr>
      </w:pPr>
      <w:r>
        <w:rPr>
          <w:noProof/>
        </w:rPr>
        <w:t>Această măsură sprijină lupta împotriva pescuitului ilegal, nedeclarat și nereglementat, care continuă să reprezinte o amenințare pentru ecosistemele marine. În acest scop, măsura sprijină următoarele investiții:</w:t>
      </w:r>
    </w:p>
    <w:p w14:paraId="7E5A6322" w14:textId="77777777" w:rsidR="00D924EA" w:rsidRDefault="00011DE9">
      <w:pPr>
        <w:pStyle w:val="P68B1DB1-Normal29"/>
        <w:numPr>
          <w:ilvl w:val="0"/>
          <w:numId w:val="35"/>
        </w:numPr>
        <w:spacing w:before="120" w:after="120" w:line="240" w:lineRule="auto"/>
        <w:ind w:left="425" w:hanging="425"/>
        <w:contextualSpacing/>
        <w:jc w:val="both"/>
        <w:rPr>
          <w:rFonts w:cs="Times New Roman"/>
          <w:noProof/>
        </w:rPr>
      </w:pPr>
      <w:r>
        <w:rPr>
          <w:noProof/>
        </w:rPr>
        <w:t>Achiziționarea a patru nave de patrulare; și</w:t>
      </w:r>
    </w:p>
    <w:p w14:paraId="6C9A067C" w14:textId="77777777" w:rsidR="00D924EA" w:rsidRDefault="00011DE9">
      <w:pPr>
        <w:pStyle w:val="P68B1DB1-Normal29"/>
        <w:numPr>
          <w:ilvl w:val="0"/>
          <w:numId w:val="35"/>
        </w:numPr>
        <w:spacing w:before="120" w:after="120" w:line="240" w:lineRule="auto"/>
        <w:ind w:left="426" w:hanging="426"/>
        <w:jc w:val="both"/>
        <w:rPr>
          <w:rFonts w:cs="Times New Roman"/>
          <w:noProof/>
        </w:rPr>
      </w:pPr>
      <w:r>
        <w:rPr>
          <w:noProof/>
        </w:rPr>
        <w:t xml:space="preserve">modernizarea a trei nave de patrulare în marea liberă care vor fi utilizate pentru a combate pescuitul ilegal, declarat și nereglementat. </w:t>
      </w:r>
    </w:p>
    <w:p w14:paraId="6BF7BC0E" w14:textId="77777777" w:rsidR="00D924EA" w:rsidRDefault="00011DE9">
      <w:pPr>
        <w:pStyle w:val="P68B1DB1-Normal29"/>
        <w:spacing w:before="120" w:after="120" w:line="240" w:lineRule="auto"/>
        <w:jc w:val="both"/>
        <w:rPr>
          <w:rFonts w:cs="Times New Roman"/>
          <w:noProof/>
        </w:rPr>
      </w:pPr>
      <w:r>
        <w:rPr>
          <w:noProof/>
        </w:rPr>
        <w:t xml:space="preserve">Măsura va fi pusă în aplicare prin intermediul unei proceduri de achiziții publice pentru construirea de nave de patrulare și prin modificarea unui acord cu Marina spaniolă în cazul navelor de patrulare în larg, care va oferi acoperire juridică pentru transferul care urmează să fie efectuat către Marina spaniolă, gestionând lucrările de modernizare menționate mai sus. </w:t>
      </w:r>
    </w:p>
    <w:p w14:paraId="19F64C6A" w14:textId="77777777" w:rsidR="00D924EA" w:rsidRDefault="00011DE9">
      <w:pPr>
        <w:pStyle w:val="P68B1DB1-Normal29"/>
        <w:spacing w:before="120" w:after="120" w:line="240" w:lineRule="auto"/>
        <w:jc w:val="both"/>
        <w:rPr>
          <w:rFonts w:cs="Times New Roman"/>
          <w:noProof/>
        </w:rPr>
      </w:pPr>
      <w:r>
        <w:rPr>
          <w:noProof/>
        </w:rPr>
        <w:t xml:space="preserve">Se preconizează că această măsură nu prejudiciază în mod semnificativ obiectivele de mediu în sensul articolul 17 din Regulamentul (UE) 2020/852, ținând seama de descrierea măsurii și de etapele de atenuare prevăzute în planul de redresare și reziliență în conformitate cu Orientările tehnice DNSH (2021/C58/01). În special, achizițiile și modernizările navelor trebuie să se bazeze numai pe cea mai bună tehnologie disponibilă cu cel mai mic impact asupra mediului din acest sector. </w:t>
      </w:r>
    </w:p>
    <w:p w14:paraId="18DE4492" w14:textId="77777777" w:rsidR="00D924EA" w:rsidRDefault="00011DE9">
      <w:pPr>
        <w:pStyle w:val="P68B1DB1-Normal29"/>
        <w:spacing w:before="120" w:after="120" w:line="240" w:lineRule="auto"/>
        <w:jc w:val="both"/>
        <w:rPr>
          <w:rFonts w:cs="Times New Roman"/>
          <w:noProof/>
          <w:u w:val="single"/>
        </w:rPr>
      </w:pPr>
      <w:r>
        <w:rPr>
          <w:noProof/>
        </w:rPr>
        <w:t>Punerea în aplicare a investiției se finalizează până la 31 decembrie 2022.</w:t>
      </w:r>
    </w:p>
    <w:p w14:paraId="21F94226" w14:textId="77777777" w:rsidR="00D924EA" w:rsidRDefault="00011DE9">
      <w:pPr>
        <w:pStyle w:val="P68B1DB1-Normal30"/>
        <w:spacing w:before="120" w:after="120" w:line="240" w:lineRule="auto"/>
        <w:jc w:val="both"/>
        <w:rPr>
          <w:rFonts w:cs="Times New Roman"/>
          <w:noProof/>
        </w:rPr>
      </w:pPr>
      <w:r>
        <w:rPr>
          <w:noProof/>
        </w:rPr>
        <w:t xml:space="preserve">Investiția 11 (C3.I11) – Plan de stimulare a sustenabilității, a cercetării, a inovării și a digitalizării în sectorul pescuitului (VI): Sprijin pentru finanțarea sectorului pescuitului </w:t>
      </w:r>
    </w:p>
    <w:p w14:paraId="726B6C9D" w14:textId="58CF2884" w:rsidR="00D924EA" w:rsidRDefault="00011DE9">
      <w:pPr>
        <w:pStyle w:val="P68B1DB1-Normal29"/>
        <w:spacing w:before="120" w:after="120" w:line="240" w:lineRule="auto"/>
        <w:jc w:val="both"/>
        <w:rPr>
          <w:rFonts w:cs="Times New Roman"/>
          <w:noProof/>
        </w:rPr>
      </w:pPr>
      <w:r>
        <w:rPr>
          <w:noProof/>
        </w:rPr>
        <w:t xml:space="preserve">Această măsură asigură finanțarea proiectelor de investiții în sectorul pescuitului prin acordarea unui împrumut către </w:t>
      </w:r>
      <w:r>
        <w:rPr>
          <w:i/>
          <w:noProof/>
        </w:rPr>
        <w:t>Sociedad Anónima Estatal de Caución Agraria</w:t>
      </w:r>
      <w:r>
        <w:rPr>
          <w:noProof/>
        </w:rPr>
        <w:t xml:space="preserve"> (SAECA). Obiectivul măsurii este de a crea o linie de finanțare pentru proiectele legate de acțiunile de pescuit sustenabil, inclusiv: (I)</w:t>
      </w:r>
      <w:r w:rsidR="0042520D">
        <w:rPr>
          <w:noProof/>
        </w:rPr>
        <w:t> </w:t>
      </w:r>
      <w:r>
        <w:rPr>
          <w:noProof/>
        </w:rPr>
        <w:t>îmbunătățirea condițiilor de muncă și de siguranță; (II) digitalizarea proceselor și a sistemelor; (III) îmbunătățirea valorii și a trasabilității produselor; (IV) căutarea de noi produse și prezentări, inclusiv ambalarea; și (v) stimularea inovării, a îmbunătățirii și a eficienței energetice, precum și a tranziției către energie cu un impact mai redus asupra climei.</w:t>
      </w:r>
    </w:p>
    <w:p w14:paraId="1E32C7CF" w14:textId="77777777" w:rsidR="00D924EA" w:rsidRDefault="00011DE9">
      <w:pPr>
        <w:pStyle w:val="P68B1DB1-Normal29"/>
        <w:spacing w:before="120" w:after="120" w:line="240" w:lineRule="auto"/>
        <w:jc w:val="both"/>
        <w:rPr>
          <w:rFonts w:cs="Times New Roman"/>
          <w:noProof/>
        </w:rPr>
      </w:pPr>
      <w:r>
        <w:rPr>
          <w:noProof/>
        </w:rPr>
        <w:t>Măsura este pusă în aplicare printr-un acord între Ministerul Agriculturii, Pescuitului și Alimentației și SAECA pentru a sprijini finanțarea proiectelor de investiții în sectorul pescuitului. Mecanismul se bazează pe un împrumut acordat SAECA pentru crearea unei linii de finanțare menite să regaranteze proiecte cu acțiuni legate de activitatea de pescuit sustenabil. Acordul include o condiție care garantează că investițiile efectuate cu această finanțare respectă Orientările tehnice de „a nu prejudicia în mod semnificativ” (2021/C58/01).</w:t>
      </w:r>
    </w:p>
    <w:p w14:paraId="1D2824F2" w14:textId="77777777" w:rsidR="00D924EA" w:rsidRDefault="00011DE9">
      <w:pPr>
        <w:pStyle w:val="P68B1DB1-Text138"/>
        <w:ind w:left="0"/>
        <w:rPr>
          <w:noProof/>
        </w:rPr>
      </w:pPr>
      <w:r>
        <w:rPr>
          <w:noProof/>
        </w:rPr>
        <w:t xml:space="preserve">Pentru a se asigura că măsura respectă Orientările tehnice de „a nu prejudicia în mod semnificativ” (2021/C58/01), acordul juridic dintre Ministerul Agriculturii, Pescuitului și Alimentației și SAECA și politica de investiții ulterioară a instrumentului financiar </w:t>
      </w:r>
    </w:p>
    <w:p w14:paraId="281E1C1A" w14:textId="77777777" w:rsidR="00D924EA" w:rsidRDefault="00011DE9">
      <w:pPr>
        <w:pStyle w:val="P68B1DB1-Text139"/>
        <w:numPr>
          <w:ilvl w:val="0"/>
          <w:numId w:val="38"/>
        </w:numPr>
        <w:ind w:left="714" w:hanging="357"/>
        <w:contextualSpacing/>
        <w:rPr>
          <w:rFonts w:cs="Times New Roman"/>
          <w:noProof/>
          <w:szCs w:val="24"/>
        </w:rPr>
      </w:pPr>
      <w:r>
        <w:rPr>
          <w:noProof/>
        </w:rPr>
        <w:t>să solicite aplicarea orientărilor tehnice ale Comisiei privind evaluarea durabilității pentru Fondul InvestEU; și</w:t>
      </w:r>
    </w:p>
    <w:p w14:paraId="2628D02A" w14:textId="77777777" w:rsidR="00D924EA" w:rsidRDefault="00011DE9">
      <w:pPr>
        <w:pStyle w:val="Text1"/>
        <w:numPr>
          <w:ilvl w:val="0"/>
          <w:numId w:val="38"/>
        </w:numPr>
        <w:ind w:left="714" w:hanging="357"/>
        <w:contextualSpacing/>
        <w:rPr>
          <w:rFonts w:ascii="Times New Roman" w:hAnsi="Times New Roman"/>
          <w:noProof/>
        </w:rPr>
      </w:pPr>
      <w:r>
        <w:rPr>
          <w:rFonts w:ascii="Times New Roman" w:hAnsi="Times New Roman"/>
          <w:noProof/>
        </w:rPr>
        <w:t>excluderea de la eligibilitate a următoarelor activități și active: (I) activități și active legate de combustibilii fosili, inclusiv utilizarea în aval</w:t>
      </w:r>
      <w:r>
        <w:rPr>
          <w:rStyle w:val="FootnoteReference"/>
          <w:rFonts w:ascii="Times New Roman" w:hAnsi="Times New Roman" w:cs="Times New Roman"/>
          <w:noProof/>
        </w:rPr>
        <w:footnoteReference w:id="11"/>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12"/>
      </w:r>
      <w:r>
        <w:rPr>
          <w:rFonts w:ascii="Times New Roman" w:hAnsi="Times New Roman"/>
          <w:noProof/>
        </w:rPr>
        <w:t>; (III) activități și active legate de depozitele de deșeuri, incineratoare</w:t>
      </w:r>
      <w:r>
        <w:rPr>
          <w:rStyle w:val="FootnoteReference"/>
          <w:rFonts w:ascii="Times New Roman" w:hAnsi="Times New Roman" w:cs="Times New Roman"/>
          <w:noProof/>
        </w:rPr>
        <w:footnoteReference w:id="13"/>
      </w:r>
      <w:r>
        <w:rPr>
          <w:rFonts w:ascii="Times New Roman" w:hAnsi="Times New Roman"/>
          <w:noProof/>
        </w:rPr>
        <w:t xml:space="preserve"> și stații de tratare mecano-biologică</w:t>
      </w:r>
      <w:r>
        <w:rPr>
          <w:rStyle w:val="FootnoteReference"/>
          <w:rFonts w:ascii="Times New Roman" w:hAnsi="Times New Roman" w:cs="Times New Roman"/>
          <w:noProof/>
        </w:rPr>
        <w:footnoteReference w:id="14"/>
      </w:r>
      <w:r>
        <w:rPr>
          <w:rFonts w:ascii="Times New Roman" w:hAnsi="Times New Roman"/>
          <w:noProof/>
        </w:rPr>
        <w:t>; și (iv) activitățile și activele în cazul cărora eliminarea pe termen lung a deșeurilor poate dăuna mediului; și</w:t>
      </w:r>
    </w:p>
    <w:p w14:paraId="06C69003" w14:textId="77777777" w:rsidR="00D924EA" w:rsidRDefault="00011DE9">
      <w:pPr>
        <w:pStyle w:val="P68B1DB1-Text139"/>
        <w:numPr>
          <w:ilvl w:val="0"/>
          <w:numId w:val="38"/>
        </w:numPr>
        <w:ind w:left="714" w:hanging="357"/>
        <w:contextualSpacing/>
        <w:rPr>
          <w:rFonts w:cs="Times New Roman"/>
          <w:noProof/>
          <w:szCs w:val="24"/>
        </w:rPr>
      </w:pPr>
      <w:r>
        <w:rPr>
          <w:noProof/>
        </w:rPr>
        <w:t>să solicite verificarea de către SAECA a conformității juridice a proiectelor cu legislația UE și națională relevantă în materie de mediu pentru toate tranzacțiile, inclusiv pentru cele exceptate de la evaluarea durabilității.</w:t>
      </w:r>
    </w:p>
    <w:p w14:paraId="0A8F71C6" w14:textId="77777777" w:rsidR="00D924EA" w:rsidRDefault="00011DE9">
      <w:pPr>
        <w:pStyle w:val="P68B1DB1-Normal29"/>
        <w:spacing w:before="120" w:after="120" w:line="240" w:lineRule="auto"/>
        <w:jc w:val="both"/>
        <w:rPr>
          <w:rFonts w:cs="Times New Roman"/>
          <w:noProof/>
        </w:rPr>
      </w:pPr>
      <w:r>
        <w:rPr>
          <w:noProof/>
        </w:rPr>
        <w:t>Punerea în aplicare a investiției se finalizează până la 30 iunie 2022.</w:t>
      </w:r>
    </w:p>
    <w:p w14:paraId="3C0C72A0" w14:textId="393A295B" w:rsidR="00D924EA" w:rsidRDefault="00011DE9">
      <w:pPr>
        <w:keepNext/>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C.2.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449638B8" w14:textId="77777777" w:rsidR="00D924EA" w:rsidRDefault="00011DE9">
      <w:pPr>
        <w:pStyle w:val="P68B1DB1-Normal29"/>
        <w:spacing w:before="120" w:after="120" w:line="240" w:lineRule="auto"/>
        <w:jc w:val="both"/>
        <w:rPr>
          <w:rFonts w:cs="Times New Roman"/>
          <w:b/>
          <w:noProof/>
          <w:u w:val="single"/>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520AC774" w14:textId="77777777" w:rsidR="00D924EA" w:rsidRDefault="00D924EA">
      <w:pPr>
        <w:spacing w:before="120" w:after="120" w:line="240" w:lineRule="auto"/>
        <w:ind w:left="709"/>
        <w:jc w:val="both"/>
        <w:rPr>
          <w:rFonts w:ascii="Times New Roman" w:hAnsi="Times New Roman" w:cs="Times New Roman"/>
          <w:noProof/>
        </w:rPr>
        <w:sectPr w:rsidR="00D924EA" w:rsidSect="00B528FB">
          <w:headerReference w:type="default" r:id="rId64"/>
          <w:footerReference w:type="default" r:id="rId65"/>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1051"/>
        <w:gridCol w:w="2670"/>
        <w:gridCol w:w="1276"/>
        <w:gridCol w:w="708"/>
        <w:gridCol w:w="1134"/>
        <w:gridCol w:w="748"/>
        <w:gridCol w:w="415"/>
        <w:gridCol w:w="553"/>
        <w:gridCol w:w="5236"/>
      </w:tblGrid>
      <w:tr w:rsidR="00D924EA" w14:paraId="11540FFF" w14:textId="77777777" w:rsidTr="0042520D">
        <w:trPr>
          <w:trHeight w:val="309"/>
          <w:tblHeader/>
          <w:jc w:val="center"/>
        </w:trPr>
        <w:tc>
          <w:tcPr>
            <w:tcW w:w="832" w:type="dxa"/>
            <w:vMerge w:val="restart"/>
            <w:shd w:val="clear" w:color="auto" w:fill="B7D4EF"/>
            <w:noWrap/>
            <w:vAlign w:val="center"/>
          </w:tcPr>
          <w:p w14:paraId="02929A77" w14:textId="77777777" w:rsidR="00D924EA" w:rsidRDefault="00011DE9">
            <w:pPr>
              <w:pStyle w:val="P68B1DB1-Normal28"/>
              <w:spacing w:after="0" w:line="240" w:lineRule="auto"/>
              <w:jc w:val="center"/>
              <w:rPr>
                <w:rFonts w:cs="Times New Roman"/>
                <w:noProof/>
                <w:szCs w:val="18"/>
              </w:rPr>
            </w:pPr>
            <w:r>
              <w:rPr>
                <w:noProof/>
              </w:rPr>
              <w:t>Număr</w:t>
            </w:r>
          </w:p>
        </w:tc>
        <w:tc>
          <w:tcPr>
            <w:tcW w:w="829" w:type="dxa"/>
            <w:vMerge w:val="restart"/>
            <w:shd w:val="clear" w:color="auto" w:fill="B7D4EF"/>
            <w:noWrap/>
            <w:vAlign w:val="center"/>
          </w:tcPr>
          <w:p w14:paraId="4D3C7B3B" w14:textId="77777777" w:rsidR="00D924EA" w:rsidRDefault="00011DE9">
            <w:pPr>
              <w:pStyle w:val="P68B1DB1-Normal28"/>
              <w:spacing w:after="0" w:line="240" w:lineRule="auto"/>
              <w:jc w:val="center"/>
              <w:rPr>
                <w:rFonts w:cs="Times New Roman"/>
                <w:noProof/>
                <w:szCs w:val="18"/>
              </w:rPr>
            </w:pPr>
            <w:r>
              <w:rPr>
                <w:noProof/>
              </w:rPr>
              <w:t>Măsură</w:t>
            </w:r>
          </w:p>
        </w:tc>
        <w:tc>
          <w:tcPr>
            <w:tcW w:w="1051" w:type="dxa"/>
            <w:vMerge w:val="restart"/>
            <w:shd w:val="clear" w:color="auto" w:fill="B7D4EF"/>
            <w:noWrap/>
            <w:vAlign w:val="center"/>
          </w:tcPr>
          <w:p w14:paraId="24506286" w14:textId="5528E8A0" w:rsidR="00D924EA" w:rsidRDefault="00011DE9">
            <w:pPr>
              <w:spacing w:after="0" w:line="240" w:lineRule="auto"/>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2670" w:type="dxa"/>
            <w:vMerge w:val="restart"/>
            <w:shd w:val="clear" w:color="auto" w:fill="B7D4EF"/>
            <w:noWrap/>
            <w:vAlign w:val="center"/>
          </w:tcPr>
          <w:p w14:paraId="3AE0823A" w14:textId="77777777" w:rsidR="00D924EA" w:rsidRDefault="00011DE9">
            <w:pPr>
              <w:pStyle w:val="P68B1DB1-Normal28"/>
              <w:spacing w:after="0" w:line="240" w:lineRule="auto"/>
              <w:jc w:val="center"/>
              <w:rPr>
                <w:rFonts w:cs="Times New Roman"/>
                <w:noProof/>
                <w:szCs w:val="18"/>
              </w:rPr>
            </w:pPr>
            <w:r>
              <w:rPr>
                <w:noProof/>
              </w:rPr>
              <w:t>Nume</w:t>
            </w:r>
          </w:p>
        </w:tc>
        <w:tc>
          <w:tcPr>
            <w:tcW w:w="1276" w:type="dxa"/>
            <w:vMerge w:val="restart"/>
            <w:shd w:val="clear" w:color="auto" w:fill="B7D4EF"/>
            <w:noWrap/>
            <w:vAlign w:val="center"/>
          </w:tcPr>
          <w:p w14:paraId="51F0B2DA" w14:textId="77777777" w:rsidR="00D924EA" w:rsidRDefault="00011DE9">
            <w:pPr>
              <w:pStyle w:val="P68B1DB1-Normal28"/>
              <w:spacing w:after="0" w:line="240" w:lineRule="auto"/>
              <w:jc w:val="center"/>
              <w:rPr>
                <w:rFonts w:cs="Times New Roman"/>
                <w:noProof/>
                <w:szCs w:val="18"/>
              </w:rPr>
            </w:pPr>
            <w:r>
              <w:rPr>
                <w:noProof/>
              </w:rPr>
              <w:t>Indicator calitativ pentru jaloane</w:t>
            </w:r>
          </w:p>
        </w:tc>
        <w:tc>
          <w:tcPr>
            <w:tcW w:w="2590" w:type="dxa"/>
            <w:gridSpan w:val="3"/>
            <w:shd w:val="clear" w:color="auto" w:fill="B7D4EF"/>
            <w:noWrap/>
            <w:vAlign w:val="center"/>
          </w:tcPr>
          <w:p w14:paraId="1A0A2F7D" w14:textId="77777777" w:rsidR="00D924EA" w:rsidRDefault="00011DE9">
            <w:pPr>
              <w:pStyle w:val="P68B1DB1-Normal28"/>
              <w:spacing w:after="0" w:line="240" w:lineRule="auto"/>
              <w:jc w:val="center"/>
              <w:rPr>
                <w:rFonts w:cs="Times New Roman"/>
                <w:noProof/>
                <w:szCs w:val="18"/>
              </w:rPr>
            </w:pPr>
            <w:r>
              <w:rPr>
                <w:noProof/>
              </w:rPr>
              <w:t>Indicator cantitativ pentru ținte</w:t>
            </w:r>
          </w:p>
        </w:tc>
        <w:tc>
          <w:tcPr>
            <w:tcW w:w="968" w:type="dxa"/>
            <w:gridSpan w:val="2"/>
            <w:shd w:val="clear" w:color="auto" w:fill="B7D4EF"/>
            <w:noWrap/>
            <w:vAlign w:val="center"/>
          </w:tcPr>
          <w:p w14:paraId="13CC7D2B" w14:textId="77777777" w:rsidR="00D924EA" w:rsidRDefault="00011DE9">
            <w:pPr>
              <w:pStyle w:val="P68B1DB1-Normal28"/>
              <w:spacing w:after="0" w:line="240" w:lineRule="auto"/>
              <w:jc w:val="center"/>
              <w:rPr>
                <w:rFonts w:cs="Times New Roman"/>
                <w:noProof/>
                <w:szCs w:val="18"/>
              </w:rPr>
            </w:pPr>
            <w:r>
              <w:rPr>
                <w:noProof/>
              </w:rPr>
              <w:t>Timp</w:t>
            </w:r>
          </w:p>
        </w:tc>
        <w:tc>
          <w:tcPr>
            <w:tcW w:w="5236" w:type="dxa"/>
            <w:vMerge w:val="restart"/>
            <w:shd w:val="clear" w:color="auto" w:fill="B7D4EF"/>
            <w:noWrap/>
            <w:vAlign w:val="center"/>
          </w:tcPr>
          <w:p w14:paraId="26EA9B49" w14:textId="77777777" w:rsidR="00D924EA" w:rsidRDefault="00011DE9">
            <w:pPr>
              <w:pStyle w:val="P68B1DB1-Normal28"/>
              <w:spacing w:after="0" w:line="240" w:lineRule="auto"/>
              <w:jc w:val="center"/>
              <w:rPr>
                <w:rFonts w:cs="Times New Roman"/>
                <w:noProof/>
                <w:szCs w:val="18"/>
              </w:rPr>
            </w:pPr>
            <w:r>
              <w:rPr>
                <w:noProof/>
              </w:rPr>
              <w:t>Descrierea fiecărui jalon și a fiecărei ținte</w:t>
            </w:r>
          </w:p>
        </w:tc>
      </w:tr>
      <w:tr w:rsidR="00D924EA" w14:paraId="04D0D0B8" w14:textId="77777777" w:rsidTr="0042520D">
        <w:trPr>
          <w:trHeight w:val="309"/>
          <w:tblHeader/>
          <w:jc w:val="center"/>
        </w:trPr>
        <w:tc>
          <w:tcPr>
            <w:tcW w:w="832" w:type="dxa"/>
            <w:vMerge/>
            <w:noWrap/>
          </w:tcPr>
          <w:p w14:paraId="60F66042" w14:textId="77777777" w:rsidR="00D924EA" w:rsidRDefault="00D924EA">
            <w:pPr>
              <w:spacing w:after="0" w:line="240" w:lineRule="auto"/>
              <w:jc w:val="center"/>
              <w:rPr>
                <w:rFonts w:ascii="Times New Roman" w:hAnsi="Times New Roman" w:cs="Times New Roman"/>
                <w:b/>
                <w:noProof/>
                <w:sz w:val="18"/>
                <w:szCs w:val="18"/>
              </w:rPr>
            </w:pPr>
          </w:p>
        </w:tc>
        <w:tc>
          <w:tcPr>
            <w:tcW w:w="829" w:type="dxa"/>
            <w:vMerge/>
            <w:noWrap/>
          </w:tcPr>
          <w:p w14:paraId="66D7ADC6" w14:textId="77777777" w:rsidR="00D924EA" w:rsidRDefault="00D924EA">
            <w:pPr>
              <w:spacing w:after="0" w:line="240" w:lineRule="auto"/>
              <w:jc w:val="center"/>
              <w:rPr>
                <w:rFonts w:ascii="Times New Roman" w:hAnsi="Times New Roman" w:cs="Times New Roman"/>
                <w:b/>
                <w:noProof/>
                <w:sz w:val="18"/>
                <w:szCs w:val="18"/>
              </w:rPr>
            </w:pPr>
          </w:p>
        </w:tc>
        <w:tc>
          <w:tcPr>
            <w:tcW w:w="1051" w:type="dxa"/>
            <w:vMerge/>
            <w:noWrap/>
          </w:tcPr>
          <w:p w14:paraId="7B32710C" w14:textId="77777777" w:rsidR="00D924EA" w:rsidRDefault="00D924EA">
            <w:pPr>
              <w:spacing w:after="0" w:line="240" w:lineRule="auto"/>
              <w:jc w:val="center"/>
              <w:rPr>
                <w:rFonts w:ascii="Times New Roman" w:hAnsi="Times New Roman" w:cs="Times New Roman"/>
                <w:b/>
                <w:noProof/>
                <w:sz w:val="18"/>
                <w:szCs w:val="18"/>
              </w:rPr>
            </w:pPr>
          </w:p>
        </w:tc>
        <w:tc>
          <w:tcPr>
            <w:tcW w:w="2670" w:type="dxa"/>
            <w:vMerge/>
            <w:noWrap/>
          </w:tcPr>
          <w:p w14:paraId="5927DDAE" w14:textId="77777777" w:rsidR="00D924EA" w:rsidRDefault="00D924EA">
            <w:pPr>
              <w:spacing w:after="0" w:line="240" w:lineRule="auto"/>
              <w:rPr>
                <w:rFonts w:ascii="Times New Roman" w:hAnsi="Times New Roman" w:cs="Times New Roman"/>
                <w:b/>
                <w:noProof/>
                <w:sz w:val="18"/>
                <w:szCs w:val="18"/>
              </w:rPr>
            </w:pPr>
          </w:p>
        </w:tc>
        <w:tc>
          <w:tcPr>
            <w:tcW w:w="1276" w:type="dxa"/>
            <w:vMerge/>
            <w:noWrap/>
          </w:tcPr>
          <w:p w14:paraId="69705405" w14:textId="77777777" w:rsidR="00D924EA" w:rsidRDefault="00D924EA">
            <w:pPr>
              <w:spacing w:after="0" w:line="240" w:lineRule="auto"/>
              <w:jc w:val="center"/>
              <w:rPr>
                <w:rFonts w:ascii="Times New Roman" w:hAnsi="Times New Roman" w:cs="Times New Roman"/>
                <w:b/>
                <w:noProof/>
                <w:sz w:val="18"/>
                <w:szCs w:val="18"/>
              </w:rPr>
            </w:pPr>
          </w:p>
        </w:tc>
        <w:tc>
          <w:tcPr>
            <w:tcW w:w="708" w:type="dxa"/>
            <w:shd w:val="clear" w:color="auto" w:fill="B7D4EF"/>
            <w:noWrap/>
            <w:vAlign w:val="center"/>
          </w:tcPr>
          <w:p w14:paraId="15542EAB" w14:textId="77777777" w:rsidR="00D924EA" w:rsidRDefault="00011DE9">
            <w:pPr>
              <w:pStyle w:val="P68B1DB1-Normal28"/>
              <w:spacing w:after="0" w:line="240" w:lineRule="auto"/>
              <w:jc w:val="center"/>
              <w:rPr>
                <w:rFonts w:cs="Times New Roman"/>
                <w:noProof/>
                <w:szCs w:val="18"/>
              </w:rPr>
            </w:pPr>
            <w:r>
              <w:rPr>
                <w:noProof/>
              </w:rPr>
              <w:t>Unitate</w:t>
            </w:r>
          </w:p>
        </w:tc>
        <w:tc>
          <w:tcPr>
            <w:tcW w:w="1134" w:type="dxa"/>
            <w:shd w:val="clear" w:color="auto" w:fill="B7D4EF"/>
            <w:noWrap/>
            <w:vAlign w:val="center"/>
          </w:tcPr>
          <w:p w14:paraId="598F0A58" w14:textId="77777777" w:rsidR="00D924EA" w:rsidRDefault="00011DE9">
            <w:pPr>
              <w:pStyle w:val="P68B1DB1-Normal28"/>
              <w:spacing w:after="0" w:line="240" w:lineRule="auto"/>
              <w:jc w:val="center"/>
              <w:rPr>
                <w:rFonts w:cs="Times New Roman"/>
                <w:noProof/>
                <w:szCs w:val="18"/>
              </w:rPr>
            </w:pPr>
            <w:r>
              <w:rPr>
                <w:noProof/>
              </w:rPr>
              <w:t>Situația de referință</w:t>
            </w:r>
          </w:p>
        </w:tc>
        <w:tc>
          <w:tcPr>
            <w:tcW w:w="748" w:type="dxa"/>
            <w:shd w:val="clear" w:color="auto" w:fill="B7D4EF"/>
            <w:noWrap/>
            <w:vAlign w:val="center"/>
          </w:tcPr>
          <w:p w14:paraId="5F8CC2F6" w14:textId="77777777" w:rsidR="00D924EA" w:rsidRDefault="00011DE9">
            <w:pPr>
              <w:pStyle w:val="P68B1DB1-Normal28"/>
              <w:spacing w:after="0" w:line="240" w:lineRule="auto"/>
              <w:jc w:val="center"/>
              <w:rPr>
                <w:rFonts w:cs="Times New Roman"/>
                <w:noProof/>
                <w:szCs w:val="18"/>
              </w:rPr>
            </w:pPr>
            <w:r>
              <w:rPr>
                <w:noProof/>
              </w:rPr>
              <w:t>Obiectiv</w:t>
            </w:r>
          </w:p>
        </w:tc>
        <w:tc>
          <w:tcPr>
            <w:tcW w:w="415" w:type="dxa"/>
            <w:shd w:val="clear" w:color="auto" w:fill="B7D4EF"/>
            <w:noWrap/>
            <w:vAlign w:val="center"/>
          </w:tcPr>
          <w:p w14:paraId="36202DE9" w14:textId="51B83B4E" w:rsidR="00D924EA" w:rsidRDefault="0042520D">
            <w:pPr>
              <w:pStyle w:val="P68B1DB1-Normal28"/>
              <w:spacing w:after="0" w:line="240" w:lineRule="auto"/>
              <w:jc w:val="center"/>
              <w:rPr>
                <w:rFonts w:cs="Times New Roman"/>
                <w:noProof/>
                <w:szCs w:val="18"/>
              </w:rPr>
            </w:pPr>
            <w:r>
              <w:rPr>
                <w:noProof/>
              </w:rPr>
              <w:t>T</w:t>
            </w:r>
          </w:p>
        </w:tc>
        <w:tc>
          <w:tcPr>
            <w:tcW w:w="553" w:type="dxa"/>
            <w:shd w:val="clear" w:color="auto" w:fill="B7D4EF"/>
            <w:noWrap/>
            <w:vAlign w:val="center"/>
          </w:tcPr>
          <w:p w14:paraId="0B8E159F" w14:textId="77777777" w:rsidR="00D924EA" w:rsidRDefault="00011DE9">
            <w:pPr>
              <w:pStyle w:val="P68B1DB1-Normal28"/>
              <w:spacing w:after="0" w:line="240" w:lineRule="auto"/>
              <w:jc w:val="center"/>
              <w:rPr>
                <w:rFonts w:cs="Times New Roman"/>
                <w:noProof/>
                <w:szCs w:val="18"/>
              </w:rPr>
            </w:pPr>
            <w:r>
              <w:rPr>
                <w:noProof/>
              </w:rPr>
              <w:t>Anul</w:t>
            </w:r>
          </w:p>
        </w:tc>
        <w:tc>
          <w:tcPr>
            <w:tcW w:w="5236" w:type="dxa"/>
            <w:vMerge/>
            <w:noWrap/>
          </w:tcPr>
          <w:p w14:paraId="64E01D4C" w14:textId="77777777" w:rsidR="00D924EA" w:rsidRDefault="00D924EA">
            <w:pPr>
              <w:spacing w:after="0" w:line="240" w:lineRule="auto"/>
              <w:rPr>
                <w:rFonts w:ascii="Times New Roman" w:hAnsi="Times New Roman" w:cs="Times New Roman"/>
                <w:b/>
                <w:noProof/>
                <w:sz w:val="18"/>
                <w:szCs w:val="18"/>
              </w:rPr>
            </w:pPr>
          </w:p>
        </w:tc>
      </w:tr>
      <w:tr w:rsidR="00D924EA" w14:paraId="5A976870" w14:textId="77777777" w:rsidTr="0042520D">
        <w:trPr>
          <w:trHeight w:val="309"/>
          <w:jc w:val="center"/>
        </w:trPr>
        <w:tc>
          <w:tcPr>
            <w:tcW w:w="832" w:type="dxa"/>
            <w:shd w:val="clear" w:color="auto" w:fill="C6EFCE"/>
            <w:noWrap/>
          </w:tcPr>
          <w:p w14:paraId="59E3C9BB" w14:textId="77777777" w:rsidR="00D924EA" w:rsidRDefault="00011DE9">
            <w:pPr>
              <w:pStyle w:val="P68B1DB1-Normal23"/>
              <w:spacing w:after="0" w:line="240" w:lineRule="auto"/>
              <w:jc w:val="center"/>
              <w:rPr>
                <w:rFonts w:eastAsia="MS Mincho" w:cs="Times New Roman"/>
                <w:noProof/>
                <w:szCs w:val="18"/>
              </w:rPr>
            </w:pPr>
            <w:r>
              <w:rPr>
                <w:noProof/>
              </w:rPr>
              <w:t>39</w:t>
            </w:r>
          </w:p>
        </w:tc>
        <w:tc>
          <w:tcPr>
            <w:tcW w:w="829" w:type="dxa"/>
            <w:shd w:val="clear" w:color="auto" w:fill="C6EFCE"/>
            <w:noWrap/>
          </w:tcPr>
          <w:p w14:paraId="12BEEF31" w14:textId="77777777" w:rsidR="00D924EA" w:rsidRDefault="00011DE9">
            <w:pPr>
              <w:pStyle w:val="P68B1DB1-Normal23"/>
              <w:spacing w:after="0" w:line="240" w:lineRule="auto"/>
              <w:jc w:val="center"/>
              <w:rPr>
                <w:rFonts w:eastAsia="MS Mincho" w:cs="Times New Roman"/>
                <w:noProof/>
                <w:szCs w:val="18"/>
              </w:rPr>
            </w:pPr>
            <w:r>
              <w:rPr>
                <w:noProof/>
              </w:rPr>
              <w:t>C3.R1</w:t>
            </w:r>
          </w:p>
        </w:tc>
        <w:tc>
          <w:tcPr>
            <w:tcW w:w="1051" w:type="dxa"/>
            <w:shd w:val="clear" w:color="auto" w:fill="C6EFCE"/>
            <w:noWrap/>
          </w:tcPr>
          <w:p w14:paraId="41EADFA0"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2670" w:type="dxa"/>
            <w:shd w:val="clear" w:color="auto" w:fill="C6EFCE"/>
            <w:noWrap/>
          </w:tcPr>
          <w:p w14:paraId="6A91D922" w14:textId="77777777" w:rsidR="00D924EA" w:rsidRDefault="00011DE9">
            <w:pPr>
              <w:pStyle w:val="P68B1DB1-Normal23"/>
              <w:spacing w:after="0" w:line="240" w:lineRule="auto"/>
              <w:rPr>
                <w:rFonts w:eastAsia="MS Mincho" w:cs="Times New Roman"/>
                <w:noProof/>
                <w:szCs w:val="18"/>
              </w:rPr>
            </w:pPr>
            <w:r>
              <w:rPr>
                <w:noProof/>
              </w:rPr>
              <w:t>Intrarea în vigoare a Decretului-lege regal nr. 5/2020 privind măsurile urgente referitoare la agricultură și sectorul alimentar și a Legii nr. 8/2020 privind modificarea Legii nr. 12/2013 privind măsurile de îmbunătățire a funcționării lanțului alimentar</w:t>
            </w:r>
          </w:p>
        </w:tc>
        <w:tc>
          <w:tcPr>
            <w:tcW w:w="1276" w:type="dxa"/>
            <w:shd w:val="clear" w:color="auto" w:fill="C6EFCE"/>
            <w:noWrap/>
          </w:tcPr>
          <w:p w14:paraId="7843EFA6" w14:textId="77777777" w:rsidR="00D924EA" w:rsidRDefault="00011DE9">
            <w:pPr>
              <w:pStyle w:val="P68B1DB1-Normal23"/>
              <w:spacing w:after="0" w:line="240" w:lineRule="auto"/>
              <w:jc w:val="center"/>
              <w:rPr>
                <w:rFonts w:eastAsia="MS Mincho" w:cs="Times New Roman"/>
                <w:noProof/>
                <w:szCs w:val="18"/>
              </w:rPr>
            </w:pPr>
            <w:r>
              <w:rPr>
                <w:noProof/>
              </w:rPr>
              <w:t>Dispozițiile Decretului-lege regal nr. 5/2020, ale Legii nr. 8/2020 și ale Legii nr. 12/2013 privind intrarea în vigoare</w:t>
            </w:r>
          </w:p>
        </w:tc>
        <w:tc>
          <w:tcPr>
            <w:tcW w:w="708" w:type="dxa"/>
            <w:shd w:val="clear" w:color="auto" w:fill="C6EFCE"/>
            <w:noWrap/>
          </w:tcPr>
          <w:p w14:paraId="614DAEA3"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1134" w:type="dxa"/>
            <w:shd w:val="clear" w:color="auto" w:fill="C6EFCE"/>
            <w:noWrap/>
          </w:tcPr>
          <w:p w14:paraId="7C317C73"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48" w:type="dxa"/>
            <w:shd w:val="clear" w:color="auto" w:fill="C6EFCE"/>
            <w:noWrap/>
          </w:tcPr>
          <w:p w14:paraId="118054CC"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0341C3E5" w14:textId="3CA8A3DD" w:rsidR="00D924EA" w:rsidRDefault="005701C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0D04DAFF" w14:textId="77777777" w:rsidR="00D924EA" w:rsidRDefault="00011DE9">
            <w:pPr>
              <w:pStyle w:val="P68B1DB1-Normal23"/>
              <w:spacing w:after="0" w:line="240" w:lineRule="auto"/>
              <w:jc w:val="center"/>
              <w:rPr>
                <w:rFonts w:eastAsia="MS Mincho" w:cs="Times New Roman"/>
                <w:noProof/>
                <w:szCs w:val="18"/>
              </w:rPr>
            </w:pPr>
            <w:r>
              <w:rPr>
                <w:noProof/>
              </w:rPr>
              <w:t>2020</w:t>
            </w:r>
          </w:p>
        </w:tc>
        <w:tc>
          <w:tcPr>
            <w:tcW w:w="5236" w:type="dxa"/>
            <w:shd w:val="clear" w:color="auto" w:fill="C6EFCE"/>
            <w:noWrap/>
          </w:tcPr>
          <w:p w14:paraId="0E5221F6" w14:textId="1A867F29" w:rsidR="00D924EA" w:rsidRDefault="00011DE9">
            <w:pPr>
              <w:spacing w:after="0" w:line="240" w:lineRule="auto"/>
              <w:rPr>
                <w:noProof/>
              </w:rPr>
            </w:pPr>
            <w:r>
              <w:rPr>
                <w:rFonts w:ascii="Times New Roman" w:hAnsi="Times New Roman"/>
                <w:noProof/>
                <w:sz w:val="18"/>
              </w:rPr>
              <w:t>Intrarea în vigoare a Decretului-lege regal nr. 5/2020 (25 202 februarie 0), cu măsuri urgente privind agricultura și produsele alimentare, pentru a îmbunătăți funcționarea lanțului alimentar prin modificarea legislației naționale care reglementează relațiile comerciale din cadrul lanțului alimentar. Principalele obiective sunt de a asigura că prețurile produselor alimentare acoperă costurile de producție, de a evita distrugerea valorii în lanțul alimentar și de a interzice promoțiile menite să inducă în eroare consumatorii cu privire la prețul și imaginea produselor.</w:t>
            </w:r>
            <w:r w:rsidR="00971820">
              <w:rPr>
                <w:noProof/>
              </w:rPr>
              <w:t xml:space="preserve"> </w:t>
            </w:r>
          </w:p>
          <w:p w14:paraId="7FEDA31C" w14:textId="77777777" w:rsidR="00D924EA" w:rsidRDefault="00011DE9">
            <w:pPr>
              <w:pStyle w:val="P68B1DB1-Normal23"/>
              <w:spacing w:after="0" w:line="240" w:lineRule="auto"/>
              <w:rPr>
                <w:rFonts w:cs="Times New Roman"/>
                <w:noProof/>
                <w:szCs w:val="18"/>
              </w:rPr>
            </w:pPr>
            <w:r>
              <w:rPr>
                <w:noProof/>
              </w:rPr>
              <w:t>Intrarea în vigoare a Legii nr. 8/2020 privind modificarea Legii nr. 12/2013, privind măsuri urgente pentru îmbunătățirea funcționării lanțului alimentar, în vederea validării Decretului-lege regal menționat mai sus prin adoptarea unei legi.</w:t>
            </w:r>
          </w:p>
        </w:tc>
      </w:tr>
      <w:tr w:rsidR="00D924EA" w14:paraId="6207C495" w14:textId="77777777" w:rsidTr="0042520D">
        <w:trPr>
          <w:trHeight w:val="309"/>
          <w:jc w:val="center"/>
        </w:trPr>
        <w:tc>
          <w:tcPr>
            <w:tcW w:w="832" w:type="dxa"/>
            <w:shd w:val="clear" w:color="auto" w:fill="C6EFCE"/>
            <w:noWrap/>
          </w:tcPr>
          <w:p w14:paraId="7D8E6B46" w14:textId="77777777" w:rsidR="00D924EA" w:rsidRDefault="00011DE9">
            <w:pPr>
              <w:pStyle w:val="P68B1DB1-Normal23"/>
              <w:spacing w:after="0" w:line="240" w:lineRule="auto"/>
              <w:jc w:val="center"/>
              <w:rPr>
                <w:rFonts w:eastAsia="MS Mincho" w:cs="Times New Roman"/>
                <w:noProof/>
                <w:szCs w:val="18"/>
              </w:rPr>
            </w:pPr>
            <w:r>
              <w:rPr>
                <w:noProof/>
              </w:rPr>
              <w:t>40</w:t>
            </w:r>
          </w:p>
        </w:tc>
        <w:tc>
          <w:tcPr>
            <w:tcW w:w="829" w:type="dxa"/>
            <w:shd w:val="clear" w:color="auto" w:fill="C6EFCE"/>
            <w:noWrap/>
          </w:tcPr>
          <w:p w14:paraId="5BB64D6C" w14:textId="77777777" w:rsidR="00D924EA" w:rsidRDefault="00011DE9">
            <w:pPr>
              <w:pStyle w:val="P68B1DB1-Normal23"/>
              <w:spacing w:after="0" w:line="240" w:lineRule="auto"/>
              <w:jc w:val="center"/>
              <w:rPr>
                <w:rFonts w:eastAsia="MS Mincho" w:cs="Times New Roman"/>
                <w:noProof/>
                <w:szCs w:val="18"/>
              </w:rPr>
            </w:pPr>
            <w:r>
              <w:rPr>
                <w:noProof/>
              </w:rPr>
              <w:t>C3.R1</w:t>
            </w:r>
          </w:p>
        </w:tc>
        <w:tc>
          <w:tcPr>
            <w:tcW w:w="1051" w:type="dxa"/>
            <w:shd w:val="clear" w:color="auto" w:fill="C6EFCE"/>
            <w:noWrap/>
          </w:tcPr>
          <w:p w14:paraId="7BC4FEC6"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2670" w:type="dxa"/>
            <w:shd w:val="clear" w:color="auto" w:fill="C6EFCE"/>
            <w:noWrap/>
          </w:tcPr>
          <w:p w14:paraId="4F6EEA44" w14:textId="77777777" w:rsidR="00D924EA" w:rsidRDefault="00011DE9">
            <w:pPr>
              <w:pStyle w:val="P68B1DB1-Normal23"/>
              <w:spacing w:after="0" w:line="240" w:lineRule="auto"/>
              <w:rPr>
                <w:rFonts w:eastAsia="MS Mincho" w:cs="Times New Roman"/>
                <w:noProof/>
                <w:szCs w:val="18"/>
              </w:rPr>
            </w:pPr>
            <w:r>
              <w:rPr>
                <w:noProof/>
              </w:rPr>
              <w:t xml:space="preserve">Intrarea în vigoare a celei de a doua modificări a Legii nr. 12/2013 privind măsurile de îmbunătățire a funcționării lanțului alimentar </w:t>
            </w:r>
          </w:p>
        </w:tc>
        <w:tc>
          <w:tcPr>
            <w:tcW w:w="1276" w:type="dxa"/>
            <w:shd w:val="clear" w:color="auto" w:fill="C6EFCE"/>
            <w:noWrap/>
          </w:tcPr>
          <w:p w14:paraId="6D1E01C0" w14:textId="77777777" w:rsidR="00D924EA" w:rsidRDefault="00011DE9">
            <w:pPr>
              <w:pStyle w:val="P68B1DB1-Normal23"/>
              <w:spacing w:after="0" w:line="240" w:lineRule="auto"/>
              <w:jc w:val="center"/>
              <w:rPr>
                <w:rFonts w:eastAsia="MS Mincho" w:cs="Times New Roman"/>
                <w:noProof/>
                <w:szCs w:val="18"/>
              </w:rPr>
            </w:pPr>
            <w:r>
              <w:rPr>
                <w:noProof/>
              </w:rPr>
              <w:t>Dispoziția din Legea nr. 12/2013 privind intrarea în vigoare</w:t>
            </w:r>
          </w:p>
        </w:tc>
        <w:tc>
          <w:tcPr>
            <w:tcW w:w="708" w:type="dxa"/>
            <w:shd w:val="clear" w:color="auto" w:fill="C6EFCE"/>
            <w:noWrap/>
          </w:tcPr>
          <w:p w14:paraId="333614CB"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1134" w:type="dxa"/>
            <w:shd w:val="clear" w:color="auto" w:fill="C6EFCE"/>
            <w:noWrap/>
          </w:tcPr>
          <w:p w14:paraId="3CC874E8"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48" w:type="dxa"/>
            <w:shd w:val="clear" w:color="auto" w:fill="C6EFCE"/>
            <w:noWrap/>
          </w:tcPr>
          <w:p w14:paraId="7139B4DB"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4DDC27D3" w14:textId="091D69C7" w:rsidR="00D924EA" w:rsidRDefault="005701C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11F0A3A5" w14:textId="77777777" w:rsidR="00D924EA" w:rsidRDefault="00011DE9">
            <w:pPr>
              <w:pStyle w:val="P68B1DB1-Normal23"/>
              <w:spacing w:after="0" w:line="240" w:lineRule="auto"/>
              <w:jc w:val="center"/>
              <w:rPr>
                <w:rFonts w:eastAsia="MS Mincho" w:cs="Times New Roman"/>
                <w:noProof/>
                <w:szCs w:val="18"/>
              </w:rPr>
            </w:pPr>
            <w:r>
              <w:rPr>
                <w:noProof/>
              </w:rPr>
              <w:t>2021</w:t>
            </w:r>
          </w:p>
        </w:tc>
        <w:tc>
          <w:tcPr>
            <w:tcW w:w="5236" w:type="dxa"/>
            <w:shd w:val="clear" w:color="auto" w:fill="C6EFCE"/>
            <w:noWrap/>
          </w:tcPr>
          <w:p w14:paraId="57C2AA2F" w14:textId="77777777" w:rsidR="00D924EA" w:rsidRDefault="00011DE9">
            <w:pPr>
              <w:pStyle w:val="P68B1DB1-Normal23"/>
              <w:spacing w:after="0" w:line="240" w:lineRule="auto"/>
              <w:rPr>
                <w:rFonts w:eastAsia="MS Mincho" w:cs="Times New Roman"/>
                <w:noProof/>
                <w:szCs w:val="18"/>
              </w:rPr>
            </w:pPr>
            <w:r>
              <w:rPr>
                <w:noProof/>
              </w:rPr>
              <w:t xml:space="preserve">Intrarea în vigoare a celei de a doua modificări a Legii nr. 12/2013 privind măsurile pentru îmbunătățirea funcționării lanțului alimentar, dincolo de cerințele minime ale Directivei (UE) 2019/633. Acest amendament juridic promovează diferite acțiuni în direcția unui lanț valoric alimentar mai transparent și mai echilibrat, ceea ce implică modificări ale (i) domeniului de aplicare extins al legii la relațiile comerciale; (II) conținutul minim al contractelor privind produsele alimentare este extins la practic toate tranzacțiile. </w:t>
            </w:r>
          </w:p>
        </w:tc>
      </w:tr>
      <w:tr w:rsidR="00D924EA" w14:paraId="74A337A1" w14:textId="77777777" w:rsidTr="0042520D">
        <w:trPr>
          <w:trHeight w:val="309"/>
          <w:jc w:val="center"/>
        </w:trPr>
        <w:tc>
          <w:tcPr>
            <w:tcW w:w="832" w:type="dxa"/>
            <w:shd w:val="clear" w:color="auto" w:fill="C6EFCE"/>
            <w:noWrap/>
          </w:tcPr>
          <w:p w14:paraId="5F0D7D77" w14:textId="77777777" w:rsidR="00D924EA" w:rsidRDefault="00011DE9">
            <w:pPr>
              <w:pStyle w:val="P68B1DB1-Normal23"/>
              <w:spacing w:after="0" w:line="240" w:lineRule="auto"/>
              <w:jc w:val="center"/>
              <w:rPr>
                <w:rFonts w:eastAsia="MS Mincho" w:cs="Times New Roman"/>
                <w:noProof/>
                <w:szCs w:val="18"/>
              </w:rPr>
            </w:pPr>
            <w:r>
              <w:rPr>
                <w:noProof/>
              </w:rPr>
              <w:t>41</w:t>
            </w:r>
          </w:p>
        </w:tc>
        <w:tc>
          <w:tcPr>
            <w:tcW w:w="829" w:type="dxa"/>
            <w:shd w:val="clear" w:color="auto" w:fill="C6EFCE"/>
            <w:noWrap/>
          </w:tcPr>
          <w:p w14:paraId="2393294E" w14:textId="77777777" w:rsidR="00D924EA" w:rsidRDefault="00011DE9">
            <w:pPr>
              <w:pStyle w:val="P68B1DB1-Normal23"/>
              <w:spacing w:after="0" w:line="240" w:lineRule="auto"/>
              <w:jc w:val="center"/>
              <w:rPr>
                <w:rFonts w:eastAsia="MS Mincho" w:cs="Times New Roman"/>
                <w:noProof/>
                <w:szCs w:val="18"/>
              </w:rPr>
            </w:pPr>
            <w:r>
              <w:rPr>
                <w:noProof/>
              </w:rPr>
              <w:t>C3.R2</w:t>
            </w:r>
          </w:p>
        </w:tc>
        <w:tc>
          <w:tcPr>
            <w:tcW w:w="1051" w:type="dxa"/>
            <w:shd w:val="clear" w:color="auto" w:fill="C6EFCE"/>
            <w:noWrap/>
          </w:tcPr>
          <w:p w14:paraId="5FA45E77"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2670" w:type="dxa"/>
            <w:shd w:val="clear" w:color="auto" w:fill="C6EFCE"/>
            <w:noWrap/>
          </w:tcPr>
          <w:p w14:paraId="3FC8DFDC" w14:textId="77777777" w:rsidR="00D924EA" w:rsidRDefault="00011DE9">
            <w:pPr>
              <w:pStyle w:val="P68B1DB1-Normal23"/>
              <w:spacing w:after="0" w:line="240" w:lineRule="auto"/>
              <w:rPr>
                <w:rFonts w:eastAsia="MS Mincho" w:cs="Times New Roman"/>
                <w:noProof/>
                <w:szCs w:val="18"/>
              </w:rPr>
            </w:pPr>
            <w:r>
              <w:rPr>
                <w:noProof/>
              </w:rPr>
              <w:t>Intrarea în vigoare a cadrului de reglementare pentru dezvoltarea unui registru general al celor mai bune tehnici disponibile în ferme pentru a informa cu privire la emisiile de poluanți și de GES și reformarea legislației în materie de planificare cu criterii privind fermele din toate sectoarele</w:t>
            </w:r>
          </w:p>
        </w:tc>
        <w:tc>
          <w:tcPr>
            <w:tcW w:w="1276" w:type="dxa"/>
            <w:shd w:val="clear" w:color="auto" w:fill="C6EFCE"/>
            <w:noWrap/>
          </w:tcPr>
          <w:p w14:paraId="1840D297" w14:textId="77777777" w:rsidR="00D924EA" w:rsidRDefault="00011DE9">
            <w:pPr>
              <w:pStyle w:val="P68B1DB1-Normal23"/>
              <w:spacing w:after="0" w:line="240" w:lineRule="auto"/>
              <w:jc w:val="center"/>
              <w:rPr>
                <w:rFonts w:eastAsia="MS Mincho" w:cs="Times New Roman"/>
                <w:noProof/>
                <w:szCs w:val="18"/>
              </w:rPr>
            </w:pPr>
            <w:r>
              <w:rPr>
                <w:noProof/>
              </w:rPr>
              <w:t>Dispoziția cadrului de reglementare privind intrarea în vigoare</w:t>
            </w:r>
          </w:p>
        </w:tc>
        <w:tc>
          <w:tcPr>
            <w:tcW w:w="708" w:type="dxa"/>
            <w:shd w:val="clear" w:color="auto" w:fill="C6EFCE"/>
            <w:noWrap/>
          </w:tcPr>
          <w:p w14:paraId="09DBB244"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1134" w:type="dxa"/>
            <w:shd w:val="clear" w:color="auto" w:fill="C6EFCE"/>
            <w:noWrap/>
          </w:tcPr>
          <w:p w14:paraId="4C529226"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48" w:type="dxa"/>
            <w:shd w:val="clear" w:color="auto" w:fill="C6EFCE"/>
            <w:noWrap/>
          </w:tcPr>
          <w:p w14:paraId="16BDA588"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04841133" w14:textId="7FD46F47" w:rsidR="00D924EA" w:rsidRDefault="005701C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59948D3E" w14:textId="77777777" w:rsidR="00D924EA" w:rsidRDefault="00011DE9">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32FB7ACF" w14:textId="77777777" w:rsidR="00D924EA" w:rsidRDefault="00011DE9">
            <w:pPr>
              <w:pStyle w:val="P68B1DB1-Normal23"/>
              <w:spacing w:after="0" w:line="240" w:lineRule="auto"/>
              <w:rPr>
                <w:rFonts w:eastAsia="MS Mincho" w:cs="Times New Roman"/>
                <w:noProof/>
                <w:szCs w:val="18"/>
              </w:rPr>
            </w:pPr>
            <w:r>
              <w:rPr>
                <w:noProof/>
              </w:rPr>
              <w:t>Cadrul de reglementare pentru dezvoltarea registrului general al celor mai bune tehnici disponibile facilitează calcularea emisiilor poluante și de gaze cu efect de seră în fermele de porcine și de păsări de curte, precum și înregistrarea altor date de mediu. Revizuirea treptată a legislației de planificare în sectoarele creșterii animalelor reglementează cerințele privind amplasarea, dimensiunea, condițiile sanitare și infrastructurile din ferme, modificând cerințele pentru fermele de porci și creând un nou cadru de reglementare pentru sectorul păsărilor de curte.</w:t>
            </w:r>
          </w:p>
        </w:tc>
      </w:tr>
      <w:tr w:rsidR="00D924EA" w14:paraId="205A7EFD" w14:textId="77777777" w:rsidTr="0042520D">
        <w:trPr>
          <w:trHeight w:val="309"/>
          <w:jc w:val="center"/>
        </w:trPr>
        <w:tc>
          <w:tcPr>
            <w:tcW w:w="832" w:type="dxa"/>
            <w:shd w:val="clear" w:color="auto" w:fill="C6EFCE"/>
            <w:noWrap/>
          </w:tcPr>
          <w:p w14:paraId="349A12ED" w14:textId="77777777" w:rsidR="00D924EA" w:rsidRDefault="00011DE9">
            <w:pPr>
              <w:pStyle w:val="P68B1DB1-Normal23"/>
              <w:spacing w:after="0" w:line="240" w:lineRule="auto"/>
              <w:jc w:val="center"/>
              <w:rPr>
                <w:rFonts w:cs="Times New Roman"/>
                <w:noProof/>
                <w:szCs w:val="18"/>
              </w:rPr>
            </w:pPr>
            <w:r>
              <w:rPr>
                <w:noProof/>
              </w:rPr>
              <w:t>422</w:t>
            </w:r>
          </w:p>
        </w:tc>
        <w:tc>
          <w:tcPr>
            <w:tcW w:w="829" w:type="dxa"/>
            <w:shd w:val="clear" w:color="auto" w:fill="C6EFCE"/>
            <w:noWrap/>
          </w:tcPr>
          <w:p w14:paraId="15D4D642" w14:textId="77777777" w:rsidR="00D924EA" w:rsidRDefault="00011DE9">
            <w:pPr>
              <w:pStyle w:val="P68B1DB1-Normal23"/>
              <w:spacing w:after="0" w:line="240" w:lineRule="auto"/>
              <w:jc w:val="center"/>
              <w:rPr>
                <w:rFonts w:cs="Times New Roman"/>
                <w:noProof/>
                <w:szCs w:val="18"/>
              </w:rPr>
            </w:pPr>
            <w:r>
              <w:rPr>
                <w:noProof/>
              </w:rPr>
              <w:t>C3.R2</w:t>
            </w:r>
          </w:p>
        </w:tc>
        <w:tc>
          <w:tcPr>
            <w:tcW w:w="1051" w:type="dxa"/>
            <w:shd w:val="clear" w:color="auto" w:fill="C6EFCE"/>
            <w:noWrap/>
          </w:tcPr>
          <w:p w14:paraId="212C5262" w14:textId="77777777" w:rsidR="00D924EA" w:rsidRDefault="00011DE9">
            <w:pPr>
              <w:pStyle w:val="P68B1DB1-Normal23"/>
              <w:spacing w:after="0" w:line="240" w:lineRule="auto"/>
              <w:jc w:val="center"/>
              <w:rPr>
                <w:rFonts w:cs="Times New Roman"/>
                <w:noProof/>
                <w:szCs w:val="18"/>
              </w:rPr>
            </w:pPr>
            <w:r>
              <w:rPr>
                <w:noProof/>
              </w:rPr>
              <w:t>M</w:t>
            </w:r>
          </w:p>
        </w:tc>
        <w:tc>
          <w:tcPr>
            <w:tcW w:w="2670" w:type="dxa"/>
            <w:shd w:val="clear" w:color="auto" w:fill="C6EFCE"/>
            <w:noWrap/>
          </w:tcPr>
          <w:p w14:paraId="3C613A1E" w14:textId="77777777" w:rsidR="00D924EA" w:rsidRDefault="00011DE9">
            <w:pPr>
              <w:pStyle w:val="P68B1DB1-Normal23"/>
              <w:spacing w:after="0" w:line="240" w:lineRule="auto"/>
              <w:rPr>
                <w:rFonts w:cs="Times New Roman"/>
                <w:noProof/>
                <w:szCs w:val="18"/>
              </w:rPr>
            </w:pPr>
            <w:r>
              <w:rPr>
                <w:noProof/>
              </w:rPr>
              <w:t>Intrarea în vigoare a regulamentului privind îmbunătățirea biosecurității transportului de animale și a regulamentului privind utilizarea durabilă a antibioticelor la speciile de animale</w:t>
            </w:r>
          </w:p>
        </w:tc>
        <w:tc>
          <w:tcPr>
            <w:tcW w:w="1276" w:type="dxa"/>
            <w:shd w:val="clear" w:color="auto" w:fill="C6EFCE"/>
            <w:noWrap/>
          </w:tcPr>
          <w:p w14:paraId="78FF536E" w14:textId="77777777" w:rsidR="00D924EA" w:rsidRDefault="00011DE9">
            <w:pPr>
              <w:pStyle w:val="P68B1DB1-Normal23"/>
              <w:spacing w:after="0" w:line="240" w:lineRule="auto"/>
              <w:jc w:val="center"/>
              <w:rPr>
                <w:rFonts w:cs="Times New Roman"/>
                <w:noProof/>
                <w:szCs w:val="18"/>
              </w:rPr>
            </w:pPr>
            <w:r>
              <w:rPr>
                <w:noProof/>
              </w:rPr>
              <w:t>Dispoziție din Decretul regal de stabilire a intrării sale în vigoare</w:t>
            </w:r>
          </w:p>
        </w:tc>
        <w:tc>
          <w:tcPr>
            <w:tcW w:w="708" w:type="dxa"/>
            <w:shd w:val="clear" w:color="auto" w:fill="C6EFCE"/>
            <w:noWrap/>
          </w:tcPr>
          <w:p w14:paraId="7630AE8D" w14:textId="77777777" w:rsidR="00D924EA" w:rsidRDefault="00011DE9">
            <w:pPr>
              <w:pStyle w:val="P68B1DB1-Normal23"/>
              <w:spacing w:after="0" w:line="240" w:lineRule="auto"/>
              <w:jc w:val="right"/>
              <w:rPr>
                <w:rFonts w:cs="Times New Roman"/>
                <w:noProof/>
                <w:szCs w:val="18"/>
              </w:rPr>
            </w:pPr>
            <w:r>
              <w:rPr>
                <w:noProof/>
              </w:rPr>
              <w:t xml:space="preserve"> </w:t>
            </w:r>
          </w:p>
        </w:tc>
        <w:tc>
          <w:tcPr>
            <w:tcW w:w="1134" w:type="dxa"/>
            <w:shd w:val="clear" w:color="auto" w:fill="C6EFCE"/>
            <w:noWrap/>
          </w:tcPr>
          <w:p w14:paraId="44A54059" w14:textId="77777777" w:rsidR="00D924EA" w:rsidRDefault="00011DE9">
            <w:pPr>
              <w:pStyle w:val="P68B1DB1-Normal23"/>
              <w:spacing w:after="0" w:line="240" w:lineRule="auto"/>
              <w:jc w:val="right"/>
              <w:rPr>
                <w:rFonts w:cs="Times New Roman"/>
                <w:noProof/>
                <w:szCs w:val="18"/>
              </w:rPr>
            </w:pPr>
            <w:r>
              <w:rPr>
                <w:noProof/>
              </w:rPr>
              <w:t xml:space="preserve"> </w:t>
            </w:r>
          </w:p>
        </w:tc>
        <w:tc>
          <w:tcPr>
            <w:tcW w:w="748" w:type="dxa"/>
            <w:shd w:val="clear" w:color="auto" w:fill="C6EFCE"/>
            <w:noWrap/>
          </w:tcPr>
          <w:p w14:paraId="12A26A2E" w14:textId="77777777" w:rsidR="00D924EA" w:rsidRDefault="00011DE9">
            <w:pPr>
              <w:pStyle w:val="P68B1DB1-Normal23"/>
              <w:spacing w:after="0" w:line="240" w:lineRule="auto"/>
              <w:jc w:val="right"/>
              <w:rPr>
                <w:rFonts w:cs="Times New Roman"/>
                <w:noProof/>
                <w:szCs w:val="18"/>
              </w:rPr>
            </w:pPr>
            <w:r>
              <w:rPr>
                <w:noProof/>
              </w:rPr>
              <w:t xml:space="preserve"> </w:t>
            </w:r>
          </w:p>
        </w:tc>
        <w:tc>
          <w:tcPr>
            <w:tcW w:w="415" w:type="dxa"/>
            <w:shd w:val="clear" w:color="auto" w:fill="C6EFCE"/>
            <w:noWrap/>
          </w:tcPr>
          <w:p w14:paraId="7BD02400" w14:textId="7C789FE7" w:rsidR="00D924EA" w:rsidRDefault="005701C9">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7B02042A" w14:textId="77777777" w:rsidR="00D924EA" w:rsidRDefault="00011DE9">
            <w:pPr>
              <w:pStyle w:val="P68B1DB1-Normal23"/>
              <w:spacing w:after="0" w:line="240" w:lineRule="auto"/>
              <w:jc w:val="center"/>
              <w:rPr>
                <w:rFonts w:cs="Times New Roman"/>
                <w:noProof/>
                <w:szCs w:val="18"/>
              </w:rPr>
            </w:pPr>
            <w:r>
              <w:rPr>
                <w:noProof/>
              </w:rPr>
              <w:t>2023</w:t>
            </w:r>
          </w:p>
        </w:tc>
        <w:tc>
          <w:tcPr>
            <w:tcW w:w="5236" w:type="dxa"/>
            <w:shd w:val="clear" w:color="auto" w:fill="C6EFCE"/>
            <w:noWrap/>
          </w:tcPr>
          <w:p w14:paraId="5B53290B" w14:textId="2421F1BE" w:rsidR="00D924EA" w:rsidRDefault="00011DE9">
            <w:pPr>
              <w:pStyle w:val="P68B1DB1-Normal23"/>
              <w:spacing w:line="257" w:lineRule="auto"/>
              <w:jc w:val="both"/>
              <w:rPr>
                <w:rFonts w:cs="Times New Roman"/>
                <w:noProof/>
                <w:szCs w:val="18"/>
              </w:rPr>
            </w:pPr>
            <w:r>
              <w:rPr>
                <w:noProof/>
              </w:rPr>
              <w:t>Intrarea în vigoare a unui decret regal de îmbunătățire a biosecurității transportului de animale și a unui decret regal privind utilizarea durabilă a antibioticelor la speciile de interes pentru animale, în conformitate cu descrierea măsurii.</w:t>
            </w:r>
          </w:p>
        </w:tc>
      </w:tr>
      <w:tr w:rsidR="00D924EA" w14:paraId="17B4BA6C" w14:textId="77777777" w:rsidTr="0042520D">
        <w:trPr>
          <w:trHeight w:val="309"/>
          <w:jc w:val="center"/>
        </w:trPr>
        <w:tc>
          <w:tcPr>
            <w:tcW w:w="832" w:type="dxa"/>
            <w:shd w:val="clear" w:color="auto" w:fill="C6EFCE"/>
            <w:noWrap/>
          </w:tcPr>
          <w:p w14:paraId="4AC66A47" w14:textId="77777777" w:rsidR="00D924EA" w:rsidRDefault="00011DE9">
            <w:pPr>
              <w:pStyle w:val="P68B1DB1-Normal23"/>
              <w:spacing w:after="0" w:line="240" w:lineRule="auto"/>
              <w:jc w:val="center"/>
              <w:rPr>
                <w:rFonts w:eastAsia="MS Mincho" w:cs="Times New Roman"/>
                <w:noProof/>
                <w:szCs w:val="18"/>
              </w:rPr>
            </w:pPr>
            <w:r>
              <w:rPr>
                <w:noProof/>
              </w:rPr>
              <w:t>42</w:t>
            </w:r>
          </w:p>
        </w:tc>
        <w:tc>
          <w:tcPr>
            <w:tcW w:w="829" w:type="dxa"/>
            <w:shd w:val="clear" w:color="auto" w:fill="C6EFCE"/>
            <w:noWrap/>
          </w:tcPr>
          <w:p w14:paraId="38E812BD" w14:textId="77777777" w:rsidR="00D924EA" w:rsidRDefault="00011DE9">
            <w:pPr>
              <w:pStyle w:val="P68B1DB1-Normal23"/>
              <w:spacing w:after="0" w:line="240" w:lineRule="auto"/>
              <w:jc w:val="center"/>
              <w:rPr>
                <w:rFonts w:eastAsia="MS Mincho" w:cs="Times New Roman"/>
                <w:noProof/>
                <w:szCs w:val="18"/>
              </w:rPr>
            </w:pPr>
            <w:r>
              <w:rPr>
                <w:noProof/>
              </w:rPr>
              <w:t>C3.R3</w:t>
            </w:r>
          </w:p>
        </w:tc>
        <w:tc>
          <w:tcPr>
            <w:tcW w:w="1051" w:type="dxa"/>
            <w:shd w:val="clear" w:color="auto" w:fill="C6EFCE"/>
            <w:noWrap/>
          </w:tcPr>
          <w:p w14:paraId="3A23BA8C"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2670" w:type="dxa"/>
            <w:shd w:val="clear" w:color="auto" w:fill="C6EFCE"/>
            <w:noWrap/>
          </w:tcPr>
          <w:p w14:paraId="07B85731" w14:textId="77777777" w:rsidR="00D924EA" w:rsidRDefault="00011DE9">
            <w:pPr>
              <w:pStyle w:val="P68B1DB1-Normal23"/>
              <w:spacing w:after="0" w:line="240" w:lineRule="auto"/>
              <w:rPr>
                <w:rFonts w:eastAsia="MS Mincho" w:cs="Times New Roman"/>
                <w:noProof/>
                <w:szCs w:val="18"/>
              </w:rPr>
            </w:pPr>
            <w:r>
              <w:rPr>
                <w:noProof/>
              </w:rPr>
              <w:t>Intrarea în vigoare a cadrului normativ privind alimentația durabilă în solurile agricole.</w:t>
            </w:r>
          </w:p>
        </w:tc>
        <w:tc>
          <w:tcPr>
            <w:tcW w:w="1276" w:type="dxa"/>
            <w:shd w:val="clear" w:color="auto" w:fill="C6EFCE"/>
            <w:noWrap/>
          </w:tcPr>
          <w:p w14:paraId="45F5AD78" w14:textId="77777777" w:rsidR="00D924EA" w:rsidRDefault="00011DE9">
            <w:pPr>
              <w:pStyle w:val="P68B1DB1-Normal23"/>
              <w:spacing w:after="0" w:line="240" w:lineRule="auto"/>
              <w:jc w:val="center"/>
              <w:rPr>
                <w:rFonts w:eastAsia="MS Mincho" w:cs="Times New Roman"/>
                <w:noProof/>
                <w:szCs w:val="18"/>
              </w:rPr>
            </w:pPr>
            <w:r>
              <w:rPr>
                <w:noProof/>
              </w:rPr>
              <w:t>Dispoziția cadrului normativ privind intrarea în vigoare</w:t>
            </w:r>
          </w:p>
        </w:tc>
        <w:tc>
          <w:tcPr>
            <w:tcW w:w="708" w:type="dxa"/>
            <w:shd w:val="clear" w:color="auto" w:fill="C6EFCE"/>
            <w:noWrap/>
          </w:tcPr>
          <w:p w14:paraId="7D0CB70C"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1134" w:type="dxa"/>
            <w:shd w:val="clear" w:color="auto" w:fill="C6EFCE"/>
            <w:noWrap/>
          </w:tcPr>
          <w:p w14:paraId="6BD73B1F"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48" w:type="dxa"/>
            <w:shd w:val="clear" w:color="auto" w:fill="C6EFCE"/>
            <w:noWrap/>
          </w:tcPr>
          <w:p w14:paraId="3B040687"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247B4309" w14:textId="79992677" w:rsidR="00D924EA" w:rsidRDefault="003010A3">
            <w:pPr>
              <w:pStyle w:val="P68B1DB1-Normal23"/>
              <w:spacing w:after="0" w:line="240" w:lineRule="auto"/>
              <w:jc w:val="center"/>
              <w:rPr>
                <w:rFonts w:eastAsia="MS Mincho" w:cs="Times New Roman"/>
                <w:noProof/>
                <w:szCs w:val="18"/>
              </w:rPr>
            </w:pPr>
            <w:r>
              <w:rPr>
                <w:noProof/>
              </w:rPr>
              <w:t>T1</w:t>
            </w:r>
          </w:p>
        </w:tc>
        <w:tc>
          <w:tcPr>
            <w:tcW w:w="553" w:type="dxa"/>
            <w:shd w:val="clear" w:color="auto" w:fill="C6EFCE"/>
            <w:noWrap/>
          </w:tcPr>
          <w:p w14:paraId="27C76984" w14:textId="77777777" w:rsidR="00D924EA" w:rsidRDefault="00011DE9">
            <w:pPr>
              <w:pStyle w:val="P68B1DB1-Normal23"/>
              <w:spacing w:after="0" w:line="240" w:lineRule="auto"/>
              <w:jc w:val="center"/>
              <w:rPr>
                <w:rFonts w:eastAsia="MS Mincho" w:cs="Times New Roman"/>
                <w:noProof/>
                <w:szCs w:val="18"/>
              </w:rPr>
            </w:pPr>
            <w:r>
              <w:rPr>
                <w:noProof/>
              </w:rPr>
              <w:t>2023</w:t>
            </w:r>
          </w:p>
        </w:tc>
        <w:tc>
          <w:tcPr>
            <w:tcW w:w="5236" w:type="dxa"/>
            <w:shd w:val="clear" w:color="auto" w:fill="C6EFCE"/>
            <w:noWrap/>
          </w:tcPr>
          <w:p w14:paraId="2827BE1A" w14:textId="77777777" w:rsidR="00D924EA" w:rsidRDefault="00011DE9">
            <w:pPr>
              <w:pStyle w:val="P68B1DB1-Normal23"/>
              <w:spacing w:after="0" w:line="240" w:lineRule="auto"/>
              <w:rPr>
                <w:rFonts w:eastAsia="MS Mincho" w:cs="Times New Roman"/>
                <w:noProof/>
                <w:szCs w:val="18"/>
              </w:rPr>
            </w:pPr>
            <w:r>
              <w:rPr>
                <w:noProof/>
              </w:rPr>
              <w:t xml:space="preserve">Acest cadru normativ este menit să reglementeze activitatea de fertilizare și să promoveze consilierea tehnică a fermierilor pentru a raționaliza fertilizarea și a îndeplini cerințele legale. </w:t>
            </w:r>
          </w:p>
        </w:tc>
      </w:tr>
      <w:tr w:rsidR="00D924EA" w14:paraId="4DAFAC63" w14:textId="77777777" w:rsidTr="0042520D">
        <w:trPr>
          <w:trHeight w:val="309"/>
          <w:jc w:val="center"/>
        </w:trPr>
        <w:tc>
          <w:tcPr>
            <w:tcW w:w="832" w:type="dxa"/>
            <w:shd w:val="clear" w:color="auto" w:fill="C6EFCE"/>
            <w:noWrap/>
          </w:tcPr>
          <w:p w14:paraId="0B6085F2" w14:textId="77777777" w:rsidR="00D924EA" w:rsidRDefault="00011DE9">
            <w:pPr>
              <w:pStyle w:val="P68B1DB1-Normal23"/>
              <w:spacing w:after="0" w:line="240" w:lineRule="auto"/>
              <w:jc w:val="center"/>
              <w:rPr>
                <w:rFonts w:eastAsia="MS Mincho" w:cs="Times New Roman"/>
                <w:noProof/>
                <w:szCs w:val="18"/>
              </w:rPr>
            </w:pPr>
            <w:r>
              <w:rPr>
                <w:noProof/>
              </w:rPr>
              <w:t>43</w:t>
            </w:r>
          </w:p>
        </w:tc>
        <w:tc>
          <w:tcPr>
            <w:tcW w:w="829" w:type="dxa"/>
            <w:shd w:val="clear" w:color="auto" w:fill="C6EFCE"/>
            <w:noWrap/>
          </w:tcPr>
          <w:p w14:paraId="10FF5E0C" w14:textId="77777777" w:rsidR="00D924EA" w:rsidRDefault="00011DE9">
            <w:pPr>
              <w:pStyle w:val="P68B1DB1-Normal23"/>
              <w:spacing w:after="0" w:line="240" w:lineRule="auto"/>
              <w:jc w:val="center"/>
              <w:rPr>
                <w:rFonts w:eastAsia="MS Mincho" w:cs="Times New Roman"/>
                <w:noProof/>
                <w:szCs w:val="18"/>
              </w:rPr>
            </w:pPr>
            <w:r>
              <w:rPr>
                <w:noProof/>
              </w:rPr>
              <w:t>C3.R4</w:t>
            </w:r>
          </w:p>
        </w:tc>
        <w:tc>
          <w:tcPr>
            <w:tcW w:w="1051" w:type="dxa"/>
            <w:shd w:val="clear" w:color="auto" w:fill="C6EFCE"/>
            <w:noWrap/>
          </w:tcPr>
          <w:p w14:paraId="2FC7B0A0"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2670" w:type="dxa"/>
            <w:shd w:val="clear" w:color="auto" w:fill="C6EFCE"/>
            <w:noWrap/>
          </w:tcPr>
          <w:p w14:paraId="1ACFC1CB" w14:textId="77777777" w:rsidR="00D924EA" w:rsidRDefault="00011DE9">
            <w:pPr>
              <w:pStyle w:val="P68B1DB1-Normal23"/>
              <w:spacing w:after="0" w:line="240" w:lineRule="auto"/>
              <w:rPr>
                <w:rFonts w:eastAsia="MS Mincho" w:cs="Times New Roman"/>
                <w:noProof/>
                <w:szCs w:val="18"/>
              </w:rPr>
            </w:pPr>
            <w:r>
              <w:rPr>
                <w:noProof/>
              </w:rPr>
              <w:t>Intrarea în vigoare a Decretului regal privind un mecanism de guvernanță pentru îmbunătățirea sistemului spaniol de irigații.</w:t>
            </w:r>
          </w:p>
        </w:tc>
        <w:tc>
          <w:tcPr>
            <w:tcW w:w="1276" w:type="dxa"/>
            <w:shd w:val="clear" w:color="auto" w:fill="C6EFCE"/>
            <w:noWrap/>
          </w:tcPr>
          <w:p w14:paraId="2F4A5027" w14:textId="77777777" w:rsidR="00D924EA" w:rsidRDefault="00011DE9">
            <w:pPr>
              <w:pStyle w:val="P68B1DB1-Normal23"/>
              <w:spacing w:after="0" w:line="240" w:lineRule="auto"/>
              <w:jc w:val="center"/>
              <w:rPr>
                <w:rFonts w:eastAsia="MS Mincho" w:cs="Times New Roman"/>
                <w:noProof/>
                <w:szCs w:val="18"/>
              </w:rPr>
            </w:pPr>
            <w:r>
              <w:rPr>
                <w:noProof/>
              </w:rPr>
              <w:t xml:space="preserve">Dispoziția din Decretul regal privind intrarea în vigoare </w:t>
            </w:r>
          </w:p>
        </w:tc>
        <w:tc>
          <w:tcPr>
            <w:tcW w:w="708" w:type="dxa"/>
            <w:shd w:val="clear" w:color="auto" w:fill="C6EFCE"/>
            <w:noWrap/>
          </w:tcPr>
          <w:p w14:paraId="50F1C5FA"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1134" w:type="dxa"/>
            <w:shd w:val="clear" w:color="auto" w:fill="C6EFCE"/>
            <w:noWrap/>
          </w:tcPr>
          <w:p w14:paraId="6644F18B"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48" w:type="dxa"/>
            <w:shd w:val="clear" w:color="auto" w:fill="C6EFCE"/>
            <w:noWrap/>
          </w:tcPr>
          <w:p w14:paraId="7DF346A5"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78EA3062" w14:textId="78189935" w:rsidR="00D924EA" w:rsidRDefault="005701C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4B4F16F6" w14:textId="77777777" w:rsidR="00D924EA" w:rsidRDefault="00011DE9">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3430C2D8" w14:textId="498AAC23" w:rsidR="00D924EA" w:rsidRDefault="00011DE9">
            <w:pPr>
              <w:pStyle w:val="P68B1DB1-Normal23"/>
              <w:spacing w:after="0" w:line="240" w:lineRule="auto"/>
              <w:rPr>
                <w:rFonts w:eastAsia="MS Mincho" w:cs="Times New Roman"/>
                <w:noProof/>
                <w:szCs w:val="18"/>
              </w:rPr>
            </w:pPr>
            <w:r>
              <w:rPr>
                <w:noProof/>
              </w:rPr>
              <w:t>Decretul regal instituie un mecanism de guvernanță la nivel național, astfel încât sectoarele afectate să poată coopera în ceea ce privește aspecte legate de irigațiile spaniole, cum ar fi durabilitatea, criteriile de execuție, reglementările etc. De asemenea, este menit să creeze un observator al irigațiilor durabile în Spania.</w:t>
            </w:r>
          </w:p>
        </w:tc>
      </w:tr>
      <w:tr w:rsidR="00D924EA" w14:paraId="1E08B932" w14:textId="77777777" w:rsidTr="0042520D">
        <w:trPr>
          <w:trHeight w:val="309"/>
          <w:jc w:val="center"/>
        </w:trPr>
        <w:tc>
          <w:tcPr>
            <w:tcW w:w="832" w:type="dxa"/>
            <w:shd w:val="clear" w:color="auto" w:fill="C6EFCE"/>
            <w:noWrap/>
          </w:tcPr>
          <w:p w14:paraId="67753C96" w14:textId="77777777" w:rsidR="00D924EA" w:rsidRDefault="00011DE9">
            <w:pPr>
              <w:pStyle w:val="P68B1DB1-Normal23"/>
              <w:spacing w:after="0" w:line="240" w:lineRule="auto"/>
              <w:jc w:val="center"/>
              <w:rPr>
                <w:rFonts w:eastAsia="MS Mincho" w:cs="Times New Roman"/>
                <w:noProof/>
                <w:szCs w:val="18"/>
              </w:rPr>
            </w:pPr>
            <w:r>
              <w:rPr>
                <w:noProof/>
              </w:rPr>
              <w:t>44</w:t>
            </w:r>
          </w:p>
        </w:tc>
        <w:tc>
          <w:tcPr>
            <w:tcW w:w="829" w:type="dxa"/>
            <w:shd w:val="clear" w:color="auto" w:fill="C6EFCE"/>
            <w:noWrap/>
          </w:tcPr>
          <w:p w14:paraId="17A2328B" w14:textId="77777777" w:rsidR="00D924EA" w:rsidRDefault="00011DE9">
            <w:pPr>
              <w:pStyle w:val="P68B1DB1-Normal23"/>
              <w:spacing w:after="0" w:line="240" w:lineRule="auto"/>
              <w:jc w:val="center"/>
              <w:rPr>
                <w:rFonts w:eastAsia="MS Mincho" w:cs="Times New Roman"/>
                <w:noProof/>
                <w:szCs w:val="18"/>
              </w:rPr>
            </w:pPr>
            <w:r>
              <w:rPr>
                <w:noProof/>
              </w:rPr>
              <w:t>C3.R5</w:t>
            </w:r>
          </w:p>
        </w:tc>
        <w:tc>
          <w:tcPr>
            <w:tcW w:w="1051" w:type="dxa"/>
            <w:shd w:val="clear" w:color="auto" w:fill="C6EFCE"/>
            <w:noWrap/>
          </w:tcPr>
          <w:p w14:paraId="4479AF20"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2670" w:type="dxa"/>
            <w:shd w:val="clear" w:color="auto" w:fill="C6EFCE"/>
            <w:noWrap/>
          </w:tcPr>
          <w:p w14:paraId="0B40340C" w14:textId="77777777" w:rsidR="00D924EA" w:rsidRDefault="00011DE9">
            <w:pPr>
              <w:pStyle w:val="P68B1DB1-Normal23"/>
              <w:spacing w:after="0" w:line="240" w:lineRule="auto"/>
              <w:rPr>
                <w:rFonts w:eastAsia="MS Mincho" w:cs="Times New Roman"/>
                <w:noProof/>
                <w:szCs w:val="18"/>
              </w:rPr>
            </w:pPr>
            <w:r>
              <w:rPr>
                <w:noProof/>
              </w:rPr>
              <w:t>Adoptarea celui de al doilea plan de acțiune al Strategiei de digitalizare a sectorului agroalimentar și a zonelor rurale.</w:t>
            </w:r>
          </w:p>
        </w:tc>
        <w:tc>
          <w:tcPr>
            <w:tcW w:w="1276" w:type="dxa"/>
            <w:shd w:val="clear" w:color="auto" w:fill="C6EFCE"/>
            <w:noWrap/>
          </w:tcPr>
          <w:p w14:paraId="39196689" w14:textId="77777777" w:rsidR="00D924EA" w:rsidRDefault="00011DE9">
            <w:pPr>
              <w:pStyle w:val="P68B1DB1-Normal23"/>
              <w:spacing w:after="0" w:line="240" w:lineRule="auto"/>
              <w:jc w:val="center"/>
              <w:rPr>
                <w:rFonts w:eastAsia="MS Mincho" w:cs="Times New Roman"/>
                <w:noProof/>
                <w:szCs w:val="18"/>
              </w:rPr>
            </w:pPr>
            <w:r>
              <w:rPr>
                <w:noProof/>
              </w:rPr>
              <w:t>Publicare pe pagina de internet a Ministerului Agriculturii</w:t>
            </w:r>
          </w:p>
        </w:tc>
        <w:tc>
          <w:tcPr>
            <w:tcW w:w="708" w:type="dxa"/>
            <w:shd w:val="clear" w:color="auto" w:fill="C6EFCE"/>
            <w:noWrap/>
          </w:tcPr>
          <w:p w14:paraId="1E7F55C3"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1134" w:type="dxa"/>
            <w:shd w:val="clear" w:color="auto" w:fill="C6EFCE"/>
            <w:noWrap/>
          </w:tcPr>
          <w:p w14:paraId="1609D1F7"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48" w:type="dxa"/>
            <w:shd w:val="clear" w:color="auto" w:fill="C6EFCE"/>
            <w:noWrap/>
          </w:tcPr>
          <w:p w14:paraId="11C8A615"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599833B1" w14:textId="285AAD1D" w:rsidR="00D924EA" w:rsidRDefault="005701C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3F03F2C1" w14:textId="77777777" w:rsidR="00D924EA" w:rsidRDefault="00011DE9">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1584ADB5" w14:textId="77777777" w:rsidR="00D924EA" w:rsidRDefault="00011DE9">
            <w:pPr>
              <w:pStyle w:val="P68B1DB1-Normal23"/>
              <w:spacing w:after="0" w:line="240" w:lineRule="auto"/>
              <w:rPr>
                <w:rFonts w:eastAsia="MS Mincho" w:cs="Times New Roman"/>
                <w:noProof/>
                <w:szCs w:val="18"/>
              </w:rPr>
            </w:pPr>
            <w:r>
              <w:rPr>
                <w:noProof/>
              </w:rPr>
              <w:t xml:space="preserve">Măsura asigură continuitatea strategiei de digitalizare a sectorului agroalimentar și a mediului rural cu un al doilea plan, cu obiectivele de reducere a decalajului digital, de promovare a utilizării datelor și de promovare a dezvoltării întreprinderilor și a noilor modele de afaceri. </w:t>
            </w:r>
          </w:p>
        </w:tc>
      </w:tr>
      <w:tr w:rsidR="00D924EA" w14:paraId="13A70F67" w14:textId="77777777" w:rsidTr="0042520D">
        <w:trPr>
          <w:trHeight w:val="309"/>
          <w:jc w:val="center"/>
        </w:trPr>
        <w:tc>
          <w:tcPr>
            <w:tcW w:w="832" w:type="dxa"/>
            <w:shd w:val="clear" w:color="auto" w:fill="C6EFCE"/>
            <w:noWrap/>
          </w:tcPr>
          <w:p w14:paraId="4FB56EBB" w14:textId="77777777" w:rsidR="00D924EA" w:rsidRDefault="00011DE9">
            <w:pPr>
              <w:pStyle w:val="P68B1DB1-Normal23"/>
              <w:spacing w:after="0" w:line="240" w:lineRule="auto"/>
              <w:jc w:val="center"/>
              <w:rPr>
                <w:rFonts w:eastAsia="MS Mincho" w:cs="Times New Roman"/>
                <w:noProof/>
                <w:szCs w:val="18"/>
              </w:rPr>
            </w:pPr>
            <w:r>
              <w:rPr>
                <w:noProof/>
              </w:rPr>
              <w:t>45</w:t>
            </w:r>
          </w:p>
        </w:tc>
        <w:tc>
          <w:tcPr>
            <w:tcW w:w="829" w:type="dxa"/>
            <w:shd w:val="clear" w:color="auto" w:fill="C6EFCE"/>
            <w:noWrap/>
          </w:tcPr>
          <w:p w14:paraId="7E65E547" w14:textId="77777777" w:rsidR="00D924EA" w:rsidRDefault="00011DE9">
            <w:pPr>
              <w:pStyle w:val="P68B1DB1-Normal23"/>
              <w:spacing w:after="0" w:line="240" w:lineRule="auto"/>
              <w:jc w:val="center"/>
              <w:rPr>
                <w:rFonts w:eastAsia="MS Mincho" w:cs="Times New Roman"/>
                <w:noProof/>
                <w:szCs w:val="18"/>
              </w:rPr>
            </w:pPr>
            <w:r>
              <w:rPr>
                <w:noProof/>
              </w:rPr>
              <w:t>C3.R6</w:t>
            </w:r>
          </w:p>
        </w:tc>
        <w:tc>
          <w:tcPr>
            <w:tcW w:w="1051" w:type="dxa"/>
            <w:shd w:val="clear" w:color="auto" w:fill="C6EFCE"/>
            <w:noWrap/>
          </w:tcPr>
          <w:p w14:paraId="2619E3D5"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2670" w:type="dxa"/>
            <w:shd w:val="clear" w:color="auto" w:fill="C6EFCE"/>
            <w:noWrap/>
          </w:tcPr>
          <w:p w14:paraId="4A4632C7" w14:textId="77777777" w:rsidR="00D924EA" w:rsidRDefault="00011DE9">
            <w:pPr>
              <w:pStyle w:val="P68B1DB1-Normal23"/>
              <w:spacing w:after="0" w:line="240" w:lineRule="auto"/>
              <w:rPr>
                <w:rFonts w:eastAsia="MS Mincho" w:cs="Times New Roman"/>
                <w:noProof/>
                <w:szCs w:val="18"/>
              </w:rPr>
            </w:pPr>
            <w:r>
              <w:rPr>
                <w:noProof/>
              </w:rPr>
              <w:t xml:space="preserve">Intrarea în vigoare a Decretului regal privind gestionarea zonelor naționale de pescuit </w:t>
            </w:r>
          </w:p>
        </w:tc>
        <w:tc>
          <w:tcPr>
            <w:tcW w:w="1276" w:type="dxa"/>
            <w:shd w:val="clear" w:color="auto" w:fill="C6EFCE"/>
            <w:noWrap/>
          </w:tcPr>
          <w:p w14:paraId="0216D251" w14:textId="77777777" w:rsidR="00D924EA" w:rsidRDefault="00011DE9">
            <w:pPr>
              <w:pStyle w:val="P68B1DB1-Normal23"/>
              <w:spacing w:after="0" w:line="240" w:lineRule="auto"/>
              <w:jc w:val="center"/>
              <w:rPr>
                <w:rFonts w:eastAsia="MS Mincho" w:cs="Times New Roman"/>
                <w:noProof/>
                <w:szCs w:val="18"/>
              </w:rPr>
            </w:pPr>
            <w:r>
              <w:rPr>
                <w:noProof/>
              </w:rPr>
              <w:t>Dispoziția din Decretul regal privind intrarea în vigoare</w:t>
            </w:r>
          </w:p>
        </w:tc>
        <w:tc>
          <w:tcPr>
            <w:tcW w:w="708" w:type="dxa"/>
            <w:shd w:val="clear" w:color="auto" w:fill="C6EFCE"/>
            <w:noWrap/>
          </w:tcPr>
          <w:p w14:paraId="408F0E9F" w14:textId="77777777" w:rsidR="00D924EA" w:rsidRDefault="00011DE9">
            <w:pPr>
              <w:pStyle w:val="P68B1DB1-Normal23"/>
              <w:spacing w:after="0" w:line="240" w:lineRule="auto"/>
              <w:jc w:val="center"/>
              <w:rPr>
                <w:rFonts w:eastAsia="MS Mincho" w:cs="Times New Roman"/>
                <w:noProof/>
                <w:szCs w:val="18"/>
              </w:rPr>
            </w:pPr>
            <w:r>
              <w:rPr>
                <w:noProof/>
              </w:rPr>
              <w:t xml:space="preserve"> </w:t>
            </w:r>
          </w:p>
        </w:tc>
        <w:tc>
          <w:tcPr>
            <w:tcW w:w="1134" w:type="dxa"/>
            <w:shd w:val="clear" w:color="auto" w:fill="C6EFCE"/>
            <w:noWrap/>
          </w:tcPr>
          <w:p w14:paraId="4B30AF26"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48" w:type="dxa"/>
            <w:shd w:val="clear" w:color="auto" w:fill="C6EFCE"/>
            <w:noWrap/>
          </w:tcPr>
          <w:p w14:paraId="25BC16EE"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3BC85EEF" w14:textId="7365D0FA" w:rsidR="00D924EA" w:rsidRDefault="005701C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10EED2B1" w14:textId="77777777" w:rsidR="00D924EA" w:rsidRDefault="00011DE9">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351577F0" w14:textId="77777777" w:rsidR="00D924EA" w:rsidRDefault="00011DE9">
            <w:pPr>
              <w:pStyle w:val="P68B1DB1-Normal23"/>
              <w:spacing w:after="0" w:line="240" w:lineRule="auto"/>
              <w:rPr>
                <w:rFonts w:eastAsia="MS Mincho" w:cs="Times New Roman"/>
                <w:noProof/>
                <w:szCs w:val="18"/>
              </w:rPr>
            </w:pPr>
            <w:r>
              <w:rPr>
                <w:noProof/>
              </w:rPr>
              <w:t>Decretul regal aliniază gestionarea diferitelor instrumente, metode și recensăminte ale zonelor naționale de pescuit, facilitând o mai bună gestionare a întreprinderilor și ținând seama de obiectivele politicilor și provocărilor majore ale UE, cum ar fi reforma politicii comune în domeniul pescuitului, Strategia privind biodiversitatea pentru 2030, strategiile marine sau ODD, printre altele.</w:t>
            </w:r>
          </w:p>
        </w:tc>
      </w:tr>
      <w:tr w:rsidR="00D924EA" w14:paraId="1CF9A4A1" w14:textId="77777777" w:rsidTr="0042520D">
        <w:trPr>
          <w:trHeight w:val="309"/>
          <w:jc w:val="center"/>
        </w:trPr>
        <w:tc>
          <w:tcPr>
            <w:tcW w:w="832" w:type="dxa"/>
            <w:shd w:val="clear" w:color="auto" w:fill="C6EFCE"/>
            <w:noWrap/>
          </w:tcPr>
          <w:p w14:paraId="5CFB1712" w14:textId="77777777" w:rsidR="00D924EA" w:rsidRDefault="00011DE9">
            <w:pPr>
              <w:pStyle w:val="P68B1DB1-Normal23"/>
              <w:spacing w:after="0" w:line="240" w:lineRule="auto"/>
              <w:jc w:val="center"/>
              <w:rPr>
                <w:rFonts w:cs="Times New Roman"/>
                <w:noProof/>
                <w:szCs w:val="18"/>
              </w:rPr>
            </w:pPr>
            <w:r>
              <w:rPr>
                <w:noProof/>
              </w:rPr>
              <w:t>46</w:t>
            </w:r>
          </w:p>
        </w:tc>
        <w:tc>
          <w:tcPr>
            <w:tcW w:w="829" w:type="dxa"/>
            <w:shd w:val="clear" w:color="auto" w:fill="C6EFCE"/>
            <w:noWrap/>
          </w:tcPr>
          <w:p w14:paraId="27B0EF66" w14:textId="77777777" w:rsidR="00D924EA" w:rsidRDefault="00011DE9">
            <w:pPr>
              <w:pStyle w:val="P68B1DB1-Normal23"/>
              <w:spacing w:after="0"/>
              <w:jc w:val="center"/>
              <w:rPr>
                <w:rFonts w:cs="Times New Roman"/>
                <w:noProof/>
                <w:szCs w:val="18"/>
              </w:rPr>
            </w:pPr>
            <w:r>
              <w:rPr>
                <w:noProof/>
              </w:rPr>
              <w:t>C3.I1</w:t>
            </w:r>
          </w:p>
        </w:tc>
        <w:tc>
          <w:tcPr>
            <w:tcW w:w="1051" w:type="dxa"/>
            <w:shd w:val="clear" w:color="auto" w:fill="C6EFCE"/>
            <w:noWrap/>
          </w:tcPr>
          <w:p w14:paraId="49DCD812" w14:textId="77777777" w:rsidR="00D924EA" w:rsidRDefault="00011DE9">
            <w:pPr>
              <w:pStyle w:val="P68B1DB1-Normal23"/>
              <w:spacing w:after="0"/>
              <w:jc w:val="center"/>
              <w:rPr>
                <w:rFonts w:cs="Times New Roman"/>
                <w:noProof/>
                <w:szCs w:val="18"/>
              </w:rPr>
            </w:pPr>
            <w:r>
              <w:rPr>
                <w:noProof/>
              </w:rPr>
              <w:t>T</w:t>
            </w:r>
          </w:p>
        </w:tc>
        <w:tc>
          <w:tcPr>
            <w:tcW w:w="2670" w:type="dxa"/>
            <w:shd w:val="clear" w:color="auto" w:fill="C6EFCE"/>
            <w:noWrap/>
          </w:tcPr>
          <w:p w14:paraId="385A1756" w14:textId="77777777" w:rsidR="00D924EA" w:rsidRDefault="00011DE9">
            <w:pPr>
              <w:pStyle w:val="P68B1DB1-Normal23"/>
              <w:spacing w:after="0"/>
              <w:rPr>
                <w:rFonts w:cs="Times New Roman"/>
                <w:noProof/>
                <w:szCs w:val="18"/>
              </w:rPr>
            </w:pPr>
            <w:r>
              <w:rPr>
                <w:noProof/>
              </w:rPr>
              <w:t>Intrarea în vigoare a acordului contractual dintre Ministerul Agriculturii, Pescuitului și Alimentației (MAPA) și SEIASA pentru sprijinirea îmbunătățirii și sustenabilității suprafețelor irigate (faza I)</w:t>
            </w:r>
          </w:p>
        </w:tc>
        <w:tc>
          <w:tcPr>
            <w:tcW w:w="1276" w:type="dxa"/>
            <w:shd w:val="clear" w:color="auto" w:fill="C6EFCE"/>
            <w:noWrap/>
          </w:tcPr>
          <w:p w14:paraId="733E0E30" w14:textId="77777777" w:rsidR="00D924EA" w:rsidRDefault="00D924EA">
            <w:pPr>
              <w:spacing w:after="0"/>
              <w:jc w:val="both"/>
              <w:rPr>
                <w:rFonts w:ascii="Times New Roman" w:hAnsi="Times New Roman" w:cs="Times New Roman"/>
                <w:noProof/>
                <w:sz w:val="18"/>
                <w:szCs w:val="18"/>
              </w:rPr>
            </w:pPr>
          </w:p>
        </w:tc>
        <w:tc>
          <w:tcPr>
            <w:tcW w:w="708" w:type="dxa"/>
            <w:shd w:val="clear" w:color="auto" w:fill="C6EFCE"/>
            <w:noWrap/>
          </w:tcPr>
          <w:p w14:paraId="2EB34060" w14:textId="77777777" w:rsidR="00D924EA" w:rsidRDefault="00011DE9">
            <w:pPr>
              <w:pStyle w:val="P68B1DB1-Normal23"/>
              <w:spacing w:after="0" w:line="240" w:lineRule="auto"/>
              <w:rPr>
                <w:rFonts w:cs="Times New Roman"/>
                <w:noProof/>
                <w:szCs w:val="18"/>
              </w:rPr>
            </w:pPr>
            <w:r>
              <w:rPr>
                <w:noProof/>
              </w:rPr>
              <w:t>Milioane EUR</w:t>
            </w:r>
          </w:p>
          <w:p w14:paraId="2DB95CF2" w14:textId="77777777" w:rsidR="00D924EA" w:rsidRDefault="00D924EA">
            <w:pPr>
              <w:spacing w:after="0"/>
              <w:rPr>
                <w:rFonts w:ascii="Times New Roman" w:hAnsi="Times New Roman" w:cs="Times New Roman"/>
                <w:noProof/>
                <w:sz w:val="18"/>
                <w:szCs w:val="18"/>
              </w:rPr>
            </w:pPr>
          </w:p>
        </w:tc>
        <w:tc>
          <w:tcPr>
            <w:tcW w:w="1134" w:type="dxa"/>
            <w:shd w:val="clear" w:color="auto" w:fill="C6EFCE"/>
            <w:noWrap/>
          </w:tcPr>
          <w:p w14:paraId="3B2F80FD" w14:textId="77777777" w:rsidR="00D924EA" w:rsidRDefault="00011DE9">
            <w:pPr>
              <w:pStyle w:val="P68B1DB1-Normal23"/>
              <w:spacing w:after="0"/>
              <w:jc w:val="center"/>
              <w:rPr>
                <w:rFonts w:cs="Times New Roman"/>
                <w:noProof/>
                <w:szCs w:val="18"/>
              </w:rPr>
            </w:pPr>
            <w:r>
              <w:rPr>
                <w:noProof/>
              </w:rPr>
              <w:t>0</w:t>
            </w:r>
          </w:p>
        </w:tc>
        <w:tc>
          <w:tcPr>
            <w:tcW w:w="748" w:type="dxa"/>
            <w:shd w:val="clear" w:color="auto" w:fill="C6EFCE"/>
            <w:noWrap/>
          </w:tcPr>
          <w:p w14:paraId="287431EB" w14:textId="77777777" w:rsidR="00D924EA" w:rsidRDefault="00011DE9">
            <w:pPr>
              <w:pStyle w:val="P68B1DB1-Normal23"/>
              <w:spacing w:after="0"/>
              <w:jc w:val="center"/>
              <w:rPr>
                <w:rFonts w:cs="Times New Roman"/>
                <w:noProof/>
                <w:szCs w:val="18"/>
              </w:rPr>
            </w:pPr>
            <w:r>
              <w:rPr>
                <w:noProof/>
              </w:rPr>
              <w:t>260</w:t>
            </w:r>
          </w:p>
        </w:tc>
        <w:tc>
          <w:tcPr>
            <w:tcW w:w="415" w:type="dxa"/>
            <w:shd w:val="clear" w:color="auto" w:fill="C6EFCE"/>
            <w:noWrap/>
          </w:tcPr>
          <w:p w14:paraId="0CABCD34" w14:textId="775B285A" w:rsidR="00D924EA" w:rsidRDefault="005701C9">
            <w:pPr>
              <w:pStyle w:val="P68B1DB1-Normal23"/>
              <w:spacing w:after="0"/>
              <w:jc w:val="center"/>
              <w:rPr>
                <w:rFonts w:cs="Times New Roman"/>
                <w:noProof/>
                <w:szCs w:val="18"/>
              </w:rPr>
            </w:pPr>
            <w:r>
              <w:rPr>
                <w:noProof/>
              </w:rPr>
              <w:t>T3</w:t>
            </w:r>
          </w:p>
        </w:tc>
        <w:tc>
          <w:tcPr>
            <w:tcW w:w="553" w:type="dxa"/>
            <w:shd w:val="clear" w:color="auto" w:fill="C6EFCE"/>
            <w:noWrap/>
          </w:tcPr>
          <w:p w14:paraId="35EC0CA6" w14:textId="77777777" w:rsidR="00D924EA" w:rsidRDefault="00011DE9">
            <w:pPr>
              <w:pStyle w:val="P68B1DB1-Normal23"/>
              <w:spacing w:after="0"/>
              <w:jc w:val="center"/>
              <w:rPr>
                <w:rFonts w:cs="Times New Roman"/>
                <w:noProof/>
                <w:szCs w:val="18"/>
              </w:rPr>
            </w:pPr>
            <w:r>
              <w:rPr>
                <w:noProof/>
              </w:rPr>
              <w:t>2021</w:t>
            </w:r>
          </w:p>
        </w:tc>
        <w:tc>
          <w:tcPr>
            <w:tcW w:w="5236" w:type="dxa"/>
            <w:shd w:val="clear" w:color="auto" w:fill="C6EFCE"/>
            <w:noWrap/>
          </w:tcPr>
          <w:p w14:paraId="3BADFE18" w14:textId="77777777" w:rsidR="00D924EA" w:rsidRDefault="00011DE9">
            <w:pPr>
              <w:pStyle w:val="P68B1DB1-Normal23"/>
              <w:spacing w:after="0"/>
              <w:jc w:val="both"/>
              <w:rPr>
                <w:rFonts w:cs="Times New Roman"/>
                <w:noProof/>
                <w:szCs w:val="18"/>
              </w:rPr>
            </w:pPr>
            <w:r>
              <w:rPr>
                <w:noProof/>
              </w:rPr>
              <w:t xml:space="preserve">Acordul de colaborare dintre Ministerul Agriculturii, Pescuitului și Alimentației (MAPA) și SEIASA (faza I; Execuție bugetară de 260 000 000 EUR) pun în aplicare condițiile planului de îmbunătățire a eficienței și sustenabilității irigațiilor care se realizează prin această investiție. Această normă juridică reglementează, printre alte aspecte, regimul de finanțare publică/privată pentru aceste investiții în modernizarea irigațiilor, criteriile de selecție a proiectelor, procedurile de execuție a planului, precum și lista acțiunilor care urmează să fie efectuate în legătură cu execuția bugetară în cadrul acestei măsuri. </w:t>
            </w:r>
          </w:p>
        </w:tc>
      </w:tr>
      <w:tr w:rsidR="00D924EA" w14:paraId="21E2DCB7" w14:textId="77777777" w:rsidTr="0042520D">
        <w:trPr>
          <w:trHeight w:val="309"/>
          <w:jc w:val="center"/>
        </w:trPr>
        <w:tc>
          <w:tcPr>
            <w:tcW w:w="832" w:type="dxa"/>
            <w:shd w:val="clear" w:color="auto" w:fill="C6EFCE"/>
            <w:noWrap/>
          </w:tcPr>
          <w:p w14:paraId="302D7A06" w14:textId="77777777" w:rsidR="00D924EA" w:rsidRDefault="00011DE9">
            <w:pPr>
              <w:pStyle w:val="P68B1DB1-Normal23"/>
              <w:spacing w:line="240" w:lineRule="auto"/>
              <w:jc w:val="center"/>
              <w:rPr>
                <w:rFonts w:cs="Times New Roman"/>
                <w:noProof/>
                <w:szCs w:val="18"/>
              </w:rPr>
            </w:pPr>
            <w:r>
              <w:rPr>
                <w:noProof/>
              </w:rPr>
              <w:t>47</w:t>
            </w:r>
          </w:p>
        </w:tc>
        <w:tc>
          <w:tcPr>
            <w:tcW w:w="829" w:type="dxa"/>
            <w:shd w:val="clear" w:color="auto" w:fill="C6EFCE"/>
            <w:noWrap/>
          </w:tcPr>
          <w:p w14:paraId="5BAF013C" w14:textId="77777777" w:rsidR="00D924EA" w:rsidRDefault="00011DE9">
            <w:pPr>
              <w:pStyle w:val="P68B1DB1-Normal23"/>
              <w:jc w:val="center"/>
              <w:rPr>
                <w:rFonts w:eastAsia="MS Mincho" w:cs="Times New Roman"/>
                <w:noProof/>
                <w:szCs w:val="18"/>
              </w:rPr>
            </w:pPr>
            <w:r>
              <w:rPr>
                <w:noProof/>
              </w:rPr>
              <w:t>C3.I1</w:t>
            </w:r>
          </w:p>
        </w:tc>
        <w:tc>
          <w:tcPr>
            <w:tcW w:w="1051" w:type="dxa"/>
            <w:shd w:val="clear" w:color="auto" w:fill="C6EFCE"/>
            <w:noWrap/>
          </w:tcPr>
          <w:p w14:paraId="63CF3875" w14:textId="77777777" w:rsidR="00D924EA" w:rsidRDefault="00011DE9">
            <w:pPr>
              <w:pStyle w:val="P68B1DB1-Normal23"/>
              <w:jc w:val="center"/>
              <w:rPr>
                <w:rFonts w:eastAsia="MS Mincho" w:cs="Times New Roman"/>
                <w:noProof/>
                <w:szCs w:val="18"/>
              </w:rPr>
            </w:pPr>
            <w:r>
              <w:rPr>
                <w:noProof/>
              </w:rPr>
              <w:t>T</w:t>
            </w:r>
          </w:p>
        </w:tc>
        <w:tc>
          <w:tcPr>
            <w:tcW w:w="2670" w:type="dxa"/>
            <w:shd w:val="clear" w:color="auto" w:fill="C6EFCE"/>
            <w:noWrap/>
          </w:tcPr>
          <w:p w14:paraId="1FB5BC4B" w14:textId="77777777" w:rsidR="00D924EA" w:rsidRDefault="00011DE9">
            <w:pPr>
              <w:pStyle w:val="P68B1DB1-Normal23"/>
              <w:jc w:val="both"/>
              <w:rPr>
                <w:rFonts w:eastAsia="MS Mincho" w:cs="Times New Roman"/>
                <w:noProof/>
                <w:szCs w:val="18"/>
              </w:rPr>
            </w:pPr>
            <w:r>
              <w:rPr>
                <w:noProof/>
              </w:rPr>
              <w:t>Punerea în aplicare a acordului dintre Ministerul Agriculturii, Pescuitului și Alimentației (MAPA) și SEIASA pentru a sprijini îmbunătățirea și sustenabilitatea suprafețelor irigate (faza II)</w:t>
            </w:r>
          </w:p>
        </w:tc>
        <w:tc>
          <w:tcPr>
            <w:tcW w:w="1276" w:type="dxa"/>
            <w:shd w:val="clear" w:color="auto" w:fill="C6EFCE"/>
            <w:noWrap/>
          </w:tcPr>
          <w:p w14:paraId="1A055048" w14:textId="77777777" w:rsidR="00D924EA" w:rsidRDefault="00D924EA">
            <w:pPr>
              <w:jc w:val="both"/>
              <w:rPr>
                <w:rFonts w:ascii="Times New Roman" w:eastAsia="MS Mincho" w:hAnsi="Times New Roman" w:cs="Times New Roman"/>
                <w:noProof/>
                <w:sz w:val="18"/>
                <w:szCs w:val="18"/>
              </w:rPr>
            </w:pPr>
          </w:p>
        </w:tc>
        <w:tc>
          <w:tcPr>
            <w:tcW w:w="708" w:type="dxa"/>
            <w:shd w:val="clear" w:color="auto" w:fill="C6EFCE"/>
            <w:noWrap/>
          </w:tcPr>
          <w:p w14:paraId="58E59520" w14:textId="77777777" w:rsidR="00D924EA" w:rsidRDefault="00011DE9">
            <w:pPr>
              <w:pStyle w:val="P68B1DB1-Normal23"/>
              <w:rPr>
                <w:rFonts w:eastAsia="MS Mincho" w:cs="Times New Roman"/>
                <w:noProof/>
                <w:szCs w:val="18"/>
              </w:rPr>
            </w:pPr>
            <w:r>
              <w:rPr>
                <w:noProof/>
              </w:rPr>
              <w:t>Milioane EUR</w:t>
            </w:r>
          </w:p>
        </w:tc>
        <w:tc>
          <w:tcPr>
            <w:tcW w:w="1134" w:type="dxa"/>
            <w:shd w:val="clear" w:color="auto" w:fill="C6EFCE"/>
            <w:noWrap/>
          </w:tcPr>
          <w:p w14:paraId="7A96C496" w14:textId="77777777" w:rsidR="00D924EA" w:rsidRDefault="00011DE9">
            <w:pPr>
              <w:pStyle w:val="P68B1DB1-Normal23"/>
              <w:jc w:val="center"/>
              <w:rPr>
                <w:rFonts w:eastAsia="MS Mincho" w:cs="Times New Roman"/>
                <w:noProof/>
                <w:szCs w:val="18"/>
              </w:rPr>
            </w:pPr>
            <w:r>
              <w:rPr>
                <w:noProof/>
              </w:rPr>
              <w:t>0</w:t>
            </w:r>
          </w:p>
        </w:tc>
        <w:tc>
          <w:tcPr>
            <w:tcW w:w="748" w:type="dxa"/>
            <w:shd w:val="clear" w:color="auto" w:fill="C6EFCE"/>
            <w:noWrap/>
          </w:tcPr>
          <w:p w14:paraId="0500B824" w14:textId="77777777" w:rsidR="00D924EA" w:rsidRDefault="00011DE9">
            <w:pPr>
              <w:pStyle w:val="P68B1DB1-Normal23"/>
              <w:jc w:val="center"/>
              <w:rPr>
                <w:rFonts w:eastAsia="MS Mincho" w:cs="Times New Roman"/>
                <w:noProof/>
                <w:szCs w:val="18"/>
              </w:rPr>
            </w:pPr>
            <w:r>
              <w:rPr>
                <w:noProof/>
              </w:rPr>
              <w:t>303</w:t>
            </w:r>
          </w:p>
        </w:tc>
        <w:tc>
          <w:tcPr>
            <w:tcW w:w="415" w:type="dxa"/>
            <w:shd w:val="clear" w:color="auto" w:fill="C6EFCE"/>
            <w:noWrap/>
          </w:tcPr>
          <w:p w14:paraId="07A4E41F" w14:textId="2DD1802A" w:rsidR="00D924EA" w:rsidRDefault="005701C9">
            <w:pPr>
              <w:pStyle w:val="P68B1DB1-Normal23"/>
              <w:jc w:val="center"/>
              <w:rPr>
                <w:rFonts w:eastAsia="MS Mincho" w:cs="Times New Roman"/>
                <w:noProof/>
                <w:szCs w:val="18"/>
              </w:rPr>
            </w:pPr>
            <w:r>
              <w:rPr>
                <w:noProof/>
              </w:rPr>
              <w:t>T4</w:t>
            </w:r>
          </w:p>
        </w:tc>
        <w:tc>
          <w:tcPr>
            <w:tcW w:w="553" w:type="dxa"/>
            <w:shd w:val="clear" w:color="auto" w:fill="C6EFCE"/>
            <w:noWrap/>
          </w:tcPr>
          <w:p w14:paraId="5BD01EB9" w14:textId="77777777" w:rsidR="00D924EA" w:rsidRDefault="00011DE9">
            <w:pPr>
              <w:pStyle w:val="P68B1DB1-Normal23"/>
              <w:jc w:val="center"/>
              <w:rPr>
                <w:rFonts w:eastAsia="MS Mincho" w:cs="Times New Roman"/>
                <w:noProof/>
                <w:szCs w:val="18"/>
              </w:rPr>
            </w:pPr>
            <w:r>
              <w:rPr>
                <w:noProof/>
              </w:rPr>
              <w:t>2022</w:t>
            </w:r>
          </w:p>
        </w:tc>
        <w:tc>
          <w:tcPr>
            <w:tcW w:w="5236" w:type="dxa"/>
            <w:shd w:val="clear" w:color="auto" w:fill="C6EFCE"/>
            <w:noWrap/>
          </w:tcPr>
          <w:p w14:paraId="5A379884" w14:textId="77777777" w:rsidR="00D924EA" w:rsidRDefault="00011DE9">
            <w:pPr>
              <w:pStyle w:val="P68B1DB1-Normal23"/>
              <w:rPr>
                <w:rFonts w:eastAsia="MS Mincho" w:cs="Times New Roman"/>
                <w:noProof/>
                <w:szCs w:val="18"/>
              </w:rPr>
            </w:pPr>
            <w:r>
              <w:rPr>
                <w:noProof/>
              </w:rPr>
              <w:t>Acordul de colaborare dintre Ministerul Agriculturii, Pescuitului și Alimentației (MAPA) și SEIASA (faza II; 303 000 000 EUR din execuția bugetară) va pune în aplicare condițiile planului de îmbunătățire a eficienței și sustenabilității irigațiilor care se desfășoară în cadrul acestui proiect de investiții. Această normă juridică reglementează, printre alte aspecte, regimul de finanțare publică/privată pentru aceste investiții în modernizarea irigațiilor, criteriile de selecție a proiectelor, procedurile de execuție a planului, precum și lista acțiunilor care urmează să fie efectuate în legătură cu execuția bugetară în cadrul acestei măsuri.</w:t>
            </w:r>
          </w:p>
        </w:tc>
      </w:tr>
      <w:tr w:rsidR="00D924EA" w14:paraId="4B4CBFE9" w14:textId="77777777" w:rsidTr="0042520D">
        <w:trPr>
          <w:trHeight w:val="309"/>
          <w:jc w:val="center"/>
        </w:trPr>
        <w:tc>
          <w:tcPr>
            <w:tcW w:w="832" w:type="dxa"/>
            <w:shd w:val="clear" w:color="auto" w:fill="C6EFCE"/>
            <w:noWrap/>
          </w:tcPr>
          <w:p w14:paraId="173A2D61" w14:textId="77777777" w:rsidR="00D924EA" w:rsidRDefault="00011DE9">
            <w:pPr>
              <w:pStyle w:val="P68B1DB1-Normal23"/>
              <w:spacing w:line="240" w:lineRule="auto"/>
              <w:jc w:val="center"/>
              <w:rPr>
                <w:rFonts w:cs="Times New Roman"/>
                <w:noProof/>
                <w:szCs w:val="18"/>
              </w:rPr>
            </w:pPr>
            <w:r>
              <w:rPr>
                <w:noProof/>
              </w:rPr>
              <w:t>424</w:t>
            </w:r>
          </w:p>
        </w:tc>
        <w:tc>
          <w:tcPr>
            <w:tcW w:w="829" w:type="dxa"/>
            <w:shd w:val="clear" w:color="auto" w:fill="C6EFCE"/>
            <w:noWrap/>
          </w:tcPr>
          <w:p w14:paraId="2DEB8DFF" w14:textId="77777777" w:rsidR="00D924EA" w:rsidRDefault="00011DE9">
            <w:pPr>
              <w:pStyle w:val="P68B1DB1-Normal23"/>
              <w:jc w:val="center"/>
              <w:rPr>
                <w:rFonts w:cs="Times New Roman"/>
                <w:noProof/>
                <w:szCs w:val="18"/>
              </w:rPr>
            </w:pPr>
            <w:r>
              <w:rPr>
                <w:noProof/>
              </w:rPr>
              <w:t>C3.I1</w:t>
            </w:r>
          </w:p>
        </w:tc>
        <w:tc>
          <w:tcPr>
            <w:tcW w:w="1051" w:type="dxa"/>
            <w:shd w:val="clear" w:color="auto" w:fill="C6EFCE"/>
            <w:noWrap/>
          </w:tcPr>
          <w:p w14:paraId="40B34C79" w14:textId="77777777" w:rsidR="00D924EA" w:rsidRDefault="00011DE9">
            <w:pPr>
              <w:pStyle w:val="P68B1DB1-Normal23"/>
              <w:jc w:val="center"/>
              <w:rPr>
                <w:rFonts w:cs="Times New Roman"/>
                <w:noProof/>
                <w:szCs w:val="18"/>
              </w:rPr>
            </w:pPr>
            <w:r>
              <w:rPr>
                <w:noProof/>
              </w:rPr>
              <w:t>T</w:t>
            </w:r>
          </w:p>
        </w:tc>
        <w:tc>
          <w:tcPr>
            <w:tcW w:w="2670" w:type="dxa"/>
            <w:shd w:val="clear" w:color="auto" w:fill="C6EFCE"/>
            <w:noWrap/>
          </w:tcPr>
          <w:p w14:paraId="398999D2" w14:textId="77777777" w:rsidR="00D924EA" w:rsidRDefault="00011DE9">
            <w:pPr>
              <w:pStyle w:val="P68B1DB1-Normal23"/>
              <w:jc w:val="both"/>
              <w:rPr>
                <w:rFonts w:cs="Times New Roman"/>
                <w:noProof/>
                <w:szCs w:val="18"/>
              </w:rPr>
            </w:pPr>
            <w:r>
              <w:rPr>
                <w:noProof/>
              </w:rPr>
              <w:t>Intrarea în vigoare a addendumului la acordul dintre Ministerul Agriculturii, Pescuitului și Alimentației (MAPA) și SEIASA de sprijinire a îmbunătățirii și sustenabilității suprafețelor irigate (faza II)</w:t>
            </w:r>
          </w:p>
        </w:tc>
        <w:tc>
          <w:tcPr>
            <w:tcW w:w="1276" w:type="dxa"/>
            <w:shd w:val="clear" w:color="auto" w:fill="C6EFCE"/>
            <w:noWrap/>
          </w:tcPr>
          <w:p w14:paraId="6EDEDB49" w14:textId="77777777" w:rsidR="00D924EA" w:rsidRDefault="00D924EA">
            <w:pPr>
              <w:jc w:val="both"/>
              <w:rPr>
                <w:rFonts w:ascii="Times New Roman" w:eastAsia="MS Mincho" w:hAnsi="Times New Roman" w:cs="Times New Roman"/>
                <w:noProof/>
                <w:sz w:val="18"/>
                <w:szCs w:val="18"/>
              </w:rPr>
            </w:pPr>
          </w:p>
        </w:tc>
        <w:tc>
          <w:tcPr>
            <w:tcW w:w="708" w:type="dxa"/>
            <w:shd w:val="clear" w:color="auto" w:fill="C6EFCE"/>
            <w:noWrap/>
          </w:tcPr>
          <w:p w14:paraId="768F8317" w14:textId="77777777" w:rsidR="00D924EA" w:rsidRDefault="00011DE9">
            <w:pPr>
              <w:pStyle w:val="P68B1DB1-Normal23"/>
              <w:rPr>
                <w:rFonts w:cs="Times New Roman"/>
                <w:noProof/>
                <w:szCs w:val="18"/>
              </w:rPr>
            </w:pPr>
            <w:r>
              <w:rPr>
                <w:noProof/>
              </w:rPr>
              <w:t>Milioane EUR</w:t>
            </w:r>
          </w:p>
        </w:tc>
        <w:tc>
          <w:tcPr>
            <w:tcW w:w="1134" w:type="dxa"/>
            <w:shd w:val="clear" w:color="auto" w:fill="C6EFCE"/>
            <w:noWrap/>
          </w:tcPr>
          <w:p w14:paraId="7AA5080E" w14:textId="77777777" w:rsidR="00D924EA" w:rsidRDefault="00011DE9">
            <w:pPr>
              <w:pStyle w:val="P68B1DB1-Normal23"/>
              <w:jc w:val="center"/>
              <w:rPr>
                <w:rFonts w:cs="Times New Roman"/>
                <w:noProof/>
                <w:szCs w:val="18"/>
              </w:rPr>
            </w:pPr>
            <w:r>
              <w:rPr>
                <w:noProof/>
              </w:rPr>
              <w:t>303</w:t>
            </w:r>
          </w:p>
        </w:tc>
        <w:tc>
          <w:tcPr>
            <w:tcW w:w="748" w:type="dxa"/>
            <w:shd w:val="clear" w:color="auto" w:fill="C6EFCE"/>
            <w:noWrap/>
          </w:tcPr>
          <w:p w14:paraId="28330749" w14:textId="77777777" w:rsidR="00D924EA" w:rsidRDefault="00011DE9">
            <w:pPr>
              <w:pStyle w:val="P68B1DB1-Normal23"/>
              <w:jc w:val="center"/>
              <w:rPr>
                <w:rFonts w:cs="Times New Roman"/>
                <w:noProof/>
                <w:szCs w:val="18"/>
              </w:rPr>
            </w:pPr>
            <w:r>
              <w:rPr>
                <w:noProof/>
              </w:rPr>
              <w:t>453</w:t>
            </w:r>
          </w:p>
        </w:tc>
        <w:tc>
          <w:tcPr>
            <w:tcW w:w="415" w:type="dxa"/>
            <w:shd w:val="clear" w:color="auto" w:fill="C6EFCE"/>
            <w:noWrap/>
          </w:tcPr>
          <w:p w14:paraId="48AB3B49" w14:textId="6B2395D3" w:rsidR="00D924EA" w:rsidRDefault="005701C9">
            <w:pPr>
              <w:pStyle w:val="P68B1DB1-Normal23"/>
              <w:jc w:val="center"/>
              <w:rPr>
                <w:rFonts w:cs="Times New Roman"/>
                <w:noProof/>
                <w:szCs w:val="18"/>
              </w:rPr>
            </w:pPr>
            <w:r>
              <w:rPr>
                <w:noProof/>
              </w:rPr>
              <w:t>T2</w:t>
            </w:r>
          </w:p>
        </w:tc>
        <w:tc>
          <w:tcPr>
            <w:tcW w:w="553" w:type="dxa"/>
            <w:shd w:val="clear" w:color="auto" w:fill="C6EFCE"/>
            <w:noWrap/>
          </w:tcPr>
          <w:p w14:paraId="6C0E2919" w14:textId="77777777" w:rsidR="00D924EA" w:rsidRDefault="00011DE9">
            <w:pPr>
              <w:pStyle w:val="P68B1DB1-Normal23"/>
              <w:jc w:val="center"/>
              <w:rPr>
                <w:rFonts w:cs="Times New Roman"/>
                <w:noProof/>
                <w:szCs w:val="18"/>
              </w:rPr>
            </w:pPr>
            <w:r>
              <w:rPr>
                <w:noProof/>
              </w:rPr>
              <w:t>2023</w:t>
            </w:r>
          </w:p>
        </w:tc>
        <w:tc>
          <w:tcPr>
            <w:tcW w:w="5236" w:type="dxa"/>
            <w:shd w:val="clear" w:color="auto" w:fill="C6EFCE"/>
            <w:noWrap/>
          </w:tcPr>
          <w:p w14:paraId="764B8C28" w14:textId="77777777" w:rsidR="00D924EA" w:rsidRDefault="00011DE9">
            <w:pPr>
              <w:pStyle w:val="P68B1DB1-Normal29"/>
              <w:rPr>
                <w:rFonts w:cs="Times New Roman"/>
                <w:noProof/>
                <w:sz w:val="18"/>
                <w:szCs w:val="18"/>
              </w:rPr>
            </w:pPr>
            <w:r>
              <w:rPr>
                <w:noProof/>
                <w:sz w:val="18"/>
              </w:rPr>
              <w:t>Addendumul la acordul de colaborare dintre Ministerul Agriculturii, Pescuitului și Alimentației (MAPA) și SEIASA (extinderea fazei II; 150</w:t>
            </w:r>
            <w:r>
              <w:rPr>
                <w:noProof/>
                <w:sz w:val="20"/>
              </w:rPr>
              <w:t xml:space="preserve"> </w:t>
            </w:r>
            <w:r>
              <w:rPr>
                <w:noProof/>
                <w:sz w:val="18"/>
              </w:rPr>
              <w:t>000</w:t>
            </w:r>
            <w:r>
              <w:rPr>
                <w:noProof/>
                <w:sz w:val="20"/>
              </w:rPr>
              <w:t xml:space="preserve"> </w:t>
            </w:r>
            <w:r>
              <w:rPr>
                <w:noProof/>
                <w:sz w:val="18"/>
              </w:rPr>
              <w:t>000 EUR din execuția bugetară) va pune în aplicare condițiile planului de îmbunătățire a eficienței și sustenabilității irigațiilor care se desfășoară în cadrul acestui proiect de investiții. Această normă juridică reglementează, printre alte aspecte, regimul de finanțare publică/privată pentru aceste investiții în modernizarea irigațiilor, criteriile de selecție a proiectelor, procedurile de execuție a planului, precum și lista acțiunilor care urmează să fie efectuate în legătură cu execuția bugetară în cadrul acestei măsuri. (Referință: 30 iunie 2022, pe baza obiectivului țintei 47)</w:t>
            </w:r>
          </w:p>
        </w:tc>
      </w:tr>
      <w:tr w:rsidR="00D924EA" w14:paraId="693E7DAB" w14:textId="77777777" w:rsidTr="0042520D">
        <w:trPr>
          <w:trHeight w:val="309"/>
          <w:jc w:val="center"/>
        </w:trPr>
        <w:tc>
          <w:tcPr>
            <w:tcW w:w="832" w:type="dxa"/>
            <w:shd w:val="clear" w:color="auto" w:fill="C6EFCE"/>
            <w:noWrap/>
          </w:tcPr>
          <w:p w14:paraId="5A6B1E57" w14:textId="77777777" w:rsidR="00D924EA" w:rsidRDefault="00011DE9">
            <w:pPr>
              <w:pStyle w:val="P68B1DB1-Normal23"/>
              <w:spacing w:after="0" w:line="240" w:lineRule="auto"/>
              <w:jc w:val="center"/>
              <w:rPr>
                <w:rFonts w:eastAsia="MS Mincho" w:cs="Times New Roman"/>
                <w:noProof/>
                <w:szCs w:val="18"/>
              </w:rPr>
            </w:pPr>
            <w:r>
              <w:rPr>
                <w:noProof/>
              </w:rPr>
              <w:t>48</w:t>
            </w:r>
          </w:p>
        </w:tc>
        <w:tc>
          <w:tcPr>
            <w:tcW w:w="829" w:type="dxa"/>
            <w:shd w:val="clear" w:color="auto" w:fill="C6EFCE"/>
            <w:noWrap/>
          </w:tcPr>
          <w:p w14:paraId="5A77E17F" w14:textId="77777777" w:rsidR="00D924EA" w:rsidRDefault="00011DE9">
            <w:pPr>
              <w:pStyle w:val="P68B1DB1-Normal23"/>
              <w:spacing w:after="0" w:line="240" w:lineRule="auto"/>
              <w:jc w:val="center"/>
              <w:rPr>
                <w:rFonts w:eastAsia="MS Mincho" w:cs="Times New Roman"/>
                <w:noProof/>
                <w:szCs w:val="18"/>
              </w:rPr>
            </w:pPr>
            <w:r>
              <w:rPr>
                <w:noProof/>
              </w:rPr>
              <w:t>C3.I1</w:t>
            </w:r>
          </w:p>
        </w:tc>
        <w:tc>
          <w:tcPr>
            <w:tcW w:w="1051" w:type="dxa"/>
            <w:shd w:val="clear" w:color="auto" w:fill="C6EFCE"/>
            <w:noWrap/>
          </w:tcPr>
          <w:p w14:paraId="4412A293" w14:textId="77777777" w:rsidR="00D924EA" w:rsidRDefault="00011DE9">
            <w:pPr>
              <w:pStyle w:val="P68B1DB1-Normal23"/>
              <w:spacing w:after="0" w:line="240" w:lineRule="auto"/>
              <w:jc w:val="center"/>
              <w:rPr>
                <w:rFonts w:eastAsia="MS Mincho" w:cs="Times New Roman"/>
                <w:noProof/>
                <w:szCs w:val="18"/>
              </w:rPr>
            </w:pPr>
            <w:r>
              <w:rPr>
                <w:noProof/>
              </w:rPr>
              <w:t>T</w:t>
            </w:r>
          </w:p>
        </w:tc>
        <w:tc>
          <w:tcPr>
            <w:tcW w:w="2670" w:type="dxa"/>
            <w:shd w:val="clear" w:color="auto" w:fill="C6EFCE"/>
            <w:noWrap/>
          </w:tcPr>
          <w:p w14:paraId="19F3A84A" w14:textId="1DAAF9D3" w:rsidR="00D924EA" w:rsidRDefault="00011DE9">
            <w:pPr>
              <w:pStyle w:val="P68B1DB1-Normal23"/>
              <w:spacing w:after="0" w:line="240" w:lineRule="auto"/>
              <w:rPr>
                <w:rFonts w:eastAsia="MS Mincho" w:cs="Times New Roman"/>
                <w:noProof/>
                <w:szCs w:val="18"/>
              </w:rPr>
            </w:pPr>
            <w:r>
              <w:rPr>
                <w:noProof/>
              </w:rPr>
              <w:t>Modernizarea sistemelor de irigații</w:t>
            </w:r>
            <w:r w:rsidR="00971820">
              <w:rPr>
                <w:noProof/>
              </w:rPr>
              <w:t xml:space="preserve"> </w:t>
            </w:r>
          </w:p>
        </w:tc>
        <w:tc>
          <w:tcPr>
            <w:tcW w:w="1276" w:type="dxa"/>
            <w:shd w:val="clear" w:color="auto" w:fill="C6EFCE"/>
            <w:noWrap/>
          </w:tcPr>
          <w:p w14:paraId="338BCBEA" w14:textId="77777777" w:rsidR="00D924EA" w:rsidRDefault="00D924EA">
            <w:pPr>
              <w:spacing w:after="0" w:line="240" w:lineRule="auto"/>
              <w:jc w:val="center"/>
              <w:rPr>
                <w:rFonts w:ascii="Times New Roman" w:eastAsia="MS Mincho" w:hAnsi="Times New Roman" w:cs="Times New Roman"/>
                <w:noProof/>
                <w:sz w:val="18"/>
                <w:szCs w:val="18"/>
              </w:rPr>
            </w:pPr>
          </w:p>
        </w:tc>
        <w:tc>
          <w:tcPr>
            <w:tcW w:w="708" w:type="dxa"/>
            <w:shd w:val="clear" w:color="auto" w:fill="C6EFCE"/>
            <w:noWrap/>
          </w:tcPr>
          <w:p w14:paraId="151AB038" w14:textId="77777777" w:rsidR="00D924EA" w:rsidRDefault="00011DE9">
            <w:pPr>
              <w:pStyle w:val="P68B1DB1-Normal23"/>
              <w:spacing w:after="0" w:line="240" w:lineRule="auto"/>
              <w:rPr>
                <w:rFonts w:eastAsia="MS Mincho" w:cs="Times New Roman"/>
                <w:noProof/>
                <w:szCs w:val="18"/>
              </w:rPr>
            </w:pPr>
            <w:r>
              <w:rPr>
                <w:noProof/>
              </w:rPr>
              <w:t>Număr (hectare)</w:t>
            </w:r>
          </w:p>
        </w:tc>
        <w:tc>
          <w:tcPr>
            <w:tcW w:w="1134" w:type="dxa"/>
            <w:shd w:val="clear" w:color="auto" w:fill="C6EFCE"/>
            <w:noWrap/>
          </w:tcPr>
          <w:p w14:paraId="3BE71083" w14:textId="77777777" w:rsidR="00D924EA" w:rsidRDefault="00011DE9">
            <w:pPr>
              <w:pStyle w:val="P68B1DB1-Normal23"/>
              <w:spacing w:after="0" w:line="240" w:lineRule="auto"/>
              <w:jc w:val="right"/>
              <w:rPr>
                <w:rFonts w:eastAsia="MS Mincho" w:cs="Times New Roman"/>
                <w:noProof/>
                <w:szCs w:val="18"/>
              </w:rPr>
            </w:pPr>
            <w:r>
              <w:rPr>
                <w:noProof/>
              </w:rPr>
              <w:t>0</w:t>
            </w:r>
          </w:p>
        </w:tc>
        <w:tc>
          <w:tcPr>
            <w:tcW w:w="748" w:type="dxa"/>
            <w:shd w:val="clear" w:color="auto" w:fill="C6EFCE"/>
            <w:noWrap/>
          </w:tcPr>
          <w:p w14:paraId="2A7145F6" w14:textId="529D7042" w:rsidR="00D924EA" w:rsidRDefault="00011DE9">
            <w:pPr>
              <w:pStyle w:val="P68B1DB1-Normal23"/>
              <w:spacing w:after="0" w:line="240" w:lineRule="auto"/>
              <w:jc w:val="right"/>
              <w:rPr>
                <w:rFonts w:eastAsia="MS Mincho" w:cs="Times New Roman"/>
                <w:noProof/>
                <w:szCs w:val="18"/>
              </w:rPr>
            </w:pPr>
            <w:r>
              <w:rPr>
                <w:noProof/>
              </w:rPr>
              <w:t>135 124</w:t>
            </w:r>
          </w:p>
        </w:tc>
        <w:tc>
          <w:tcPr>
            <w:tcW w:w="415" w:type="dxa"/>
            <w:shd w:val="clear" w:color="auto" w:fill="C6EFCE"/>
            <w:noWrap/>
          </w:tcPr>
          <w:p w14:paraId="5695B613" w14:textId="264CC2F7" w:rsidR="00D924EA" w:rsidRDefault="005701C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4876CA39" w14:textId="77777777" w:rsidR="00D924EA" w:rsidRDefault="00011DE9">
            <w:pPr>
              <w:pStyle w:val="P68B1DB1-Normal23"/>
              <w:spacing w:after="0" w:line="240" w:lineRule="auto"/>
              <w:jc w:val="center"/>
              <w:rPr>
                <w:rFonts w:eastAsia="MS Mincho" w:cs="Times New Roman"/>
                <w:noProof/>
                <w:szCs w:val="18"/>
              </w:rPr>
            </w:pPr>
            <w:r>
              <w:rPr>
                <w:noProof/>
              </w:rPr>
              <w:t>2026</w:t>
            </w:r>
          </w:p>
        </w:tc>
        <w:tc>
          <w:tcPr>
            <w:tcW w:w="5236" w:type="dxa"/>
            <w:shd w:val="clear" w:color="auto" w:fill="C6EFCE"/>
            <w:noWrap/>
          </w:tcPr>
          <w:p w14:paraId="1038C5F3" w14:textId="7B3FC2CD" w:rsidR="00D924EA" w:rsidRDefault="00011DE9">
            <w:pPr>
              <w:pStyle w:val="P68B1DB1-Normal24"/>
              <w:spacing w:after="0" w:line="240" w:lineRule="auto"/>
              <w:rPr>
                <w:noProof/>
              </w:rPr>
            </w:pPr>
            <w:r>
              <w:rPr>
                <w:noProof/>
              </w:rPr>
              <w:t xml:space="preserve">Confirmarea de către administrație sau de către o entitate publică a faptului că au fost executate contracte privind proiecte de modernizare a sistemelor de irigații care acoperă un total cumulat de 135 124 hectare. </w:t>
            </w:r>
          </w:p>
          <w:p w14:paraId="6D0EBB90" w14:textId="298D4E90" w:rsidR="00D924EA" w:rsidRDefault="00D924EA">
            <w:pPr>
              <w:spacing w:after="0" w:line="240" w:lineRule="auto"/>
              <w:rPr>
                <w:rFonts w:ascii="Times New Roman" w:eastAsia="MS Mincho" w:hAnsi="Times New Roman" w:cs="Times New Roman"/>
                <w:noProof/>
                <w:sz w:val="18"/>
                <w:szCs w:val="18"/>
              </w:rPr>
            </w:pPr>
          </w:p>
        </w:tc>
      </w:tr>
      <w:tr w:rsidR="00D924EA" w14:paraId="0C2DA282" w14:textId="77777777" w:rsidTr="0042520D">
        <w:trPr>
          <w:trHeight w:val="309"/>
          <w:jc w:val="center"/>
        </w:trPr>
        <w:tc>
          <w:tcPr>
            <w:tcW w:w="832" w:type="dxa"/>
            <w:shd w:val="clear" w:color="auto" w:fill="C6EFCE"/>
            <w:noWrap/>
          </w:tcPr>
          <w:p w14:paraId="1D67FACA" w14:textId="77777777" w:rsidR="00D924EA" w:rsidRDefault="00011DE9">
            <w:pPr>
              <w:pStyle w:val="P68B1DB1-Normal23"/>
              <w:spacing w:after="0" w:line="240" w:lineRule="auto"/>
              <w:jc w:val="center"/>
              <w:rPr>
                <w:rFonts w:cs="Times New Roman"/>
                <w:noProof/>
                <w:szCs w:val="18"/>
              </w:rPr>
            </w:pPr>
            <w:r>
              <w:rPr>
                <w:noProof/>
              </w:rPr>
              <w:t>421</w:t>
            </w:r>
          </w:p>
        </w:tc>
        <w:tc>
          <w:tcPr>
            <w:tcW w:w="829" w:type="dxa"/>
            <w:shd w:val="clear" w:color="auto" w:fill="C6EFCE"/>
            <w:noWrap/>
          </w:tcPr>
          <w:p w14:paraId="390CDFEA" w14:textId="77777777" w:rsidR="00D924EA" w:rsidRDefault="00011DE9">
            <w:pPr>
              <w:pStyle w:val="P68B1DB1-Normal23"/>
              <w:spacing w:after="0" w:line="240" w:lineRule="auto"/>
              <w:jc w:val="center"/>
              <w:rPr>
                <w:rFonts w:cs="Times New Roman"/>
                <w:noProof/>
                <w:szCs w:val="18"/>
              </w:rPr>
            </w:pPr>
            <w:r>
              <w:rPr>
                <w:noProof/>
              </w:rPr>
              <w:t>C3.I2</w:t>
            </w:r>
          </w:p>
        </w:tc>
        <w:tc>
          <w:tcPr>
            <w:tcW w:w="1051" w:type="dxa"/>
            <w:shd w:val="clear" w:color="auto" w:fill="C6EFCE"/>
            <w:noWrap/>
          </w:tcPr>
          <w:p w14:paraId="3DF6E741" w14:textId="2D0BBC6F" w:rsidR="00D924EA" w:rsidRDefault="00011DE9">
            <w:pPr>
              <w:pStyle w:val="P68B1DB1-Normal23"/>
              <w:spacing w:after="0" w:line="240" w:lineRule="auto"/>
              <w:jc w:val="center"/>
              <w:rPr>
                <w:rFonts w:cs="Times New Roman"/>
                <w:noProof/>
                <w:szCs w:val="18"/>
              </w:rPr>
            </w:pPr>
            <w:r>
              <w:rPr>
                <w:noProof/>
              </w:rPr>
              <w:t>M</w:t>
            </w:r>
          </w:p>
        </w:tc>
        <w:tc>
          <w:tcPr>
            <w:tcW w:w="2670" w:type="dxa"/>
            <w:shd w:val="clear" w:color="auto" w:fill="C6EFCE"/>
            <w:noWrap/>
          </w:tcPr>
          <w:p w14:paraId="44127AE2" w14:textId="21A6BFC2" w:rsidR="00D924EA" w:rsidRDefault="00011DE9">
            <w:pPr>
              <w:pStyle w:val="P68B1DB1-Normal23"/>
              <w:spacing w:after="0" w:line="240" w:lineRule="auto"/>
              <w:rPr>
                <w:rFonts w:cs="Times New Roman"/>
                <w:noProof/>
                <w:szCs w:val="18"/>
              </w:rPr>
            </w:pPr>
            <w:r>
              <w:rPr>
                <w:noProof/>
              </w:rPr>
              <w:t>Construirea unui laborator de biosecuritate de nivel înalt și acreditarea unui laborator național fitosanitar</w:t>
            </w:r>
          </w:p>
        </w:tc>
        <w:tc>
          <w:tcPr>
            <w:tcW w:w="1276" w:type="dxa"/>
            <w:shd w:val="clear" w:color="auto" w:fill="C6EFCE"/>
            <w:noWrap/>
          </w:tcPr>
          <w:p w14:paraId="14011AE1" w14:textId="77777777" w:rsidR="00D924EA" w:rsidRDefault="00011DE9">
            <w:pPr>
              <w:spacing w:after="0" w:line="240" w:lineRule="auto"/>
              <w:jc w:val="center"/>
              <w:rPr>
                <w:rFonts w:ascii="Times New Roman" w:eastAsia="MS Mincho" w:hAnsi="Times New Roman" w:cs="Times New Roman"/>
                <w:noProof/>
                <w:sz w:val="18"/>
                <w:szCs w:val="18"/>
              </w:rPr>
            </w:pPr>
            <w:r>
              <w:rPr>
                <w:rFonts w:ascii="Times New Roman" w:eastAsia="MS Mincho" w:hAnsi="Times New Roman" w:cs="Times New Roman"/>
                <w:noProof/>
                <w:sz w:val="18"/>
                <w:szCs w:val="18"/>
              </w:rPr>
              <w:t>Certificate de acceptare, declarații de conformitate sau alte documente echivalente care atestă executarea unui contract; documentul de acreditare</w:t>
            </w:r>
            <w:r>
              <w:rPr>
                <w:rStyle w:val="CommentReference"/>
                <w:rFonts w:cs="Symbol"/>
                <w:noProof/>
              </w:rPr>
              <w:t xml:space="preserve"> </w:t>
            </w:r>
          </w:p>
        </w:tc>
        <w:tc>
          <w:tcPr>
            <w:tcW w:w="708" w:type="dxa"/>
            <w:shd w:val="clear" w:color="auto" w:fill="C6EFCE"/>
            <w:noWrap/>
          </w:tcPr>
          <w:p w14:paraId="0970D700" w14:textId="1517437B" w:rsidR="00D924EA" w:rsidRDefault="00D924EA">
            <w:pPr>
              <w:spacing w:after="0" w:line="240" w:lineRule="auto"/>
              <w:rPr>
                <w:rFonts w:ascii="Times New Roman" w:hAnsi="Times New Roman" w:cs="Times New Roman"/>
                <w:noProof/>
                <w:sz w:val="18"/>
                <w:szCs w:val="18"/>
              </w:rPr>
            </w:pPr>
          </w:p>
        </w:tc>
        <w:tc>
          <w:tcPr>
            <w:tcW w:w="1134" w:type="dxa"/>
            <w:shd w:val="clear" w:color="auto" w:fill="C6EFCE"/>
            <w:noWrap/>
          </w:tcPr>
          <w:p w14:paraId="48F4C363" w14:textId="77777777" w:rsidR="00D924EA" w:rsidRDefault="00D924EA">
            <w:pPr>
              <w:spacing w:after="0" w:line="240" w:lineRule="auto"/>
              <w:jc w:val="right"/>
              <w:rPr>
                <w:rFonts w:ascii="Times New Roman" w:hAnsi="Times New Roman" w:cs="Times New Roman"/>
                <w:noProof/>
                <w:sz w:val="18"/>
                <w:szCs w:val="18"/>
              </w:rPr>
            </w:pPr>
          </w:p>
        </w:tc>
        <w:tc>
          <w:tcPr>
            <w:tcW w:w="748" w:type="dxa"/>
            <w:shd w:val="clear" w:color="auto" w:fill="C6EFCE"/>
            <w:noWrap/>
          </w:tcPr>
          <w:p w14:paraId="70F88321" w14:textId="38847C88" w:rsidR="00D924EA" w:rsidRDefault="00D924EA">
            <w:pPr>
              <w:spacing w:after="0" w:line="240" w:lineRule="auto"/>
              <w:jc w:val="right"/>
              <w:rPr>
                <w:rFonts w:ascii="Times New Roman" w:hAnsi="Times New Roman" w:cs="Times New Roman"/>
                <w:noProof/>
                <w:sz w:val="18"/>
                <w:szCs w:val="18"/>
              </w:rPr>
            </w:pPr>
          </w:p>
        </w:tc>
        <w:tc>
          <w:tcPr>
            <w:tcW w:w="415" w:type="dxa"/>
            <w:shd w:val="clear" w:color="auto" w:fill="C6EFCE"/>
            <w:noWrap/>
          </w:tcPr>
          <w:p w14:paraId="08CB84D9" w14:textId="6DC85E85" w:rsidR="00D924EA" w:rsidRDefault="005701C9">
            <w:pPr>
              <w:pStyle w:val="P68B1DB1-Normal23"/>
              <w:spacing w:after="0" w:line="240" w:lineRule="auto"/>
              <w:jc w:val="center"/>
              <w:rPr>
                <w:rFonts w:cs="Times New Roman"/>
                <w:noProof/>
                <w:szCs w:val="18"/>
              </w:rPr>
            </w:pPr>
            <w:r>
              <w:rPr>
                <w:noProof/>
              </w:rPr>
              <w:t>T4</w:t>
            </w:r>
          </w:p>
        </w:tc>
        <w:tc>
          <w:tcPr>
            <w:tcW w:w="553" w:type="dxa"/>
            <w:shd w:val="clear" w:color="auto" w:fill="C6EFCE"/>
            <w:noWrap/>
          </w:tcPr>
          <w:p w14:paraId="02B4360D" w14:textId="77777777" w:rsidR="00D924EA" w:rsidRDefault="00011DE9">
            <w:pPr>
              <w:pStyle w:val="P68B1DB1-Normal23"/>
              <w:spacing w:after="0" w:line="240" w:lineRule="auto"/>
              <w:jc w:val="center"/>
              <w:rPr>
                <w:rFonts w:cs="Times New Roman"/>
                <w:noProof/>
                <w:szCs w:val="18"/>
              </w:rPr>
            </w:pPr>
            <w:r>
              <w:rPr>
                <w:noProof/>
              </w:rPr>
              <w:t>2025</w:t>
            </w:r>
          </w:p>
        </w:tc>
        <w:tc>
          <w:tcPr>
            <w:tcW w:w="5236" w:type="dxa"/>
            <w:shd w:val="clear" w:color="auto" w:fill="C6EFCE"/>
            <w:noWrap/>
          </w:tcPr>
          <w:p w14:paraId="568A538F" w14:textId="77777777" w:rsidR="00D924EA" w:rsidRDefault="00011DE9">
            <w:pPr>
              <w:pStyle w:val="P68B1DB1-Normal23"/>
              <w:spacing w:after="0" w:line="240" w:lineRule="auto"/>
              <w:rPr>
                <w:noProof/>
              </w:rPr>
            </w:pPr>
            <w:r>
              <w:rPr>
                <w:noProof/>
              </w:rPr>
              <w:t xml:space="preserve">Confirmarea de către administrație a executării unui contract legat de construirea unui laborator de siguranță biologică de nivel înalt și acreditarea unui laborator național fitosanitar. </w:t>
            </w:r>
          </w:p>
          <w:p w14:paraId="13B46FB1" w14:textId="4CA0BA86" w:rsidR="00D924EA" w:rsidRDefault="00D924EA">
            <w:pPr>
              <w:spacing w:after="0" w:line="240" w:lineRule="auto"/>
              <w:rPr>
                <w:rFonts w:ascii="Times New Roman" w:hAnsi="Times New Roman" w:cs="Times New Roman"/>
                <w:noProof/>
                <w:sz w:val="18"/>
                <w:szCs w:val="18"/>
              </w:rPr>
            </w:pPr>
          </w:p>
        </w:tc>
      </w:tr>
      <w:tr w:rsidR="00D924EA" w14:paraId="3A9DB98F" w14:textId="77777777" w:rsidTr="0042520D">
        <w:trPr>
          <w:trHeight w:val="309"/>
          <w:jc w:val="center"/>
        </w:trPr>
        <w:tc>
          <w:tcPr>
            <w:tcW w:w="832" w:type="dxa"/>
            <w:shd w:val="clear" w:color="auto" w:fill="C6EFCE"/>
            <w:noWrap/>
          </w:tcPr>
          <w:p w14:paraId="4DC01A76" w14:textId="77777777" w:rsidR="00D924EA" w:rsidRDefault="00011DE9">
            <w:pPr>
              <w:pStyle w:val="P68B1DB1-Normal23"/>
              <w:spacing w:after="0" w:line="240" w:lineRule="auto"/>
              <w:jc w:val="center"/>
              <w:rPr>
                <w:rFonts w:cs="Times New Roman"/>
                <w:noProof/>
                <w:szCs w:val="18"/>
              </w:rPr>
            </w:pPr>
            <w:r>
              <w:rPr>
                <w:noProof/>
              </w:rPr>
              <w:t>49</w:t>
            </w:r>
          </w:p>
        </w:tc>
        <w:tc>
          <w:tcPr>
            <w:tcW w:w="829" w:type="dxa"/>
            <w:shd w:val="clear" w:color="auto" w:fill="C6EFCE"/>
            <w:noWrap/>
          </w:tcPr>
          <w:p w14:paraId="5DC3F469" w14:textId="77777777" w:rsidR="00D924EA" w:rsidRDefault="00011DE9">
            <w:pPr>
              <w:pStyle w:val="P68B1DB1-Normal23"/>
              <w:spacing w:after="0" w:line="240" w:lineRule="auto"/>
              <w:jc w:val="center"/>
              <w:rPr>
                <w:rFonts w:cs="Times New Roman"/>
                <w:noProof/>
                <w:szCs w:val="18"/>
              </w:rPr>
            </w:pPr>
            <w:r>
              <w:rPr>
                <w:noProof/>
              </w:rPr>
              <w:t>C3.I2</w:t>
            </w:r>
          </w:p>
        </w:tc>
        <w:tc>
          <w:tcPr>
            <w:tcW w:w="1051" w:type="dxa"/>
            <w:shd w:val="clear" w:color="auto" w:fill="C6EFCE"/>
            <w:noWrap/>
          </w:tcPr>
          <w:p w14:paraId="41844E4A" w14:textId="4D2093C6" w:rsidR="00D924EA" w:rsidRDefault="00011DE9">
            <w:pPr>
              <w:pStyle w:val="P68B1DB1-Normal23"/>
              <w:spacing w:after="0" w:line="240" w:lineRule="auto"/>
              <w:jc w:val="center"/>
              <w:rPr>
                <w:rFonts w:cs="Times New Roman"/>
                <w:noProof/>
                <w:szCs w:val="18"/>
              </w:rPr>
            </w:pPr>
            <w:r>
              <w:rPr>
                <w:noProof/>
              </w:rPr>
              <w:t>M</w:t>
            </w:r>
          </w:p>
        </w:tc>
        <w:tc>
          <w:tcPr>
            <w:tcW w:w="2670" w:type="dxa"/>
            <w:shd w:val="clear" w:color="auto" w:fill="C6EFCE"/>
            <w:noWrap/>
          </w:tcPr>
          <w:p w14:paraId="0BBC472D" w14:textId="75D1FEC0" w:rsidR="00D924EA" w:rsidRDefault="00011DE9">
            <w:pPr>
              <w:pStyle w:val="P68B1DB1-Normal23"/>
              <w:spacing w:after="0" w:line="240" w:lineRule="auto"/>
              <w:rPr>
                <w:rFonts w:cs="Times New Roman"/>
                <w:noProof/>
                <w:szCs w:val="18"/>
              </w:rPr>
            </w:pPr>
            <w:r>
              <w:rPr>
                <w:noProof/>
              </w:rPr>
              <w:t>Construirea unei instalații pentru animale cu un nivel de biosiguranță 3</w:t>
            </w:r>
          </w:p>
        </w:tc>
        <w:tc>
          <w:tcPr>
            <w:tcW w:w="1276" w:type="dxa"/>
            <w:shd w:val="clear" w:color="auto" w:fill="C6EFCE"/>
            <w:noWrap/>
          </w:tcPr>
          <w:p w14:paraId="5103381A" w14:textId="77777777" w:rsidR="00D924EA" w:rsidRDefault="00011DE9">
            <w:pPr>
              <w:pStyle w:val="P68B1DB1-Normal32"/>
              <w:spacing w:after="0" w:line="240" w:lineRule="auto"/>
              <w:jc w:val="center"/>
              <w:rPr>
                <w:noProof/>
              </w:rPr>
            </w:pPr>
            <w:r>
              <w:rPr>
                <w:noProof/>
              </w:rPr>
              <w:t>Certificate de acceptare, declarații de conformitate sau alte documente echivalente care atestă executarea unui contract</w:t>
            </w:r>
          </w:p>
        </w:tc>
        <w:tc>
          <w:tcPr>
            <w:tcW w:w="708" w:type="dxa"/>
            <w:shd w:val="clear" w:color="auto" w:fill="C6EFCE"/>
            <w:noWrap/>
          </w:tcPr>
          <w:p w14:paraId="038C247A" w14:textId="1426F434" w:rsidR="00D924EA" w:rsidRDefault="00D924EA">
            <w:pPr>
              <w:spacing w:after="0" w:line="240" w:lineRule="auto"/>
              <w:rPr>
                <w:rFonts w:ascii="Times New Roman" w:hAnsi="Times New Roman" w:cs="Times New Roman"/>
                <w:noProof/>
                <w:sz w:val="18"/>
                <w:szCs w:val="18"/>
              </w:rPr>
            </w:pPr>
          </w:p>
        </w:tc>
        <w:tc>
          <w:tcPr>
            <w:tcW w:w="1134" w:type="dxa"/>
            <w:shd w:val="clear" w:color="auto" w:fill="C6EFCE"/>
            <w:noWrap/>
          </w:tcPr>
          <w:p w14:paraId="3260066E" w14:textId="35732A76" w:rsidR="00D924EA" w:rsidRDefault="00D924EA">
            <w:pPr>
              <w:spacing w:after="0" w:line="240" w:lineRule="auto"/>
              <w:jc w:val="right"/>
              <w:rPr>
                <w:rFonts w:ascii="Times New Roman" w:hAnsi="Times New Roman" w:cs="Times New Roman"/>
                <w:noProof/>
                <w:sz w:val="18"/>
                <w:szCs w:val="18"/>
              </w:rPr>
            </w:pPr>
          </w:p>
        </w:tc>
        <w:tc>
          <w:tcPr>
            <w:tcW w:w="748" w:type="dxa"/>
            <w:shd w:val="clear" w:color="auto" w:fill="C6EFCE"/>
            <w:noWrap/>
          </w:tcPr>
          <w:p w14:paraId="28E386F3" w14:textId="1E30B3DB" w:rsidR="00D924EA" w:rsidRDefault="00D924EA">
            <w:pPr>
              <w:spacing w:after="0" w:line="240" w:lineRule="auto"/>
              <w:jc w:val="right"/>
              <w:rPr>
                <w:rFonts w:ascii="Times New Roman" w:hAnsi="Times New Roman" w:cs="Times New Roman"/>
                <w:noProof/>
                <w:sz w:val="18"/>
                <w:szCs w:val="18"/>
              </w:rPr>
            </w:pPr>
          </w:p>
        </w:tc>
        <w:tc>
          <w:tcPr>
            <w:tcW w:w="415" w:type="dxa"/>
            <w:shd w:val="clear" w:color="auto" w:fill="C6EFCE"/>
            <w:noWrap/>
          </w:tcPr>
          <w:p w14:paraId="3BBCDBB7" w14:textId="5953A9D9" w:rsidR="00D924EA" w:rsidRDefault="005701C9">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5745C13D" w14:textId="77777777" w:rsidR="00D924EA" w:rsidRDefault="00011DE9">
            <w:pPr>
              <w:pStyle w:val="P68B1DB1-Normal23"/>
              <w:spacing w:after="0" w:line="240" w:lineRule="auto"/>
              <w:jc w:val="center"/>
              <w:rPr>
                <w:rFonts w:cs="Times New Roman"/>
                <w:noProof/>
                <w:szCs w:val="18"/>
              </w:rPr>
            </w:pPr>
            <w:r>
              <w:rPr>
                <w:noProof/>
              </w:rPr>
              <w:t>2026</w:t>
            </w:r>
          </w:p>
        </w:tc>
        <w:tc>
          <w:tcPr>
            <w:tcW w:w="5236" w:type="dxa"/>
            <w:shd w:val="clear" w:color="auto" w:fill="C6EFCE"/>
            <w:noWrap/>
          </w:tcPr>
          <w:p w14:paraId="2A131F1F" w14:textId="4D709ADF" w:rsidR="00D924EA" w:rsidRDefault="00011DE9">
            <w:pPr>
              <w:pStyle w:val="P68B1DB1-Normal23"/>
              <w:spacing w:after="0" w:line="240" w:lineRule="auto"/>
              <w:rPr>
                <w:rFonts w:cs="Times New Roman"/>
                <w:noProof/>
                <w:szCs w:val="18"/>
              </w:rPr>
            </w:pPr>
            <w:r>
              <w:rPr>
                <w:noProof/>
              </w:rPr>
              <w:t>Confirmarea de către administrație a executării unui contract legat de construirea unei instalații pentru animale cu un nivel de biosiguranță (NCB) 3.</w:t>
            </w:r>
          </w:p>
        </w:tc>
      </w:tr>
      <w:tr w:rsidR="00D924EA" w14:paraId="23F72D7B" w14:textId="77777777" w:rsidTr="0042520D">
        <w:trPr>
          <w:trHeight w:val="309"/>
          <w:jc w:val="center"/>
        </w:trPr>
        <w:tc>
          <w:tcPr>
            <w:tcW w:w="832" w:type="dxa"/>
            <w:shd w:val="clear" w:color="auto" w:fill="C6EFCE"/>
            <w:noWrap/>
          </w:tcPr>
          <w:p w14:paraId="4FE47FDC" w14:textId="77777777" w:rsidR="00D924EA" w:rsidRDefault="00011DE9">
            <w:pPr>
              <w:pStyle w:val="P68B1DB1-Normal23"/>
              <w:spacing w:after="0" w:line="240" w:lineRule="auto"/>
              <w:jc w:val="center"/>
              <w:rPr>
                <w:rFonts w:eastAsia="MS Mincho" w:cs="Times New Roman"/>
                <w:noProof/>
                <w:szCs w:val="18"/>
              </w:rPr>
            </w:pPr>
            <w:r>
              <w:rPr>
                <w:noProof/>
              </w:rPr>
              <w:t>50</w:t>
            </w:r>
          </w:p>
        </w:tc>
        <w:tc>
          <w:tcPr>
            <w:tcW w:w="829" w:type="dxa"/>
            <w:shd w:val="clear" w:color="auto" w:fill="C6EFCE"/>
            <w:noWrap/>
          </w:tcPr>
          <w:p w14:paraId="0C09FDC1" w14:textId="77777777" w:rsidR="00D924EA" w:rsidRDefault="00011DE9">
            <w:pPr>
              <w:pStyle w:val="P68B1DB1-Normal23"/>
              <w:spacing w:after="0" w:line="240" w:lineRule="auto"/>
              <w:jc w:val="center"/>
              <w:rPr>
                <w:rFonts w:eastAsia="MS Mincho" w:cs="Times New Roman"/>
                <w:noProof/>
                <w:szCs w:val="18"/>
              </w:rPr>
            </w:pPr>
            <w:r>
              <w:rPr>
                <w:noProof/>
              </w:rPr>
              <w:t>C3.I3</w:t>
            </w:r>
          </w:p>
        </w:tc>
        <w:tc>
          <w:tcPr>
            <w:tcW w:w="1051" w:type="dxa"/>
            <w:shd w:val="clear" w:color="auto" w:fill="C6EFCE"/>
            <w:noWrap/>
          </w:tcPr>
          <w:p w14:paraId="76589EFD" w14:textId="73F22D55" w:rsidR="00D924EA" w:rsidRDefault="00011DE9">
            <w:pPr>
              <w:pStyle w:val="P68B1DB1-Normal23"/>
              <w:spacing w:after="0" w:line="240" w:lineRule="auto"/>
              <w:jc w:val="center"/>
              <w:rPr>
                <w:rFonts w:eastAsia="MS Mincho" w:cs="Times New Roman"/>
                <w:noProof/>
                <w:szCs w:val="18"/>
              </w:rPr>
            </w:pPr>
            <w:r>
              <w:rPr>
                <w:noProof/>
              </w:rPr>
              <w:t>M</w:t>
            </w:r>
          </w:p>
        </w:tc>
        <w:tc>
          <w:tcPr>
            <w:tcW w:w="2670" w:type="dxa"/>
            <w:shd w:val="clear" w:color="auto" w:fill="C6EFCE"/>
            <w:noWrap/>
          </w:tcPr>
          <w:p w14:paraId="40D853DC" w14:textId="46780431" w:rsidR="00D924EA" w:rsidRDefault="00011DE9">
            <w:pPr>
              <w:pStyle w:val="P68B1DB1-Normal24"/>
              <w:spacing w:after="0" w:line="240" w:lineRule="auto"/>
              <w:rPr>
                <w:rFonts w:eastAsia="MS Mincho" w:cs="Times New Roman"/>
                <w:noProof/>
              </w:rPr>
            </w:pPr>
            <w:r>
              <w:rPr>
                <w:noProof/>
              </w:rPr>
              <w:t xml:space="preserve">Construirea, renovarea sau achiziționarea de echipamente sau de vehicule de dezinfectare pentru centrele de curățare și dezinfectare și centrele de producție a materialelor de reproducere a plantelor </w:t>
            </w:r>
          </w:p>
        </w:tc>
        <w:tc>
          <w:tcPr>
            <w:tcW w:w="1276" w:type="dxa"/>
            <w:shd w:val="clear" w:color="auto" w:fill="C6EFCE"/>
            <w:noWrap/>
          </w:tcPr>
          <w:p w14:paraId="4615F3D1" w14:textId="77777777" w:rsidR="00D924EA" w:rsidRDefault="00011DE9">
            <w:pPr>
              <w:pStyle w:val="P68B1DB1-Normal32"/>
              <w:spacing w:after="0" w:line="240" w:lineRule="auto"/>
              <w:jc w:val="center"/>
              <w:rPr>
                <w:noProof/>
              </w:rPr>
            </w:pPr>
            <w:r>
              <w:rPr>
                <w:noProof/>
              </w:rPr>
              <w:t>Verificarea de către administrație</w:t>
            </w:r>
          </w:p>
        </w:tc>
        <w:tc>
          <w:tcPr>
            <w:tcW w:w="708" w:type="dxa"/>
            <w:shd w:val="clear" w:color="auto" w:fill="C6EFCE"/>
            <w:noWrap/>
          </w:tcPr>
          <w:p w14:paraId="53376B0C" w14:textId="19E05EB5" w:rsidR="00D924EA" w:rsidRDefault="00D924EA">
            <w:pPr>
              <w:spacing w:after="0" w:line="240" w:lineRule="auto"/>
              <w:rPr>
                <w:rFonts w:ascii="Times New Roman" w:eastAsia="MS Mincho" w:hAnsi="Times New Roman" w:cs="Times New Roman"/>
                <w:noProof/>
                <w:sz w:val="18"/>
                <w:szCs w:val="18"/>
              </w:rPr>
            </w:pPr>
          </w:p>
        </w:tc>
        <w:tc>
          <w:tcPr>
            <w:tcW w:w="1134" w:type="dxa"/>
            <w:shd w:val="clear" w:color="auto" w:fill="C6EFCE"/>
            <w:noWrap/>
          </w:tcPr>
          <w:p w14:paraId="10128833" w14:textId="4F9DF3E9" w:rsidR="00D924EA" w:rsidRDefault="00D924EA">
            <w:pPr>
              <w:spacing w:after="0" w:line="240" w:lineRule="auto"/>
              <w:jc w:val="right"/>
              <w:rPr>
                <w:rFonts w:ascii="Times New Roman" w:eastAsia="MS Mincho" w:hAnsi="Times New Roman" w:cs="Times New Roman"/>
                <w:noProof/>
                <w:sz w:val="18"/>
                <w:szCs w:val="18"/>
              </w:rPr>
            </w:pPr>
          </w:p>
        </w:tc>
        <w:tc>
          <w:tcPr>
            <w:tcW w:w="748" w:type="dxa"/>
            <w:shd w:val="clear" w:color="auto" w:fill="C6EFCE"/>
            <w:noWrap/>
          </w:tcPr>
          <w:p w14:paraId="31FFC207" w14:textId="79A30749" w:rsidR="00D924EA" w:rsidRDefault="00D924EA">
            <w:pPr>
              <w:spacing w:after="0" w:line="240" w:lineRule="auto"/>
              <w:jc w:val="right"/>
              <w:rPr>
                <w:rFonts w:ascii="Times New Roman" w:eastAsia="MS Mincho" w:hAnsi="Times New Roman" w:cs="Times New Roman"/>
                <w:noProof/>
                <w:sz w:val="18"/>
                <w:szCs w:val="18"/>
              </w:rPr>
            </w:pPr>
          </w:p>
        </w:tc>
        <w:tc>
          <w:tcPr>
            <w:tcW w:w="415" w:type="dxa"/>
            <w:shd w:val="clear" w:color="auto" w:fill="C6EFCE"/>
            <w:noWrap/>
          </w:tcPr>
          <w:p w14:paraId="3BC3548B" w14:textId="1720D24F" w:rsidR="00D924EA" w:rsidRDefault="005701C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4F8F35B5" w14:textId="146FF382" w:rsidR="00D924EA" w:rsidRDefault="00011DE9">
            <w:pPr>
              <w:pStyle w:val="P68B1DB1-Normal23"/>
              <w:spacing w:after="0" w:line="240" w:lineRule="auto"/>
              <w:jc w:val="center"/>
              <w:rPr>
                <w:rFonts w:eastAsia="MS Mincho" w:cs="Times New Roman"/>
                <w:noProof/>
                <w:szCs w:val="18"/>
              </w:rPr>
            </w:pPr>
            <w:r>
              <w:rPr>
                <w:noProof/>
              </w:rPr>
              <w:t>2025</w:t>
            </w:r>
          </w:p>
        </w:tc>
        <w:tc>
          <w:tcPr>
            <w:tcW w:w="5236" w:type="dxa"/>
            <w:shd w:val="clear" w:color="auto" w:fill="C6EFCE"/>
            <w:noWrap/>
          </w:tcPr>
          <w:p w14:paraId="440C3918" w14:textId="64A0A043" w:rsidR="00D924EA" w:rsidRDefault="00011DE9">
            <w:pPr>
              <w:pStyle w:val="P68B1DB1-Normal24"/>
              <w:spacing w:after="0" w:line="240" w:lineRule="auto"/>
              <w:rPr>
                <w:rFonts w:cs="Times New Roman"/>
                <w:noProof/>
              </w:rPr>
            </w:pPr>
            <w:r>
              <w:rPr>
                <w:noProof/>
              </w:rPr>
              <w:t xml:space="preserve">Verificarea de către administrație a documentelor justificative pentru plățile aferente granturilor legate de construirea, renovarea sau recondiționarea infrastructurii sau de achiziționarea de echipamente sau de vehicule de dezinfectare în 244 centre de curățare și dezinfectare și centre de producție a materialelor de reproducere a plantelor. </w:t>
            </w:r>
          </w:p>
        </w:tc>
      </w:tr>
      <w:tr w:rsidR="00D924EA" w14:paraId="24CE08B4" w14:textId="77777777" w:rsidTr="0042520D">
        <w:trPr>
          <w:trHeight w:val="309"/>
          <w:jc w:val="center"/>
        </w:trPr>
        <w:tc>
          <w:tcPr>
            <w:tcW w:w="832" w:type="dxa"/>
            <w:shd w:val="clear" w:color="auto" w:fill="C6EFCE"/>
            <w:noWrap/>
          </w:tcPr>
          <w:p w14:paraId="5C988067" w14:textId="77777777" w:rsidR="00D924EA" w:rsidRDefault="00011DE9">
            <w:pPr>
              <w:pStyle w:val="P68B1DB1-Normal23"/>
              <w:spacing w:after="0" w:line="240" w:lineRule="auto"/>
              <w:jc w:val="center"/>
              <w:rPr>
                <w:rFonts w:cs="Times New Roman"/>
                <w:noProof/>
                <w:szCs w:val="18"/>
              </w:rPr>
            </w:pPr>
            <w:r>
              <w:rPr>
                <w:noProof/>
              </w:rPr>
              <w:t>51</w:t>
            </w:r>
          </w:p>
        </w:tc>
        <w:tc>
          <w:tcPr>
            <w:tcW w:w="829" w:type="dxa"/>
            <w:shd w:val="clear" w:color="auto" w:fill="C6EFCE"/>
            <w:noWrap/>
          </w:tcPr>
          <w:p w14:paraId="6182DC83" w14:textId="77777777" w:rsidR="00D924EA" w:rsidRDefault="00011DE9">
            <w:pPr>
              <w:pStyle w:val="P68B1DB1-Normal23"/>
              <w:spacing w:after="0" w:line="240" w:lineRule="auto"/>
              <w:jc w:val="center"/>
              <w:rPr>
                <w:rFonts w:cs="Times New Roman"/>
                <w:noProof/>
                <w:szCs w:val="18"/>
              </w:rPr>
            </w:pPr>
            <w:r>
              <w:rPr>
                <w:noProof/>
              </w:rPr>
              <w:t>C3.I4</w:t>
            </w:r>
          </w:p>
        </w:tc>
        <w:tc>
          <w:tcPr>
            <w:tcW w:w="1051" w:type="dxa"/>
            <w:shd w:val="clear" w:color="auto" w:fill="C6EFCE"/>
            <w:noWrap/>
          </w:tcPr>
          <w:p w14:paraId="74527969" w14:textId="77777777" w:rsidR="00D924EA" w:rsidRDefault="00011DE9">
            <w:pPr>
              <w:pStyle w:val="P68B1DB1-Normal23"/>
              <w:spacing w:after="0" w:line="240" w:lineRule="auto"/>
              <w:jc w:val="center"/>
              <w:rPr>
                <w:rFonts w:cs="Times New Roman"/>
                <w:noProof/>
                <w:szCs w:val="18"/>
              </w:rPr>
            </w:pPr>
            <w:r>
              <w:rPr>
                <w:noProof/>
              </w:rPr>
              <w:t>T</w:t>
            </w:r>
          </w:p>
        </w:tc>
        <w:tc>
          <w:tcPr>
            <w:tcW w:w="2670" w:type="dxa"/>
            <w:shd w:val="clear" w:color="auto" w:fill="C6EFCE"/>
            <w:noWrap/>
          </w:tcPr>
          <w:p w14:paraId="1B089999" w14:textId="77777777" w:rsidR="00D924EA" w:rsidRDefault="00011DE9">
            <w:pPr>
              <w:pStyle w:val="P68B1DB1-Normal23"/>
              <w:spacing w:after="0" w:line="240" w:lineRule="auto"/>
              <w:rPr>
                <w:rFonts w:cs="Times New Roman"/>
                <w:noProof/>
                <w:szCs w:val="18"/>
              </w:rPr>
            </w:pPr>
            <w:r>
              <w:rPr>
                <w:noProof/>
              </w:rPr>
              <w:t xml:space="preserve">Plan de investiții pentru promovarea sustenabilității și competitivității agriculturii și a creșterii animalelor </w:t>
            </w:r>
          </w:p>
        </w:tc>
        <w:tc>
          <w:tcPr>
            <w:tcW w:w="1276" w:type="dxa"/>
            <w:shd w:val="clear" w:color="auto" w:fill="C6EFCE"/>
            <w:noWrap/>
          </w:tcPr>
          <w:p w14:paraId="33F93E27" w14:textId="77777777" w:rsidR="00D924EA" w:rsidRDefault="00D924EA">
            <w:pPr>
              <w:spacing w:after="0" w:line="240" w:lineRule="auto"/>
              <w:jc w:val="center"/>
              <w:rPr>
                <w:rFonts w:ascii="Times New Roman" w:eastAsia="MS Mincho" w:hAnsi="Times New Roman" w:cs="Times New Roman"/>
                <w:noProof/>
                <w:sz w:val="18"/>
                <w:szCs w:val="18"/>
              </w:rPr>
            </w:pPr>
          </w:p>
        </w:tc>
        <w:tc>
          <w:tcPr>
            <w:tcW w:w="708" w:type="dxa"/>
            <w:shd w:val="clear" w:color="auto" w:fill="C6EFCE"/>
            <w:noWrap/>
          </w:tcPr>
          <w:p w14:paraId="7BD22127" w14:textId="77777777" w:rsidR="00D924EA" w:rsidRDefault="00011DE9">
            <w:pPr>
              <w:pStyle w:val="P68B1DB1-Normal23"/>
              <w:spacing w:after="0" w:line="240" w:lineRule="auto"/>
              <w:rPr>
                <w:rFonts w:cs="Times New Roman"/>
                <w:noProof/>
                <w:szCs w:val="18"/>
              </w:rPr>
            </w:pPr>
            <w:r>
              <w:rPr>
                <w:noProof/>
              </w:rPr>
              <w:t>Milioane EUR</w:t>
            </w:r>
          </w:p>
        </w:tc>
        <w:tc>
          <w:tcPr>
            <w:tcW w:w="1134" w:type="dxa"/>
            <w:shd w:val="clear" w:color="auto" w:fill="C6EFCE"/>
            <w:noWrap/>
          </w:tcPr>
          <w:p w14:paraId="474EBDD8" w14:textId="77777777" w:rsidR="00D924EA" w:rsidRDefault="00011DE9">
            <w:pPr>
              <w:pStyle w:val="P68B1DB1-Normal23"/>
              <w:spacing w:after="0" w:line="240" w:lineRule="auto"/>
              <w:jc w:val="right"/>
              <w:rPr>
                <w:rFonts w:cs="Times New Roman"/>
                <w:noProof/>
                <w:szCs w:val="18"/>
              </w:rPr>
            </w:pPr>
            <w:r>
              <w:rPr>
                <w:noProof/>
              </w:rPr>
              <w:t>0</w:t>
            </w:r>
          </w:p>
        </w:tc>
        <w:tc>
          <w:tcPr>
            <w:tcW w:w="748" w:type="dxa"/>
            <w:shd w:val="clear" w:color="auto" w:fill="C6EFCE"/>
            <w:noWrap/>
          </w:tcPr>
          <w:p w14:paraId="32D5D7DE" w14:textId="77777777" w:rsidR="00D924EA" w:rsidRDefault="00011DE9">
            <w:pPr>
              <w:pStyle w:val="P68B1DB1-Normal23"/>
              <w:spacing w:after="0" w:line="240" w:lineRule="auto"/>
              <w:jc w:val="right"/>
              <w:rPr>
                <w:rFonts w:cs="Times New Roman"/>
                <w:noProof/>
                <w:szCs w:val="18"/>
              </w:rPr>
            </w:pPr>
            <w:r>
              <w:rPr>
                <w:noProof/>
              </w:rPr>
              <w:t>307</w:t>
            </w:r>
          </w:p>
        </w:tc>
        <w:tc>
          <w:tcPr>
            <w:tcW w:w="415" w:type="dxa"/>
            <w:shd w:val="clear" w:color="auto" w:fill="C6EFCE"/>
            <w:noWrap/>
          </w:tcPr>
          <w:p w14:paraId="50C735AA" w14:textId="33B1532B" w:rsidR="00D924EA" w:rsidRDefault="005701C9">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0562A8AE" w14:textId="77777777" w:rsidR="00D924EA" w:rsidRDefault="00011DE9">
            <w:pPr>
              <w:pStyle w:val="P68B1DB1-Normal23"/>
              <w:spacing w:after="0" w:line="240" w:lineRule="auto"/>
              <w:jc w:val="center"/>
              <w:rPr>
                <w:rFonts w:cs="Times New Roman"/>
                <w:noProof/>
                <w:szCs w:val="18"/>
              </w:rPr>
            </w:pPr>
            <w:r>
              <w:rPr>
                <w:noProof/>
              </w:rPr>
              <w:t>2022</w:t>
            </w:r>
          </w:p>
        </w:tc>
        <w:tc>
          <w:tcPr>
            <w:tcW w:w="5236" w:type="dxa"/>
            <w:shd w:val="clear" w:color="auto" w:fill="C6EFCE"/>
            <w:noWrap/>
          </w:tcPr>
          <w:p w14:paraId="34EDE098" w14:textId="77777777" w:rsidR="00D924EA" w:rsidRDefault="00011DE9">
            <w:pPr>
              <w:pStyle w:val="P68B1DB1-Normal29"/>
              <w:spacing w:after="0" w:line="240" w:lineRule="auto"/>
              <w:rPr>
                <w:rFonts w:cs="Times New Roman"/>
                <w:noProof/>
                <w:sz w:val="18"/>
                <w:szCs w:val="18"/>
              </w:rPr>
            </w:pPr>
            <w:r>
              <w:rPr>
                <w:noProof/>
                <w:sz w:val="18"/>
              </w:rPr>
              <w:t>Finalizarea planului de investiții pentru promovarea sustenabilității și competitivității activităților agricole și de creștere a animalelor în agricultura de precizie, eficiența energetică și economia circulară (execuție bugetară de</w:t>
            </w:r>
            <w:r>
              <w:rPr>
                <w:noProof/>
                <w:sz w:val="20"/>
              </w:rPr>
              <w:t xml:space="preserve"> </w:t>
            </w:r>
            <w:r>
              <w:rPr>
                <w:noProof/>
                <w:sz w:val="18"/>
              </w:rPr>
              <w:t>307</w:t>
            </w:r>
            <w:r>
              <w:rPr>
                <w:noProof/>
                <w:sz w:val="20"/>
              </w:rPr>
              <w:t xml:space="preserve"> </w:t>
            </w:r>
            <w:r>
              <w:rPr>
                <w:noProof/>
                <w:sz w:val="18"/>
              </w:rPr>
              <w:t>000</w:t>
            </w:r>
            <w:r>
              <w:rPr>
                <w:noProof/>
                <w:sz w:val="20"/>
              </w:rPr>
              <w:t xml:space="preserve"> </w:t>
            </w:r>
            <w:r>
              <w:rPr>
                <w:noProof/>
                <w:sz w:val="18"/>
              </w:rPr>
              <w:t xml:space="preserve">000 EUR). Bazele de reglementare stabilesc cine sunt beneficiarii, cerințele pe care aceștia trebuie să le îndeplinească, tipul de investiții eligibile și criteriile de eligibilitate pentru investiții în: agricultura de precizie, eficiența energetică, economia circulară și utilizarea energiei din surse regenerabile. </w:t>
            </w:r>
          </w:p>
        </w:tc>
      </w:tr>
      <w:tr w:rsidR="00D924EA" w14:paraId="20F63577" w14:textId="77777777" w:rsidTr="0042520D">
        <w:trPr>
          <w:trHeight w:val="309"/>
          <w:jc w:val="center"/>
        </w:trPr>
        <w:tc>
          <w:tcPr>
            <w:tcW w:w="832" w:type="dxa"/>
            <w:shd w:val="clear" w:color="auto" w:fill="C6EFCE"/>
            <w:noWrap/>
          </w:tcPr>
          <w:p w14:paraId="0F30A0EF" w14:textId="77777777" w:rsidR="00D924EA" w:rsidRDefault="00011DE9">
            <w:pPr>
              <w:pStyle w:val="P68B1DB1-Normal23"/>
              <w:spacing w:after="0" w:line="240" w:lineRule="auto"/>
              <w:jc w:val="center"/>
              <w:rPr>
                <w:rFonts w:eastAsia="MS Mincho" w:cs="Times New Roman"/>
                <w:noProof/>
                <w:szCs w:val="18"/>
              </w:rPr>
            </w:pPr>
            <w:r>
              <w:rPr>
                <w:noProof/>
              </w:rPr>
              <w:t>52</w:t>
            </w:r>
          </w:p>
        </w:tc>
        <w:tc>
          <w:tcPr>
            <w:tcW w:w="829" w:type="dxa"/>
            <w:shd w:val="clear" w:color="auto" w:fill="C6EFCE"/>
            <w:noWrap/>
          </w:tcPr>
          <w:p w14:paraId="579AA57F" w14:textId="77777777" w:rsidR="00D924EA" w:rsidRDefault="00011DE9">
            <w:pPr>
              <w:pStyle w:val="P68B1DB1-Normal23"/>
              <w:spacing w:after="0" w:line="240" w:lineRule="auto"/>
              <w:jc w:val="center"/>
              <w:rPr>
                <w:rFonts w:eastAsia="MS Mincho" w:cs="Times New Roman"/>
                <w:noProof/>
                <w:szCs w:val="18"/>
              </w:rPr>
            </w:pPr>
            <w:r>
              <w:rPr>
                <w:noProof/>
              </w:rPr>
              <w:t>C3.I4</w:t>
            </w:r>
          </w:p>
        </w:tc>
        <w:tc>
          <w:tcPr>
            <w:tcW w:w="1051" w:type="dxa"/>
            <w:shd w:val="clear" w:color="auto" w:fill="C6EFCE"/>
            <w:noWrap/>
          </w:tcPr>
          <w:p w14:paraId="62CBED93" w14:textId="6ADAEC10" w:rsidR="00D924EA" w:rsidRDefault="00011DE9">
            <w:pPr>
              <w:pStyle w:val="P68B1DB1-Normal23"/>
              <w:spacing w:after="0" w:line="240" w:lineRule="auto"/>
              <w:jc w:val="center"/>
              <w:rPr>
                <w:rFonts w:eastAsia="MS Mincho" w:cs="Times New Roman"/>
                <w:noProof/>
                <w:szCs w:val="18"/>
              </w:rPr>
            </w:pPr>
            <w:r>
              <w:rPr>
                <w:noProof/>
              </w:rPr>
              <w:t>M</w:t>
            </w:r>
          </w:p>
        </w:tc>
        <w:tc>
          <w:tcPr>
            <w:tcW w:w="2670" w:type="dxa"/>
            <w:shd w:val="clear" w:color="auto" w:fill="C6EFCE"/>
            <w:noWrap/>
          </w:tcPr>
          <w:p w14:paraId="44660495" w14:textId="5B8981BA" w:rsidR="00D924EA" w:rsidRDefault="00011DE9">
            <w:pPr>
              <w:pStyle w:val="P68B1DB1-Normal24"/>
              <w:spacing w:after="0" w:line="240" w:lineRule="auto"/>
              <w:rPr>
                <w:rFonts w:eastAsia="MS Mincho" w:cs="Times New Roman"/>
                <w:noProof/>
              </w:rPr>
            </w:pPr>
            <w:r>
              <w:rPr>
                <w:noProof/>
              </w:rPr>
              <w:t>Proiecte pentru agricultura de precizie, eficiența energetică, economia circulară sau utilizarea energiei din surse regenerabile</w:t>
            </w:r>
            <w:r w:rsidR="00971820">
              <w:rPr>
                <w:noProof/>
              </w:rPr>
              <w:t xml:space="preserve"> </w:t>
            </w:r>
          </w:p>
        </w:tc>
        <w:tc>
          <w:tcPr>
            <w:tcW w:w="1276" w:type="dxa"/>
            <w:shd w:val="clear" w:color="auto" w:fill="C6EFCE"/>
            <w:noWrap/>
          </w:tcPr>
          <w:p w14:paraId="18CA9C5A" w14:textId="77777777" w:rsidR="00D924EA" w:rsidRDefault="00011DE9">
            <w:pPr>
              <w:pStyle w:val="P68B1DB1-Normal32"/>
              <w:spacing w:after="0" w:line="240" w:lineRule="auto"/>
              <w:jc w:val="center"/>
              <w:rPr>
                <w:noProof/>
              </w:rPr>
            </w:pPr>
            <w:r>
              <w:rPr>
                <w:noProof/>
              </w:rPr>
              <w:t>Verificarea de către administrație</w:t>
            </w:r>
          </w:p>
        </w:tc>
        <w:tc>
          <w:tcPr>
            <w:tcW w:w="708" w:type="dxa"/>
            <w:shd w:val="clear" w:color="auto" w:fill="C6EFCE"/>
            <w:noWrap/>
          </w:tcPr>
          <w:p w14:paraId="2FDCE277" w14:textId="50E0FEB5" w:rsidR="00D924EA" w:rsidRDefault="00D924EA">
            <w:pPr>
              <w:spacing w:after="0" w:line="240" w:lineRule="auto"/>
              <w:jc w:val="right"/>
              <w:rPr>
                <w:rFonts w:ascii="Times New Roman" w:eastAsia="MS Mincho" w:hAnsi="Times New Roman" w:cs="Times New Roman"/>
                <w:noProof/>
                <w:sz w:val="18"/>
                <w:szCs w:val="18"/>
              </w:rPr>
            </w:pPr>
          </w:p>
        </w:tc>
        <w:tc>
          <w:tcPr>
            <w:tcW w:w="1134" w:type="dxa"/>
            <w:shd w:val="clear" w:color="auto" w:fill="C6EFCE"/>
            <w:noWrap/>
          </w:tcPr>
          <w:p w14:paraId="47E8CACB" w14:textId="62983F37" w:rsidR="00D924EA" w:rsidRDefault="00D924EA">
            <w:pPr>
              <w:spacing w:after="0" w:line="240" w:lineRule="auto"/>
              <w:jc w:val="right"/>
              <w:rPr>
                <w:rFonts w:ascii="Times New Roman" w:eastAsia="MS Mincho" w:hAnsi="Times New Roman" w:cs="Times New Roman"/>
                <w:noProof/>
                <w:sz w:val="18"/>
                <w:szCs w:val="18"/>
              </w:rPr>
            </w:pPr>
          </w:p>
        </w:tc>
        <w:tc>
          <w:tcPr>
            <w:tcW w:w="748" w:type="dxa"/>
            <w:shd w:val="clear" w:color="auto" w:fill="C6EFCE"/>
            <w:noWrap/>
          </w:tcPr>
          <w:p w14:paraId="48B8A63C" w14:textId="2E9FA88E" w:rsidR="00D924EA" w:rsidRDefault="00D924EA">
            <w:pPr>
              <w:spacing w:after="0" w:line="240" w:lineRule="auto"/>
              <w:jc w:val="right"/>
              <w:rPr>
                <w:rFonts w:ascii="Times New Roman" w:eastAsia="MS Mincho" w:hAnsi="Times New Roman" w:cs="Times New Roman"/>
                <w:noProof/>
                <w:sz w:val="18"/>
                <w:szCs w:val="18"/>
              </w:rPr>
            </w:pPr>
          </w:p>
        </w:tc>
        <w:tc>
          <w:tcPr>
            <w:tcW w:w="415" w:type="dxa"/>
            <w:shd w:val="clear" w:color="auto" w:fill="C6EFCE"/>
            <w:noWrap/>
          </w:tcPr>
          <w:p w14:paraId="6ECE397D" w14:textId="37DB978C" w:rsidR="00D924EA" w:rsidRDefault="005701C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78806D9D" w14:textId="77777777" w:rsidR="00D924EA" w:rsidRDefault="00011DE9">
            <w:pPr>
              <w:pStyle w:val="P68B1DB1-Normal23"/>
              <w:spacing w:after="0" w:line="240" w:lineRule="auto"/>
              <w:jc w:val="center"/>
              <w:rPr>
                <w:rFonts w:eastAsia="MS Mincho" w:cs="Times New Roman"/>
                <w:noProof/>
                <w:szCs w:val="18"/>
              </w:rPr>
            </w:pPr>
            <w:r>
              <w:rPr>
                <w:noProof/>
              </w:rPr>
              <w:t>2026</w:t>
            </w:r>
          </w:p>
        </w:tc>
        <w:tc>
          <w:tcPr>
            <w:tcW w:w="5236" w:type="dxa"/>
            <w:shd w:val="clear" w:color="auto" w:fill="C6EFCE"/>
            <w:noWrap/>
          </w:tcPr>
          <w:p w14:paraId="71FA0DF4" w14:textId="4A74A384" w:rsidR="00D924EA" w:rsidRDefault="00011DE9">
            <w:pPr>
              <w:pStyle w:val="P68B1DB1-Normal29"/>
              <w:spacing w:after="0" w:line="240" w:lineRule="auto"/>
              <w:rPr>
                <w:rFonts w:eastAsia="MS Mincho" w:cs="Times New Roman"/>
                <w:noProof/>
                <w:sz w:val="18"/>
                <w:szCs w:val="18"/>
              </w:rPr>
            </w:pPr>
            <w:r>
              <w:rPr>
                <w:noProof/>
                <w:sz w:val="18"/>
                <w:szCs w:val="18"/>
              </w:rPr>
              <w:t>Verificarea de către administrație a justificării documentare a plăților aferente granturilor pentru un total de 5</w:t>
            </w:r>
            <w:r>
              <w:rPr>
                <w:noProof/>
                <w:sz w:val="20"/>
                <w:szCs w:val="20"/>
              </w:rPr>
              <w:t xml:space="preserve"> </w:t>
            </w:r>
            <w:r>
              <w:rPr>
                <w:noProof/>
                <w:sz w:val="18"/>
                <w:szCs w:val="18"/>
              </w:rPr>
              <w:t xml:space="preserve">000 de proiecte pentru agricultura de precizie, eficiența energetică, economia circulară sau utilizarea energiei din surse regenerabile. </w:t>
            </w:r>
          </w:p>
        </w:tc>
      </w:tr>
      <w:tr w:rsidR="00D924EA" w14:paraId="4293071E" w14:textId="77777777" w:rsidTr="0042520D">
        <w:trPr>
          <w:trHeight w:val="309"/>
          <w:jc w:val="center"/>
        </w:trPr>
        <w:tc>
          <w:tcPr>
            <w:tcW w:w="832" w:type="dxa"/>
            <w:shd w:val="clear" w:color="auto" w:fill="C6EFCE"/>
            <w:noWrap/>
          </w:tcPr>
          <w:p w14:paraId="206DD865" w14:textId="77777777" w:rsidR="00D924EA" w:rsidRDefault="00011DE9">
            <w:pPr>
              <w:pStyle w:val="P68B1DB1-Normal23"/>
              <w:spacing w:after="0" w:line="240" w:lineRule="auto"/>
              <w:jc w:val="center"/>
              <w:rPr>
                <w:rFonts w:eastAsia="MS Mincho" w:cs="Times New Roman"/>
                <w:noProof/>
                <w:szCs w:val="18"/>
              </w:rPr>
            </w:pPr>
            <w:r>
              <w:rPr>
                <w:noProof/>
              </w:rPr>
              <w:t>53</w:t>
            </w:r>
          </w:p>
        </w:tc>
        <w:tc>
          <w:tcPr>
            <w:tcW w:w="829" w:type="dxa"/>
            <w:shd w:val="clear" w:color="auto" w:fill="C6EFCE"/>
            <w:noWrap/>
          </w:tcPr>
          <w:p w14:paraId="31135D14" w14:textId="77777777" w:rsidR="00D924EA" w:rsidRDefault="00011DE9">
            <w:pPr>
              <w:pStyle w:val="P68B1DB1-Normal23"/>
              <w:spacing w:after="0" w:line="240" w:lineRule="auto"/>
              <w:jc w:val="center"/>
              <w:rPr>
                <w:rFonts w:eastAsia="MS Mincho" w:cs="Times New Roman"/>
                <w:noProof/>
                <w:szCs w:val="18"/>
              </w:rPr>
            </w:pPr>
            <w:r>
              <w:rPr>
                <w:noProof/>
              </w:rPr>
              <w:t>C3.I5</w:t>
            </w:r>
          </w:p>
        </w:tc>
        <w:tc>
          <w:tcPr>
            <w:tcW w:w="1051" w:type="dxa"/>
            <w:shd w:val="clear" w:color="auto" w:fill="C6EFCE"/>
            <w:noWrap/>
          </w:tcPr>
          <w:p w14:paraId="4EE69F8E" w14:textId="77777777" w:rsidR="00D924EA" w:rsidRDefault="00011DE9">
            <w:pPr>
              <w:pStyle w:val="P68B1DB1-Normal23"/>
              <w:spacing w:after="0" w:line="240" w:lineRule="auto"/>
              <w:jc w:val="center"/>
              <w:rPr>
                <w:rFonts w:eastAsia="MS Mincho" w:cs="Times New Roman"/>
                <w:noProof/>
                <w:szCs w:val="18"/>
              </w:rPr>
            </w:pPr>
            <w:r>
              <w:rPr>
                <w:noProof/>
              </w:rPr>
              <w:t>T</w:t>
            </w:r>
          </w:p>
        </w:tc>
        <w:tc>
          <w:tcPr>
            <w:tcW w:w="2670" w:type="dxa"/>
            <w:shd w:val="clear" w:color="auto" w:fill="C6EFCE"/>
            <w:noWrap/>
          </w:tcPr>
          <w:p w14:paraId="0083FBE2" w14:textId="77777777" w:rsidR="00D924EA" w:rsidRDefault="00011DE9">
            <w:pPr>
              <w:pStyle w:val="P68B1DB1-Normal23"/>
              <w:spacing w:after="0" w:line="240" w:lineRule="auto"/>
              <w:rPr>
                <w:rFonts w:eastAsia="MS Mincho" w:cs="Times New Roman"/>
                <w:noProof/>
                <w:szCs w:val="18"/>
              </w:rPr>
            </w:pPr>
            <w:r>
              <w:rPr>
                <w:noProof/>
              </w:rPr>
              <w:t>Semnarea acordurilor contractuale între Ministerul Agriculturii, Pescuitului și Alimentației (MAPA) și ENISA</w:t>
            </w:r>
          </w:p>
        </w:tc>
        <w:tc>
          <w:tcPr>
            <w:tcW w:w="1276" w:type="dxa"/>
            <w:shd w:val="clear" w:color="auto" w:fill="C6EFCE"/>
            <w:noWrap/>
          </w:tcPr>
          <w:p w14:paraId="6262B2CA" w14:textId="77777777" w:rsidR="00D924EA" w:rsidRDefault="00D924EA">
            <w:pPr>
              <w:spacing w:after="0" w:line="240" w:lineRule="auto"/>
              <w:jc w:val="center"/>
              <w:rPr>
                <w:rFonts w:ascii="Times New Roman" w:eastAsia="MS Mincho" w:hAnsi="Times New Roman" w:cs="Times New Roman"/>
                <w:noProof/>
                <w:sz w:val="18"/>
                <w:szCs w:val="18"/>
              </w:rPr>
            </w:pPr>
          </w:p>
        </w:tc>
        <w:tc>
          <w:tcPr>
            <w:tcW w:w="708" w:type="dxa"/>
            <w:shd w:val="clear" w:color="auto" w:fill="C6EFCE"/>
            <w:noWrap/>
          </w:tcPr>
          <w:p w14:paraId="7F71D73B" w14:textId="77777777" w:rsidR="00D924EA" w:rsidRDefault="00011DE9">
            <w:pPr>
              <w:pStyle w:val="P68B1DB1-Normal23"/>
              <w:spacing w:after="0" w:line="240" w:lineRule="auto"/>
              <w:rPr>
                <w:rFonts w:eastAsia="MS Mincho" w:cs="Times New Roman"/>
                <w:noProof/>
                <w:szCs w:val="18"/>
              </w:rPr>
            </w:pPr>
            <w:r>
              <w:rPr>
                <w:noProof/>
              </w:rPr>
              <w:t>Milioane EUR</w:t>
            </w:r>
          </w:p>
        </w:tc>
        <w:tc>
          <w:tcPr>
            <w:tcW w:w="1134" w:type="dxa"/>
            <w:shd w:val="clear" w:color="auto" w:fill="C6EFCE"/>
            <w:noWrap/>
          </w:tcPr>
          <w:p w14:paraId="4D5AF4A9" w14:textId="77777777" w:rsidR="00D924EA" w:rsidRDefault="00011DE9">
            <w:pPr>
              <w:pStyle w:val="P68B1DB1-Normal23"/>
              <w:spacing w:after="0" w:line="240" w:lineRule="auto"/>
              <w:jc w:val="right"/>
              <w:rPr>
                <w:rFonts w:eastAsia="MS Mincho" w:cs="Times New Roman"/>
                <w:noProof/>
                <w:szCs w:val="18"/>
              </w:rPr>
            </w:pPr>
            <w:r>
              <w:rPr>
                <w:noProof/>
              </w:rPr>
              <w:t>0</w:t>
            </w:r>
          </w:p>
        </w:tc>
        <w:tc>
          <w:tcPr>
            <w:tcW w:w="748" w:type="dxa"/>
            <w:shd w:val="clear" w:color="auto" w:fill="C6EFCE"/>
            <w:noWrap/>
          </w:tcPr>
          <w:p w14:paraId="3568C58C" w14:textId="77777777" w:rsidR="00D924EA" w:rsidRDefault="00011DE9">
            <w:pPr>
              <w:pStyle w:val="P68B1DB1-Normal23"/>
              <w:spacing w:after="0" w:line="240" w:lineRule="auto"/>
              <w:jc w:val="right"/>
              <w:rPr>
                <w:rFonts w:eastAsia="MS Mincho" w:cs="Times New Roman"/>
                <w:noProof/>
                <w:szCs w:val="18"/>
              </w:rPr>
            </w:pPr>
            <w:r>
              <w:rPr>
                <w:noProof/>
              </w:rPr>
              <w:t>30</w:t>
            </w:r>
          </w:p>
        </w:tc>
        <w:tc>
          <w:tcPr>
            <w:tcW w:w="415" w:type="dxa"/>
            <w:shd w:val="clear" w:color="auto" w:fill="C6EFCE"/>
            <w:noWrap/>
          </w:tcPr>
          <w:p w14:paraId="0F6F50A6" w14:textId="1B30A158" w:rsidR="00D924EA" w:rsidRDefault="005701C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3C759A0A" w14:textId="77777777" w:rsidR="00D924EA" w:rsidRDefault="00011DE9">
            <w:pPr>
              <w:pStyle w:val="P68B1DB1-Normal23"/>
              <w:spacing w:after="0" w:line="240" w:lineRule="auto"/>
              <w:jc w:val="center"/>
              <w:rPr>
                <w:rFonts w:eastAsia="MS Mincho" w:cs="Times New Roman"/>
                <w:noProof/>
                <w:szCs w:val="18"/>
              </w:rPr>
            </w:pPr>
            <w:r>
              <w:rPr>
                <w:noProof/>
              </w:rPr>
              <w:t>2023</w:t>
            </w:r>
          </w:p>
        </w:tc>
        <w:tc>
          <w:tcPr>
            <w:tcW w:w="5236" w:type="dxa"/>
            <w:shd w:val="clear" w:color="auto" w:fill="C6EFCE"/>
            <w:noWrap/>
          </w:tcPr>
          <w:p w14:paraId="06A35225" w14:textId="77777777" w:rsidR="00D924EA" w:rsidRDefault="00011DE9">
            <w:pPr>
              <w:pStyle w:val="P68B1DB1-Normal29"/>
              <w:spacing w:after="0" w:line="240" w:lineRule="auto"/>
              <w:rPr>
                <w:rFonts w:eastAsia="MS Mincho" w:cs="Times New Roman"/>
                <w:noProof/>
                <w:sz w:val="18"/>
                <w:szCs w:val="18"/>
              </w:rPr>
            </w:pPr>
            <w:r>
              <w:rPr>
                <w:noProof/>
                <w:sz w:val="18"/>
              </w:rPr>
              <w:t>Semnarea a trei acorduri contractuale (unul pe an) între Ministerul Agriculturii, Pescuitului și Alimentației (MAPA) și ENISA pentru a sprijini transformarea digitală a IMM-urilor din sectorul agroalimentar printr-o linie de sprijin pentru antreprenoriatul inovator sau bazat pe tehnologie în sectorul agroalimentar spaniol (execuție bugetară: 30</w:t>
            </w:r>
            <w:r>
              <w:rPr>
                <w:noProof/>
                <w:sz w:val="20"/>
              </w:rPr>
              <w:t xml:space="preserve"> </w:t>
            </w:r>
            <w:r>
              <w:rPr>
                <w:noProof/>
                <w:sz w:val="18"/>
              </w:rPr>
              <w:t>000</w:t>
            </w:r>
            <w:r>
              <w:rPr>
                <w:noProof/>
                <w:sz w:val="20"/>
              </w:rPr>
              <w:t xml:space="preserve"> </w:t>
            </w:r>
            <w:r>
              <w:rPr>
                <w:noProof/>
                <w:sz w:val="18"/>
              </w:rPr>
              <w:t>000 EUR; 10</w:t>
            </w:r>
            <w:r>
              <w:rPr>
                <w:noProof/>
                <w:sz w:val="20"/>
              </w:rPr>
              <w:t xml:space="preserve"> </w:t>
            </w:r>
            <w:r>
              <w:rPr>
                <w:noProof/>
                <w:sz w:val="18"/>
              </w:rPr>
              <w:t>000</w:t>
            </w:r>
            <w:r>
              <w:rPr>
                <w:noProof/>
                <w:sz w:val="20"/>
              </w:rPr>
              <w:t xml:space="preserve"> </w:t>
            </w:r>
            <w:r>
              <w:rPr>
                <w:noProof/>
                <w:sz w:val="18"/>
              </w:rPr>
              <w:t xml:space="preserve">000 EUR pe an). Acordurile de colaborare dintre Ministerul Agriculturii, Pescuitului și Alimentației și ENISA stabilesc condițiile liniei antreprenoriale bazate pe tehnologie pentru a sprijini IMM-urile din sectorul agroalimentar care prezintă proiecte de afaceri inovatoare și digitale, prin acordarea de împrumuturi participative, politica de investiții și criteriile de eligibilitate. Acordurile menționate anterior trebuie să includă o clauză care să garanteze că investițiile efectuate cu această finanțare respectă Orientările tehnice de „a nu prejudicia în mod semnificativ” (2021/C58/01) ale tranzacțiilor care beneficiază de sprijin în cadrul acestei măsuri prin utilizarea evaluării durabilității, a unei liste de excludere și a cerinței de conformitate cu legislația UE și națională relevantă în materie de mediu. Obiectivul acestei investiții este de a răspunde mai multor obiective ale strategiei spaniole pentru digitalizarea sectorului agroalimentar și a mediului rural, precum și ale planurilor sale de acțiune. </w:t>
            </w:r>
          </w:p>
        </w:tc>
      </w:tr>
      <w:tr w:rsidR="00D924EA" w14:paraId="333B0DB8" w14:textId="77777777" w:rsidTr="0042520D">
        <w:trPr>
          <w:trHeight w:val="309"/>
          <w:jc w:val="center"/>
        </w:trPr>
        <w:tc>
          <w:tcPr>
            <w:tcW w:w="832" w:type="dxa"/>
            <w:shd w:val="clear" w:color="auto" w:fill="C6EFCE"/>
            <w:noWrap/>
          </w:tcPr>
          <w:p w14:paraId="1D84F426" w14:textId="77777777" w:rsidR="00D924EA" w:rsidRDefault="00011DE9">
            <w:pPr>
              <w:pStyle w:val="P68B1DB1-Normal23"/>
              <w:spacing w:after="0" w:line="240" w:lineRule="auto"/>
              <w:jc w:val="center"/>
              <w:rPr>
                <w:rFonts w:eastAsia="MS Mincho" w:cs="Times New Roman"/>
                <w:noProof/>
                <w:szCs w:val="18"/>
              </w:rPr>
            </w:pPr>
            <w:r>
              <w:rPr>
                <w:noProof/>
              </w:rPr>
              <w:t>54</w:t>
            </w:r>
          </w:p>
        </w:tc>
        <w:tc>
          <w:tcPr>
            <w:tcW w:w="829" w:type="dxa"/>
            <w:shd w:val="clear" w:color="auto" w:fill="C6EFCE"/>
            <w:noWrap/>
          </w:tcPr>
          <w:p w14:paraId="10971F03" w14:textId="77777777" w:rsidR="00D924EA" w:rsidRDefault="00011DE9">
            <w:pPr>
              <w:pStyle w:val="P68B1DB1-Normal23"/>
              <w:spacing w:after="0" w:line="240" w:lineRule="auto"/>
              <w:jc w:val="center"/>
              <w:rPr>
                <w:rFonts w:eastAsia="MS Mincho" w:cs="Times New Roman"/>
                <w:noProof/>
                <w:szCs w:val="18"/>
              </w:rPr>
            </w:pPr>
            <w:r>
              <w:rPr>
                <w:noProof/>
              </w:rPr>
              <w:t>C3.I5</w:t>
            </w:r>
          </w:p>
        </w:tc>
        <w:tc>
          <w:tcPr>
            <w:tcW w:w="1051" w:type="dxa"/>
            <w:shd w:val="clear" w:color="auto" w:fill="C6EFCE"/>
            <w:noWrap/>
          </w:tcPr>
          <w:p w14:paraId="108D7B54" w14:textId="77777777" w:rsidR="00D924EA" w:rsidRDefault="00011DE9">
            <w:pPr>
              <w:pStyle w:val="P68B1DB1-Normal23"/>
              <w:spacing w:after="0" w:line="240" w:lineRule="auto"/>
              <w:jc w:val="center"/>
              <w:rPr>
                <w:rFonts w:eastAsia="MS Mincho" w:cs="Times New Roman"/>
                <w:noProof/>
                <w:szCs w:val="18"/>
              </w:rPr>
            </w:pPr>
            <w:r>
              <w:rPr>
                <w:noProof/>
              </w:rPr>
              <w:t>T</w:t>
            </w:r>
          </w:p>
        </w:tc>
        <w:tc>
          <w:tcPr>
            <w:tcW w:w="2670" w:type="dxa"/>
            <w:shd w:val="clear" w:color="auto" w:fill="C6EFCE"/>
            <w:noWrap/>
          </w:tcPr>
          <w:p w14:paraId="1EC0F2B3" w14:textId="77777777" w:rsidR="00D924EA" w:rsidRDefault="00011DE9">
            <w:pPr>
              <w:pStyle w:val="P68B1DB1-Normal23"/>
              <w:spacing w:after="0" w:line="240" w:lineRule="auto"/>
              <w:rPr>
                <w:rFonts w:eastAsia="MS Mincho" w:cs="Times New Roman"/>
                <w:noProof/>
                <w:szCs w:val="18"/>
              </w:rPr>
            </w:pPr>
            <w:r>
              <w:rPr>
                <w:noProof/>
              </w:rPr>
              <w:t>IMM-uri din sectorul agroalimentar care beneficiază de sprijin pentru a pune în aplicare proiecte de afaceri inovatoare și digitale</w:t>
            </w:r>
          </w:p>
        </w:tc>
        <w:tc>
          <w:tcPr>
            <w:tcW w:w="1276" w:type="dxa"/>
            <w:shd w:val="clear" w:color="auto" w:fill="C6EFCE"/>
            <w:noWrap/>
          </w:tcPr>
          <w:p w14:paraId="6B2B84CE" w14:textId="77777777" w:rsidR="00D924EA" w:rsidRDefault="00D924EA">
            <w:pPr>
              <w:spacing w:after="0" w:line="240" w:lineRule="auto"/>
              <w:jc w:val="center"/>
              <w:rPr>
                <w:rFonts w:ascii="Times New Roman" w:eastAsia="MS Mincho" w:hAnsi="Times New Roman" w:cs="Times New Roman"/>
                <w:noProof/>
                <w:sz w:val="18"/>
                <w:szCs w:val="18"/>
              </w:rPr>
            </w:pPr>
          </w:p>
        </w:tc>
        <w:tc>
          <w:tcPr>
            <w:tcW w:w="708" w:type="dxa"/>
            <w:shd w:val="clear" w:color="auto" w:fill="C6EFCE"/>
            <w:noWrap/>
          </w:tcPr>
          <w:p w14:paraId="7F92D37C" w14:textId="77777777" w:rsidR="00D924EA" w:rsidRDefault="00011DE9">
            <w:pPr>
              <w:pStyle w:val="P68B1DB1-Normal23"/>
              <w:spacing w:after="0" w:line="240" w:lineRule="auto"/>
              <w:rPr>
                <w:rFonts w:eastAsia="MS Mincho" w:cs="Times New Roman"/>
                <w:noProof/>
                <w:szCs w:val="18"/>
              </w:rPr>
            </w:pPr>
            <w:r>
              <w:rPr>
                <w:noProof/>
              </w:rPr>
              <w:t>Număr</w:t>
            </w:r>
          </w:p>
        </w:tc>
        <w:tc>
          <w:tcPr>
            <w:tcW w:w="1134" w:type="dxa"/>
            <w:shd w:val="clear" w:color="auto" w:fill="C6EFCE"/>
            <w:noWrap/>
          </w:tcPr>
          <w:p w14:paraId="3EC8379B" w14:textId="77777777" w:rsidR="00D924EA" w:rsidRDefault="00011DE9">
            <w:pPr>
              <w:pStyle w:val="P68B1DB1-Normal23"/>
              <w:spacing w:after="0" w:line="240" w:lineRule="auto"/>
              <w:jc w:val="right"/>
              <w:rPr>
                <w:rFonts w:eastAsia="MS Mincho" w:cs="Times New Roman"/>
                <w:noProof/>
                <w:szCs w:val="18"/>
              </w:rPr>
            </w:pPr>
            <w:r>
              <w:rPr>
                <w:noProof/>
              </w:rPr>
              <w:t>0</w:t>
            </w:r>
          </w:p>
        </w:tc>
        <w:tc>
          <w:tcPr>
            <w:tcW w:w="748" w:type="dxa"/>
            <w:shd w:val="clear" w:color="auto" w:fill="C6EFCE"/>
            <w:noWrap/>
          </w:tcPr>
          <w:p w14:paraId="2209FD04" w14:textId="77777777" w:rsidR="00D924EA" w:rsidRDefault="00011DE9">
            <w:pPr>
              <w:pStyle w:val="P68B1DB1-Normal23"/>
              <w:spacing w:after="0" w:line="240" w:lineRule="auto"/>
              <w:jc w:val="right"/>
              <w:rPr>
                <w:rFonts w:eastAsia="MS Mincho" w:cs="Times New Roman"/>
                <w:noProof/>
                <w:szCs w:val="18"/>
              </w:rPr>
            </w:pPr>
            <w:r>
              <w:rPr>
                <w:noProof/>
              </w:rPr>
              <w:t>60</w:t>
            </w:r>
          </w:p>
        </w:tc>
        <w:tc>
          <w:tcPr>
            <w:tcW w:w="415" w:type="dxa"/>
            <w:shd w:val="clear" w:color="auto" w:fill="C6EFCE"/>
            <w:noWrap/>
          </w:tcPr>
          <w:p w14:paraId="743C55C5" w14:textId="2D95A0CF" w:rsidR="00D924EA" w:rsidRDefault="005701C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49B3662B" w14:textId="77777777" w:rsidR="00D924EA" w:rsidRDefault="00011DE9">
            <w:pPr>
              <w:pStyle w:val="P68B1DB1-Normal23"/>
              <w:spacing w:after="0" w:line="240" w:lineRule="auto"/>
              <w:jc w:val="center"/>
              <w:rPr>
                <w:rFonts w:eastAsia="MS Mincho" w:cs="Times New Roman"/>
                <w:noProof/>
                <w:szCs w:val="18"/>
              </w:rPr>
            </w:pPr>
            <w:r>
              <w:rPr>
                <w:noProof/>
              </w:rPr>
              <w:t>2023</w:t>
            </w:r>
          </w:p>
        </w:tc>
        <w:tc>
          <w:tcPr>
            <w:tcW w:w="5236" w:type="dxa"/>
            <w:shd w:val="clear" w:color="auto" w:fill="C6EFCE"/>
            <w:noWrap/>
          </w:tcPr>
          <w:p w14:paraId="0263665A" w14:textId="27FB3B86" w:rsidR="00D924EA" w:rsidRDefault="00011DE9">
            <w:pPr>
              <w:spacing w:after="0" w:line="240" w:lineRule="auto"/>
              <w:rPr>
                <w:noProof/>
              </w:rPr>
            </w:pPr>
            <w:r>
              <w:rPr>
                <w:rFonts w:ascii="Times New Roman" w:hAnsi="Times New Roman"/>
                <w:noProof/>
                <w:sz w:val="18"/>
              </w:rPr>
              <w:t>Cel puțin 60 de IMM-uri din sectorul agroalimentar au acordat credite pentru punerea în aplicare a unor proiecte de afaceri inovatoare și digitale. Obiectivul acestei linii de sprijin este de a acorda împrumuturi participative pentru a încuraja întreprinderile să dezvolte proiecte viabile și inovatoare, legate de comerțul electronic și de consolidarea Industriei 4.0, printre multe alte pârghii de schimbare a modelelor de afaceri digitale pentru sectorul agroalimentar.</w:t>
            </w:r>
            <w:r w:rsidR="00971820">
              <w:rPr>
                <w:noProof/>
              </w:rPr>
              <w:t xml:space="preserve"> </w:t>
            </w:r>
          </w:p>
          <w:p w14:paraId="3A5A3F4C" w14:textId="77777777" w:rsidR="00D924EA" w:rsidRDefault="00011DE9">
            <w:pPr>
              <w:pStyle w:val="P68B1DB1-Normal23"/>
              <w:spacing w:after="0" w:line="240" w:lineRule="auto"/>
              <w:rPr>
                <w:rFonts w:eastAsia="MS Mincho" w:cs="Times New Roman"/>
                <w:noProof/>
                <w:szCs w:val="18"/>
              </w:rPr>
            </w:pPr>
            <w:r>
              <w:rPr>
                <w:noProof/>
              </w:rPr>
              <w:t xml:space="preserve">Se garantează, inclusiv prin criterii de selecție, că tranzacțiile din cadrul acestei investiții efectuate de aceste IMM-uri cu aceste împrumuturi respectă Orientările tehnice de „a nu prejudicia în mod semnificativ” (2021/C58/01) ale tranzacțiilor care beneficiază de sprijin în cadrul acestei măsuri prin utilizarea evaluării durabilității, a unei liste de excludere și a cerinței de conformitate cu legislația UE și națională relevantă în materie de mediu. </w:t>
            </w:r>
          </w:p>
        </w:tc>
      </w:tr>
      <w:tr w:rsidR="00D924EA" w14:paraId="6C430195" w14:textId="77777777" w:rsidTr="0042520D">
        <w:trPr>
          <w:trHeight w:val="309"/>
          <w:jc w:val="center"/>
        </w:trPr>
        <w:tc>
          <w:tcPr>
            <w:tcW w:w="832" w:type="dxa"/>
            <w:shd w:val="clear" w:color="auto" w:fill="C6EFCE"/>
            <w:noWrap/>
          </w:tcPr>
          <w:p w14:paraId="7B8A24C8" w14:textId="77777777" w:rsidR="00D924EA" w:rsidRDefault="00011DE9">
            <w:pPr>
              <w:pStyle w:val="P68B1DB1-Normal23"/>
              <w:spacing w:after="0" w:line="240" w:lineRule="auto"/>
              <w:jc w:val="center"/>
              <w:rPr>
                <w:rFonts w:eastAsia="MS Mincho" w:cs="Times New Roman"/>
                <w:noProof/>
                <w:szCs w:val="18"/>
              </w:rPr>
            </w:pPr>
            <w:r>
              <w:rPr>
                <w:noProof/>
              </w:rPr>
              <w:t>55</w:t>
            </w:r>
          </w:p>
        </w:tc>
        <w:tc>
          <w:tcPr>
            <w:tcW w:w="829" w:type="dxa"/>
            <w:shd w:val="clear" w:color="auto" w:fill="C6EFCE"/>
            <w:noWrap/>
          </w:tcPr>
          <w:p w14:paraId="7DB1FDCB" w14:textId="77777777" w:rsidR="00D924EA" w:rsidRDefault="00011DE9">
            <w:pPr>
              <w:pStyle w:val="P68B1DB1-Normal23"/>
              <w:spacing w:after="0" w:line="240" w:lineRule="auto"/>
              <w:jc w:val="center"/>
              <w:rPr>
                <w:rFonts w:eastAsia="MS Mincho" w:cs="Times New Roman"/>
                <w:noProof/>
                <w:szCs w:val="18"/>
              </w:rPr>
            </w:pPr>
            <w:r>
              <w:rPr>
                <w:noProof/>
              </w:rPr>
              <w:t>C3.I6</w:t>
            </w:r>
          </w:p>
        </w:tc>
        <w:tc>
          <w:tcPr>
            <w:tcW w:w="1051" w:type="dxa"/>
            <w:shd w:val="clear" w:color="auto" w:fill="C6EFCE"/>
            <w:noWrap/>
          </w:tcPr>
          <w:p w14:paraId="30625FBD"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2670" w:type="dxa"/>
            <w:shd w:val="clear" w:color="auto" w:fill="C6EFCE"/>
            <w:noWrap/>
          </w:tcPr>
          <w:p w14:paraId="48FFAD67" w14:textId="77777777" w:rsidR="00D924EA" w:rsidRDefault="00011DE9">
            <w:pPr>
              <w:pStyle w:val="P68B1DB1-Normal23"/>
              <w:spacing w:after="0" w:line="240" w:lineRule="auto"/>
              <w:rPr>
                <w:rFonts w:eastAsia="MS Mincho" w:cs="Times New Roman"/>
                <w:noProof/>
                <w:szCs w:val="18"/>
              </w:rPr>
            </w:pPr>
            <w:r>
              <w:rPr>
                <w:noProof/>
              </w:rPr>
              <w:t>Achiziționarea de echipamente TIC pentru rezervele marine de interes pentru pescuit și contracte pentru achiziționarea de nave cu destinație specială pentru rezervele maritime</w:t>
            </w:r>
          </w:p>
        </w:tc>
        <w:tc>
          <w:tcPr>
            <w:tcW w:w="1276" w:type="dxa"/>
            <w:shd w:val="clear" w:color="auto" w:fill="C6EFCE"/>
            <w:noWrap/>
          </w:tcPr>
          <w:p w14:paraId="13AC16CC" w14:textId="77777777" w:rsidR="00D924EA" w:rsidRDefault="00011DE9">
            <w:pPr>
              <w:pStyle w:val="P68B1DB1-Normal23"/>
              <w:spacing w:after="0" w:line="240" w:lineRule="auto"/>
              <w:jc w:val="center"/>
              <w:rPr>
                <w:rFonts w:eastAsia="MS Mincho" w:cs="Times New Roman"/>
                <w:noProof/>
                <w:szCs w:val="18"/>
              </w:rPr>
            </w:pPr>
            <w:r>
              <w:rPr>
                <w:noProof/>
              </w:rPr>
              <w:t xml:space="preserve">Publicarea atribuirii contractului pe platforma de achiziții publice </w:t>
            </w:r>
          </w:p>
        </w:tc>
        <w:tc>
          <w:tcPr>
            <w:tcW w:w="708" w:type="dxa"/>
            <w:shd w:val="clear" w:color="auto" w:fill="C6EFCE"/>
            <w:noWrap/>
          </w:tcPr>
          <w:p w14:paraId="4BF3436F"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1134" w:type="dxa"/>
            <w:shd w:val="clear" w:color="auto" w:fill="C6EFCE"/>
            <w:noWrap/>
          </w:tcPr>
          <w:p w14:paraId="4E6EE36C"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48" w:type="dxa"/>
            <w:shd w:val="clear" w:color="auto" w:fill="C6EFCE"/>
            <w:noWrap/>
          </w:tcPr>
          <w:p w14:paraId="0F1787DF"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14C41D21" w14:textId="2D508598" w:rsidR="00D924EA" w:rsidRDefault="005701C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429E276C" w14:textId="77777777" w:rsidR="00D924EA" w:rsidRDefault="00011DE9">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485B290F" w14:textId="77777777" w:rsidR="00D924EA" w:rsidRDefault="00011DE9">
            <w:pPr>
              <w:pStyle w:val="P68B1DB1-Normal23"/>
              <w:spacing w:after="0" w:line="240" w:lineRule="auto"/>
              <w:rPr>
                <w:rFonts w:eastAsia="MS Mincho" w:cs="Times New Roman"/>
                <w:noProof/>
                <w:szCs w:val="18"/>
              </w:rPr>
            </w:pPr>
            <w:r>
              <w:rPr>
                <w:noProof/>
              </w:rPr>
              <w:t xml:space="preserve">Publicarea pe platforma de achiziții publice a contractului atribuit pentru achiziționarea de echipamente TIC pentru rezervele marine de interes pentru pescuit și atribuirea a două contracte pentru achiziționarea a două nave cu destinație specială pentru rezervele maritime. Echipamentele TIC pentru rezervele marine constau în (i) legătura radio Alborán Lighthouse către Peninsula și (ii) achiziționarea de drone cu o putere suficientă care să permită activități de control și monitorizare și optimizarea mijloacelor existente, reducând, de asemenea, impactul asupra mediului. Pentru achiziționarea unei nave cu destinație specială pentru rezervele marine, se urmărește cea mai bună tehnologie care permite respectarea Orientărilor tehnice de „a nu prejudicia în mod semnificativ” (2021/C58/01). </w:t>
            </w:r>
          </w:p>
        </w:tc>
      </w:tr>
      <w:tr w:rsidR="00D924EA" w14:paraId="2A35CC65" w14:textId="77777777" w:rsidTr="0042520D">
        <w:trPr>
          <w:trHeight w:val="309"/>
          <w:jc w:val="center"/>
        </w:trPr>
        <w:tc>
          <w:tcPr>
            <w:tcW w:w="832" w:type="dxa"/>
            <w:shd w:val="clear" w:color="auto" w:fill="C6EFCE"/>
            <w:noWrap/>
          </w:tcPr>
          <w:p w14:paraId="61A0A8DD" w14:textId="77777777" w:rsidR="00D924EA" w:rsidRDefault="00011DE9">
            <w:pPr>
              <w:pStyle w:val="P68B1DB1-Normal23"/>
              <w:spacing w:after="0" w:line="240" w:lineRule="auto"/>
              <w:jc w:val="center"/>
              <w:rPr>
                <w:rFonts w:eastAsia="MS Mincho" w:cs="Times New Roman"/>
                <w:noProof/>
                <w:szCs w:val="18"/>
              </w:rPr>
            </w:pPr>
            <w:r>
              <w:rPr>
                <w:noProof/>
              </w:rPr>
              <w:t>56</w:t>
            </w:r>
          </w:p>
        </w:tc>
        <w:tc>
          <w:tcPr>
            <w:tcW w:w="829" w:type="dxa"/>
            <w:shd w:val="clear" w:color="auto" w:fill="C6EFCE"/>
            <w:noWrap/>
          </w:tcPr>
          <w:p w14:paraId="6B7B0A50" w14:textId="77777777" w:rsidR="00D924EA" w:rsidRDefault="00011DE9">
            <w:pPr>
              <w:pStyle w:val="P68B1DB1-Normal23"/>
              <w:spacing w:after="0" w:line="240" w:lineRule="auto"/>
              <w:jc w:val="center"/>
              <w:rPr>
                <w:rFonts w:eastAsia="MS Mincho" w:cs="Times New Roman"/>
                <w:noProof/>
                <w:szCs w:val="18"/>
              </w:rPr>
            </w:pPr>
            <w:r>
              <w:rPr>
                <w:noProof/>
              </w:rPr>
              <w:t>C3.I7</w:t>
            </w:r>
          </w:p>
        </w:tc>
        <w:tc>
          <w:tcPr>
            <w:tcW w:w="1051" w:type="dxa"/>
            <w:shd w:val="clear" w:color="auto" w:fill="C6EFCE"/>
            <w:noWrap/>
          </w:tcPr>
          <w:p w14:paraId="6A478BB5"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2670" w:type="dxa"/>
            <w:shd w:val="clear" w:color="auto" w:fill="C6EFCE"/>
            <w:noWrap/>
          </w:tcPr>
          <w:p w14:paraId="55C78747" w14:textId="77777777" w:rsidR="00D924EA" w:rsidRDefault="00011DE9">
            <w:pPr>
              <w:pStyle w:val="P68B1DB1-Normal23"/>
              <w:spacing w:after="0" w:line="240" w:lineRule="auto"/>
              <w:rPr>
                <w:rFonts w:eastAsia="MS Mincho" w:cs="Times New Roman"/>
                <w:noProof/>
                <w:szCs w:val="18"/>
              </w:rPr>
            </w:pPr>
            <w:r>
              <w:rPr>
                <w:noProof/>
              </w:rPr>
              <w:t>Acorduri cu organismele publice de cercetare</w:t>
            </w:r>
          </w:p>
        </w:tc>
        <w:tc>
          <w:tcPr>
            <w:tcW w:w="1276" w:type="dxa"/>
            <w:shd w:val="clear" w:color="auto" w:fill="C6EFCE"/>
            <w:noWrap/>
          </w:tcPr>
          <w:p w14:paraId="629D978A" w14:textId="77777777" w:rsidR="00D924EA" w:rsidRDefault="00011DE9">
            <w:pPr>
              <w:pStyle w:val="P68B1DB1-Normal23"/>
              <w:spacing w:after="0" w:line="240" w:lineRule="auto"/>
              <w:jc w:val="center"/>
              <w:rPr>
                <w:rFonts w:eastAsia="MS Mincho" w:cs="Times New Roman"/>
                <w:noProof/>
                <w:szCs w:val="18"/>
              </w:rPr>
            </w:pPr>
            <w:r>
              <w:rPr>
                <w:noProof/>
              </w:rPr>
              <w:t>Semnarea acordurilor cu organismele publice de cercetare</w:t>
            </w:r>
          </w:p>
        </w:tc>
        <w:tc>
          <w:tcPr>
            <w:tcW w:w="708" w:type="dxa"/>
            <w:shd w:val="clear" w:color="auto" w:fill="C6EFCE"/>
            <w:noWrap/>
          </w:tcPr>
          <w:p w14:paraId="52CB86C9"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1134" w:type="dxa"/>
            <w:shd w:val="clear" w:color="auto" w:fill="C6EFCE"/>
            <w:noWrap/>
          </w:tcPr>
          <w:p w14:paraId="64FEBE4F"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48" w:type="dxa"/>
            <w:shd w:val="clear" w:color="auto" w:fill="C6EFCE"/>
            <w:noWrap/>
          </w:tcPr>
          <w:p w14:paraId="1BD7CF1E"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41317363" w14:textId="7F000145" w:rsidR="00D924EA" w:rsidRDefault="005701C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21246D5D" w14:textId="77777777" w:rsidR="00D924EA" w:rsidRDefault="00011DE9">
            <w:pPr>
              <w:pStyle w:val="P68B1DB1-Normal23"/>
              <w:spacing w:after="0" w:line="240" w:lineRule="auto"/>
              <w:jc w:val="center"/>
              <w:rPr>
                <w:rFonts w:eastAsia="MS Mincho" w:cs="Times New Roman"/>
                <w:noProof/>
                <w:szCs w:val="18"/>
              </w:rPr>
            </w:pPr>
            <w:r>
              <w:rPr>
                <w:noProof/>
              </w:rPr>
              <w:t>2021</w:t>
            </w:r>
          </w:p>
        </w:tc>
        <w:tc>
          <w:tcPr>
            <w:tcW w:w="5236" w:type="dxa"/>
            <w:shd w:val="clear" w:color="auto" w:fill="C6EFCE"/>
            <w:noWrap/>
          </w:tcPr>
          <w:p w14:paraId="0D845ECE" w14:textId="3A16AD33" w:rsidR="00D924EA" w:rsidRDefault="00011DE9">
            <w:pPr>
              <w:pStyle w:val="P68B1DB1-Normal23"/>
              <w:spacing w:after="0" w:line="240" w:lineRule="auto"/>
              <w:rPr>
                <w:rFonts w:eastAsia="MS Mincho" w:cs="Times New Roman"/>
                <w:noProof/>
                <w:szCs w:val="18"/>
              </w:rPr>
            </w:pPr>
            <w:r>
              <w:rPr>
                <w:noProof/>
              </w:rPr>
              <w:t>Semnarea de acorduri cu organismele publice de cercetare pentru a promova cercetarea în domeniul pescuitului și al acvaculturii, asigurând o abordare ecosistemică a procesului decizional în gestionarea pescuitului</w:t>
            </w:r>
            <w:r w:rsidR="00971820">
              <w:rPr>
                <w:noProof/>
              </w:rPr>
              <w:t xml:space="preserve"> </w:t>
            </w:r>
          </w:p>
        </w:tc>
      </w:tr>
      <w:tr w:rsidR="00D924EA" w14:paraId="6576CBDE" w14:textId="77777777" w:rsidTr="0042520D">
        <w:trPr>
          <w:trHeight w:val="309"/>
          <w:jc w:val="center"/>
        </w:trPr>
        <w:tc>
          <w:tcPr>
            <w:tcW w:w="832" w:type="dxa"/>
            <w:shd w:val="clear" w:color="auto" w:fill="C6EFCE"/>
            <w:noWrap/>
          </w:tcPr>
          <w:p w14:paraId="6CEF0413" w14:textId="77777777" w:rsidR="00D924EA" w:rsidRDefault="00011DE9">
            <w:pPr>
              <w:pStyle w:val="P68B1DB1-Normal23"/>
              <w:spacing w:after="0" w:line="240" w:lineRule="auto"/>
              <w:jc w:val="center"/>
              <w:rPr>
                <w:rFonts w:eastAsia="MS Mincho" w:cs="Times New Roman"/>
                <w:noProof/>
                <w:szCs w:val="18"/>
              </w:rPr>
            </w:pPr>
            <w:r>
              <w:rPr>
                <w:noProof/>
              </w:rPr>
              <w:t>57</w:t>
            </w:r>
          </w:p>
        </w:tc>
        <w:tc>
          <w:tcPr>
            <w:tcW w:w="829" w:type="dxa"/>
            <w:shd w:val="clear" w:color="auto" w:fill="C6EFCE"/>
            <w:noWrap/>
          </w:tcPr>
          <w:p w14:paraId="287C2E63" w14:textId="77777777" w:rsidR="00D924EA" w:rsidRDefault="00011DE9">
            <w:pPr>
              <w:pStyle w:val="P68B1DB1-Normal23"/>
              <w:spacing w:after="0" w:line="240" w:lineRule="auto"/>
              <w:jc w:val="center"/>
              <w:rPr>
                <w:rFonts w:eastAsia="MS Mincho" w:cs="Times New Roman"/>
                <w:noProof/>
                <w:szCs w:val="18"/>
              </w:rPr>
            </w:pPr>
            <w:r>
              <w:rPr>
                <w:noProof/>
              </w:rPr>
              <w:t>C3.I7</w:t>
            </w:r>
          </w:p>
        </w:tc>
        <w:tc>
          <w:tcPr>
            <w:tcW w:w="1051" w:type="dxa"/>
            <w:shd w:val="clear" w:color="auto" w:fill="C6EFCE"/>
            <w:noWrap/>
          </w:tcPr>
          <w:p w14:paraId="3F0C4B94" w14:textId="77777777" w:rsidR="00D924EA" w:rsidRDefault="00011DE9">
            <w:pPr>
              <w:pStyle w:val="P68B1DB1-Normal23"/>
              <w:spacing w:after="0" w:line="240" w:lineRule="auto"/>
              <w:jc w:val="center"/>
              <w:rPr>
                <w:rFonts w:eastAsia="MS Mincho" w:cs="Times New Roman"/>
                <w:noProof/>
                <w:szCs w:val="18"/>
              </w:rPr>
            </w:pPr>
            <w:r>
              <w:rPr>
                <w:noProof/>
              </w:rPr>
              <w:t>T</w:t>
            </w:r>
          </w:p>
        </w:tc>
        <w:tc>
          <w:tcPr>
            <w:tcW w:w="2670" w:type="dxa"/>
            <w:shd w:val="clear" w:color="auto" w:fill="C6EFCE"/>
            <w:noWrap/>
          </w:tcPr>
          <w:p w14:paraId="55BC4EC5" w14:textId="77777777" w:rsidR="00D924EA" w:rsidRDefault="00011DE9">
            <w:pPr>
              <w:pStyle w:val="P68B1DB1-Normal23"/>
              <w:spacing w:after="0" w:line="240" w:lineRule="auto"/>
              <w:rPr>
                <w:rFonts w:eastAsia="MS Mincho" w:cs="Times New Roman"/>
                <w:noProof/>
                <w:szCs w:val="18"/>
              </w:rPr>
            </w:pPr>
            <w:r>
              <w:rPr>
                <w:noProof/>
              </w:rPr>
              <w:t>Achiziționarea de sonde acustice pentru cercetarea în domeniul pescuitului</w:t>
            </w:r>
          </w:p>
        </w:tc>
        <w:tc>
          <w:tcPr>
            <w:tcW w:w="1276" w:type="dxa"/>
            <w:shd w:val="clear" w:color="auto" w:fill="C6EFCE"/>
            <w:noWrap/>
          </w:tcPr>
          <w:p w14:paraId="3426CBE3" w14:textId="77777777" w:rsidR="00D924EA" w:rsidRDefault="00D924EA">
            <w:pPr>
              <w:spacing w:after="0" w:line="240" w:lineRule="auto"/>
              <w:jc w:val="center"/>
              <w:rPr>
                <w:rFonts w:ascii="Times New Roman" w:eastAsia="MS Mincho" w:hAnsi="Times New Roman" w:cs="Times New Roman"/>
                <w:noProof/>
                <w:sz w:val="18"/>
                <w:szCs w:val="18"/>
              </w:rPr>
            </w:pPr>
          </w:p>
        </w:tc>
        <w:tc>
          <w:tcPr>
            <w:tcW w:w="708" w:type="dxa"/>
            <w:shd w:val="clear" w:color="auto" w:fill="C6EFCE"/>
            <w:noWrap/>
          </w:tcPr>
          <w:p w14:paraId="4F6881A8" w14:textId="77777777" w:rsidR="00D924EA" w:rsidRDefault="00011DE9">
            <w:pPr>
              <w:pStyle w:val="P68B1DB1-Normal23"/>
              <w:spacing w:after="0" w:line="240" w:lineRule="auto"/>
              <w:jc w:val="right"/>
              <w:rPr>
                <w:rFonts w:eastAsia="MS Mincho" w:cs="Times New Roman"/>
                <w:noProof/>
                <w:szCs w:val="18"/>
              </w:rPr>
            </w:pPr>
            <w:r>
              <w:rPr>
                <w:noProof/>
              </w:rPr>
              <w:t>Număr </w:t>
            </w:r>
          </w:p>
        </w:tc>
        <w:tc>
          <w:tcPr>
            <w:tcW w:w="1134" w:type="dxa"/>
            <w:shd w:val="clear" w:color="auto" w:fill="C6EFCE"/>
            <w:noWrap/>
          </w:tcPr>
          <w:p w14:paraId="7742DABA" w14:textId="77777777" w:rsidR="00D924EA" w:rsidRDefault="00011DE9">
            <w:pPr>
              <w:pStyle w:val="P68B1DB1-Normal23"/>
              <w:spacing w:after="0" w:line="240" w:lineRule="auto"/>
              <w:jc w:val="right"/>
              <w:rPr>
                <w:rFonts w:eastAsia="MS Mincho" w:cs="Times New Roman"/>
                <w:noProof/>
                <w:szCs w:val="18"/>
              </w:rPr>
            </w:pPr>
            <w:r>
              <w:rPr>
                <w:noProof/>
              </w:rPr>
              <w:t>0</w:t>
            </w:r>
          </w:p>
        </w:tc>
        <w:tc>
          <w:tcPr>
            <w:tcW w:w="748" w:type="dxa"/>
            <w:shd w:val="clear" w:color="auto" w:fill="C6EFCE"/>
            <w:noWrap/>
          </w:tcPr>
          <w:p w14:paraId="5ACE0376" w14:textId="77777777" w:rsidR="00D924EA" w:rsidRDefault="00011DE9">
            <w:pPr>
              <w:pStyle w:val="P68B1DB1-Normal23"/>
              <w:spacing w:after="0" w:line="240" w:lineRule="auto"/>
              <w:jc w:val="right"/>
              <w:rPr>
                <w:rFonts w:eastAsia="MS Mincho" w:cs="Times New Roman"/>
                <w:noProof/>
                <w:szCs w:val="18"/>
              </w:rPr>
            </w:pPr>
            <w:r>
              <w:rPr>
                <w:noProof/>
              </w:rPr>
              <w:t>2</w:t>
            </w:r>
          </w:p>
        </w:tc>
        <w:tc>
          <w:tcPr>
            <w:tcW w:w="415" w:type="dxa"/>
            <w:shd w:val="clear" w:color="auto" w:fill="C6EFCE"/>
            <w:noWrap/>
          </w:tcPr>
          <w:p w14:paraId="2C67A34E" w14:textId="1A0CE9D9" w:rsidR="00D924EA" w:rsidRDefault="005701C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1EF0AE38" w14:textId="77777777" w:rsidR="00D924EA" w:rsidRDefault="00011DE9">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12586DBE" w14:textId="77777777" w:rsidR="00D924EA" w:rsidRDefault="00011DE9">
            <w:pPr>
              <w:pStyle w:val="P68B1DB1-Normal23"/>
              <w:spacing w:after="0" w:line="240" w:lineRule="auto"/>
              <w:rPr>
                <w:rFonts w:cs="Times New Roman"/>
                <w:noProof/>
                <w:szCs w:val="18"/>
              </w:rPr>
            </w:pPr>
            <w:r>
              <w:rPr>
                <w:noProof/>
              </w:rPr>
              <w:t>Publicarea pe platforma de achiziții publice a contractului atribuit pentru achiziționarea a două sonde acustice dedicate cercetării în domeniul pescuitului. Obiectivul achiziționării a două sonde pentru două nave de cercetare în domeniul pescuitului existente este de a asigura calitatea datelor obținute și, prin urmare, de a favoriza evaluările științifice ale diferitelor stocuri de specii pelagice, contribuind la sustenabilitatea pescuitului și la luarea de decizii în materie de gestionare a pescuitului pe baza celor mai bune cunoștințe științifice.</w:t>
            </w:r>
          </w:p>
        </w:tc>
      </w:tr>
      <w:tr w:rsidR="00D924EA" w14:paraId="78B6264B" w14:textId="77777777" w:rsidTr="0042520D">
        <w:trPr>
          <w:trHeight w:val="309"/>
          <w:jc w:val="center"/>
        </w:trPr>
        <w:tc>
          <w:tcPr>
            <w:tcW w:w="832" w:type="dxa"/>
            <w:shd w:val="clear" w:color="auto" w:fill="C6EFCE"/>
            <w:noWrap/>
          </w:tcPr>
          <w:p w14:paraId="1977E62F" w14:textId="77777777" w:rsidR="00D924EA" w:rsidRDefault="00011DE9">
            <w:pPr>
              <w:pStyle w:val="P68B1DB1-Normal23"/>
              <w:spacing w:after="0" w:line="240" w:lineRule="auto"/>
              <w:jc w:val="center"/>
              <w:rPr>
                <w:rFonts w:eastAsia="MS Mincho" w:cs="Times New Roman"/>
                <w:noProof/>
                <w:szCs w:val="18"/>
              </w:rPr>
            </w:pPr>
            <w:r>
              <w:rPr>
                <w:noProof/>
              </w:rPr>
              <w:t>58</w:t>
            </w:r>
          </w:p>
        </w:tc>
        <w:tc>
          <w:tcPr>
            <w:tcW w:w="829" w:type="dxa"/>
            <w:shd w:val="clear" w:color="auto" w:fill="C6EFCE"/>
            <w:noWrap/>
          </w:tcPr>
          <w:p w14:paraId="27C64715" w14:textId="77777777" w:rsidR="00D924EA" w:rsidRDefault="00011DE9">
            <w:pPr>
              <w:pStyle w:val="P68B1DB1-Normal23"/>
              <w:spacing w:after="0" w:line="240" w:lineRule="auto"/>
              <w:jc w:val="center"/>
              <w:rPr>
                <w:rFonts w:eastAsia="MS Mincho" w:cs="Times New Roman"/>
                <w:noProof/>
                <w:szCs w:val="18"/>
              </w:rPr>
            </w:pPr>
            <w:r>
              <w:rPr>
                <w:noProof/>
              </w:rPr>
              <w:t>C3.I8</w:t>
            </w:r>
          </w:p>
        </w:tc>
        <w:tc>
          <w:tcPr>
            <w:tcW w:w="1051" w:type="dxa"/>
            <w:shd w:val="clear" w:color="auto" w:fill="C6EFCE"/>
            <w:noWrap/>
          </w:tcPr>
          <w:p w14:paraId="7CA1B855" w14:textId="77777777" w:rsidR="00D924EA" w:rsidRDefault="00011DE9">
            <w:pPr>
              <w:pStyle w:val="P68B1DB1-Normal23"/>
              <w:spacing w:after="0" w:line="240" w:lineRule="auto"/>
              <w:jc w:val="center"/>
              <w:rPr>
                <w:rFonts w:eastAsia="MS Mincho" w:cs="Times New Roman"/>
                <w:noProof/>
                <w:szCs w:val="18"/>
              </w:rPr>
            </w:pPr>
            <w:r>
              <w:rPr>
                <w:noProof/>
              </w:rPr>
              <w:t>T</w:t>
            </w:r>
          </w:p>
        </w:tc>
        <w:tc>
          <w:tcPr>
            <w:tcW w:w="2670" w:type="dxa"/>
            <w:shd w:val="clear" w:color="auto" w:fill="C6EFCE"/>
            <w:noWrap/>
          </w:tcPr>
          <w:p w14:paraId="63298E90" w14:textId="77777777" w:rsidR="00D924EA" w:rsidRDefault="00011DE9">
            <w:pPr>
              <w:pStyle w:val="P68B1DB1-Normal23"/>
              <w:spacing w:after="0" w:line="240" w:lineRule="auto"/>
              <w:rPr>
                <w:rFonts w:eastAsia="MS Mincho" w:cs="Times New Roman"/>
                <w:noProof/>
                <w:szCs w:val="18"/>
              </w:rPr>
            </w:pPr>
            <w:r>
              <w:rPr>
                <w:noProof/>
              </w:rPr>
              <w:t>Proiecte de cercetare, dezvoltare și inovare pentru a sprijini reziliența și sustenabilitatea sectorului pescuitului și acvaculturii</w:t>
            </w:r>
          </w:p>
        </w:tc>
        <w:tc>
          <w:tcPr>
            <w:tcW w:w="1276" w:type="dxa"/>
            <w:shd w:val="clear" w:color="auto" w:fill="C6EFCE"/>
            <w:noWrap/>
          </w:tcPr>
          <w:p w14:paraId="4C4F038D" w14:textId="77777777" w:rsidR="00D924EA" w:rsidRDefault="00D924EA">
            <w:pPr>
              <w:spacing w:after="0" w:line="240" w:lineRule="auto"/>
              <w:jc w:val="center"/>
              <w:rPr>
                <w:rFonts w:ascii="Times New Roman" w:eastAsia="MS Mincho" w:hAnsi="Times New Roman" w:cs="Times New Roman"/>
                <w:noProof/>
                <w:sz w:val="18"/>
                <w:szCs w:val="18"/>
              </w:rPr>
            </w:pPr>
          </w:p>
        </w:tc>
        <w:tc>
          <w:tcPr>
            <w:tcW w:w="708" w:type="dxa"/>
            <w:shd w:val="clear" w:color="auto" w:fill="C6EFCE"/>
            <w:noWrap/>
          </w:tcPr>
          <w:p w14:paraId="0E481EE1" w14:textId="77777777" w:rsidR="00D924EA" w:rsidRDefault="00011DE9">
            <w:pPr>
              <w:pStyle w:val="P68B1DB1-Normal23"/>
              <w:spacing w:after="0" w:line="240" w:lineRule="auto"/>
              <w:jc w:val="right"/>
              <w:rPr>
                <w:rFonts w:eastAsia="MS Mincho" w:cs="Times New Roman"/>
                <w:noProof/>
                <w:szCs w:val="18"/>
              </w:rPr>
            </w:pPr>
            <w:r>
              <w:rPr>
                <w:noProof/>
              </w:rPr>
              <w:t>Număr</w:t>
            </w:r>
          </w:p>
        </w:tc>
        <w:tc>
          <w:tcPr>
            <w:tcW w:w="1134" w:type="dxa"/>
            <w:shd w:val="clear" w:color="auto" w:fill="C6EFCE"/>
            <w:noWrap/>
          </w:tcPr>
          <w:p w14:paraId="7FD54B5E" w14:textId="77777777" w:rsidR="00D924EA" w:rsidRDefault="00011DE9">
            <w:pPr>
              <w:pStyle w:val="P68B1DB1-Normal23"/>
              <w:spacing w:after="0" w:line="240" w:lineRule="auto"/>
              <w:jc w:val="right"/>
              <w:rPr>
                <w:rFonts w:eastAsia="MS Mincho" w:cs="Times New Roman"/>
                <w:noProof/>
                <w:szCs w:val="18"/>
              </w:rPr>
            </w:pPr>
            <w:r>
              <w:rPr>
                <w:noProof/>
              </w:rPr>
              <w:t>0</w:t>
            </w:r>
          </w:p>
        </w:tc>
        <w:tc>
          <w:tcPr>
            <w:tcW w:w="748" w:type="dxa"/>
            <w:shd w:val="clear" w:color="auto" w:fill="C6EFCE"/>
            <w:noWrap/>
          </w:tcPr>
          <w:p w14:paraId="34B946BE" w14:textId="77777777" w:rsidR="00D924EA" w:rsidRDefault="00011DE9">
            <w:pPr>
              <w:pStyle w:val="P68B1DB1-Normal23"/>
              <w:spacing w:after="0" w:line="240" w:lineRule="auto"/>
              <w:jc w:val="right"/>
              <w:rPr>
                <w:rFonts w:eastAsia="MS Mincho" w:cs="Times New Roman"/>
                <w:noProof/>
                <w:szCs w:val="18"/>
              </w:rPr>
            </w:pPr>
            <w:r>
              <w:rPr>
                <w:noProof/>
              </w:rPr>
              <w:t>20</w:t>
            </w:r>
          </w:p>
        </w:tc>
        <w:tc>
          <w:tcPr>
            <w:tcW w:w="415" w:type="dxa"/>
            <w:shd w:val="clear" w:color="auto" w:fill="C6EFCE"/>
            <w:noWrap/>
          </w:tcPr>
          <w:p w14:paraId="42DBA896" w14:textId="06A452DB" w:rsidR="00D924EA" w:rsidRDefault="005701C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7FDF59DB" w14:textId="77777777" w:rsidR="00D924EA" w:rsidRDefault="00011DE9">
            <w:pPr>
              <w:pStyle w:val="P68B1DB1-Normal23"/>
              <w:spacing w:after="0" w:line="240" w:lineRule="auto"/>
              <w:jc w:val="center"/>
              <w:rPr>
                <w:rFonts w:eastAsia="MS Mincho" w:cs="Times New Roman"/>
                <w:noProof/>
                <w:szCs w:val="18"/>
              </w:rPr>
            </w:pPr>
            <w:r>
              <w:rPr>
                <w:noProof/>
              </w:rPr>
              <w:t>2023</w:t>
            </w:r>
          </w:p>
        </w:tc>
        <w:tc>
          <w:tcPr>
            <w:tcW w:w="5236" w:type="dxa"/>
            <w:shd w:val="clear" w:color="auto" w:fill="C6EFCE"/>
            <w:noWrap/>
          </w:tcPr>
          <w:p w14:paraId="36871ED2" w14:textId="77777777" w:rsidR="00D924EA" w:rsidRDefault="00011DE9">
            <w:pPr>
              <w:pStyle w:val="P68B1DB1-Normal23"/>
              <w:spacing w:after="0" w:line="240" w:lineRule="auto"/>
              <w:rPr>
                <w:rFonts w:eastAsia="MS Mincho" w:cs="Times New Roman"/>
                <w:noProof/>
                <w:szCs w:val="18"/>
              </w:rPr>
            </w:pPr>
            <w:r>
              <w:rPr>
                <w:noProof/>
              </w:rPr>
              <w:t>Finalizarea a cel puțin 20 proiecte de cercetare, dezvoltare și inovare pentru adoptarea de noi tehnologii care favorizează reziliența și sustenabilitatea sectorului pescuitului și acvaculturii.</w:t>
            </w:r>
          </w:p>
        </w:tc>
      </w:tr>
      <w:tr w:rsidR="00D924EA" w14:paraId="42F51883" w14:textId="77777777" w:rsidTr="0042520D">
        <w:trPr>
          <w:trHeight w:val="309"/>
          <w:jc w:val="center"/>
        </w:trPr>
        <w:tc>
          <w:tcPr>
            <w:tcW w:w="832" w:type="dxa"/>
            <w:shd w:val="clear" w:color="auto" w:fill="C6EFCE"/>
            <w:noWrap/>
          </w:tcPr>
          <w:p w14:paraId="7EE7FA70" w14:textId="77777777" w:rsidR="00D924EA" w:rsidRDefault="00011DE9">
            <w:pPr>
              <w:pStyle w:val="P68B1DB1-Normal23"/>
              <w:spacing w:after="0" w:line="240" w:lineRule="auto"/>
              <w:jc w:val="center"/>
              <w:rPr>
                <w:rFonts w:eastAsia="MS Mincho" w:cs="Times New Roman"/>
                <w:noProof/>
                <w:szCs w:val="18"/>
              </w:rPr>
            </w:pPr>
            <w:r>
              <w:rPr>
                <w:noProof/>
              </w:rPr>
              <w:t>59</w:t>
            </w:r>
          </w:p>
        </w:tc>
        <w:tc>
          <w:tcPr>
            <w:tcW w:w="829" w:type="dxa"/>
            <w:shd w:val="clear" w:color="auto" w:fill="C6EFCE"/>
            <w:noWrap/>
          </w:tcPr>
          <w:p w14:paraId="247F89CF" w14:textId="77777777" w:rsidR="00D924EA" w:rsidRDefault="00011DE9">
            <w:pPr>
              <w:pStyle w:val="P68B1DB1-Normal23"/>
              <w:spacing w:after="0" w:line="240" w:lineRule="auto"/>
              <w:jc w:val="center"/>
              <w:rPr>
                <w:rFonts w:eastAsia="MS Mincho" w:cs="Times New Roman"/>
                <w:noProof/>
                <w:szCs w:val="18"/>
              </w:rPr>
            </w:pPr>
            <w:r>
              <w:rPr>
                <w:noProof/>
              </w:rPr>
              <w:t>C3.I9</w:t>
            </w:r>
          </w:p>
        </w:tc>
        <w:tc>
          <w:tcPr>
            <w:tcW w:w="1051" w:type="dxa"/>
            <w:shd w:val="clear" w:color="auto" w:fill="C6EFCE"/>
            <w:noWrap/>
          </w:tcPr>
          <w:p w14:paraId="4BD68C10"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2670" w:type="dxa"/>
            <w:shd w:val="clear" w:color="auto" w:fill="C6EFCE"/>
            <w:noWrap/>
          </w:tcPr>
          <w:p w14:paraId="00C80EB1" w14:textId="77777777" w:rsidR="00D924EA" w:rsidRDefault="00011DE9">
            <w:pPr>
              <w:pStyle w:val="P68B1DB1-Normal23"/>
              <w:spacing w:after="0" w:line="240" w:lineRule="auto"/>
              <w:rPr>
                <w:rFonts w:eastAsia="MS Mincho" w:cs="Times New Roman"/>
                <w:noProof/>
                <w:szCs w:val="18"/>
              </w:rPr>
            </w:pPr>
            <w:r>
              <w:rPr>
                <w:noProof/>
              </w:rPr>
              <w:t xml:space="preserve">Consolidarea digitală a Sistemului spaniol de informații privind pescuitul (SIPE) și a sistemului de supraveghere a pescuitului </w:t>
            </w:r>
          </w:p>
        </w:tc>
        <w:tc>
          <w:tcPr>
            <w:tcW w:w="1276" w:type="dxa"/>
            <w:shd w:val="clear" w:color="auto" w:fill="C6EFCE"/>
            <w:noWrap/>
          </w:tcPr>
          <w:p w14:paraId="15E85DB7" w14:textId="77777777" w:rsidR="00D924EA" w:rsidRDefault="00011DE9">
            <w:pPr>
              <w:pStyle w:val="P68B1DB1-Normal23"/>
              <w:spacing w:after="0" w:line="240" w:lineRule="auto"/>
              <w:jc w:val="center"/>
              <w:rPr>
                <w:rFonts w:eastAsia="MS Mincho" w:cs="Times New Roman"/>
                <w:noProof/>
                <w:szCs w:val="18"/>
              </w:rPr>
            </w:pPr>
            <w:r>
              <w:rPr>
                <w:noProof/>
              </w:rPr>
              <w:t>Instalarea unei a doua bariere de protecție</w:t>
            </w:r>
          </w:p>
        </w:tc>
        <w:tc>
          <w:tcPr>
            <w:tcW w:w="708" w:type="dxa"/>
            <w:shd w:val="clear" w:color="auto" w:fill="C6EFCE"/>
            <w:noWrap/>
          </w:tcPr>
          <w:p w14:paraId="0E5FFEEA"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1134" w:type="dxa"/>
            <w:shd w:val="clear" w:color="auto" w:fill="C6EFCE"/>
            <w:noWrap/>
          </w:tcPr>
          <w:p w14:paraId="13C3164A"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48" w:type="dxa"/>
            <w:shd w:val="clear" w:color="auto" w:fill="C6EFCE"/>
            <w:noWrap/>
          </w:tcPr>
          <w:p w14:paraId="3E3AC45A"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6F8B7A03" w14:textId="6FD2F5BC" w:rsidR="00D924EA" w:rsidRDefault="005701C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54D4A7FF" w14:textId="77777777" w:rsidR="00D924EA" w:rsidRDefault="00011DE9">
            <w:pPr>
              <w:pStyle w:val="P68B1DB1-Normal23"/>
              <w:spacing w:after="0" w:line="240" w:lineRule="auto"/>
              <w:jc w:val="center"/>
              <w:rPr>
                <w:rFonts w:eastAsia="MS Mincho" w:cs="Times New Roman"/>
                <w:noProof/>
                <w:szCs w:val="18"/>
              </w:rPr>
            </w:pPr>
            <w:r>
              <w:rPr>
                <w:noProof/>
              </w:rPr>
              <w:t>2023</w:t>
            </w:r>
          </w:p>
        </w:tc>
        <w:tc>
          <w:tcPr>
            <w:tcW w:w="5236" w:type="dxa"/>
            <w:shd w:val="clear" w:color="auto" w:fill="C6EFCE"/>
            <w:noWrap/>
          </w:tcPr>
          <w:p w14:paraId="7D3DB27B" w14:textId="692EFE2A" w:rsidR="00D924EA" w:rsidRDefault="00011DE9">
            <w:pPr>
              <w:pStyle w:val="P68B1DB1-Normal23"/>
              <w:spacing w:after="0" w:line="240" w:lineRule="auto"/>
              <w:rPr>
                <w:rFonts w:eastAsia="MS Mincho" w:cs="Times New Roman"/>
                <w:noProof/>
                <w:szCs w:val="18"/>
              </w:rPr>
            </w:pPr>
            <w:r>
              <w:rPr>
                <w:noProof/>
              </w:rPr>
              <w:t>Consolidarea digitală a informațiilor privind pescuitul și a supravegherii pescuitului, inclusiv instalarea unei a doua bariere de protecție (firewall) pentru a spori securitatea sistemului spaniol de informații în domeniul pescuitului (SIPE), în conformitate cu cerințele stabilite în sistemul național de securitate (ENS) pentru nivelul ridicat de securitate și digitalizarea navelor de pescuit.</w:t>
            </w:r>
            <w:r w:rsidR="00971820">
              <w:rPr>
                <w:noProof/>
              </w:rPr>
              <w:t xml:space="preserve"> </w:t>
            </w:r>
          </w:p>
        </w:tc>
      </w:tr>
      <w:tr w:rsidR="00D924EA" w14:paraId="068C7D38" w14:textId="77777777" w:rsidTr="0042520D">
        <w:trPr>
          <w:trHeight w:val="309"/>
          <w:jc w:val="center"/>
        </w:trPr>
        <w:tc>
          <w:tcPr>
            <w:tcW w:w="832" w:type="dxa"/>
            <w:shd w:val="clear" w:color="auto" w:fill="C6EFCE"/>
            <w:noWrap/>
          </w:tcPr>
          <w:p w14:paraId="4FBA2EEF" w14:textId="77777777" w:rsidR="00D924EA" w:rsidRDefault="00011DE9">
            <w:pPr>
              <w:pStyle w:val="P68B1DB1-Normal23"/>
              <w:spacing w:after="0" w:line="240" w:lineRule="auto"/>
              <w:jc w:val="center"/>
              <w:rPr>
                <w:rFonts w:eastAsia="MS Mincho" w:cs="Times New Roman"/>
                <w:noProof/>
                <w:szCs w:val="18"/>
              </w:rPr>
            </w:pPr>
            <w:r>
              <w:rPr>
                <w:noProof/>
              </w:rPr>
              <w:t>60</w:t>
            </w:r>
          </w:p>
        </w:tc>
        <w:tc>
          <w:tcPr>
            <w:tcW w:w="829" w:type="dxa"/>
            <w:shd w:val="clear" w:color="auto" w:fill="C6EFCE"/>
            <w:noWrap/>
          </w:tcPr>
          <w:p w14:paraId="34A75C65" w14:textId="77777777" w:rsidR="00D924EA" w:rsidRDefault="00011DE9">
            <w:pPr>
              <w:pStyle w:val="P68B1DB1-Normal23"/>
              <w:spacing w:after="0" w:line="240" w:lineRule="auto"/>
              <w:jc w:val="center"/>
              <w:rPr>
                <w:rFonts w:eastAsia="MS Mincho" w:cs="Times New Roman"/>
                <w:noProof/>
                <w:szCs w:val="18"/>
              </w:rPr>
            </w:pPr>
            <w:r>
              <w:rPr>
                <w:noProof/>
              </w:rPr>
              <w:t>C3.I10</w:t>
            </w:r>
          </w:p>
        </w:tc>
        <w:tc>
          <w:tcPr>
            <w:tcW w:w="1051" w:type="dxa"/>
            <w:shd w:val="clear" w:color="auto" w:fill="C6EFCE"/>
            <w:noWrap/>
          </w:tcPr>
          <w:p w14:paraId="139052CE"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2670" w:type="dxa"/>
            <w:shd w:val="clear" w:color="auto" w:fill="C6EFCE"/>
            <w:noWrap/>
          </w:tcPr>
          <w:p w14:paraId="22C56096" w14:textId="77777777" w:rsidR="00D924EA" w:rsidRDefault="00011DE9">
            <w:pPr>
              <w:pStyle w:val="P68B1DB1-Normal23"/>
              <w:spacing w:after="0" w:line="240" w:lineRule="auto"/>
              <w:rPr>
                <w:rFonts w:eastAsia="MS Mincho" w:cs="Times New Roman"/>
                <w:noProof/>
                <w:szCs w:val="18"/>
              </w:rPr>
            </w:pPr>
            <w:r>
              <w:rPr>
                <w:noProof/>
              </w:rPr>
              <w:t xml:space="preserve">Achiziționarea de nave ușoare de patrulare și de nave de patrulare în marea liberă pentru a combate pescuitul ilegal, nedeclarat și nereglementat </w:t>
            </w:r>
          </w:p>
        </w:tc>
        <w:tc>
          <w:tcPr>
            <w:tcW w:w="1276" w:type="dxa"/>
            <w:shd w:val="clear" w:color="auto" w:fill="C6EFCE"/>
            <w:noWrap/>
          </w:tcPr>
          <w:p w14:paraId="0917135E" w14:textId="77777777" w:rsidR="00D924EA" w:rsidRDefault="00011DE9">
            <w:pPr>
              <w:pStyle w:val="P68B1DB1-Normal23"/>
              <w:spacing w:after="0" w:line="240" w:lineRule="auto"/>
              <w:jc w:val="center"/>
              <w:rPr>
                <w:rFonts w:eastAsia="MS Mincho" w:cs="Times New Roman"/>
                <w:noProof/>
                <w:szCs w:val="18"/>
              </w:rPr>
            </w:pPr>
            <w:r>
              <w:rPr>
                <w:noProof/>
              </w:rPr>
              <w:t xml:space="preserve">Publicarea atribuirii contractului pe platforma de achiziții publice </w:t>
            </w:r>
          </w:p>
        </w:tc>
        <w:tc>
          <w:tcPr>
            <w:tcW w:w="708" w:type="dxa"/>
            <w:shd w:val="clear" w:color="auto" w:fill="C6EFCE"/>
            <w:noWrap/>
          </w:tcPr>
          <w:p w14:paraId="554EAB74"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1134" w:type="dxa"/>
            <w:shd w:val="clear" w:color="auto" w:fill="C6EFCE"/>
            <w:noWrap/>
          </w:tcPr>
          <w:p w14:paraId="461464B8"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48" w:type="dxa"/>
            <w:shd w:val="clear" w:color="auto" w:fill="C6EFCE"/>
            <w:noWrap/>
          </w:tcPr>
          <w:p w14:paraId="1768D00C"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2B0210BC" w14:textId="5E5F423A" w:rsidR="00D924EA" w:rsidRDefault="005701C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0948D4DE" w14:textId="77777777" w:rsidR="00D924EA" w:rsidRDefault="00011DE9">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4A1AF096" w14:textId="77777777" w:rsidR="00D924EA" w:rsidRDefault="00011DE9">
            <w:pPr>
              <w:pStyle w:val="P68B1DB1-Normal23"/>
              <w:spacing w:after="0" w:line="240" w:lineRule="auto"/>
              <w:rPr>
                <w:rFonts w:eastAsia="MS Mincho" w:cs="Times New Roman"/>
                <w:noProof/>
                <w:szCs w:val="18"/>
              </w:rPr>
            </w:pPr>
            <w:r>
              <w:rPr>
                <w:noProof/>
              </w:rPr>
              <w:t>Publicarea pe Platforma de achiziții publice a atribuirii contractului pentru patru noi nave ușoare de patrulare și trei noi nave de patrulare în marea liberă care vor fi utilizate pentru a combate pescuitul ilegal, nedeclarat și nereglementat, care continuă să fie una dintre cele mai mari amenințări existente la adresa ecosistemelor marine. Se urmărește utilizarea celei mai bune tehnologii care permite respectarea Orientărilor tehnice privind aplicarea principiului de „a nu prejudicia în mod semnificativ” (2021/C58/01).</w:t>
            </w:r>
          </w:p>
        </w:tc>
      </w:tr>
      <w:tr w:rsidR="00D924EA" w14:paraId="3A37AB8F" w14:textId="77777777" w:rsidTr="0042520D">
        <w:trPr>
          <w:trHeight w:val="309"/>
          <w:jc w:val="center"/>
        </w:trPr>
        <w:tc>
          <w:tcPr>
            <w:tcW w:w="832" w:type="dxa"/>
            <w:shd w:val="clear" w:color="auto" w:fill="C6EFCE"/>
            <w:noWrap/>
          </w:tcPr>
          <w:p w14:paraId="56AC6ED6" w14:textId="77777777" w:rsidR="00D924EA" w:rsidRDefault="00011DE9">
            <w:pPr>
              <w:pStyle w:val="P68B1DB1-Normal23"/>
              <w:spacing w:after="0" w:line="240" w:lineRule="auto"/>
              <w:jc w:val="center"/>
              <w:rPr>
                <w:rFonts w:eastAsia="MS Mincho" w:cs="Times New Roman"/>
                <w:noProof/>
                <w:szCs w:val="18"/>
              </w:rPr>
            </w:pPr>
            <w:r>
              <w:rPr>
                <w:noProof/>
              </w:rPr>
              <w:t>61</w:t>
            </w:r>
          </w:p>
        </w:tc>
        <w:tc>
          <w:tcPr>
            <w:tcW w:w="829" w:type="dxa"/>
            <w:shd w:val="clear" w:color="auto" w:fill="C6EFCE"/>
            <w:noWrap/>
          </w:tcPr>
          <w:p w14:paraId="3024E900" w14:textId="77777777" w:rsidR="00D924EA" w:rsidRDefault="00011DE9">
            <w:pPr>
              <w:pStyle w:val="P68B1DB1-Normal23"/>
              <w:spacing w:after="0" w:line="240" w:lineRule="auto"/>
              <w:jc w:val="center"/>
              <w:rPr>
                <w:rFonts w:eastAsia="MS Mincho" w:cs="Times New Roman"/>
                <w:noProof/>
                <w:szCs w:val="18"/>
              </w:rPr>
            </w:pPr>
            <w:r>
              <w:rPr>
                <w:noProof/>
              </w:rPr>
              <w:t>C3.I11</w:t>
            </w:r>
          </w:p>
        </w:tc>
        <w:tc>
          <w:tcPr>
            <w:tcW w:w="1051" w:type="dxa"/>
            <w:shd w:val="clear" w:color="auto" w:fill="C6EFCE"/>
            <w:noWrap/>
          </w:tcPr>
          <w:p w14:paraId="130B7600" w14:textId="77777777" w:rsidR="00D924EA" w:rsidRDefault="00011DE9">
            <w:pPr>
              <w:pStyle w:val="P68B1DB1-Normal23"/>
              <w:spacing w:after="0" w:line="240" w:lineRule="auto"/>
              <w:jc w:val="center"/>
              <w:rPr>
                <w:rFonts w:eastAsia="MS Mincho" w:cs="Times New Roman"/>
                <w:noProof/>
                <w:szCs w:val="18"/>
              </w:rPr>
            </w:pPr>
            <w:r>
              <w:rPr>
                <w:noProof/>
              </w:rPr>
              <w:t>T</w:t>
            </w:r>
          </w:p>
        </w:tc>
        <w:tc>
          <w:tcPr>
            <w:tcW w:w="2670" w:type="dxa"/>
            <w:shd w:val="clear" w:color="auto" w:fill="C6EFCE"/>
            <w:noWrap/>
          </w:tcPr>
          <w:p w14:paraId="39BA9F0A" w14:textId="77777777" w:rsidR="00D924EA" w:rsidRDefault="00011DE9">
            <w:pPr>
              <w:pStyle w:val="P68B1DB1-Normal23"/>
              <w:spacing w:after="0" w:line="240" w:lineRule="auto"/>
              <w:rPr>
                <w:rFonts w:eastAsia="MS Mincho" w:cs="Times New Roman"/>
                <w:noProof/>
                <w:szCs w:val="18"/>
              </w:rPr>
            </w:pPr>
            <w:r>
              <w:rPr>
                <w:noProof/>
              </w:rPr>
              <w:t>Finanțarea de proiecte de investiții în sectorul pescuitului</w:t>
            </w:r>
          </w:p>
        </w:tc>
        <w:tc>
          <w:tcPr>
            <w:tcW w:w="1276" w:type="dxa"/>
            <w:shd w:val="clear" w:color="auto" w:fill="C6EFCE"/>
            <w:noWrap/>
          </w:tcPr>
          <w:p w14:paraId="47740F96" w14:textId="77777777" w:rsidR="00D924EA" w:rsidRDefault="00D924EA">
            <w:pPr>
              <w:spacing w:after="0" w:line="240" w:lineRule="auto"/>
              <w:jc w:val="center"/>
              <w:rPr>
                <w:rFonts w:ascii="Times New Roman" w:eastAsia="MS Mincho" w:hAnsi="Times New Roman" w:cs="Times New Roman"/>
                <w:noProof/>
                <w:sz w:val="18"/>
                <w:szCs w:val="18"/>
              </w:rPr>
            </w:pPr>
          </w:p>
        </w:tc>
        <w:tc>
          <w:tcPr>
            <w:tcW w:w="708" w:type="dxa"/>
            <w:shd w:val="clear" w:color="auto" w:fill="C6EFCE"/>
            <w:noWrap/>
          </w:tcPr>
          <w:p w14:paraId="4A86B5DF" w14:textId="77777777" w:rsidR="00D924EA" w:rsidRDefault="00011DE9">
            <w:pPr>
              <w:pStyle w:val="P68B1DB1-Normal23"/>
              <w:spacing w:after="0" w:line="240" w:lineRule="auto"/>
              <w:rPr>
                <w:rFonts w:eastAsia="MS Mincho" w:cs="Times New Roman"/>
                <w:noProof/>
                <w:szCs w:val="18"/>
              </w:rPr>
            </w:pPr>
            <w:r>
              <w:rPr>
                <w:noProof/>
              </w:rPr>
              <w:t>Milioane EUR</w:t>
            </w:r>
          </w:p>
        </w:tc>
        <w:tc>
          <w:tcPr>
            <w:tcW w:w="1134" w:type="dxa"/>
            <w:shd w:val="clear" w:color="auto" w:fill="C6EFCE"/>
            <w:noWrap/>
          </w:tcPr>
          <w:p w14:paraId="2CFC17AF" w14:textId="77777777" w:rsidR="00D924EA" w:rsidRDefault="00011DE9">
            <w:pPr>
              <w:pStyle w:val="P68B1DB1-Normal23"/>
              <w:spacing w:after="0" w:line="240" w:lineRule="auto"/>
              <w:jc w:val="right"/>
              <w:rPr>
                <w:rFonts w:eastAsia="MS Mincho" w:cs="Times New Roman"/>
                <w:noProof/>
                <w:szCs w:val="18"/>
              </w:rPr>
            </w:pPr>
            <w:r>
              <w:rPr>
                <w:noProof/>
              </w:rPr>
              <w:t>0</w:t>
            </w:r>
          </w:p>
        </w:tc>
        <w:tc>
          <w:tcPr>
            <w:tcW w:w="748" w:type="dxa"/>
            <w:shd w:val="clear" w:color="auto" w:fill="C6EFCE"/>
            <w:noWrap/>
          </w:tcPr>
          <w:p w14:paraId="5E256F16" w14:textId="77777777" w:rsidR="00D924EA" w:rsidRDefault="00011DE9">
            <w:pPr>
              <w:pStyle w:val="P68B1DB1-Normal23"/>
              <w:spacing w:after="0" w:line="240" w:lineRule="auto"/>
              <w:jc w:val="right"/>
              <w:rPr>
                <w:rFonts w:eastAsia="MS Mincho" w:cs="Times New Roman"/>
                <w:noProof/>
                <w:szCs w:val="18"/>
              </w:rPr>
            </w:pPr>
            <w:r>
              <w:rPr>
                <w:noProof/>
              </w:rPr>
              <w:t>5</w:t>
            </w:r>
          </w:p>
        </w:tc>
        <w:tc>
          <w:tcPr>
            <w:tcW w:w="415" w:type="dxa"/>
            <w:shd w:val="clear" w:color="auto" w:fill="C6EFCE"/>
            <w:noWrap/>
          </w:tcPr>
          <w:p w14:paraId="5D238904" w14:textId="6AB6298A" w:rsidR="00D924EA" w:rsidRDefault="005701C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374C391E" w14:textId="77777777" w:rsidR="00D924EA" w:rsidRDefault="00011DE9">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02380580" w14:textId="529987B9" w:rsidR="00D924EA" w:rsidRDefault="00011DE9">
            <w:pPr>
              <w:pStyle w:val="P68B1DB1-Normal23"/>
              <w:spacing w:after="0" w:line="240" w:lineRule="auto"/>
              <w:rPr>
                <w:rFonts w:eastAsia="MS Mincho" w:cs="Times New Roman"/>
                <w:noProof/>
                <w:szCs w:val="18"/>
              </w:rPr>
            </w:pPr>
            <w:r>
              <w:rPr>
                <w:noProof/>
              </w:rPr>
              <w:t xml:space="preserve">Aprobarea acordului dintre Ministerul Agriculturii, Pescuitului și Alimentației și SAECA de sprijinire a finanțării proiectelor de investiții în sectorul pescuitului prin acordarea unui împrumut de cel puțin 5 000 000 EUR către Sociedad Anónima Estatal de Caución Agraria (SAECA) pentru crearea unei linii de finanțare destinate regarantării proiectelor cu acțiuni legate de activitatea de pescuit sustenabil; îmbunătățirea condițiilor de muncă și a siguranței activității; precum și digitalizarea proceselor și a sistemelor. Acordul menționat anterior trebuie să includă o clauză care să garanteze că tranzacțiile sprijinite în cadrul acestei investiții respectă Orientările tehnice de „a nu prejudicia în mod semnificativ” (2021/C58/01) ale tranzacțiilor sprijinite în cadrul acestei măsuri prin utilizarea evaluării </w:t>
            </w:r>
            <w:r>
              <w:rPr>
                <w:noProof/>
                <w:szCs w:val="18"/>
              </w:rPr>
              <w:t>durabilității</w:t>
            </w:r>
            <w:r>
              <w:rPr>
                <w:noProof/>
              </w:rPr>
              <w:t>, a unei liste de excludere și a cerinței de conformitate cu legislația UE și națională relevantă în materie de mediu.</w:t>
            </w:r>
          </w:p>
        </w:tc>
      </w:tr>
    </w:tbl>
    <w:p w14:paraId="04BD5F4D" w14:textId="77777777" w:rsidR="00D924EA" w:rsidRDefault="00D924EA">
      <w:pPr>
        <w:spacing w:before="120" w:after="120" w:line="240" w:lineRule="auto"/>
        <w:ind w:left="709"/>
        <w:jc w:val="both"/>
        <w:rPr>
          <w:rFonts w:ascii="Times New Roman" w:hAnsi="Times New Roman" w:cs="Times New Roman"/>
          <w:noProof/>
        </w:rPr>
      </w:pPr>
    </w:p>
    <w:p w14:paraId="6FFDC8FD" w14:textId="77777777" w:rsidR="00D924EA" w:rsidRDefault="00D924EA">
      <w:pPr>
        <w:spacing w:before="120" w:after="120" w:line="240" w:lineRule="auto"/>
        <w:ind w:left="709"/>
        <w:jc w:val="both"/>
        <w:rPr>
          <w:rFonts w:ascii="Times New Roman" w:hAnsi="Times New Roman" w:cs="Times New Roman"/>
          <w:noProof/>
        </w:rPr>
        <w:sectPr w:rsidR="00D924EA" w:rsidSect="00B528FB">
          <w:headerReference w:type="even" r:id="rId66"/>
          <w:headerReference w:type="default" r:id="rId67"/>
          <w:footerReference w:type="even" r:id="rId68"/>
          <w:footerReference w:type="default" r:id="rId69"/>
          <w:headerReference w:type="first" r:id="rId70"/>
          <w:footerReference w:type="first" r:id="rId71"/>
          <w:pgSz w:w="16839" w:h="11907" w:orient="landscape"/>
          <w:pgMar w:top="1134" w:right="1134" w:bottom="1134" w:left="1134" w:header="567" w:footer="567" w:gutter="0"/>
          <w:cols w:space="720"/>
          <w:docGrid w:linePitch="360"/>
        </w:sectPr>
      </w:pPr>
    </w:p>
    <w:p w14:paraId="76147EB4" w14:textId="77777777" w:rsidR="00D924EA" w:rsidRDefault="00D924EA">
      <w:pPr>
        <w:pStyle w:val="Text1"/>
        <w:ind w:left="709"/>
        <w:rPr>
          <w:rFonts w:ascii="Times New Roman" w:eastAsia="Calibri" w:hAnsi="Times New Roman" w:cs="Times New Roman"/>
          <w:noProof/>
        </w:rPr>
      </w:pPr>
    </w:p>
    <w:p w14:paraId="0B4DB5B5" w14:textId="12A0A7BD" w:rsidR="00D924EA" w:rsidRDefault="00011DE9">
      <w:pPr>
        <w:pStyle w:val="P68B1DB1-Text140"/>
        <w:ind w:left="709"/>
        <w:rPr>
          <w:bCs/>
          <w:noProof/>
        </w:rPr>
      </w:pPr>
      <w:r>
        <w:rPr>
          <w:noProof/>
        </w:rPr>
        <w:t>C.3.</w:t>
      </w:r>
      <w:r w:rsidR="00971820">
        <w:rPr>
          <w:noProof/>
        </w:rPr>
        <w:t xml:space="preserve"> </w:t>
      </w:r>
      <w:r>
        <w:rPr>
          <w:noProof/>
        </w:rPr>
        <w:t>Descrierea reformelor și a investițiilor pentru care se acordă sprijin sub formă de împrumut</w:t>
      </w:r>
    </w:p>
    <w:p w14:paraId="3F408D09" w14:textId="2EF95C2E" w:rsidR="00D924EA" w:rsidRDefault="00011DE9">
      <w:pPr>
        <w:pStyle w:val="P68B1DB1-Normal30"/>
        <w:spacing w:before="120" w:after="120" w:line="240" w:lineRule="auto"/>
        <w:jc w:val="both"/>
        <w:rPr>
          <w:rFonts w:eastAsia="MS Mincho" w:cs="Times New Roman"/>
          <w:noProof/>
        </w:rPr>
      </w:pPr>
      <w:r>
        <w:rPr>
          <w:noProof/>
        </w:rPr>
        <w:t>Reforma 7 (C3.R7) – Legea privind prevenirea pierderilor și a risipei de alimente</w:t>
      </w:r>
    </w:p>
    <w:p w14:paraId="2A6F7986" w14:textId="4BA4645D" w:rsidR="00D924EA" w:rsidRDefault="00011DE9">
      <w:pPr>
        <w:pStyle w:val="P68B1DB1-Normal29"/>
        <w:spacing w:before="120" w:after="120" w:line="240" w:lineRule="auto"/>
        <w:jc w:val="both"/>
        <w:rPr>
          <w:rFonts w:cs="Times New Roman"/>
          <w:noProof/>
        </w:rPr>
      </w:pPr>
      <w:r>
        <w:rPr>
          <w:noProof/>
        </w:rPr>
        <w:t>Obiectivul acestei reforme este de a stabili o ierarhie a priorităților în ceea ce privește utilizarea alimentelor, astfel încât acestea să nu devină deșeuri.</w:t>
      </w:r>
    </w:p>
    <w:p w14:paraId="19F64C98" w14:textId="2DD4AA43" w:rsidR="00D924EA" w:rsidRDefault="00011DE9">
      <w:pPr>
        <w:pStyle w:val="P68B1DB1-Normal29"/>
        <w:spacing w:before="120" w:after="120" w:line="240" w:lineRule="auto"/>
        <w:jc w:val="both"/>
        <w:rPr>
          <w:rFonts w:cs="Times New Roman"/>
          <w:noProof/>
        </w:rPr>
      </w:pPr>
      <w:r>
        <w:rPr>
          <w:noProof/>
        </w:rPr>
        <w:t xml:space="preserve">Măsura constă în intrarea în vigoare a unei legi privind prevenirea pierderilor și a risipei de alimente. </w:t>
      </w:r>
    </w:p>
    <w:p w14:paraId="18E51A25" w14:textId="52948BCE" w:rsidR="00D924EA" w:rsidRDefault="00011DE9">
      <w:pPr>
        <w:pStyle w:val="P68B1DB1-Normal30"/>
        <w:spacing w:before="120" w:after="120" w:line="240" w:lineRule="auto"/>
        <w:jc w:val="both"/>
        <w:rPr>
          <w:rFonts w:eastAsia="MS Mincho" w:cs="Times New Roman"/>
          <w:noProof/>
        </w:rPr>
      </w:pPr>
      <w:r>
        <w:rPr>
          <w:noProof/>
        </w:rPr>
        <w:t>Reforma 8 (C3.R8) – Act juridic privind sistemul de informații privind exploatațiile agricole</w:t>
      </w:r>
    </w:p>
    <w:p w14:paraId="2828B664" w14:textId="77777777" w:rsidR="00D924EA" w:rsidRDefault="00011DE9">
      <w:pPr>
        <w:pStyle w:val="P68B1DB1-Normal29"/>
        <w:spacing w:before="120" w:after="120" w:line="240" w:lineRule="auto"/>
        <w:jc w:val="both"/>
        <w:rPr>
          <w:noProof/>
        </w:rPr>
      </w:pPr>
      <w:r>
        <w:rPr>
          <w:noProof/>
        </w:rPr>
        <w:t xml:space="preserve">Scopul acestei reforme este de a institui un sistem de informații privind fermele și pădurile (SIEX) pentru a permite Ministerului Agriculturii, Pescuitului și Alimentației să gestioneze politicile agricole și zootehnice. </w:t>
      </w:r>
    </w:p>
    <w:p w14:paraId="3CE9CF9A" w14:textId="27C431E8" w:rsidR="00D924EA" w:rsidRDefault="00011DE9">
      <w:pPr>
        <w:pStyle w:val="P68B1DB1-Normal29"/>
        <w:spacing w:before="120" w:after="120" w:line="240" w:lineRule="auto"/>
        <w:jc w:val="both"/>
        <w:rPr>
          <w:rFonts w:cs="Times New Roman"/>
          <w:noProof/>
        </w:rPr>
      </w:pPr>
      <w:r>
        <w:rPr>
          <w:noProof/>
        </w:rPr>
        <w:t>Măsura constă în intrarea în vigoare a unui act juridic de instituire a sistemului de informații pentru exploatațiile agricole.</w:t>
      </w:r>
      <w:r>
        <w:rPr>
          <w:noProof/>
          <w:sz w:val="32"/>
          <w:szCs w:val="32"/>
        </w:rPr>
        <w:t xml:space="preserve"> </w:t>
      </w:r>
    </w:p>
    <w:p w14:paraId="4778B591" w14:textId="03D69F13" w:rsidR="00D924EA" w:rsidRDefault="00011DE9">
      <w:pPr>
        <w:pStyle w:val="P68B1DB1-Normal30"/>
        <w:spacing w:before="120" w:after="120" w:line="240" w:lineRule="auto"/>
        <w:jc w:val="both"/>
        <w:rPr>
          <w:rFonts w:cs="Times New Roman"/>
          <w:noProof/>
        </w:rPr>
      </w:pPr>
      <w:r>
        <w:rPr>
          <w:noProof/>
        </w:rPr>
        <w:t xml:space="preserve">Investiția 12 (C3.I12) – Plan de sporire a eficienței și a sustenabilității irigațiilor </w:t>
      </w:r>
    </w:p>
    <w:p w14:paraId="26FA87D2" w14:textId="09998410" w:rsidR="00D924EA" w:rsidRDefault="00011DE9">
      <w:pPr>
        <w:pStyle w:val="P68B1DB1-Normal29"/>
        <w:spacing w:before="120" w:after="120" w:line="240" w:lineRule="auto"/>
        <w:jc w:val="both"/>
        <w:rPr>
          <w:noProof/>
        </w:rPr>
      </w:pPr>
      <w:r>
        <w:rPr>
          <w:noProof/>
        </w:rPr>
        <w:t>Obiectivul acestei măsuri este de a spori nivelul de ambiție al investiției 1 (C3.I1): Plan de îmbunătățire a eficienței și sustenabilității irigațiilor.</w:t>
      </w:r>
    </w:p>
    <w:p w14:paraId="7CDA469A" w14:textId="0943C1B0" w:rsidR="00D924EA" w:rsidRDefault="00011DE9">
      <w:pPr>
        <w:pStyle w:val="P68B1DB1-Normal29"/>
        <w:spacing w:before="120" w:after="120" w:line="240" w:lineRule="auto"/>
        <w:jc w:val="both"/>
        <w:rPr>
          <w:rFonts w:cs="Times New Roman"/>
          <w:noProof/>
        </w:rPr>
      </w:pPr>
      <w:r>
        <w:rPr>
          <w:noProof/>
        </w:rPr>
        <w:t>Aceasta constă în modernizarea sistemelor de irigații.</w:t>
      </w:r>
    </w:p>
    <w:p w14:paraId="3723D559" w14:textId="662E47A8" w:rsidR="00D924EA" w:rsidRDefault="00011DE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C.4.</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punere în aplicare pentru sprijinul sub formă de împrumut</w:t>
      </w:r>
    </w:p>
    <w:p w14:paraId="74BC8EB2" w14:textId="77777777" w:rsidR="00D924EA" w:rsidRDefault="00011DE9">
      <w:pPr>
        <w:pStyle w:val="P68B1DB1-Normal36"/>
        <w:spacing w:before="120" w:after="120" w:line="240" w:lineRule="auto"/>
        <w:jc w:val="both"/>
        <w:rPr>
          <w:rFonts w:cs="Times New Roman"/>
          <w:noProof/>
        </w:rPr>
      </w:pPr>
      <w:r>
        <w:rPr>
          <w:noProof/>
        </w:rPr>
        <w:t>A se vedea tabelul de mai jos. Data de referință pentru toți indicatorii este 1 februarie 2020, cu excepția cazului în care se indică altfel în descrierea acțiunii. Sumele din tabel nu includ TVA.</w:t>
      </w:r>
    </w:p>
    <w:p w14:paraId="00BB3AEE" w14:textId="77777777" w:rsidR="00D924EA" w:rsidRDefault="00D924EA">
      <w:pPr>
        <w:rPr>
          <w:noProof/>
        </w:rPr>
      </w:pPr>
    </w:p>
    <w:p w14:paraId="39B6FAA4" w14:textId="77777777" w:rsidR="00D924EA" w:rsidRDefault="00D924EA">
      <w:pPr>
        <w:spacing w:before="120" w:after="120" w:line="240" w:lineRule="auto"/>
        <w:jc w:val="both"/>
        <w:rPr>
          <w:rFonts w:ascii="Times New Roman" w:hAnsi="Times New Roman" w:cs="Times New Roman"/>
          <w:i/>
          <w:noProof/>
        </w:rPr>
        <w:sectPr w:rsidR="00D924EA" w:rsidSect="00B528FB">
          <w:headerReference w:type="even" r:id="rId72"/>
          <w:headerReference w:type="default" r:id="rId73"/>
          <w:footerReference w:type="even" r:id="rId74"/>
          <w:footerReference w:type="default" r:id="rId75"/>
          <w:headerReference w:type="first" r:id="rId76"/>
          <w:footerReference w:type="first" r:id="rId77"/>
          <w:pgSz w:w="11907" w:h="16839"/>
          <w:pgMar w:top="1134" w:right="1134" w:bottom="1134" w:left="1134" w:header="567" w:footer="567" w:gutter="0"/>
          <w:cols w:space="720"/>
          <w:docGrid w:linePitch="360"/>
        </w:sectPr>
      </w:pPr>
    </w:p>
    <w:tbl>
      <w:tblPr>
        <w:tblW w:w="15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74"/>
        <w:gridCol w:w="829"/>
        <w:gridCol w:w="1051"/>
        <w:gridCol w:w="2809"/>
        <w:gridCol w:w="1242"/>
        <w:gridCol w:w="745"/>
        <w:gridCol w:w="992"/>
        <w:gridCol w:w="748"/>
        <w:gridCol w:w="415"/>
        <w:gridCol w:w="553"/>
        <w:gridCol w:w="5236"/>
      </w:tblGrid>
      <w:tr w:rsidR="00D924EA" w14:paraId="3BC72826" w14:textId="77777777">
        <w:trPr>
          <w:trHeight w:val="309"/>
          <w:tblHeader/>
          <w:jc w:val="center"/>
        </w:trPr>
        <w:tc>
          <w:tcPr>
            <w:tcW w:w="974" w:type="dxa"/>
            <w:vMerge w:val="restart"/>
            <w:shd w:val="clear" w:color="auto" w:fill="B7D4EF"/>
            <w:noWrap/>
            <w:vAlign w:val="center"/>
          </w:tcPr>
          <w:p w14:paraId="3BBA39D6" w14:textId="77777777" w:rsidR="00D924EA" w:rsidRDefault="00011DE9">
            <w:pPr>
              <w:pStyle w:val="P68B1DB1-Normal28"/>
              <w:spacing w:after="0" w:line="240" w:lineRule="auto"/>
              <w:jc w:val="center"/>
              <w:rPr>
                <w:rFonts w:cs="Times New Roman"/>
                <w:noProof/>
                <w:szCs w:val="18"/>
              </w:rPr>
            </w:pPr>
            <w:r>
              <w:rPr>
                <w:noProof/>
              </w:rPr>
              <w:t>Număr</w:t>
            </w:r>
          </w:p>
        </w:tc>
        <w:tc>
          <w:tcPr>
            <w:tcW w:w="829" w:type="dxa"/>
            <w:vMerge w:val="restart"/>
            <w:shd w:val="clear" w:color="auto" w:fill="B7D4EF"/>
            <w:noWrap/>
            <w:vAlign w:val="center"/>
          </w:tcPr>
          <w:p w14:paraId="72499736" w14:textId="77777777" w:rsidR="00D924EA" w:rsidRDefault="00011DE9">
            <w:pPr>
              <w:pStyle w:val="P68B1DB1-Normal28"/>
              <w:spacing w:after="0" w:line="240" w:lineRule="auto"/>
              <w:jc w:val="center"/>
              <w:rPr>
                <w:rFonts w:cs="Times New Roman"/>
                <w:noProof/>
                <w:szCs w:val="18"/>
              </w:rPr>
            </w:pPr>
            <w:r>
              <w:rPr>
                <w:noProof/>
              </w:rPr>
              <w:t>Măsură</w:t>
            </w:r>
          </w:p>
        </w:tc>
        <w:tc>
          <w:tcPr>
            <w:tcW w:w="1051" w:type="dxa"/>
            <w:vMerge w:val="restart"/>
            <w:shd w:val="clear" w:color="auto" w:fill="B7D4EF"/>
            <w:noWrap/>
            <w:vAlign w:val="center"/>
          </w:tcPr>
          <w:p w14:paraId="0C3AF5F8" w14:textId="000CAB5A" w:rsidR="00D924EA" w:rsidRDefault="00011DE9">
            <w:pPr>
              <w:spacing w:after="0" w:line="240" w:lineRule="auto"/>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2809" w:type="dxa"/>
            <w:vMerge w:val="restart"/>
            <w:shd w:val="clear" w:color="auto" w:fill="B7D4EF"/>
            <w:noWrap/>
            <w:vAlign w:val="center"/>
          </w:tcPr>
          <w:p w14:paraId="4CFAEE9B" w14:textId="77777777" w:rsidR="00D924EA" w:rsidRDefault="00011DE9">
            <w:pPr>
              <w:pStyle w:val="P68B1DB1-Normal28"/>
              <w:spacing w:after="0" w:line="240" w:lineRule="auto"/>
              <w:jc w:val="center"/>
              <w:rPr>
                <w:rFonts w:cs="Times New Roman"/>
                <w:noProof/>
                <w:szCs w:val="18"/>
              </w:rPr>
            </w:pPr>
            <w:r>
              <w:rPr>
                <w:noProof/>
              </w:rPr>
              <w:t>Nume</w:t>
            </w:r>
          </w:p>
        </w:tc>
        <w:tc>
          <w:tcPr>
            <w:tcW w:w="1242" w:type="dxa"/>
            <w:vMerge w:val="restart"/>
            <w:shd w:val="clear" w:color="auto" w:fill="B7D4EF"/>
            <w:noWrap/>
            <w:vAlign w:val="center"/>
          </w:tcPr>
          <w:p w14:paraId="51A07D09" w14:textId="77777777" w:rsidR="00D924EA" w:rsidRDefault="00011DE9">
            <w:pPr>
              <w:pStyle w:val="P68B1DB1-Normal28"/>
              <w:spacing w:after="0" w:line="240" w:lineRule="auto"/>
              <w:jc w:val="center"/>
              <w:rPr>
                <w:rFonts w:cs="Times New Roman"/>
                <w:noProof/>
                <w:szCs w:val="18"/>
              </w:rPr>
            </w:pPr>
            <w:r>
              <w:rPr>
                <w:noProof/>
              </w:rPr>
              <w:t>Indicator calitativ pentru jaloane</w:t>
            </w:r>
          </w:p>
        </w:tc>
        <w:tc>
          <w:tcPr>
            <w:tcW w:w="2485" w:type="dxa"/>
            <w:gridSpan w:val="3"/>
            <w:shd w:val="clear" w:color="auto" w:fill="B7D4EF"/>
            <w:noWrap/>
            <w:vAlign w:val="center"/>
          </w:tcPr>
          <w:p w14:paraId="14E99C1D" w14:textId="77777777" w:rsidR="00D924EA" w:rsidRDefault="00011DE9">
            <w:pPr>
              <w:pStyle w:val="P68B1DB1-Normal28"/>
              <w:spacing w:after="0" w:line="240" w:lineRule="auto"/>
              <w:jc w:val="center"/>
              <w:rPr>
                <w:rFonts w:cs="Times New Roman"/>
                <w:noProof/>
                <w:szCs w:val="18"/>
              </w:rPr>
            </w:pPr>
            <w:r>
              <w:rPr>
                <w:noProof/>
              </w:rPr>
              <w:t>Indicator cantitativ pentru ținte</w:t>
            </w:r>
          </w:p>
        </w:tc>
        <w:tc>
          <w:tcPr>
            <w:tcW w:w="968" w:type="dxa"/>
            <w:gridSpan w:val="2"/>
            <w:shd w:val="clear" w:color="auto" w:fill="B7D4EF"/>
            <w:noWrap/>
            <w:vAlign w:val="center"/>
          </w:tcPr>
          <w:p w14:paraId="6116AFD8" w14:textId="77777777" w:rsidR="00D924EA" w:rsidRDefault="00011DE9">
            <w:pPr>
              <w:pStyle w:val="P68B1DB1-Normal28"/>
              <w:spacing w:after="0" w:line="240" w:lineRule="auto"/>
              <w:jc w:val="center"/>
              <w:rPr>
                <w:rFonts w:cs="Times New Roman"/>
                <w:noProof/>
                <w:szCs w:val="18"/>
              </w:rPr>
            </w:pPr>
            <w:r>
              <w:rPr>
                <w:noProof/>
              </w:rPr>
              <w:t>Timp</w:t>
            </w:r>
          </w:p>
        </w:tc>
        <w:tc>
          <w:tcPr>
            <w:tcW w:w="5236" w:type="dxa"/>
            <w:vMerge w:val="restart"/>
            <w:shd w:val="clear" w:color="auto" w:fill="B7D4EF"/>
            <w:noWrap/>
            <w:vAlign w:val="center"/>
          </w:tcPr>
          <w:p w14:paraId="3E64CADC" w14:textId="77777777" w:rsidR="00D924EA" w:rsidRDefault="00011DE9">
            <w:pPr>
              <w:pStyle w:val="P68B1DB1-Normal28"/>
              <w:spacing w:after="0" w:line="240" w:lineRule="auto"/>
              <w:jc w:val="center"/>
              <w:rPr>
                <w:rFonts w:cs="Times New Roman"/>
                <w:noProof/>
                <w:szCs w:val="18"/>
              </w:rPr>
            </w:pPr>
            <w:r>
              <w:rPr>
                <w:noProof/>
              </w:rPr>
              <w:t>Descrierea fiecărui jalon și a fiecărei ținte</w:t>
            </w:r>
          </w:p>
        </w:tc>
      </w:tr>
      <w:tr w:rsidR="00D924EA" w14:paraId="50BADE2A" w14:textId="77777777" w:rsidTr="0042520D">
        <w:trPr>
          <w:trHeight w:val="309"/>
          <w:tblHeader/>
          <w:jc w:val="center"/>
        </w:trPr>
        <w:tc>
          <w:tcPr>
            <w:tcW w:w="974" w:type="dxa"/>
            <w:vMerge/>
            <w:noWrap/>
          </w:tcPr>
          <w:p w14:paraId="625C058E" w14:textId="77777777" w:rsidR="00D924EA" w:rsidRDefault="00D924EA">
            <w:pPr>
              <w:spacing w:after="0" w:line="240" w:lineRule="auto"/>
              <w:jc w:val="center"/>
              <w:rPr>
                <w:rFonts w:ascii="Times New Roman" w:hAnsi="Times New Roman" w:cs="Times New Roman"/>
                <w:b/>
                <w:noProof/>
                <w:sz w:val="18"/>
                <w:szCs w:val="18"/>
              </w:rPr>
            </w:pPr>
          </w:p>
        </w:tc>
        <w:tc>
          <w:tcPr>
            <w:tcW w:w="829" w:type="dxa"/>
            <w:vMerge/>
            <w:noWrap/>
          </w:tcPr>
          <w:p w14:paraId="7F4E0AEC" w14:textId="77777777" w:rsidR="00D924EA" w:rsidRDefault="00D924EA">
            <w:pPr>
              <w:spacing w:after="0" w:line="240" w:lineRule="auto"/>
              <w:jc w:val="center"/>
              <w:rPr>
                <w:rFonts w:ascii="Times New Roman" w:hAnsi="Times New Roman" w:cs="Times New Roman"/>
                <w:b/>
                <w:noProof/>
                <w:sz w:val="18"/>
                <w:szCs w:val="18"/>
              </w:rPr>
            </w:pPr>
          </w:p>
        </w:tc>
        <w:tc>
          <w:tcPr>
            <w:tcW w:w="1051" w:type="dxa"/>
            <w:vMerge/>
            <w:noWrap/>
          </w:tcPr>
          <w:p w14:paraId="700606FA" w14:textId="77777777" w:rsidR="00D924EA" w:rsidRDefault="00D924EA">
            <w:pPr>
              <w:spacing w:after="0" w:line="240" w:lineRule="auto"/>
              <w:jc w:val="center"/>
              <w:rPr>
                <w:rFonts w:ascii="Times New Roman" w:hAnsi="Times New Roman" w:cs="Times New Roman"/>
                <w:b/>
                <w:noProof/>
                <w:sz w:val="18"/>
                <w:szCs w:val="18"/>
              </w:rPr>
            </w:pPr>
          </w:p>
        </w:tc>
        <w:tc>
          <w:tcPr>
            <w:tcW w:w="2809" w:type="dxa"/>
            <w:vMerge/>
            <w:noWrap/>
          </w:tcPr>
          <w:p w14:paraId="32469FC7" w14:textId="77777777" w:rsidR="00D924EA" w:rsidRDefault="00D924EA">
            <w:pPr>
              <w:spacing w:after="0" w:line="240" w:lineRule="auto"/>
              <w:rPr>
                <w:rFonts w:ascii="Times New Roman" w:hAnsi="Times New Roman" w:cs="Times New Roman"/>
                <w:b/>
                <w:noProof/>
                <w:sz w:val="18"/>
                <w:szCs w:val="18"/>
              </w:rPr>
            </w:pPr>
          </w:p>
        </w:tc>
        <w:tc>
          <w:tcPr>
            <w:tcW w:w="1242" w:type="dxa"/>
            <w:vMerge/>
            <w:noWrap/>
          </w:tcPr>
          <w:p w14:paraId="5A6C71FA" w14:textId="77777777" w:rsidR="00D924EA" w:rsidRDefault="00D924EA">
            <w:pPr>
              <w:spacing w:after="0" w:line="240" w:lineRule="auto"/>
              <w:jc w:val="center"/>
              <w:rPr>
                <w:rFonts w:ascii="Times New Roman" w:hAnsi="Times New Roman" w:cs="Times New Roman"/>
                <w:b/>
                <w:noProof/>
                <w:sz w:val="18"/>
                <w:szCs w:val="18"/>
              </w:rPr>
            </w:pPr>
          </w:p>
        </w:tc>
        <w:tc>
          <w:tcPr>
            <w:tcW w:w="745" w:type="dxa"/>
            <w:shd w:val="clear" w:color="auto" w:fill="B7D4EF"/>
            <w:noWrap/>
            <w:vAlign w:val="center"/>
          </w:tcPr>
          <w:p w14:paraId="0D5D781D" w14:textId="77777777" w:rsidR="00D924EA" w:rsidRDefault="00011DE9">
            <w:pPr>
              <w:pStyle w:val="P68B1DB1-Normal28"/>
              <w:spacing w:after="0" w:line="240" w:lineRule="auto"/>
              <w:jc w:val="center"/>
              <w:rPr>
                <w:rFonts w:cs="Times New Roman"/>
                <w:noProof/>
                <w:szCs w:val="18"/>
              </w:rPr>
            </w:pPr>
            <w:r>
              <w:rPr>
                <w:noProof/>
              </w:rPr>
              <w:t>Unitate</w:t>
            </w:r>
          </w:p>
        </w:tc>
        <w:tc>
          <w:tcPr>
            <w:tcW w:w="992" w:type="dxa"/>
            <w:shd w:val="clear" w:color="auto" w:fill="B7D4EF"/>
            <w:noWrap/>
            <w:vAlign w:val="center"/>
          </w:tcPr>
          <w:p w14:paraId="55D5A06A" w14:textId="77777777" w:rsidR="00D924EA" w:rsidRDefault="00011DE9">
            <w:pPr>
              <w:pStyle w:val="P68B1DB1-Normal28"/>
              <w:spacing w:after="0" w:line="240" w:lineRule="auto"/>
              <w:jc w:val="center"/>
              <w:rPr>
                <w:rFonts w:cs="Times New Roman"/>
                <w:noProof/>
                <w:szCs w:val="18"/>
              </w:rPr>
            </w:pPr>
            <w:r>
              <w:rPr>
                <w:noProof/>
              </w:rPr>
              <w:t>Situația de referință</w:t>
            </w:r>
          </w:p>
        </w:tc>
        <w:tc>
          <w:tcPr>
            <w:tcW w:w="748" w:type="dxa"/>
            <w:shd w:val="clear" w:color="auto" w:fill="B7D4EF"/>
            <w:noWrap/>
            <w:vAlign w:val="center"/>
          </w:tcPr>
          <w:p w14:paraId="7F77DEF7" w14:textId="77777777" w:rsidR="00D924EA" w:rsidRDefault="00011DE9">
            <w:pPr>
              <w:pStyle w:val="P68B1DB1-Normal28"/>
              <w:spacing w:after="0" w:line="240" w:lineRule="auto"/>
              <w:jc w:val="center"/>
              <w:rPr>
                <w:rFonts w:cs="Times New Roman"/>
                <w:noProof/>
                <w:szCs w:val="18"/>
              </w:rPr>
            </w:pPr>
            <w:r>
              <w:rPr>
                <w:noProof/>
              </w:rPr>
              <w:t>Obiectiv</w:t>
            </w:r>
          </w:p>
        </w:tc>
        <w:tc>
          <w:tcPr>
            <w:tcW w:w="415" w:type="dxa"/>
            <w:shd w:val="clear" w:color="auto" w:fill="B7D4EF"/>
            <w:noWrap/>
            <w:vAlign w:val="center"/>
          </w:tcPr>
          <w:p w14:paraId="34B1AF7A" w14:textId="3137B114" w:rsidR="00D924EA" w:rsidRDefault="0042520D">
            <w:pPr>
              <w:pStyle w:val="P68B1DB1-Normal28"/>
              <w:spacing w:after="0" w:line="240" w:lineRule="auto"/>
              <w:jc w:val="center"/>
              <w:rPr>
                <w:rFonts w:cs="Times New Roman"/>
                <w:noProof/>
                <w:szCs w:val="18"/>
              </w:rPr>
            </w:pPr>
            <w:r>
              <w:rPr>
                <w:noProof/>
              </w:rPr>
              <w:t>T</w:t>
            </w:r>
          </w:p>
        </w:tc>
        <w:tc>
          <w:tcPr>
            <w:tcW w:w="553" w:type="dxa"/>
            <w:shd w:val="clear" w:color="auto" w:fill="B7D4EF"/>
            <w:noWrap/>
            <w:vAlign w:val="center"/>
          </w:tcPr>
          <w:p w14:paraId="1FA5BE01" w14:textId="77777777" w:rsidR="00D924EA" w:rsidRDefault="00011DE9">
            <w:pPr>
              <w:pStyle w:val="P68B1DB1-Normal28"/>
              <w:spacing w:after="0" w:line="240" w:lineRule="auto"/>
              <w:jc w:val="center"/>
              <w:rPr>
                <w:rFonts w:cs="Times New Roman"/>
                <w:noProof/>
                <w:szCs w:val="18"/>
              </w:rPr>
            </w:pPr>
            <w:r>
              <w:rPr>
                <w:noProof/>
              </w:rPr>
              <w:t>Anul</w:t>
            </w:r>
          </w:p>
        </w:tc>
        <w:tc>
          <w:tcPr>
            <w:tcW w:w="5236" w:type="dxa"/>
            <w:vMerge/>
            <w:noWrap/>
          </w:tcPr>
          <w:p w14:paraId="3476E84F" w14:textId="77777777" w:rsidR="00D924EA" w:rsidRDefault="00D924EA">
            <w:pPr>
              <w:spacing w:after="0" w:line="240" w:lineRule="auto"/>
              <w:rPr>
                <w:rFonts w:ascii="Times New Roman" w:hAnsi="Times New Roman" w:cs="Times New Roman"/>
                <w:b/>
                <w:noProof/>
                <w:sz w:val="18"/>
                <w:szCs w:val="18"/>
              </w:rPr>
            </w:pPr>
          </w:p>
        </w:tc>
      </w:tr>
      <w:tr w:rsidR="00D924EA" w14:paraId="4A8D43D8" w14:textId="77777777" w:rsidTr="0042520D">
        <w:trPr>
          <w:trHeight w:val="499"/>
          <w:jc w:val="center"/>
        </w:trPr>
        <w:tc>
          <w:tcPr>
            <w:tcW w:w="974" w:type="dxa"/>
            <w:shd w:val="clear" w:color="auto" w:fill="C6EFCE"/>
            <w:noWrap/>
          </w:tcPr>
          <w:p w14:paraId="2BE9C554" w14:textId="77777777" w:rsidR="00D924EA" w:rsidRDefault="00011DE9">
            <w:pPr>
              <w:pStyle w:val="P68B1DB1-Normal23"/>
              <w:spacing w:after="0" w:line="240" w:lineRule="auto"/>
              <w:jc w:val="center"/>
              <w:rPr>
                <w:rFonts w:eastAsia="MS Mincho" w:cs="Times New Roman"/>
                <w:noProof/>
                <w:szCs w:val="18"/>
              </w:rPr>
            </w:pPr>
            <w:r>
              <w:rPr>
                <w:noProof/>
              </w:rPr>
              <w:t>L8</w:t>
            </w:r>
          </w:p>
        </w:tc>
        <w:tc>
          <w:tcPr>
            <w:tcW w:w="829" w:type="dxa"/>
            <w:shd w:val="clear" w:color="auto" w:fill="C6EFCE"/>
            <w:noWrap/>
          </w:tcPr>
          <w:p w14:paraId="4243F9B6" w14:textId="77777777" w:rsidR="00D924EA" w:rsidRDefault="00011DE9">
            <w:pPr>
              <w:pStyle w:val="P68B1DB1-Normal23"/>
              <w:spacing w:after="0" w:line="240" w:lineRule="auto"/>
              <w:jc w:val="center"/>
              <w:rPr>
                <w:rFonts w:eastAsia="MS Mincho" w:cs="Times New Roman"/>
                <w:noProof/>
                <w:szCs w:val="18"/>
              </w:rPr>
            </w:pPr>
            <w:r>
              <w:rPr>
                <w:noProof/>
              </w:rPr>
              <w:t>C3.R7</w:t>
            </w:r>
          </w:p>
        </w:tc>
        <w:tc>
          <w:tcPr>
            <w:tcW w:w="1051" w:type="dxa"/>
            <w:shd w:val="clear" w:color="auto" w:fill="C6EFCE"/>
            <w:noWrap/>
          </w:tcPr>
          <w:p w14:paraId="44CF9EEC" w14:textId="77777777" w:rsidR="00D924EA" w:rsidRDefault="00011DE9">
            <w:pPr>
              <w:pStyle w:val="P68B1DB1-Normal23"/>
              <w:spacing w:after="0" w:line="240" w:lineRule="auto"/>
              <w:jc w:val="center"/>
              <w:rPr>
                <w:rFonts w:eastAsia="MS Mincho" w:cs="Times New Roman"/>
                <w:noProof/>
                <w:szCs w:val="18"/>
              </w:rPr>
            </w:pPr>
            <w:r>
              <w:rPr>
                <w:noProof/>
              </w:rPr>
              <w:t xml:space="preserve">M </w:t>
            </w:r>
          </w:p>
        </w:tc>
        <w:tc>
          <w:tcPr>
            <w:tcW w:w="2809" w:type="dxa"/>
            <w:shd w:val="clear" w:color="auto" w:fill="C6EFCE"/>
            <w:noWrap/>
          </w:tcPr>
          <w:p w14:paraId="6C109B79" w14:textId="77777777" w:rsidR="00D924EA" w:rsidRDefault="00011DE9">
            <w:pPr>
              <w:pStyle w:val="P68B1DB1-Normal23"/>
              <w:spacing w:after="0" w:line="240" w:lineRule="auto"/>
              <w:rPr>
                <w:rFonts w:eastAsia="MS Mincho" w:cs="Times New Roman"/>
                <w:noProof/>
                <w:szCs w:val="18"/>
              </w:rPr>
            </w:pPr>
            <w:r>
              <w:rPr>
                <w:noProof/>
              </w:rPr>
              <w:t>Intrarea în vigoare a Legii privind prevenirea pierderilor și a risipei de alimente</w:t>
            </w:r>
          </w:p>
        </w:tc>
        <w:tc>
          <w:tcPr>
            <w:tcW w:w="1242" w:type="dxa"/>
            <w:shd w:val="clear" w:color="auto" w:fill="C6EFCE"/>
            <w:noWrap/>
          </w:tcPr>
          <w:p w14:paraId="542965B2" w14:textId="77777777" w:rsidR="00D924EA" w:rsidRDefault="00011DE9">
            <w:pPr>
              <w:pStyle w:val="P68B1DB1-Normal23"/>
              <w:spacing w:after="0" w:line="240" w:lineRule="auto"/>
              <w:jc w:val="center"/>
              <w:rPr>
                <w:rFonts w:eastAsia="MS Mincho" w:cs="Times New Roman"/>
                <w:noProof/>
                <w:szCs w:val="18"/>
              </w:rPr>
            </w:pPr>
            <w:r>
              <w:rPr>
                <w:noProof/>
              </w:rPr>
              <w:t>Dispoziție legală privind intrarea în vigoare</w:t>
            </w:r>
          </w:p>
        </w:tc>
        <w:tc>
          <w:tcPr>
            <w:tcW w:w="745" w:type="dxa"/>
            <w:shd w:val="clear" w:color="auto" w:fill="C6EFCE"/>
            <w:noWrap/>
          </w:tcPr>
          <w:p w14:paraId="532F3781"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992" w:type="dxa"/>
            <w:shd w:val="clear" w:color="auto" w:fill="C6EFCE"/>
            <w:noWrap/>
          </w:tcPr>
          <w:p w14:paraId="55712189"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48" w:type="dxa"/>
            <w:shd w:val="clear" w:color="auto" w:fill="C6EFCE"/>
            <w:noWrap/>
          </w:tcPr>
          <w:p w14:paraId="70205E28"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24C9191F" w14:textId="44304E10" w:rsidR="00D924EA" w:rsidRDefault="005701C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51D58603" w14:textId="44BA6C5E" w:rsidR="00D924EA" w:rsidRDefault="00011DE9">
            <w:pPr>
              <w:pStyle w:val="P68B1DB1-Normal23"/>
              <w:spacing w:after="0" w:line="240" w:lineRule="auto"/>
              <w:jc w:val="center"/>
              <w:rPr>
                <w:rFonts w:eastAsia="MS Mincho" w:cs="Times New Roman"/>
                <w:noProof/>
                <w:szCs w:val="18"/>
              </w:rPr>
            </w:pPr>
            <w:r>
              <w:rPr>
                <w:noProof/>
              </w:rPr>
              <w:t xml:space="preserve">2025 </w:t>
            </w:r>
          </w:p>
        </w:tc>
        <w:tc>
          <w:tcPr>
            <w:tcW w:w="5236" w:type="dxa"/>
            <w:shd w:val="clear" w:color="auto" w:fill="C6EFCE"/>
            <w:noWrap/>
          </w:tcPr>
          <w:p w14:paraId="0783136F" w14:textId="5C3D9265" w:rsidR="00D924EA" w:rsidRDefault="00011DE9">
            <w:pPr>
              <w:pStyle w:val="P68B1DB1-Normal23"/>
              <w:spacing w:line="240" w:lineRule="auto"/>
              <w:jc w:val="both"/>
              <w:rPr>
                <w:rFonts w:cs="Times New Roman"/>
                <w:noProof/>
                <w:szCs w:val="18"/>
              </w:rPr>
            </w:pPr>
            <w:r>
              <w:rPr>
                <w:noProof/>
              </w:rPr>
              <w:t>Intrarea în vigoare a unei legi privind prevenirea pierderilor și a risipei de alimente.</w:t>
            </w:r>
          </w:p>
        </w:tc>
      </w:tr>
      <w:tr w:rsidR="00D924EA" w14:paraId="09A5094C" w14:textId="77777777" w:rsidTr="0042520D">
        <w:trPr>
          <w:trHeight w:val="309"/>
          <w:jc w:val="center"/>
        </w:trPr>
        <w:tc>
          <w:tcPr>
            <w:tcW w:w="974" w:type="dxa"/>
            <w:shd w:val="clear" w:color="auto" w:fill="C6EFCE"/>
            <w:noWrap/>
          </w:tcPr>
          <w:p w14:paraId="287089FD" w14:textId="77777777" w:rsidR="00D924EA" w:rsidRDefault="00011DE9">
            <w:pPr>
              <w:pStyle w:val="P68B1DB1-Normal23"/>
              <w:spacing w:after="0" w:line="240" w:lineRule="auto"/>
              <w:jc w:val="center"/>
              <w:rPr>
                <w:rFonts w:cs="Times New Roman"/>
                <w:noProof/>
                <w:szCs w:val="18"/>
              </w:rPr>
            </w:pPr>
            <w:r>
              <w:rPr>
                <w:noProof/>
              </w:rPr>
              <w:t>L9</w:t>
            </w:r>
          </w:p>
        </w:tc>
        <w:tc>
          <w:tcPr>
            <w:tcW w:w="829" w:type="dxa"/>
            <w:shd w:val="clear" w:color="auto" w:fill="C6EFCE"/>
            <w:noWrap/>
          </w:tcPr>
          <w:p w14:paraId="006A848F" w14:textId="77777777" w:rsidR="00D924EA" w:rsidRDefault="00011DE9">
            <w:pPr>
              <w:pStyle w:val="P68B1DB1-Normal23"/>
              <w:spacing w:after="0" w:line="240" w:lineRule="auto"/>
              <w:jc w:val="center"/>
              <w:rPr>
                <w:rFonts w:cs="Times New Roman"/>
                <w:noProof/>
                <w:szCs w:val="18"/>
              </w:rPr>
            </w:pPr>
            <w:r>
              <w:rPr>
                <w:noProof/>
              </w:rPr>
              <w:t>C3.R8</w:t>
            </w:r>
          </w:p>
        </w:tc>
        <w:tc>
          <w:tcPr>
            <w:tcW w:w="1051" w:type="dxa"/>
            <w:shd w:val="clear" w:color="auto" w:fill="C6EFCE"/>
            <w:noWrap/>
          </w:tcPr>
          <w:p w14:paraId="116C06AB" w14:textId="77777777" w:rsidR="00D924EA" w:rsidRDefault="00011DE9">
            <w:pPr>
              <w:pStyle w:val="P68B1DB1-Normal23"/>
              <w:spacing w:after="0" w:line="240" w:lineRule="auto"/>
              <w:jc w:val="center"/>
              <w:rPr>
                <w:rFonts w:cs="Times New Roman"/>
                <w:noProof/>
                <w:szCs w:val="18"/>
              </w:rPr>
            </w:pPr>
            <w:r>
              <w:rPr>
                <w:noProof/>
              </w:rPr>
              <w:t>M</w:t>
            </w:r>
          </w:p>
        </w:tc>
        <w:tc>
          <w:tcPr>
            <w:tcW w:w="2809" w:type="dxa"/>
            <w:shd w:val="clear" w:color="auto" w:fill="C6EFCE"/>
            <w:noWrap/>
          </w:tcPr>
          <w:p w14:paraId="784881BF" w14:textId="04B75486" w:rsidR="00D924EA" w:rsidRDefault="00011DE9">
            <w:pPr>
              <w:pStyle w:val="P68B1DB1-Normal23"/>
              <w:spacing w:after="0" w:line="240" w:lineRule="auto"/>
              <w:rPr>
                <w:rFonts w:cs="Times New Roman"/>
                <w:noProof/>
                <w:szCs w:val="18"/>
              </w:rPr>
            </w:pPr>
            <w:r>
              <w:rPr>
                <w:noProof/>
              </w:rPr>
              <w:t>Intrarea în vigoare a unui act juridic de instituire a sistemului de informații pentru exploatațiile agricole</w:t>
            </w:r>
          </w:p>
        </w:tc>
        <w:tc>
          <w:tcPr>
            <w:tcW w:w="1242" w:type="dxa"/>
            <w:shd w:val="clear" w:color="auto" w:fill="C6EFCE"/>
            <w:noWrap/>
          </w:tcPr>
          <w:p w14:paraId="10A66780" w14:textId="7726BD51" w:rsidR="00D924EA" w:rsidRDefault="00011DE9">
            <w:pPr>
              <w:pStyle w:val="P68B1DB1-Normal24"/>
              <w:spacing w:after="0" w:line="240" w:lineRule="auto"/>
              <w:jc w:val="center"/>
              <w:rPr>
                <w:rFonts w:cs="Times New Roman"/>
                <w:noProof/>
              </w:rPr>
            </w:pPr>
            <w:r>
              <w:rPr>
                <w:noProof/>
              </w:rPr>
              <w:t>Dispoziție din actul juridic privind intrarea în vigoare</w:t>
            </w:r>
          </w:p>
        </w:tc>
        <w:tc>
          <w:tcPr>
            <w:tcW w:w="745" w:type="dxa"/>
            <w:shd w:val="clear" w:color="auto" w:fill="C6EFCE"/>
            <w:noWrap/>
          </w:tcPr>
          <w:p w14:paraId="5ADD52F8" w14:textId="77777777" w:rsidR="00D924EA" w:rsidRDefault="00011DE9">
            <w:pPr>
              <w:pStyle w:val="P68B1DB1-Normal23"/>
              <w:spacing w:after="0" w:line="240" w:lineRule="auto"/>
              <w:jc w:val="right"/>
              <w:rPr>
                <w:rFonts w:cs="Times New Roman"/>
                <w:noProof/>
                <w:szCs w:val="18"/>
              </w:rPr>
            </w:pPr>
            <w:r>
              <w:rPr>
                <w:noProof/>
              </w:rPr>
              <w:t xml:space="preserve"> </w:t>
            </w:r>
          </w:p>
        </w:tc>
        <w:tc>
          <w:tcPr>
            <w:tcW w:w="992" w:type="dxa"/>
            <w:shd w:val="clear" w:color="auto" w:fill="C6EFCE"/>
            <w:noWrap/>
          </w:tcPr>
          <w:p w14:paraId="77C4DA25" w14:textId="77777777" w:rsidR="00D924EA" w:rsidRDefault="00011DE9">
            <w:pPr>
              <w:pStyle w:val="P68B1DB1-Normal23"/>
              <w:spacing w:after="0" w:line="240" w:lineRule="auto"/>
              <w:jc w:val="right"/>
              <w:rPr>
                <w:rFonts w:cs="Times New Roman"/>
                <w:noProof/>
                <w:szCs w:val="18"/>
              </w:rPr>
            </w:pPr>
            <w:r>
              <w:rPr>
                <w:noProof/>
              </w:rPr>
              <w:t xml:space="preserve"> </w:t>
            </w:r>
          </w:p>
        </w:tc>
        <w:tc>
          <w:tcPr>
            <w:tcW w:w="748" w:type="dxa"/>
            <w:shd w:val="clear" w:color="auto" w:fill="C6EFCE"/>
            <w:noWrap/>
          </w:tcPr>
          <w:p w14:paraId="55F1A66A" w14:textId="77777777" w:rsidR="00D924EA" w:rsidRDefault="00011DE9">
            <w:pPr>
              <w:pStyle w:val="P68B1DB1-Normal23"/>
              <w:spacing w:after="0" w:line="240" w:lineRule="auto"/>
              <w:jc w:val="right"/>
              <w:rPr>
                <w:rFonts w:cs="Times New Roman"/>
                <w:noProof/>
                <w:szCs w:val="18"/>
              </w:rPr>
            </w:pPr>
            <w:r>
              <w:rPr>
                <w:noProof/>
              </w:rPr>
              <w:t xml:space="preserve"> </w:t>
            </w:r>
          </w:p>
        </w:tc>
        <w:tc>
          <w:tcPr>
            <w:tcW w:w="415" w:type="dxa"/>
            <w:shd w:val="clear" w:color="auto" w:fill="C6EFCE"/>
            <w:noWrap/>
          </w:tcPr>
          <w:p w14:paraId="328A1CC8" w14:textId="190E5386" w:rsidR="00D924EA" w:rsidRDefault="005701C9">
            <w:pPr>
              <w:pStyle w:val="P68B1DB1-Normal23"/>
              <w:spacing w:after="0" w:line="240" w:lineRule="auto"/>
              <w:jc w:val="center"/>
              <w:rPr>
                <w:rFonts w:cs="Times New Roman"/>
                <w:noProof/>
                <w:szCs w:val="18"/>
              </w:rPr>
            </w:pPr>
            <w:r>
              <w:rPr>
                <w:noProof/>
              </w:rPr>
              <w:t>T4</w:t>
            </w:r>
          </w:p>
        </w:tc>
        <w:tc>
          <w:tcPr>
            <w:tcW w:w="553" w:type="dxa"/>
            <w:shd w:val="clear" w:color="auto" w:fill="C6EFCE"/>
            <w:noWrap/>
          </w:tcPr>
          <w:p w14:paraId="777EEA30" w14:textId="77777777" w:rsidR="00D924EA" w:rsidRDefault="00011DE9">
            <w:pPr>
              <w:pStyle w:val="P68B1DB1-Normal23"/>
              <w:spacing w:after="0" w:line="240" w:lineRule="auto"/>
              <w:jc w:val="center"/>
              <w:rPr>
                <w:rFonts w:cs="Times New Roman"/>
                <w:noProof/>
                <w:szCs w:val="18"/>
              </w:rPr>
            </w:pPr>
            <w:r>
              <w:rPr>
                <w:noProof/>
              </w:rPr>
              <w:t xml:space="preserve">2025 </w:t>
            </w:r>
          </w:p>
        </w:tc>
        <w:tc>
          <w:tcPr>
            <w:tcW w:w="5236" w:type="dxa"/>
            <w:shd w:val="clear" w:color="auto" w:fill="C6EFCE"/>
            <w:noWrap/>
          </w:tcPr>
          <w:p w14:paraId="5AEB22DB" w14:textId="1AF76C5F" w:rsidR="00D924EA" w:rsidRDefault="00011DE9">
            <w:pPr>
              <w:pStyle w:val="P68B1DB1-Normal23"/>
              <w:spacing w:after="0" w:line="240" w:lineRule="auto"/>
              <w:rPr>
                <w:rFonts w:cs="Times New Roman"/>
                <w:noProof/>
                <w:szCs w:val="18"/>
              </w:rPr>
            </w:pPr>
            <w:r>
              <w:rPr>
                <w:noProof/>
              </w:rPr>
              <w:t>Intrarea în vigoare a actului juridic de instituire a sistemului de informații pentru exploatațiile agricole.</w:t>
            </w:r>
          </w:p>
        </w:tc>
      </w:tr>
      <w:tr w:rsidR="00D924EA" w14:paraId="1210F14A" w14:textId="77777777" w:rsidTr="0042520D">
        <w:trPr>
          <w:trHeight w:val="309"/>
          <w:jc w:val="center"/>
        </w:trPr>
        <w:tc>
          <w:tcPr>
            <w:tcW w:w="974" w:type="dxa"/>
            <w:shd w:val="clear" w:color="auto" w:fill="C6EFCE"/>
            <w:noWrap/>
          </w:tcPr>
          <w:p w14:paraId="1B626501" w14:textId="77777777" w:rsidR="00D924EA" w:rsidRDefault="00011DE9">
            <w:pPr>
              <w:pStyle w:val="P68B1DB1-Normal23"/>
              <w:spacing w:after="0" w:line="240" w:lineRule="auto"/>
              <w:jc w:val="center"/>
              <w:rPr>
                <w:rFonts w:cs="Times New Roman"/>
                <w:noProof/>
                <w:szCs w:val="18"/>
              </w:rPr>
            </w:pPr>
            <w:r>
              <w:rPr>
                <w:noProof/>
              </w:rPr>
              <w:t>L10</w:t>
            </w:r>
          </w:p>
        </w:tc>
        <w:tc>
          <w:tcPr>
            <w:tcW w:w="829" w:type="dxa"/>
            <w:shd w:val="clear" w:color="auto" w:fill="C6EFCE"/>
            <w:noWrap/>
          </w:tcPr>
          <w:p w14:paraId="28C99A47" w14:textId="77777777" w:rsidR="00D924EA" w:rsidRDefault="00011DE9">
            <w:pPr>
              <w:pStyle w:val="P68B1DB1-Normal23"/>
              <w:spacing w:after="0" w:line="240" w:lineRule="auto"/>
              <w:jc w:val="center"/>
              <w:rPr>
                <w:rFonts w:cs="Times New Roman"/>
                <w:noProof/>
                <w:szCs w:val="18"/>
              </w:rPr>
            </w:pPr>
            <w:r>
              <w:rPr>
                <w:noProof/>
              </w:rPr>
              <w:t>C3.I12</w:t>
            </w:r>
          </w:p>
        </w:tc>
        <w:tc>
          <w:tcPr>
            <w:tcW w:w="1051" w:type="dxa"/>
            <w:shd w:val="clear" w:color="auto" w:fill="C6EFCE"/>
            <w:noWrap/>
          </w:tcPr>
          <w:p w14:paraId="59305123" w14:textId="77777777" w:rsidR="00D924EA" w:rsidRDefault="00011DE9">
            <w:pPr>
              <w:pStyle w:val="P68B1DB1-Normal23"/>
              <w:spacing w:after="0" w:line="240" w:lineRule="auto"/>
              <w:jc w:val="center"/>
              <w:rPr>
                <w:rFonts w:cs="Times New Roman"/>
                <w:noProof/>
                <w:szCs w:val="18"/>
              </w:rPr>
            </w:pPr>
            <w:r>
              <w:rPr>
                <w:noProof/>
              </w:rPr>
              <w:t>T</w:t>
            </w:r>
          </w:p>
        </w:tc>
        <w:tc>
          <w:tcPr>
            <w:tcW w:w="2809" w:type="dxa"/>
            <w:shd w:val="clear" w:color="auto" w:fill="C6EFCE"/>
            <w:noWrap/>
          </w:tcPr>
          <w:p w14:paraId="2DA58029" w14:textId="77777777" w:rsidR="00D924EA" w:rsidRDefault="00011DE9">
            <w:pPr>
              <w:pStyle w:val="P68B1DB1-Normal23"/>
              <w:spacing w:after="0" w:line="240" w:lineRule="auto"/>
              <w:rPr>
                <w:rFonts w:cs="Times New Roman"/>
                <w:noProof/>
                <w:szCs w:val="18"/>
              </w:rPr>
            </w:pPr>
            <w:r>
              <w:rPr>
                <w:noProof/>
              </w:rPr>
              <w:t>Intrarea în vigoare a acordului dintre Ministerul Agriculturii, Pescuitului și Alimentației (MAPA) și SEIASA pentru a sprijini îmbunătățirea și sustenabilitatea suprafețelor irigate (faza III)</w:t>
            </w:r>
          </w:p>
        </w:tc>
        <w:tc>
          <w:tcPr>
            <w:tcW w:w="1242" w:type="dxa"/>
            <w:shd w:val="clear" w:color="auto" w:fill="C6EFCE"/>
            <w:noWrap/>
          </w:tcPr>
          <w:p w14:paraId="41327392" w14:textId="77777777" w:rsidR="00D924EA" w:rsidRDefault="00D924EA">
            <w:pPr>
              <w:spacing w:after="0" w:line="240" w:lineRule="auto"/>
              <w:jc w:val="center"/>
              <w:rPr>
                <w:rFonts w:ascii="Times New Roman" w:hAnsi="Times New Roman" w:cs="Times New Roman"/>
                <w:noProof/>
                <w:sz w:val="18"/>
                <w:szCs w:val="18"/>
              </w:rPr>
            </w:pPr>
          </w:p>
        </w:tc>
        <w:tc>
          <w:tcPr>
            <w:tcW w:w="745" w:type="dxa"/>
            <w:shd w:val="clear" w:color="auto" w:fill="C6EFCE"/>
            <w:noWrap/>
          </w:tcPr>
          <w:p w14:paraId="4788773D" w14:textId="77777777" w:rsidR="00D924EA" w:rsidRDefault="00011DE9">
            <w:pPr>
              <w:pStyle w:val="P68B1DB1-Normal23"/>
              <w:spacing w:after="0" w:line="240" w:lineRule="auto"/>
              <w:rPr>
                <w:rFonts w:cs="Times New Roman"/>
                <w:noProof/>
                <w:szCs w:val="18"/>
              </w:rPr>
            </w:pPr>
            <w:r>
              <w:rPr>
                <w:noProof/>
              </w:rPr>
              <w:t>Milioane EUR</w:t>
            </w:r>
          </w:p>
        </w:tc>
        <w:tc>
          <w:tcPr>
            <w:tcW w:w="992" w:type="dxa"/>
            <w:shd w:val="clear" w:color="auto" w:fill="C6EFCE"/>
            <w:noWrap/>
          </w:tcPr>
          <w:p w14:paraId="595338C6" w14:textId="77777777" w:rsidR="00D924EA" w:rsidRDefault="00011DE9">
            <w:pPr>
              <w:pStyle w:val="P68B1DB1-Normal23"/>
              <w:spacing w:after="0" w:line="240" w:lineRule="auto"/>
              <w:jc w:val="right"/>
              <w:rPr>
                <w:rFonts w:cs="Times New Roman"/>
                <w:noProof/>
                <w:szCs w:val="18"/>
              </w:rPr>
            </w:pPr>
            <w:r>
              <w:rPr>
                <w:noProof/>
              </w:rPr>
              <w:t>0</w:t>
            </w:r>
          </w:p>
        </w:tc>
        <w:tc>
          <w:tcPr>
            <w:tcW w:w="748" w:type="dxa"/>
            <w:shd w:val="clear" w:color="auto" w:fill="C6EFCE"/>
            <w:noWrap/>
          </w:tcPr>
          <w:p w14:paraId="68B5E70F" w14:textId="77777777" w:rsidR="00D924EA" w:rsidRDefault="00011DE9">
            <w:pPr>
              <w:pStyle w:val="P68B1DB1-Normal23"/>
              <w:spacing w:after="0" w:line="240" w:lineRule="auto"/>
              <w:jc w:val="right"/>
              <w:rPr>
                <w:rFonts w:cs="Times New Roman"/>
                <w:noProof/>
                <w:szCs w:val="18"/>
              </w:rPr>
            </w:pPr>
            <w:r>
              <w:rPr>
                <w:noProof/>
              </w:rPr>
              <w:t>260</w:t>
            </w:r>
          </w:p>
        </w:tc>
        <w:tc>
          <w:tcPr>
            <w:tcW w:w="415" w:type="dxa"/>
            <w:shd w:val="clear" w:color="auto" w:fill="C6EFCE"/>
            <w:noWrap/>
          </w:tcPr>
          <w:p w14:paraId="256E1034" w14:textId="0114B8FE" w:rsidR="00D924EA" w:rsidRDefault="005701C9">
            <w:pPr>
              <w:pStyle w:val="P68B1DB1-Normal23"/>
              <w:spacing w:after="0" w:line="240" w:lineRule="auto"/>
              <w:jc w:val="center"/>
              <w:rPr>
                <w:rFonts w:cs="Times New Roman"/>
                <w:noProof/>
                <w:szCs w:val="18"/>
              </w:rPr>
            </w:pPr>
            <w:r>
              <w:rPr>
                <w:noProof/>
              </w:rPr>
              <w:t>T4</w:t>
            </w:r>
          </w:p>
        </w:tc>
        <w:tc>
          <w:tcPr>
            <w:tcW w:w="553" w:type="dxa"/>
            <w:shd w:val="clear" w:color="auto" w:fill="C6EFCE"/>
            <w:noWrap/>
          </w:tcPr>
          <w:p w14:paraId="0A7067FF" w14:textId="77777777" w:rsidR="00D924EA" w:rsidRDefault="00011DE9">
            <w:pPr>
              <w:pStyle w:val="P68B1DB1-Normal23"/>
              <w:spacing w:after="0" w:line="240" w:lineRule="auto"/>
              <w:jc w:val="center"/>
              <w:rPr>
                <w:rFonts w:cs="Times New Roman"/>
                <w:noProof/>
                <w:szCs w:val="18"/>
              </w:rPr>
            </w:pPr>
            <w:r>
              <w:rPr>
                <w:noProof/>
              </w:rPr>
              <w:t>2023</w:t>
            </w:r>
          </w:p>
        </w:tc>
        <w:tc>
          <w:tcPr>
            <w:tcW w:w="5236" w:type="dxa"/>
            <w:shd w:val="clear" w:color="auto" w:fill="C6EFCE"/>
            <w:noWrap/>
          </w:tcPr>
          <w:p w14:paraId="15525198" w14:textId="77777777" w:rsidR="00D924EA" w:rsidRDefault="00011DE9">
            <w:pPr>
              <w:pStyle w:val="P68B1DB1-Normal29"/>
              <w:spacing w:after="0" w:line="240" w:lineRule="auto"/>
              <w:rPr>
                <w:rFonts w:cs="Times New Roman"/>
                <w:noProof/>
                <w:sz w:val="18"/>
                <w:szCs w:val="18"/>
              </w:rPr>
            </w:pPr>
            <w:r>
              <w:rPr>
                <w:noProof/>
                <w:sz w:val="18"/>
              </w:rPr>
              <w:t>Acordul de colaborare dintre Ministerul Agriculturii, Pescuitului și Alimentației (MAPA) și SEIASA (faza III; 260</w:t>
            </w:r>
            <w:r>
              <w:rPr>
                <w:noProof/>
                <w:sz w:val="20"/>
              </w:rPr>
              <w:t xml:space="preserve"> </w:t>
            </w:r>
            <w:r>
              <w:rPr>
                <w:noProof/>
                <w:sz w:val="18"/>
              </w:rPr>
              <w:t>000</w:t>
            </w:r>
            <w:r>
              <w:rPr>
                <w:noProof/>
                <w:sz w:val="20"/>
              </w:rPr>
              <w:t xml:space="preserve"> </w:t>
            </w:r>
            <w:r>
              <w:rPr>
                <w:noProof/>
                <w:sz w:val="18"/>
              </w:rPr>
              <w:t>000 EUR din execuția bugetară) va pune în aplicare condițiile planului de îmbunătățire a eficienței și sustenabilității irigațiilor care se desfășoară în cadrul acestui proiect de investiții. Această normă juridică reglementează, printre alte aspecte, regimul de finanțare publică/privată pentru aceste investiții în modernizarea irigațiilor, criteriile de selecție a proiectelor, procedurile de execuție a planului, precum și lista acțiunilor care urmează să fie efectuate în legătură cu execuția bugetară în cadrul acestei măsuri.</w:t>
            </w:r>
          </w:p>
        </w:tc>
      </w:tr>
      <w:tr w:rsidR="00D924EA" w14:paraId="6676B7DF" w14:textId="77777777" w:rsidTr="0042520D">
        <w:trPr>
          <w:trHeight w:val="309"/>
          <w:jc w:val="center"/>
        </w:trPr>
        <w:tc>
          <w:tcPr>
            <w:tcW w:w="974" w:type="dxa"/>
            <w:shd w:val="clear" w:color="auto" w:fill="C6EFCE"/>
            <w:noWrap/>
          </w:tcPr>
          <w:p w14:paraId="2F0558C9" w14:textId="77777777" w:rsidR="00D924EA" w:rsidRDefault="00011DE9">
            <w:pPr>
              <w:pStyle w:val="P68B1DB1-Normal23"/>
              <w:spacing w:after="0" w:line="240" w:lineRule="auto"/>
              <w:jc w:val="center"/>
              <w:rPr>
                <w:rFonts w:cs="Times New Roman"/>
                <w:noProof/>
                <w:szCs w:val="18"/>
              </w:rPr>
            </w:pPr>
            <w:r>
              <w:rPr>
                <w:noProof/>
              </w:rPr>
              <w:t>L11</w:t>
            </w:r>
          </w:p>
        </w:tc>
        <w:tc>
          <w:tcPr>
            <w:tcW w:w="829" w:type="dxa"/>
            <w:shd w:val="clear" w:color="auto" w:fill="C6EFCE"/>
            <w:noWrap/>
          </w:tcPr>
          <w:p w14:paraId="7B2BD3A2" w14:textId="77777777" w:rsidR="00D924EA" w:rsidRDefault="00011DE9">
            <w:pPr>
              <w:pStyle w:val="P68B1DB1-Normal23"/>
              <w:spacing w:after="0" w:line="240" w:lineRule="auto"/>
              <w:jc w:val="center"/>
              <w:rPr>
                <w:rFonts w:cs="Times New Roman"/>
                <w:noProof/>
                <w:szCs w:val="18"/>
              </w:rPr>
            </w:pPr>
            <w:r>
              <w:rPr>
                <w:noProof/>
              </w:rPr>
              <w:t>C3.I12</w:t>
            </w:r>
          </w:p>
        </w:tc>
        <w:tc>
          <w:tcPr>
            <w:tcW w:w="1051" w:type="dxa"/>
            <w:shd w:val="clear" w:color="auto" w:fill="C6EFCE"/>
            <w:noWrap/>
          </w:tcPr>
          <w:p w14:paraId="5B62EC08" w14:textId="71506394" w:rsidR="00D924EA" w:rsidRDefault="00011DE9">
            <w:pPr>
              <w:pStyle w:val="P68B1DB1-Normal23"/>
              <w:spacing w:after="0" w:line="240" w:lineRule="auto"/>
              <w:jc w:val="center"/>
              <w:rPr>
                <w:rFonts w:cs="Times New Roman"/>
                <w:noProof/>
                <w:szCs w:val="18"/>
              </w:rPr>
            </w:pPr>
            <w:r>
              <w:rPr>
                <w:noProof/>
              </w:rPr>
              <w:t>T</w:t>
            </w:r>
          </w:p>
        </w:tc>
        <w:tc>
          <w:tcPr>
            <w:tcW w:w="2809" w:type="dxa"/>
            <w:shd w:val="clear" w:color="auto" w:fill="C6EFCE"/>
            <w:noWrap/>
          </w:tcPr>
          <w:p w14:paraId="7D05C43F" w14:textId="52B785DB" w:rsidR="00D924EA" w:rsidRDefault="00011DE9">
            <w:pPr>
              <w:pStyle w:val="P68B1DB1-Normal23"/>
              <w:spacing w:after="0" w:line="240" w:lineRule="auto"/>
              <w:rPr>
                <w:rFonts w:cs="Times New Roman"/>
                <w:noProof/>
                <w:szCs w:val="18"/>
              </w:rPr>
            </w:pPr>
            <w:r>
              <w:rPr>
                <w:noProof/>
              </w:rPr>
              <w:t xml:space="preserve">Modernizarea sistemelor de irigații </w:t>
            </w:r>
          </w:p>
        </w:tc>
        <w:tc>
          <w:tcPr>
            <w:tcW w:w="1242" w:type="dxa"/>
            <w:shd w:val="clear" w:color="auto" w:fill="C6EFCE"/>
            <w:noWrap/>
          </w:tcPr>
          <w:p w14:paraId="6146A0D1" w14:textId="77777777" w:rsidR="00D924EA" w:rsidRDefault="00D924EA">
            <w:pPr>
              <w:spacing w:after="0" w:line="240" w:lineRule="auto"/>
              <w:jc w:val="center"/>
              <w:rPr>
                <w:rFonts w:ascii="Times New Roman" w:hAnsi="Times New Roman" w:cs="Times New Roman"/>
                <w:noProof/>
                <w:sz w:val="18"/>
                <w:szCs w:val="18"/>
              </w:rPr>
            </w:pPr>
          </w:p>
          <w:p w14:paraId="6D945C8C" w14:textId="77777777" w:rsidR="00D924EA" w:rsidRDefault="00D924EA">
            <w:pPr>
              <w:spacing w:after="0" w:line="240" w:lineRule="auto"/>
              <w:jc w:val="center"/>
              <w:rPr>
                <w:rFonts w:ascii="Times New Roman" w:hAnsi="Times New Roman" w:cs="Times New Roman"/>
                <w:noProof/>
                <w:sz w:val="18"/>
                <w:szCs w:val="18"/>
              </w:rPr>
            </w:pPr>
          </w:p>
          <w:p w14:paraId="6FAF52E7" w14:textId="77777777" w:rsidR="00D924EA" w:rsidRDefault="00D924EA">
            <w:pPr>
              <w:rPr>
                <w:rFonts w:ascii="Times New Roman" w:hAnsi="Times New Roman" w:cs="Times New Roman"/>
                <w:noProof/>
                <w:sz w:val="18"/>
                <w:szCs w:val="18"/>
              </w:rPr>
            </w:pPr>
          </w:p>
          <w:p w14:paraId="340C656D" w14:textId="77777777" w:rsidR="00D924EA" w:rsidRDefault="00D924EA">
            <w:pPr>
              <w:spacing w:after="0" w:line="240" w:lineRule="auto"/>
              <w:jc w:val="center"/>
              <w:rPr>
                <w:rFonts w:ascii="Times New Roman" w:hAnsi="Times New Roman" w:cs="Times New Roman"/>
                <w:noProof/>
                <w:sz w:val="18"/>
                <w:szCs w:val="18"/>
              </w:rPr>
            </w:pPr>
          </w:p>
        </w:tc>
        <w:tc>
          <w:tcPr>
            <w:tcW w:w="745" w:type="dxa"/>
            <w:shd w:val="clear" w:color="auto" w:fill="C6EFCE"/>
            <w:noWrap/>
          </w:tcPr>
          <w:p w14:paraId="5A9BC3AA" w14:textId="77777777" w:rsidR="00D924EA" w:rsidRDefault="00011DE9">
            <w:pPr>
              <w:pStyle w:val="P68B1DB1-Normal23"/>
              <w:spacing w:after="0" w:line="240" w:lineRule="auto"/>
              <w:rPr>
                <w:rFonts w:cs="Times New Roman"/>
                <w:noProof/>
                <w:szCs w:val="18"/>
              </w:rPr>
            </w:pPr>
            <w:r>
              <w:rPr>
                <w:noProof/>
              </w:rPr>
              <w:t>Număr (hectare)</w:t>
            </w:r>
          </w:p>
        </w:tc>
        <w:tc>
          <w:tcPr>
            <w:tcW w:w="992" w:type="dxa"/>
            <w:shd w:val="clear" w:color="auto" w:fill="C6EFCE"/>
            <w:noWrap/>
          </w:tcPr>
          <w:p w14:paraId="24AE2C06" w14:textId="0D7C5EC5" w:rsidR="00D924EA" w:rsidRDefault="00011DE9">
            <w:pPr>
              <w:pStyle w:val="P68B1DB1-Normal23"/>
              <w:spacing w:after="0" w:line="240" w:lineRule="auto"/>
              <w:jc w:val="right"/>
              <w:rPr>
                <w:rFonts w:cs="Times New Roman"/>
                <w:noProof/>
                <w:szCs w:val="18"/>
              </w:rPr>
            </w:pPr>
            <w:r>
              <w:rPr>
                <w:noProof/>
              </w:rPr>
              <w:t>135 124</w:t>
            </w:r>
          </w:p>
        </w:tc>
        <w:tc>
          <w:tcPr>
            <w:tcW w:w="748" w:type="dxa"/>
            <w:shd w:val="clear" w:color="auto" w:fill="C6EFCE"/>
            <w:noWrap/>
          </w:tcPr>
          <w:p w14:paraId="48DB9ECC" w14:textId="47EF9A48" w:rsidR="00D924EA" w:rsidRDefault="00011DE9">
            <w:pPr>
              <w:pStyle w:val="P68B1DB1-Normal23"/>
              <w:spacing w:after="0" w:line="240" w:lineRule="auto"/>
              <w:jc w:val="right"/>
              <w:rPr>
                <w:rFonts w:cs="Times New Roman"/>
                <w:noProof/>
                <w:szCs w:val="18"/>
              </w:rPr>
            </w:pPr>
            <w:r>
              <w:rPr>
                <w:noProof/>
              </w:rPr>
              <w:t>170 124</w:t>
            </w:r>
          </w:p>
        </w:tc>
        <w:tc>
          <w:tcPr>
            <w:tcW w:w="415" w:type="dxa"/>
            <w:shd w:val="clear" w:color="auto" w:fill="C6EFCE"/>
            <w:noWrap/>
          </w:tcPr>
          <w:p w14:paraId="2C67CFED" w14:textId="11CE0CC1" w:rsidR="00D924EA" w:rsidRDefault="005701C9">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25A08C71" w14:textId="77777777" w:rsidR="00D924EA" w:rsidRDefault="00011DE9">
            <w:pPr>
              <w:pStyle w:val="P68B1DB1-Normal23"/>
              <w:spacing w:after="0" w:line="240" w:lineRule="auto"/>
              <w:jc w:val="center"/>
              <w:rPr>
                <w:rFonts w:cs="Times New Roman"/>
                <w:noProof/>
                <w:szCs w:val="18"/>
              </w:rPr>
            </w:pPr>
            <w:r>
              <w:rPr>
                <w:noProof/>
              </w:rPr>
              <w:t>2026</w:t>
            </w:r>
          </w:p>
        </w:tc>
        <w:tc>
          <w:tcPr>
            <w:tcW w:w="5236" w:type="dxa"/>
            <w:shd w:val="clear" w:color="auto" w:fill="C6EFCE"/>
            <w:noWrap/>
          </w:tcPr>
          <w:p w14:paraId="1B38A09F" w14:textId="38E47F4B" w:rsidR="00D924EA" w:rsidRDefault="00011DE9">
            <w:pPr>
              <w:pStyle w:val="P68B1DB1-Normal24"/>
              <w:spacing w:after="0" w:line="240" w:lineRule="auto"/>
              <w:rPr>
                <w:rFonts w:cs="Times New Roman"/>
                <w:noProof/>
              </w:rPr>
            </w:pPr>
            <w:r>
              <w:rPr>
                <w:noProof/>
              </w:rPr>
              <w:t>Confirmarea de către administrație sau de către o entitate publică a faptului că au fost executate contracte privind proiecte de modernizare a sistemelor de irigații care acoperă un total cumulat de 170 124 hectare (situație de referință bazată pe obiectivul țintei 48)</w:t>
            </w:r>
          </w:p>
        </w:tc>
      </w:tr>
    </w:tbl>
    <w:p w14:paraId="1CE33C05" w14:textId="77777777" w:rsidR="00D924EA" w:rsidRDefault="00D924EA">
      <w:pPr>
        <w:rPr>
          <w:rFonts w:ascii="Times New Roman" w:hAnsi="Times New Roman" w:cs="Times New Roman"/>
          <w:noProof/>
        </w:rPr>
        <w:sectPr w:rsidR="00D924EA" w:rsidSect="005A58B2">
          <w:headerReference w:type="default" r:id="rId78"/>
          <w:footerReference w:type="default" r:id="rId79"/>
          <w:pgSz w:w="16838" w:h="11906" w:orient="landscape"/>
          <w:pgMar w:top="1440" w:right="1440" w:bottom="1440" w:left="1440" w:header="709" w:footer="709" w:gutter="0"/>
          <w:cols w:space="708"/>
          <w:docGrid w:linePitch="360"/>
        </w:sectPr>
      </w:pPr>
    </w:p>
    <w:p w14:paraId="644CEBE9" w14:textId="77777777" w:rsidR="00D924EA" w:rsidRDefault="00011DE9">
      <w:pPr>
        <w:pStyle w:val="Heading1"/>
        <w:rPr>
          <w:noProof/>
        </w:rPr>
      </w:pPr>
      <w:r>
        <w:rPr>
          <w:noProof/>
        </w:rPr>
        <w:t>D. COMPONENTA 04: Ecosisteme și biodiversitate</w:t>
      </w:r>
    </w:p>
    <w:p w14:paraId="7603437A" w14:textId="77777777" w:rsidR="00D924EA" w:rsidRDefault="00011DE9">
      <w:pPr>
        <w:pStyle w:val="P68B1DB1-Normal29"/>
        <w:spacing w:before="120" w:after="120" w:line="240" w:lineRule="auto"/>
        <w:jc w:val="both"/>
        <w:rPr>
          <w:rFonts w:cs="Times New Roman"/>
          <w:noProof/>
        </w:rPr>
      </w:pPr>
      <w:r>
        <w:rPr>
          <w:noProof/>
        </w:rPr>
        <w:t xml:space="preserve">Această componentă a planului spaniol de redresare și reziliență abordează vulnerabilitatea Spaniei la efectele negative directe și indirecte ale schimbărilor climatice din cauza biogeografiei și geomorfologiei sale prin îmbunătățirea stării de conservare a ecosistemelor, prin refacerea lor ecologică, dacă este necesar, și prin inversarea declinului biodiversității, asigurând utilizarea durabilă a resurselor naturale și conservând și îmbunătățind serviciile ecosistemice. Această componentă contribuie, de asemenea, la adaptarea ecosistemelor la efectele negative ale schimbărilor climatice prin adoptarea unor măsuri de reducere la minimum a efectelor acestora, prin adoptarea Strategiei naționale de combatere a deșertificării și prin axarea pe incendiile forestiere. </w:t>
      </w:r>
    </w:p>
    <w:p w14:paraId="7640867E" w14:textId="77777777" w:rsidR="00D924EA" w:rsidRDefault="00011DE9">
      <w:pPr>
        <w:pStyle w:val="P68B1DB1-Normal29"/>
        <w:spacing w:before="120" w:after="120" w:line="240" w:lineRule="auto"/>
        <w:jc w:val="both"/>
        <w:rPr>
          <w:rFonts w:cs="Times New Roman"/>
          <w:noProof/>
        </w:rPr>
      </w:pPr>
      <w:r>
        <w:rPr>
          <w:noProof/>
        </w:rPr>
        <w:t>Se pune un accent suplimentar pe protecția, conservarea și refacerea ecosistemelor marine. Punerea în aplicare a acestei componente a planului spaniol de redresare și reziliență (i) va lansa agenda albastră pentru îmbunătățirea mărilor și a biodiversității acestora; (II) creșterea ponderii zonelor marine protejate, prin protejarea a cel puțin 18 % din teritoriul spaniol până la sfârșitul anului 2025, protejând atât fauna, cât și flora; și (iii) să introducă, pentru prima dată în Spania, un cadru pentru gestionarea mediului marin.</w:t>
      </w:r>
    </w:p>
    <w:p w14:paraId="247494A0" w14:textId="77777777" w:rsidR="00D924EA" w:rsidRDefault="00011DE9">
      <w:pPr>
        <w:pStyle w:val="P68B1DB1-Normal29"/>
        <w:spacing w:before="120" w:after="120" w:line="240" w:lineRule="auto"/>
        <w:jc w:val="both"/>
        <w:rPr>
          <w:rFonts w:cs="Times New Roman"/>
          <w:noProof/>
        </w:rPr>
      </w:pPr>
      <w:r>
        <w:rPr>
          <w:noProof/>
        </w:rPr>
        <w:t xml:space="preserve">În plus, aceasta conservă și gestionează în mod durabil zonele rurale, ecosistemele acestora, biodiversitatea și suprafețele împădurite. Zonele rurale – unde depopularea a avut un impact deosebit de negativ – găzduiesc o mare parte din bogatul patrimoniu natural al Spaniei și, prin urmare, reprezintă o sursă de bogăție locală, oferind oportunități de inversare a declinului demografic. </w:t>
      </w:r>
    </w:p>
    <w:p w14:paraId="2776738D" w14:textId="77777777" w:rsidR="00D924EA" w:rsidRDefault="00011DE9">
      <w:pPr>
        <w:pStyle w:val="P68B1DB1-Normal29"/>
        <w:spacing w:before="120" w:after="120" w:line="240" w:lineRule="auto"/>
        <w:jc w:val="both"/>
        <w:rPr>
          <w:rFonts w:cs="Times New Roman"/>
          <w:noProof/>
        </w:rPr>
      </w:pPr>
      <w:r>
        <w:rPr>
          <w:noProof/>
        </w:rPr>
        <w:t xml:space="preserve">Această componentă a planului spaniol de redresare și reziliență sprijină investițiile în tranziția verde și digitală (Recomandarea specifică fiecărei țări 3 2020). Aceasta sprijină, de asemenea, gestionarea adecvată a terenurilor, în special gestionarea pădurilor, protecția și refacerea naturii, aliniate la obiectivele Pactului verde european și ale Strategiei UE privind biodiversitatea pentru 2030. </w:t>
      </w:r>
    </w:p>
    <w:p w14:paraId="063BAF42" w14:textId="77777777" w:rsidR="00D924EA" w:rsidRDefault="00011DE9">
      <w:pPr>
        <w:pStyle w:val="P68B1DB1-Normal29"/>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ABF31F2" w14:textId="511E8EB1" w:rsidR="00D924EA" w:rsidRDefault="00011DE9">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D.1.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53EBE8E1" w14:textId="77777777" w:rsidR="00D924EA" w:rsidRDefault="00011DE9">
      <w:pPr>
        <w:pStyle w:val="P68B1DB1-Normal30"/>
        <w:spacing w:before="120" w:after="120" w:line="240" w:lineRule="auto"/>
        <w:jc w:val="both"/>
        <w:rPr>
          <w:rFonts w:cs="Times New Roman"/>
          <w:noProof/>
        </w:rPr>
      </w:pPr>
      <w:r>
        <w:rPr>
          <w:noProof/>
        </w:rPr>
        <w:t>Reforma 1 (C4.R1) – Conservarea biodiversității terestre și marine</w:t>
      </w:r>
    </w:p>
    <w:p w14:paraId="1C51E305" w14:textId="77777777" w:rsidR="00D924EA" w:rsidRDefault="00011DE9">
      <w:pPr>
        <w:pStyle w:val="P68B1DB1-Normal29"/>
        <w:spacing w:before="120" w:after="120" w:line="240" w:lineRule="auto"/>
        <w:jc w:val="both"/>
        <w:rPr>
          <w:rFonts w:cs="Times New Roman"/>
          <w:noProof/>
        </w:rPr>
      </w:pPr>
      <w:r>
        <w:rPr>
          <w:noProof/>
        </w:rPr>
        <w:t xml:space="preserve">Această reformă actualizează legislația privind biodiversitatea și patrimoniul natural pentru a sprijini îndeplinirea angajamentelor care decurg din Convenția privind diversitatea biologică și din Strategia UE privind biodiversitatea pentru 2030, recent adoptată. </w:t>
      </w:r>
    </w:p>
    <w:p w14:paraId="0C7F0425" w14:textId="77777777" w:rsidR="00D924EA" w:rsidRDefault="00011DE9">
      <w:pPr>
        <w:pStyle w:val="P68B1DB1-Normal29"/>
        <w:spacing w:before="120" w:after="120" w:line="240" w:lineRule="auto"/>
        <w:jc w:val="both"/>
        <w:rPr>
          <w:rFonts w:cs="Times New Roman"/>
          <w:noProof/>
        </w:rPr>
      </w:pPr>
      <w:r>
        <w:rPr>
          <w:noProof/>
        </w:rPr>
        <w:t xml:space="preserve">Principala acțiune a acestei reforme este pregătirea, aprobarea și implementarea Planului strategic pentru patrimoniul natural și biodiversitate (astfel cum este prevăzut în Legea nr. 42/2007 privind patrimoniul natural și biodiversitatea), pentru a avea un impact de lungă durată asupra conservării și gestionării tuturor sistemelor naturale spaniole, precum și asupra serviciilor pe care le oferă societății. Această reformă include, de asemenea, următoarele acțiuni în cadrul acestei măsuri: </w:t>
      </w:r>
    </w:p>
    <w:p w14:paraId="7FCEC44C" w14:textId="7C175826" w:rsidR="00D924EA" w:rsidRDefault="00011DE9">
      <w:pPr>
        <w:pStyle w:val="P68B1DB1-Normal29"/>
        <w:numPr>
          <w:ilvl w:val="0"/>
          <w:numId w:val="41"/>
        </w:numPr>
        <w:spacing w:before="120" w:line="240" w:lineRule="auto"/>
        <w:ind w:left="714" w:hanging="357"/>
        <w:contextualSpacing/>
        <w:jc w:val="both"/>
        <w:rPr>
          <w:noProof/>
        </w:rPr>
      </w:pPr>
      <w:r>
        <w:rPr>
          <w:noProof/>
        </w:rPr>
        <w:t xml:space="preserve">Adoptarea Strategiei privind biodiversitatea, știința și cunoașterea, care identifică principalele lacune în materie de cercetare și stabilește domeniile specifice în care este necesară cercetarea în domeniul biodiversității. </w:t>
      </w:r>
    </w:p>
    <w:p w14:paraId="3A4D950A" w14:textId="77777777" w:rsidR="00D924EA" w:rsidRDefault="00011DE9">
      <w:pPr>
        <w:pStyle w:val="P68B1DB1-Normal29"/>
        <w:numPr>
          <w:ilvl w:val="0"/>
          <w:numId w:val="41"/>
        </w:numPr>
        <w:spacing w:before="120" w:line="240" w:lineRule="auto"/>
        <w:contextualSpacing/>
        <w:jc w:val="both"/>
        <w:rPr>
          <w:rFonts w:cs="Times New Roman"/>
          <w:noProof/>
        </w:rPr>
      </w:pPr>
      <w:r>
        <w:rPr>
          <w:noProof/>
        </w:rPr>
        <w:t xml:space="preserve">Adoptarea Decretului regal de aprobare a Planului pentru rețeaua de zone marine protejate, care promovează o rețea coerentă din punct de vedere ecologic ce contribuie la conservarea zonelor de patrimoniu natural și a biodiversității marine, promovând o gestionare planificată, eficace și coerentă a zonelor marine protejate. </w:t>
      </w:r>
    </w:p>
    <w:p w14:paraId="4D5B7D2B" w14:textId="5FC7A02B" w:rsidR="00D924EA" w:rsidRDefault="00011DE9">
      <w:pPr>
        <w:pStyle w:val="P68B1DB1-Normal29"/>
        <w:numPr>
          <w:ilvl w:val="0"/>
          <w:numId w:val="41"/>
        </w:numPr>
        <w:spacing w:before="120" w:line="240" w:lineRule="auto"/>
        <w:contextualSpacing/>
        <w:jc w:val="both"/>
        <w:rPr>
          <w:rFonts w:cs="Times New Roman"/>
          <w:noProof/>
        </w:rPr>
      </w:pPr>
      <w:r>
        <w:rPr>
          <w:noProof/>
        </w:rPr>
        <w:t>Strategia națională pentru conservarea polenizatorilor prevede acțiunile necesare pentru îmbunătățirea situației polenizatorilor. Această strategie se axează în special pe (i)</w:t>
      </w:r>
      <w:r w:rsidR="0042520D">
        <w:rPr>
          <w:noProof/>
        </w:rPr>
        <w:t> </w:t>
      </w:r>
      <w:r>
        <w:rPr>
          <w:noProof/>
        </w:rPr>
        <w:t xml:space="preserve">promovarea zonelor favorabile pentru polenizatori; (II) îmbunătățirea gestionării sale și reducerea riscurilor create de speciile dăunătoare; (III) produse fitosanitare; și (iv) promovarea cercetării privind conservarea polenizatorilor și diseminarea rezultatelor cercetării conexe în acest domeniu. </w:t>
      </w:r>
    </w:p>
    <w:p w14:paraId="49DDC0F9" w14:textId="77777777" w:rsidR="00D924EA" w:rsidRDefault="00011DE9">
      <w:pPr>
        <w:pStyle w:val="P68B1DB1-Normal29"/>
        <w:numPr>
          <w:ilvl w:val="0"/>
          <w:numId w:val="41"/>
        </w:numPr>
        <w:spacing w:before="120" w:line="240" w:lineRule="auto"/>
        <w:contextualSpacing/>
        <w:jc w:val="both"/>
        <w:rPr>
          <w:noProof/>
        </w:rPr>
      </w:pPr>
      <w:r>
        <w:rPr>
          <w:noProof/>
        </w:rPr>
        <w:t xml:space="preserve">Adoptarea regulamentului de actualizare a competențelor administrative și științifice, în temeiul Convenției privind comerțul internațional cu specii ale faunei și florei sălbatice pe cale de dispariție (Regulamentul CITES), care garantează punerea în aplicare a măsurilor derivate din CITES și garantează că schimburile comerciale nu afectează negativ starea de conservare a speciilor și supraviețuirea lor pe termen lung. </w:t>
      </w:r>
    </w:p>
    <w:p w14:paraId="5B40EEF1" w14:textId="77777777" w:rsidR="00D924EA" w:rsidRDefault="00011DE9">
      <w:pPr>
        <w:pStyle w:val="P68B1DB1-Normal29"/>
        <w:numPr>
          <w:ilvl w:val="0"/>
          <w:numId w:val="41"/>
        </w:numPr>
        <w:spacing w:before="120" w:line="240" w:lineRule="auto"/>
        <w:contextualSpacing/>
        <w:jc w:val="both"/>
        <w:rPr>
          <w:rFonts w:cs="Times New Roman"/>
          <w:noProof/>
        </w:rPr>
      </w:pPr>
      <w:r>
        <w:rPr>
          <w:noProof/>
        </w:rPr>
        <w:t xml:space="preserve">Planul de conservare și refacere a zonelor umede, care garantează conservarea și utilizarea rațională a zonelor umede. </w:t>
      </w:r>
    </w:p>
    <w:p w14:paraId="651B6F43" w14:textId="77777777" w:rsidR="00D924EA" w:rsidRDefault="00011DE9">
      <w:pPr>
        <w:pStyle w:val="P68B1DB1-Normal29"/>
        <w:spacing w:before="120" w:after="120" w:line="240" w:lineRule="auto"/>
        <w:jc w:val="both"/>
        <w:rPr>
          <w:rFonts w:cs="Times New Roman"/>
          <w:noProof/>
        </w:rPr>
      </w:pPr>
      <w:r>
        <w:rPr>
          <w:noProof/>
        </w:rPr>
        <w:t xml:space="preserve">Dezvoltarea acestor acțiuni în cadrul acestei măsuri va fi sprijinită direct prin investiția 1 și investiția 2 din această componentă a planului spaniol de redresare și reziliență (descrise mai jos). Acesta completează, de asemenea, celelalte două reforme și investiții descrise în această componentă a planului de redresare și reziliență al Spaniei. </w:t>
      </w:r>
    </w:p>
    <w:p w14:paraId="688843C4" w14:textId="77777777" w:rsidR="00D924EA" w:rsidRDefault="00011DE9">
      <w:pPr>
        <w:pStyle w:val="P68B1DB1-Normal29"/>
        <w:spacing w:before="120" w:after="120" w:line="240" w:lineRule="auto"/>
        <w:jc w:val="both"/>
        <w:rPr>
          <w:rFonts w:cs="Times New Roman"/>
          <w:noProof/>
        </w:rPr>
      </w:pPr>
      <w:r>
        <w:rPr>
          <w:noProof/>
        </w:rPr>
        <w:t xml:space="preserve">Punerea în aplicare a măsurii se finalizează până la 31 decembrie 2022. </w:t>
      </w:r>
    </w:p>
    <w:p w14:paraId="4E9C9BA8" w14:textId="77777777" w:rsidR="00D924EA" w:rsidRDefault="00011DE9">
      <w:pPr>
        <w:pStyle w:val="P68B1DB1-Normal30"/>
        <w:spacing w:before="120" w:after="120" w:line="240" w:lineRule="auto"/>
        <w:jc w:val="both"/>
        <w:rPr>
          <w:rFonts w:cs="Times New Roman"/>
          <w:noProof/>
        </w:rPr>
      </w:pPr>
      <w:r>
        <w:rPr>
          <w:noProof/>
        </w:rPr>
        <w:t>Reforma 2 (C4.R2) – Refacerea ecosistemelor și a infrastructurii verzi</w:t>
      </w:r>
    </w:p>
    <w:p w14:paraId="690C539F" w14:textId="77777777" w:rsidR="00D924EA" w:rsidRDefault="00011DE9">
      <w:pPr>
        <w:pStyle w:val="P68B1DB1-Normal29"/>
        <w:spacing w:before="120" w:after="120" w:line="240" w:lineRule="auto"/>
        <w:jc w:val="both"/>
        <w:rPr>
          <w:rFonts w:cs="Times New Roman"/>
          <w:noProof/>
        </w:rPr>
      </w:pPr>
      <w:r>
        <w:rPr>
          <w:noProof/>
        </w:rPr>
        <w:t>Scopul acestei reforme este de a dezvolta și de a pune în aplicare Strategia administrației centrale pentru infrastructuri ecologice, conectivitate și refacere ecologică, de a reface ecosistemele deteriorate și de a consolida o rețea de zone naturale și seminaturale terestre și marine pe deplin funcționale conectate în Spania până în 2050.</w:t>
      </w:r>
    </w:p>
    <w:p w14:paraId="18F0E191" w14:textId="63F7BF4D" w:rsidR="00D924EA" w:rsidRDefault="00011DE9">
      <w:pPr>
        <w:pStyle w:val="P68B1DB1-Normal29"/>
        <w:spacing w:before="120" w:after="120" w:line="240" w:lineRule="auto"/>
        <w:jc w:val="both"/>
        <w:rPr>
          <w:rFonts w:cs="Times New Roman"/>
          <w:noProof/>
        </w:rPr>
      </w:pPr>
      <w:r>
        <w:rPr>
          <w:noProof/>
        </w:rPr>
        <w:t>Aceste reforme includ șapte linii de acțiune diferite pentru: (I) reducerea efectelor fragmentării și ale pierderii conectivității ecologice; (II) refacerea habitatelor și a ecosistemelor în domenii</w:t>
      </w:r>
      <w:r w:rsidR="0042520D">
        <w:rPr>
          <w:rFonts w:cs="Times New Roman"/>
          <w:noProof/>
        </w:rPr>
        <w:t>­</w:t>
      </w:r>
      <w:r>
        <w:rPr>
          <w:noProof/>
        </w:rPr>
        <w:t>cheie; (III) menținerea și îmbunătățirea furnizării de servicii ecosistemice pentru elementele de infrastructură verde; (IV) îmbunătățirea rezilienței elementelor legate de infrastructura verde; (V) asigurarea coerenței teritoriale; (VI) să includă o infrastructură verde eficace; și (vii)</w:t>
      </w:r>
      <w:r w:rsidR="0042520D">
        <w:rPr>
          <w:noProof/>
        </w:rPr>
        <w:t> </w:t>
      </w:r>
      <w:r>
        <w:rPr>
          <w:noProof/>
        </w:rPr>
        <w:t xml:space="preserve">asigurarea unei comunicări, educații și participări adecvate a grupurilor de interese și a societății la dezvoltarea infrastructurii verzi. </w:t>
      </w:r>
    </w:p>
    <w:p w14:paraId="6C0A333E" w14:textId="7E88DFF0" w:rsidR="00D924EA" w:rsidRDefault="00011DE9">
      <w:pPr>
        <w:spacing w:before="120" w:after="120" w:line="240" w:lineRule="auto"/>
        <w:jc w:val="both"/>
        <w:rPr>
          <w:rFonts w:ascii="Times New Roman" w:hAnsi="Times New Roman" w:cs="Times New Roman"/>
          <w:noProof/>
        </w:rPr>
      </w:pPr>
      <w:r>
        <w:rPr>
          <w:rFonts w:ascii="Times New Roman" w:hAnsi="Times New Roman"/>
          <w:noProof/>
        </w:rPr>
        <w:t>Această reformă este sprijinită și de investiția 3 din această componentă a planului spaniol de redresare și reziliență, care abordează în special recomandările Strategiei UE privind biodiversitatea pentru 2030 referitoare la încorporarea coridoarelor ecologice, plantarea pe scară largă a arborilor, progresele semnificative în reabilitarea terenurilor contaminate și obiectivul de a se asigura că orașele cu cel puțin 20</w:t>
      </w:r>
      <w:r>
        <w:rPr>
          <w:rFonts w:ascii="Times New Roman" w:hAnsi="Times New Roman" w:cs="Times New Roman"/>
          <w:noProof/>
          <w:sz w:val="20"/>
          <w:szCs w:val="20"/>
        </w:rPr>
        <w:t xml:space="preserve"> </w:t>
      </w:r>
      <w:r>
        <w:rPr>
          <w:rFonts w:ascii="Times New Roman" w:hAnsi="Times New Roman"/>
          <w:noProof/>
        </w:rPr>
        <w:t xml:space="preserve">000 de locuitori au un plan ambițios de înverzire urbană. Acesta este legat, de asemenea, de reforma 1 și de investiția 1 din cadrul acestei componente a planului spaniol de redresare și reziliență. </w:t>
      </w:r>
    </w:p>
    <w:p w14:paraId="5E5CBADF" w14:textId="77777777" w:rsidR="00D924EA" w:rsidRDefault="00011DE9">
      <w:pPr>
        <w:pStyle w:val="P68B1DB1-Normal29"/>
        <w:spacing w:before="120" w:after="120" w:line="240" w:lineRule="auto"/>
        <w:jc w:val="both"/>
        <w:rPr>
          <w:noProof/>
        </w:rPr>
      </w:pPr>
      <w:r>
        <w:rPr>
          <w:noProof/>
        </w:rPr>
        <w:t xml:space="preserve">Punerea în aplicare a măsurii se finalizează până la 30 iunie 2021. </w:t>
      </w:r>
    </w:p>
    <w:p w14:paraId="4E335765" w14:textId="77777777" w:rsidR="00D924EA" w:rsidRDefault="00011DE9">
      <w:pPr>
        <w:pStyle w:val="P68B1DB1-Normal30"/>
        <w:rPr>
          <w:noProof/>
        </w:rPr>
      </w:pPr>
      <w:r>
        <w:rPr>
          <w:noProof/>
        </w:rPr>
        <w:br w:type="page"/>
      </w:r>
    </w:p>
    <w:p w14:paraId="2679E5D7" w14:textId="094243E5" w:rsidR="00D924EA" w:rsidRDefault="00011DE9">
      <w:pPr>
        <w:pStyle w:val="P68B1DB1-Normal30"/>
        <w:spacing w:before="120" w:after="120" w:line="240" w:lineRule="auto"/>
        <w:jc w:val="both"/>
        <w:rPr>
          <w:rFonts w:cs="Times New Roman"/>
          <w:noProof/>
        </w:rPr>
      </w:pPr>
      <w:r>
        <w:rPr>
          <w:noProof/>
        </w:rPr>
        <w:t>Reforma 3 (C4.R3) – Gestionarea durabilă a pădurilor</w:t>
      </w:r>
    </w:p>
    <w:p w14:paraId="2D732101" w14:textId="77777777" w:rsidR="00D924EA" w:rsidRDefault="00011DE9">
      <w:pPr>
        <w:pStyle w:val="P68B1DB1-Normal29"/>
        <w:spacing w:before="120" w:after="120" w:line="240" w:lineRule="auto"/>
        <w:jc w:val="both"/>
        <w:rPr>
          <w:rFonts w:cs="Times New Roman"/>
          <w:noProof/>
        </w:rPr>
      </w:pPr>
      <w:r>
        <w:rPr>
          <w:noProof/>
        </w:rPr>
        <w:t xml:space="preserve">Această reformă va actualiza Strategia spaniolă pentru păduri din 1999 împreună cu Planul forestier spaniol pentru perioada 2002-2032, elaborând un pachet de acțiuni pentru stimularea sectorului forestier, care să acopere întreaga pădure spaniolă: protecția speciilor și a zonelor, incendiile, proprietatea, evoluția, starea actuală și tendințele din zonele și resursele forestiere, printre altele. Reforma abordează revitalizarea economică și socială a zonelor rurale mari, care se confruntă cu probleme grave de depopulare, și este bine aliniată la Pactul verde european. </w:t>
      </w:r>
    </w:p>
    <w:p w14:paraId="34C5EA2C" w14:textId="5F5E2A9D" w:rsidR="00D924EA" w:rsidRDefault="00011DE9">
      <w:pPr>
        <w:pStyle w:val="P68B1DB1-Normal29"/>
        <w:spacing w:before="120" w:after="120" w:line="240" w:lineRule="auto"/>
        <w:jc w:val="both"/>
        <w:rPr>
          <w:rFonts w:cs="Times New Roman"/>
          <w:noProof/>
        </w:rPr>
      </w:pPr>
      <w:r>
        <w:rPr>
          <w:noProof/>
        </w:rPr>
        <w:t>Strategia forestieră spaniolă are cinci priorități strategice:</w:t>
      </w:r>
    </w:p>
    <w:p w14:paraId="27B5666A" w14:textId="77777777" w:rsidR="00D924EA" w:rsidRDefault="00011DE9">
      <w:pPr>
        <w:pStyle w:val="P68B1DB1-Normal29"/>
        <w:numPr>
          <w:ilvl w:val="0"/>
          <w:numId w:val="40"/>
        </w:numPr>
        <w:spacing w:before="120" w:line="240" w:lineRule="auto"/>
        <w:contextualSpacing/>
        <w:jc w:val="both"/>
        <w:rPr>
          <w:rFonts w:cs="Times New Roman"/>
          <w:noProof/>
        </w:rPr>
      </w:pPr>
      <w:r>
        <w:rPr>
          <w:noProof/>
        </w:rPr>
        <w:t>Conservarea și consolidarea patrimoniului natural, a biodiversității și a conectivității.</w:t>
      </w:r>
    </w:p>
    <w:p w14:paraId="7526AE78" w14:textId="77777777" w:rsidR="00D924EA" w:rsidRDefault="00011DE9">
      <w:pPr>
        <w:pStyle w:val="P68B1DB1-Normal29"/>
        <w:numPr>
          <w:ilvl w:val="0"/>
          <w:numId w:val="40"/>
        </w:numPr>
        <w:spacing w:before="120" w:line="240" w:lineRule="auto"/>
        <w:contextualSpacing/>
        <w:jc w:val="both"/>
        <w:rPr>
          <w:rFonts w:cs="Times New Roman"/>
          <w:noProof/>
        </w:rPr>
      </w:pPr>
      <w:r>
        <w:rPr>
          <w:noProof/>
        </w:rPr>
        <w:t xml:space="preserve">Protecția, securitatea sanitară și protecția împotriva riscurilor naturale și de mediu și adaptarea la acestea. </w:t>
      </w:r>
    </w:p>
    <w:p w14:paraId="68003A1C" w14:textId="77777777" w:rsidR="00D924EA" w:rsidRDefault="00011DE9">
      <w:pPr>
        <w:pStyle w:val="P68B1DB1-Normal29"/>
        <w:numPr>
          <w:ilvl w:val="0"/>
          <w:numId w:val="40"/>
        </w:numPr>
        <w:spacing w:before="120" w:line="240" w:lineRule="auto"/>
        <w:contextualSpacing/>
        <w:jc w:val="both"/>
        <w:rPr>
          <w:rFonts w:cs="Times New Roman"/>
          <w:noProof/>
        </w:rPr>
      </w:pPr>
      <w:r>
        <w:rPr>
          <w:noProof/>
        </w:rPr>
        <w:t>Bioeconomia forestieră: economia ecologică și locurile de muncă, mobilizarea resurselor forestiere și dezvoltarea socioeconomică durabilă a sectorului forestier.</w:t>
      </w:r>
    </w:p>
    <w:p w14:paraId="6BC24293" w14:textId="77777777" w:rsidR="00D924EA" w:rsidRDefault="00011DE9">
      <w:pPr>
        <w:pStyle w:val="P68B1DB1-Normal29"/>
        <w:numPr>
          <w:ilvl w:val="0"/>
          <w:numId w:val="40"/>
        </w:numPr>
        <w:spacing w:before="120" w:line="240" w:lineRule="auto"/>
        <w:contextualSpacing/>
        <w:jc w:val="both"/>
        <w:rPr>
          <w:noProof/>
        </w:rPr>
      </w:pPr>
      <w:r>
        <w:rPr>
          <w:noProof/>
        </w:rPr>
        <w:t>Dezvoltarea și îmbunătățirea cunoștințelor și a culturii forestiere.</w:t>
      </w:r>
    </w:p>
    <w:p w14:paraId="1680EBA7" w14:textId="77777777" w:rsidR="00D924EA" w:rsidRDefault="00011DE9">
      <w:pPr>
        <w:pStyle w:val="P68B1DB1-Normal29"/>
        <w:numPr>
          <w:ilvl w:val="0"/>
          <w:numId w:val="40"/>
        </w:numPr>
        <w:spacing w:before="120" w:line="240" w:lineRule="auto"/>
        <w:contextualSpacing/>
        <w:jc w:val="both"/>
        <w:rPr>
          <w:rFonts w:cs="Times New Roman"/>
          <w:noProof/>
        </w:rPr>
      </w:pPr>
      <w:r>
        <w:rPr>
          <w:noProof/>
        </w:rPr>
        <w:t>Modelul de guvernanță forestieră: cadrul de reglementare, administrativ și instrumental al politicii forestiere spaniole.</w:t>
      </w:r>
    </w:p>
    <w:p w14:paraId="6ADD2F05" w14:textId="77777777" w:rsidR="00D924EA" w:rsidRDefault="00011DE9">
      <w:pPr>
        <w:pStyle w:val="P68B1DB1-Normal29"/>
        <w:spacing w:before="120" w:after="120" w:line="240" w:lineRule="auto"/>
        <w:jc w:val="both"/>
        <w:rPr>
          <w:rFonts w:cs="Times New Roman"/>
          <w:noProof/>
        </w:rPr>
      </w:pPr>
      <w:r>
        <w:rPr>
          <w:noProof/>
        </w:rPr>
        <w:t xml:space="preserve">Există două instrumente principale în Strategia spaniolă pentru păduri, care sunt necesare pentru reformarea sectorului forestier în ansamblu. Prima este adoptarea de orientări pentru gestionarea durabilă a pădurilor. Aceste orientări acoperă aspecte precum biodiversitatea, schimbările climatice și bioeconomia circulară. În al doilea rând, Orientările strategice pentru gestionarea incendiilor forestiere în Spania, care stabilesc obiectivele de urmat, definesc principalele linii de lucru și identifică grupurile din societate cu un anumit grad de responsabilitate. Aceste orientări strategice sunt esențiale pentru a controla incendiile forestiere și pentru a spori poziționarea strategică a sectorului forestier în contextul tranziției ecologice. </w:t>
      </w:r>
    </w:p>
    <w:p w14:paraId="4261CC5A" w14:textId="77777777" w:rsidR="00D924EA" w:rsidRDefault="00011DE9">
      <w:pPr>
        <w:pStyle w:val="P68B1DB1-Normal29"/>
        <w:spacing w:before="120" w:after="120" w:line="240" w:lineRule="auto"/>
        <w:jc w:val="both"/>
        <w:rPr>
          <w:rFonts w:cs="Times New Roman"/>
          <w:noProof/>
        </w:rPr>
      </w:pPr>
      <w:r>
        <w:rPr>
          <w:noProof/>
        </w:rPr>
        <w:t xml:space="preserve">Punerea în aplicare a reformei se finalizează până la 31 decembrie 2022. </w:t>
      </w:r>
    </w:p>
    <w:p w14:paraId="3CE96426" w14:textId="636D0A05" w:rsidR="00D924EA" w:rsidRDefault="00011DE9">
      <w:pPr>
        <w:pStyle w:val="P68B1DB1-Normal30"/>
        <w:spacing w:before="120" w:after="120" w:line="240" w:lineRule="auto"/>
        <w:jc w:val="both"/>
        <w:rPr>
          <w:rFonts w:cs="Times New Roman"/>
          <w:noProof/>
        </w:rPr>
      </w:pPr>
      <w:r>
        <w:rPr>
          <w:noProof/>
        </w:rPr>
        <w:t>Investiția 1 (C4.I1) – Digitalizarea și cunoașterea patrimoniului natural</w:t>
      </w:r>
    </w:p>
    <w:p w14:paraId="60B3DC45" w14:textId="77777777" w:rsidR="00D924EA" w:rsidRDefault="00011DE9">
      <w:pPr>
        <w:pStyle w:val="P68B1DB1-Normal29"/>
        <w:spacing w:before="120" w:after="120" w:line="240" w:lineRule="auto"/>
        <w:jc w:val="both"/>
        <w:rPr>
          <w:noProof/>
        </w:rPr>
      </w:pPr>
      <w:r>
        <w:rPr>
          <w:noProof/>
        </w:rPr>
        <w:t xml:space="preserve">Obiectivul acestei investiții este de a spori cunoștințele privind speciile și habitatele de pe teritoriul spaniol. </w:t>
      </w:r>
    </w:p>
    <w:p w14:paraId="6F16346E" w14:textId="77777777" w:rsidR="00D924EA" w:rsidRDefault="00011DE9">
      <w:pPr>
        <w:pStyle w:val="P68B1DB1-Normal29"/>
        <w:spacing w:before="120" w:after="120" w:line="240" w:lineRule="auto"/>
        <w:jc w:val="both"/>
        <w:rPr>
          <w:noProof/>
        </w:rPr>
      </w:pPr>
      <w:r>
        <w:rPr>
          <w:noProof/>
        </w:rPr>
        <w:t>Investiția constă în acțiuni de îmbunătățire a cunoștințelor în materie de biodiversitate. </w:t>
      </w:r>
    </w:p>
    <w:p w14:paraId="58740B66" w14:textId="69264CE3" w:rsidR="00D924EA" w:rsidRDefault="00011DE9">
      <w:pPr>
        <w:pStyle w:val="P68B1DB1-Normal30"/>
        <w:keepNext/>
        <w:spacing w:before="120" w:after="120" w:line="240" w:lineRule="auto"/>
        <w:jc w:val="both"/>
        <w:rPr>
          <w:rFonts w:cs="Times New Roman"/>
          <w:noProof/>
        </w:rPr>
      </w:pPr>
      <w:r>
        <w:rPr>
          <w:noProof/>
        </w:rPr>
        <w:t>Investiția 2 (C4.I2) – Conservarea biodiversității terestre și marine</w:t>
      </w:r>
    </w:p>
    <w:p w14:paraId="76E63E4A" w14:textId="77777777" w:rsidR="00D924EA" w:rsidRDefault="00011DE9">
      <w:pPr>
        <w:pStyle w:val="P68B1DB1-Normal29"/>
        <w:keepNext/>
        <w:spacing w:before="120" w:after="120" w:line="240" w:lineRule="auto"/>
        <w:jc w:val="both"/>
        <w:rPr>
          <w:noProof/>
        </w:rPr>
      </w:pPr>
      <w:r>
        <w:rPr>
          <w:noProof/>
        </w:rPr>
        <w:t>Obiectivul acestei investiții este de a proteja biodiversitatea terestră și marină spaniolă.</w:t>
      </w:r>
    </w:p>
    <w:p w14:paraId="1DDEE0EF" w14:textId="0A270164" w:rsidR="00D924EA" w:rsidRDefault="00011DE9">
      <w:pPr>
        <w:pStyle w:val="P68B1DB1-Normal29"/>
        <w:keepNext/>
        <w:spacing w:before="120" w:after="120" w:line="240" w:lineRule="auto"/>
        <w:jc w:val="both"/>
        <w:rPr>
          <w:noProof/>
        </w:rPr>
      </w:pPr>
      <w:r>
        <w:rPr>
          <w:noProof/>
        </w:rPr>
        <w:t>Această investiție constă în acțiuni de conservare a mediului terestru și marin, inclusiv în sprijinirea politicilor din zonele protejate.</w:t>
      </w:r>
    </w:p>
    <w:p w14:paraId="0A67E3DB" w14:textId="77777777" w:rsidR="00D924EA" w:rsidRDefault="00011DE9">
      <w:pPr>
        <w:pStyle w:val="P68B1DB1-Normal30"/>
        <w:spacing w:before="120" w:after="120" w:line="240" w:lineRule="auto"/>
        <w:jc w:val="both"/>
        <w:rPr>
          <w:rFonts w:cs="Times New Roman"/>
          <w:noProof/>
        </w:rPr>
      </w:pPr>
      <w:r>
        <w:rPr>
          <w:noProof/>
        </w:rPr>
        <w:t>Investiția 3 (C4.I3) – Refacerea ecosistemelor și a infrastructurii verzi</w:t>
      </w:r>
    </w:p>
    <w:p w14:paraId="4E9CF06B" w14:textId="77777777" w:rsidR="00D924EA" w:rsidRDefault="00011DE9">
      <w:pPr>
        <w:pStyle w:val="P68B1DB1-Normal29"/>
        <w:spacing w:before="120" w:after="120" w:line="240" w:lineRule="auto"/>
        <w:jc w:val="both"/>
        <w:rPr>
          <w:noProof/>
        </w:rPr>
      </w:pPr>
      <w:r>
        <w:rPr>
          <w:noProof/>
        </w:rPr>
        <w:t xml:space="preserve">Obiectivul acestei investiții este de a reface ecosistemele naturale, de a promova înverzirea urbană și de a reabilita zonele degradate de activitățile miniere. </w:t>
      </w:r>
    </w:p>
    <w:p w14:paraId="75C02AFC" w14:textId="77777777" w:rsidR="00D924EA" w:rsidRDefault="00011DE9">
      <w:pPr>
        <w:pStyle w:val="P68B1DB1-Normal29"/>
        <w:spacing w:before="120" w:after="120" w:line="240" w:lineRule="auto"/>
        <w:jc w:val="both"/>
        <w:rPr>
          <w:noProof/>
        </w:rPr>
      </w:pPr>
      <w:r>
        <w:rPr>
          <w:noProof/>
        </w:rPr>
        <w:t xml:space="preserve">Investiția constă în acțiuni de refacere a naturii, inclusiv reabilitarea fostelor situri miniere, investiții în refacerea ecosistemelor și sprijin pentru renaturalizarea orașelor. </w:t>
      </w:r>
    </w:p>
    <w:p w14:paraId="0B8836A0" w14:textId="36ED108E" w:rsidR="00D924EA" w:rsidRDefault="00D924EA">
      <w:pPr>
        <w:spacing w:before="120" w:after="120" w:line="240" w:lineRule="auto"/>
        <w:jc w:val="both"/>
        <w:rPr>
          <w:rFonts w:ascii="Times New Roman" w:hAnsi="Times New Roman" w:cs="Times New Roman"/>
          <w:noProof/>
        </w:rPr>
      </w:pPr>
    </w:p>
    <w:p w14:paraId="54BC315E" w14:textId="77777777" w:rsidR="00D924EA" w:rsidRDefault="00011DE9">
      <w:pPr>
        <w:pStyle w:val="P68B1DB1-Normal30"/>
        <w:rPr>
          <w:noProof/>
        </w:rPr>
      </w:pPr>
      <w:r>
        <w:rPr>
          <w:noProof/>
        </w:rPr>
        <w:br w:type="page"/>
      </w:r>
    </w:p>
    <w:p w14:paraId="03A43D98" w14:textId="22ACA82B" w:rsidR="00D924EA" w:rsidRDefault="00011DE9">
      <w:pPr>
        <w:pStyle w:val="P68B1DB1-Normal30"/>
        <w:spacing w:before="120" w:after="120" w:line="240" w:lineRule="auto"/>
        <w:jc w:val="both"/>
        <w:rPr>
          <w:rFonts w:cs="Times New Roman"/>
          <w:noProof/>
        </w:rPr>
      </w:pPr>
      <w:r>
        <w:rPr>
          <w:noProof/>
        </w:rPr>
        <w:t>C4.I4 Gestionarea durabilă a pădurilor</w:t>
      </w:r>
    </w:p>
    <w:p w14:paraId="4EDB9CCD" w14:textId="00F8D24F" w:rsidR="00D924EA" w:rsidRDefault="00011DE9">
      <w:pPr>
        <w:pStyle w:val="P68B1DB1-Normal29"/>
        <w:spacing w:before="120" w:after="120" w:line="240" w:lineRule="auto"/>
        <w:jc w:val="both"/>
        <w:rPr>
          <w:noProof/>
        </w:rPr>
      </w:pPr>
      <w:r>
        <w:rPr>
          <w:noProof/>
        </w:rPr>
        <w:t>Obiectivul acestei investiții este de a asigura gestionarea durabilă a pădurilor spaniole și de a spori protecția acestora împotriva incendiilor forestiere.</w:t>
      </w:r>
      <w:r w:rsidR="00971820">
        <w:rPr>
          <w:noProof/>
        </w:rPr>
        <w:t xml:space="preserve"> </w:t>
      </w:r>
    </w:p>
    <w:p w14:paraId="5A1B413C" w14:textId="3FA0F805" w:rsidR="00D924EA" w:rsidRDefault="00011DE9">
      <w:pPr>
        <w:pStyle w:val="P68B1DB1-Normal29"/>
        <w:spacing w:before="120" w:after="120" w:line="240" w:lineRule="auto"/>
        <w:jc w:val="both"/>
        <w:rPr>
          <w:noProof/>
        </w:rPr>
      </w:pPr>
      <w:r>
        <w:rPr>
          <w:noProof/>
        </w:rPr>
        <w:t>Această investiție constă în acțiuni de sprijinire a gestionării pădurilor, precum și în investiții de sprijinire a bioeconomiei forestiere.</w:t>
      </w:r>
    </w:p>
    <w:p w14:paraId="7ADC23D2" w14:textId="3FCA902F" w:rsidR="00D924EA" w:rsidRDefault="00D924EA">
      <w:pPr>
        <w:spacing w:before="120" w:after="120" w:line="240" w:lineRule="auto"/>
        <w:jc w:val="both"/>
        <w:rPr>
          <w:rFonts w:ascii="Times New Roman" w:hAnsi="Times New Roman" w:cs="Times New Roman"/>
          <w:noProof/>
        </w:rPr>
      </w:pPr>
    </w:p>
    <w:p w14:paraId="6A5725E6" w14:textId="3DA0FFD9" w:rsidR="00D924EA" w:rsidRDefault="00011DE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D.2.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2C55D713" w14:textId="77777777" w:rsidR="00D924EA" w:rsidRDefault="00011DE9">
      <w:pPr>
        <w:pStyle w:val="P68B1DB1-Normal29"/>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7428CAAB" w14:textId="77777777" w:rsidR="00D924EA" w:rsidRDefault="00D924EA">
      <w:pPr>
        <w:rPr>
          <w:noProof/>
        </w:rPr>
        <w:sectPr w:rsidR="00D924EA" w:rsidSect="00B528FB">
          <w:headerReference w:type="default" r:id="rId80"/>
          <w:footerReference w:type="default" r:id="rId81"/>
          <w:pgSz w:w="11906" w:h="16838"/>
          <w:pgMar w:top="1440" w:right="1440" w:bottom="1440" w:left="1440" w:header="708" w:footer="708" w:gutter="0"/>
          <w:cols w:space="708"/>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8"/>
        <w:gridCol w:w="829"/>
        <w:gridCol w:w="966"/>
        <w:gridCol w:w="1767"/>
        <w:gridCol w:w="1543"/>
        <w:gridCol w:w="828"/>
        <w:gridCol w:w="889"/>
        <w:gridCol w:w="768"/>
        <w:gridCol w:w="415"/>
        <w:gridCol w:w="553"/>
        <w:gridCol w:w="5924"/>
      </w:tblGrid>
      <w:tr w:rsidR="00D924EA" w14:paraId="275A5F40" w14:textId="77777777">
        <w:trPr>
          <w:trHeight w:val="309"/>
          <w:tblHeader/>
          <w:jc w:val="center"/>
        </w:trPr>
        <w:tc>
          <w:tcPr>
            <w:tcW w:w="828" w:type="dxa"/>
            <w:vMerge w:val="restart"/>
            <w:shd w:val="clear" w:color="auto" w:fill="B7D4EF"/>
            <w:noWrap/>
            <w:vAlign w:val="center"/>
          </w:tcPr>
          <w:p w14:paraId="5BF3E8FF" w14:textId="77777777" w:rsidR="00D924EA" w:rsidRDefault="00011DE9">
            <w:pPr>
              <w:pStyle w:val="P68B1DB1-Normal28"/>
              <w:spacing w:after="0" w:line="240" w:lineRule="auto"/>
              <w:jc w:val="center"/>
              <w:rPr>
                <w:rFonts w:cs="Times New Roman"/>
                <w:noProof/>
                <w:szCs w:val="18"/>
              </w:rPr>
            </w:pPr>
            <w:r>
              <w:rPr>
                <w:noProof/>
              </w:rPr>
              <w:t>Număr</w:t>
            </w:r>
          </w:p>
        </w:tc>
        <w:tc>
          <w:tcPr>
            <w:tcW w:w="829" w:type="dxa"/>
            <w:vMerge w:val="restart"/>
            <w:shd w:val="clear" w:color="auto" w:fill="B7D4EF"/>
            <w:noWrap/>
            <w:vAlign w:val="center"/>
          </w:tcPr>
          <w:p w14:paraId="373E679D" w14:textId="77777777" w:rsidR="00D924EA" w:rsidRDefault="00011DE9">
            <w:pPr>
              <w:pStyle w:val="P68B1DB1-Normal28"/>
              <w:spacing w:after="0" w:line="240" w:lineRule="auto"/>
              <w:jc w:val="center"/>
              <w:rPr>
                <w:rFonts w:cs="Times New Roman"/>
                <w:noProof/>
                <w:szCs w:val="18"/>
              </w:rPr>
            </w:pPr>
            <w:r>
              <w:rPr>
                <w:noProof/>
              </w:rPr>
              <w:t>Măsură</w:t>
            </w:r>
          </w:p>
        </w:tc>
        <w:tc>
          <w:tcPr>
            <w:tcW w:w="966" w:type="dxa"/>
            <w:vMerge w:val="restart"/>
            <w:shd w:val="clear" w:color="auto" w:fill="B7D4EF"/>
            <w:noWrap/>
            <w:vAlign w:val="center"/>
          </w:tcPr>
          <w:p w14:paraId="7019B7DE" w14:textId="348C3453" w:rsidR="00D924EA" w:rsidRDefault="00011DE9">
            <w:pPr>
              <w:spacing w:after="0" w:line="240" w:lineRule="auto"/>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1767" w:type="dxa"/>
            <w:vMerge w:val="restart"/>
            <w:shd w:val="clear" w:color="auto" w:fill="B7D4EF"/>
            <w:noWrap/>
            <w:vAlign w:val="center"/>
          </w:tcPr>
          <w:p w14:paraId="25AFA494" w14:textId="77777777" w:rsidR="00D924EA" w:rsidRDefault="00011DE9">
            <w:pPr>
              <w:pStyle w:val="P68B1DB1-Normal28"/>
              <w:spacing w:after="0" w:line="240" w:lineRule="auto"/>
              <w:jc w:val="center"/>
              <w:rPr>
                <w:rFonts w:cs="Times New Roman"/>
                <w:noProof/>
                <w:szCs w:val="18"/>
              </w:rPr>
            </w:pPr>
            <w:r>
              <w:rPr>
                <w:noProof/>
              </w:rPr>
              <w:t>Nume</w:t>
            </w:r>
          </w:p>
        </w:tc>
        <w:tc>
          <w:tcPr>
            <w:tcW w:w="1543" w:type="dxa"/>
            <w:vMerge w:val="restart"/>
            <w:shd w:val="clear" w:color="auto" w:fill="B7D4EF"/>
            <w:noWrap/>
            <w:vAlign w:val="center"/>
          </w:tcPr>
          <w:p w14:paraId="5E498F04" w14:textId="77777777" w:rsidR="00D924EA" w:rsidRDefault="00011DE9">
            <w:pPr>
              <w:pStyle w:val="P68B1DB1-Normal28"/>
              <w:spacing w:after="0" w:line="240" w:lineRule="auto"/>
              <w:jc w:val="center"/>
              <w:rPr>
                <w:rFonts w:cs="Times New Roman"/>
                <w:noProof/>
                <w:szCs w:val="18"/>
              </w:rPr>
            </w:pPr>
            <w:r>
              <w:rPr>
                <w:noProof/>
              </w:rPr>
              <w:t>Indicator calitativ pentru jaloane</w:t>
            </w:r>
          </w:p>
        </w:tc>
        <w:tc>
          <w:tcPr>
            <w:tcW w:w="2485" w:type="dxa"/>
            <w:gridSpan w:val="3"/>
            <w:shd w:val="clear" w:color="auto" w:fill="B7D4EF"/>
            <w:noWrap/>
            <w:vAlign w:val="center"/>
          </w:tcPr>
          <w:p w14:paraId="470070B5" w14:textId="77777777" w:rsidR="00D924EA" w:rsidRDefault="00011DE9">
            <w:pPr>
              <w:pStyle w:val="P68B1DB1-Normal28"/>
              <w:spacing w:after="0" w:line="240" w:lineRule="auto"/>
              <w:jc w:val="center"/>
              <w:rPr>
                <w:rFonts w:cs="Times New Roman"/>
                <w:noProof/>
                <w:szCs w:val="18"/>
              </w:rPr>
            </w:pPr>
            <w:r>
              <w:rPr>
                <w:noProof/>
              </w:rPr>
              <w:t>Indicator cantitativ pentru ținte</w:t>
            </w:r>
          </w:p>
        </w:tc>
        <w:tc>
          <w:tcPr>
            <w:tcW w:w="968" w:type="dxa"/>
            <w:gridSpan w:val="2"/>
            <w:shd w:val="clear" w:color="auto" w:fill="B7D4EF"/>
            <w:noWrap/>
            <w:vAlign w:val="center"/>
          </w:tcPr>
          <w:p w14:paraId="76F0AAF0" w14:textId="77777777" w:rsidR="00D924EA" w:rsidRDefault="00011DE9">
            <w:pPr>
              <w:pStyle w:val="P68B1DB1-Normal28"/>
              <w:spacing w:after="0" w:line="240" w:lineRule="auto"/>
              <w:jc w:val="center"/>
              <w:rPr>
                <w:rFonts w:cs="Times New Roman"/>
                <w:noProof/>
                <w:szCs w:val="18"/>
              </w:rPr>
            </w:pPr>
            <w:r>
              <w:rPr>
                <w:noProof/>
              </w:rPr>
              <w:t>Timp</w:t>
            </w:r>
          </w:p>
        </w:tc>
        <w:tc>
          <w:tcPr>
            <w:tcW w:w="5924" w:type="dxa"/>
            <w:vMerge w:val="restart"/>
            <w:shd w:val="clear" w:color="auto" w:fill="B7D4EF"/>
            <w:noWrap/>
            <w:vAlign w:val="center"/>
          </w:tcPr>
          <w:p w14:paraId="09DABB91" w14:textId="77777777" w:rsidR="00D924EA" w:rsidRDefault="00011DE9">
            <w:pPr>
              <w:pStyle w:val="P68B1DB1-Normal28"/>
              <w:spacing w:after="0" w:line="240" w:lineRule="auto"/>
              <w:jc w:val="center"/>
              <w:rPr>
                <w:rFonts w:cs="Times New Roman"/>
                <w:noProof/>
                <w:szCs w:val="18"/>
              </w:rPr>
            </w:pPr>
            <w:r>
              <w:rPr>
                <w:noProof/>
              </w:rPr>
              <w:t>Descrierea fiecărui jalon și a fiecărei ținte</w:t>
            </w:r>
          </w:p>
        </w:tc>
      </w:tr>
      <w:tr w:rsidR="00D924EA" w14:paraId="1516CA42" w14:textId="77777777" w:rsidTr="0042520D">
        <w:trPr>
          <w:trHeight w:val="309"/>
          <w:tblHeader/>
          <w:jc w:val="center"/>
        </w:trPr>
        <w:tc>
          <w:tcPr>
            <w:tcW w:w="828" w:type="dxa"/>
            <w:vMerge/>
            <w:noWrap/>
          </w:tcPr>
          <w:p w14:paraId="5104EF38" w14:textId="77777777" w:rsidR="00D924EA" w:rsidRDefault="00D924EA">
            <w:pPr>
              <w:spacing w:after="0" w:line="240" w:lineRule="auto"/>
              <w:jc w:val="center"/>
              <w:rPr>
                <w:rFonts w:ascii="Times New Roman" w:hAnsi="Times New Roman" w:cs="Times New Roman"/>
                <w:b/>
                <w:noProof/>
                <w:sz w:val="18"/>
                <w:szCs w:val="18"/>
              </w:rPr>
            </w:pPr>
          </w:p>
        </w:tc>
        <w:tc>
          <w:tcPr>
            <w:tcW w:w="829" w:type="dxa"/>
            <w:vMerge/>
            <w:noWrap/>
          </w:tcPr>
          <w:p w14:paraId="455A106F" w14:textId="77777777" w:rsidR="00D924EA" w:rsidRDefault="00D924EA">
            <w:pPr>
              <w:spacing w:after="0" w:line="240" w:lineRule="auto"/>
              <w:jc w:val="center"/>
              <w:rPr>
                <w:rFonts w:ascii="Times New Roman" w:hAnsi="Times New Roman" w:cs="Times New Roman"/>
                <w:b/>
                <w:noProof/>
                <w:sz w:val="18"/>
                <w:szCs w:val="18"/>
              </w:rPr>
            </w:pPr>
          </w:p>
        </w:tc>
        <w:tc>
          <w:tcPr>
            <w:tcW w:w="966" w:type="dxa"/>
            <w:vMerge/>
            <w:noWrap/>
          </w:tcPr>
          <w:p w14:paraId="2B354B0A" w14:textId="77777777" w:rsidR="00D924EA" w:rsidRDefault="00D924EA">
            <w:pPr>
              <w:spacing w:after="0" w:line="240" w:lineRule="auto"/>
              <w:jc w:val="center"/>
              <w:rPr>
                <w:rFonts w:ascii="Times New Roman" w:hAnsi="Times New Roman" w:cs="Times New Roman"/>
                <w:b/>
                <w:noProof/>
                <w:sz w:val="18"/>
                <w:szCs w:val="18"/>
              </w:rPr>
            </w:pPr>
          </w:p>
        </w:tc>
        <w:tc>
          <w:tcPr>
            <w:tcW w:w="1767" w:type="dxa"/>
            <w:vMerge/>
            <w:noWrap/>
          </w:tcPr>
          <w:p w14:paraId="368C9ADF" w14:textId="77777777" w:rsidR="00D924EA" w:rsidRDefault="00D924EA">
            <w:pPr>
              <w:spacing w:after="0" w:line="240" w:lineRule="auto"/>
              <w:rPr>
                <w:rFonts w:ascii="Times New Roman" w:hAnsi="Times New Roman" w:cs="Times New Roman"/>
                <w:b/>
                <w:noProof/>
                <w:sz w:val="18"/>
                <w:szCs w:val="18"/>
              </w:rPr>
            </w:pPr>
          </w:p>
        </w:tc>
        <w:tc>
          <w:tcPr>
            <w:tcW w:w="1543" w:type="dxa"/>
            <w:vMerge/>
            <w:noWrap/>
          </w:tcPr>
          <w:p w14:paraId="4B1E277D" w14:textId="77777777" w:rsidR="00D924EA" w:rsidRDefault="00D924EA">
            <w:pPr>
              <w:spacing w:after="0" w:line="240" w:lineRule="auto"/>
              <w:jc w:val="center"/>
              <w:rPr>
                <w:rFonts w:ascii="Times New Roman" w:hAnsi="Times New Roman" w:cs="Times New Roman"/>
                <w:b/>
                <w:noProof/>
                <w:sz w:val="18"/>
                <w:szCs w:val="18"/>
              </w:rPr>
            </w:pPr>
          </w:p>
        </w:tc>
        <w:tc>
          <w:tcPr>
            <w:tcW w:w="828" w:type="dxa"/>
            <w:shd w:val="clear" w:color="auto" w:fill="B7D4EF"/>
            <w:noWrap/>
            <w:vAlign w:val="center"/>
          </w:tcPr>
          <w:p w14:paraId="5EDDD561" w14:textId="77777777" w:rsidR="00D924EA" w:rsidRDefault="00011DE9">
            <w:pPr>
              <w:pStyle w:val="P68B1DB1-Normal28"/>
              <w:spacing w:after="0" w:line="240" w:lineRule="auto"/>
              <w:jc w:val="center"/>
              <w:rPr>
                <w:rFonts w:cs="Times New Roman"/>
                <w:noProof/>
                <w:szCs w:val="18"/>
              </w:rPr>
            </w:pPr>
            <w:r>
              <w:rPr>
                <w:noProof/>
              </w:rPr>
              <w:t>Unitate</w:t>
            </w:r>
          </w:p>
        </w:tc>
        <w:tc>
          <w:tcPr>
            <w:tcW w:w="889" w:type="dxa"/>
            <w:shd w:val="clear" w:color="auto" w:fill="B7D4EF"/>
            <w:noWrap/>
            <w:vAlign w:val="center"/>
          </w:tcPr>
          <w:p w14:paraId="7F4FC473" w14:textId="77777777" w:rsidR="00D924EA" w:rsidRDefault="00011DE9">
            <w:pPr>
              <w:pStyle w:val="P68B1DB1-Normal28"/>
              <w:spacing w:after="0" w:line="240" w:lineRule="auto"/>
              <w:jc w:val="center"/>
              <w:rPr>
                <w:rFonts w:cs="Times New Roman"/>
                <w:noProof/>
                <w:szCs w:val="18"/>
              </w:rPr>
            </w:pPr>
            <w:r>
              <w:rPr>
                <w:noProof/>
              </w:rPr>
              <w:t>Situația de referință</w:t>
            </w:r>
          </w:p>
        </w:tc>
        <w:tc>
          <w:tcPr>
            <w:tcW w:w="768" w:type="dxa"/>
            <w:shd w:val="clear" w:color="auto" w:fill="B7D4EF"/>
            <w:noWrap/>
            <w:vAlign w:val="center"/>
          </w:tcPr>
          <w:p w14:paraId="3230644B" w14:textId="77777777" w:rsidR="00D924EA" w:rsidRDefault="00011DE9">
            <w:pPr>
              <w:pStyle w:val="P68B1DB1-Normal28"/>
              <w:spacing w:after="0" w:line="240" w:lineRule="auto"/>
              <w:jc w:val="center"/>
              <w:rPr>
                <w:rFonts w:cs="Times New Roman"/>
                <w:noProof/>
                <w:szCs w:val="18"/>
              </w:rPr>
            </w:pPr>
            <w:r>
              <w:rPr>
                <w:noProof/>
              </w:rPr>
              <w:t>Obiectiv</w:t>
            </w:r>
          </w:p>
        </w:tc>
        <w:tc>
          <w:tcPr>
            <w:tcW w:w="415" w:type="dxa"/>
            <w:shd w:val="clear" w:color="auto" w:fill="B7D4EF"/>
            <w:noWrap/>
            <w:vAlign w:val="center"/>
          </w:tcPr>
          <w:p w14:paraId="0584561C" w14:textId="79615E4C" w:rsidR="00D924EA" w:rsidRDefault="0042520D">
            <w:pPr>
              <w:pStyle w:val="P68B1DB1-Normal28"/>
              <w:spacing w:after="0" w:line="240" w:lineRule="auto"/>
              <w:jc w:val="center"/>
              <w:rPr>
                <w:rFonts w:cs="Times New Roman"/>
                <w:noProof/>
                <w:szCs w:val="18"/>
              </w:rPr>
            </w:pPr>
            <w:r>
              <w:rPr>
                <w:noProof/>
              </w:rPr>
              <w:t>T</w:t>
            </w:r>
          </w:p>
        </w:tc>
        <w:tc>
          <w:tcPr>
            <w:tcW w:w="553" w:type="dxa"/>
            <w:shd w:val="clear" w:color="auto" w:fill="B7D4EF"/>
            <w:noWrap/>
            <w:vAlign w:val="center"/>
          </w:tcPr>
          <w:p w14:paraId="40E820E0" w14:textId="77777777" w:rsidR="00D924EA" w:rsidRDefault="00011DE9">
            <w:pPr>
              <w:pStyle w:val="P68B1DB1-Normal28"/>
              <w:spacing w:after="0" w:line="240" w:lineRule="auto"/>
              <w:jc w:val="center"/>
              <w:rPr>
                <w:rFonts w:cs="Times New Roman"/>
                <w:noProof/>
                <w:szCs w:val="18"/>
              </w:rPr>
            </w:pPr>
            <w:r>
              <w:rPr>
                <w:noProof/>
              </w:rPr>
              <w:t>Anul</w:t>
            </w:r>
          </w:p>
        </w:tc>
        <w:tc>
          <w:tcPr>
            <w:tcW w:w="5924" w:type="dxa"/>
            <w:vMerge/>
            <w:noWrap/>
          </w:tcPr>
          <w:p w14:paraId="24420DC3" w14:textId="77777777" w:rsidR="00D924EA" w:rsidRDefault="00D924EA">
            <w:pPr>
              <w:spacing w:after="0" w:line="240" w:lineRule="auto"/>
              <w:rPr>
                <w:rFonts w:ascii="Times New Roman" w:hAnsi="Times New Roman" w:cs="Times New Roman"/>
                <w:b/>
                <w:noProof/>
                <w:sz w:val="18"/>
                <w:szCs w:val="18"/>
              </w:rPr>
            </w:pPr>
          </w:p>
        </w:tc>
      </w:tr>
      <w:tr w:rsidR="00D924EA" w14:paraId="16344994" w14:textId="77777777" w:rsidTr="0042520D">
        <w:trPr>
          <w:trHeight w:val="309"/>
          <w:jc w:val="center"/>
        </w:trPr>
        <w:tc>
          <w:tcPr>
            <w:tcW w:w="828" w:type="dxa"/>
            <w:shd w:val="clear" w:color="auto" w:fill="C6EFCE"/>
            <w:noWrap/>
          </w:tcPr>
          <w:p w14:paraId="265A0658" w14:textId="77777777" w:rsidR="00D924EA" w:rsidRDefault="00011DE9">
            <w:pPr>
              <w:pStyle w:val="P68B1DB1-Normal23"/>
              <w:spacing w:after="0" w:line="240" w:lineRule="auto"/>
              <w:jc w:val="center"/>
              <w:rPr>
                <w:rFonts w:eastAsia="MS Mincho" w:cs="Times New Roman"/>
                <w:noProof/>
                <w:szCs w:val="18"/>
              </w:rPr>
            </w:pPr>
            <w:r>
              <w:rPr>
                <w:noProof/>
              </w:rPr>
              <w:t>62</w:t>
            </w:r>
          </w:p>
        </w:tc>
        <w:tc>
          <w:tcPr>
            <w:tcW w:w="829" w:type="dxa"/>
            <w:shd w:val="clear" w:color="auto" w:fill="C6EFCE"/>
            <w:noWrap/>
          </w:tcPr>
          <w:p w14:paraId="66B21291" w14:textId="77777777" w:rsidR="00D924EA" w:rsidRDefault="00011DE9">
            <w:pPr>
              <w:pStyle w:val="P68B1DB1-Normal23"/>
              <w:spacing w:after="0" w:line="240" w:lineRule="auto"/>
              <w:jc w:val="center"/>
              <w:rPr>
                <w:rFonts w:eastAsia="MS Mincho" w:cs="Times New Roman"/>
                <w:noProof/>
                <w:szCs w:val="18"/>
              </w:rPr>
            </w:pPr>
            <w:r>
              <w:rPr>
                <w:noProof/>
              </w:rPr>
              <w:t>C4.R1</w:t>
            </w:r>
          </w:p>
        </w:tc>
        <w:tc>
          <w:tcPr>
            <w:tcW w:w="966" w:type="dxa"/>
            <w:shd w:val="clear" w:color="auto" w:fill="C6EFCE"/>
            <w:noWrap/>
          </w:tcPr>
          <w:p w14:paraId="587F3225"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22B39DBE" w14:textId="77777777" w:rsidR="00D924EA" w:rsidRDefault="00011DE9">
            <w:pPr>
              <w:pStyle w:val="P68B1DB1-Normal23"/>
              <w:spacing w:after="0" w:line="240" w:lineRule="auto"/>
              <w:rPr>
                <w:rFonts w:eastAsia="MS Mincho" w:cs="Times New Roman"/>
                <w:noProof/>
                <w:szCs w:val="18"/>
              </w:rPr>
            </w:pPr>
            <w:r>
              <w:rPr>
                <w:noProof/>
              </w:rPr>
              <w:t xml:space="preserve">Planul strategic pentru patrimoniul natural și biodiversitate și Planul privind rețeaua de zone marine protejate </w:t>
            </w:r>
          </w:p>
        </w:tc>
        <w:tc>
          <w:tcPr>
            <w:tcW w:w="1543" w:type="dxa"/>
            <w:shd w:val="clear" w:color="auto" w:fill="C6EFCE"/>
            <w:noWrap/>
          </w:tcPr>
          <w:p w14:paraId="5FB755DE" w14:textId="77777777" w:rsidR="00D924EA" w:rsidRDefault="00011DE9">
            <w:pPr>
              <w:pStyle w:val="P68B1DB1-Normal23"/>
              <w:spacing w:after="0" w:line="240" w:lineRule="auto"/>
              <w:jc w:val="center"/>
              <w:rPr>
                <w:rFonts w:eastAsia="MS Mincho" w:cs="Times New Roman"/>
                <w:noProof/>
                <w:szCs w:val="18"/>
              </w:rPr>
            </w:pPr>
            <w:r>
              <w:rPr>
                <w:noProof/>
              </w:rPr>
              <w:t>Publicarea în Jurnalul Oficial</w:t>
            </w:r>
          </w:p>
        </w:tc>
        <w:tc>
          <w:tcPr>
            <w:tcW w:w="828" w:type="dxa"/>
            <w:shd w:val="clear" w:color="auto" w:fill="C6EFCE"/>
            <w:noWrap/>
          </w:tcPr>
          <w:p w14:paraId="1766094E"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889" w:type="dxa"/>
            <w:shd w:val="clear" w:color="auto" w:fill="C6EFCE"/>
            <w:noWrap/>
          </w:tcPr>
          <w:p w14:paraId="407FBF24"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68" w:type="dxa"/>
            <w:shd w:val="clear" w:color="auto" w:fill="C6EFCE"/>
            <w:noWrap/>
          </w:tcPr>
          <w:p w14:paraId="7FD49EB1"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1AD8EB9B" w14:textId="7BADAC8D" w:rsidR="00D924EA" w:rsidRDefault="005701C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0ED3642A" w14:textId="77777777" w:rsidR="00D924EA" w:rsidRDefault="00011DE9">
            <w:pPr>
              <w:pStyle w:val="P68B1DB1-Normal23"/>
              <w:spacing w:after="0" w:line="240" w:lineRule="auto"/>
              <w:jc w:val="center"/>
              <w:rPr>
                <w:rFonts w:eastAsia="MS Mincho" w:cs="Times New Roman"/>
                <w:noProof/>
                <w:szCs w:val="18"/>
              </w:rPr>
            </w:pPr>
            <w:r>
              <w:rPr>
                <w:noProof/>
              </w:rPr>
              <w:t>2022</w:t>
            </w:r>
          </w:p>
        </w:tc>
        <w:tc>
          <w:tcPr>
            <w:tcW w:w="5924" w:type="dxa"/>
            <w:shd w:val="clear" w:color="auto" w:fill="C6EFCE"/>
            <w:noWrap/>
          </w:tcPr>
          <w:p w14:paraId="5EB66457" w14:textId="77777777" w:rsidR="00D924EA" w:rsidRDefault="00011DE9">
            <w:pPr>
              <w:pStyle w:val="P68B1DB1-Normal23"/>
              <w:spacing w:after="0" w:line="240" w:lineRule="auto"/>
              <w:rPr>
                <w:rFonts w:eastAsia="MS Mincho" w:cs="Times New Roman"/>
                <w:noProof/>
                <w:szCs w:val="18"/>
              </w:rPr>
            </w:pPr>
            <w:r>
              <w:rPr>
                <w:noProof/>
              </w:rPr>
              <w:t>Adoptarea Planului strategic pentru patrimoniul natural și biodiversitate (decret regal) și a Planului privind rețeaua de zone marine protejate (decret regal), inclusiv crearea a cel puțin nouă baze de gestionare marină, iii) Strategia privind biodiversitatea, știința și cunoașterea, iv) Strategia națională pentru conservarea polenizatorilor, v) Regulamentul privind actualizarea autorităților, a organismelor administrative și științifice, în temeiul Convenției privind comerțul internațional cu specii ale faunei și florei sălbatice pe cale de dispariție și vi) Planul de conservare și refacere a zonelor umede.</w:t>
            </w:r>
          </w:p>
        </w:tc>
      </w:tr>
      <w:tr w:rsidR="00D924EA" w14:paraId="142866AB" w14:textId="77777777" w:rsidTr="0042520D">
        <w:trPr>
          <w:trHeight w:val="309"/>
          <w:jc w:val="center"/>
        </w:trPr>
        <w:tc>
          <w:tcPr>
            <w:tcW w:w="828" w:type="dxa"/>
            <w:shd w:val="clear" w:color="auto" w:fill="C6EFCE"/>
            <w:noWrap/>
          </w:tcPr>
          <w:p w14:paraId="6EF782C9" w14:textId="77777777" w:rsidR="00D924EA" w:rsidRDefault="00011DE9">
            <w:pPr>
              <w:pStyle w:val="P68B1DB1-Normal23"/>
              <w:spacing w:after="0" w:line="240" w:lineRule="auto"/>
              <w:jc w:val="center"/>
              <w:rPr>
                <w:rFonts w:eastAsia="MS Mincho" w:cs="Times New Roman"/>
                <w:noProof/>
                <w:szCs w:val="18"/>
              </w:rPr>
            </w:pPr>
            <w:r>
              <w:rPr>
                <w:noProof/>
              </w:rPr>
              <w:t>63</w:t>
            </w:r>
          </w:p>
        </w:tc>
        <w:tc>
          <w:tcPr>
            <w:tcW w:w="829" w:type="dxa"/>
            <w:shd w:val="clear" w:color="auto" w:fill="C6EFCE"/>
            <w:noWrap/>
          </w:tcPr>
          <w:p w14:paraId="286158ED" w14:textId="77777777" w:rsidR="00D924EA" w:rsidRDefault="00011DE9">
            <w:pPr>
              <w:pStyle w:val="P68B1DB1-Normal23"/>
              <w:spacing w:after="0" w:line="240" w:lineRule="auto"/>
              <w:jc w:val="center"/>
              <w:rPr>
                <w:rFonts w:eastAsia="MS Mincho" w:cs="Times New Roman"/>
                <w:noProof/>
                <w:szCs w:val="18"/>
              </w:rPr>
            </w:pPr>
            <w:r>
              <w:rPr>
                <w:noProof/>
              </w:rPr>
              <w:t>C4.R2</w:t>
            </w:r>
          </w:p>
        </w:tc>
        <w:tc>
          <w:tcPr>
            <w:tcW w:w="966" w:type="dxa"/>
            <w:shd w:val="clear" w:color="auto" w:fill="C6EFCE"/>
            <w:noWrap/>
          </w:tcPr>
          <w:p w14:paraId="399D31F9"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5E92E7EF" w14:textId="77777777" w:rsidR="00D924EA" w:rsidRDefault="00011DE9">
            <w:pPr>
              <w:pStyle w:val="P68B1DB1-Normal23"/>
              <w:spacing w:after="0" w:line="240" w:lineRule="auto"/>
              <w:rPr>
                <w:rFonts w:eastAsia="MS Mincho" w:cs="Times New Roman"/>
                <w:noProof/>
                <w:szCs w:val="18"/>
              </w:rPr>
            </w:pPr>
            <w:r>
              <w:rPr>
                <w:noProof/>
              </w:rPr>
              <w:t>Adoptarea Strategiei naționale privind infrastructurile ecologice, conectivitatea și refacerea ecologică</w:t>
            </w:r>
          </w:p>
        </w:tc>
        <w:tc>
          <w:tcPr>
            <w:tcW w:w="1543" w:type="dxa"/>
            <w:shd w:val="clear" w:color="auto" w:fill="C6EFCE"/>
            <w:noWrap/>
          </w:tcPr>
          <w:p w14:paraId="44D8AACB" w14:textId="77777777" w:rsidR="00D924EA" w:rsidRDefault="00011DE9">
            <w:pPr>
              <w:pStyle w:val="P68B1DB1-Normal23"/>
              <w:spacing w:after="0" w:line="240" w:lineRule="auto"/>
              <w:jc w:val="center"/>
              <w:rPr>
                <w:rFonts w:eastAsia="MS Mincho" w:cs="Times New Roman"/>
                <w:noProof/>
                <w:szCs w:val="18"/>
              </w:rPr>
            </w:pPr>
            <w:r>
              <w:rPr>
                <w:noProof/>
              </w:rPr>
              <w:t>Publicarea în Jurnalul Oficial</w:t>
            </w:r>
          </w:p>
        </w:tc>
        <w:tc>
          <w:tcPr>
            <w:tcW w:w="828" w:type="dxa"/>
            <w:shd w:val="clear" w:color="auto" w:fill="C6EFCE"/>
            <w:noWrap/>
          </w:tcPr>
          <w:p w14:paraId="471D07F6"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889" w:type="dxa"/>
            <w:shd w:val="clear" w:color="auto" w:fill="C6EFCE"/>
            <w:noWrap/>
          </w:tcPr>
          <w:p w14:paraId="3FC73685"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68" w:type="dxa"/>
            <w:shd w:val="clear" w:color="auto" w:fill="C6EFCE"/>
            <w:noWrap/>
          </w:tcPr>
          <w:p w14:paraId="58835119"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40CB228B" w14:textId="57D969DF" w:rsidR="00D924EA" w:rsidRDefault="005701C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4BF90F01" w14:textId="77777777" w:rsidR="00D924EA" w:rsidRDefault="00011DE9">
            <w:pPr>
              <w:pStyle w:val="P68B1DB1-Normal23"/>
              <w:spacing w:after="0" w:line="240" w:lineRule="auto"/>
              <w:jc w:val="center"/>
              <w:rPr>
                <w:rFonts w:eastAsia="MS Mincho" w:cs="Times New Roman"/>
                <w:noProof/>
                <w:szCs w:val="18"/>
              </w:rPr>
            </w:pPr>
            <w:r>
              <w:rPr>
                <w:noProof/>
              </w:rPr>
              <w:t>2021</w:t>
            </w:r>
          </w:p>
        </w:tc>
        <w:tc>
          <w:tcPr>
            <w:tcW w:w="5924" w:type="dxa"/>
            <w:shd w:val="clear" w:color="auto" w:fill="C6EFCE"/>
            <w:noWrap/>
          </w:tcPr>
          <w:p w14:paraId="2CC17168" w14:textId="77777777" w:rsidR="00D924EA" w:rsidRDefault="00011DE9">
            <w:pPr>
              <w:pStyle w:val="P68B1DB1-Normal23"/>
              <w:spacing w:after="0" w:line="240" w:lineRule="auto"/>
              <w:rPr>
                <w:rFonts w:eastAsia="MS Mincho" w:cs="Times New Roman"/>
                <w:noProof/>
                <w:szCs w:val="18"/>
              </w:rPr>
            </w:pPr>
            <w:r>
              <w:rPr>
                <w:noProof/>
              </w:rPr>
              <w:t>Adoptarea Strategiei naționale pentru infrastructuri ecologice, conectivitate și refacere ecologică. Strategia include linii de acțiune pentru a realiza: (I) reducerea efectelor fragmentării și ale pierderii conectivității ecologice; (II) refacerea ecosistemelor în domenii-cheie; (III) menținerea și îmbunătățirea furnizării de servicii ecosistemice; (IV) îmbunătățirea rezilienței; (V) definirea unui model de guvernanță; și (vi) comunicarea, educația și participarea părților interesate.</w:t>
            </w:r>
          </w:p>
        </w:tc>
      </w:tr>
      <w:tr w:rsidR="00D924EA" w14:paraId="79CDC9EF" w14:textId="77777777" w:rsidTr="0042520D">
        <w:trPr>
          <w:trHeight w:val="309"/>
          <w:jc w:val="center"/>
        </w:trPr>
        <w:tc>
          <w:tcPr>
            <w:tcW w:w="828" w:type="dxa"/>
            <w:shd w:val="clear" w:color="auto" w:fill="C6EFCE"/>
            <w:noWrap/>
          </w:tcPr>
          <w:p w14:paraId="6CF77753" w14:textId="77777777" w:rsidR="00D924EA" w:rsidRDefault="00011DE9">
            <w:pPr>
              <w:pStyle w:val="P68B1DB1-Normal23"/>
              <w:spacing w:after="0" w:line="240" w:lineRule="auto"/>
              <w:jc w:val="center"/>
              <w:rPr>
                <w:rFonts w:eastAsia="MS Mincho" w:cs="Times New Roman"/>
                <w:noProof/>
                <w:szCs w:val="18"/>
              </w:rPr>
            </w:pPr>
            <w:r>
              <w:rPr>
                <w:noProof/>
              </w:rPr>
              <w:t>64</w:t>
            </w:r>
          </w:p>
        </w:tc>
        <w:tc>
          <w:tcPr>
            <w:tcW w:w="829" w:type="dxa"/>
            <w:shd w:val="clear" w:color="auto" w:fill="C6EFCE"/>
            <w:noWrap/>
          </w:tcPr>
          <w:p w14:paraId="6CA996BF" w14:textId="77777777" w:rsidR="00D924EA" w:rsidRDefault="00011DE9">
            <w:pPr>
              <w:pStyle w:val="P68B1DB1-Normal23"/>
              <w:spacing w:after="0" w:line="240" w:lineRule="auto"/>
              <w:jc w:val="center"/>
              <w:rPr>
                <w:rFonts w:eastAsia="MS Mincho" w:cs="Times New Roman"/>
                <w:noProof/>
                <w:szCs w:val="18"/>
              </w:rPr>
            </w:pPr>
            <w:r>
              <w:rPr>
                <w:noProof/>
              </w:rPr>
              <w:t>C4.R3</w:t>
            </w:r>
          </w:p>
        </w:tc>
        <w:tc>
          <w:tcPr>
            <w:tcW w:w="966" w:type="dxa"/>
            <w:shd w:val="clear" w:color="auto" w:fill="C6EFCE"/>
            <w:noWrap/>
          </w:tcPr>
          <w:p w14:paraId="4109174C"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14CF8678" w14:textId="77777777" w:rsidR="00D924EA" w:rsidRDefault="00011DE9">
            <w:pPr>
              <w:pStyle w:val="P68B1DB1-Normal23"/>
              <w:spacing w:after="0" w:line="240" w:lineRule="auto"/>
              <w:rPr>
                <w:rFonts w:eastAsia="MS Mincho" w:cs="Times New Roman"/>
                <w:noProof/>
                <w:szCs w:val="18"/>
              </w:rPr>
            </w:pPr>
            <w:r>
              <w:rPr>
                <w:noProof/>
              </w:rPr>
              <w:t>Aprobarea strategiei și a planului de sprijin pentru păduri ale Spaniei</w:t>
            </w:r>
          </w:p>
        </w:tc>
        <w:tc>
          <w:tcPr>
            <w:tcW w:w="1543" w:type="dxa"/>
            <w:shd w:val="clear" w:color="auto" w:fill="C6EFCE"/>
            <w:noWrap/>
          </w:tcPr>
          <w:p w14:paraId="7866647C" w14:textId="77777777" w:rsidR="00D924EA" w:rsidRDefault="00011DE9">
            <w:pPr>
              <w:pStyle w:val="P68B1DB1-Normal23"/>
              <w:spacing w:after="0" w:line="240" w:lineRule="auto"/>
              <w:jc w:val="center"/>
              <w:rPr>
                <w:rFonts w:eastAsia="MS Mincho" w:cs="Times New Roman"/>
                <w:noProof/>
                <w:szCs w:val="18"/>
              </w:rPr>
            </w:pPr>
            <w:r>
              <w:rPr>
                <w:noProof/>
              </w:rPr>
              <w:t>Publicarea în Jurnalul Oficial</w:t>
            </w:r>
          </w:p>
        </w:tc>
        <w:tc>
          <w:tcPr>
            <w:tcW w:w="828" w:type="dxa"/>
            <w:shd w:val="clear" w:color="auto" w:fill="C6EFCE"/>
            <w:noWrap/>
          </w:tcPr>
          <w:p w14:paraId="0B29E069"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889" w:type="dxa"/>
            <w:shd w:val="clear" w:color="auto" w:fill="C6EFCE"/>
            <w:noWrap/>
          </w:tcPr>
          <w:p w14:paraId="6092DD41"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68" w:type="dxa"/>
            <w:shd w:val="clear" w:color="auto" w:fill="C6EFCE"/>
            <w:noWrap/>
          </w:tcPr>
          <w:p w14:paraId="7D3F00E5"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75123BD0" w14:textId="2C1ACEDE" w:rsidR="00D924EA" w:rsidRDefault="005701C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578D86AF" w14:textId="77777777" w:rsidR="00D924EA" w:rsidRDefault="00011DE9">
            <w:pPr>
              <w:pStyle w:val="P68B1DB1-Normal23"/>
              <w:spacing w:after="0" w:line="240" w:lineRule="auto"/>
              <w:jc w:val="center"/>
              <w:rPr>
                <w:rFonts w:eastAsia="MS Mincho" w:cs="Times New Roman"/>
                <w:noProof/>
                <w:szCs w:val="18"/>
              </w:rPr>
            </w:pPr>
            <w:r>
              <w:rPr>
                <w:noProof/>
              </w:rPr>
              <w:t>2022</w:t>
            </w:r>
          </w:p>
        </w:tc>
        <w:tc>
          <w:tcPr>
            <w:tcW w:w="5924" w:type="dxa"/>
            <w:shd w:val="clear" w:color="auto" w:fill="C6EFCE"/>
            <w:noWrap/>
          </w:tcPr>
          <w:p w14:paraId="6B74C59B" w14:textId="77777777" w:rsidR="00D924EA" w:rsidRDefault="00011DE9">
            <w:pPr>
              <w:pStyle w:val="P68B1DB1-Normal23"/>
              <w:spacing w:after="0" w:line="240" w:lineRule="auto"/>
              <w:rPr>
                <w:rFonts w:eastAsia="MS Mincho" w:cs="Times New Roman"/>
                <w:noProof/>
                <w:szCs w:val="18"/>
              </w:rPr>
            </w:pPr>
            <w:r>
              <w:rPr>
                <w:noProof/>
              </w:rPr>
              <w:t>Adoptarea strategiei și a planului de sprijin pentru păduri din Spania, care includ orientări pentru gestionarea durabilă a pădurilor.</w:t>
            </w:r>
          </w:p>
        </w:tc>
      </w:tr>
      <w:tr w:rsidR="00D924EA" w14:paraId="67C20D7B" w14:textId="77777777" w:rsidTr="0042520D">
        <w:trPr>
          <w:trHeight w:val="309"/>
          <w:jc w:val="center"/>
        </w:trPr>
        <w:tc>
          <w:tcPr>
            <w:tcW w:w="828" w:type="dxa"/>
            <w:shd w:val="clear" w:color="auto" w:fill="C6EFCE"/>
            <w:noWrap/>
          </w:tcPr>
          <w:p w14:paraId="66C8D520" w14:textId="77777777" w:rsidR="00D924EA" w:rsidRDefault="00011DE9">
            <w:pPr>
              <w:pStyle w:val="P68B1DB1-Normal23"/>
              <w:spacing w:after="0" w:line="240" w:lineRule="auto"/>
              <w:jc w:val="center"/>
              <w:rPr>
                <w:rFonts w:eastAsia="MS Mincho" w:cs="Times New Roman"/>
                <w:noProof/>
                <w:szCs w:val="18"/>
              </w:rPr>
            </w:pPr>
            <w:r>
              <w:rPr>
                <w:noProof/>
              </w:rPr>
              <w:t>65</w:t>
            </w:r>
          </w:p>
        </w:tc>
        <w:tc>
          <w:tcPr>
            <w:tcW w:w="829" w:type="dxa"/>
            <w:shd w:val="clear" w:color="auto" w:fill="C6EFCE"/>
            <w:noWrap/>
          </w:tcPr>
          <w:p w14:paraId="41A51DD8" w14:textId="77777777" w:rsidR="00D924EA" w:rsidRDefault="00011DE9">
            <w:pPr>
              <w:pStyle w:val="P68B1DB1-Normal23"/>
              <w:spacing w:after="0" w:line="240" w:lineRule="auto"/>
              <w:jc w:val="center"/>
              <w:rPr>
                <w:rFonts w:eastAsia="MS Mincho" w:cs="Times New Roman"/>
                <w:noProof/>
                <w:szCs w:val="18"/>
              </w:rPr>
            </w:pPr>
            <w:r>
              <w:rPr>
                <w:noProof/>
              </w:rPr>
              <w:t>C4.I1</w:t>
            </w:r>
          </w:p>
        </w:tc>
        <w:tc>
          <w:tcPr>
            <w:tcW w:w="966" w:type="dxa"/>
            <w:shd w:val="clear" w:color="auto" w:fill="C6EFCE"/>
            <w:noWrap/>
          </w:tcPr>
          <w:p w14:paraId="7676AC8D"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1C68932" w14:textId="77777777" w:rsidR="00D924EA" w:rsidRDefault="00011DE9">
            <w:pPr>
              <w:pStyle w:val="P68B1DB1-Normal23"/>
              <w:spacing w:after="0" w:line="240" w:lineRule="auto"/>
              <w:rPr>
                <w:rFonts w:eastAsia="MS Mincho" w:cs="Times New Roman"/>
                <w:noProof/>
                <w:szCs w:val="18"/>
              </w:rPr>
            </w:pPr>
            <w:r>
              <w:rPr>
                <w:noProof/>
              </w:rPr>
              <w:t>Atribuirea de contracte pentru aeronave cu destinație specială pentru stingerea incendiilor și instituirea sistemului de monitorizare și gestionare a cunoștințelor privind biodiversitatea</w:t>
            </w:r>
          </w:p>
        </w:tc>
        <w:tc>
          <w:tcPr>
            <w:tcW w:w="1543" w:type="dxa"/>
            <w:shd w:val="clear" w:color="auto" w:fill="C6EFCE"/>
            <w:noWrap/>
          </w:tcPr>
          <w:p w14:paraId="788A1342" w14:textId="77777777" w:rsidR="00D924EA" w:rsidRDefault="00011DE9">
            <w:pPr>
              <w:pStyle w:val="P68B1DB1-Normal23"/>
              <w:spacing w:after="0" w:line="240" w:lineRule="auto"/>
              <w:jc w:val="center"/>
              <w:rPr>
                <w:rFonts w:eastAsia="MS Mincho" w:cs="Times New Roman"/>
                <w:noProof/>
                <w:szCs w:val="18"/>
              </w:rPr>
            </w:pPr>
            <w:r>
              <w:rPr>
                <w:noProof/>
              </w:rPr>
              <w:t>Atribuirea contractelor</w:t>
            </w:r>
          </w:p>
        </w:tc>
        <w:tc>
          <w:tcPr>
            <w:tcW w:w="828" w:type="dxa"/>
            <w:shd w:val="clear" w:color="auto" w:fill="C6EFCE"/>
            <w:noWrap/>
          </w:tcPr>
          <w:p w14:paraId="6411D1D8"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889" w:type="dxa"/>
            <w:shd w:val="clear" w:color="auto" w:fill="C6EFCE"/>
            <w:noWrap/>
          </w:tcPr>
          <w:p w14:paraId="1AAC49E0"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68" w:type="dxa"/>
            <w:shd w:val="clear" w:color="auto" w:fill="C6EFCE"/>
            <w:noWrap/>
          </w:tcPr>
          <w:p w14:paraId="5E9ADA42"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75B4058B" w14:textId="2EDEE441" w:rsidR="00D924EA" w:rsidRDefault="005701C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16459119" w14:textId="77777777" w:rsidR="00D924EA" w:rsidRDefault="00011DE9">
            <w:pPr>
              <w:pStyle w:val="P68B1DB1-Normal23"/>
              <w:spacing w:after="0" w:line="240" w:lineRule="auto"/>
              <w:jc w:val="center"/>
              <w:rPr>
                <w:rFonts w:eastAsia="MS Mincho" w:cs="Times New Roman"/>
                <w:noProof/>
                <w:szCs w:val="18"/>
              </w:rPr>
            </w:pPr>
            <w:r>
              <w:rPr>
                <w:noProof/>
              </w:rPr>
              <w:t>2022</w:t>
            </w:r>
          </w:p>
        </w:tc>
        <w:tc>
          <w:tcPr>
            <w:tcW w:w="5924" w:type="dxa"/>
            <w:shd w:val="clear" w:color="auto" w:fill="C6EFCE"/>
            <w:noWrap/>
          </w:tcPr>
          <w:p w14:paraId="05DC1945" w14:textId="77777777" w:rsidR="00D924EA" w:rsidRDefault="00011DE9">
            <w:pPr>
              <w:pStyle w:val="P68B1DB1-Normal23"/>
              <w:spacing w:after="0" w:line="240" w:lineRule="auto"/>
              <w:rPr>
                <w:rFonts w:eastAsia="MS Mincho" w:cs="Times New Roman"/>
                <w:noProof/>
                <w:szCs w:val="18"/>
              </w:rPr>
            </w:pPr>
            <w:r>
              <w:rPr>
                <w:noProof/>
              </w:rPr>
              <w:t>Atribuirea de contracte pentru actualizarea și modernizarea a cel puțin zece aeronave cu destinație specială (Canadair) pentru stingerea incendiilor și punerea la dispoziție a sistemului de monitorizare și gestionare a cunoștințelor privind biodiversitatea. Sistemul include o mai bună cunoaștere a speciilor și habitatelor și o platformă digitală. Investiția asigură conformitatea cu Orientările tehnice de „a nu prejudicia în mod semnificativ” (2021/C58/01) prin modernizarea numai a aeronavelor existente, care nu le măresc durata de viață sau capacitatea.</w:t>
            </w:r>
          </w:p>
        </w:tc>
      </w:tr>
      <w:tr w:rsidR="00D924EA" w14:paraId="1939886C" w14:textId="77777777" w:rsidTr="0042520D">
        <w:trPr>
          <w:trHeight w:val="309"/>
          <w:jc w:val="center"/>
        </w:trPr>
        <w:tc>
          <w:tcPr>
            <w:tcW w:w="828" w:type="dxa"/>
            <w:shd w:val="clear" w:color="auto" w:fill="C6EFCE"/>
            <w:noWrap/>
          </w:tcPr>
          <w:p w14:paraId="1A8C2857" w14:textId="77777777" w:rsidR="00D924EA" w:rsidRDefault="00011DE9">
            <w:pPr>
              <w:pStyle w:val="P68B1DB1-Normal23"/>
              <w:spacing w:after="0" w:line="240" w:lineRule="auto"/>
              <w:jc w:val="center"/>
              <w:rPr>
                <w:rFonts w:eastAsia="MS Mincho" w:cs="Times New Roman"/>
                <w:noProof/>
                <w:szCs w:val="18"/>
              </w:rPr>
            </w:pPr>
            <w:r>
              <w:rPr>
                <w:noProof/>
              </w:rPr>
              <w:t>66</w:t>
            </w:r>
          </w:p>
        </w:tc>
        <w:tc>
          <w:tcPr>
            <w:tcW w:w="829" w:type="dxa"/>
            <w:shd w:val="clear" w:color="auto" w:fill="C6EFCE"/>
            <w:noWrap/>
          </w:tcPr>
          <w:p w14:paraId="0DF4405D" w14:textId="77777777" w:rsidR="00D924EA" w:rsidRDefault="00011DE9">
            <w:pPr>
              <w:pStyle w:val="P68B1DB1-Normal23"/>
              <w:spacing w:after="0" w:line="240" w:lineRule="auto"/>
              <w:jc w:val="center"/>
              <w:rPr>
                <w:rFonts w:eastAsia="MS Mincho" w:cs="Times New Roman"/>
                <w:noProof/>
                <w:szCs w:val="18"/>
              </w:rPr>
            </w:pPr>
            <w:r>
              <w:rPr>
                <w:noProof/>
              </w:rPr>
              <w:t>C4.I1</w:t>
            </w:r>
          </w:p>
        </w:tc>
        <w:tc>
          <w:tcPr>
            <w:tcW w:w="966" w:type="dxa"/>
            <w:shd w:val="clear" w:color="auto" w:fill="C6EFCE"/>
            <w:noWrap/>
          </w:tcPr>
          <w:p w14:paraId="6E55F072"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71F63C3F" w14:textId="590A38BC" w:rsidR="00D924EA" w:rsidRDefault="00011DE9">
            <w:pPr>
              <w:pStyle w:val="P68B1DB1-Normal41"/>
              <w:spacing w:after="0" w:line="240" w:lineRule="auto"/>
              <w:rPr>
                <w:rFonts w:eastAsia="MS Mincho"/>
                <w:noProof/>
              </w:rPr>
            </w:pPr>
            <w:r>
              <w:rPr>
                <w:noProof/>
              </w:rPr>
              <w:t xml:space="preserve">Cunoașterea biodiversității </w:t>
            </w:r>
          </w:p>
        </w:tc>
        <w:tc>
          <w:tcPr>
            <w:tcW w:w="1543" w:type="dxa"/>
            <w:shd w:val="clear" w:color="auto" w:fill="C6EFCE"/>
            <w:noWrap/>
          </w:tcPr>
          <w:p w14:paraId="0E724064" w14:textId="4C85F306" w:rsidR="00D924EA" w:rsidRDefault="00011DE9">
            <w:pPr>
              <w:pStyle w:val="P68B1DB1-Normal41"/>
              <w:spacing w:after="0" w:line="240" w:lineRule="auto"/>
              <w:jc w:val="center"/>
              <w:rPr>
                <w:rFonts w:eastAsia="MS Mincho"/>
                <w:i/>
                <w:noProof/>
              </w:rPr>
            </w:pPr>
            <w:r>
              <w:rPr>
                <w:noProof/>
              </w:rPr>
              <w:t>Rapoartele finale ale entităților sau persoanelor beneficiare sau certificatele de acceptare, declarațiile de conformitate sau alte documente echivalente care atestă executarea contractelor</w:t>
            </w:r>
          </w:p>
        </w:tc>
        <w:tc>
          <w:tcPr>
            <w:tcW w:w="828" w:type="dxa"/>
            <w:shd w:val="clear" w:color="auto" w:fill="C6EFCE"/>
            <w:noWrap/>
          </w:tcPr>
          <w:p w14:paraId="501CE769"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889" w:type="dxa"/>
            <w:shd w:val="clear" w:color="auto" w:fill="C6EFCE"/>
            <w:noWrap/>
          </w:tcPr>
          <w:p w14:paraId="7FE691FD"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68" w:type="dxa"/>
            <w:shd w:val="clear" w:color="auto" w:fill="C6EFCE"/>
            <w:noWrap/>
          </w:tcPr>
          <w:p w14:paraId="4B7B97DD"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5F7DC3FD" w14:textId="408E5B4B" w:rsidR="00D924EA" w:rsidRDefault="005701C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76D49E6B" w14:textId="77777777" w:rsidR="00D924EA" w:rsidRDefault="00011DE9">
            <w:pPr>
              <w:pStyle w:val="P68B1DB1-Normal23"/>
              <w:spacing w:after="0" w:line="240" w:lineRule="auto"/>
              <w:jc w:val="center"/>
              <w:rPr>
                <w:rFonts w:eastAsia="MS Mincho" w:cs="Times New Roman"/>
                <w:noProof/>
                <w:szCs w:val="18"/>
              </w:rPr>
            </w:pPr>
            <w:r>
              <w:rPr>
                <w:noProof/>
              </w:rPr>
              <w:t>2026</w:t>
            </w:r>
          </w:p>
        </w:tc>
        <w:tc>
          <w:tcPr>
            <w:tcW w:w="5924" w:type="dxa"/>
            <w:shd w:val="clear" w:color="auto" w:fill="C6EFCE"/>
            <w:noWrap/>
          </w:tcPr>
          <w:p w14:paraId="55CE6315" w14:textId="058A2338" w:rsidR="00D924EA" w:rsidRDefault="00011DE9">
            <w:pPr>
              <w:pStyle w:val="P68B1DB1-Normal24"/>
              <w:spacing w:after="0" w:line="240" w:lineRule="auto"/>
              <w:textAlignment w:val="baseline"/>
              <w:rPr>
                <w:noProof/>
              </w:rPr>
            </w:pPr>
            <w:r>
              <w:rPr>
                <w:noProof/>
              </w:rPr>
              <w:t>Entitățile sau persoanele beneficiare au prezentat rapoarte finale care confirmă finalizarea activităților atribuite pentru granturi legate de cunoștințele privind biodiveristul sau au confirmat de către administrație că au fost executate contracte sau părți ale acestora legate de cunoștințele privind biodiveristul, pentru o sumă totală cumulată de 93 000 000 EUR sub formă de granturi și contracte atribuite (inclusiv eventualele modificări). </w:t>
            </w:r>
          </w:p>
          <w:p w14:paraId="69BC1257" w14:textId="26713AFE" w:rsidR="00D924EA" w:rsidRDefault="00011DE9">
            <w:pPr>
              <w:pStyle w:val="P68B1DB1-Normal41"/>
              <w:spacing w:after="0" w:line="240" w:lineRule="auto"/>
              <w:textAlignment w:val="baseline"/>
              <w:rPr>
                <w:noProof/>
              </w:rPr>
            </w:pPr>
            <w:r>
              <w:rPr>
                <w:noProof/>
              </w:rPr>
              <w:t>Confirmarea de către administrație a executării contractelor referitoare la zborurile LiDAR care acoperă 38 102 000 hectare din teritoriul terestru spaniol.</w:t>
            </w:r>
          </w:p>
          <w:p w14:paraId="6F187B27" w14:textId="49C90E83" w:rsidR="00D924EA" w:rsidRDefault="00D924EA">
            <w:pPr>
              <w:spacing w:after="0" w:line="240" w:lineRule="auto"/>
              <w:rPr>
                <w:rFonts w:ascii="Times New Roman" w:hAnsi="Times New Roman" w:cs="Times New Roman"/>
                <w:noProof/>
                <w:sz w:val="18"/>
                <w:szCs w:val="18"/>
              </w:rPr>
            </w:pPr>
          </w:p>
        </w:tc>
      </w:tr>
      <w:tr w:rsidR="00D924EA" w14:paraId="45D30742" w14:textId="77777777" w:rsidTr="0042520D">
        <w:trPr>
          <w:trHeight w:val="309"/>
          <w:jc w:val="center"/>
        </w:trPr>
        <w:tc>
          <w:tcPr>
            <w:tcW w:w="828" w:type="dxa"/>
            <w:shd w:val="clear" w:color="auto" w:fill="C6EFCE"/>
            <w:noWrap/>
          </w:tcPr>
          <w:p w14:paraId="4F335773" w14:textId="77777777" w:rsidR="00D924EA" w:rsidRDefault="00011DE9">
            <w:pPr>
              <w:pStyle w:val="P68B1DB1-Normal23"/>
              <w:spacing w:after="0" w:line="240" w:lineRule="auto"/>
              <w:jc w:val="center"/>
              <w:rPr>
                <w:rFonts w:eastAsia="MS Mincho" w:cs="Times New Roman"/>
                <w:noProof/>
                <w:szCs w:val="18"/>
              </w:rPr>
            </w:pPr>
            <w:r>
              <w:rPr>
                <w:noProof/>
              </w:rPr>
              <w:t>67</w:t>
            </w:r>
          </w:p>
        </w:tc>
        <w:tc>
          <w:tcPr>
            <w:tcW w:w="829" w:type="dxa"/>
            <w:shd w:val="clear" w:color="auto" w:fill="C6EFCE"/>
            <w:noWrap/>
          </w:tcPr>
          <w:p w14:paraId="7FAEA3CD" w14:textId="77777777" w:rsidR="00D924EA" w:rsidRDefault="00011DE9">
            <w:pPr>
              <w:pStyle w:val="P68B1DB1-Normal23"/>
              <w:spacing w:after="0" w:line="240" w:lineRule="auto"/>
              <w:jc w:val="center"/>
              <w:rPr>
                <w:rFonts w:eastAsia="MS Mincho" w:cs="Times New Roman"/>
                <w:noProof/>
                <w:szCs w:val="18"/>
              </w:rPr>
            </w:pPr>
            <w:r>
              <w:rPr>
                <w:noProof/>
              </w:rPr>
              <w:t>C4.I2</w:t>
            </w:r>
          </w:p>
        </w:tc>
        <w:tc>
          <w:tcPr>
            <w:tcW w:w="966" w:type="dxa"/>
            <w:shd w:val="clear" w:color="auto" w:fill="C6EFCE"/>
            <w:noWrap/>
          </w:tcPr>
          <w:p w14:paraId="69CEE52F" w14:textId="77777777" w:rsidR="00D924EA" w:rsidRDefault="00011DE9">
            <w:pPr>
              <w:pStyle w:val="P68B1DB1-Normal23"/>
              <w:spacing w:after="0" w:line="240" w:lineRule="auto"/>
              <w:jc w:val="center"/>
              <w:rPr>
                <w:rFonts w:eastAsia="MS Mincho" w:cs="Times New Roman"/>
                <w:noProof/>
                <w:szCs w:val="18"/>
              </w:rPr>
            </w:pPr>
            <w:r>
              <w:rPr>
                <w:noProof/>
              </w:rPr>
              <w:t>T</w:t>
            </w:r>
          </w:p>
        </w:tc>
        <w:tc>
          <w:tcPr>
            <w:tcW w:w="1767" w:type="dxa"/>
            <w:shd w:val="clear" w:color="auto" w:fill="C6EFCE"/>
            <w:noWrap/>
          </w:tcPr>
          <w:p w14:paraId="413B23B3" w14:textId="77777777" w:rsidR="00D924EA" w:rsidRDefault="00011DE9">
            <w:pPr>
              <w:pStyle w:val="P68B1DB1-Normal23"/>
              <w:spacing w:after="0" w:line="240" w:lineRule="auto"/>
              <w:rPr>
                <w:rFonts w:eastAsia="MS Mincho" w:cs="Times New Roman"/>
                <w:noProof/>
                <w:szCs w:val="18"/>
              </w:rPr>
            </w:pPr>
            <w:r>
              <w:rPr>
                <w:noProof/>
              </w:rPr>
              <w:t xml:space="preserve">Zone marine protejate </w:t>
            </w:r>
          </w:p>
        </w:tc>
        <w:tc>
          <w:tcPr>
            <w:tcW w:w="1543" w:type="dxa"/>
            <w:shd w:val="clear" w:color="auto" w:fill="C6EFCE"/>
            <w:noWrap/>
          </w:tcPr>
          <w:p w14:paraId="14D56BE3" w14:textId="77777777" w:rsidR="00D924EA" w:rsidRDefault="00D924EA">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5A989F7B" w14:textId="77777777" w:rsidR="00D924EA" w:rsidRDefault="00011DE9">
            <w:pPr>
              <w:pStyle w:val="P68B1DB1-Normal23"/>
              <w:spacing w:after="0" w:line="240" w:lineRule="auto"/>
              <w:jc w:val="center"/>
              <w:rPr>
                <w:rFonts w:eastAsia="MS Mincho" w:cs="Times New Roman"/>
                <w:noProof/>
                <w:szCs w:val="18"/>
              </w:rPr>
            </w:pPr>
            <w:r>
              <w:rPr>
                <w:noProof/>
              </w:rPr>
              <w:t>% din teritoriul maritim spaniol</w:t>
            </w:r>
          </w:p>
        </w:tc>
        <w:tc>
          <w:tcPr>
            <w:tcW w:w="889" w:type="dxa"/>
            <w:shd w:val="clear" w:color="auto" w:fill="C6EFCE"/>
            <w:noWrap/>
          </w:tcPr>
          <w:p w14:paraId="2C2B1E7B" w14:textId="77777777" w:rsidR="00D924EA" w:rsidRDefault="00011DE9">
            <w:pPr>
              <w:pStyle w:val="P68B1DB1-Normal23"/>
              <w:spacing w:after="0" w:line="240" w:lineRule="auto"/>
              <w:jc w:val="right"/>
              <w:rPr>
                <w:rFonts w:eastAsia="MS Mincho" w:cs="Times New Roman"/>
                <w:noProof/>
                <w:szCs w:val="18"/>
              </w:rPr>
            </w:pPr>
            <w:r>
              <w:rPr>
                <w:noProof/>
              </w:rPr>
              <w:t>13</w:t>
            </w:r>
          </w:p>
        </w:tc>
        <w:tc>
          <w:tcPr>
            <w:tcW w:w="768" w:type="dxa"/>
            <w:shd w:val="clear" w:color="auto" w:fill="C6EFCE"/>
            <w:noWrap/>
          </w:tcPr>
          <w:p w14:paraId="0D3D24A3" w14:textId="77777777" w:rsidR="00D924EA" w:rsidRDefault="00011DE9">
            <w:pPr>
              <w:pStyle w:val="P68B1DB1-Normal23"/>
              <w:spacing w:after="0" w:line="240" w:lineRule="auto"/>
              <w:jc w:val="right"/>
              <w:rPr>
                <w:rFonts w:eastAsia="MS Mincho" w:cs="Times New Roman"/>
                <w:noProof/>
                <w:szCs w:val="18"/>
              </w:rPr>
            </w:pPr>
            <w:r>
              <w:rPr>
                <w:noProof/>
              </w:rPr>
              <w:t>15</w:t>
            </w:r>
          </w:p>
        </w:tc>
        <w:tc>
          <w:tcPr>
            <w:tcW w:w="415" w:type="dxa"/>
            <w:shd w:val="clear" w:color="auto" w:fill="C6EFCE"/>
            <w:noWrap/>
          </w:tcPr>
          <w:p w14:paraId="7DB32D6B" w14:textId="31F2E567" w:rsidR="00D924EA" w:rsidRDefault="005701C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5DE26884" w14:textId="77777777" w:rsidR="00D924EA" w:rsidRDefault="00011DE9">
            <w:pPr>
              <w:pStyle w:val="P68B1DB1-Normal23"/>
              <w:spacing w:after="0" w:line="240" w:lineRule="auto"/>
              <w:jc w:val="center"/>
              <w:rPr>
                <w:rFonts w:eastAsia="MS Mincho" w:cs="Times New Roman"/>
                <w:noProof/>
                <w:szCs w:val="18"/>
              </w:rPr>
            </w:pPr>
            <w:r>
              <w:rPr>
                <w:noProof/>
              </w:rPr>
              <w:t>2023</w:t>
            </w:r>
          </w:p>
        </w:tc>
        <w:tc>
          <w:tcPr>
            <w:tcW w:w="5924" w:type="dxa"/>
            <w:shd w:val="clear" w:color="auto" w:fill="C6EFCE"/>
            <w:noWrap/>
          </w:tcPr>
          <w:p w14:paraId="51D07987" w14:textId="77777777" w:rsidR="00D924EA" w:rsidRDefault="00011DE9">
            <w:pPr>
              <w:pStyle w:val="P68B1DB1-Normal23"/>
              <w:spacing w:after="0" w:line="240" w:lineRule="auto"/>
              <w:rPr>
                <w:rFonts w:eastAsia="MS Mincho" w:cs="Times New Roman"/>
                <w:noProof/>
                <w:szCs w:val="18"/>
              </w:rPr>
            </w:pPr>
            <w:r>
              <w:rPr>
                <w:noProof/>
              </w:rPr>
              <w:t xml:space="preserve">Realizarea unei zone marine protejate de cel puțin 15 % din teritoriul maritim spaniol. Zona marină protejată este un teritoriu marin inclus în rețeaua Natura 2000 sau alte categorii de spații naturale protejate, astfel cum au fost stabilite prin Legea nr. 42/2007; zonele protejate prin instrumente internaționale și rezervele marine sunt incluse în RAMPE (Rețeaua spaniolă a zonelor marine protejate), după caz. (Referință: 31 decembrie 2020.) </w:t>
            </w:r>
          </w:p>
        </w:tc>
      </w:tr>
      <w:tr w:rsidR="00D924EA" w14:paraId="71BD0DA9" w14:textId="77777777" w:rsidTr="0042520D">
        <w:trPr>
          <w:trHeight w:val="309"/>
          <w:jc w:val="center"/>
        </w:trPr>
        <w:tc>
          <w:tcPr>
            <w:tcW w:w="828" w:type="dxa"/>
            <w:shd w:val="clear" w:color="auto" w:fill="C6EFCE"/>
            <w:noWrap/>
          </w:tcPr>
          <w:p w14:paraId="4BD96C69" w14:textId="77777777" w:rsidR="00D924EA" w:rsidRDefault="00011DE9">
            <w:pPr>
              <w:pStyle w:val="P68B1DB1-Normal23"/>
              <w:spacing w:after="0" w:line="240" w:lineRule="auto"/>
              <w:jc w:val="center"/>
              <w:rPr>
                <w:rFonts w:eastAsia="MS Mincho" w:cs="Times New Roman"/>
                <w:noProof/>
                <w:szCs w:val="18"/>
              </w:rPr>
            </w:pPr>
            <w:r>
              <w:rPr>
                <w:noProof/>
              </w:rPr>
              <w:t>69</w:t>
            </w:r>
          </w:p>
        </w:tc>
        <w:tc>
          <w:tcPr>
            <w:tcW w:w="829" w:type="dxa"/>
            <w:shd w:val="clear" w:color="auto" w:fill="C6EFCE"/>
            <w:noWrap/>
          </w:tcPr>
          <w:p w14:paraId="6F20C34C" w14:textId="77777777" w:rsidR="00D924EA" w:rsidRDefault="00011DE9">
            <w:pPr>
              <w:pStyle w:val="P68B1DB1-Normal23"/>
              <w:spacing w:after="0" w:line="240" w:lineRule="auto"/>
              <w:jc w:val="center"/>
              <w:rPr>
                <w:rFonts w:eastAsia="MS Mincho" w:cs="Times New Roman"/>
                <w:noProof/>
                <w:szCs w:val="18"/>
              </w:rPr>
            </w:pPr>
            <w:r>
              <w:rPr>
                <w:noProof/>
              </w:rPr>
              <w:t>C4.I2</w:t>
            </w:r>
          </w:p>
        </w:tc>
        <w:tc>
          <w:tcPr>
            <w:tcW w:w="966" w:type="dxa"/>
            <w:shd w:val="clear" w:color="auto" w:fill="C6EFCE"/>
            <w:noWrap/>
          </w:tcPr>
          <w:p w14:paraId="56F11B91" w14:textId="2AA4A9CD" w:rsidR="00D924EA" w:rsidRDefault="00011DE9">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7ABB654F" w14:textId="6B88BA08" w:rsidR="00D924EA" w:rsidRDefault="00011DE9">
            <w:pPr>
              <w:pStyle w:val="P68B1DB1-Normal37"/>
              <w:spacing w:after="0" w:line="240" w:lineRule="auto"/>
              <w:rPr>
                <w:rFonts w:ascii="Times New Roman" w:eastAsia="MS Mincho" w:hAnsi="Times New Roman" w:cs="Times New Roman"/>
                <w:noProof/>
                <w:szCs w:val="18"/>
              </w:rPr>
            </w:pPr>
            <w:r>
              <w:rPr>
                <w:rFonts w:ascii="Times New Roman" w:eastAsia="Times New Roman" w:hAnsi="Times New Roman" w:cs="Times New Roman"/>
                <w:noProof/>
                <w:szCs w:val="18"/>
              </w:rPr>
              <w:t>Conservarea mediului terestru și marin</w:t>
            </w:r>
          </w:p>
        </w:tc>
        <w:tc>
          <w:tcPr>
            <w:tcW w:w="1543" w:type="dxa"/>
            <w:shd w:val="clear" w:color="auto" w:fill="C6EFCE"/>
            <w:noWrap/>
          </w:tcPr>
          <w:p w14:paraId="022A8D86" w14:textId="77777777" w:rsidR="00D924EA" w:rsidRDefault="00011DE9">
            <w:pPr>
              <w:pStyle w:val="P68B1DB1-Normal41"/>
              <w:spacing w:after="0" w:line="240" w:lineRule="auto"/>
              <w:jc w:val="center"/>
              <w:rPr>
                <w:rFonts w:eastAsia="MS Mincho"/>
                <w:noProof/>
              </w:rPr>
            </w:pPr>
            <w:r>
              <w:rPr>
                <w:noProof/>
              </w:rPr>
              <w:t>Rapoartele finale ale entităților sau persoanelor beneficiare sau certificatele de acceptare, declarațiile de conformitate sau alte documente echivalente care atestă executarea contractelor</w:t>
            </w:r>
          </w:p>
        </w:tc>
        <w:tc>
          <w:tcPr>
            <w:tcW w:w="828" w:type="dxa"/>
            <w:shd w:val="clear" w:color="auto" w:fill="C6EFCE"/>
            <w:noWrap/>
          </w:tcPr>
          <w:p w14:paraId="3584110B" w14:textId="5DFDB36F" w:rsidR="00D924EA" w:rsidRDefault="00D924EA">
            <w:pPr>
              <w:spacing w:after="0" w:line="240" w:lineRule="auto"/>
              <w:jc w:val="center"/>
              <w:rPr>
                <w:rFonts w:ascii="Times New Roman" w:eastAsia="MS Mincho" w:hAnsi="Times New Roman" w:cs="Times New Roman"/>
                <w:noProof/>
                <w:sz w:val="18"/>
                <w:szCs w:val="18"/>
              </w:rPr>
            </w:pPr>
          </w:p>
        </w:tc>
        <w:tc>
          <w:tcPr>
            <w:tcW w:w="889" w:type="dxa"/>
            <w:shd w:val="clear" w:color="auto" w:fill="C6EFCE"/>
            <w:noWrap/>
          </w:tcPr>
          <w:p w14:paraId="268E91CA" w14:textId="68D97FF0" w:rsidR="00D924EA" w:rsidRDefault="00D924EA">
            <w:pPr>
              <w:spacing w:after="0" w:line="240" w:lineRule="auto"/>
              <w:jc w:val="right"/>
              <w:rPr>
                <w:rFonts w:ascii="Times New Roman" w:eastAsia="MS Mincho" w:hAnsi="Times New Roman" w:cs="Times New Roman"/>
                <w:noProof/>
                <w:sz w:val="18"/>
                <w:szCs w:val="18"/>
              </w:rPr>
            </w:pPr>
          </w:p>
        </w:tc>
        <w:tc>
          <w:tcPr>
            <w:tcW w:w="768" w:type="dxa"/>
            <w:shd w:val="clear" w:color="auto" w:fill="C6EFCE"/>
            <w:noWrap/>
          </w:tcPr>
          <w:p w14:paraId="467BC51B" w14:textId="56B222DA" w:rsidR="00D924EA" w:rsidRDefault="00D924EA">
            <w:pPr>
              <w:spacing w:after="0" w:line="240" w:lineRule="auto"/>
              <w:jc w:val="right"/>
              <w:rPr>
                <w:rFonts w:ascii="Times New Roman" w:eastAsia="MS Mincho" w:hAnsi="Times New Roman" w:cs="Times New Roman"/>
                <w:noProof/>
                <w:sz w:val="18"/>
                <w:szCs w:val="18"/>
              </w:rPr>
            </w:pPr>
          </w:p>
        </w:tc>
        <w:tc>
          <w:tcPr>
            <w:tcW w:w="415" w:type="dxa"/>
            <w:shd w:val="clear" w:color="auto" w:fill="C6EFCE"/>
            <w:noWrap/>
          </w:tcPr>
          <w:p w14:paraId="154564AB" w14:textId="0953D1AF" w:rsidR="00D924EA" w:rsidRDefault="005701C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2233AF04" w14:textId="77777777" w:rsidR="00D924EA" w:rsidRDefault="00011DE9">
            <w:pPr>
              <w:pStyle w:val="P68B1DB1-Normal23"/>
              <w:spacing w:after="0" w:line="240" w:lineRule="auto"/>
              <w:jc w:val="center"/>
              <w:rPr>
                <w:rFonts w:eastAsia="MS Mincho" w:cs="Times New Roman"/>
                <w:noProof/>
                <w:szCs w:val="18"/>
              </w:rPr>
            </w:pPr>
            <w:r>
              <w:rPr>
                <w:noProof/>
              </w:rPr>
              <w:t>2026</w:t>
            </w:r>
          </w:p>
        </w:tc>
        <w:tc>
          <w:tcPr>
            <w:tcW w:w="5924" w:type="dxa"/>
            <w:shd w:val="clear" w:color="auto" w:fill="C6EFCE"/>
            <w:noWrap/>
          </w:tcPr>
          <w:p w14:paraId="33CDFD74" w14:textId="7F78FBA6" w:rsidR="00D924EA" w:rsidRDefault="00011DE9">
            <w:pPr>
              <w:pStyle w:val="P68B1DB1-Normal24"/>
              <w:spacing w:after="0" w:line="240" w:lineRule="auto"/>
              <w:textAlignment w:val="baseline"/>
              <w:rPr>
                <w:noProof/>
              </w:rPr>
            </w:pPr>
            <w:r>
              <w:rPr>
                <w:noProof/>
              </w:rPr>
              <w:t>Entitățile sau persoanele beneficiare au prezentat rapoarte finale care confirmă finalizarea activităților atribuite pentru granturi legate de conservarea mediilor terestre și marine, inclusiv sprijin pentru politici în zonele protejate, sau au confirmat de către administrație că au fost executate contracte sau părți ale acestora legate de conservarea mediilor terestre și marine, inclusiv sprijin pentru politici în zonele protejate, pentru o sumă totală cumulată de 338 000 000 EUR sub formă de granturi și contracte atribuite (inclusiv orice modificări). </w:t>
            </w:r>
          </w:p>
          <w:p w14:paraId="00810C2F" w14:textId="3CCA5BA5" w:rsidR="00D924EA" w:rsidRDefault="00011DE9">
            <w:pPr>
              <w:pStyle w:val="P68B1DB1-Normal23"/>
              <w:spacing w:after="0" w:line="240" w:lineRule="auto"/>
              <w:rPr>
                <w:rFonts w:eastAsia="MS Mincho" w:cs="Times New Roman"/>
                <w:noProof/>
                <w:szCs w:val="18"/>
              </w:rPr>
            </w:pPr>
            <w:r>
              <w:rPr>
                <w:noProof/>
              </w:rPr>
              <w:t xml:space="preserve">Pentru achiziționarea de nave cu destinație specială, sunt sprijinite numai cele mai bune tehnologii disponibile, ținând seama de scopul special pe care îl deservesc. </w:t>
            </w:r>
          </w:p>
        </w:tc>
      </w:tr>
      <w:tr w:rsidR="00D924EA" w14:paraId="392484F6" w14:textId="77777777" w:rsidTr="0042520D">
        <w:trPr>
          <w:trHeight w:val="309"/>
          <w:jc w:val="center"/>
        </w:trPr>
        <w:tc>
          <w:tcPr>
            <w:tcW w:w="828" w:type="dxa"/>
            <w:shd w:val="clear" w:color="auto" w:fill="C6EFCE"/>
            <w:noWrap/>
          </w:tcPr>
          <w:p w14:paraId="7CC1FB23" w14:textId="77777777" w:rsidR="00D924EA" w:rsidRDefault="00011DE9">
            <w:pPr>
              <w:pStyle w:val="P68B1DB1-Normal23"/>
              <w:spacing w:after="0" w:line="240" w:lineRule="auto"/>
              <w:jc w:val="center"/>
              <w:rPr>
                <w:rFonts w:eastAsia="MS Mincho" w:cs="Times New Roman"/>
                <w:noProof/>
                <w:szCs w:val="18"/>
              </w:rPr>
            </w:pPr>
            <w:r>
              <w:rPr>
                <w:noProof/>
              </w:rPr>
              <w:t>70</w:t>
            </w:r>
          </w:p>
        </w:tc>
        <w:tc>
          <w:tcPr>
            <w:tcW w:w="829" w:type="dxa"/>
            <w:shd w:val="clear" w:color="auto" w:fill="C6EFCE"/>
            <w:noWrap/>
          </w:tcPr>
          <w:p w14:paraId="38CC64ED" w14:textId="77777777" w:rsidR="00D924EA" w:rsidRDefault="00011DE9">
            <w:pPr>
              <w:pStyle w:val="P68B1DB1-Normal23"/>
              <w:spacing w:after="0" w:line="240" w:lineRule="auto"/>
              <w:jc w:val="center"/>
              <w:rPr>
                <w:rFonts w:eastAsia="MS Mincho" w:cs="Times New Roman"/>
                <w:noProof/>
                <w:szCs w:val="18"/>
              </w:rPr>
            </w:pPr>
            <w:r>
              <w:rPr>
                <w:noProof/>
              </w:rPr>
              <w:t>C4.I3</w:t>
            </w:r>
          </w:p>
        </w:tc>
        <w:tc>
          <w:tcPr>
            <w:tcW w:w="966" w:type="dxa"/>
            <w:shd w:val="clear" w:color="auto" w:fill="C6EFCE"/>
            <w:noWrap/>
          </w:tcPr>
          <w:p w14:paraId="1448B1A4" w14:textId="77777777" w:rsidR="00D924EA" w:rsidRDefault="00011DE9">
            <w:pPr>
              <w:pStyle w:val="P68B1DB1-Normal23"/>
              <w:spacing w:after="0" w:line="240" w:lineRule="auto"/>
              <w:jc w:val="center"/>
              <w:rPr>
                <w:rFonts w:eastAsia="MS Mincho" w:cs="Times New Roman"/>
                <w:noProof/>
                <w:szCs w:val="18"/>
              </w:rPr>
            </w:pPr>
            <w:r>
              <w:rPr>
                <w:noProof/>
              </w:rPr>
              <w:t>T</w:t>
            </w:r>
          </w:p>
        </w:tc>
        <w:tc>
          <w:tcPr>
            <w:tcW w:w="1767" w:type="dxa"/>
            <w:shd w:val="clear" w:color="auto" w:fill="C6EFCE"/>
            <w:noWrap/>
          </w:tcPr>
          <w:p w14:paraId="43D39660" w14:textId="77777777" w:rsidR="00D924EA" w:rsidRDefault="00011DE9">
            <w:pPr>
              <w:pStyle w:val="P68B1DB1-Normal23"/>
              <w:spacing w:after="0" w:line="240" w:lineRule="auto"/>
              <w:rPr>
                <w:rFonts w:eastAsia="MS Mincho" w:cs="Times New Roman"/>
                <w:noProof/>
                <w:szCs w:val="18"/>
              </w:rPr>
            </w:pPr>
            <w:r>
              <w:rPr>
                <w:noProof/>
              </w:rPr>
              <w:t>Reabilitarea fostelor situri miniere (cel puțin 20 foste situri miniere)</w:t>
            </w:r>
          </w:p>
        </w:tc>
        <w:tc>
          <w:tcPr>
            <w:tcW w:w="1543" w:type="dxa"/>
            <w:shd w:val="clear" w:color="auto" w:fill="C6EFCE"/>
            <w:noWrap/>
          </w:tcPr>
          <w:p w14:paraId="273CCAC0" w14:textId="77777777" w:rsidR="00D924EA" w:rsidRDefault="00D924EA">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623AF47A" w14:textId="77777777" w:rsidR="00D924EA" w:rsidRDefault="00011DE9">
            <w:pPr>
              <w:pStyle w:val="P68B1DB1-Normal23"/>
              <w:spacing w:after="0" w:line="240" w:lineRule="auto"/>
              <w:jc w:val="center"/>
              <w:rPr>
                <w:rFonts w:eastAsia="MS Mincho" w:cs="Times New Roman"/>
                <w:noProof/>
                <w:szCs w:val="18"/>
              </w:rPr>
            </w:pPr>
            <w:r>
              <w:rPr>
                <w:noProof/>
              </w:rPr>
              <w:t>Număr (situri miniere)</w:t>
            </w:r>
          </w:p>
        </w:tc>
        <w:tc>
          <w:tcPr>
            <w:tcW w:w="889" w:type="dxa"/>
            <w:shd w:val="clear" w:color="auto" w:fill="C6EFCE"/>
            <w:noWrap/>
          </w:tcPr>
          <w:p w14:paraId="0AC1C62A" w14:textId="77777777" w:rsidR="00D924EA" w:rsidRDefault="00011DE9">
            <w:pPr>
              <w:pStyle w:val="P68B1DB1-Normal23"/>
              <w:spacing w:after="0" w:line="240" w:lineRule="auto"/>
              <w:jc w:val="right"/>
              <w:rPr>
                <w:rFonts w:eastAsia="MS Mincho" w:cs="Times New Roman"/>
                <w:noProof/>
                <w:szCs w:val="18"/>
              </w:rPr>
            </w:pPr>
            <w:r>
              <w:rPr>
                <w:noProof/>
              </w:rPr>
              <w:t>0</w:t>
            </w:r>
          </w:p>
        </w:tc>
        <w:tc>
          <w:tcPr>
            <w:tcW w:w="768" w:type="dxa"/>
            <w:shd w:val="clear" w:color="auto" w:fill="C6EFCE"/>
            <w:noWrap/>
          </w:tcPr>
          <w:p w14:paraId="46DBE491" w14:textId="77777777" w:rsidR="00D924EA" w:rsidRDefault="00011DE9">
            <w:pPr>
              <w:pStyle w:val="P68B1DB1-Normal23"/>
              <w:spacing w:after="0" w:line="240" w:lineRule="auto"/>
              <w:jc w:val="right"/>
              <w:rPr>
                <w:rFonts w:eastAsia="MS Mincho" w:cs="Times New Roman"/>
                <w:noProof/>
                <w:szCs w:val="18"/>
              </w:rPr>
            </w:pPr>
            <w:r>
              <w:rPr>
                <w:noProof/>
              </w:rPr>
              <w:t>20</w:t>
            </w:r>
          </w:p>
        </w:tc>
        <w:tc>
          <w:tcPr>
            <w:tcW w:w="415" w:type="dxa"/>
            <w:shd w:val="clear" w:color="auto" w:fill="C6EFCE"/>
            <w:noWrap/>
          </w:tcPr>
          <w:p w14:paraId="7CDC6810" w14:textId="61EA5CFD" w:rsidR="00D924EA" w:rsidRDefault="005701C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2E912267" w14:textId="77777777" w:rsidR="00D924EA" w:rsidRDefault="00011DE9">
            <w:pPr>
              <w:pStyle w:val="P68B1DB1-Normal23"/>
              <w:spacing w:after="0" w:line="240" w:lineRule="auto"/>
              <w:jc w:val="center"/>
              <w:rPr>
                <w:rFonts w:eastAsia="MS Mincho" w:cs="Times New Roman"/>
                <w:noProof/>
                <w:szCs w:val="18"/>
              </w:rPr>
            </w:pPr>
            <w:r>
              <w:rPr>
                <w:noProof/>
              </w:rPr>
              <w:t>2023</w:t>
            </w:r>
          </w:p>
        </w:tc>
        <w:tc>
          <w:tcPr>
            <w:tcW w:w="5924" w:type="dxa"/>
            <w:shd w:val="clear" w:color="auto" w:fill="C6EFCE"/>
            <w:noWrap/>
          </w:tcPr>
          <w:p w14:paraId="10E1952C" w14:textId="77777777" w:rsidR="00D924EA" w:rsidRDefault="00011DE9">
            <w:pPr>
              <w:pStyle w:val="P68B1DB1-Normal23"/>
              <w:spacing w:after="0" w:line="240" w:lineRule="auto"/>
              <w:rPr>
                <w:rFonts w:eastAsia="MS Mincho" w:cs="Times New Roman"/>
                <w:noProof/>
                <w:szCs w:val="18"/>
              </w:rPr>
            </w:pPr>
            <w:r>
              <w:rPr>
                <w:noProof/>
              </w:rPr>
              <w:t>Începerea lucrărilor de reabilitare la fiecare sit minier, vizând cel puțin 20 foste situri miniere, inclusiv decontaminarea solului, recuperarea morfologiei, precum și refacerea vegetației și naturalizarea.</w:t>
            </w:r>
          </w:p>
        </w:tc>
      </w:tr>
      <w:tr w:rsidR="00D924EA" w14:paraId="20513C0D" w14:textId="77777777" w:rsidTr="0042520D">
        <w:trPr>
          <w:trHeight w:val="309"/>
          <w:jc w:val="center"/>
        </w:trPr>
        <w:tc>
          <w:tcPr>
            <w:tcW w:w="828" w:type="dxa"/>
            <w:shd w:val="clear" w:color="auto" w:fill="C6EFCE"/>
            <w:noWrap/>
          </w:tcPr>
          <w:p w14:paraId="490DB240" w14:textId="77777777" w:rsidR="00D924EA" w:rsidRDefault="00011DE9">
            <w:pPr>
              <w:pStyle w:val="P68B1DB1-Normal23"/>
              <w:spacing w:after="0" w:line="240" w:lineRule="auto"/>
              <w:jc w:val="center"/>
              <w:rPr>
                <w:rFonts w:eastAsia="MS Mincho" w:cs="Times New Roman"/>
                <w:noProof/>
                <w:szCs w:val="18"/>
              </w:rPr>
            </w:pPr>
            <w:r>
              <w:rPr>
                <w:noProof/>
              </w:rPr>
              <w:t>71</w:t>
            </w:r>
          </w:p>
        </w:tc>
        <w:tc>
          <w:tcPr>
            <w:tcW w:w="829" w:type="dxa"/>
            <w:shd w:val="clear" w:color="auto" w:fill="C6EFCE"/>
            <w:noWrap/>
          </w:tcPr>
          <w:p w14:paraId="2D7C15C5" w14:textId="77777777" w:rsidR="00D924EA" w:rsidRDefault="00011DE9">
            <w:pPr>
              <w:pStyle w:val="P68B1DB1-Normal23"/>
              <w:spacing w:after="0" w:line="240" w:lineRule="auto"/>
              <w:jc w:val="center"/>
              <w:rPr>
                <w:rFonts w:eastAsia="MS Mincho" w:cs="Times New Roman"/>
                <w:noProof/>
                <w:szCs w:val="18"/>
              </w:rPr>
            </w:pPr>
            <w:r>
              <w:rPr>
                <w:noProof/>
              </w:rPr>
              <w:t>C4.I3</w:t>
            </w:r>
          </w:p>
        </w:tc>
        <w:tc>
          <w:tcPr>
            <w:tcW w:w="966" w:type="dxa"/>
            <w:shd w:val="clear" w:color="auto" w:fill="C6EFCE"/>
            <w:noWrap/>
          </w:tcPr>
          <w:p w14:paraId="0C5BFC37"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3FE76EB2" w14:textId="3A2AA960" w:rsidR="00D924EA" w:rsidRDefault="00011DE9">
            <w:pPr>
              <w:pStyle w:val="P68B1DB1-Normal37"/>
              <w:spacing w:after="0" w:line="240" w:lineRule="auto"/>
              <w:rPr>
                <w:rFonts w:ascii="Times New Roman" w:eastAsia="MS Mincho" w:hAnsi="Times New Roman" w:cs="Times New Roman"/>
                <w:noProof/>
                <w:szCs w:val="18"/>
              </w:rPr>
            </w:pPr>
            <w:r>
              <w:rPr>
                <w:rFonts w:ascii="Times New Roman" w:hAnsi="Times New Roman"/>
                <w:noProof/>
              </w:rPr>
              <w:t xml:space="preserve">Refacerea ecosistemelor </w:t>
            </w:r>
            <w:r>
              <w:rPr>
                <w:rFonts w:ascii="Times New Roman" w:eastAsia="Times New Roman" w:hAnsi="Times New Roman" w:cs="Times New Roman"/>
                <w:noProof/>
                <w:szCs w:val="18"/>
              </w:rPr>
              <w:t>și infrastructura verde</w:t>
            </w:r>
          </w:p>
        </w:tc>
        <w:tc>
          <w:tcPr>
            <w:tcW w:w="1543" w:type="dxa"/>
            <w:shd w:val="clear" w:color="auto" w:fill="C6EFCE"/>
            <w:noWrap/>
          </w:tcPr>
          <w:p w14:paraId="2C8E7CA8" w14:textId="11B098F3" w:rsidR="00D924EA" w:rsidRDefault="00011DE9">
            <w:pPr>
              <w:pStyle w:val="P68B1DB1-Normal41"/>
              <w:spacing w:after="0" w:line="240" w:lineRule="auto"/>
              <w:jc w:val="center"/>
              <w:rPr>
                <w:rFonts w:eastAsia="MS Mincho"/>
                <w:noProof/>
              </w:rPr>
            </w:pPr>
            <w:r>
              <w:rPr>
                <w:noProof/>
              </w:rPr>
              <w:t>Rapoartele finale ale entităților sau persoanelor beneficiare sau certificatele de acceptare, declarațiile de conformitate sau alte documente echivalente care atestă executarea contractelor</w:t>
            </w:r>
          </w:p>
        </w:tc>
        <w:tc>
          <w:tcPr>
            <w:tcW w:w="828" w:type="dxa"/>
            <w:shd w:val="clear" w:color="auto" w:fill="C6EFCE"/>
            <w:noWrap/>
          </w:tcPr>
          <w:p w14:paraId="7150F246" w14:textId="77777777" w:rsidR="00D924EA" w:rsidRDefault="00D924EA">
            <w:pPr>
              <w:spacing w:after="0" w:line="240" w:lineRule="auto"/>
              <w:jc w:val="right"/>
              <w:rPr>
                <w:rFonts w:ascii="Times New Roman" w:eastAsia="MS Mincho" w:hAnsi="Times New Roman" w:cs="Times New Roman"/>
                <w:noProof/>
                <w:sz w:val="18"/>
                <w:szCs w:val="18"/>
              </w:rPr>
            </w:pPr>
          </w:p>
        </w:tc>
        <w:tc>
          <w:tcPr>
            <w:tcW w:w="889" w:type="dxa"/>
            <w:shd w:val="clear" w:color="auto" w:fill="C6EFCE"/>
            <w:noWrap/>
          </w:tcPr>
          <w:p w14:paraId="496B5EF1" w14:textId="77777777" w:rsidR="00D924EA" w:rsidRDefault="00D924EA">
            <w:pPr>
              <w:spacing w:after="0" w:line="240" w:lineRule="auto"/>
              <w:jc w:val="right"/>
              <w:rPr>
                <w:rFonts w:ascii="Times New Roman" w:eastAsia="MS Mincho" w:hAnsi="Times New Roman" w:cs="Times New Roman"/>
                <w:noProof/>
                <w:sz w:val="18"/>
                <w:szCs w:val="18"/>
              </w:rPr>
            </w:pPr>
          </w:p>
        </w:tc>
        <w:tc>
          <w:tcPr>
            <w:tcW w:w="768" w:type="dxa"/>
            <w:shd w:val="clear" w:color="auto" w:fill="C6EFCE"/>
            <w:noWrap/>
          </w:tcPr>
          <w:p w14:paraId="3726129A" w14:textId="77777777" w:rsidR="00D924EA" w:rsidRDefault="00D924EA">
            <w:pPr>
              <w:spacing w:after="0" w:line="240" w:lineRule="auto"/>
              <w:jc w:val="right"/>
              <w:rPr>
                <w:rFonts w:ascii="Times New Roman" w:eastAsia="MS Mincho" w:hAnsi="Times New Roman" w:cs="Times New Roman"/>
                <w:noProof/>
                <w:sz w:val="18"/>
                <w:szCs w:val="18"/>
              </w:rPr>
            </w:pPr>
          </w:p>
        </w:tc>
        <w:tc>
          <w:tcPr>
            <w:tcW w:w="415" w:type="dxa"/>
            <w:shd w:val="clear" w:color="auto" w:fill="C6EFCE"/>
            <w:noWrap/>
          </w:tcPr>
          <w:p w14:paraId="4AA4699F" w14:textId="132C8B63" w:rsidR="00D924EA" w:rsidRDefault="005701C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2074E423" w14:textId="43FC2318" w:rsidR="00D924EA" w:rsidRDefault="00011DE9">
            <w:pPr>
              <w:pStyle w:val="P68B1DB1-Normal23"/>
              <w:spacing w:after="0" w:line="240" w:lineRule="auto"/>
              <w:jc w:val="center"/>
              <w:rPr>
                <w:rFonts w:cs="Times New Roman"/>
                <w:noProof/>
                <w:szCs w:val="18"/>
              </w:rPr>
            </w:pPr>
            <w:r>
              <w:rPr>
                <w:noProof/>
              </w:rPr>
              <w:t>2026</w:t>
            </w:r>
            <w:r w:rsidR="00971820">
              <w:rPr>
                <w:noProof/>
              </w:rPr>
              <w:t xml:space="preserve"> </w:t>
            </w:r>
          </w:p>
        </w:tc>
        <w:tc>
          <w:tcPr>
            <w:tcW w:w="5924" w:type="dxa"/>
            <w:shd w:val="clear" w:color="auto" w:fill="C6EFCE"/>
            <w:noWrap/>
          </w:tcPr>
          <w:p w14:paraId="3F60D15B" w14:textId="751DDF21" w:rsidR="00D924EA" w:rsidRDefault="00011DE9">
            <w:pPr>
              <w:pStyle w:val="P68B1DB1-Normal24"/>
              <w:spacing w:after="0" w:line="240" w:lineRule="auto"/>
              <w:rPr>
                <w:noProof/>
              </w:rPr>
            </w:pPr>
            <w:r>
              <w:rPr>
                <w:noProof/>
              </w:rPr>
              <w:t>Entitățile sau persoanele beneficiare au prezentat rapoarte finale care confirmă finalizarea activităților atribuite pentru granturi legate de refacerea ecosistemelor și de infrastructura verde sau au confirmat de către administrație că au fost executate contracte sau părți ale acestora legate de refacerea ecosistemelor și de infrastructura verde, pentru o sumă totală cumulată de 200 250 000 EUR sub formă de granturi și contracte atribuite (inclusiv eventualele modificări). </w:t>
            </w:r>
          </w:p>
          <w:p w14:paraId="0CCE2C09" w14:textId="26D72254" w:rsidR="00D924EA" w:rsidRDefault="00D924EA">
            <w:pPr>
              <w:spacing w:after="0" w:line="240" w:lineRule="auto"/>
              <w:rPr>
                <w:rFonts w:ascii="Times New Roman" w:hAnsi="Times New Roman"/>
                <w:noProof/>
                <w:sz w:val="18"/>
                <w:szCs w:val="18"/>
              </w:rPr>
            </w:pPr>
          </w:p>
          <w:p w14:paraId="3FB510C5" w14:textId="036EEBCB" w:rsidR="00D924EA" w:rsidRDefault="00011DE9">
            <w:pPr>
              <w:pStyle w:val="P68B1DB1-Normal37"/>
              <w:spacing w:after="0" w:line="240" w:lineRule="auto"/>
              <w:textAlignment w:val="baseline"/>
              <w:rPr>
                <w:rFonts w:ascii="Times New Roman" w:eastAsia="MS Mincho" w:hAnsi="Times New Roman" w:cs="Times New Roman"/>
                <w:noProof/>
                <w:szCs w:val="18"/>
              </w:rPr>
            </w:pPr>
            <w:r>
              <w:rPr>
                <w:rFonts w:ascii="Times New Roman" w:eastAsia="Times New Roman" w:hAnsi="Times New Roman" w:cs="Times New Roman"/>
                <w:noProof/>
                <w:szCs w:val="18"/>
              </w:rPr>
              <w:t>20 entitățile sau persoanele beneficiare prezintă rapoarte finale care confirmă finalizarea activităților atribuite pentru granturi legate de renaturalizarea orașelor spaniole.</w:t>
            </w:r>
            <w:r w:rsidR="00971820">
              <w:rPr>
                <w:rFonts w:ascii="Times New Roman" w:eastAsia="Times New Roman" w:hAnsi="Times New Roman" w:cs="Times New Roman"/>
                <w:noProof/>
                <w:szCs w:val="18"/>
              </w:rPr>
              <w:t xml:space="preserve"> </w:t>
            </w:r>
          </w:p>
        </w:tc>
      </w:tr>
      <w:tr w:rsidR="00D924EA" w14:paraId="7269FBB6" w14:textId="77777777" w:rsidTr="0042520D">
        <w:trPr>
          <w:trHeight w:val="309"/>
          <w:jc w:val="center"/>
        </w:trPr>
        <w:tc>
          <w:tcPr>
            <w:tcW w:w="828" w:type="dxa"/>
            <w:shd w:val="clear" w:color="auto" w:fill="C6EFCE"/>
            <w:noWrap/>
          </w:tcPr>
          <w:p w14:paraId="67798CA5" w14:textId="77777777" w:rsidR="00D924EA" w:rsidRDefault="00011DE9">
            <w:pPr>
              <w:pStyle w:val="P68B1DB1-Normal23"/>
              <w:spacing w:after="0" w:line="240" w:lineRule="auto"/>
              <w:jc w:val="center"/>
              <w:rPr>
                <w:rFonts w:eastAsia="MS Mincho" w:cs="Times New Roman"/>
                <w:noProof/>
                <w:szCs w:val="18"/>
              </w:rPr>
            </w:pPr>
            <w:r>
              <w:rPr>
                <w:noProof/>
              </w:rPr>
              <w:t>72</w:t>
            </w:r>
          </w:p>
        </w:tc>
        <w:tc>
          <w:tcPr>
            <w:tcW w:w="829" w:type="dxa"/>
            <w:shd w:val="clear" w:color="auto" w:fill="C6EFCE"/>
            <w:noWrap/>
          </w:tcPr>
          <w:p w14:paraId="3D15928C" w14:textId="77777777" w:rsidR="00D924EA" w:rsidRDefault="00011DE9">
            <w:pPr>
              <w:pStyle w:val="P68B1DB1-Normal23"/>
              <w:spacing w:after="0" w:line="240" w:lineRule="auto"/>
              <w:jc w:val="center"/>
              <w:rPr>
                <w:rFonts w:eastAsia="MS Mincho" w:cs="Times New Roman"/>
                <w:noProof/>
                <w:szCs w:val="18"/>
              </w:rPr>
            </w:pPr>
            <w:r>
              <w:rPr>
                <w:noProof/>
              </w:rPr>
              <w:t>C4.I3</w:t>
            </w:r>
          </w:p>
        </w:tc>
        <w:tc>
          <w:tcPr>
            <w:tcW w:w="966" w:type="dxa"/>
            <w:shd w:val="clear" w:color="auto" w:fill="C6EFCE"/>
            <w:noWrap/>
          </w:tcPr>
          <w:p w14:paraId="7FA3E151" w14:textId="1170C251" w:rsidR="00D924EA" w:rsidRDefault="00011DE9">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D07E62C" w14:textId="54F19A9A" w:rsidR="00D924EA" w:rsidRDefault="00011DE9">
            <w:pPr>
              <w:pStyle w:val="P68B1DB1-Normal23"/>
              <w:spacing w:after="0" w:line="240" w:lineRule="auto"/>
              <w:rPr>
                <w:rFonts w:eastAsia="MS Mincho" w:cs="Times New Roman"/>
                <w:noProof/>
                <w:szCs w:val="18"/>
              </w:rPr>
            </w:pPr>
            <w:r>
              <w:rPr>
                <w:noProof/>
              </w:rPr>
              <w:t xml:space="preserve">Reabilitarea fostelor exploatări miniere </w:t>
            </w:r>
          </w:p>
        </w:tc>
        <w:tc>
          <w:tcPr>
            <w:tcW w:w="1543" w:type="dxa"/>
            <w:shd w:val="clear" w:color="auto" w:fill="C6EFCE"/>
            <w:noWrap/>
          </w:tcPr>
          <w:p w14:paraId="431608AA" w14:textId="77777777" w:rsidR="00D924EA" w:rsidRDefault="00011DE9">
            <w:pPr>
              <w:pStyle w:val="P68B1DB1-Normal41"/>
              <w:spacing w:after="0" w:line="240" w:lineRule="auto"/>
              <w:jc w:val="center"/>
              <w:rPr>
                <w:rFonts w:eastAsia="MS Mincho"/>
                <w:noProof/>
              </w:rPr>
            </w:pPr>
            <w:r>
              <w:rPr>
                <w:noProof/>
              </w:rPr>
              <w:t>Rapoartele finale ale entităților sau persoanelor beneficiare sau certificatele de acceptare, declarațiile de conformitate sau alte documente echivalente care atestă executarea contractelor</w:t>
            </w:r>
          </w:p>
        </w:tc>
        <w:tc>
          <w:tcPr>
            <w:tcW w:w="828" w:type="dxa"/>
            <w:shd w:val="clear" w:color="auto" w:fill="C6EFCE"/>
            <w:noWrap/>
          </w:tcPr>
          <w:p w14:paraId="3F574410" w14:textId="53C4E9F9" w:rsidR="00D924EA" w:rsidRDefault="00D924EA">
            <w:pPr>
              <w:spacing w:after="0" w:line="240" w:lineRule="auto"/>
              <w:jc w:val="right"/>
              <w:rPr>
                <w:rFonts w:ascii="Times New Roman" w:eastAsia="MS Mincho" w:hAnsi="Times New Roman" w:cs="Times New Roman"/>
                <w:noProof/>
                <w:sz w:val="18"/>
                <w:szCs w:val="18"/>
              </w:rPr>
            </w:pPr>
          </w:p>
        </w:tc>
        <w:tc>
          <w:tcPr>
            <w:tcW w:w="889" w:type="dxa"/>
            <w:shd w:val="clear" w:color="auto" w:fill="C6EFCE"/>
            <w:noWrap/>
          </w:tcPr>
          <w:p w14:paraId="11DAFFA5" w14:textId="4450E21A" w:rsidR="00D924EA" w:rsidRDefault="00D924EA">
            <w:pPr>
              <w:spacing w:after="0" w:line="240" w:lineRule="auto"/>
              <w:jc w:val="right"/>
              <w:rPr>
                <w:rFonts w:ascii="Times New Roman" w:eastAsia="MS Mincho" w:hAnsi="Times New Roman" w:cs="Times New Roman"/>
                <w:noProof/>
                <w:sz w:val="18"/>
                <w:szCs w:val="18"/>
              </w:rPr>
            </w:pPr>
          </w:p>
        </w:tc>
        <w:tc>
          <w:tcPr>
            <w:tcW w:w="768" w:type="dxa"/>
            <w:shd w:val="clear" w:color="auto" w:fill="C6EFCE"/>
            <w:noWrap/>
          </w:tcPr>
          <w:p w14:paraId="198E0AA6" w14:textId="6DFEE7D1" w:rsidR="00D924EA" w:rsidRDefault="00D924EA">
            <w:pPr>
              <w:spacing w:after="0" w:line="240" w:lineRule="auto"/>
              <w:jc w:val="right"/>
              <w:rPr>
                <w:rFonts w:ascii="Times New Roman" w:eastAsia="MS Mincho" w:hAnsi="Times New Roman" w:cs="Times New Roman"/>
                <w:noProof/>
                <w:sz w:val="18"/>
                <w:szCs w:val="18"/>
              </w:rPr>
            </w:pPr>
          </w:p>
        </w:tc>
        <w:tc>
          <w:tcPr>
            <w:tcW w:w="415" w:type="dxa"/>
            <w:shd w:val="clear" w:color="auto" w:fill="C6EFCE"/>
            <w:noWrap/>
          </w:tcPr>
          <w:p w14:paraId="793B547F" w14:textId="31431AC2" w:rsidR="00D924EA" w:rsidRDefault="005701C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7425964D" w14:textId="77777777" w:rsidR="00D924EA" w:rsidRDefault="00011DE9">
            <w:pPr>
              <w:pStyle w:val="P68B1DB1-Normal23"/>
              <w:spacing w:after="0" w:line="240" w:lineRule="auto"/>
              <w:jc w:val="center"/>
              <w:rPr>
                <w:rFonts w:eastAsia="MS Mincho" w:cs="Times New Roman"/>
                <w:noProof/>
                <w:szCs w:val="18"/>
              </w:rPr>
            </w:pPr>
            <w:r>
              <w:rPr>
                <w:noProof/>
              </w:rPr>
              <w:t>2026</w:t>
            </w:r>
          </w:p>
        </w:tc>
        <w:tc>
          <w:tcPr>
            <w:tcW w:w="5924" w:type="dxa"/>
            <w:shd w:val="clear" w:color="auto" w:fill="C6EFCE"/>
            <w:noWrap/>
          </w:tcPr>
          <w:p w14:paraId="61040613" w14:textId="752B4AFA" w:rsidR="00D924EA" w:rsidRDefault="00011DE9">
            <w:pPr>
              <w:pStyle w:val="P68B1DB1-Normal23"/>
              <w:spacing w:after="0" w:line="240" w:lineRule="auto"/>
              <w:rPr>
                <w:rFonts w:eastAsia="MS Mincho" w:cs="Times New Roman"/>
                <w:noProof/>
                <w:szCs w:val="18"/>
              </w:rPr>
            </w:pPr>
            <w:r>
              <w:rPr>
                <w:noProof/>
              </w:rPr>
              <w:t xml:space="preserve">Au fost efectuate lucrări de restabilire în 30 foste situri miniere. </w:t>
            </w:r>
          </w:p>
        </w:tc>
      </w:tr>
      <w:tr w:rsidR="00D924EA" w14:paraId="2EEDF7F5" w14:textId="77777777" w:rsidTr="0042520D">
        <w:trPr>
          <w:trHeight w:val="309"/>
          <w:jc w:val="center"/>
        </w:trPr>
        <w:tc>
          <w:tcPr>
            <w:tcW w:w="828" w:type="dxa"/>
            <w:shd w:val="clear" w:color="auto" w:fill="C6EFCE"/>
            <w:noWrap/>
          </w:tcPr>
          <w:p w14:paraId="66EA7C23" w14:textId="77777777" w:rsidR="00D924EA" w:rsidRDefault="00011DE9">
            <w:pPr>
              <w:pStyle w:val="P68B1DB1-Normal23"/>
              <w:spacing w:after="0" w:line="240" w:lineRule="auto"/>
              <w:jc w:val="center"/>
              <w:rPr>
                <w:rFonts w:cs="Times New Roman"/>
                <w:noProof/>
                <w:szCs w:val="18"/>
              </w:rPr>
            </w:pPr>
            <w:r>
              <w:rPr>
                <w:noProof/>
              </w:rPr>
              <w:t>73</w:t>
            </w:r>
          </w:p>
        </w:tc>
        <w:tc>
          <w:tcPr>
            <w:tcW w:w="829" w:type="dxa"/>
            <w:shd w:val="clear" w:color="auto" w:fill="C6EFCE"/>
            <w:noWrap/>
          </w:tcPr>
          <w:p w14:paraId="4CA930D7" w14:textId="77777777" w:rsidR="00D924EA" w:rsidRDefault="00011DE9">
            <w:pPr>
              <w:pStyle w:val="P68B1DB1-Normal23"/>
              <w:spacing w:after="0" w:line="240" w:lineRule="auto"/>
              <w:jc w:val="center"/>
              <w:rPr>
                <w:rFonts w:cs="Times New Roman"/>
                <w:noProof/>
                <w:szCs w:val="18"/>
              </w:rPr>
            </w:pPr>
            <w:r>
              <w:rPr>
                <w:noProof/>
              </w:rPr>
              <w:t>C4.I4</w:t>
            </w:r>
          </w:p>
        </w:tc>
        <w:tc>
          <w:tcPr>
            <w:tcW w:w="966" w:type="dxa"/>
            <w:shd w:val="clear" w:color="auto" w:fill="C6EFCE"/>
            <w:noWrap/>
          </w:tcPr>
          <w:p w14:paraId="11C3980D" w14:textId="77777777" w:rsidR="00D924EA" w:rsidRDefault="00011DE9">
            <w:pPr>
              <w:pStyle w:val="P68B1DB1-Normal23"/>
              <w:spacing w:after="0" w:line="240" w:lineRule="auto"/>
              <w:jc w:val="center"/>
              <w:rPr>
                <w:rFonts w:cs="Times New Roman"/>
                <w:noProof/>
                <w:szCs w:val="18"/>
              </w:rPr>
            </w:pPr>
            <w:r>
              <w:rPr>
                <w:noProof/>
              </w:rPr>
              <w:t>T</w:t>
            </w:r>
          </w:p>
        </w:tc>
        <w:tc>
          <w:tcPr>
            <w:tcW w:w="1767" w:type="dxa"/>
            <w:shd w:val="clear" w:color="auto" w:fill="C6EFCE"/>
            <w:noWrap/>
          </w:tcPr>
          <w:p w14:paraId="17ACEC70" w14:textId="77777777" w:rsidR="00D924EA" w:rsidRDefault="00011DE9">
            <w:pPr>
              <w:pStyle w:val="P68B1DB1-Normal23"/>
              <w:spacing w:after="0" w:line="240" w:lineRule="auto"/>
              <w:rPr>
                <w:rFonts w:cs="Times New Roman"/>
                <w:noProof/>
                <w:szCs w:val="18"/>
              </w:rPr>
            </w:pPr>
            <w:r>
              <w:rPr>
                <w:noProof/>
              </w:rPr>
              <w:t xml:space="preserve">Acțiuni privind gestionarea durabilă a pădurilor </w:t>
            </w:r>
          </w:p>
        </w:tc>
        <w:tc>
          <w:tcPr>
            <w:tcW w:w="1543" w:type="dxa"/>
            <w:shd w:val="clear" w:color="auto" w:fill="C6EFCE"/>
            <w:noWrap/>
          </w:tcPr>
          <w:p w14:paraId="5FF743A0" w14:textId="77777777" w:rsidR="00D924EA" w:rsidRDefault="00D924EA">
            <w:pPr>
              <w:spacing w:after="0" w:line="240" w:lineRule="auto"/>
              <w:jc w:val="center"/>
              <w:rPr>
                <w:rFonts w:ascii="Times New Roman" w:hAnsi="Times New Roman" w:cs="Times New Roman"/>
                <w:noProof/>
                <w:sz w:val="18"/>
                <w:szCs w:val="18"/>
              </w:rPr>
            </w:pPr>
          </w:p>
        </w:tc>
        <w:tc>
          <w:tcPr>
            <w:tcW w:w="828" w:type="dxa"/>
            <w:shd w:val="clear" w:color="auto" w:fill="C6EFCE"/>
            <w:noWrap/>
          </w:tcPr>
          <w:p w14:paraId="2BEA4125" w14:textId="77777777" w:rsidR="00D924EA" w:rsidRDefault="00011DE9">
            <w:pPr>
              <w:pStyle w:val="P68B1DB1-Normal23"/>
              <w:spacing w:after="0" w:line="240" w:lineRule="auto"/>
              <w:jc w:val="right"/>
              <w:rPr>
                <w:rFonts w:cs="Times New Roman"/>
                <w:noProof/>
                <w:szCs w:val="18"/>
              </w:rPr>
            </w:pPr>
            <w:r>
              <w:rPr>
                <w:noProof/>
              </w:rPr>
              <w:t xml:space="preserve">Număr (vehicule) </w:t>
            </w:r>
          </w:p>
        </w:tc>
        <w:tc>
          <w:tcPr>
            <w:tcW w:w="889" w:type="dxa"/>
            <w:shd w:val="clear" w:color="auto" w:fill="C6EFCE"/>
            <w:noWrap/>
          </w:tcPr>
          <w:p w14:paraId="54D1F11F" w14:textId="77777777" w:rsidR="00D924EA" w:rsidRDefault="00011DE9">
            <w:pPr>
              <w:pStyle w:val="P68B1DB1-Normal23"/>
              <w:spacing w:after="0" w:line="240" w:lineRule="auto"/>
              <w:jc w:val="right"/>
              <w:rPr>
                <w:rFonts w:cs="Times New Roman"/>
                <w:noProof/>
                <w:szCs w:val="18"/>
              </w:rPr>
            </w:pPr>
            <w:r>
              <w:rPr>
                <w:noProof/>
              </w:rPr>
              <w:t>0</w:t>
            </w:r>
          </w:p>
        </w:tc>
        <w:tc>
          <w:tcPr>
            <w:tcW w:w="768" w:type="dxa"/>
            <w:shd w:val="clear" w:color="auto" w:fill="C6EFCE"/>
            <w:noWrap/>
          </w:tcPr>
          <w:p w14:paraId="151C1372" w14:textId="77777777" w:rsidR="00D924EA" w:rsidRDefault="00011DE9">
            <w:pPr>
              <w:pStyle w:val="P68B1DB1-Normal23"/>
              <w:spacing w:after="0" w:line="240" w:lineRule="auto"/>
              <w:jc w:val="right"/>
              <w:rPr>
                <w:rFonts w:cs="Times New Roman"/>
                <w:noProof/>
                <w:szCs w:val="18"/>
              </w:rPr>
            </w:pPr>
            <w:r>
              <w:rPr>
                <w:noProof/>
              </w:rPr>
              <w:t xml:space="preserve">100 </w:t>
            </w:r>
          </w:p>
        </w:tc>
        <w:tc>
          <w:tcPr>
            <w:tcW w:w="415" w:type="dxa"/>
            <w:shd w:val="clear" w:color="auto" w:fill="C6EFCE"/>
            <w:noWrap/>
          </w:tcPr>
          <w:p w14:paraId="7122C671" w14:textId="4CB683B5" w:rsidR="00D924EA" w:rsidRDefault="005701C9">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5E23C892" w14:textId="77777777" w:rsidR="00D924EA" w:rsidRDefault="00011DE9">
            <w:pPr>
              <w:pStyle w:val="P68B1DB1-Normal23"/>
              <w:spacing w:after="0" w:line="240" w:lineRule="auto"/>
              <w:jc w:val="center"/>
              <w:rPr>
                <w:rFonts w:cs="Times New Roman"/>
                <w:noProof/>
                <w:szCs w:val="18"/>
              </w:rPr>
            </w:pPr>
            <w:r>
              <w:rPr>
                <w:noProof/>
              </w:rPr>
              <w:t xml:space="preserve">2023 </w:t>
            </w:r>
          </w:p>
        </w:tc>
        <w:tc>
          <w:tcPr>
            <w:tcW w:w="5924" w:type="dxa"/>
            <w:shd w:val="clear" w:color="auto" w:fill="C6EFCE"/>
            <w:noWrap/>
          </w:tcPr>
          <w:p w14:paraId="1DD27C0E" w14:textId="77777777" w:rsidR="00D924EA" w:rsidRDefault="00011DE9">
            <w:pPr>
              <w:pStyle w:val="P68B1DB1-Normal23"/>
              <w:spacing w:after="0" w:line="240" w:lineRule="auto"/>
              <w:rPr>
                <w:rFonts w:cs="Times New Roman"/>
                <w:noProof/>
                <w:szCs w:val="18"/>
              </w:rPr>
            </w:pPr>
            <w:r>
              <w:rPr>
                <w:noProof/>
              </w:rPr>
              <w:t xml:space="preserve">Achiziționarea a cel puțin 100 vehicule cu destinație specială pentru stingerea incendiilor. Criteriile de selecție pentru investiție asigură conformitatea cu Orientările tehnice de „a nu prejudicia în mod semnificativ” (2021/C58/01) prin sprijinirea numai a celor mai bune tehnologii disponibile cu cel mai mic impact asupra mediului din sector, ținând seama de scopul special pe care îl servesc. </w:t>
            </w:r>
          </w:p>
        </w:tc>
      </w:tr>
      <w:tr w:rsidR="00D924EA" w14:paraId="10DBD2E9" w14:textId="77777777" w:rsidTr="0042520D">
        <w:trPr>
          <w:trHeight w:val="309"/>
          <w:jc w:val="center"/>
        </w:trPr>
        <w:tc>
          <w:tcPr>
            <w:tcW w:w="828" w:type="dxa"/>
            <w:shd w:val="clear" w:color="auto" w:fill="C6EFCE"/>
            <w:noWrap/>
          </w:tcPr>
          <w:p w14:paraId="7A4E47CB" w14:textId="77777777" w:rsidR="00D924EA" w:rsidRDefault="00011DE9">
            <w:pPr>
              <w:pStyle w:val="P68B1DB1-Normal23"/>
              <w:spacing w:after="0" w:line="240" w:lineRule="auto"/>
              <w:jc w:val="center"/>
              <w:rPr>
                <w:rFonts w:cs="Times New Roman"/>
                <w:noProof/>
                <w:szCs w:val="18"/>
              </w:rPr>
            </w:pPr>
            <w:r>
              <w:rPr>
                <w:noProof/>
              </w:rPr>
              <w:t>425</w:t>
            </w:r>
          </w:p>
        </w:tc>
        <w:tc>
          <w:tcPr>
            <w:tcW w:w="829" w:type="dxa"/>
            <w:shd w:val="clear" w:color="auto" w:fill="C6EFCE"/>
            <w:noWrap/>
          </w:tcPr>
          <w:p w14:paraId="28253620" w14:textId="77777777" w:rsidR="00D924EA" w:rsidRDefault="00011DE9">
            <w:pPr>
              <w:pStyle w:val="P68B1DB1-Normal23"/>
              <w:spacing w:after="0" w:line="240" w:lineRule="auto"/>
              <w:jc w:val="center"/>
              <w:rPr>
                <w:rFonts w:cs="Times New Roman"/>
                <w:noProof/>
                <w:szCs w:val="18"/>
              </w:rPr>
            </w:pPr>
            <w:r>
              <w:rPr>
                <w:noProof/>
              </w:rPr>
              <w:t>C4.I4</w:t>
            </w:r>
          </w:p>
        </w:tc>
        <w:tc>
          <w:tcPr>
            <w:tcW w:w="966" w:type="dxa"/>
            <w:shd w:val="clear" w:color="auto" w:fill="C6EFCE"/>
            <w:noWrap/>
          </w:tcPr>
          <w:p w14:paraId="369A3B5F" w14:textId="77777777" w:rsidR="00D924EA" w:rsidRDefault="00011DE9">
            <w:pPr>
              <w:pStyle w:val="P68B1DB1-Normal23"/>
              <w:spacing w:after="0" w:line="240" w:lineRule="auto"/>
              <w:jc w:val="center"/>
              <w:rPr>
                <w:rFonts w:cs="Times New Roman"/>
                <w:noProof/>
                <w:szCs w:val="18"/>
              </w:rPr>
            </w:pPr>
            <w:r>
              <w:rPr>
                <w:noProof/>
              </w:rPr>
              <w:t>M</w:t>
            </w:r>
          </w:p>
        </w:tc>
        <w:tc>
          <w:tcPr>
            <w:tcW w:w="1767" w:type="dxa"/>
            <w:shd w:val="clear" w:color="auto" w:fill="C6EFCE"/>
            <w:noWrap/>
          </w:tcPr>
          <w:p w14:paraId="55E48BDE" w14:textId="22534808" w:rsidR="00D924EA" w:rsidRDefault="00011DE9">
            <w:pPr>
              <w:pStyle w:val="P68B1DB1-Normal23"/>
              <w:spacing w:after="0" w:line="240" w:lineRule="auto"/>
              <w:rPr>
                <w:rFonts w:cs="Times New Roman"/>
                <w:noProof/>
                <w:szCs w:val="18"/>
              </w:rPr>
            </w:pPr>
            <w:r>
              <w:rPr>
                <w:noProof/>
              </w:rPr>
              <w:t xml:space="preserve">Acțiuni privind gestionarea pădurilor </w:t>
            </w:r>
          </w:p>
        </w:tc>
        <w:tc>
          <w:tcPr>
            <w:tcW w:w="1543" w:type="dxa"/>
            <w:shd w:val="clear" w:color="auto" w:fill="C6EFCE"/>
            <w:noWrap/>
          </w:tcPr>
          <w:p w14:paraId="3BD6B41E" w14:textId="6FFF2D2D" w:rsidR="00D924EA" w:rsidRDefault="00011DE9">
            <w:pPr>
              <w:pStyle w:val="P68B1DB1-Normal41"/>
              <w:spacing w:after="0" w:line="240" w:lineRule="auto"/>
              <w:jc w:val="center"/>
              <w:rPr>
                <w:noProof/>
              </w:rPr>
            </w:pPr>
            <w:r>
              <w:rPr>
                <w:noProof/>
              </w:rPr>
              <w:t>Rapoartele finale ale entităților sau persoanelor beneficiare sau certificatele de acceptare, declarațiile de conformitate sau alte documente echivalente care atestă executarea contractelor</w:t>
            </w:r>
          </w:p>
        </w:tc>
        <w:tc>
          <w:tcPr>
            <w:tcW w:w="828" w:type="dxa"/>
            <w:shd w:val="clear" w:color="auto" w:fill="C6EFCE"/>
            <w:noWrap/>
          </w:tcPr>
          <w:p w14:paraId="36C8AF07" w14:textId="77777777" w:rsidR="00D924EA" w:rsidRDefault="00D924EA">
            <w:pPr>
              <w:spacing w:after="0" w:line="240" w:lineRule="auto"/>
              <w:jc w:val="right"/>
              <w:rPr>
                <w:rFonts w:ascii="Times New Roman" w:hAnsi="Times New Roman" w:cs="Times New Roman"/>
                <w:noProof/>
                <w:sz w:val="18"/>
                <w:szCs w:val="18"/>
              </w:rPr>
            </w:pPr>
          </w:p>
        </w:tc>
        <w:tc>
          <w:tcPr>
            <w:tcW w:w="889" w:type="dxa"/>
            <w:shd w:val="clear" w:color="auto" w:fill="C6EFCE"/>
            <w:noWrap/>
          </w:tcPr>
          <w:p w14:paraId="4BEF6800" w14:textId="77777777" w:rsidR="00D924EA" w:rsidRDefault="00D924EA">
            <w:pPr>
              <w:spacing w:after="0" w:line="240" w:lineRule="auto"/>
              <w:jc w:val="right"/>
              <w:rPr>
                <w:rFonts w:ascii="Times New Roman" w:hAnsi="Times New Roman" w:cs="Times New Roman"/>
                <w:noProof/>
                <w:sz w:val="18"/>
                <w:szCs w:val="18"/>
              </w:rPr>
            </w:pPr>
          </w:p>
        </w:tc>
        <w:tc>
          <w:tcPr>
            <w:tcW w:w="768" w:type="dxa"/>
            <w:shd w:val="clear" w:color="auto" w:fill="C6EFCE"/>
            <w:noWrap/>
          </w:tcPr>
          <w:p w14:paraId="3A759447" w14:textId="77777777" w:rsidR="00D924EA" w:rsidRDefault="00D924EA">
            <w:pPr>
              <w:spacing w:after="0" w:line="240" w:lineRule="auto"/>
              <w:jc w:val="right"/>
              <w:rPr>
                <w:rFonts w:ascii="Times New Roman" w:hAnsi="Times New Roman" w:cs="Times New Roman"/>
                <w:noProof/>
                <w:sz w:val="18"/>
                <w:szCs w:val="18"/>
              </w:rPr>
            </w:pPr>
          </w:p>
        </w:tc>
        <w:tc>
          <w:tcPr>
            <w:tcW w:w="415" w:type="dxa"/>
            <w:shd w:val="clear" w:color="auto" w:fill="C6EFCE"/>
            <w:noWrap/>
          </w:tcPr>
          <w:p w14:paraId="4BC63E2F" w14:textId="1D04FB84" w:rsidR="00D924EA" w:rsidRDefault="005701C9">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0F4C7B7A" w14:textId="77777777" w:rsidR="00D924EA" w:rsidRDefault="00011DE9">
            <w:pPr>
              <w:pStyle w:val="P68B1DB1-Normal23"/>
              <w:spacing w:after="0" w:line="240" w:lineRule="auto"/>
              <w:jc w:val="center"/>
              <w:rPr>
                <w:rFonts w:cs="Times New Roman"/>
                <w:noProof/>
                <w:szCs w:val="18"/>
              </w:rPr>
            </w:pPr>
            <w:r>
              <w:rPr>
                <w:noProof/>
              </w:rPr>
              <w:t>2026</w:t>
            </w:r>
          </w:p>
        </w:tc>
        <w:tc>
          <w:tcPr>
            <w:tcW w:w="5924" w:type="dxa"/>
            <w:shd w:val="clear" w:color="auto" w:fill="C6EFCE"/>
            <w:noWrap/>
          </w:tcPr>
          <w:p w14:paraId="0429A81A" w14:textId="32B42E90" w:rsidR="00D924EA" w:rsidRDefault="00011DE9">
            <w:pPr>
              <w:pStyle w:val="P68B1DB1-Normal24"/>
              <w:spacing w:after="0" w:line="240" w:lineRule="auto"/>
              <w:textAlignment w:val="baseline"/>
              <w:rPr>
                <w:noProof/>
              </w:rPr>
            </w:pPr>
            <w:r>
              <w:rPr>
                <w:noProof/>
              </w:rPr>
              <w:t>Rapoartele finale care confirmă finalizarea activităților atribuite au fost prezentate de entitățile sau persoanele beneficiare pentru granturi legate de gestionarea pădurilor sau confirmarea de către administrație a executării contractelor sau a unor părți ale acestora legate de gestionarea pădurilor, pentru o sumă totală cumulată de 167 400 000 EUR sub formă de granturi și contracte atribuite (inclusiv eventualele modificări). </w:t>
            </w:r>
          </w:p>
          <w:p w14:paraId="4D22AA70" w14:textId="77777777" w:rsidR="00D924EA" w:rsidRDefault="00D924EA">
            <w:pPr>
              <w:spacing w:after="0" w:line="240" w:lineRule="auto"/>
              <w:textAlignment w:val="baseline"/>
              <w:rPr>
                <w:rFonts w:ascii="Times New Roman" w:eastAsia="Times New Roman" w:hAnsi="Times New Roman" w:cs="Times New Roman"/>
                <w:noProof/>
                <w:sz w:val="18"/>
                <w:szCs w:val="18"/>
              </w:rPr>
            </w:pPr>
          </w:p>
          <w:p w14:paraId="45F15EFB" w14:textId="77777777" w:rsidR="00D924EA" w:rsidRDefault="00011DE9">
            <w:pPr>
              <w:pStyle w:val="P68B1DB1-Normal41"/>
              <w:spacing w:after="0" w:line="240" w:lineRule="auto"/>
              <w:textAlignment w:val="baseline"/>
              <w:rPr>
                <w:noProof/>
              </w:rPr>
            </w:pPr>
            <w:r>
              <w:rPr>
                <w:noProof/>
              </w:rPr>
              <w:t xml:space="preserve">50 entitățile sau persoanele beneficiare prezintă rapoarte finale care confirmă finalizarea activităților atribuite pentru granturile legate de promovarea bioeconomiei forestiere. </w:t>
            </w:r>
          </w:p>
          <w:p w14:paraId="57D5AA49" w14:textId="77777777" w:rsidR="00D924EA" w:rsidRDefault="00D924EA">
            <w:pPr>
              <w:spacing w:after="0" w:line="240" w:lineRule="auto"/>
              <w:textAlignment w:val="baseline"/>
              <w:rPr>
                <w:rFonts w:ascii="Times New Roman" w:eastAsia="Times New Roman" w:hAnsi="Times New Roman" w:cs="Times New Roman"/>
                <w:noProof/>
                <w:sz w:val="18"/>
                <w:szCs w:val="18"/>
              </w:rPr>
            </w:pPr>
          </w:p>
          <w:p w14:paraId="6BBB709B" w14:textId="386B33F5" w:rsidR="00D924EA" w:rsidRDefault="00011DE9">
            <w:pPr>
              <w:pStyle w:val="P68B1DB1-Normal41"/>
              <w:spacing w:after="0" w:line="240" w:lineRule="auto"/>
              <w:jc w:val="both"/>
              <w:textAlignment w:val="baseline"/>
              <w:rPr>
                <w:noProof/>
              </w:rPr>
            </w:pPr>
            <w:r>
              <w:rPr>
                <w:noProof/>
              </w:rPr>
              <w:t xml:space="preserve">Pentru vehiculele cu destinație specială, sunt achiziționate numai cele mai bune tehnologii disponibile, ținând seama de scopul special pe care îl deservesc. Se exclude sprijinul pentru plantațiile de monoculturi, inclusiv pentru eucalipt. </w:t>
            </w:r>
          </w:p>
        </w:tc>
      </w:tr>
    </w:tbl>
    <w:p w14:paraId="5C36FDFF" w14:textId="77777777" w:rsidR="00D924EA" w:rsidRDefault="00D924EA">
      <w:pPr>
        <w:rPr>
          <w:noProof/>
        </w:rPr>
        <w:sectPr w:rsidR="00D924EA" w:rsidSect="00B528FB">
          <w:headerReference w:type="default" r:id="rId82"/>
          <w:footerReference w:type="default" r:id="rId83"/>
          <w:pgSz w:w="16838" w:h="11906" w:orient="landscape"/>
          <w:pgMar w:top="1440" w:right="1440" w:bottom="1440" w:left="1440" w:header="708" w:footer="708" w:gutter="0"/>
          <w:cols w:space="708"/>
          <w:docGrid w:linePitch="360"/>
        </w:sectPr>
      </w:pPr>
    </w:p>
    <w:p w14:paraId="59EA1D70" w14:textId="77777777" w:rsidR="00D924EA" w:rsidRDefault="00011DE9">
      <w:pPr>
        <w:pStyle w:val="Heading1"/>
        <w:rPr>
          <w:rFonts w:cs="Times New Roman"/>
          <w:noProof/>
        </w:rPr>
      </w:pPr>
      <w:r>
        <w:rPr>
          <w:noProof/>
        </w:rPr>
        <w:t>E. COMPONENTA 05: Resursele de apă și de coastă</w:t>
      </w:r>
    </w:p>
    <w:p w14:paraId="057834BF" w14:textId="77777777" w:rsidR="00D924EA" w:rsidRDefault="00011DE9">
      <w:pPr>
        <w:pStyle w:val="P68B1DB1-Normal29"/>
        <w:spacing w:before="120" w:after="120" w:line="240" w:lineRule="auto"/>
        <w:jc w:val="both"/>
        <w:rPr>
          <w:rFonts w:cs="Times New Roman"/>
          <w:noProof/>
        </w:rPr>
      </w:pPr>
      <w:r>
        <w:rPr>
          <w:noProof/>
        </w:rPr>
        <w:t xml:space="preserve">Această componentă urmărește să îmbunătățească gestionarea resurselor de apă, să pună în aplicare o politică de adaptare costieră pentru a aborda efectele negative ale schimbărilor climatice și să consolideze punerea în aplicare a strategiilor marine și a planurilor de amenajare a spațiului maritim. </w:t>
      </w:r>
    </w:p>
    <w:p w14:paraId="6F8C3BCE" w14:textId="77777777" w:rsidR="00D924EA" w:rsidRDefault="00011DE9">
      <w:pPr>
        <w:pStyle w:val="P68B1DB1-Normal29"/>
        <w:spacing w:before="120" w:after="120" w:line="240" w:lineRule="auto"/>
        <w:jc w:val="both"/>
        <w:rPr>
          <w:rFonts w:cs="Times New Roman"/>
          <w:noProof/>
        </w:rPr>
      </w:pPr>
      <w:r>
        <w:rPr>
          <w:noProof/>
        </w:rPr>
        <w:t>Pentru a îmbunătăți gestionarea resurselor de apă, Spania trebuie să abordeze diferite provocări, cum ar fi identificarea noilor poluanți emergenți (de exemplu, microplasticele), un deficit de investiții existent în planificarea, adaptarea coastei la schimbările climatice, controlul și gestionarea domeniului hidraulic public, proprietatea terestră maritimă și tratarea apei, precum și întârzierea care are loc în implementarea de noi tehnologii și tehnologii TIC pentru gestionarea apei. În acest scop, Spania îmbunătățește eficiența sectorului. Spania urmărește, de asemenea, să își alinieze mai bine gestionarea resurselor de apă la obiectivele de mediu, cum ar fi cele prevăzute în Pactul verde european, în Strategia privind biodiversitatea pentru 2030 și în Planul de acțiune al UE privind reducerea la zero a poluării. În acest scop, se implementează diferite strategii, cum ar fi digitalizarea administrației publice pentru a avea acces la informații, inclusiv calitatea apei și respectarea debitelor ecologice, furnizarea și îmbunătățirea infrastructurii de mediu, siguranța infrastructurii sau îmbunătățirea stării apelor subterane și refacerea acviferului.</w:t>
      </w:r>
    </w:p>
    <w:p w14:paraId="71DF456B" w14:textId="77777777" w:rsidR="00D924EA" w:rsidRDefault="00011DE9">
      <w:pPr>
        <w:pStyle w:val="P68B1DB1-Normal29"/>
        <w:spacing w:before="120" w:after="120" w:line="240" w:lineRule="auto"/>
        <w:jc w:val="both"/>
        <w:rPr>
          <w:rFonts w:cs="Times New Roman"/>
          <w:noProof/>
        </w:rPr>
      </w:pPr>
      <w:r>
        <w:rPr>
          <w:noProof/>
        </w:rPr>
        <w:t>Impactul eroziunii și al inundațiilor asupra coastei a fost exacerbat de schimbările climatice. Prin urmare, această componentă a planului spaniol de redresare și reziliență trebuie, de asemenea, să pună în aplicare o politică de adaptare a coastei spaniole la efectele negative ale schimbărilor climatice. Pentru a combate eroziunea și a reduce riscul de inundații, se introduc o serie de măsuri de adaptare, cum ar fi refacerea ecologică a zonelor degradate, îmbunătățirea accesibilității ordonate și corecte la domeniul maritim terestru public sau elaborarea și punerea în aplicare a unor soluții bazate pe natură, printre altele. Această linie de acțiune va crea o linie de coastă mai rezilientă la efectele schimbărilor climatice și, de asemenea, va pregăti mai bine sectorul turismului și alte sectoare dependente de starea zonelor de coastă. În plus, acest lucru va consolida și mai mult rolul programului Copernicus, care este esențial pentru prevenirea și evaluarea daunelor și a impactului fenomenelor meteorologice extreme.</w:t>
      </w:r>
    </w:p>
    <w:p w14:paraId="1D77162E" w14:textId="77777777" w:rsidR="00D924EA" w:rsidRDefault="00011DE9">
      <w:pPr>
        <w:pStyle w:val="P68B1DB1-Normal29"/>
        <w:spacing w:before="120" w:after="120" w:line="240" w:lineRule="auto"/>
        <w:jc w:val="both"/>
        <w:rPr>
          <w:rFonts w:cs="Times New Roman"/>
          <w:noProof/>
        </w:rPr>
      </w:pPr>
      <w:r>
        <w:rPr>
          <w:noProof/>
        </w:rPr>
        <w:t xml:space="preserve">Ca parte a acestei componente a planului spaniol de redresare și reziliență, Spania promovează dezvoltarea durabilă optimă a sectoarelor maritime și protejează mediul marin cu scopul de a atinge o stare ecologică bună a acestuia prin adoptarea unei legi, transpunerea Directivei-cadru „Strategia pentru mediul marin” și consolidarea punerii sale în aplicare. </w:t>
      </w:r>
    </w:p>
    <w:p w14:paraId="7C9AA35F" w14:textId="77777777" w:rsidR="00D924EA" w:rsidRDefault="00011DE9">
      <w:pPr>
        <w:pStyle w:val="P68B1DB1-Normal29"/>
        <w:spacing w:before="120" w:after="120" w:line="240" w:lineRule="auto"/>
        <w:jc w:val="both"/>
        <w:rPr>
          <w:rFonts w:cs="Times New Roman"/>
          <w:noProof/>
        </w:rPr>
      </w:pPr>
      <w:r>
        <w:rPr>
          <w:noProof/>
        </w:rPr>
        <w:t xml:space="preserve">Această componentă a planului spaniol de redresare și reziliență contribuie la concentrarea politicii economice legate de investiții pe promovarea eficienței energetice și a utilizării resurselor (Recomandarea specifică fiecărei țări 3 2019). Acesta concentrează, de asemenea, investițiile asupra tranziției verzi și digitale, în special prin promovarea cercetării și inovării, a producției și utilizării curate și eficiente a surselor de energie, a infrastructurii energetice, a gestionării apei și a deșeurilor și a transportului durabil (Recomandarea specifică fiecărei țări 3 2020). De asemenea, îmbunătățește reutilizarea apei (Recomandarea specifică fiecărei țări 3 2022). </w:t>
      </w:r>
    </w:p>
    <w:p w14:paraId="537A6A59" w14:textId="77777777" w:rsidR="00D924EA" w:rsidRDefault="00011DE9">
      <w:pPr>
        <w:pStyle w:val="P68B1DB1-Normal29"/>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A4EB578" w14:textId="4BF7967B" w:rsidR="00D924EA" w:rsidRDefault="00011DE9">
      <w:pPr>
        <w:keepNext/>
        <w:spacing w:before="120" w:after="120" w:line="240" w:lineRule="auto"/>
        <w:ind w:left="720"/>
        <w:jc w:val="both"/>
        <w:rPr>
          <w:rFonts w:ascii="Times New Roman" w:hAnsi="Times New Roman" w:cs="Times New Roman"/>
          <w:b/>
          <w:i/>
          <w:noProof/>
        </w:rPr>
      </w:pPr>
      <w:r>
        <w:rPr>
          <w:rFonts w:ascii="Times New Roman" w:hAnsi="Times New Roman"/>
          <w:b/>
          <w:noProof/>
          <w:u w:val="single"/>
        </w:rPr>
        <w:t>E.1.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58948DF7" w14:textId="77777777" w:rsidR="00D924EA" w:rsidRDefault="00011DE9">
      <w:pPr>
        <w:pStyle w:val="P68B1DB1-Normal30"/>
        <w:keepNext/>
        <w:spacing w:before="120" w:after="120" w:line="240" w:lineRule="auto"/>
        <w:jc w:val="both"/>
        <w:rPr>
          <w:rFonts w:cs="Times New Roman"/>
          <w:noProof/>
        </w:rPr>
      </w:pPr>
      <w:r>
        <w:rPr>
          <w:noProof/>
        </w:rPr>
        <w:t>Reforma 1 (C5.R1) – Planuri și strategii privind apa și modificări în materie de reglementare</w:t>
      </w:r>
    </w:p>
    <w:p w14:paraId="5617209C" w14:textId="77777777" w:rsidR="00D924EA" w:rsidRDefault="00011DE9">
      <w:pPr>
        <w:pStyle w:val="P68B1DB1-Normal29"/>
        <w:keepNext/>
        <w:spacing w:before="120" w:after="120" w:line="240" w:lineRule="auto"/>
        <w:jc w:val="both"/>
        <w:rPr>
          <w:rFonts w:cs="Times New Roman"/>
          <w:noProof/>
        </w:rPr>
      </w:pPr>
      <w:r>
        <w:rPr>
          <w:noProof/>
        </w:rPr>
        <w:t xml:space="preserve">Reforma abordează revizuirea și actualizarea Legii apei, a reglementărilor acesteia și a altor acte legislative secundare, pentru a asigura un cadru juridic favorabil stimulării investițiilor. Reforma include adoptarea și revizuirea unei serii de planuri și strategii care stau la baza investițiilor și a gestionării apei și care consolidează și sporesc investițiile. Aceste modificări în materie de reglementare sunt aliniate la Pactul verde european. </w:t>
      </w:r>
    </w:p>
    <w:p w14:paraId="504ADF61" w14:textId="77777777" w:rsidR="00D924EA" w:rsidRDefault="00011DE9">
      <w:pPr>
        <w:pStyle w:val="P68B1DB1-Normal29"/>
        <w:spacing w:before="120" w:after="120" w:line="240" w:lineRule="auto"/>
        <w:jc w:val="both"/>
        <w:rPr>
          <w:rFonts w:cs="Times New Roman"/>
          <w:noProof/>
        </w:rPr>
      </w:pPr>
      <w:r>
        <w:rPr>
          <w:noProof/>
        </w:rPr>
        <w:t xml:space="preserve">Această reformă va aborda numeroase aspecte legate de toate tipurile de apă, cum ar fi un cadru financiar îmbunătățit pentru reutilizarea apelor uzate, adoptarea de standarde tehnice pentru siguranța barajelor și a rezervoarelor acestora, adoptarea unui plan național pentru purificarea, decontaminarea, eficiența, economiile și reutilizarea apei (punerea în aplicare a tratării, salubrizării, eficienței, economiilor, reutilizării și siguranței infrastructurii – planul DSEAR), printre altele. </w:t>
      </w:r>
    </w:p>
    <w:p w14:paraId="63687CDB" w14:textId="77777777" w:rsidR="00D924EA" w:rsidRDefault="00011DE9">
      <w:pPr>
        <w:pStyle w:val="P68B1DB1-Normal29"/>
        <w:spacing w:before="120" w:after="120" w:line="240" w:lineRule="auto"/>
        <w:jc w:val="both"/>
        <w:rPr>
          <w:rFonts w:cs="Times New Roman"/>
          <w:noProof/>
        </w:rPr>
      </w:pPr>
      <w:r>
        <w:rPr>
          <w:noProof/>
        </w:rPr>
        <w:t xml:space="preserve">Măsura se finalizează până la 30 iunie 2023. </w:t>
      </w:r>
    </w:p>
    <w:p w14:paraId="3A8AB7A0" w14:textId="20B4A9DA" w:rsidR="00D924EA" w:rsidRDefault="00011DE9">
      <w:pPr>
        <w:pStyle w:val="P68B1DB1-Normal30"/>
        <w:spacing w:before="120" w:after="120" w:line="240" w:lineRule="auto"/>
        <w:jc w:val="both"/>
        <w:rPr>
          <w:noProof/>
        </w:rPr>
      </w:pPr>
      <w:r>
        <w:rPr>
          <w:noProof/>
        </w:rPr>
        <w:t>Investiția 1 (C5.I1) – Acțiuni privind tratarea, salubrizarea, eficiența, economiile, reutilizarea și siguranța infrastructurii (DSEAR)</w:t>
      </w:r>
    </w:p>
    <w:p w14:paraId="76B33556" w14:textId="77777777" w:rsidR="00D924EA" w:rsidRDefault="00011DE9">
      <w:pPr>
        <w:pStyle w:val="P68B1DB1-Normal42"/>
        <w:spacing w:before="120" w:after="120" w:line="240" w:lineRule="auto"/>
        <w:jc w:val="both"/>
        <w:rPr>
          <w:noProof/>
        </w:rPr>
      </w:pPr>
      <w:r>
        <w:rPr>
          <w:noProof/>
        </w:rPr>
        <w:t>Obiectivul acestei investiții este de a spori calitatea și gestionarea apei în Spania.</w:t>
      </w:r>
    </w:p>
    <w:p w14:paraId="541217A1" w14:textId="77777777" w:rsidR="00D924EA" w:rsidRDefault="00011DE9">
      <w:pPr>
        <w:pStyle w:val="P68B1DB1-Normal42"/>
        <w:spacing w:before="120" w:after="120" w:line="240" w:lineRule="auto"/>
        <w:jc w:val="both"/>
        <w:rPr>
          <w:noProof/>
        </w:rPr>
      </w:pPr>
      <w:r>
        <w:rPr>
          <w:noProof/>
        </w:rPr>
        <w:t>Măsura constă în investiții în infrastructura de apă și de ape uzate, precum și în baraje și rezervoare pentru a le menține siguranța.</w:t>
      </w:r>
    </w:p>
    <w:p w14:paraId="3380271C" w14:textId="550B8C46" w:rsidR="00D924EA" w:rsidRDefault="00011DE9">
      <w:pPr>
        <w:pStyle w:val="P68B1DB1-Normal30"/>
        <w:spacing w:before="120" w:after="120" w:line="240" w:lineRule="auto"/>
        <w:jc w:val="both"/>
        <w:rPr>
          <w:rFonts w:cs="Times New Roman"/>
          <w:noProof/>
        </w:rPr>
      </w:pPr>
      <w:r>
        <w:rPr>
          <w:noProof/>
        </w:rPr>
        <w:t>Investiția 2 (C5.I2) – Refacerea ecosistemelor fluviale, a infrastructurii de apă și atenuarea riscului de inundații</w:t>
      </w:r>
    </w:p>
    <w:p w14:paraId="5669380F" w14:textId="2DA304CE" w:rsidR="00D924EA" w:rsidRDefault="00011DE9">
      <w:pPr>
        <w:spacing w:before="120" w:after="120" w:line="240" w:lineRule="auto"/>
        <w:jc w:val="both"/>
        <w:rPr>
          <w:rFonts w:ascii="Times New Roman" w:eastAsia="Times New Roman" w:hAnsi="Times New Roman" w:cs="Times New Roman"/>
          <w:noProof/>
          <w:color w:val="000000" w:themeColor="text1"/>
        </w:rPr>
      </w:pPr>
      <w:r>
        <w:rPr>
          <w:rFonts w:ascii="Times New Roman" w:hAnsi="Times New Roman"/>
          <w:noProof/>
        </w:rPr>
        <w:t xml:space="preserve">Obiectivul acestei investiții este de a </w:t>
      </w:r>
      <w:r>
        <w:rPr>
          <w:rFonts w:ascii="Times New Roman" w:eastAsia="Times New Roman" w:hAnsi="Times New Roman" w:cs="Times New Roman"/>
          <w:noProof/>
          <w:color w:val="000000" w:themeColor="text1"/>
        </w:rPr>
        <w:t>restabili starea ecologică a râurilor, de a atenua riscurile de inundații și de a reduce dependența irigatorilor de acviferele supraexploatate.</w:t>
      </w:r>
    </w:p>
    <w:p w14:paraId="1D987DF4" w14:textId="61FC12BF" w:rsidR="00D924EA" w:rsidRDefault="00011DE9">
      <w:pPr>
        <w:pStyle w:val="P68B1DB1-Normal42"/>
        <w:spacing w:before="120" w:after="120" w:line="240" w:lineRule="auto"/>
        <w:jc w:val="both"/>
        <w:rPr>
          <w:noProof/>
        </w:rPr>
      </w:pPr>
      <w:r>
        <w:rPr>
          <w:noProof/>
        </w:rPr>
        <w:t>Investiția constă în refacerea râurilor și în investiții legate de infrastructura de alimentare cu apă pentru irigații sau apă potabilă.</w:t>
      </w:r>
    </w:p>
    <w:p w14:paraId="6C022537" w14:textId="77777777" w:rsidR="00D924EA" w:rsidRDefault="00011DE9">
      <w:pPr>
        <w:pStyle w:val="P68B1DB1-Normal30"/>
        <w:spacing w:before="120" w:after="120" w:line="240" w:lineRule="auto"/>
        <w:jc w:val="both"/>
        <w:rPr>
          <w:noProof/>
        </w:rPr>
      </w:pPr>
      <w:r>
        <w:rPr>
          <w:noProof/>
        </w:rPr>
        <w:t>Investiția 3 (C5.I3) – Tranziția digitală în sectorul apei (Asigurarea respectării legislației digitale în domeniul mediului) – Proiect strategic pentru redresare și transformare economică (PERTE) pentru digitalizarea utilizărilor apei.</w:t>
      </w:r>
    </w:p>
    <w:p w14:paraId="295AAD9C" w14:textId="77777777" w:rsidR="00D924EA" w:rsidRDefault="00011DE9">
      <w:pPr>
        <w:pStyle w:val="P68B1DB1-Normal42"/>
        <w:spacing w:before="120" w:after="120" w:line="240" w:lineRule="auto"/>
        <w:jc w:val="both"/>
        <w:rPr>
          <w:noProof/>
        </w:rPr>
      </w:pPr>
      <w:r>
        <w:rPr>
          <w:noProof/>
        </w:rPr>
        <w:t xml:space="preserve">Obiectivul acestei investiții este de a accelera tranziția digitală în sistemele și serviciile de gestionare legate de apă și de a oferi noi instrumente de monitorizare și gestionare meteorologică. </w:t>
      </w:r>
    </w:p>
    <w:p w14:paraId="54ADDBD0" w14:textId="73EC0D5D" w:rsidR="00D924EA" w:rsidRDefault="00011DE9">
      <w:pPr>
        <w:pStyle w:val="P68B1DB1-Normal42"/>
        <w:spacing w:before="120" w:after="120" w:line="240" w:lineRule="auto"/>
        <w:jc w:val="both"/>
        <w:rPr>
          <w:noProof/>
        </w:rPr>
      </w:pPr>
      <w:r>
        <w:rPr>
          <w:noProof/>
        </w:rPr>
        <w:t>Investiția constă în acțiuni legate de PERTE pentru digitalizarea utilizărilor apei, a radarelor și a proceselor hidrologice sau meteorologice.</w:t>
      </w:r>
      <w:r w:rsidR="00971820">
        <w:rPr>
          <w:noProof/>
        </w:rPr>
        <w:t xml:space="preserve"> </w:t>
      </w:r>
      <w:r>
        <w:rPr>
          <w:noProof/>
        </w:rPr>
        <w:t xml:space="preserve"> </w:t>
      </w:r>
    </w:p>
    <w:p w14:paraId="5860CC3C" w14:textId="06F0EA8C" w:rsidR="00D924EA" w:rsidRDefault="00011DE9">
      <w:pPr>
        <w:pStyle w:val="P68B1DB1-Normal30"/>
        <w:keepNext/>
        <w:spacing w:before="120" w:after="120" w:line="240" w:lineRule="auto"/>
        <w:jc w:val="both"/>
        <w:rPr>
          <w:noProof/>
        </w:rPr>
      </w:pPr>
      <w:r>
        <w:rPr>
          <w:noProof/>
        </w:rPr>
        <w:t>Investiția 4 (C5.I4) – Adaptarea litoralului la schimbările climatice</w:t>
      </w:r>
    </w:p>
    <w:p w14:paraId="14880DF0" w14:textId="77777777" w:rsidR="00D924EA" w:rsidRDefault="00011DE9">
      <w:pPr>
        <w:pStyle w:val="P68B1DB1-Normal42"/>
        <w:keepNext/>
        <w:spacing w:before="120" w:after="120" w:line="240" w:lineRule="auto"/>
        <w:jc w:val="both"/>
        <w:rPr>
          <w:noProof/>
        </w:rPr>
      </w:pPr>
      <w:r>
        <w:rPr>
          <w:noProof/>
        </w:rPr>
        <w:t xml:space="preserve">Obiectivul acestei investiții este de a spori reziliența coastei spaniole la schimbările climatice și la variabilitatea climatică și de a integra adaptarea la schimbările climatice în planificarea și gestionarea coastei și a mării spaniole. </w:t>
      </w:r>
    </w:p>
    <w:p w14:paraId="428B787E" w14:textId="53310CBA" w:rsidR="00D924EA" w:rsidRDefault="00011DE9">
      <w:pPr>
        <w:pStyle w:val="P68B1DB1-Normal42"/>
        <w:keepNext/>
        <w:spacing w:before="120" w:after="120" w:line="240" w:lineRule="auto"/>
        <w:jc w:val="both"/>
        <w:rPr>
          <w:noProof/>
        </w:rPr>
      </w:pPr>
      <w:r>
        <w:rPr>
          <w:noProof/>
        </w:rPr>
        <w:t>Această investiție constă în refacerea zonelor degradate și a ecosistemelor de-a lungul coastelor.</w:t>
      </w:r>
    </w:p>
    <w:p w14:paraId="45D74908" w14:textId="7178B73D" w:rsidR="00D924EA" w:rsidRDefault="00011DE9">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E.2.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6F198049" w14:textId="77777777" w:rsidR="00D924EA" w:rsidRDefault="00011DE9">
      <w:pPr>
        <w:pStyle w:val="P68B1DB1-Normal29"/>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05B5C31" w14:textId="77777777" w:rsidR="00D924EA" w:rsidRDefault="00D924EA">
      <w:pPr>
        <w:spacing w:before="120" w:after="120" w:line="240" w:lineRule="auto"/>
        <w:ind w:left="709"/>
        <w:jc w:val="both"/>
        <w:rPr>
          <w:rFonts w:ascii="Times New Roman" w:hAnsi="Times New Roman" w:cs="Times New Roman"/>
          <w:noProof/>
        </w:rPr>
        <w:sectPr w:rsidR="00D924EA" w:rsidSect="00B528FB">
          <w:headerReference w:type="default" r:id="rId84"/>
          <w:footerReference w:type="default" r:id="rId85"/>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2"/>
        <w:gridCol w:w="815"/>
        <w:gridCol w:w="814"/>
        <w:gridCol w:w="1939"/>
        <w:gridCol w:w="1417"/>
        <w:gridCol w:w="1134"/>
        <w:gridCol w:w="992"/>
        <w:gridCol w:w="751"/>
        <w:gridCol w:w="409"/>
        <w:gridCol w:w="544"/>
        <w:gridCol w:w="5815"/>
      </w:tblGrid>
      <w:tr w:rsidR="00D924EA" w14:paraId="250570DF" w14:textId="77777777" w:rsidTr="0042520D">
        <w:trPr>
          <w:trHeight w:val="309"/>
          <w:tblHeader/>
          <w:jc w:val="center"/>
        </w:trPr>
        <w:tc>
          <w:tcPr>
            <w:tcW w:w="822" w:type="dxa"/>
            <w:vMerge w:val="restart"/>
            <w:shd w:val="clear" w:color="auto" w:fill="B7D4EF"/>
            <w:noWrap/>
            <w:vAlign w:val="center"/>
          </w:tcPr>
          <w:p w14:paraId="0BEC9E65" w14:textId="77777777" w:rsidR="00D924EA" w:rsidRDefault="00011DE9">
            <w:pPr>
              <w:pStyle w:val="P68B1DB1-Normal28"/>
              <w:spacing w:after="0" w:line="240" w:lineRule="auto"/>
              <w:jc w:val="center"/>
              <w:rPr>
                <w:rFonts w:cs="Times New Roman"/>
                <w:noProof/>
                <w:szCs w:val="18"/>
              </w:rPr>
            </w:pPr>
            <w:r>
              <w:rPr>
                <w:noProof/>
              </w:rPr>
              <w:t>Număr</w:t>
            </w:r>
          </w:p>
        </w:tc>
        <w:tc>
          <w:tcPr>
            <w:tcW w:w="815" w:type="dxa"/>
            <w:vMerge w:val="restart"/>
            <w:shd w:val="clear" w:color="auto" w:fill="B7D4EF"/>
            <w:noWrap/>
            <w:vAlign w:val="center"/>
          </w:tcPr>
          <w:p w14:paraId="0F852CF6" w14:textId="77777777" w:rsidR="00D924EA" w:rsidRDefault="00011DE9">
            <w:pPr>
              <w:pStyle w:val="P68B1DB1-Normal28"/>
              <w:spacing w:after="0" w:line="240" w:lineRule="auto"/>
              <w:jc w:val="center"/>
              <w:rPr>
                <w:rFonts w:cs="Times New Roman"/>
                <w:noProof/>
                <w:szCs w:val="18"/>
              </w:rPr>
            </w:pPr>
            <w:r>
              <w:rPr>
                <w:noProof/>
              </w:rPr>
              <w:t>Măsură</w:t>
            </w:r>
          </w:p>
        </w:tc>
        <w:tc>
          <w:tcPr>
            <w:tcW w:w="814" w:type="dxa"/>
            <w:vMerge w:val="restart"/>
            <w:shd w:val="clear" w:color="auto" w:fill="B7D4EF"/>
            <w:noWrap/>
            <w:vAlign w:val="center"/>
          </w:tcPr>
          <w:p w14:paraId="031A898D" w14:textId="7A8EAE0B" w:rsidR="00D924EA" w:rsidRDefault="00011DE9">
            <w:pPr>
              <w:spacing w:after="0" w:line="240" w:lineRule="auto"/>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1939" w:type="dxa"/>
            <w:vMerge w:val="restart"/>
            <w:shd w:val="clear" w:color="auto" w:fill="B7D4EF"/>
            <w:noWrap/>
            <w:vAlign w:val="center"/>
          </w:tcPr>
          <w:p w14:paraId="2C1B91D5" w14:textId="77777777" w:rsidR="00D924EA" w:rsidRDefault="00011DE9">
            <w:pPr>
              <w:pStyle w:val="P68B1DB1-Normal28"/>
              <w:spacing w:after="0" w:line="240" w:lineRule="auto"/>
              <w:jc w:val="center"/>
              <w:rPr>
                <w:rFonts w:cs="Times New Roman"/>
                <w:noProof/>
                <w:szCs w:val="18"/>
              </w:rPr>
            </w:pPr>
            <w:r>
              <w:rPr>
                <w:noProof/>
              </w:rPr>
              <w:t>Nume</w:t>
            </w:r>
          </w:p>
        </w:tc>
        <w:tc>
          <w:tcPr>
            <w:tcW w:w="1417" w:type="dxa"/>
            <w:vMerge w:val="restart"/>
            <w:shd w:val="clear" w:color="auto" w:fill="B7D4EF"/>
            <w:noWrap/>
            <w:vAlign w:val="center"/>
          </w:tcPr>
          <w:p w14:paraId="38B66748" w14:textId="77777777" w:rsidR="00D924EA" w:rsidRDefault="00011DE9">
            <w:pPr>
              <w:pStyle w:val="P68B1DB1-Normal28"/>
              <w:spacing w:after="0" w:line="240" w:lineRule="auto"/>
              <w:jc w:val="center"/>
              <w:rPr>
                <w:rFonts w:cs="Times New Roman"/>
                <w:noProof/>
                <w:szCs w:val="18"/>
              </w:rPr>
            </w:pPr>
            <w:r>
              <w:rPr>
                <w:noProof/>
              </w:rPr>
              <w:t>Indicator calitativ pentru jaloane</w:t>
            </w:r>
          </w:p>
        </w:tc>
        <w:tc>
          <w:tcPr>
            <w:tcW w:w="2877" w:type="dxa"/>
            <w:gridSpan w:val="3"/>
            <w:shd w:val="clear" w:color="auto" w:fill="B7D4EF"/>
            <w:noWrap/>
            <w:vAlign w:val="center"/>
          </w:tcPr>
          <w:p w14:paraId="48A509E6" w14:textId="77777777" w:rsidR="00D924EA" w:rsidRDefault="00011DE9">
            <w:pPr>
              <w:pStyle w:val="P68B1DB1-Normal28"/>
              <w:spacing w:after="0" w:line="240" w:lineRule="auto"/>
              <w:jc w:val="center"/>
              <w:rPr>
                <w:rFonts w:cs="Times New Roman"/>
                <w:noProof/>
                <w:szCs w:val="18"/>
              </w:rPr>
            </w:pPr>
            <w:r>
              <w:rPr>
                <w:noProof/>
              </w:rPr>
              <w:t>Indicator cantitativ pentru ținte</w:t>
            </w:r>
          </w:p>
        </w:tc>
        <w:tc>
          <w:tcPr>
            <w:tcW w:w="953" w:type="dxa"/>
            <w:gridSpan w:val="2"/>
            <w:shd w:val="clear" w:color="auto" w:fill="B7D4EF"/>
            <w:noWrap/>
            <w:vAlign w:val="center"/>
          </w:tcPr>
          <w:p w14:paraId="7E79A719" w14:textId="77777777" w:rsidR="00D924EA" w:rsidRDefault="00011DE9">
            <w:pPr>
              <w:pStyle w:val="P68B1DB1-Normal28"/>
              <w:spacing w:after="0" w:line="240" w:lineRule="auto"/>
              <w:jc w:val="center"/>
              <w:rPr>
                <w:rFonts w:cs="Times New Roman"/>
                <w:noProof/>
                <w:szCs w:val="18"/>
              </w:rPr>
            </w:pPr>
            <w:r>
              <w:rPr>
                <w:noProof/>
              </w:rPr>
              <w:t>Timp</w:t>
            </w:r>
          </w:p>
        </w:tc>
        <w:tc>
          <w:tcPr>
            <w:tcW w:w="5815" w:type="dxa"/>
            <w:vMerge w:val="restart"/>
            <w:shd w:val="clear" w:color="auto" w:fill="B7D4EF"/>
            <w:noWrap/>
            <w:vAlign w:val="center"/>
          </w:tcPr>
          <w:p w14:paraId="1C0C7587" w14:textId="77777777" w:rsidR="00D924EA" w:rsidRDefault="00011DE9">
            <w:pPr>
              <w:pStyle w:val="P68B1DB1-Normal28"/>
              <w:spacing w:after="0" w:line="240" w:lineRule="auto"/>
              <w:jc w:val="center"/>
              <w:rPr>
                <w:rFonts w:cs="Times New Roman"/>
                <w:noProof/>
                <w:szCs w:val="18"/>
              </w:rPr>
            </w:pPr>
            <w:r>
              <w:rPr>
                <w:noProof/>
              </w:rPr>
              <w:t>Descrierea fiecărui jalon și a fiecărei ținte</w:t>
            </w:r>
          </w:p>
        </w:tc>
      </w:tr>
      <w:tr w:rsidR="00D924EA" w14:paraId="48171E4F" w14:textId="77777777" w:rsidTr="0042520D">
        <w:trPr>
          <w:trHeight w:val="309"/>
          <w:tblHeader/>
          <w:jc w:val="center"/>
        </w:trPr>
        <w:tc>
          <w:tcPr>
            <w:tcW w:w="822" w:type="dxa"/>
            <w:vMerge/>
            <w:noWrap/>
          </w:tcPr>
          <w:p w14:paraId="5CC7D0A9" w14:textId="77777777" w:rsidR="00D924EA" w:rsidRDefault="00D924EA">
            <w:pPr>
              <w:spacing w:after="0" w:line="240" w:lineRule="auto"/>
              <w:jc w:val="center"/>
              <w:rPr>
                <w:rFonts w:ascii="Times New Roman" w:hAnsi="Times New Roman" w:cs="Times New Roman"/>
                <w:b/>
                <w:noProof/>
                <w:sz w:val="18"/>
                <w:szCs w:val="18"/>
              </w:rPr>
            </w:pPr>
          </w:p>
        </w:tc>
        <w:tc>
          <w:tcPr>
            <w:tcW w:w="815" w:type="dxa"/>
            <w:vMerge/>
            <w:noWrap/>
          </w:tcPr>
          <w:p w14:paraId="789CBF54" w14:textId="77777777" w:rsidR="00D924EA" w:rsidRDefault="00D924EA">
            <w:pPr>
              <w:spacing w:after="0" w:line="240" w:lineRule="auto"/>
              <w:jc w:val="center"/>
              <w:rPr>
                <w:rFonts w:ascii="Times New Roman" w:hAnsi="Times New Roman" w:cs="Times New Roman"/>
                <w:b/>
                <w:noProof/>
                <w:sz w:val="18"/>
                <w:szCs w:val="18"/>
              </w:rPr>
            </w:pPr>
          </w:p>
        </w:tc>
        <w:tc>
          <w:tcPr>
            <w:tcW w:w="814" w:type="dxa"/>
            <w:vMerge/>
            <w:noWrap/>
          </w:tcPr>
          <w:p w14:paraId="3064F4D9" w14:textId="77777777" w:rsidR="00D924EA" w:rsidRDefault="00D924EA">
            <w:pPr>
              <w:spacing w:after="0" w:line="240" w:lineRule="auto"/>
              <w:jc w:val="center"/>
              <w:rPr>
                <w:rFonts w:ascii="Times New Roman" w:hAnsi="Times New Roman" w:cs="Times New Roman"/>
                <w:b/>
                <w:noProof/>
                <w:sz w:val="18"/>
                <w:szCs w:val="18"/>
              </w:rPr>
            </w:pPr>
          </w:p>
        </w:tc>
        <w:tc>
          <w:tcPr>
            <w:tcW w:w="1939" w:type="dxa"/>
            <w:vMerge/>
            <w:noWrap/>
          </w:tcPr>
          <w:p w14:paraId="2C120213" w14:textId="77777777" w:rsidR="00D924EA" w:rsidRDefault="00D924EA">
            <w:pPr>
              <w:spacing w:after="0" w:line="240" w:lineRule="auto"/>
              <w:rPr>
                <w:rFonts w:ascii="Times New Roman" w:hAnsi="Times New Roman" w:cs="Times New Roman"/>
                <w:b/>
                <w:noProof/>
                <w:sz w:val="18"/>
                <w:szCs w:val="18"/>
              </w:rPr>
            </w:pPr>
          </w:p>
        </w:tc>
        <w:tc>
          <w:tcPr>
            <w:tcW w:w="1417" w:type="dxa"/>
            <w:vMerge/>
            <w:noWrap/>
          </w:tcPr>
          <w:p w14:paraId="49E65331" w14:textId="77777777" w:rsidR="00D924EA" w:rsidRDefault="00D924EA">
            <w:pPr>
              <w:spacing w:after="0" w:line="240" w:lineRule="auto"/>
              <w:jc w:val="center"/>
              <w:rPr>
                <w:rFonts w:ascii="Times New Roman" w:hAnsi="Times New Roman" w:cs="Times New Roman"/>
                <w:b/>
                <w:noProof/>
                <w:sz w:val="18"/>
                <w:szCs w:val="18"/>
              </w:rPr>
            </w:pPr>
          </w:p>
        </w:tc>
        <w:tc>
          <w:tcPr>
            <w:tcW w:w="1134" w:type="dxa"/>
            <w:shd w:val="clear" w:color="auto" w:fill="B7D4EF"/>
            <w:noWrap/>
            <w:vAlign w:val="center"/>
          </w:tcPr>
          <w:p w14:paraId="241252CC" w14:textId="77777777" w:rsidR="00D924EA" w:rsidRDefault="00011DE9">
            <w:pPr>
              <w:pStyle w:val="P68B1DB1-Normal28"/>
              <w:spacing w:after="0" w:line="240" w:lineRule="auto"/>
              <w:jc w:val="center"/>
              <w:rPr>
                <w:rFonts w:cs="Times New Roman"/>
                <w:noProof/>
                <w:szCs w:val="18"/>
              </w:rPr>
            </w:pPr>
            <w:r>
              <w:rPr>
                <w:noProof/>
              </w:rPr>
              <w:t>Unitate</w:t>
            </w:r>
          </w:p>
        </w:tc>
        <w:tc>
          <w:tcPr>
            <w:tcW w:w="992" w:type="dxa"/>
            <w:shd w:val="clear" w:color="auto" w:fill="B7D4EF"/>
            <w:noWrap/>
            <w:vAlign w:val="center"/>
          </w:tcPr>
          <w:p w14:paraId="6DFF2756" w14:textId="77777777" w:rsidR="00D924EA" w:rsidRDefault="00011DE9">
            <w:pPr>
              <w:pStyle w:val="P68B1DB1-Normal28"/>
              <w:spacing w:after="0" w:line="240" w:lineRule="auto"/>
              <w:jc w:val="center"/>
              <w:rPr>
                <w:rFonts w:cs="Times New Roman"/>
                <w:noProof/>
                <w:szCs w:val="18"/>
              </w:rPr>
            </w:pPr>
            <w:r>
              <w:rPr>
                <w:noProof/>
              </w:rPr>
              <w:t>Situația de referință</w:t>
            </w:r>
          </w:p>
        </w:tc>
        <w:tc>
          <w:tcPr>
            <w:tcW w:w="751" w:type="dxa"/>
            <w:shd w:val="clear" w:color="auto" w:fill="B7D4EF"/>
            <w:noWrap/>
            <w:vAlign w:val="center"/>
          </w:tcPr>
          <w:p w14:paraId="7094F62A" w14:textId="77777777" w:rsidR="00D924EA" w:rsidRDefault="00011DE9">
            <w:pPr>
              <w:pStyle w:val="P68B1DB1-Normal28"/>
              <w:spacing w:after="0" w:line="240" w:lineRule="auto"/>
              <w:jc w:val="center"/>
              <w:rPr>
                <w:rFonts w:cs="Times New Roman"/>
                <w:noProof/>
                <w:szCs w:val="18"/>
              </w:rPr>
            </w:pPr>
            <w:r>
              <w:rPr>
                <w:noProof/>
              </w:rPr>
              <w:t>Obiectiv</w:t>
            </w:r>
          </w:p>
        </w:tc>
        <w:tc>
          <w:tcPr>
            <w:tcW w:w="409" w:type="dxa"/>
            <w:shd w:val="clear" w:color="auto" w:fill="B7D4EF"/>
            <w:noWrap/>
            <w:vAlign w:val="center"/>
          </w:tcPr>
          <w:p w14:paraId="1DB4A711" w14:textId="1AF96AEF" w:rsidR="00D924EA" w:rsidRDefault="0042520D">
            <w:pPr>
              <w:pStyle w:val="P68B1DB1-Normal28"/>
              <w:spacing w:after="0" w:line="240" w:lineRule="auto"/>
              <w:jc w:val="center"/>
              <w:rPr>
                <w:rFonts w:cs="Times New Roman"/>
                <w:noProof/>
                <w:szCs w:val="18"/>
              </w:rPr>
            </w:pPr>
            <w:r>
              <w:rPr>
                <w:noProof/>
              </w:rPr>
              <w:t>T</w:t>
            </w:r>
          </w:p>
        </w:tc>
        <w:tc>
          <w:tcPr>
            <w:tcW w:w="544" w:type="dxa"/>
            <w:shd w:val="clear" w:color="auto" w:fill="B7D4EF"/>
            <w:noWrap/>
            <w:vAlign w:val="center"/>
          </w:tcPr>
          <w:p w14:paraId="3679E9C1" w14:textId="77777777" w:rsidR="00D924EA" w:rsidRDefault="00011DE9">
            <w:pPr>
              <w:pStyle w:val="P68B1DB1-Normal28"/>
              <w:spacing w:after="0" w:line="240" w:lineRule="auto"/>
              <w:jc w:val="center"/>
              <w:rPr>
                <w:rFonts w:cs="Times New Roman"/>
                <w:noProof/>
                <w:szCs w:val="18"/>
              </w:rPr>
            </w:pPr>
            <w:r>
              <w:rPr>
                <w:noProof/>
              </w:rPr>
              <w:t>Anul</w:t>
            </w:r>
          </w:p>
        </w:tc>
        <w:tc>
          <w:tcPr>
            <w:tcW w:w="5815" w:type="dxa"/>
            <w:vMerge/>
            <w:noWrap/>
          </w:tcPr>
          <w:p w14:paraId="7E095BE3" w14:textId="77777777" w:rsidR="00D924EA" w:rsidRDefault="00D924EA">
            <w:pPr>
              <w:spacing w:after="0" w:line="240" w:lineRule="auto"/>
              <w:rPr>
                <w:rFonts w:ascii="Times New Roman" w:hAnsi="Times New Roman" w:cs="Times New Roman"/>
                <w:b/>
                <w:noProof/>
                <w:sz w:val="18"/>
                <w:szCs w:val="18"/>
              </w:rPr>
            </w:pPr>
          </w:p>
        </w:tc>
      </w:tr>
      <w:tr w:rsidR="00D924EA" w14:paraId="44AB90C5" w14:textId="77777777" w:rsidTr="0042520D">
        <w:trPr>
          <w:trHeight w:val="309"/>
          <w:jc w:val="center"/>
        </w:trPr>
        <w:tc>
          <w:tcPr>
            <w:tcW w:w="822" w:type="dxa"/>
            <w:shd w:val="clear" w:color="auto" w:fill="C6EFCE"/>
            <w:noWrap/>
          </w:tcPr>
          <w:p w14:paraId="39F28681" w14:textId="77777777" w:rsidR="00D924EA" w:rsidRDefault="00011DE9">
            <w:pPr>
              <w:pStyle w:val="P68B1DB1-Normal23"/>
              <w:spacing w:after="0" w:line="240" w:lineRule="auto"/>
              <w:jc w:val="center"/>
              <w:rPr>
                <w:rFonts w:eastAsia="MS Mincho" w:cs="Times New Roman"/>
                <w:noProof/>
                <w:szCs w:val="18"/>
              </w:rPr>
            </w:pPr>
            <w:r>
              <w:rPr>
                <w:noProof/>
              </w:rPr>
              <w:t>74</w:t>
            </w:r>
          </w:p>
        </w:tc>
        <w:tc>
          <w:tcPr>
            <w:tcW w:w="815" w:type="dxa"/>
            <w:shd w:val="clear" w:color="auto" w:fill="C6EFCE"/>
            <w:noWrap/>
          </w:tcPr>
          <w:p w14:paraId="281ED97B" w14:textId="77777777" w:rsidR="00D924EA" w:rsidRDefault="00011DE9">
            <w:pPr>
              <w:pStyle w:val="P68B1DB1-Normal23"/>
              <w:spacing w:after="0" w:line="240" w:lineRule="auto"/>
              <w:jc w:val="center"/>
              <w:rPr>
                <w:rFonts w:eastAsia="MS Mincho" w:cs="Times New Roman"/>
                <w:noProof/>
                <w:szCs w:val="18"/>
              </w:rPr>
            </w:pPr>
            <w:r>
              <w:rPr>
                <w:noProof/>
              </w:rPr>
              <w:t>C5.R1</w:t>
            </w:r>
          </w:p>
        </w:tc>
        <w:tc>
          <w:tcPr>
            <w:tcW w:w="814" w:type="dxa"/>
            <w:shd w:val="clear" w:color="auto" w:fill="C6EFCE"/>
            <w:noWrap/>
          </w:tcPr>
          <w:p w14:paraId="428A1CA0" w14:textId="77777777" w:rsidR="00D924EA" w:rsidRDefault="00011DE9">
            <w:pPr>
              <w:pStyle w:val="P68B1DB1-Normal23"/>
              <w:spacing w:after="0" w:line="240" w:lineRule="auto"/>
              <w:jc w:val="center"/>
              <w:rPr>
                <w:rFonts w:eastAsia="MS Mincho" w:cs="Times New Roman"/>
                <w:noProof/>
                <w:szCs w:val="18"/>
              </w:rPr>
            </w:pPr>
            <w:r>
              <w:rPr>
                <w:noProof/>
              </w:rPr>
              <w:t>M</w:t>
            </w:r>
          </w:p>
        </w:tc>
        <w:tc>
          <w:tcPr>
            <w:tcW w:w="1939" w:type="dxa"/>
            <w:shd w:val="clear" w:color="auto" w:fill="C6EFCE"/>
            <w:noWrap/>
          </w:tcPr>
          <w:p w14:paraId="4778F0E7" w14:textId="77777777" w:rsidR="00D924EA" w:rsidRDefault="00011DE9">
            <w:pPr>
              <w:pStyle w:val="P68B1DB1-Normal23"/>
              <w:spacing w:after="0" w:line="240" w:lineRule="auto"/>
              <w:rPr>
                <w:rFonts w:eastAsia="MS Mincho" w:cs="Times New Roman"/>
                <w:noProof/>
                <w:szCs w:val="18"/>
              </w:rPr>
            </w:pPr>
            <w:r>
              <w:rPr>
                <w:noProof/>
              </w:rPr>
              <w:t xml:space="preserve">Intrarea în vigoare a modificărilor Regulamentului privind planificarea hidrologică </w:t>
            </w:r>
          </w:p>
        </w:tc>
        <w:tc>
          <w:tcPr>
            <w:tcW w:w="1417" w:type="dxa"/>
            <w:shd w:val="clear" w:color="auto" w:fill="C6EFCE"/>
            <w:noWrap/>
          </w:tcPr>
          <w:p w14:paraId="05BEB267" w14:textId="77777777" w:rsidR="00D924EA" w:rsidRDefault="00011DE9">
            <w:pPr>
              <w:pStyle w:val="P68B1DB1-Normal23"/>
              <w:spacing w:after="0" w:line="240" w:lineRule="auto"/>
              <w:rPr>
                <w:rFonts w:eastAsia="MS Mincho" w:cs="Times New Roman"/>
                <w:noProof/>
                <w:szCs w:val="18"/>
              </w:rPr>
            </w:pPr>
            <w:r>
              <w:rPr>
                <w:noProof/>
              </w:rPr>
              <w:t>Dispoziția din Decretul regal privind intrarea în vigoare</w:t>
            </w:r>
          </w:p>
        </w:tc>
        <w:tc>
          <w:tcPr>
            <w:tcW w:w="1134" w:type="dxa"/>
            <w:shd w:val="clear" w:color="auto" w:fill="C6EFCE"/>
            <w:noWrap/>
          </w:tcPr>
          <w:p w14:paraId="7FCEBCC8"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992" w:type="dxa"/>
            <w:shd w:val="clear" w:color="auto" w:fill="C6EFCE"/>
            <w:noWrap/>
          </w:tcPr>
          <w:p w14:paraId="392D3AAB"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751" w:type="dxa"/>
            <w:shd w:val="clear" w:color="auto" w:fill="C6EFCE"/>
            <w:noWrap/>
          </w:tcPr>
          <w:p w14:paraId="17308F43" w14:textId="77777777" w:rsidR="00D924EA" w:rsidRDefault="00011DE9">
            <w:pPr>
              <w:pStyle w:val="P68B1DB1-Normal23"/>
              <w:spacing w:after="0" w:line="240" w:lineRule="auto"/>
              <w:jc w:val="right"/>
              <w:rPr>
                <w:rFonts w:eastAsia="MS Mincho" w:cs="Times New Roman"/>
                <w:noProof/>
                <w:szCs w:val="18"/>
              </w:rPr>
            </w:pPr>
            <w:r>
              <w:rPr>
                <w:noProof/>
              </w:rPr>
              <w:t xml:space="preserve"> </w:t>
            </w:r>
          </w:p>
        </w:tc>
        <w:tc>
          <w:tcPr>
            <w:tcW w:w="409" w:type="dxa"/>
            <w:shd w:val="clear" w:color="auto" w:fill="C6EFCE"/>
            <w:noWrap/>
          </w:tcPr>
          <w:p w14:paraId="3CF4A859" w14:textId="2D8AF085" w:rsidR="00D924EA" w:rsidRDefault="005701C9">
            <w:pPr>
              <w:pStyle w:val="P68B1DB1-Normal23"/>
              <w:spacing w:after="0" w:line="240" w:lineRule="auto"/>
              <w:jc w:val="center"/>
              <w:rPr>
                <w:rFonts w:eastAsia="MS Mincho" w:cs="Times New Roman"/>
                <w:noProof/>
                <w:szCs w:val="18"/>
              </w:rPr>
            </w:pPr>
            <w:r>
              <w:rPr>
                <w:noProof/>
              </w:rPr>
              <w:t>T4</w:t>
            </w:r>
          </w:p>
        </w:tc>
        <w:tc>
          <w:tcPr>
            <w:tcW w:w="544" w:type="dxa"/>
            <w:shd w:val="clear" w:color="auto" w:fill="C6EFCE"/>
            <w:noWrap/>
          </w:tcPr>
          <w:p w14:paraId="10EB4237" w14:textId="77777777" w:rsidR="00D924EA" w:rsidRDefault="00011DE9">
            <w:pPr>
              <w:pStyle w:val="P68B1DB1-Normal23"/>
              <w:spacing w:after="0" w:line="240" w:lineRule="auto"/>
              <w:jc w:val="center"/>
              <w:rPr>
                <w:rFonts w:eastAsia="MS Mincho" w:cs="Times New Roman"/>
                <w:noProof/>
                <w:szCs w:val="18"/>
              </w:rPr>
            </w:pPr>
            <w:r>
              <w:rPr>
                <w:noProof/>
              </w:rPr>
              <w:t>2021</w:t>
            </w:r>
          </w:p>
        </w:tc>
        <w:tc>
          <w:tcPr>
            <w:tcW w:w="5815" w:type="dxa"/>
            <w:shd w:val="clear" w:color="auto" w:fill="C6EFCE"/>
            <w:noWrap/>
          </w:tcPr>
          <w:p w14:paraId="2C57F054" w14:textId="77777777" w:rsidR="00D924EA" w:rsidRDefault="00011DE9">
            <w:pPr>
              <w:pStyle w:val="P68B1DB1-Normal23"/>
              <w:spacing w:after="0" w:line="240" w:lineRule="auto"/>
              <w:rPr>
                <w:rFonts w:eastAsia="MS Mincho" w:cs="Times New Roman"/>
                <w:noProof/>
                <w:szCs w:val="18"/>
              </w:rPr>
            </w:pPr>
            <w:r>
              <w:rPr>
                <w:noProof/>
              </w:rPr>
              <w:t xml:space="preserve">Decretul regal de modificare a Regulamentului privind planificarea hidrologică (Jurnalul Oficial). Modificările se referă la aspecte legate de secetă și de deficitul de apă, la cerințele de punere în aplicare a Directivei-cadru privind apa și la standardele relevante din cadrul strategiei comune de punere în aplicare a directivelor privind apa. </w:t>
            </w:r>
          </w:p>
        </w:tc>
      </w:tr>
      <w:tr w:rsidR="00D924EA" w14:paraId="497C1955" w14:textId="77777777" w:rsidTr="0042520D">
        <w:trPr>
          <w:trHeight w:val="309"/>
          <w:jc w:val="center"/>
        </w:trPr>
        <w:tc>
          <w:tcPr>
            <w:tcW w:w="822" w:type="dxa"/>
            <w:shd w:val="clear" w:color="auto" w:fill="C6EFCE"/>
            <w:noWrap/>
          </w:tcPr>
          <w:p w14:paraId="04DDAFA2" w14:textId="77777777" w:rsidR="00D924EA" w:rsidRDefault="00011DE9">
            <w:pPr>
              <w:pStyle w:val="P68B1DB1-Normal23"/>
              <w:spacing w:after="0" w:line="240" w:lineRule="auto"/>
              <w:jc w:val="center"/>
              <w:rPr>
                <w:rFonts w:cs="Times New Roman"/>
                <w:noProof/>
                <w:szCs w:val="18"/>
              </w:rPr>
            </w:pPr>
            <w:r>
              <w:rPr>
                <w:noProof/>
              </w:rPr>
              <w:t>75</w:t>
            </w:r>
          </w:p>
        </w:tc>
        <w:tc>
          <w:tcPr>
            <w:tcW w:w="815" w:type="dxa"/>
            <w:shd w:val="clear" w:color="auto" w:fill="C6EFCE"/>
            <w:noWrap/>
          </w:tcPr>
          <w:p w14:paraId="47A79A11" w14:textId="77777777" w:rsidR="00D924EA" w:rsidRDefault="00011DE9">
            <w:pPr>
              <w:pStyle w:val="P68B1DB1-Normal23"/>
              <w:spacing w:after="0" w:line="240" w:lineRule="auto"/>
              <w:jc w:val="center"/>
              <w:rPr>
                <w:rFonts w:cs="Times New Roman"/>
                <w:noProof/>
                <w:szCs w:val="18"/>
              </w:rPr>
            </w:pPr>
            <w:r>
              <w:rPr>
                <w:noProof/>
              </w:rPr>
              <w:t>C5.R1</w:t>
            </w:r>
          </w:p>
        </w:tc>
        <w:tc>
          <w:tcPr>
            <w:tcW w:w="814" w:type="dxa"/>
            <w:shd w:val="clear" w:color="auto" w:fill="C6EFCE"/>
            <w:noWrap/>
          </w:tcPr>
          <w:p w14:paraId="03CE4B35" w14:textId="77777777" w:rsidR="00D924EA" w:rsidRDefault="00011DE9">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1C27D93E" w14:textId="77777777" w:rsidR="00D924EA" w:rsidRDefault="00011DE9">
            <w:pPr>
              <w:pStyle w:val="P68B1DB1-Normal23"/>
              <w:spacing w:after="0" w:line="240" w:lineRule="auto"/>
              <w:rPr>
                <w:rFonts w:cs="Times New Roman"/>
                <w:noProof/>
                <w:szCs w:val="18"/>
              </w:rPr>
            </w:pPr>
            <w:r>
              <w:rPr>
                <w:noProof/>
              </w:rPr>
              <w:t>Intrarea în vigoare a modificării Legii apei și a noului regulament de înlocuire a Decretului regal 1620/2007</w:t>
            </w:r>
          </w:p>
        </w:tc>
        <w:tc>
          <w:tcPr>
            <w:tcW w:w="1417" w:type="dxa"/>
            <w:shd w:val="clear" w:color="auto" w:fill="C6EFCE"/>
            <w:noWrap/>
          </w:tcPr>
          <w:p w14:paraId="3FC5E0B6" w14:textId="77777777" w:rsidR="00D924EA" w:rsidRDefault="00011DE9">
            <w:pPr>
              <w:pStyle w:val="P68B1DB1-Normal23"/>
              <w:spacing w:after="0" w:line="240" w:lineRule="auto"/>
              <w:rPr>
                <w:rFonts w:cs="Times New Roman"/>
                <w:noProof/>
                <w:szCs w:val="18"/>
              </w:rPr>
            </w:pPr>
            <w:r>
              <w:rPr>
                <w:noProof/>
              </w:rPr>
              <w:t xml:space="preserve">Dispoziția din Legea apei privind intrarea în vigoare </w:t>
            </w:r>
          </w:p>
        </w:tc>
        <w:tc>
          <w:tcPr>
            <w:tcW w:w="1134" w:type="dxa"/>
            <w:shd w:val="clear" w:color="auto" w:fill="C6EFCE"/>
            <w:noWrap/>
          </w:tcPr>
          <w:p w14:paraId="254A8102" w14:textId="77777777" w:rsidR="00D924EA" w:rsidRDefault="00011DE9">
            <w:pPr>
              <w:pStyle w:val="P68B1DB1-Normal23"/>
              <w:spacing w:after="0" w:line="240" w:lineRule="auto"/>
              <w:jc w:val="right"/>
              <w:rPr>
                <w:rFonts w:cs="Times New Roman"/>
                <w:noProof/>
                <w:szCs w:val="18"/>
              </w:rPr>
            </w:pPr>
            <w:r>
              <w:rPr>
                <w:noProof/>
              </w:rPr>
              <w:t xml:space="preserve"> </w:t>
            </w:r>
          </w:p>
        </w:tc>
        <w:tc>
          <w:tcPr>
            <w:tcW w:w="992" w:type="dxa"/>
            <w:shd w:val="clear" w:color="auto" w:fill="C6EFCE"/>
            <w:noWrap/>
          </w:tcPr>
          <w:p w14:paraId="3643E9DE" w14:textId="77777777" w:rsidR="00D924EA" w:rsidRDefault="00011DE9">
            <w:pPr>
              <w:pStyle w:val="P68B1DB1-Normal23"/>
              <w:spacing w:after="0" w:line="240" w:lineRule="auto"/>
              <w:jc w:val="right"/>
              <w:rPr>
                <w:rFonts w:cs="Times New Roman"/>
                <w:noProof/>
                <w:szCs w:val="18"/>
              </w:rPr>
            </w:pPr>
            <w:r>
              <w:rPr>
                <w:noProof/>
              </w:rPr>
              <w:t xml:space="preserve"> </w:t>
            </w:r>
          </w:p>
        </w:tc>
        <w:tc>
          <w:tcPr>
            <w:tcW w:w="751" w:type="dxa"/>
            <w:shd w:val="clear" w:color="auto" w:fill="C6EFCE"/>
            <w:noWrap/>
          </w:tcPr>
          <w:p w14:paraId="666FAFB4" w14:textId="77777777" w:rsidR="00D924EA" w:rsidRDefault="00011DE9">
            <w:pPr>
              <w:pStyle w:val="P68B1DB1-Normal23"/>
              <w:spacing w:after="0" w:line="240" w:lineRule="auto"/>
              <w:jc w:val="right"/>
              <w:rPr>
                <w:rFonts w:cs="Times New Roman"/>
                <w:noProof/>
                <w:szCs w:val="18"/>
              </w:rPr>
            </w:pPr>
            <w:r>
              <w:rPr>
                <w:noProof/>
              </w:rPr>
              <w:t xml:space="preserve"> </w:t>
            </w:r>
          </w:p>
        </w:tc>
        <w:tc>
          <w:tcPr>
            <w:tcW w:w="409" w:type="dxa"/>
            <w:shd w:val="clear" w:color="auto" w:fill="C6EFCE"/>
            <w:noWrap/>
          </w:tcPr>
          <w:p w14:paraId="65B48639" w14:textId="1DC26CB1" w:rsidR="00D924EA" w:rsidRDefault="005701C9">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598E1FE2" w14:textId="77777777" w:rsidR="00D924EA" w:rsidRDefault="00011DE9">
            <w:pPr>
              <w:pStyle w:val="P68B1DB1-Normal23"/>
              <w:spacing w:after="0" w:line="240" w:lineRule="auto"/>
              <w:jc w:val="center"/>
              <w:rPr>
                <w:rFonts w:cs="Times New Roman"/>
                <w:noProof/>
                <w:szCs w:val="18"/>
              </w:rPr>
            </w:pPr>
            <w:r>
              <w:rPr>
                <w:noProof/>
              </w:rPr>
              <w:t>2023</w:t>
            </w:r>
          </w:p>
        </w:tc>
        <w:tc>
          <w:tcPr>
            <w:tcW w:w="5815" w:type="dxa"/>
            <w:shd w:val="clear" w:color="auto" w:fill="C6EFCE"/>
            <w:noWrap/>
          </w:tcPr>
          <w:p w14:paraId="3C69FF83" w14:textId="77777777" w:rsidR="00D924EA" w:rsidRDefault="00011DE9">
            <w:pPr>
              <w:pStyle w:val="P68B1DB1-Normal23"/>
              <w:spacing w:after="0" w:line="240" w:lineRule="auto"/>
              <w:rPr>
                <w:rFonts w:cs="Times New Roman"/>
                <w:noProof/>
                <w:szCs w:val="18"/>
              </w:rPr>
            </w:pPr>
            <w:r>
              <w:rPr>
                <w:noProof/>
              </w:rPr>
              <w:t xml:space="preserve">Modificarea Legii apei pentru a include o revizuire a taxelor pentru evacuările de ape uzate și a sistemului de recuperare a costurilor infrastructurii de apă în conformitate cu principiul „poluatorul plătește” și cu principiul recuperării costurilor. Noul regulament care înlocuiește Decretul regal 1620/2007 modifică cadrul de reglementare și financiar pentru reutilizarea apelor uzate în conformitate cu principiile „poluatorul plătește” și „recuperarea costurilor”, îmbunătățind monitorizarea și protecția corpurilor de apă, inclusiv a apelor subterane, și abordează aspectele legate de secetă și deficit. </w:t>
            </w:r>
          </w:p>
        </w:tc>
      </w:tr>
      <w:tr w:rsidR="00D924EA" w14:paraId="5F5E2343" w14:textId="77777777" w:rsidTr="0042520D">
        <w:trPr>
          <w:trHeight w:val="309"/>
          <w:jc w:val="center"/>
        </w:trPr>
        <w:tc>
          <w:tcPr>
            <w:tcW w:w="822" w:type="dxa"/>
            <w:shd w:val="clear" w:color="auto" w:fill="C6EFCE"/>
            <w:noWrap/>
          </w:tcPr>
          <w:p w14:paraId="38E4BC6D" w14:textId="77777777" w:rsidR="00D924EA" w:rsidRDefault="00011DE9">
            <w:pPr>
              <w:pStyle w:val="P68B1DB1-Normal23"/>
              <w:spacing w:after="0" w:line="240" w:lineRule="auto"/>
              <w:jc w:val="center"/>
              <w:rPr>
                <w:rFonts w:cs="Times New Roman"/>
                <w:noProof/>
                <w:szCs w:val="18"/>
              </w:rPr>
            </w:pPr>
            <w:r>
              <w:rPr>
                <w:noProof/>
              </w:rPr>
              <w:t>76</w:t>
            </w:r>
          </w:p>
        </w:tc>
        <w:tc>
          <w:tcPr>
            <w:tcW w:w="815" w:type="dxa"/>
            <w:shd w:val="clear" w:color="auto" w:fill="C6EFCE"/>
            <w:noWrap/>
          </w:tcPr>
          <w:p w14:paraId="3A1D86AD" w14:textId="77777777" w:rsidR="00D924EA" w:rsidRDefault="00011DE9">
            <w:pPr>
              <w:pStyle w:val="P68B1DB1-Normal23"/>
              <w:spacing w:after="0" w:line="240" w:lineRule="auto"/>
              <w:jc w:val="center"/>
              <w:rPr>
                <w:rFonts w:cs="Times New Roman"/>
                <w:noProof/>
                <w:szCs w:val="18"/>
              </w:rPr>
            </w:pPr>
            <w:r>
              <w:rPr>
                <w:noProof/>
              </w:rPr>
              <w:t>C5.I1</w:t>
            </w:r>
          </w:p>
        </w:tc>
        <w:tc>
          <w:tcPr>
            <w:tcW w:w="814" w:type="dxa"/>
            <w:shd w:val="clear" w:color="auto" w:fill="C6EFCE"/>
            <w:noWrap/>
          </w:tcPr>
          <w:p w14:paraId="19C475F7" w14:textId="77777777" w:rsidR="00D924EA" w:rsidRDefault="00011DE9">
            <w:pPr>
              <w:pStyle w:val="P68B1DB1-Normal23"/>
              <w:spacing w:after="0" w:line="240" w:lineRule="auto"/>
              <w:jc w:val="center"/>
              <w:rPr>
                <w:rFonts w:cs="Times New Roman"/>
                <w:noProof/>
                <w:szCs w:val="18"/>
              </w:rPr>
            </w:pPr>
            <w:r>
              <w:rPr>
                <w:noProof/>
              </w:rPr>
              <w:t>T</w:t>
            </w:r>
          </w:p>
        </w:tc>
        <w:tc>
          <w:tcPr>
            <w:tcW w:w="1939" w:type="dxa"/>
            <w:shd w:val="clear" w:color="auto" w:fill="C6EFCE"/>
            <w:noWrap/>
          </w:tcPr>
          <w:p w14:paraId="20EE336A" w14:textId="77777777" w:rsidR="00D924EA" w:rsidRDefault="00011DE9">
            <w:pPr>
              <w:pStyle w:val="P68B1DB1-Normal23"/>
              <w:spacing w:after="0" w:line="240" w:lineRule="auto"/>
              <w:rPr>
                <w:rFonts w:cs="Times New Roman"/>
                <w:noProof/>
                <w:szCs w:val="18"/>
              </w:rPr>
            </w:pPr>
            <w:r>
              <w:rPr>
                <w:noProof/>
              </w:rPr>
              <w:t xml:space="preserve">Infrastructuri îmbunătățite de tratare a apei și a apelor uzate </w:t>
            </w:r>
          </w:p>
        </w:tc>
        <w:tc>
          <w:tcPr>
            <w:tcW w:w="1417" w:type="dxa"/>
            <w:shd w:val="clear" w:color="auto" w:fill="C6EFCE"/>
            <w:noWrap/>
          </w:tcPr>
          <w:p w14:paraId="6D372333" w14:textId="77777777" w:rsidR="00D924EA" w:rsidRDefault="00D924EA">
            <w:pPr>
              <w:spacing w:after="0" w:line="240" w:lineRule="auto"/>
              <w:jc w:val="center"/>
              <w:rPr>
                <w:rFonts w:ascii="Times New Roman" w:hAnsi="Times New Roman" w:cs="Times New Roman"/>
                <w:noProof/>
                <w:sz w:val="18"/>
                <w:szCs w:val="18"/>
              </w:rPr>
            </w:pPr>
          </w:p>
        </w:tc>
        <w:tc>
          <w:tcPr>
            <w:tcW w:w="1134" w:type="dxa"/>
            <w:shd w:val="clear" w:color="auto" w:fill="C6EFCE"/>
            <w:noWrap/>
          </w:tcPr>
          <w:p w14:paraId="774E567B" w14:textId="77777777" w:rsidR="00D924EA" w:rsidRDefault="00011DE9">
            <w:pPr>
              <w:pStyle w:val="P68B1DB1-Normal23"/>
              <w:spacing w:after="0" w:line="240" w:lineRule="auto"/>
              <w:rPr>
                <w:rFonts w:cs="Times New Roman"/>
                <w:noProof/>
                <w:szCs w:val="18"/>
              </w:rPr>
            </w:pPr>
            <w:r>
              <w:rPr>
                <w:noProof/>
              </w:rPr>
              <w:t>Număr</w:t>
            </w:r>
          </w:p>
          <w:p w14:paraId="1358AFBC" w14:textId="77777777" w:rsidR="00D924EA" w:rsidRDefault="00011DE9">
            <w:pPr>
              <w:pStyle w:val="P68B1DB1-Normal23"/>
              <w:spacing w:after="0" w:line="240" w:lineRule="auto"/>
              <w:rPr>
                <w:rFonts w:cs="Times New Roman"/>
                <w:noProof/>
                <w:szCs w:val="18"/>
              </w:rPr>
            </w:pPr>
            <w:r>
              <w:rPr>
                <w:noProof/>
              </w:rPr>
              <w:t>(acțiuni)</w:t>
            </w:r>
          </w:p>
        </w:tc>
        <w:tc>
          <w:tcPr>
            <w:tcW w:w="992" w:type="dxa"/>
            <w:shd w:val="clear" w:color="auto" w:fill="C6EFCE"/>
            <w:noWrap/>
          </w:tcPr>
          <w:p w14:paraId="4C5A8D4C" w14:textId="77777777" w:rsidR="00D924EA" w:rsidRDefault="00011DE9">
            <w:pPr>
              <w:pStyle w:val="P68B1DB1-Normal23"/>
              <w:spacing w:after="0" w:line="240" w:lineRule="auto"/>
              <w:jc w:val="right"/>
              <w:rPr>
                <w:rFonts w:cs="Times New Roman"/>
                <w:noProof/>
                <w:szCs w:val="18"/>
              </w:rPr>
            </w:pPr>
            <w:r>
              <w:rPr>
                <w:noProof/>
              </w:rPr>
              <w:t>0</w:t>
            </w:r>
          </w:p>
        </w:tc>
        <w:tc>
          <w:tcPr>
            <w:tcW w:w="751" w:type="dxa"/>
            <w:shd w:val="clear" w:color="auto" w:fill="C6EFCE"/>
            <w:noWrap/>
          </w:tcPr>
          <w:p w14:paraId="48EB79D2" w14:textId="77777777" w:rsidR="00D924EA" w:rsidRDefault="00011DE9">
            <w:pPr>
              <w:pStyle w:val="P68B1DB1-Normal23"/>
              <w:spacing w:after="0" w:line="240" w:lineRule="auto"/>
              <w:jc w:val="right"/>
              <w:rPr>
                <w:rFonts w:cs="Times New Roman"/>
                <w:noProof/>
                <w:szCs w:val="18"/>
              </w:rPr>
            </w:pPr>
            <w:r>
              <w:rPr>
                <w:noProof/>
              </w:rPr>
              <w:t>70</w:t>
            </w:r>
          </w:p>
        </w:tc>
        <w:tc>
          <w:tcPr>
            <w:tcW w:w="409" w:type="dxa"/>
            <w:shd w:val="clear" w:color="auto" w:fill="C6EFCE"/>
            <w:noWrap/>
          </w:tcPr>
          <w:p w14:paraId="0CAD45A2" w14:textId="488D8A95" w:rsidR="00D924EA" w:rsidRDefault="005701C9">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6E55113E" w14:textId="77777777" w:rsidR="00D924EA" w:rsidRDefault="00011DE9">
            <w:pPr>
              <w:pStyle w:val="P68B1DB1-Normal23"/>
              <w:spacing w:after="0" w:line="240" w:lineRule="auto"/>
              <w:jc w:val="center"/>
              <w:rPr>
                <w:rFonts w:cs="Times New Roman"/>
                <w:noProof/>
                <w:szCs w:val="18"/>
              </w:rPr>
            </w:pPr>
            <w:r>
              <w:rPr>
                <w:noProof/>
              </w:rPr>
              <w:t>2023</w:t>
            </w:r>
          </w:p>
        </w:tc>
        <w:tc>
          <w:tcPr>
            <w:tcW w:w="5815" w:type="dxa"/>
            <w:shd w:val="clear" w:color="auto" w:fill="C6EFCE"/>
            <w:noWrap/>
          </w:tcPr>
          <w:p w14:paraId="50837CF8" w14:textId="77777777" w:rsidR="00D924EA" w:rsidRDefault="00011DE9">
            <w:pPr>
              <w:pStyle w:val="P68B1DB1-Normal23"/>
              <w:spacing w:after="0" w:line="240" w:lineRule="auto"/>
              <w:rPr>
                <w:rFonts w:cs="Times New Roman"/>
                <w:noProof/>
                <w:szCs w:val="18"/>
              </w:rPr>
            </w:pPr>
            <w:r>
              <w:rPr>
                <w:noProof/>
              </w:rPr>
              <w:t>70 de acțiuni finalizate pentru îmbunătățirea și/sau construirea de infrastructuri de apă și de epurare a apelor uzate, cu scopul de a asigura conformitatea cu Directiva 91/271/CEE (pentru proiectele de infrastructură pentru apele uzate) sau de a îmbunătăți eficiența și/sau de a reduce pierderile de apă în sistemele de distribuție a apei (pentru proiectele de infrastructură pentru apă).</w:t>
            </w:r>
          </w:p>
        </w:tc>
      </w:tr>
      <w:tr w:rsidR="00D924EA" w14:paraId="23E4D557" w14:textId="77777777" w:rsidTr="0042520D">
        <w:trPr>
          <w:trHeight w:val="309"/>
          <w:jc w:val="center"/>
        </w:trPr>
        <w:tc>
          <w:tcPr>
            <w:tcW w:w="822" w:type="dxa"/>
            <w:shd w:val="clear" w:color="auto" w:fill="C6EFCE"/>
            <w:noWrap/>
          </w:tcPr>
          <w:p w14:paraId="397BB421" w14:textId="77777777" w:rsidR="00D924EA" w:rsidRDefault="00011DE9">
            <w:pPr>
              <w:pStyle w:val="P68B1DB1-Normal23"/>
              <w:spacing w:after="0" w:line="240" w:lineRule="auto"/>
              <w:jc w:val="center"/>
              <w:rPr>
                <w:rFonts w:cs="Times New Roman"/>
                <w:noProof/>
                <w:szCs w:val="18"/>
              </w:rPr>
            </w:pPr>
            <w:r>
              <w:rPr>
                <w:noProof/>
              </w:rPr>
              <w:t>427</w:t>
            </w:r>
          </w:p>
        </w:tc>
        <w:tc>
          <w:tcPr>
            <w:tcW w:w="815" w:type="dxa"/>
            <w:shd w:val="clear" w:color="auto" w:fill="C6EFCE"/>
            <w:noWrap/>
          </w:tcPr>
          <w:p w14:paraId="59BA3A51" w14:textId="77777777" w:rsidR="00D924EA" w:rsidRDefault="00011DE9">
            <w:pPr>
              <w:pStyle w:val="P68B1DB1-Normal23"/>
              <w:spacing w:after="0" w:line="240" w:lineRule="auto"/>
              <w:jc w:val="center"/>
              <w:rPr>
                <w:rFonts w:cs="Times New Roman"/>
                <w:noProof/>
                <w:szCs w:val="18"/>
              </w:rPr>
            </w:pPr>
            <w:r>
              <w:rPr>
                <w:noProof/>
              </w:rPr>
              <w:t>C5.I1</w:t>
            </w:r>
          </w:p>
        </w:tc>
        <w:tc>
          <w:tcPr>
            <w:tcW w:w="814" w:type="dxa"/>
            <w:shd w:val="clear" w:color="auto" w:fill="C6EFCE"/>
            <w:noWrap/>
          </w:tcPr>
          <w:p w14:paraId="585C1795" w14:textId="076A3417" w:rsidR="00D924EA" w:rsidRDefault="00011DE9">
            <w:pPr>
              <w:pStyle w:val="P68B1DB1-Normal24"/>
              <w:spacing w:after="0" w:line="240" w:lineRule="auto"/>
              <w:jc w:val="center"/>
              <w:rPr>
                <w:rFonts w:cs="Times New Roman"/>
                <w:noProof/>
              </w:rPr>
            </w:pPr>
            <w:r>
              <w:rPr>
                <w:noProof/>
              </w:rPr>
              <w:t>T</w:t>
            </w:r>
          </w:p>
        </w:tc>
        <w:tc>
          <w:tcPr>
            <w:tcW w:w="1939" w:type="dxa"/>
            <w:shd w:val="clear" w:color="auto" w:fill="C6EFCE"/>
            <w:noWrap/>
          </w:tcPr>
          <w:p w14:paraId="60018705" w14:textId="62F2ABC7" w:rsidR="00D924EA" w:rsidRDefault="00011DE9">
            <w:pPr>
              <w:pStyle w:val="P68B1DB1-Normal23"/>
              <w:spacing w:after="0" w:line="240" w:lineRule="auto"/>
              <w:rPr>
                <w:rFonts w:cs="Times New Roman"/>
                <w:noProof/>
                <w:szCs w:val="18"/>
              </w:rPr>
            </w:pPr>
            <w:r>
              <w:rPr>
                <w:noProof/>
              </w:rPr>
              <w:t>Construirea sau renovarea infrastructurilor de tratare a apei și a apelor uzate</w:t>
            </w:r>
          </w:p>
        </w:tc>
        <w:tc>
          <w:tcPr>
            <w:tcW w:w="1417" w:type="dxa"/>
            <w:shd w:val="clear" w:color="auto" w:fill="C6EFCE"/>
            <w:noWrap/>
          </w:tcPr>
          <w:p w14:paraId="35A5A721" w14:textId="5E89B451" w:rsidR="00D924EA" w:rsidRDefault="00D924EA">
            <w:pPr>
              <w:spacing w:after="0" w:line="240" w:lineRule="auto"/>
              <w:rPr>
                <w:rFonts w:ascii="Times New Roman" w:hAnsi="Times New Roman" w:cs="Times New Roman"/>
                <w:noProof/>
                <w:sz w:val="18"/>
                <w:szCs w:val="18"/>
              </w:rPr>
            </w:pPr>
          </w:p>
        </w:tc>
        <w:tc>
          <w:tcPr>
            <w:tcW w:w="1134" w:type="dxa"/>
            <w:shd w:val="clear" w:color="auto" w:fill="C6EFCE"/>
            <w:noWrap/>
          </w:tcPr>
          <w:p w14:paraId="1A9B31A2" w14:textId="77777777" w:rsidR="00D924EA" w:rsidRDefault="00011DE9">
            <w:pPr>
              <w:pStyle w:val="P68B1DB1-Normal23"/>
              <w:spacing w:after="0" w:line="240" w:lineRule="auto"/>
              <w:rPr>
                <w:rFonts w:cs="Times New Roman"/>
                <w:noProof/>
                <w:szCs w:val="18"/>
              </w:rPr>
            </w:pPr>
            <w:r>
              <w:rPr>
                <w:noProof/>
              </w:rPr>
              <w:t>Număr</w:t>
            </w:r>
          </w:p>
          <w:p w14:paraId="2F096E70" w14:textId="534E1C18" w:rsidR="00D924EA" w:rsidRDefault="00011DE9">
            <w:pPr>
              <w:pStyle w:val="P68B1DB1-Normal24"/>
              <w:spacing w:after="0" w:line="240" w:lineRule="auto"/>
              <w:rPr>
                <w:rFonts w:cs="Times New Roman"/>
                <w:noProof/>
              </w:rPr>
            </w:pPr>
            <w:r>
              <w:rPr>
                <w:noProof/>
              </w:rPr>
              <w:t>(infrastructuri de tratare a apei și a apelor reziduale)</w:t>
            </w:r>
          </w:p>
        </w:tc>
        <w:tc>
          <w:tcPr>
            <w:tcW w:w="992" w:type="dxa"/>
            <w:shd w:val="clear" w:color="auto" w:fill="C6EFCE"/>
            <w:noWrap/>
          </w:tcPr>
          <w:p w14:paraId="17DE832D" w14:textId="7C89D4CB" w:rsidR="00D924EA" w:rsidRDefault="00011DE9">
            <w:pPr>
              <w:pStyle w:val="P68B1DB1-Normal43"/>
              <w:spacing w:after="0" w:line="240" w:lineRule="auto"/>
              <w:jc w:val="right"/>
              <w:rPr>
                <w:noProof/>
              </w:rPr>
            </w:pPr>
            <w:r>
              <w:rPr>
                <w:noProof/>
              </w:rPr>
              <w:t>70</w:t>
            </w:r>
          </w:p>
        </w:tc>
        <w:tc>
          <w:tcPr>
            <w:tcW w:w="751" w:type="dxa"/>
            <w:shd w:val="clear" w:color="auto" w:fill="C6EFCE"/>
            <w:noWrap/>
          </w:tcPr>
          <w:p w14:paraId="158B1709" w14:textId="449075AB" w:rsidR="00D924EA" w:rsidRDefault="00011DE9">
            <w:pPr>
              <w:pStyle w:val="P68B1DB1-Normal43"/>
              <w:spacing w:after="0" w:line="240" w:lineRule="auto"/>
              <w:jc w:val="right"/>
              <w:rPr>
                <w:noProof/>
              </w:rPr>
            </w:pPr>
            <w:r>
              <w:rPr>
                <w:noProof/>
              </w:rPr>
              <w:t>208</w:t>
            </w:r>
          </w:p>
        </w:tc>
        <w:tc>
          <w:tcPr>
            <w:tcW w:w="409" w:type="dxa"/>
            <w:shd w:val="clear" w:color="auto" w:fill="C6EFCE"/>
            <w:noWrap/>
          </w:tcPr>
          <w:p w14:paraId="13FF6474" w14:textId="1C17E9DB" w:rsidR="00D924EA" w:rsidRDefault="005701C9">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47BD61C0" w14:textId="77777777" w:rsidR="00D924EA" w:rsidRDefault="00011DE9">
            <w:pPr>
              <w:pStyle w:val="P68B1DB1-Normal23"/>
              <w:spacing w:after="0" w:line="240" w:lineRule="auto"/>
              <w:jc w:val="center"/>
              <w:rPr>
                <w:rFonts w:cs="Times New Roman"/>
                <w:noProof/>
                <w:szCs w:val="18"/>
              </w:rPr>
            </w:pPr>
            <w:r>
              <w:rPr>
                <w:noProof/>
              </w:rPr>
              <w:t>2026</w:t>
            </w:r>
          </w:p>
        </w:tc>
        <w:tc>
          <w:tcPr>
            <w:tcW w:w="5815" w:type="dxa"/>
            <w:shd w:val="clear" w:color="auto" w:fill="C6EFCE"/>
            <w:noWrap/>
          </w:tcPr>
          <w:p w14:paraId="475BD1A6" w14:textId="77777777" w:rsidR="00D924EA" w:rsidRDefault="00011DE9">
            <w:pPr>
              <w:pStyle w:val="P68B1DB1-Normal41"/>
              <w:spacing w:after="0" w:line="240" w:lineRule="auto"/>
              <w:textAlignment w:val="baseline"/>
              <w:rPr>
                <w:noProof/>
              </w:rPr>
            </w:pPr>
            <w:r>
              <w:rPr>
                <w:noProof/>
              </w:rPr>
              <w:t xml:space="preserve">Pentru 208 infrastructuri de tratare a apei și a apelor uzate: </w:t>
            </w:r>
          </w:p>
          <w:p w14:paraId="2886B169" w14:textId="77777777" w:rsidR="00D924EA" w:rsidRDefault="00011DE9">
            <w:pPr>
              <w:pStyle w:val="P68B1DB1-Normal41"/>
              <w:numPr>
                <w:ilvl w:val="0"/>
                <w:numId w:val="49"/>
              </w:numPr>
              <w:spacing w:after="0" w:line="240" w:lineRule="auto"/>
              <w:textAlignment w:val="baseline"/>
              <w:rPr>
                <w:b/>
                <w:bCs/>
                <w:noProof/>
              </w:rPr>
            </w:pPr>
            <w:r>
              <w:rPr>
                <w:noProof/>
              </w:rPr>
              <w:t>confirmarea de către administrație a executării contractelor legate de renovarea sau construirea lor; sau</w:t>
            </w:r>
          </w:p>
          <w:p w14:paraId="733058DA" w14:textId="2694F52B" w:rsidR="00D924EA" w:rsidRDefault="00011DE9">
            <w:pPr>
              <w:pStyle w:val="P68B1DB1-Normal41"/>
              <w:numPr>
                <w:ilvl w:val="0"/>
                <w:numId w:val="49"/>
              </w:numPr>
              <w:spacing w:after="0" w:line="240" w:lineRule="auto"/>
              <w:textAlignment w:val="baseline"/>
              <w:rPr>
                <w:b/>
                <w:bCs/>
                <w:noProof/>
              </w:rPr>
            </w:pPr>
            <w:r>
              <w:rPr>
                <w:noProof/>
              </w:rPr>
              <w:t xml:space="preserve">confirmarea de către administrație a faptului că faza de testare după renovarea sau construcția lor a început. </w:t>
            </w:r>
          </w:p>
          <w:p w14:paraId="5250D665" w14:textId="7D6A7020" w:rsidR="00D924EA" w:rsidRDefault="00011DE9">
            <w:pPr>
              <w:pStyle w:val="P68B1DB1-Normal41"/>
              <w:numPr>
                <w:ilvl w:val="0"/>
                <w:numId w:val="49"/>
              </w:numPr>
              <w:spacing w:after="0" w:line="240" w:lineRule="auto"/>
              <w:textAlignment w:val="baseline"/>
              <w:rPr>
                <w:b/>
                <w:bCs/>
                <w:noProof/>
              </w:rPr>
            </w:pPr>
            <w:r>
              <w:rPr>
                <w:noProof/>
              </w:rPr>
              <w:t>sau</w:t>
            </w:r>
            <w:r>
              <w:rPr>
                <w:b/>
                <w:noProof/>
              </w:rPr>
              <w:t xml:space="preserve"> </w:t>
            </w:r>
            <w:r>
              <w:rPr>
                <w:noProof/>
              </w:rPr>
              <w:t>prezentarea de rapoarte finale de către entitățile sau persoanele beneficiare, care să confirme finalizarea activităților atribuite pentru granturile legate de renovarea sau construirea acestora.</w:t>
            </w:r>
          </w:p>
          <w:p w14:paraId="023DC4F3" w14:textId="77777777" w:rsidR="00D924EA" w:rsidRDefault="00D924EA">
            <w:pPr>
              <w:spacing w:after="0" w:line="240" w:lineRule="auto"/>
              <w:rPr>
                <w:rFonts w:ascii="Times New Roman" w:hAnsi="Times New Roman"/>
                <w:noProof/>
                <w:sz w:val="18"/>
              </w:rPr>
            </w:pPr>
          </w:p>
          <w:p w14:paraId="3C8DB851" w14:textId="5F57B806" w:rsidR="00D924EA" w:rsidRDefault="00011DE9">
            <w:pPr>
              <w:pStyle w:val="P68B1DB1-ListParagraph44"/>
              <w:spacing w:after="0" w:line="240" w:lineRule="auto"/>
              <w:rPr>
                <w:rFonts w:cs="Times New Roman"/>
                <w:noProof/>
                <w:szCs w:val="18"/>
              </w:rPr>
            </w:pPr>
            <w:r>
              <w:rPr>
                <w:noProof/>
              </w:rPr>
              <w:t xml:space="preserve"> </w:t>
            </w:r>
          </w:p>
        </w:tc>
      </w:tr>
      <w:tr w:rsidR="00D924EA" w14:paraId="17F594AA" w14:textId="77777777" w:rsidTr="0042520D">
        <w:trPr>
          <w:trHeight w:val="309"/>
          <w:jc w:val="center"/>
        </w:trPr>
        <w:tc>
          <w:tcPr>
            <w:tcW w:w="822" w:type="dxa"/>
            <w:shd w:val="clear" w:color="auto" w:fill="C6EFCE"/>
            <w:noWrap/>
          </w:tcPr>
          <w:p w14:paraId="1CD94340" w14:textId="77777777" w:rsidR="00D924EA" w:rsidRDefault="00011DE9">
            <w:pPr>
              <w:pStyle w:val="P68B1DB1-Normal23"/>
              <w:spacing w:after="0" w:line="240" w:lineRule="auto"/>
              <w:jc w:val="center"/>
              <w:rPr>
                <w:rFonts w:cs="Times New Roman"/>
                <w:noProof/>
                <w:szCs w:val="18"/>
              </w:rPr>
            </w:pPr>
            <w:r>
              <w:rPr>
                <w:noProof/>
              </w:rPr>
              <w:t>428</w:t>
            </w:r>
          </w:p>
        </w:tc>
        <w:tc>
          <w:tcPr>
            <w:tcW w:w="815" w:type="dxa"/>
            <w:shd w:val="clear" w:color="auto" w:fill="C6EFCE"/>
            <w:noWrap/>
          </w:tcPr>
          <w:p w14:paraId="55F59D27" w14:textId="77777777" w:rsidR="00D924EA" w:rsidRDefault="00011DE9">
            <w:pPr>
              <w:pStyle w:val="P68B1DB1-Normal23"/>
              <w:spacing w:after="0" w:line="240" w:lineRule="auto"/>
              <w:jc w:val="center"/>
              <w:rPr>
                <w:rFonts w:cs="Times New Roman"/>
                <w:noProof/>
                <w:szCs w:val="18"/>
              </w:rPr>
            </w:pPr>
            <w:r>
              <w:rPr>
                <w:noProof/>
              </w:rPr>
              <w:t>C5.I1</w:t>
            </w:r>
          </w:p>
        </w:tc>
        <w:tc>
          <w:tcPr>
            <w:tcW w:w="814" w:type="dxa"/>
            <w:shd w:val="clear" w:color="auto" w:fill="C6EFCE"/>
            <w:noWrap/>
          </w:tcPr>
          <w:p w14:paraId="4A9AD621" w14:textId="433B9C97" w:rsidR="00D924EA" w:rsidRDefault="00011DE9">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31159E95" w14:textId="60F32199" w:rsidR="00D924EA" w:rsidRDefault="00011DE9">
            <w:pPr>
              <w:pStyle w:val="P68B1DB1-Normal41"/>
              <w:spacing w:after="0" w:line="240" w:lineRule="auto"/>
              <w:rPr>
                <w:noProof/>
              </w:rPr>
            </w:pPr>
            <w:r>
              <w:rPr>
                <w:noProof/>
              </w:rPr>
              <w:t>Siguranța barajelor și a rezervoarelor</w:t>
            </w:r>
          </w:p>
        </w:tc>
        <w:tc>
          <w:tcPr>
            <w:tcW w:w="1417" w:type="dxa"/>
            <w:shd w:val="clear" w:color="auto" w:fill="C6EFCE"/>
            <w:noWrap/>
          </w:tcPr>
          <w:p w14:paraId="257197DE" w14:textId="7FA3F58B" w:rsidR="00D924EA" w:rsidRDefault="00011DE9">
            <w:pPr>
              <w:pStyle w:val="P68B1DB1-Normal41"/>
              <w:spacing w:after="0" w:line="240" w:lineRule="auto"/>
              <w:rPr>
                <w:noProof/>
              </w:rPr>
            </w:pPr>
            <w:r>
              <w:rPr>
                <w:noProof/>
              </w:rPr>
              <w:t>Certificate de acceptare sau un document echivalent care să ateste executarea contractelor</w:t>
            </w:r>
            <w:r w:rsidR="00971820">
              <w:rPr>
                <w:noProof/>
              </w:rPr>
              <w:t xml:space="preserve"> </w:t>
            </w:r>
          </w:p>
        </w:tc>
        <w:tc>
          <w:tcPr>
            <w:tcW w:w="1134" w:type="dxa"/>
            <w:shd w:val="clear" w:color="auto" w:fill="C6EFCE"/>
            <w:noWrap/>
          </w:tcPr>
          <w:p w14:paraId="11DBDC0B" w14:textId="6A5CD521" w:rsidR="00D924EA" w:rsidRDefault="00D924EA">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3A9554E8" w14:textId="06693812" w:rsidR="00D924EA" w:rsidRDefault="00D924EA">
            <w:pPr>
              <w:spacing w:after="0" w:line="240" w:lineRule="auto"/>
              <w:jc w:val="right"/>
              <w:rPr>
                <w:rFonts w:ascii="Times New Roman" w:hAnsi="Times New Roman" w:cs="Times New Roman"/>
                <w:noProof/>
                <w:sz w:val="18"/>
                <w:szCs w:val="18"/>
              </w:rPr>
            </w:pPr>
          </w:p>
        </w:tc>
        <w:tc>
          <w:tcPr>
            <w:tcW w:w="751" w:type="dxa"/>
            <w:shd w:val="clear" w:color="auto" w:fill="C6EFCE"/>
            <w:noWrap/>
          </w:tcPr>
          <w:p w14:paraId="0DE729FE" w14:textId="0D98BF4B" w:rsidR="00D924EA" w:rsidRDefault="00D924EA">
            <w:pPr>
              <w:spacing w:after="0" w:line="240" w:lineRule="auto"/>
              <w:jc w:val="right"/>
              <w:rPr>
                <w:rFonts w:ascii="Times New Roman" w:hAnsi="Times New Roman" w:cs="Times New Roman"/>
                <w:noProof/>
                <w:sz w:val="18"/>
                <w:szCs w:val="18"/>
              </w:rPr>
            </w:pPr>
          </w:p>
        </w:tc>
        <w:tc>
          <w:tcPr>
            <w:tcW w:w="409" w:type="dxa"/>
            <w:shd w:val="clear" w:color="auto" w:fill="C6EFCE"/>
            <w:noWrap/>
          </w:tcPr>
          <w:p w14:paraId="7842A35A" w14:textId="48967326" w:rsidR="00D924EA" w:rsidRDefault="005701C9">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2F81A8BC" w14:textId="77777777" w:rsidR="00D924EA" w:rsidRDefault="00011DE9">
            <w:pPr>
              <w:pStyle w:val="P68B1DB1-Normal23"/>
              <w:spacing w:after="0" w:line="240" w:lineRule="auto"/>
              <w:jc w:val="center"/>
              <w:rPr>
                <w:rFonts w:cs="Times New Roman"/>
                <w:noProof/>
                <w:szCs w:val="18"/>
              </w:rPr>
            </w:pPr>
            <w:r>
              <w:rPr>
                <w:noProof/>
              </w:rPr>
              <w:t>2026</w:t>
            </w:r>
          </w:p>
        </w:tc>
        <w:tc>
          <w:tcPr>
            <w:tcW w:w="5815" w:type="dxa"/>
            <w:shd w:val="clear" w:color="auto" w:fill="C6EFCE"/>
            <w:noWrap/>
          </w:tcPr>
          <w:p w14:paraId="2D9EDC72" w14:textId="37EF4EED" w:rsidR="00D924EA" w:rsidRDefault="00011DE9">
            <w:pPr>
              <w:pStyle w:val="P68B1DB1-Normal41"/>
              <w:spacing w:after="0" w:line="240" w:lineRule="auto"/>
              <w:rPr>
                <w:noProof/>
              </w:rPr>
            </w:pPr>
            <w:r>
              <w:rPr>
                <w:noProof/>
              </w:rPr>
              <w:t>Confirmarea de către administrație a executării contractelor referitoare la siguranța a 8 de baraje și rezervoare.</w:t>
            </w:r>
          </w:p>
          <w:p w14:paraId="1C3303A6" w14:textId="7263ECB1" w:rsidR="00D924EA" w:rsidRDefault="00D924EA">
            <w:pPr>
              <w:spacing w:after="0" w:line="240" w:lineRule="auto"/>
              <w:rPr>
                <w:rFonts w:ascii="Times New Roman" w:hAnsi="Times New Roman"/>
                <w:noProof/>
                <w:sz w:val="18"/>
                <w:szCs w:val="18"/>
              </w:rPr>
            </w:pPr>
          </w:p>
          <w:p w14:paraId="6C1FB87D" w14:textId="77777777" w:rsidR="00D924EA" w:rsidRDefault="00011DE9">
            <w:pPr>
              <w:pStyle w:val="P68B1DB1-Normal41"/>
              <w:spacing w:after="0" w:line="240" w:lineRule="auto"/>
              <w:rPr>
                <w:noProof/>
              </w:rPr>
            </w:pPr>
            <w:r>
              <w:rPr>
                <w:noProof/>
              </w:rPr>
              <w:t>Se exclud investițiile în construirea de noi baraje sau în extinderea barajelor existente.</w:t>
            </w:r>
          </w:p>
        </w:tc>
      </w:tr>
      <w:tr w:rsidR="00D924EA" w14:paraId="086FE509" w14:textId="77777777" w:rsidTr="0042520D">
        <w:trPr>
          <w:trHeight w:val="309"/>
          <w:jc w:val="center"/>
        </w:trPr>
        <w:tc>
          <w:tcPr>
            <w:tcW w:w="822" w:type="dxa"/>
            <w:shd w:val="clear" w:color="auto" w:fill="C6EFCE"/>
            <w:noWrap/>
          </w:tcPr>
          <w:p w14:paraId="4354FDF9" w14:textId="77777777" w:rsidR="00D924EA" w:rsidRDefault="00011DE9">
            <w:pPr>
              <w:pStyle w:val="P68B1DB1-Normal23"/>
              <w:spacing w:after="0" w:line="240" w:lineRule="auto"/>
              <w:jc w:val="center"/>
              <w:rPr>
                <w:rFonts w:cs="Times New Roman"/>
                <w:noProof/>
                <w:szCs w:val="18"/>
              </w:rPr>
            </w:pPr>
            <w:r>
              <w:rPr>
                <w:noProof/>
              </w:rPr>
              <w:t>77</w:t>
            </w:r>
          </w:p>
        </w:tc>
        <w:tc>
          <w:tcPr>
            <w:tcW w:w="815" w:type="dxa"/>
            <w:shd w:val="clear" w:color="auto" w:fill="C6EFCE"/>
            <w:noWrap/>
          </w:tcPr>
          <w:p w14:paraId="2EA0067C" w14:textId="77777777" w:rsidR="00D924EA" w:rsidRDefault="00011DE9">
            <w:pPr>
              <w:pStyle w:val="P68B1DB1-Normal23"/>
              <w:spacing w:after="0" w:line="240" w:lineRule="auto"/>
              <w:jc w:val="center"/>
              <w:rPr>
                <w:rFonts w:cs="Times New Roman"/>
                <w:noProof/>
                <w:szCs w:val="18"/>
              </w:rPr>
            </w:pPr>
            <w:r>
              <w:rPr>
                <w:noProof/>
              </w:rPr>
              <w:t>C5.I2</w:t>
            </w:r>
          </w:p>
        </w:tc>
        <w:tc>
          <w:tcPr>
            <w:tcW w:w="814" w:type="dxa"/>
            <w:shd w:val="clear" w:color="auto" w:fill="C6EFCE"/>
            <w:noWrap/>
          </w:tcPr>
          <w:p w14:paraId="4C259265" w14:textId="77777777" w:rsidR="00D924EA" w:rsidRDefault="00011DE9">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586E143E" w14:textId="77777777" w:rsidR="00D924EA" w:rsidRDefault="00011DE9">
            <w:pPr>
              <w:pStyle w:val="P68B1DB1-Normal23"/>
              <w:spacing w:after="0" w:line="240" w:lineRule="auto"/>
              <w:rPr>
                <w:rFonts w:cs="Times New Roman"/>
                <w:noProof/>
                <w:szCs w:val="18"/>
              </w:rPr>
            </w:pPr>
            <w:r>
              <w:rPr>
                <w:noProof/>
              </w:rPr>
              <w:t>Refacerea protecției malurilor râurilor împotriva riscurilor de inundații</w:t>
            </w:r>
          </w:p>
        </w:tc>
        <w:tc>
          <w:tcPr>
            <w:tcW w:w="1417" w:type="dxa"/>
            <w:shd w:val="clear" w:color="auto" w:fill="C6EFCE"/>
            <w:noWrap/>
          </w:tcPr>
          <w:p w14:paraId="120B696A" w14:textId="77777777" w:rsidR="00D924EA" w:rsidRDefault="00011DE9">
            <w:pPr>
              <w:pStyle w:val="P68B1DB1-Normal23"/>
              <w:spacing w:after="0" w:line="240" w:lineRule="auto"/>
              <w:rPr>
                <w:rFonts w:cs="Times New Roman"/>
                <w:noProof/>
                <w:szCs w:val="18"/>
              </w:rPr>
            </w:pPr>
            <w:r>
              <w:rPr>
                <w:noProof/>
              </w:rPr>
              <w:t>Certificate semnate de MITERD</w:t>
            </w:r>
          </w:p>
        </w:tc>
        <w:tc>
          <w:tcPr>
            <w:tcW w:w="1134" w:type="dxa"/>
            <w:shd w:val="clear" w:color="auto" w:fill="C6EFCE"/>
            <w:noWrap/>
          </w:tcPr>
          <w:p w14:paraId="5AD7C7A5" w14:textId="77777777" w:rsidR="00D924EA" w:rsidRDefault="00011DE9">
            <w:pPr>
              <w:pStyle w:val="P68B1DB1-Normal23"/>
              <w:spacing w:after="0" w:line="240" w:lineRule="auto"/>
              <w:jc w:val="right"/>
              <w:rPr>
                <w:rFonts w:cs="Times New Roman"/>
                <w:noProof/>
                <w:szCs w:val="18"/>
              </w:rPr>
            </w:pPr>
            <w:r>
              <w:rPr>
                <w:noProof/>
              </w:rPr>
              <w:t xml:space="preserve"> </w:t>
            </w:r>
          </w:p>
        </w:tc>
        <w:tc>
          <w:tcPr>
            <w:tcW w:w="992" w:type="dxa"/>
            <w:shd w:val="clear" w:color="auto" w:fill="C6EFCE"/>
            <w:noWrap/>
          </w:tcPr>
          <w:p w14:paraId="2312F15D" w14:textId="77777777" w:rsidR="00D924EA" w:rsidRDefault="00011DE9">
            <w:pPr>
              <w:pStyle w:val="P68B1DB1-Normal23"/>
              <w:spacing w:after="0" w:line="240" w:lineRule="auto"/>
              <w:jc w:val="right"/>
              <w:rPr>
                <w:rFonts w:cs="Times New Roman"/>
                <w:noProof/>
                <w:szCs w:val="18"/>
              </w:rPr>
            </w:pPr>
            <w:r>
              <w:rPr>
                <w:noProof/>
              </w:rPr>
              <w:t xml:space="preserve"> </w:t>
            </w:r>
          </w:p>
        </w:tc>
        <w:tc>
          <w:tcPr>
            <w:tcW w:w="751" w:type="dxa"/>
            <w:shd w:val="clear" w:color="auto" w:fill="C6EFCE"/>
            <w:noWrap/>
          </w:tcPr>
          <w:p w14:paraId="28C25042" w14:textId="77777777" w:rsidR="00D924EA" w:rsidRDefault="00011DE9">
            <w:pPr>
              <w:pStyle w:val="P68B1DB1-Normal23"/>
              <w:spacing w:after="0" w:line="240" w:lineRule="auto"/>
              <w:jc w:val="right"/>
              <w:rPr>
                <w:rFonts w:cs="Times New Roman"/>
                <w:noProof/>
                <w:szCs w:val="18"/>
              </w:rPr>
            </w:pPr>
            <w:r>
              <w:rPr>
                <w:noProof/>
              </w:rPr>
              <w:t xml:space="preserve"> </w:t>
            </w:r>
          </w:p>
        </w:tc>
        <w:tc>
          <w:tcPr>
            <w:tcW w:w="409" w:type="dxa"/>
            <w:shd w:val="clear" w:color="auto" w:fill="C6EFCE"/>
            <w:noWrap/>
          </w:tcPr>
          <w:p w14:paraId="418DB4CA" w14:textId="3998A0B4" w:rsidR="00D924EA" w:rsidRDefault="005701C9">
            <w:pPr>
              <w:pStyle w:val="P68B1DB1-Normal23"/>
              <w:spacing w:after="0" w:line="240" w:lineRule="auto"/>
              <w:jc w:val="center"/>
              <w:rPr>
                <w:rFonts w:cs="Times New Roman"/>
                <w:noProof/>
                <w:szCs w:val="18"/>
              </w:rPr>
            </w:pPr>
            <w:r>
              <w:rPr>
                <w:noProof/>
              </w:rPr>
              <w:t>T4</w:t>
            </w:r>
          </w:p>
        </w:tc>
        <w:tc>
          <w:tcPr>
            <w:tcW w:w="544" w:type="dxa"/>
            <w:shd w:val="clear" w:color="auto" w:fill="C6EFCE"/>
            <w:noWrap/>
          </w:tcPr>
          <w:p w14:paraId="745D87CA" w14:textId="77777777" w:rsidR="00D924EA" w:rsidRDefault="00011DE9">
            <w:pPr>
              <w:pStyle w:val="P68B1DB1-Normal23"/>
              <w:spacing w:after="0" w:line="240" w:lineRule="auto"/>
              <w:jc w:val="center"/>
              <w:rPr>
                <w:rFonts w:cs="Times New Roman"/>
                <w:noProof/>
                <w:szCs w:val="18"/>
              </w:rPr>
            </w:pPr>
            <w:r>
              <w:rPr>
                <w:noProof/>
              </w:rPr>
              <w:t>2022</w:t>
            </w:r>
          </w:p>
        </w:tc>
        <w:tc>
          <w:tcPr>
            <w:tcW w:w="5815" w:type="dxa"/>
            <w:shd w:val="clear" w:color="auto" w:fill="C6EFCE"/>
            <w:noWrap/>
          </w:tcPr>
          <w:p w14:paraId="432F4B7D" w14:textId="77777777" w:rsidR="00D924EA" w:rsidRDefault="00011DE9">
            <w:pPr>
              <w:pStyle w:val="P68B1DB1-Normal29"/>
              <w:spacing w:after="0" w:line="240" w:lineRule="auto"/>
              <w:rPr>
                <w:rFonts w:cs="Times New Roman"/>
                <w:noProof/>
                <w:sz w:val="18"/>
                <w:szCs w:val="18"/>
              </w:rPr>
            </w:pPr>
            <w:r>
              <w:rPr>
                <w:noProof/>
                <w:sz w:val="18"/>
              </w:rPr>
              <w:t>Refacerea a cel puțin 200 km de maluri ale râurilor și protejarea a cel puțin 40</w:t>
            </w:r>
            <w:r>
              <w:rPr>
                <w:noProof/>
                <w:sz w:val="20"/>
              </w:rPr>
              <w:t xml:space="preserve"> </w:t>
            </w:r>
            <w:r>
              <w:rPr>
                <w:noProof/>
                <w:sz w:val="18"/>
              </w:rPr>
              <w:t>000 de locuitori împotriva riscurilor de inundații.</w:t>
            </w:r>
          </w:p>
        </w:tc>
      </w:tr>
      <w:tr w:rsidR="00D924EA" w14:paraId="54534EFE" w14:textId="77777777" w:rsidTr="0042520D">
        <w:trPr>
          <w:trHeight w:val="309"/>
          <w:jc w:val="center"/>
        </w:trPr>
        <w:tc>
          <w:tcPr>
            <w:tcW w:w="822" w:type="dxa"/>
            <w:shd w:val="clear" w:color="auto" w:fill="C6EFCE"/>
            <w:noWrap/>
          </w:tcPr>
          <w:p w14:paraId="47B24FF4" w14:textId="77777777" w:rsidR="00D924EA" w:rsidRDefault="00011DE9">
            <w:pPr>
              <w:pStyle w:val="P68B1DB1-Normal23"/>
              <w:spacing w:after="0" w:line="240" w:lineRule="auto"/>
              <w:jc w:val="center"/>
              <w:rPr>
                <w:noProof/>
              </w:rPr>
            </w:pPr>
            <w:r>
              <w:rPr>
                <w:noProof/>
              </w:rPr>
              <w:t>77bis</w:t>
            </w:r>
          </w:p>
        </w:tc>
        <w:tc>
          <w:tcPr>
            <w:tcW w:w="815" w:type="dxa"/>
            <w:shd w:val="clear" w:color="auto" w:fill="C6EFCE"/>
            <w:noWrap/>
          </w:tcPr>
          <w:p w14:paraId="1EB21AA2" w14:textId="77777777" w:rsidR="00D924EA" w:rsidRDefault="00011DE9">
            <w:pPr>
              <w:pStyle w:val="P68B1DB1-Normal41"/>
              <w:spacing w:after="0" w:line="240" w:lineRule="auto"/>
              <w:jc w:val="center"/>
              <w:rPr>
                <w:noProof/>
              </w:rPr>
            </w:pPr>
            <w:r>
              <w:rPr>
                <w:noProof/>
              </w:rPr>
              <w:t>C5.I2</w:t>
            </w:r>
          </w:p>
        </w:tc>
        <w:tc>
          <w:tcPr>
            <w:tcW w:w="814" w:type="dxa"/>
            <w:shd w:val="clear" w:color="auto" w:fill="C6EFCE"/>
            <w:noWrap/>
          </w:tcPr>
          <w:p w14:paraId="31B48E45" w14:textId="77777777" w:rsidR="00D924EA" w:rsidRDefault="00011DE9">
            <w:pPr>
              <w:pStyle w:val="P68B1DB1-Normal23"/>
              <w:spacing w:after="0" w:line="240" w:lineRule="auto"/>
              <w:jc w:val="center"/>
              <w:rPr>
                <w:noProof/>
              </w:rPr>
            </w:pPr>
            <w:r>
              <w:rPr>
                <w:noProof/>
              </w:rPr>
              <w:t>M</w:t>
            </w:r>
          </w:p>
        </w:tc>
        <w:tc>
          <w:tcPr>
            <w:tcW w:w="1939" w:type="dxa"/>
            <w:shd w:val="clear" w:color="auto" w:fill="C6EFCE"/>
            <w:noWrap/>
          </w:tcPr>
          <w:p w14:paraId="76C2C99A" w14:textId="73F9651F" w:rsidR="00D924EA" w:rsidRDefault="00011DE9">
            <w:pPr>
              <w:pStyle w:val="P68B1DB1-Normal41"/>
              <w:spacing w:after="0" w:line="240" w:lineRule="auto"/>
              <w:rPr>
                <w:noProof/>
              </w:rPr>
            </w:pPr>
            <w:r>
              <w:rPr>
                <w:noProof/>
              </w:rPr>
              <w:t xml:space="preserve">Monitorizarea și refacerea râurilor </w:t>
            </w:r>
          </w:p>
        </w:tc>
        <w:tc>
          <w:tcPr>
            <w:tcW w:w="1417" w:type="dxa"/>
            <w:shd w:val="clear" w:color="auto" w:fill="C6EFCE"/>
            <w:noWrap/>
          </w:tcPr>
          <w:p w14:paraId="29BCFF4D" w14:textId="77777777" w:rsidR="00D924EA" w:rsidRDefault="00011DE9">
            <w:pPr>
              <w:pStyle w:val="P68B1DB1-Normal41"/>
              <w:spacing w:after="0" w:line="240" w:lineRule="auto"/>
              <w:rPr>
                <w:noProof/>
              </w:rPr>
            </w:pPr>
            <w:r>
              <w:rPr>
                <w:noProof/>
              </w:rPr>
              <w:t>Rapoarte finale ale entităților sau persoanelor beneficiare sau certificate de acceptare sau documente echivalente care atestă executarea contractelor</w:t>
            </w:r>
          </w:p>
        </w:tc>
        <w:tc>
          <w:tcPr>
            <w:tcW w:w="1134" w:type="dxa"/>
            <w:shd w:val="clear" w:color="auto" w:fill="C6EFCE"/>
            <w:noWrap/>
          </w:tcPr>
          <w:p w14:paraId="529AE53E" w14:textId="77777777" w:rsidR="00D924EA" w:rsidRDefault="00D924EA">
            <w:pPr>
              <w:spacing w:after="0" w:line="240" w:lineRule="auto"/>
              <w:jc w:val="right"/>
              <w:rPr>
                <w:rFonts w:ascii="Times New Roman" w:hAnsi="Times New Roman"/>
                <w:noProof/>
                <w:sz w:val="18"/>
              </w:rPr>
            </w:pPr>
          </w:p>
        </w:tc>
        <w:tc>
          <w:tcPr>
            <w:tcW w:w="992" w:type="dxa"/>
            <w:shd w:val="clear" w:color="auto" w:fill="C6EFCE"/>
            <w:noWrap/>
          </w:tcPr>
          <w:p w14:paraId="1B59652D" w14:textId="77777777" w:rsidR="00D924EA" w:rsidRDefault="00D924EA">
            <w:pPr>
              <w:spacing w:after="0" w:line="240" w:lineRule="auto"/>
              <w:jc w:val="right"/>
              <w:rPr>
                <w:rFonts w:ascii="Times New Roman" w:hAnsi="Times New Roman"/>
                <w:noProof/>
                <w:sz w:val="18"/>
              </w:rPr>
            </w:pPr>
          </w:p>
        </w:tc>
        <w:tc>
          <w:tcPr>
            <w:tcW w:w="751" w:type="dxa"/>
            <w:shd w:val="clear" w:color="auto" w:fill="C6EFCE"/>
            <w:noWrap/>
          </w:tcPr>
          <w:p w14:paraId="4F8B272B" w14:textId="77777777" w:rsidR="00D924EA" w:rsidRDefault="00D924EA">
            <w:pPr>
              <w:spacing w:after="0" w:line="240" w:lineRule="auto"/>
              <w:jc w:val="right"/>
              <w:rPr>
                <w:rFonts w:ascii="Times New Roman" w:hAnsi="Times New Roman"/>
                <w:noProof/>
                <w:sz w:val="18"/>
              </w:rPr>
            </w:pPr>
          </w:p>
        </w:tc>
        <w:tc>
          <w:tcPr>
            <w:tcW w:w="409" w:type="dxa"/>
            <w:shd w:val="clear" w:color="auto" w:fill="C6EFCE"/>
            <w:noWrap/>
          </w:tcPr>
          <w:p w14:paraId="286A82D3" w14:textId="10600C0C" w:rsidR="00D924EA" w:rsidRDefault="005701C9">
            <w:pPr>
              <w:pStyle w:val="P68B1DB1-Normal23"/>
              <w:spacing w:after="0" w:line="240" w:lineRule="auto"/>
              <w:jc w:val="center"/>
              <w:rPr>
                <w:noProof/>
              </w:rPr>
            </w:pPr>
            <w:r>
              <w:rPr>
                <w:noProof/>
              </w:rPr>
              <w:t>T2</w:t>
            </w:r>
          </w:p>
        </w:tc>
        <w:tc>
          <w:tcPr>
            <w:tcW w:w="544" w:type="dxa"/>
            <w:shd w:val="clear" w:color="auto" w:fill="C6EFCE"/>
            <w:noWrap/>
          </w:tcPr>
          <w:p w14:paraId="1929A934" w14:textId="77777777" w:rsidR="00D924EA" w:rsidRDefault="00011DE9">
            <w:pPr>
              <w:pStyle w:val="P68B1DB1-Normal23"/>
              <w:spacing w:after="0" w:line="240" w:lineRule="auto"/>
              <w:jc w:val="center"/>
              <w:rPr>
                <w:noProof/>
              </w:rPr>
            </w:pPr>
            <w:r>
              <w:rPr>
                <w:noProof/>
              </w:rPr>
              <w:t>2026</w:t>
            </w:r>
          </w:p>
        </w:tc>
        <w:tc>
          <w:tcPr>
            <w:tcW w:w="5815" w:type="dxa"/>
            <w:shd w:val="clear" w:color="auto" w:fill="C6EFCE"/>
            <w:noWrap/>
          </w:tcPr>
          <w:p w14:paraId="6E4CED7B" w14:textId="0F0949E1" w:rsidR="00D924EA" w:rsidRDefault="00011DE9">
            <w:pPr>
              <w:pStyle w:val="P68B1DB1-Normal41"/>
              <w:spacing w:after="0" w:line="240" w:lineRule="auto"/>
              <w:textAlignment w:val="baseline"/>
              <w:rPr>
                <w:noProof/>
              </w:rPr>
            </w:pPr>
            <w:r>
              <w:rPr>
                <w:noProof/>
              </w:rPr>
              <w:t>Entitățile sau persoanele beneficiare au prezentat rapoarte finale care confirmă finalizarea activităților atribuite pentru granturi legate de monitorizarea și refacerea ecosistemelor fluviale și de protecția împotriva riscurilor de inundații sau pentru confirmarea de către administrație a executării contractelor sau a unor părți ale acestora legate de monitorizarea și refacerea ecosistemelor fluviale și de protecția împotriva riscurilor de inundații, pentru o sumă totală cumulată de 203 400 000 EUR sub formă de granturi și contracte atribuite (inclusiv eventualele modificări). </w:t>
            </w:r>
          </w:p>
          <w:p w14:paraId="183F6D5D" w14:textId="77777777" w:rsidR="00D924EA" w:rsidRDefault="00D924EA">
            <w:pPr>
              <w:spacing w:after="0" w:line="240" w:lineRule="auto"/>
              <w:rPr>
                <w:rFonts w:ascii="Times New Roman" w:hAnsi="Times New Roman"/>
                <w:noProof/>
                <w:sz w:val="18"/>
              </w:rPr>
            </w:pPr>
          </w:p>
        </w:tc>
      </w:tr>
      <w:tr w:rsidR="00D924EA" w14:paraId="1FE0B3A5" w14:textId="77777777" w:rsidTr="0042520D">
        <w:trPr>
          <w:trHeight w:val="309"/>
          <w:jc w:val="center"/>
        </w:trPr>
        <w:tc>
          <w:tcPr>
            <w:tcW w:w="822" w:type="dxa"/>
            <w:shd w:val="clear" w:color="auto" w:fill="C6EFCE"/>
            <w:noWrap/>
          </w:tcPr>
          <w:p w14:paraId="1B0A47AF" w14:textId="77777777" w:rsidR="00D924EA" w:rsidRDefault="00011DE9">
            <w:pPr>
              <w:pStyle w:val="P68B1DB1-Normal23"/>
              <w:spacing w:after="0" w:line="240" w:lineRule="auto"/>
              <w:jc w:val="center"/>
              <w:rPr>
                <w:rFonts w:cs="Times New Roman"/>
                <w:noProof/>
                <w:szCs w:val="18"/>
              </w:rPr>
            </w:pPr>
            <w:r>
              <w:rPr>
                <w:noProof/>
              </w:rPr>
              <w:t>78</w:t>
            </w:r>
          </w:p>
        </w:tc>
        <w:tc>
          <w:tcPr>
            <w:tcW w:w="815" w:type="dxa"/>
            <w:shd w:val="clear" w:color="auto" w:fill="C6EFCE"/>
            <w:noWrap/>
          </w:tcPr>
          <w:p w14:paraId="746CBD24" w14:textId="77777777" w:rsidR="00D924EA" w:rsidRDefault="00011DE9">
            <w:pPr>
              <w:pStyle w:val="P68B1DB1-Normal23"/>
              <w:spacing w:after="0" w:line="240" w:lineRule="auto"/>
              <w:jc w:val="center"/>
              <w:rPr>
                <w:rFonts w:cs="Times New Roman"/>
                <w:noProof/>
                <w:szCs w:val="18"/>
              </w:rPr>
            </w:pPr>
            <w:r>
              <w:rPr>
                <w:noProof/>
              </w:rPr>
              <w:t>C5.I2</w:t>
            </w:r>
          </w:p>
        </w:tc>
        <w:tc>
          <w:tcPr>
            <w:tcW w:w="814" w:type="dxa"/>
            <w:shd w:val="clear" w:color="auto" w:fill="C6EFCE"/>
            <w:noWrap/>
          </w:tcPr>
          <w:p w14:paraId="0AA1139B" w14:textId="41A95950" w:rsidR="00D924EA" w:rsidRDefault="00011DE9">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6079C8CB" w14:textId="18D42011" w:rsidR="00D924EA" w:rsidRDefault="00011DE9">
            <w:pPr>
              <w:pStyle w:val="P68B1DB1-Normal41"/>
              <w:spacing w:after="0" w:line="240" w:lineRule="auto"/>
              <w:rPr>
                <w:noProof/>
              </w:rPr>
            </w:pPr>
            <w:r>
              <w:rPr>
                <w:noProof/>
              </w:rPr>
              <w:t>Construirea sau renovarea infrastructurii de alimentare cu apă pentru irigații</w:t>
            </w:r>
          </w:p>
        </w:tc>
        <w:tc>
          <w:tcPr>
            <w:tcW w:w="1417" w:type="dxa"/>
            <w:shd w:val="clear" w:color="auto" w:fill="C6EFCE"/>
            <w:noWrap/>
          </w:tcPr>
          <w:p w14:paraId="3B190962" w14:textId="19909952" w:rsidR="00D924EA" w:rsidRDefault="00011DE9">
            <w:pPr>
              <w:pStyle w:val="P68B1DB1-Normal41"/>
              <w:spacing w:after="0" w:line="240" w:lineRule="auto"/>
              <w:rPr>
                <w:noProof/>
              </w:rPr>
            </w:pPr>
            <w:r>
              <w:rPr>
                <w:noProof/>
              </w:rPr>
              <w:t xml:space="preserve">Certificate de recepție, </w:t>
            </w:r>
            <w:r>
              <w:rPr>
                <w:i/>
                <w:noProof/>
              </w:rPr>
              <w:t>actas de puesta en marcha/servicio</w:t>
            </w:r>
            <w:r>
              <w:rPr>
                <w:noProof/>
              </w:rPr>
              <w:t>, declarații de conformitate sau echivalente care atestă executarea contractelor</w:t>
            </w:r>
          </w:p>
        </w:tc>
        <w:tc>
          <w:tcPr>
            <w:tcW w:w="1134" w:type="dxa"/>
            <w:shd w:val="clear" w:color="auto" w:fill="C6EFCE"/>
            <w:noWrap/>
          </w:tcPr>
          <w:p w14:paraId="24C44B16" w14:textId="44512AFD" w:rsidR="00D924EA" w:rsidRDefault="00D924EA">
            <w:pPr>
              <w:spacing w:after="0" w:line="240" w:lineRule="auto"/>
              <w:jc w:val="right"/>
              <w:rPr>
                <w:rFonts w:ascii="Times New Roman" w:hAnsi="Times New Roman" w:cs="Times New Roman"/>
                <w:noProof/>
                <w:sz w:val="18"/>
                <w:szCs w:val="18"/>
              </w:rPr>
            </w:pPr>
          </w:p>
        </w:tc>
        <w:tc>
          <w:tcPr>
            <w:tcW w:w="992" w:type="dxa"/>
            <w:shd w:val="clear" w:color="auto" w:fill="C6EFCE"/>
            <w:noWrap/>
          </w:tcPr>
          <w:p w14:paraId="19814AC2" w14:textId="78EAF2A4" w:rsidR="00D924EA" w:rsidRDefault="00D924EA">
            <w:pPr>
              <w:spacing w:after="0" w:line="240" w:lineRule="auto"/>
              <w:jc w:val="right"/>
              <w:rPr>
                <w:rFonts w:ascii="Times New Roman" w:hAnsi="Times New Roman" w:cs="Times New Roman"/>
                <w:noProof/>
                <w:sz w:val="18"/>
                <w:szCs w:val="18"/>
              </w:rPr>
            </w:pPr>
          </w:p>
        </w:tc>
        <w:tc>
          <w:tcPr>
            <w:tcW w:w="751" w:type="dxa"/>
            <w:shd w:val="clear" w:color="auto" w:fill="C6EFCE"/>
            <w:noWrap/>
          </w:tcPr>
          <w:p w14:paraId="101DBE0F" w14:textId="686B6966" w:rsidR="00D924EA" w:rsidRDefault="00D924EA">
            <w:pPr>
              <w:spacing w:after="0" w:line="240" w:lineRule="auto"/>
              <w:jc w:val="right"/>
              <w:rPr>
                <w:rFonts w:ascii="Times New Roman" w:hAnsi="Times New Roman" w:cs="Times New Roman"/>
                <w:noProof/>
                <w:sz w:val="18"/>
                <w:szCs w:val="18"/>
              </w:rPr>
            </w:pPr>
          </w:p>
        </w:tc>
        <w:tc>
          <w:tcPr>
            <w:tcW w:w="409" w:type="dxa"/>
            <w:shd w:val="clear" w:color="auto" w:fill="C6EFCE"/>
            <w:noWrap/>
          </w:tcPr>
          <w:p w14:paraId="60110729" w14:textId="4EC9EFD4" w:rsidR="00D924EA" w:rsidRDefault="005701C9">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084C9534" w14:textId="7BB75694" w:rsidR="00D924EA" w:rsidRDefault="00011DE9">
            <w:pPr>
              <w:pStyle w:val="P68B1DB1-Normal23"/>
              <w:spacing w:after="0" w:line="240" w:lineRule="auto"/>
              <w:jc w:val="center"/>
              <w:rPr>
                <w:rFonts w:cs="Times New Roman"/>
                <w:noProof/>
                <w:szCs w:val="18"/>
              </w:rPr>
            </w:pPr>
            <w:r>
              <w:rPr>
                <w:noProof/>
              </w:rPr>
              <w:t>2026</w:t>
            </w:r>
          </w:p>
        </w:tc>
        <w:tc>
          <w:tcPr>
            <w:tcW w:w="5815" w:type="dxa"/>
            <w:shd w:val="clear" w:color="auto" w:fill="C6EFCE"/>
            <w:noWrap/>
          </w:tcPr>
          <w:p w14:paraId="7D048F2E" w14:textId="77777777" w:rsidR="00D924EA" w:rsidRDefault="00011DE9">
            <w:pPr>
              <w:pStyle w:val="P68B1DB1-Normal41"/>
              <w:spacing w:after="0" w:line="240" w:lineRule="auto"/>
              <w:textAlignment w:val="baseline"/>
              <w:rPr>
                <w:noProof/>
              </w:rPr>
            </w:pPr>
            <w:r>
              <w:rPr>
                <w:noProof/>
              </w:rPr>
              <w:t xml:space="preserve">Pentru 15 infrastructuri care furnizează apă pentru irigații sau apă potabilă: </w:t>
            </w:r>
          </w:p>
          <w:p w14:paraId="32F5C6C1" w14:textId="77777777" w:rsidR="00D924EA" w:rsidRDefault="00011DE9">
            <w:pPr>
              <w:pStyle w:val="P68B1DB1-ListParagraph45"/>
              <w:numPr>
                <w:ilvl w:val="0"/>
                <w:numId w:val="50"/>
              </w:numPr>
              <w:spacing w:after="0" w:line="240" w:lineRule="auto"/>
              <w:ind w:left="252" w:hanging="252"/>
              <w:textAlignment w:val="baseline"/>
              <w:rPr>
                <w:noProof/>
              </w:rPr>
            </w:pPr>
            <w:r>
              <w:rPr>
                <w:noProof/>
              </w:rPr>
              <w:t>Confirmarea de către administrație a executării contractelor legate de construcție sau renovare; sau confirmarea de către administrație a faptului că faza de testare după renovarea sau construcția lor a început.</w:t>
            </w:r>
          </w:p>
          <w:p w14:paraId="19D6BB73" w14:textId="77777777" w:rsidR="00D924EA" w:rsidRDefault="00D924EA">
            <w:pPr>
              <w:spacing w:after="0" w:line="240" w:lineRule="auto"/>
              <w:textAlignment w:val="baseline"/>
              <w:rPr>
                <w:rFonts w:ascii="Times New Roman" w:eastAsia="Times New Roman" w:hAnsi="Times New Roman" w:cs="Times New Roman"/>
                <w:noProof/>
                <w:sz w:val="18"/>
                <w:szCs w:val="18"/>
              </w:rPr>
            </w:pPr>
          </w:p>
          <w:p w14:paraId="3CD05885" w14:textId="2472D721" w:rsidR="00D924EA" w:rsidRDefault="00011DE9">
            <w:pPr>
              <w:pStyle w:val="P68B1DB1-Normal41"/>
              <w:spacing w:after="0" w:line="240" w:lineRule="auto"/>
              <w:textAlignment w:val="baseline"/>
              <w:rPr>
                <w:noProof/>
              </w:rPr>
            </w:pPr>
            <w:r>
              <w:rPr>
                <w:noProof/>
              </w:rPr>
              <w:t>Investițiile în infrastructura de producere a apei desalinizate reprezintă cea mai bună tehnologie disponibilă cu cel mai mic impact asupra mediului din acest sector.</w:t>
            </w:r>
          </w:p>
        </w:tc>
      </w:tr>
      <w:tr w:rsidR="00D924EA" w14:paraId="1EB54B2E" w14:textId="77777777" w:rsidTr="0042520D">
        <w:trPr>
          <w:trHeight w:val="309"/>
          <w:jc w:val="center"/>
        </w:trPr>
        <w:tc>
          <w:tcPr>
            <w:tcW w:w="822" w:type="dxa"/>
            <w:shd w:val="clear" w:color="auto" w:fill="C6EFCE"/>
            <w:noWrap/>
          </w:tcPr>
          <w:p w14:paraId="44D475F5" w14:textId="77777777" w:rsidR="00D924EA" w:rsidRDefault="00011DE9">
            <w:pPr>
              <w:pStyle w:val="P68B1DB1-Normal23"/>
              <w:spacing w:after="0" w:line="240" w:lineRule="auto"/>
              <w:jc w:val="center"/>
              <w:rPr>
                <w:rFonts w:cs="Times New Roman"/>
                <w:noProof/>
                <w:szCs w:val="18"/>
              </w:rPr>
            </w:pPr>
            <w:r>
              <w:rPr>
                <w:noProof/>
              </w:rPr>
              <w:t>430</w:t>
            </w:r>
          </w:p>
        </w:tc>
        <w:tc>
          <w:tcPr>
            <w:tcW w:w="815" w:type="dxa"/>
            <w:shd w:val="clear" w:color="auto" w:fill="C6EFCE"/>
            <w:noWrap/>
          </w:tcPr>
          <w:p w14:paraId="25BE0961" w14:textId="77777777" w:rsidR="00D924EA" w:rsidRDefault="00011DE9">
            <w:pPr>
              <w:pStyle w:val="P68B1DB1-Normal23"/>
              <w:spacing w:after="0" w:line="240" w:lineRule="auto"/>
              <w:jc w:val="center"/>
              <w:rPr>
                <w:rFonts w:cs="Times New Roman"/>
                <w:noProof/>
                <w:szCs w:val="18"/>
              </w:rPr>
            </w:pPr>
            <w:r>
              <w:rPr>
                <w:noProof/>
              </w:rPr>
              <w:t>C5.I3</w:t>
            </w:r>
          </w:p>
        </w:tc>
        <w:tc>
          <w:tcPr>
            <w:tcW w:w="814" w:type="dxa"/>
            <w:shd w:val="clear" w:color="auto" w:fill="C6EFCE"/>
            <w:noWrap/>
          </w:tcPr>
          <w:p w14:paraId="067A8BC2" w14:textId="77777777" w:rsidR="00D924EA" w:rsidRDefault="00011DE9">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265049D3" w14:textId="7FF5E98D" w:rsidR="00D924EA" w:rsidRDefault="00011DE9">
            <w:pPr>
              <w:pStyle w:val="P68B1DB1-Normal23"/>
              <w:spacing w:after="0" w:line="240" w:lineRule="auto"/>
              <w:rPr>
                <w:rFonts w:cs="Times New Roman"/>
                <w:noProof/>
                <w:szCs w:val="18"/>
              </w:rPr>
            </w:pPr>
            <w:r>
              <w:rPr>
                <w:noProof/>
              </w:rPr>
              <w:t>PERTE pentru digitalizarea utilizatorilor de apă</w:t>
            </w:r>
          </w:p>
        </w:tc>
        <w:tc>
          <w:tcPr>
            <w:tcW w:w="1417" w:type="dxa"/>
            <w:shd w:val="clear" w:color="auto" w:fill="C6EFCE"/>
            <w:noWrap/>
          </w:tcPr>
          <w:p w14:paraId="712CEDE7" w14:textId="60EA1324" w:rsidR="00D924EA" w:rsidRDefault="00011DE9">
            <w:pPr>
              <w:pStyle w:val="P68B1DB1-Normal41"/>
              <w:spacing w:after="0" w:line="240" w:lineRule="auto"/>
              <w:rPr>
                <w:noProof/>
              </w:rPr>
            </w:pPr>
            <w:r>
              <w:rPr>
                <w:noProof/>
              </w:rPr>
              <w:t xml:space="preserve">Rapoartele finale ale entităților sau persoanelor beneficiare sau certificatele de acceptare, declarațiile de conformitate sau alte documente echivalente care atestă executarea contractelor </w:t>
            </w:r>
          </w:p>
        </w:tc>
        <w:tc>
          <w:tcPr>
            <w:tcW w:w="1134" w:type="dxa"/>
            <w:shd w:val="clear" w:color="auto" w:fill="C6EFCE"/>
            <w:noWrap/>
          </w:tcPr>
          <w:p w14:paraId="63AFB758" w14:textId="77777777" w:rsidR="00D924EA" w:rsidRDefault="00D924EA">
            <w:pPr>
              <w:spacing w:after="0" w:line="240" w:lineRule="auto"/>
              <w:jc w:val="right"/>
              <w:rPr>
                <w:rFonts w:ascii="Times New Roman" w:hAnsi="Times New Roman" w:cs="Times New Roman"/>
                <w:noProof/>
                <w:sz w:val="18"/>
                <w:szCs w:val="18"/>
              </w:rPr>
            </w:pPr>
          </w:p>
        </w:tc>
        <w:tc>
          <w:tcPr>
            <w:tcW w:w="992" w:type="dxa"/>
            <w:shd w:val="clear" w:color="auto" w:fill="C6EFCE"/>
            <w:noWrap/>
          </w:tcPr>
          <w:p w14:paraId="671991B2" w14:textId="77777777" w:rsidR="00D924EA" w:rsidRDefault="00D924EA">
            <w:pPr>
              <w:spacing w:after="0" w:line="240" w:lineRule="auto"/>
              <w:jc w:val="right"/>
              <w:rPr>
                <w:rFonts w:ascii="Times New Roman" w:hAnsi="Times New Roman" w:cs="Times New Roman"/>
                <w:noProof/>
                <w:sz w:val="18"/>
                <w:szCs w:val="18"/>
              </w:rPr>
            </w:pPr>
          </w:p>
        </w:tc>
        <w:tc>
          <w:tcPr>
            <w:tcW w:w="751" w:type="dxa"/>
            <w:shd w:val="clear" w:color="auto" w:fill="C6EFCE"/>
            <w:noWrap/>
          </w:tcPr>
          <w:p w14:paraId="5AF734A0" w14:textId="77777777" w:rsidR="00D924EA" w:rsidRDefault="00D924EA">
            <w:pPr>
              <w:spacing w:after="0" w:line="240" w:lineRule="auto"/>
              <w:jc w:val="right"/>
              <w:rPr>
                <w:rFonts w:ascii="Times New Roman" w:hAnsi="Times New Roman" w:cs="Times New Roman"/>
                <w:noProof/>
                <w:sz w:val="18"/>
                <w:szCs w:val="18"/>
              </w:rPr>
            </w:pPr>
          </w:p>
        </w:tc>
        <w:tc>
          <w:tcPr>
            <w:tcW w:w="409" w:type="dxa"/>
            <w:shd w:val="clear" w:color="auto" w:fill="C6EFCE"/>
            <w:noWrap/>
          </w:tcPr>
          <w:p w14:paraId="58AACB98" w14:textId="5BEAFAD5" w:rsidR="00D924EA" w:rsidRDefault="005701C9">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2B516E85" w14:textId="77777777" w:rsidR="00D924EA" w:rsidRDefault="00011DE9">
            <w:pPr>
              <w:pStyle w:val="P68B1DB1-Normal23"/>
              <w:spacing w:after="0" w:line="240" w:lineRule="auto"/>
              <w:jc w:val="center"/>
              <w:rPr>
                <w:rFonts w:cs="Times New Roman"/>
                <w:noProof/>
                <w:szCs w:val="18"/>
              </w:rPr>
            </w:pPr>
            <w:r>
              <w:rPr>
                <w:noProof/>
              </w:rPr>
              <w:t>2026</w:t>
            </w:r>
          </w:p>
        </w:tc>
        <w:tc>
          <w:tcPr>
            <w:tcW w:w="5815" w:type="dxa"/>
            <w:shd w:val="clear" w:color="auto" w:fill="C6EFCE"/>
            <w:noWrap/>
          </w:tcPr>
          <w:p w14:paraId="6E09B829" w14:textId="5AA5C491" w:rsidR="00D924EA" w:rsidRDefault="00011DE9">
            <w:pPr>
              <w:pStyle w:val="P68B1DB1-Normal41"/>
              <w:spacing w:after="0" w:line="240" w:lineRule="auto"/>
              <w:rPr>
                <w:noProof/>
              </w:rPr>
            </w:pPr>
            <w:r>
              <w:rPr>
                <w:noProof/>
              </w:rPr>
              <w:t>Entitățile sau persoanele beneficiare au prezentat rapoarte finale care confirmă finalizarea activităților atribuite pentru granturi legate de PERTE pentru digitalizarea utilizărilor apei sau au confirmat de către administrație că au fost executate contracte sau părți ale acestora legate de PERTE pentru digitalizarea utilizărilor apei, pentru o sumă totală cumulată de 494 100 000 EUR sub formă de granturi și contracte atribuite (inclusiv eventualele modificări). </w:t>
            </w:r>
          </w:p>
          <w:p w14:paraId="05EAE08E" w14:textId="77777777" w:rsidR="00D924EA" w:rsidRDefault="00D924EA">
            <w:pPr>
              <w:spacing w:after="0" w:line="240" w:lineRule="auto"/>
              <w:rPr>
                <w:rFonts w:ascii="Times New Roman" w:hAnsi="Times New Roman" w:cs="Times New Roman"/>
                <w:noProof/>
                <w:sz w:val="18"/>
                <w:szCs w:val="18"/>
              </w:rPr>
            </w:pPr>
          </w:p>
        </w:tc>
      </w:tr>
      <w:tr w:rsidR="00D924EA" w14:paraId="4E8CAB66" w14:textId="77777777" w:rsidTr="0042520D">
        <w:trPr>
          <w:trHeight w:val="309"/>
          <w:jc w:val="center"/>
        </w:trPr>
        <w:tc>
          <w:tcPr>
            <w:tcW w:w="822" w:type="dxa"/>
            <w:shd w:val="clear" w:color="auto" w:fill="C6EFCE"/>
            <w:noWrap/>
          </w:tcPr>
          <w:p w14:paraId="6C6638D6" w14:textId="77777777" w:rsidR="00D924EA" w:rsidRDefault="00011DE9">
            <w:pPr>
              <w:pStyle w:val="P68B1DB1-Normal23"/>
              <w:spacing w:after="0" w:line="240" w:lineRule="auto"/>
              <w:jc w:val="center"/>
              <w:rPr>
                <w:rFonts w:cs="Times New Roman"/>
                <w:noProof/>
                <w:szCs w:val="18"/>
              </w:rPr>
            </w:pPr>
            <w:r>
              <w:rPr>
                <w:noProof/>
              </w:rPr>
              <w:t>426</w:t>
            </w:r>
          </w:p>
        </w:tc>
        <w:tc>
          <w:tcPr>
            <w:tcW w:w="815" w:type="dxa"/>
            <w:shd w:val="clear" w:color="auto" w:fill="C6EFCE"/>
            <w:noWrap/>
          </w:tcPr>
          <w:p w14:paraId="289F5292" w14:textId="77777777" w:rsidR="00D924EA" w:rsidRDefault="00011DE9">
            <w:pPr>
              <w:pStyle w:val="P68B1DB1-Normal23"/>
              <w:spacing w:after="0" w:line="240" w:lineRule="auto"/>
              <w:jc w:val="center"/>
              <w:rPr>
                <w:rFonts w:cs="Times New Roman"/>
                <w:noProof/>
                <w:szCs w:val="18"/>
              </w:rPr>
            </w:pPr>
            <w:r>
              <w:rPr>
                <w:noProof/>
              </w:rPr>
              <w:t>C5.I3</w:t>
            </w:r>
          </w:p>
        </w:tc>
        <w:tc>
          <w:tcPr>
            <w:tcW w:w="814" w:type="dxa"/>
            <w:shd w:val="clear" w:color="auto" w:fill="C6EFCE"/>
            <w:noWrap/>
          </w:tcPr>
          <w:p w14:paraId="032F6304" w14:textId="77777777" w:rsidR="00D924EA" w:rsidRDefault="00011DE9">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4BF637DD" w14:textId="77777777" w:rsidR="00D924EA" w:rsidRDefault="00011DE9">
            <w:pPr>
              <w:pStyle w:val="P68B1DB1-Normal41"/>
              <w:spacing w:after="0" w:line="240" w:lineRule="auto"/>
              <w:rPr>
                <w:noProof/>
              </w:rPr>
            </w:pPr>
            <w:r>
              <w:rPr>
                <w:noProof/>
              </w:rPr>
              <w:t xml:space="preserve">Radare și digitalizarea proceselor hidrologice sau meteorologice </w:t>
            </w:r>
          </w:p>
          <w:p w14:paraId="3FCA07F5" w14:textId="309E7488" w:rsidR="00D924EA" w:rsidRDefault="00D924EA">
            <w:pPr>
              <w:spacing w:after="0" w:line="240" w:lineRule="auto"/>
              <w:rPr>
                <w:rFonts w:ascii="Times New Roman" w:hAnsi="Times New Roman" w:cs="Times New Roman"/>
                <w:noProof/>
                <w:sz w:val="18"/>
                <w:szCs w:val="18"/>
              </w:rPr>
            </w:pPr>
          </w:p>
        </w:tc>
        <w:tc>
          <w:tcPr>
            <w:tcW w:w="1417" w:type="dxa"/>
            <w:shd w:val="clear" w:color="auto" w:fill="C6EFCE"/>
            <w:noWrap/>
          </w:tcPr>
          <w:p w14:paraId="44A01759" w14:textId="49E9568E" w:rsidR="00D924EA" w:rsidRDefault="00011DE9">
            <w:pPr>
              <w:pStyle w:val="P68B1DB1-Normal41"/>
              <w:spacing w:after="0" w:line="240" w:lineRule="auto"/>
              <w:rPr>
                <w:noProof/>
              </w:rPr>
            </w:pPr>
            <w:r>
              <w:rPr>
                <w:noProof/>
              </w:rPr>
              <w:t>Certificate de acceptare, declarații de conformitate sau alte documente echivalente care atestă executarea contractelor</w:t>
            </w:r>
          </w:p>
        </w:tc>
        <w:tc>
          <w:tcPr>
            <w:tcW w:w="1134" w:type="dxa"/>
            <w:shd w:val="clear" w:color="auto" w:fill="C6EFCE"/>
            <w:noWrap/>
          </w:tcPr>
          <w:p w14:paraId="4CAC86E6" w14:textId="77777777" w:rsidR="00D924EA" w:rsidRDefault="00D924EA">
            <w:pPr>
              <w:spacing w:after="0" w:line="240" w:lineRule="auto"/>
              <w:jc w:val="right"/>
              <w:rPr>
                <w:rFonts w:ascii="Times New Roman" w:hAnsi="Times New Roman" w:cs="Times New Roman"/>
                <w:noProof/>
                <w:sz w:val="18"/>
                <w:szCs w:val="18"/>
              </w:rPr>
            </w:pPr>
          </w:p>
        </w:tc>
        <w:tc>
          <w:tcPr>
            <w:tcW w:w="992" w:type="dxa"/>
            <w:shd w:val="clear" w:color="auto" w:fill="C6EFCE"/>
            <w:noWrap/>
          </w:tcPr>
          <w:p w14:paraId="11C01008" w14:textId="77777777" w:rsidR="00D924EA" w:rsidRDefault="00D924EA">
            <w:pPr>
              <w:spacing w:after="0" w:line="240" w:lineRule="auto"/>
              <w:jc w:val="right"/>
              <w:rPr>
                <w:rFonts w:ascii="Times New Roman" w:hAnsi="Times New Roman" w:cs="Times New Roman"/>
                <w:noProof/>
                <w:sz w:val="18"/>
                <w:szCs w:val="18"/>
              </w:rPr>
            </w:pPr>
          </w:p>
        </w:tc>
        <w:tc>
          <w:tcPr>
            <w:tcW w:w="751" w:type="dxa"/>
            <w:shd w:val="clear" w:color="auto" w:fill="C6EFCE"/>
            <w:noWrap/>
          </w:tcPr>
          <w:p w14:paraId="1033BAA8" w14:textId="77777777" w:rsidR="00D924EA" w:rsidRDefault="00D924EA">
            <w:pPr>
              <w:spacing w:after="0" w:line="240" w:lineRule="auto"/>
              <w:jc w:val="right"/>
              <w:rPr>
                <w:rFonts w:ascii="Times New Roman" w:hAnsi="Times New Roman" w:cs="Times New Roman"/>
                <w:noProof/>
                <w:sz w:val="18"/>
                <w:szCs w:val="18"/>
              </w:rPr>
            </w:pPr>
          </w:p>
        </w:tc>
        <w:tc>
          <w:tcPr>
            <w:tcW w:w="409" w:type="dxa"/>
            <w:shd w:val="clear" w:color="auto" w:fill="C6EFCE"/>
            <w:noWrap/>
          </w:tcPr>
          <w:p w14:paraId="2B8C77E7" w14:textId="503BDC40" w:rsidR="00D924EA" w:rsidRDefault="005701C9">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46E0AD96" w14:textId="77777777" w:rsidR="00D924EA" w:rsidRDefault="00011DE9">
            <w:pPr>
              <w:pStyle w:val="P68B1DB1-Normal23"/>
              <w:spacing w:after="0" w:line="240" w:lineRule="auto"/>
              <w:jc w:val="center"/>
              <w:rPr>
                <w:rFonts w:cs="Times New Roman"/>
                <w:noProof/>
                <w:szCs w:val="18"/>
              </w:rPr>
            </w:pPr>
            <w:r>
              <w:rPr>
                <w:noProof/>
              </w:rPr>
              <w:t>2026</w:t>
            </w:r>
          </w:p>
        </w:tc>
        <w:tc>
          <w:tcPr>
            <w:tcW w:w="5815" w:type="dxa"/>
            <w:shd w:val="clear" w:color="auto" w:fill="C6EFCE"/>
            <w:noWrap/>
          </w:tcPr>
          <w:p w14:paraId="34703713" w14:textId="4E5E3C67" w:rsidR="00D924EA" w:rsidRDefault="00011DE9">
            <w:pPr>
              <w:pStyle w:val="P68B1DB1-Normal41"/>
              <w:spacing w:after="0" w:line="240" w:lineRule="auto"/>
              <w:textAlignment w:val="baseline"/>
              <w:rPr>
                <w:noProof/>
              </w:rPr>
            </w:pPr>
            <w:r>
              <w:rPr>
                <w:noProof/>
              </w:rPr>
              <w:t xml:space="preserve">Confirmarea de către administrație a executării contractelor sau a părților corespunzătoare ale acestora referitoare la radare și la digitalizarea proceselor hidrologice sau meteorologice, în valoare totală de 299 700 000 EUR. </w:t>
            </w:r>
          </w:p>
          <w:p w14:paraId="4FFD96BD" w14:textId="17AA5490" w:rsidR="00D924EA" w:rsidRDefault="00D924EA">
            <w:pPr>
              <w:spacing w:after="0" w:line="240" w:lineRule="auto"/>
              <w:rPr>
                <w:rFonts w:ascii="Times New Roman" w:hAnsi="Times New Roman" w:cs="Times New Roman"/>
                <w:noProof/>
                <w:sz w:val="18"/>
                <w:szCs w:val="18"/>
              </w:rPr>
            </w:pPr>
          </w:p>
        </w:tc>
      </w:tr>
      <w:tr w:rsidR="00D924EA" w14:paraId="7913507A" w14:textId="77777777" w:rsidTr="0042520D">
        <w:trPr>
          <w:trHeight w:val="309"/>
          <w:jc w:val="center"/>
        </w:trPr>
        <w:tc>
          <w:tcPr>
            <w:tcW w:w="822" w:type="dxa"/>
            <w:shd w:val="clear" w:color="auto" w:fill="C6EFCE"/>
            <w:noWrap/>
          </w:tcPr>
          <w:p w14:paraId="059840A0" w14:textId="77777777" w:rsidR="00D924EA" w:rsidRDefault="00011DE9">
            <w:pPr>
              <w:pStyle w:val="P68B1DB1-Normal23"/>
              <w:spacing w:after="0" w:line="240" w:lineRule="auto"/>
              <w:jc w:val="center"/>
              <w:rPr>
                <w:rFonts w:cs="Times New Roman"/>
                <w:noProof/>
                <w:szCs w:val="18"/>
              </w:rPr>
            </w:pPr>
            <w:r>
              <w:rPr>
                <w:noProof/>
              </w:rPr>
              <w:t>80</w:t>
            </w:r>
          </w:p>
        </w:tc>
        <w:tc>
          <w:tcPr>
            <w:tcW w:w="815" w:type="dxa"/>
            <w:shd w:val="clear" w:color="auto" w:fill="C6EFCE"/>
            <w:noWrap/>
          </w:tcPr>
          <w:p w14:paraId="3CF3E210" w14:textId="77777777" w:rsidR="00D924EA" w:rsidRDefault="00011DE9">
            <w:pPr>
              <w:pStyle w:val="P68B1DB1-Normal23"/>
              <w:spacing w:after="0" w:line="240" w:lineRule="auto"/>
              <w:jc w:val="center"/>
              <w:rPr>
                <w:rFonts w:cs="Times New Roman"/>
                <w:noProof/>
                <w:szCs w:val="18"/>
              </w:rPr>
            </w:pPr>
            <w:r>
              <w:rPr>
                <w:noProof/>
              </w:rPr>
              <w:t>C5.I4</w:t>
            </w:r>
          </w:p>
        </w:tc>
        <w:tc>
          <w:tcPr>
            <w:tcW w:w="814" w:type="dxa"/>
            <w:shd w:val="clear" w:color="auto" w:fill="C6EFCE"/>
            <w:noWrap/>
          </w:tcPr>
          <w:p w14:paraId="73345288" w14:textId="77777777" w:rsidR="00D924EA" w:rsidRDefault="00011DE9">
            <w:pPr>
              <w:pStyle w:val="P68B1DB1-Normal23"/>
              <w:spacing w:after="0" w:line="240" w:lineRule="auto"/>
              <w:jc w:val="center"/>
              <w:rPr>
                <w:rFonts w:cs="Times New Roman"/>
                <w:noProof/>
                <w:szCs w:val="18"/>
              </w:rPr>
            </w:pPr>
            <w:r>
              <w:rPr>
                <w:noProof/>
              </w:rPr>
              <w:t>T</w:t>
            </w:r>
          </w:p>
        </w:tc>
        <w:tc>
          <w:tcPr>
            <w:tcW w:w="1939" w:type="dxa"/>
            <w:shd w:val="clear" w:color="auto" w:fill="C6EFCE"/>
            <w:noWrap/>
          </w:tcPr>
          <w:p w14:paraId="394F19A0" w14:textId="77777777" w:rsidR="00D924EA" w:rsidRDefault="00011DE9">
            <w:pPr>
              <w:pStyle w:val="P68B1DB1-Normal23"/>
              <w:spacing w:after="0" w:line="240" w:lineRule="auto"/>
              <w:rPr>
                <w:rFonts w:cs="Times New Roman"/>
                <w:noProof/>
                <w:szCs w:val="18"/>
              </w:rPr>
            </w:pPr>
            <w:r>
              <w:rPr>
                <w:noProof/>
              </w:rPr>
              <w:t xml:space="preserve">Refacerea zonelor și a ecosistemelor degradate pe o rază de cel puțin 50 de kilometri de coastă </w:t>
            </w:r>
          </w:p>
        </w:tc>
        <w:tc>
          <w:tcPr>
            <w:tcW w:w="1417" w:type="dxa"/>
            <w:shd w:val="clear" w:color="auto" w:fill="C6EFCE"/>
            <w:noWrap/>
          </w:tcPr>
          <w:p w14:paraId="2A96F075" w14:textId="77777777" w:rsidR="00D924EA" w:rsidRDefault="00D924EA">
            <w:pPr>
              <w:spacing w:after="0" w:line="240" w:lineRule="auto"/>
              <w:jc w:val="center"/>
              <w:rPr>
                <w:rFonts w:ascii="Times New Roman" w:hAnsi="Times New Roman" w:cs="Times New Roman"/>
                <w:noProof/>
                <w:sz w:val="18"/>
                <w:szCs w:val="18"/>
              </w:rPr>
            </w:pPr>
          </w:p>
        </w:tc>
        <w:tc>
          <w:tcPr>
            <w:tcW w:w="1134" w:type="dxa"/>
            <w:shd w:val="clear" w:color="auto" w:fill="C6EFCE"/>
            <w:noWrap/>
          </w:tcPr>
          <w:p w14:paraId="7B939077" w14:textId="77777777" w:rsidR="00D924EA" w:rsidRDefault="00011DE9">
            <w:pPr>
              <w:pStyle w:val="P68B1DB1-Normal23"/>
              <w:spacing w:after="0" w:line="240" w:lineRule="auto"/>
              <w:rPr>
                <w:rFonts w:cs="Times New Roman"/>
                <w:noProof/>
                <w:szCs w:val="18"/>
              </w:rPr>
            </w:pPr>
            <w:r>
              <w:rPr>
                <w:noProof/>
              </w:rPr>
              <w:t>Număr (kilometri)</w:t>
            </w:r>
          </w:p>
        </w:tc>
        <w:tc>
          <w:tcPr>
            <w:tcW w:w="992" w:type="dxa"/>
            <w:shd w:val="clear" w:color="auto" w:fill="C6EFCE"/>
            <w:noWrap/>
          </w:tcPr>
          <w:p w14:paraId="671A2EDF" w14:textId="77777777" w:rsidR="00D924EA" w:rsidRDefault="00011DE9">
            <w:pPr>
              <w:pStyle w:val="P68B1DB1-Normal23"/>
              <w:spacing w:after="0" w:line="240" w:lineRule="auto"/>
              <w:jc w:val="right"/>
              <w:rPr>
                <w:rFonts w:cs="Times New Roman"/>
                <w:noProof/>
                <w:szCs w:val="18"/>
              </w:rPr>
            </w:pPr>
            <w:r>
              <w:rPr>
                <w:noProof/>
              </w:rPr>
              <w:t>0</w:t>
            </w:r>
          </w:p>
        </w:tc>
        <w:tc>
          <w:tcPr>
            <w:tcW w:w="751" w:type="dxa"/>
            <w:shd w:val="clear" w:color="auto" w:fill="C6EFCE"/>
            <w:noWrap/>
          </w:tcPr>
          <w:p w14:paraId="728514C6" w14:textId="77777777" w:rsidR="00D924EA" w:rsidRDefault="00011DE9">
            <w:pPr>
              <w:pStyle w:val="P68B1DB1-Normal23"/>
              <w:spacing w:after="0" w:line="240" w:lineRule="auto"/>
              <w:jc w:val="right"/>
              <w:rPr>
                <w:rFonts w:cs="Times New Roman"/>
                <w:noProof/>
                <w:szCs w:val="18"/>
              </w:rPr>
            </w:pPr>
            <w:r>
              <w:rPr>
                <w:noProof/>
              </w:rPr>
              <w:t>50</w:t>
            </w:r>
          </w:p>
        </w:tc>
        <w:tc>
          <w:tcPr>
            <w:tcW w:w="409" w:type="dxa"/>
            <w:shd w:val="clear" w:color="auto" w:fill="C6EFCE"/>
            <w:noWrap/>
          </w:tcPr>
          <w:p w14:paraId="767AE21E" w14:textId="27708025" w:rsidR="00D924EA" w:rsidRDefault="005701C9">
            <w:pPr>
              <w:pStyle w:val="P68B1DB1-Normal23"/>
              <w:spacing w:after="0" w:line="240" w:lineRule="auto"/>
              <w:jc w:val="center"/>
              <w:rPr>
                <w:rFonts w:cs="Times New Roman"/>
                <w:noProof/>
                <w:szCs w:val="18"/>
              </w:rPr>
            </w:pPr>
            <w:r>
              <w:rPr>
                <w:noProof/>
              </w:rPr>
              <w:t>T4</w:t>
            </w:r>
          </w:p>
        </w:tc>
        <w:tc>
          <w:tcPr>
            <w:tcW w:w="544" w:type="dxa"/>
            <w:shd w:val="clear" w:color="auto" w:fill="C6EFCE"/>
            <w:noWrap/>
          </w:tcPr>
          <w:p w14:paraId="63419235" w14:textId="77777777" w:rsidR="00D924EA" w:rsidRDefault="00011DE9">
            <w:pPr>
              <w:pStyle w:val="P68B1DB1-Normal23"/>
              <w:spacing w:after="0" w:line="240" w:lineRule="auto"/>
              <w:jc w:val="center"/>
              <w:rPr>
                <w:rFonts w:cs="Times New Roman"/>
                <w:noProof/>
                <w:szCs w:val="18"/>
              </w:rPr>
            </w:pPr>
            <w:r>
              <w:rPr>
                <w:noProof/>
              </w:rPr>
              <w:t>2022</w:t>
            </w:r>
          </w:p>
        </w:tc>
        <w:tc>
          <w:tcPr>
            <w:tcW w:w="5815" w:type="dxa"/>
            <w:shd w:val="clear" w:color="auto" w:fill="C6EFCE"/>
            <w:noWrap/>
          </w:tcPr>
          <w:p w14:paraId="6592D817" w14:textId="08E5389B" w:rsidR="00D924EA" w:rsidRDefault="00011DE9">
            <w:pPr>
              <w:spacing w:after="0" w:line="240" w:lineRule="auto"/>
              <w:rPr>
                <w:noProof/>
              </w:rPr>
            </w:pPr>
            <w:r>
              <w:rPr>
                <w:rFonts w:ascii="Times New Roman" w:hAnsi="Times New Roman"/>
                <w:noProof/>
                <w:sz w:val="18"/>
              </w:rPr>
              <w:t>Finalizarea a cel puțin 50 de kilometri de coastă pentru refacerea zonelor și ecosistemelor degradate, protejarea și creșterea accesibilității zonelor de coastă, atenuarea eroziunii, îmbunătățirea cunoștințelor și creșterea rezilienței zonelor de coastă și a adaptării la efectele schimbărilor climatice, monitorizarea de la distanță și punerea în aplicare a politicilor strategice de planificare marină. Acțiunile iau în considerare oricare dintre următoarele:</w:t>
            </w:r>
            <w:r w:rsidR="00971820">
              <w:rPr>
                <w:noProof/>
              </w:rPr>
              <w:t xml:space="preserve"> </w:t>
            </w:r>
          </w:p>
          <w:p w14:paraId="4D78C638" w14:textId="4A4CA67A" w:rsidR="00D924EA" w:rsidRDefault="00011DE9">
            <w:pPr>
              <w:pStyle w:val="P68B1DB1-Normal37"/>
              <w:spacing w:after="0" w:line="240" w:lineRule="auto"/>
              <w:rPr>
                <w:rFonts w:ascii="Times New Roman" w:hAnsi="Times New Roman" w:cs="Times New Roman"/>
                <w:noProof/>
                <w:szCs w:val="18"/>
              </w:rPr>
            </w:pPr>
            <w:r>
              <w:rPr>
                <w:rFonts w:ascii="Times New Roman" w:hAnsi="Times New Roman"/>
                <w:noProof/>
              </w:rPr>
              <w:t>(I) Creșterea rezistenței coastei spaniole la efectele negative ale schimbărilor climatice prin combaterea eroziunii și consolidarea litoralului. Aceasta ia în considerare crearea de diguri, plaje artificiale, suprafețe plutitoare, gestionarea sedimentelor, soluții bazate pe natură, refacerea plajelor și a sistemelor de dune, infrastructura de protecție costieră, implementarea de rețele inteligente pentru monitorizarea eroziunii costiere sau acțiuni cu efecte similare.</w:t>
            </w:r>
            <w:r w:rsidR="00971820">
              <w:rPr>
                <w:rFonts w:ascii="Times New Roman" w:hAnsi="Times New Roman" w:cs="Times New Roman"/>
                <w:noProof/>
                <w:szCs w:val="18"/>
              </w:rPr>
              <w:t xml:space="preserve"> </w:t>
            </w:r>
          </w:p>
          <w:p w14:paraId="2D592058" w14:textId="5AF40906" w:rsidR="00D924EA" w:rsidRDefault="00011DE9">
            <w:pPr>
              <w:spacing w:after="0" w:line="240" w:lineRule="auto"/>
              <w:rPr>
                <w:noProof/>
              </w:rPr>
            </w:pPr>
            <w:r>
              <w:rPr>
                <w:rFonts w:ascii="Times New Roman" w:hAnsi="Times New Roman"/>
                <w:noProof/>
                <w:sz w:val="18"/>
              </w:rPr>
              <w:t>(II) Protejarea și refacerea ecosistemelor costiere sau a zonelor degradate. Acest lucru se realizează prin (a) relocarea instalațiilor afectate de regrese; (b) delimitarea domeniului maritim terestru deținut de stat; (c) recuperarea terenurilor maritime ocupate necorespunzător sau necorespunzător aflate în proprietatea statului; (d) evaluarea și gestionarea riscurilor sau acțiuni similare; (e) refacerea ecologică a zonelor de coastă și a ecosistemelor degradate; (f) conservarea și gestionarea litoralului; și/sau (g) acțiuni cu efecte similare.</w:t>
            </w:r>
            <w:r w:rsidR="00971820">
              <w:rPr>
                <w:noProof/>
              </w:rPr>
              <w:t xml:space="preserve"> </w:t>
            </w:r>
          </w:p>
          <w:p w14:paraId="4F3AAD2E" w14:textId="44FA606B" w:rsidR="00D924EA" w:rsidRDefault="00011DE9">
            <w:pPr>
              <w:spacing w:after="0" w:line="240" w:lineRule="auto"/>
              <w:rPr>
                <w:noProof/>
              </w:rPr>
            </w:pPr>
            <w:r>
              <w:rPr>
                <w:rFonts w:ascii="Times New Roman" w:hAnsi="Times New Roman"/>
                <w:noProof/>
                <w:sz w:val="18"/>
              </w:rPr>
              <w:t>(III) Îmbunătățirea accesibilității ordonate și corecte la domeniul maritim terestru public. Acest lucru se realizează prin recuperarea terenurilor pentru a oferi acces la domeniul public, prin planificarea, gestionarea și restabilirea accesului sau prin acțiuni cu efecte similare.</w:t>
            </w:r>
            <w:r w:rsidR="00971820">
              <w:rPr>
                <w:noProof/>
              </w:rPr>
              <w:t xml:space="preserve"> </w:t>
            </w:r>
          </w:p>
          <w:p w14:paraId="1912960E" w14:textId="77777777" w:rsidR="00D924EA" w:rsidRDefault="00011DE9">
            <w:pPr>
              <w:pStyle w:val="P68B1DB1-Normal23"/>
              <w:spacing w:after="0" w:line="240" w:lineRule="auto"/>
              <w:rPr>
                <w:rFonts w:cs="Times New Roman"/>
                <w:noProof/>
                <w:szCs w:val="18"/>
              </w:rPr>
            </w:pPr>
            <w:r>
              <w:rPr>
                <w:noProof/>
              </w:rPr>
              <w:t>(IV) Punerea în aplicare a politicilor strategice de planificare marină. Acest lucru se realizează prin punerea în aplicare a amenajării spațiului maritim, a strategiilor marine, a avizelor științifice privind oceanele, clima și zonele de coastă și prin dezvoltarea unei aplicații web georeferențiate pentru utilizatorii mării.</w:t>
            </w:r>
          </w:p>
        </w:tc>
      </w:tr>
      <w:tr w:rsidR="00D924EA" w14:paraId="5FC1C010" w14:textId="77777777" w:rsidTr="0042520D">
        <w:trPr>
          <w:trHeight w:val="309"/>
          <w:jc w:val="center"/>
        </w:trPr>
        <w:tc>
          <w:tcPr>
            <w:tcW w:w="822" w:type="dxa"/>
            <w:shd w:val="clear" w:color="auto" w:fill="C6EFCE"/>
            <w:noWrap/>
          </w:tcPr>
          <w:p w14:paraId="75035DC4" w14:textId="77777777" w:rsidR="00D924EA" w:rsidRDefault="00011DE9">
            <w:pPr>
              <w:pStyle w:val="P68B1DB1-Normal23"/>
              <w:spacing w:after="0" w:line="240" w:lineRule="auto"/>
              <w:jc w:val="center"/>
              <w:rPr>
                <w:rFonts w:cs="Times New Roman"/>
                <w:noProof/>
                <w:szCs w:val="18"/>
              </w:rPr>
            </w:pPr>
            <w:r>
              <w:rPr>
                <w:noProof/>
              </w:rPr>
              <w:t>81</w:t>
            </w:r>
          </w:p>
        </w:tc>
        <w:tc>
          <w:tcPr>
            <w:tcW w:w="815" w:type="dxa"/>
            <w:shd w:val="clear" w:color="auto" w:fill="C6EFCE"/>
            <w:noWrap/>
          </w:tcPr>
          <w:p w14:paraId="1D311560" w14:textId="77777777" w:rsidR="00D924EA" w:rsidRDefault="00011DE9">
            <w:pPr>
              <w:pStyle w:val="P68B1DB1-Normal23"/>
              <w:spacing w:after="0" w:line="240" w:lineRule="auto"/>
              <w:jc w:val="center"/>
              <w:rPr>
                <w:rFonts w:cs="Times New Roman"/>
                <w:noProof/>
                <w:szCs w:val="18"/>
              </w:rPr>
            </w:pPr>
            <w:r>
              <w:rPr>
                <w:noProof/>
              </w:rPr>
              <w:t>C5.I4</w:t>
            </w:r>
          </w:p>
        </w:tc>
        <w:tc>
          <w:tcPr>
            <w:tcW w:w="814" w:type="dxa"/>
            <w:shd w:val="clear" w:color="auto" w:fill="C6EFCE"/>
            <w:noWrap/>
          </w:tcPr>
          <w:p w14:paraId="7F0DD060" w14:textId="77777777" w:rsidR="00D924EA" w:rsidRDefault="00011DE9">
            <w:pPr>
              <w:pStyle w:val="P68B1DB1-Normal23"/>
              <w:spacing w:after="0" w:line="240" w:lineRule="auto"/>
              <w:jc w:val="center"/>
              <w:rPr>
                <w:rFonts w:cs="Times New Roman"/>
                <w:noProof/>
                <w:szCs w:val="18"/>
              </w:rPr>
            </w:pPr>
            <w:r>
              <w:rPr>
                <w:noProof/>
              </w:rPr>
              <w:t>T</w:t>
            </w:r>
          </w:p>
        </w:tc>
        <w:tc>
          <w:tcPr>
            <w:tcW w:w="1939" w:type="dxa"/>
            <w:shd w:val="clear" w:color="auto" w:fill="C6EFCE"/>
            <w:noWrap/>
          </w:tcPr>
          <w:p w14:paraId="4FFFDE2C" w14:textId="77777777" w:rsidR="00D924EA" w:rsidRDefault="00011DE9">
            <w:pPr>
              <w:pStyle w:val="P68B1DB1-Normal23"/>
              <w:spacing w:after="0" w:line="240" w:lineRule="auto"/>
              <w:rPr>
                <w:rFonts w:cs="Times New Roman"/>
                <w:noProof/>
                <w:szCs w:val="18"/>
              </w:rPr>
            </w:pPr>
            <w:r>
              <w:rPr>
                <w:noProof/>
              </w:rPr>
              <w:t>Refacerea zonelor și a ecosistemelor degradate pe o rază de cel puțin 100 de kilometri de coastă</w:t>
            </w:r>
          </w:p>
        </w:tc>
        <w:tc>
          <w:tcPr>
            <w:tcW w:w="1417" w:type="dxa"/>
            <w:shd w:val="clear" w:color="auto" w:fill="C6EFCE"/>
            <w:noWrap/>
          </w:tcPr>
          <w:p w14:paraId="25FB1C05" w14:textId="77777777" w:rsidR="00D924EA" w:rsidRDefault="00D924EA">
            <w:pPr>
              <w:spacing w:after="0" w:line="240" w:lineRule="auto"/>
              <w:jc w:val="center"/>
              <w:rPr>
                <w:rFonts w:ascii="Times New Roman" w:hAnsi="Times New Roman" w:cs="Times New Roman"/>
                <w:noProof/>
                <w:sz w:val="18"/>
                <w:szCs w:val="18"/>
              </w:rPr>
            </w:pPr>
          </w:p>
        </w:tc>
        <w:tc>
          <w:tcPr>
            <w:tcW w:w="1134" w:type="dxa"/>
            <w:shd w:val="clear" w:color="auto" w:fill="C6EFCE"/>
            <w:noWrap/>
          </w:tcPr>
          <w:p w14:paraId="2D6EC415" w14:textId="77777777" w:rsidR="00D924EA" w:rsidRDefault="00011DE9">
            <w:pPr>
              <w:pStyle w:val="P68B1DB1-Normal23"/>
              <w:spacing w:after="0" w:line="240" w:lineRule="auto"/>
              <w:rPr>
                <w:rFonts w:cs="Times New Roman"/>
                <w:noProof/>
                <w:szCs w:val="18"/>
              </w:rPr>
            </w:pPr>
            <w:r>
              <w:rPr>
                <w:noProof/>
              </w:rPr>
              <w:t>Număr (kilometri)</w:t>
            </w:r>
          </w:p>
        </w:tc>
        <w:tc>
          <w:tcPr>
            <w:tcW w:w="992" w:type="dxa"/>
            <w:shd w:val="clear" w:color="auto" w:fill="C6EFCE"/>
            <w:noWrap/>
          </w:tcPr>
          <w:p w14:paraId="0D65326C" w14:textId="77777777" w:rsidR="00D924EA" w:rsidRDefault="00011DE9">
            <w:pPr>
              <w:pStyle w:val="P68B1DB1-Normal23"/>
              <w:spacing w:after="0" w:line="240" w:lineRule="auto"/>
              <w:jc w:val="right"/>
              <w:rPr>
                <w:rFonts w:cs="Times New Roman"/>
                <w:noProof/>
                <w:szCs w:val="18"/>
              </w:rPr>
            </w:pPr>
            <w:r>
              <w:rPr>
                <w:noProof/>
              </w:rPr>
              <w:t>50</w:t>
            </w:r>
          </w:p>
        </w:tc>
        <w:tc>
          <w:tcPr>
            <w:tcW w:w="751" w:type="dxa"/>
            <w:shd w:val="clear" w:color="auto" w:fill="C6EFCE"/>
            <w:noWrap/>
          </w:tcPr>
          <w:p w14:paraId="7E4C1613" w14:textId="77777777" w:rsidR="00D924EA" w:rsidRDefault="00011DE9">
            <w:pPr>
              <w:pStyle w:val="P68B1DB1-Normal23"/>
              <w:spacing w:after="0" w:line="240" w:lineRule="auto"/>
              <w:jc w:val="right"/>
              <w:rPr>
                <w:rFonts w:cs="Times New Roman"/>
                <w:noProof/>
                <w:szCs w:val="18"/>
              </w:rPr>
            </w:pPr>
            <w:r>
              <w:rPr>
                <w:noProof/>
              </w:rPr>
              <w:t>100</w:t>
            </w:r>
          </w:p>
        </w:tc>
        <w:tc>
          <w:tcPr>
            <w:tcW w:w="409" w:type="dxa"/>
            <w:shd w:val="clear" w:color="auto" w:fill="C6EFCE"/>
            <w:noWrap/>
          </w:tcPr>
          <w:p w14:paraId="47F7C3A0" w14:textId="1C54C26D" w:rsidR="00D924EA" w:rsidRDefault="005701C9">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07189A2F" w14:textId="77777777" w:rsidR="00D924EA" w:rsidRDefault="00011DE9">
            <w:pPr>
              <w:pStyle w:val="P68B1DB1-Normal23"/>
              <w:spacing w:after="0" w:line="240" w:lineRule="auto"/>
              <w:jc w:val="center"/>
              <w:rPr>
                <w:rFonts w:cs="Times New Roman"/>
                <w:noProof/>
                <w:szCs w:val="18"/>
              </w:rPr>
            </w:pPr>
            <w:r>
              <w:rPr>
                <w:noProof/>
              </w:rPr>
              <w:t>2023</w:t>
            </w:r>
          </w:p>
        </w:tc>
        <w:tc>
          <w:tcPr>
            <w:tcW w:w="5815" w:type="dxa"/>
            <w:shd w:val="clear" w:color="auto" w:fill="C6EFCE"/>
            <w:noWrap/>
          </w:tcPr>
          <w:p w14:paraId="55DFB45F" w14:textId="61343FF1" w:rsidR="00D924EA" w:rsidRDefault="00011DE9">
            <w:pPr>
              <w:spacing w:after="0" w:line="240" w:lineRule="auto"/>
              <w:rPr>
                <w:noProof/>
              </w:rPr>
            </w:pPr>
            <w:r>
              <w:rPr>
                <w:rFonts w:ascii="Times New Roman" w:hAnsi="Times New Roman"/>
                <w:noProof/>
                <w:sz w:val="18"/>
              </w:rPr>
              <w:t>Finalizarea lucrărilor de-a lungul a cel puțin 100 de kilometri de coastă, care includ oricare dintre următoarele:</w:t>
            </w:r>
            <w:r w:rsidR="00971820">
              <w:rPr>
                <w:noProof/>
              </w:rPr>
              <w:t xml:space="preserve"> </w:t>
            </w:r>
          </w:p>
          <w:p w14:paraId="02177C4E" w14:textId="27097523" w:rsidR="00D924EA" w:rsidRDefault="00011DE9">
            <w:pPr>
              <w:pStyle w:val="P68B1DB1-Normal37"/>
              <w:spacing w:after="0" w:line="240" w:lineRule="auto"/>
              <w:rPr>
                <w:rFonts w:ascii="Times New Roman" w:hAnsi="Times New Roman"/>
                <w:noProof/>
              </w:rPr>
            </w:pPr>
            <w:r>
              <w:rPr>
                <w:rFonts w:ascii="Times New Roman" w:hAnsi="Times New Roman"/>
                <w:noProof/>
              </w:rPr>
              <w:t>(I) Creșterea rezilienței coastei spaniole la efectele negative ale schimbărilor climatice prin combaterea eroziunii și consolidarea litoralului și a monitorizării de la distanță. Acest lucru ia în considerare crearea de diguri de larg, plaje artificiale, suprafețe plutitoare, gestionarea sedimentelor, soluții bazate pe natură, refacerea sistemelor de plaje și dune, infrastructura de protecție costieră, implementarea de rețele inteligente pentru monitorizarea eroziunii costiere, o mai bună cunoaștere sau acțiuni cu efecte similare.</w:t>
            </w:r>
            <w:r w:rsidR="00971820">
              <w:rPr>
                <w:rFonts w:ascii="Times New Roman" w:hAnsi="Times New Roman" w:cs="Times New Roman"/>
                <w:noProof/>
                <w:szCs w:val="18"/>
              </w:rPr>
              <w:t xml:space="preserve"> </w:t>
            </w:r>
            <w:r>
              <w:rPr>
                <w:rFonts w:ascii="Times New Roman" w:hAnsi="Times New Roman"/>
                <w:noProof/>
              </w:rPr>
              <w:t xml:space="preserve">(II) Protejarea și refacerea ecosistemelor costiere sau a ecosistemelor degradate </w:t>
            </w:r>
          </w:p>
          <w:p w14:paraId="5A085D01" w14:textId="0CDEF097" w:rsidR="00D924EA" w:rsidRDefault="00011DE9">
            <w:pPr>
              <w:spacing w:after="0" w:line="240" w:lineRule="auto"/>
              <w:rPr>
                <w:noProof/>
              </w:rPr>
            </w:pPr>
            <w:r>
              <w:rPr>
                <w:rFonts w:ascii="Times New Roman" w:hAnsi="Times New Roman"/>
                <w:noProof/>
                <w:sz w:val="18"/>
              </w:rPr>
              <w:t>zonele. Acest lucru se realizează prin (a) relocarea instalațiilor afectate de regrese; (b) delimitarea domeniului maritim terestru deținut de stat; (c) recuperarea terenurilor maritime ocupate necorespunzător sau necorespunzător aflate în proprietatea statului; (d) evaluarea și gestionarea riscurilor sau acțiuni similare; (e) refacerea ecologică a zonelor de coastă și a ecosistemelor degradate; (f) conservarea și gestionarea litoralului; (g) o mai bună cunoaștere și/sau (h) acțiuni cu efecte similare.</w:t>
            </w:r>
            <w:r w:rsidR="00971820">
              <w:rPr>
                <w:noProof/>
              </w:rPr>
              <w:t xml:space="preserve"> </w:t>
            </w:r>
          </w:p>
          <w:p w14:paraId="0DE4D0B3" w14:textId="772E87B9" w:rsidR="00D924EA" w:rsidRDefault="00011DE9">
            <w:pPr>
              <w:spacing w:after="0" w:line="240" w:lineRule="auto"/>
              <w:rPr>
                <w:noProof/>
              </w:rPr>
            </w:pPr>
            <w:r>
              <w:rPr>
                <w:rFonts w:ascii="Times New Roman" w:hAnsi="Times New Roman"/>
                <w:noProof/>
                <w:sz w:val="18"/>
              </w:rPr>
              <w:t>(III) Îmbunătățirea accesibilității ordonate și corecte la domeniul maritim terestru public. Acest lucru se realizează prin recuperarea terenurilor pentru a oferi acces la domeniul public, prin planificarea, gestionarea și restabilirea accesului, prin îmbunătățirea cunoștințelor sau prin acțiuni cu efect similar.</w:t>
            </w:r>
            <w:r w:rsidR="00971820">
              <w:rPr>
                <w:noProof/>
              </w:rPr>
              <w:t xml:space="preserve"> </w:t>
            </w:r>
          </w:p>
          <w:p w14:paraId="1E272BA3" w14:textId="77777777" w:rsidR="00D924EA" w:rsidRDefault="00011DE9">
            <w:pPr>
              <w:pStyle w:val="P68B1DB1-Normal23"/>
              <w:spacing w:after="0" w:line="240" w:lineRule="auto"/>
              <w:rPr>
                <w:rFonts w:cs="Times New Roman"/>
                <w:noProof/>
                <w:szCs w:val="18"/>
              </w:rPr>
            </w:pPr>
            <w:r>
              <w:rPr>
                <w:noProof/>
              </w:rPr>
              <w:t>(IV) Punerea în aplicare a politicilor strategice de planificare marină și o mai bună cunoaștere a acestora. Acest lucru se realizează prin punerea în aplicare a amenajării spațiului maritim, a strategiilor marine, a avizelor științifice privind oceanele, clima și zonele de coastă și prin dezvoltarea unei aplicații web georeferențiate pentru utilizatorii mării. (Referință: 31 decembrie 2022.)</w:t>
            </w:r>
          </w:p>
        </w:tc>
      </w:tr>
      <w:tr w:rsidR="00D924EA" w14:paraId="3756C2DA" w14:textId="77777777" w:rsidTr="0042520D">
        <w:trPr>
          <w:trHeight w:val="309"/>
          <w:jc w:val="center"/>
        </w:trPr>
        <w:tc>
          <w:tcPr>
            <w:tcW w:w="822" w:type="dxa"/>
            <w:shd w:val="clear" w:color="auto" w:fill="C6EFCE"/>
            <w:noWrap/>
          </w:tcPr>
          <w:p w14:paraId="26F21A54" w14:textId="77777777" w:rsidR="00D924EA" w:rsidRDefault="00011DE9">
            <w:pPr>
              <w:pStyle w:val="P68B1DB1-Normal23"/>
              <w:spacing w:after="0" w:line="240" w:lineRule="auto"/>
              <w:jc w:val="center"/>
              <w:rPr>
                <w:rFonts w:cs="Times New Roman"/>
                <w:noProof/>
                <w:szCs w:val="18"/>
              </w:rPr>
            </w:pPr>
            <w:r>
              <w:rPr>
                <w:noProof/>
              </w:rPr>
              <w:t>81b</w:t>
            </w:r>
          </w:p>
        </w:tc>
        <w:tc>
          <w:tcPr>
            <w:tcW w:w="815" w:type="dxa"/>
            <w:shd w:val="clear" w:color="auto" w:fill="C6EFCE"/>
            <w:noWrap/>
          </w:tcPr>
          <w:p w14:paraId="30E8CD4D" w14:textId="77777777" w:rsidR="00D924EA" w:rsidRDefault="00011DE9">
            <w:pPr>
              <w:pStyle w:val="P68B1DB1-Normal23"/>
              <w:spacing w:after="0" w:line="240" w:lineRule="auto"/>
              <w:jc w:val="center"/>
              <w:rPr>
                <w:rFonts w:cs="Times New Roman"/>
                <w:noProof/>
                <w:szCs w:val="18"/>
              </w:rPr>
            </w:pPr>
            <w:r>
              <w:rPr>
                <w:noProof/>
              </w:rPr>
              <w:t>C5.I4</w:t>
            </w:r>
          </w:p>
        </w:tc>
        <w:tc>
          <w:tcPr>
            <w:tcW w:w="814" w:type="dxa"/>
            <w:shd w:val="clear" w:color="auto" w:fill="C6EFCE"/>
            <w:noWrap/>
          </w:tcPr>
          <w:p w14:paraId="6E18D312" w14:textId="77777777" w:rsidR="00D924EA" w:rsidRDefault="00011DE9">
            <w:pPr>
              <w:pStyle w:val="P68B1DB1-Normal23"/>
              <w:spacing w:after="0" w:line="240" w:lineRule="auto"/>
              <w:jc w:val="center"/>
              <w:rPr>
                <w:rFonts w:cs="Times New Roman"/>
                <w:noProof/>
                <w:szCs w:val="18"/>
              </w:rPr>
            </w:pPr>
            <w:r>
              <w:rPr>
                <w:noProof/>
              </w:rPr>
              <w:t>T</w:t>
            </w:r>
          </w:p>
        </w:tc>
        <w:tc>
          <w:tcPr>
            <w:tcW w:w="1939" w:type="dxa"/>
            <w:shd w:val="clear" w:color="auto" w:fill="C6EFCE"/>
            <w:noWrap/>
          </w:tcPr>
          <w:p w14:paraId="49663A0C" w14:textId="7C7ADD05" w:rsidR="00D924EA" w:rsidRDefault="00011DE9">
            <w:pPr>
              <w:pStyle w:val="P68B1DB1-Normal23"/>
              <w:spacing w:after="0" w:line="240" w:lineRule="auto"/>
              <w:rPr>
                <w:rFonts w:cs="Times New Roman"/>
                <w:noProof/>
                <w:szCs w:val="18"/>
              </w:rPr>
            </w:pPr>
            <w:r>
              <w:rPr>
                <w:noProof/>
              </w:rPr>
              <w:t xml:space="preserve">Refacerea zonelor și a ecosistemelor degradate </w:t>
            </w:r>
          </w:p>
        </w:tc>
        <w:tc>
          <w:tcPr>
            <w:tcW w:w="1417" w:type="dxa"/>
            <w:shd w:val="clear" w:color="auto" w:fill="C6EFCE"/>
            <w:noWrap/>
          </w:tcPr>
          <w:p w14:paraId="71CDB666" w14:textId="77777777" w:rsidR="00D924EA" w:rsidRDefault="00D924EA">
            <w:pPr>
              <w:spacing w:after="0" w:line="240" w:lineRule="auto"/>
              <w:jc w:val="center"/>
              <w:rPr>
                <w:rFonts w:ascii="Times New Roman" w:hAnsi="Times New Roman" w:cs="Times New Roman"/>
                <w:noProof/>
                <w:sz w:val="18"/>
                <w:szCs w:val="18"/>
              </w:rPr>
            </w:pPr>
          </w:p>
        </w:tc>
        <w:tc>
          <w:tcPr>
            <w:tcW w:w="1134" w:type="dxa"/>
            <w:shd w:val="clear" w:color="auto" w:fill="C6EFCE"/>
            <w:noWrap/>
          </w:tcPr>
          <w:p w14:paraId="7BDB514D" w14:textId="77777777" w:rsidR="00D924EA" w:rsidRDefault="00011DE9">
            <w:pPr>
              <w:pStyle w:val="P68B1DB1-Normal23"/>
              <w:spacing w:after="0" w:line="240" w:lineRule="auto"/>
              <w:rPr>
                <w:rFonts w:cs="Times New Roman"/>
                <w:noProof/>
                <w:szCs w:val="18"/>
              </w:rPr>
            </w:pPr>
            <w:r>
              <w:rPr>
                <w:noProof/>
              </w:rPr>
              <w:t>Număr (kilometri)</w:t>
            </w:r>
          </w:p>
        </w:tc>
        <w:tc>
          <w:tcPr>
            <w:tcW w:w="992" w:type="dxa"/>
            <w:shd w:val="clear" w:color="auto" w:fill="C6EFCE"/>
            <w:noWrap/>
          </w:tcPr>
          <w:p w14:paraId="27CAE6B1" w14:textId="77777777" w:rsidR="00D924EA" w:rsidRDefault="00011DE9">
            <w:pPr>
              <w:pStyle w:val="P68B1DB1-Normal23"/>
              <w:spacing w:after="0" w:line="240" w:lineRule="auto"/>
              <w:jc w:val="right"/>
              <w:rPr>
                <w:rFonts w:cs="Times New Roman"/>
                <w:noProof/>
                <w:szCs w:val="18"/>
              </w:rPr>
            </w:pPr>
            <w:r>
              <w:rPr>
                <w:noProof/>
              </w:rPr>
              <w:t>100</w:t>
            </w:r>
          </w:p>
        </w:tc>
        <w:tc>
          <w:tcPr>
            <w:tcW w:w="751" w:type="dxa"/>
            <w:shd w:val="clear" w:color="auto" w:fill="C6EFCE"/>
            <w:noWrap/>
          </w:tcPr>
          <w:p w14:paraId="2E00E78C" w14:textId="77777777" w:rsidR="00D924EA" w:rsidRDefault="00011DE9">
            <w:pPr>
              <w:pStyle w:val="P68B1DB1-Normal23"/>
              <w:spacing w:after="0" w:line="240" w:lineRule="auto"/>
              <w:jc w:val="right"/>
              <w:rPr>
                <w:rFonts w:cs="Times New Roman"/>
                <w:noProof/>
                <w:szCs w:val="18"/>
              </w:rPr>
            </w:pPr>
            <w:r>
              <w:rPr>
                <w:noProof/>
              </w:rPr>
              <w:t>145</w:t>
            </w:r>
          </w:p>
        </w:tc>
        <w:tc>
          <w:tcPr>
            <w:tcW w:w="409" w:type="dxa"/>
            <w:shd w:val="clear" w:color="auto" w:fill="C6EFCE"/>
            <w:noWrap/>
          </w:tcPr>
          <w:p w14:paraId="73BFB821" w14:textId="54C0B5AD" w:rsidR="00D924EA" w:rsidRDefault="005701C9">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1D07B4C3" w14:textId="77777777" w:rsidR="00D924EA" w:rsidRDefault="00011DE9">
            <w:pPr>
              <w:pStyle w:val="P68B1DB1-Normal23"/>
              <w:spacing w:after="0" w:line="240" w:lineRule="auto"/>
              <w:jc w:val="center"/>
              <w:rPr>
                <w:rFonts w:cs="Times New Roman"/>
                <w:noProof/>
                <w:szCs w:val="18"/>
              </w:rPr>
            </w:pPr>
            <w:r>
              <w:rPr>
                <w:noProof/>
              </w:rPr>
              <w:t>2026</w:t>
            </w:r>
          </w:p>
        </w:tc>
        <w:tc>
          <w:tcPr>
            <w:tcW w:w="5815" w:type="dxa"/>
            <w:shd w:val="clear" w:color="auto" w:fill="C6EFCE"/>
            <w:noWrap/>
          </w:tcPr>
          <w:p w14:paraId="22D097A8" w14:textId="1C3A511D" w:rsidR="00D924EA" w:rsidRDefault="00011DE9">
            <w:pPr>
              <w:pStyle w:val="P68B1DB1-Normal41"/>
              <w:spacing w:after="0" w:line="240" w:lineRule="auto"/>
              <w:rPr>
                <w:noProof/>
              </w:rPr>
            </w:pPr>
            <w:r>
              <w:rPr>
                <w:noProof/>
              </w:rPr>
              <w:t>Confirmarea de către administrație a executării contractelor referitoare la refacerea zonelor și a ecosistemelor degradate pe o rază de 145 de kilometri de coastă.</w:t>
            </w:r>
          </w:p>
        </w:tc>
      </w:tr>
    </w:tbl>
    <w:p w14:paraId="784F493A" w14:textId="77777777" w:rsidR="00D924EA" w:rsidRDefault="00D924EA">
      <w:pPr>
        <w:keepNext/>
        <w:spacing w:before="120" w:after="120" w:line="240" w:lineRule="auto"/>
        <w:ind w:left="720"/>
        <w:jc w:val="both"/>
        <w:rPr>
          <w:rFonts w:ascii="Times New Roman" w:hAnsi="Times New Roman" w:cs="Times New Roman"/>
          <w:noProof/>
          <w:u w:val="single"/>
        </w:rPr>
        <w:sectPr w:rsidR="00D924EA" w:rsidSect="00B528FB">
          <w:headerReference w:type="even" r:id="rId86"/>
          <w:headerReference w:type="default" r:id="rId87"/>
          <w:footerReference w:type="even" r:id="rId88"/>
          <w:footerReference w:type="default" r:id="rId89"/>
          <w:headerReference w:type="first" r:id="rId90"/>
          <w:footerReference w:type="first" r:id="rId91"/>
          <w:pgSz w:w="16839" w:h="11907" w:orient="landscape"/>
          <w:pgMar w:top="1134" w:right="1134" w:bottom="1134" w:left="1134" w:header="567" w:footer="567" w:gutter="0"/>
          <w:cols w:space="720"/>
          <w:docGrid w:linePitch="360"/>
        </w:sectPr>
      </w:pPr>
    </w:p>
    <w:p w14:paraId="079667E8" w14:textId="77777777" w:rsidR="00D924EA" w:rsidRDefault="00011DE9">
      <w:pPr>
        <w:pStyle w:val="P68B1DB1-Normal5"/>
        <w:keepNext/>
        <w:spacing w:before="360" w:after="360" w:line="240" w:lineRule="auto"/>
        <w:jc w:val="center"/>
        <w:outlineLvl w:val="0"/>
        <w:rPr>
          <w:rFonts w:cs="Times New Roman"/>
          <w:noProof/>
        </w:rPr>
      </w:pPr>
      <w:r>
        <w:rPr>
          <w:noProof/>
        </w:rPr>
        <w:t>F. COMPONENTA 06: Mobilitate durabilă (pe distanțe lungi)</w:t>
      </w:r>
    </w:p>
    <w:p w14:paraId="301CE95A" w14:textId="0CD5E378" w:rsidR="00D924EA" w:rsidRDefault="00011DE9">
      <w:pPr>
        <w:pStyle w:val="P68B1DB1-Normal7"/>
        <w:spacing w:after="200" w:line="240" w:lineRule="auto"/>
        <w:jc w:val="both"/>
        <w:rPr>
          <w:rFonts w:cs="Times New Roman"/>
          <w:noProof/>
        </w:rPr>
      </w:pPr>
      <w:r>
        <w:rPr>
          <w:noProof/>
        </w:rPr>
        <w:t>Această componentă a planului spaniol de redresare și reziliență abordează următoarele provocări: 1)</w:t>
      </w:r>
      <w:r w:rsidR="0042520D">
        <w:rPr>
          <w:noProof/>
        </w:rPr>
        <w:t> </w:t>
      </w:r>
      <w:r>
        <w:rPr>
          <w:noProof/>
        </w:rPr>
        <w:t>tranziția către moduri de transport mai durabile; 2) reducerea emisiilor din sectorul transporturilor; 3) un sector al transporturilor mai sigur, mai accesibil, mai durabil și mai favorabil incluziunii.</w:t>
      </w:r>
    </w:p>
    <w:p w14:paraId="6030F2C4" w14:textId="77777777" w:rsidR="00D924EA" w:rsidRDefault="00011DE9">
      <w:pPr>
        <w:pStyle w:val="P68B1DB1-Normal7"/>
        <w:spacing w:after="200" w:line="240" w:lineRule="auto"/>
        <w:jc w:val="both"/>
        <w:rPr>
          <w:rFonts w:cs="Times New Roman"/>
          <w:noProof/>
        </w:rPr>
      </w:pPr>
      <w:r>
        <w:rPr>
          <w:noProof/>
        </w:rPr>
        <w:t xml:space="preserve">Obiectivele componentei sunt: dezvoltarea rețelei feroviare spaniole (în special coridoarele TEN-T centrale și rețeaua TEN-T secundară); crearea unei rețele de transport mai interoperabile (feroviar, rutier, portuar), cu obiectivul de a-și reduce amprenta de carbon; îmbunătățirea legăturilor transfrontaliere cu Franța și Portugalia; modernizarea sectorului transporturilor prin adoptarea tehnologiilor digitale avansate. </w:t>
      </w:r>
    </w:p>
    <w:p w14:paraId="50DE3792" w14:textId="77777777" w:rsidR="00D924EA" w:rsidRDefault="00011DE9">
      <w:pPr>
        <w:pStyle w:val="P68B1DB1-Normal7"/>
        <w:spacing w:after="200" w:line="240" w:lineRule="auto"/>
        <w:jc w:val="both"/>
        <w:rPr>
          <w:rFonts w:cs="Times New Roman"/>
          <w:noProof/>
        </w:rPr>
      </w:pPr>
      <w:r>
        <w:rPr>
          <w:noProof/>
        </w:rPr>
        <w:t>Această componentă abordează recomandările specifice fiecărei țări privind promovarea investițiilor în eficiența energetică și utilizarea resurselor și privind promovarea infrastructurii de transport feroviar de marfă (Recomandarea specifică fiecărei țări 3 2019) și privind investițiile în tranziția verde și digitală și în transportul durabil (Recomandarea specifică fiecărei țări 3 2020).</w:t>
      </w:r>
    </w:p>
    <w:p w14:paraId="7806CB3B" w14:textId="77777777" w:rsidR="00D924EA" w:rsidRDefault="00011DE9">
      <w:pPr>
        <w:pStyle w:val="P68B1DB1-Normal7"/>
        <w:spacing w:after="20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7AF858E" w14:textId="2674B13A" w:rsidR="00D924EA" w:rsidRDefault="00011DE9">
      <w:pPr>
        <w:pStyle w:val="P68B1DB1-Normal6"/>
        <w:spacing w:before="120" w:after="120" w:line="240" w:lineRule="auto"/>
        <w:ind w:left="709"/>
        <w:jc w:val="both"/>
        <w:rPr>
          <w:rFonts w:ascii="Times New Roman" w:eastAsia="Calibri" w:hAnsi="Times New Roman" w:cs="Times New Roman"/>
          <w:b/>
          <w:i/>
          <w:noProof/>
        </w:rPr>
      </w:pPr>
      <w:r>
        <w:rPr>
          <w:rFonts w:ascii="Times New Roman" w:eastAsia="Calibri" w:hAnsi="Times New Roman" w:cs="Arial"/>
          <w:b/>
          <w:noProof/>
          <w:u w:val="single"/>
        </w:rPr>
        <w:t>F.1.</w:t>
      </w:r>
      <w:r w:rsidR="00971820">
        <w:rPr>
          <w:rFonts w:ascii="Times New Roman" w:eastAsia="Calibri" w:hAnsi="Times New Roman" w:cs="Arial"/>
          <w:b/>
          <w:noProof/>
          <w:u w:val="single"/>
        </w:rPr>
        <w:t xml:space="preserve"> </w:t>
      </w:r>
      <w:r>
        <w:rPr>
          <w:rFonts w:ascii="Times New Roman" w:eastAsia="Calibri" w:hAnsi="Times New Roman" w:cs="Arial"/>
          <w:b/>
          <w:noProof/>
          <w:u w:val="single"/>
        </w:rPr>
        <w:t>Descrierea reformelor și a investițiilor pentru sprijinul financiar nerambursabil</w:t>
      </w:r>
    </w:p>
    <w:p w14:paraId="63A35A72" w14:textId="77777777" w:rsidR="00D924EA" w:rsidRDefault="00011DE9">
      <w:pPr>
        <w:pStyle w:val="P68B1DB1-Normal8"/>
        <w:spacing w:after="200" w:line="240" w:lineRule="auto"/>
        <w:jc w:val="both"/>
        <w:rPr>
          <w:rFonts w:cs="Times New Roman"/>
          <w:noProof/>
        </w:rPr>
      </w:pPr>
      <w:r>
        <w:rPr>
          <w:noProof/>
        </w:rPr>
        <w:t>Reforma 1 (C6.R1) – Strategia pentru o mobilitate sigură, durabilă și conectată</w:t>
      </w:r>
    </w:p>
    <w:p w14:paraId="0CD1BAA8" w14:textId="77777777" w:rsidR="00D924EA" w:rsidRDefault="00011DE9">
      <w:pPr>
        <w:pStyle w:val="P68B1DB1-Normal7"/>
        <w:spacing w:after="200" w:line="240" w:lineRule="auto"/>
        <w:jc w:val="both"/>
        <w:rPr>
          <w:rFonts w:cs="Times New Roman"/>
          <w:noProof/>
        </w:rPr>
      </w:pPr>
      <w:r>
        <w:rPr>
          <w:noProof/>
        </w:rPr>
        <w:t xml:space="preserve">Obiectivele măsurii sunt: </w:t>
      </w:r>
    </w:p>
    <w:p w14:paraId="64F28071" w14:textId="77777777" w:rsidR="00D924EA" w:rsidRDefault="00011DE9">
      <w:pPr>
        <w:pStyle w:val="P68B1DB1-Normal7"/>
        <w:numPr>
          <w:ilvl w:val="0"/>
          <w:numId w:val="51"/>
        </w:numPr>
        <w:spacing w:after="200" w:line="240" w:lineRule="auto"/>
        <w:contextualSpacing/>
        <w:jc w:val="both"/>
        <w:rPr>
          <w:rFonts w:cs="Times New Roman"/>
          <w:noProof/>
        </w:rPr>
      </w:pPr>
      <w:r>
        <w:rPr>
          <w:noProof/>
        </w:rPr>
        <w:t xml:space="preserve">Creșterea securității rețelei de mobilitate, asigurând o mai bună protecție a persoanelor și a bunurilor, îmbunătățind standardele și reducând numărul accidentelor. </w:t>
      </w:r>
    </w:p>
    <w:p w14:paraId="46365ED8" w14:textId="77777777" w:rsidR="00D924EA" w:rsidRDefault="00011DE9">
      <w:pPr>
        <w:pStyle w:val="P68B1DB1-Normal7"/>
        <w:numPr>
          <w:ilvl w:val="0"/>
          <w:numId w:val="51"/>
        </w:numPr>
        <w:spacing w:after="200" w:line="240" w:lineRule="auto"/>
        <w:contextualSpacing/>
        <w:jc w:val="both"/>
        <w:rPr>
          <w:rFonts w:cs="Times New Roman"/>
          <w:noProof/>
        </w:rPr>
      </w:pPr>
      <w:r>
        <w:rPr>
          <w:noProof/>
        </w:rPr>
        <w:t xml:space="preserve">Creșterea sustenabilității, acordând prioritate mobilității zilnice, echității economice și sociale, eficienței energetice și combaterii schimbărilor climatice. </w:t>
      </w:r>
    </w:p>
    <w:p w14:paraId="2EE15E9C" w14:textId="77777777" w:rsidR="00D924EA" w:rsidRDefault="00011DE9">
      <w:pPr>
        <w:pStyle w:val="P68B1DB1-Normal7"/>
        <w:numPr>
          <w:ilvl w:val="0"/>
          <w:numId w:val="51"/>
        </w:numPr>
        <w:spacing w:after="200" w:line="240" w:lineRule="auto"/>
        <w:contextualSpacing/>
        <w:jc w:val="both"/>
        <w:rPr>
          <w:rFonts w:cs="Times New Roman"/>
          <w:noProof/>
        </w:rPr>
      </w:pPr>
      <w:r>
        <w:rPr>
          <w:noProof/>
        </w:rPr>
        <w:t>Îmbunătățirea conectivității prin digitalizare, progres tehnologic și conectivitate multimodală.</w:t>
      </w:r>
    </w:p>
    <w:p w14:paraId="16F74DDB" w14:textId="77777777" w:rsidR="00D924EA" w:rsidRDefault="00D924EA">
      <w:pPr>
        <w:spacing w:after="200" w:line="240" w:lineRule="auto"/>
        <w:ind w:left="1080"/>
        <w:contextualSpacing/>
        <w:jc w:val="both"/>
        <w:rPr>
          <w:rFonts w:ascii="Times New Roman" w:eastAsia="Calibri" w:hAnsi="Times New Roman" w:cs="Times New Roman"/>
          <w:noProof/>
          <w:kern w:val="0"/>
          <w14:ligatures w14:val="none"/>
        </w:rPr>
      </w:pPr>
    </w:p>
    <w:p w14:paraId="28729377" w14:textId="77777777" w:rsidR="00D924EA" w:rsidRDefault="00011DE9">
      <w:pPr>
        <w:pStyle w:val="P68B1DB1-Normal7"/>
        <w:spacing w:after="200" w:line="240" w:lineRule="auto"/>
        <w:jc w:val="both"/>
        <w:rPr>
          <w:rFonts w:cs="Times New Roman"/>
          <w:noProof/>
        </w:rPr>
      </w:pPr>
      <w:r>
        <w:rPr>
          <w:noProof/>
        </w:rPr>
        <w:t xml:space="preserve">Strategia abordează acțiuni specifice în următoarele nouă domenii: </w:t>
      </w:r>
    </w:p>
    <w:p w14:paraId="4E900BF4" w14:textId="77777777" w:rsidR="00D924EA" w:rsidRDefault="00011DE9">
      <w:pPr>
        <w:pStyle w:val="P68B1DB1-Normal7"/>
        <w:numPr>
          <w:ilvl w:val="0"/>
          <w:numId w:val="52"/>
        </w:numPr>
        <w:spacing w:after="200" w:line="240" w:lineRule="auto"/>
        <w:contextualSpacing/>
        <w:jc w:val="both"/>
        <w:rPr>
          <w:rFonts w:cs="Times New Roman"/>
          <w:noProof/>
        </w:rPr>
      </w:pPr>
      <w:r>
        <w:rPr>
          <w:noProof/>
        </w:rPr>
        <w:t xml:space="preserve">Mobilitatea pentru toți (asigurarea accesibilității universale la costuri rezonabile); </w:t>
      </w:r>
    </w:p>
    <w:p w14:paraId="072773AC" w14:textId="77777777" w:rsidR="00D924EA" w:rsidRDefault="00011DE9">
      <w:pPr>
        <w:pStyle w:val="P68B1DB1-Normal7"/>
        <w:numPr>
          <w:ilvl w:val="0"/>
          <w:numId w:val="52"/>
        </w:numPr>
        <w:spacing w:after="200" w:line="240" w:lineRule="auto"/>
        <w:contextualSpacing/>
        <w:jc w:val="both"/>
        <w:rPr>
          <w:rFonts w:cs="Times New Roman"/>
          <w:noProof/>
        </w:rPr>
      </w:pPr>
      <w:r>
        <w:rPr>
          <w:noProof/>
        </w:rPr>
        <w:t xml:space="preserve">Noi politici de investiții (pentru a asigura finanțarea adecvată a infrastructurilor și serviciilor de transport); </w:t>
      </w:r>
    </w:p>
    <w:p w14:paraId="0F8D53C5" w14:textId="77777777" w:rsidR="00D924EA" w:rsidRDefault="00011DE9">
      <w:pPr>
        <w:pStyle w:val="P68B1DB1-Normal7"/>
        <w:numPr>
          <w:ilvl w:val="0"/>
          <w:numId w:val="52"/>
        </w:numPr>
        <w:spacing w:after="200" w:line="240" w:lineRule="auto"/>
        <w:contextualSpacing/>
        <w:jc w:val="both"/>
        <w:rPr>
          <w:rFonts w:cs="Times New Roman"/>
          <w:noProof/>
        </w:rPr>
      </w:pPr>
      <w:r>
        <w:rPr>
          <w:noProof/>
        </w:rPr>
        <w:t xml:space="preserve">Mobilitatea sigură (acordând prioritate investițiilor în monitorizare, întreținere și securitate cibernetică); </w:t>
      </w:r>
    </w:p>
    <w:p w14:paraId="3BD36E94" w14:textId="77777777" w:rsidR="00D924EA" w:rsidRDefault="00011DE9">
      <w:pPr>
        <w:pStyle w:val="P68B1DB1-Normal7"/>
        <w:numPr>
          <w:ilvl w:val="0"/>
          <w:numId w:val="52"/>
        </w:numPr>
        <w:spacing w:after="200" w:line="240" w:lineRule="auto"/>
        <w:contextualSpacing/>
        <w:jc w:val="both"/>
        <w:rPr>
          <w:rFonts w:cs="Times New Roman"/>
          <w:noProof/>
        </w:rPr>
      </w:pPr>
      <w:r>
        <w:rPr>
          <w:noProof/>
        </w:rPr>
        <w:t xml:space="preserve">Mobilitatea cu emisii scăzute (creșterea eficienței, reducerea consumului de energie); </w:t>
      </w:r>
    </w:p>
    <w:p w14:paraId="3945FE94" w14:textId="77777777" w:rsidR="00D924EA" w:rsidRDefault="00011DE9">
      <w:pPr>
        <w:pStyle w:val="P68B1DB1-Normal7"/>
        <w:numPr>
          <w:ilvl w:val="0"/>
          <w:numId w:val="52"/>
        </w:numPr>
        <w:spacing w:after="200" w:line="240" w:lineRule="auto"/>
        <w:contextualSpacing/>
        <w:jc w:val="both"/>
        <w:rPr>
          <w:rFonts w:cs="Times New Roman"/>
          <w:noProof/>
        </w:rPr>
      </w:pPr>
      <w:r>
        <w:rPr>
          <w:noProof/>
        </w:rPr>
        <w:t xml:space="preserve">Mobilitatea inteligentă (stimularea C &amp; D și a inovării în domeniul mobilității, construirea și gestionarea infrastructurii inteligente); </w:t>
      </w:r>
    </w:p>
    <w:p w14:paraId="4D44534C" w14:textId="77777777" w:rsidR="00D924EA" w:rsidRDefault="00011DE9">
      <w:pPr>
        <w:pStyle w:val="P68B1DB1-Normal7"/>
        <w:numPr>
          <w:ilvl w:val="0"/>
          <w:numId w:val="52"/>
        </w:numPr>
        <w:spacing w:after="200" w:line="240" w:lineRule="auto"/>
        <w:contextualSpacing/>
        <w:jc w:val="both"/>
        <w:rPr>
          <w:rFonts w:cs="Times New Roman"/>
          <w:noProof/>
        </w:rPr>
      </w:pPr>
      <w:r>
        <w:rPr>
          <w:noProof/>
        </w:rPr>
        <w:t xml:space="preserve">Lanțuri logistice intermodale inteligente (prioritizarea transportului de mărfuri pe calea ferată în agendele publice și private); </w:t>
      </w:r>
    </w:p>
    <w:p w14:paraId="513C7B27" w14:textId="77777777" w:rsidR="00D924EA" w:rsidRDefault="00011DE9">
      <w:pPr>
        <w:pStyle w:val="P68B1DB1-Normal7"/>
        <w:numPr>
          <w:ilvl w:val="0"/>
          <w:numId w:val="52"/>
        </w:numPr>
        <w:spacing w:after="200" w:line="240" w:lineRule="auto"/>
        <w:contextualSpacing/>
        <w:jc w:val="both"/>
        <w:rPr>
          <w:rFonts w:cs="Times New Roman"/>
          <w:noProof/>
        </w:rPr>
      </w:pPr>
      <w:r>
        <w:rPr>
          <w:noProof/>
        </w:rPr>
        <w:t xml:space="preserve">Conectarea Europei și a lumii (conectarea porturilor la terminalele logistice intermodale și intensificarea cooperării cu țările învecinate pentru a coordona construirea și/sau îmbunătățirea infrastructurilor transfrontaliere); </w:t>
      </w:r>
    </w:p>
    <w:p w14:paraId="184D5A44" w14:textId="77777777" w:rsidR="00D924EA" w:rsidRDefault="00011DE9">
      <w:pPr>
        <w:pStyle w:val="P68B1DB1-Normal7"/>
        <w:numPr>
          <w:ilvl w:val="0"/>
          <w:numId w:val="52"/>
        </w:numPr>
        <w:spacing w:after="200" w:line="240" w:lineRule="auto"/>
        <w:contextualSpacing/>
        <w:jc w:val="both"/>
        <w:rPr>
          <w:rFonts w:cs="Times New Roman"/>
          <w:noProof/>
        </w:rPr>
      </w:pPr>
      <w:r>
        <w:rPr>
          <w:noProof/>
        </w:rPr>
        <w:t>Aspecte sociale și de muncă (echilibrul de gen și acțiuni de recalificare și perfecționare a forței de muncă din domeniul transporturilor); și</w:t>
      </w:r>
    </w:p>
    <w:p w14:paraId="6A8CA709" w14:textId="77777777" w:rsidR="00D924EA" w:rsidRDefault="00011DE9">
      <w:pPr>
        <w:pStyle w:val="P68B1DB1-Normal7"/>
        <w:numPr>
          <w:ilvl w:val="0"/>
          <w:numId w:val="52"/>
        </w:numPr>
        <w:spacing w:after="200" w:line="240" w:lineRule="auto"/>
        <w:contextualSpacing/>
        <w:jc w:val="both"/>
        <w:rPr>
          <w:rFonts w:cs="Times New Roman"/>
          <w:noProof/>
        </w:rPr>
      </w:pPr>
      <w:r>
        <w:rPr>
          <w:noProof/>
        </w:rPr>
        <w:t>Digitalizarea Ministerului Transporturilor, Mobilității și Agendei urbane pentru a adopta tranziția digitală și a deveni mai deschisă și mai inovatoare.</w:t>
      </w:r>
    </w:p>
    <w:p w14:paraId="30F0F749" w14:textId="77777777" w:rsidR="00D924EA" w:rsidRDefault="00011DE9">
      <w:pPr>
        <w:pStyle w:val="P68B1DB1-Normal7"/>
        <w:autoSpaceDE w:val="0"/>
        <w:autoSpaceDN w:val="0"/>
        <w:spacing w:before="40" w:after="40" w:line="240" w:lineRule="auto"/>
        <w:jc w:val="both"/>
        <w:rPr>
          <w:rFonts w:eastAsia="MS Mincho" w:cs="Times New Roman"/>
          <w:noProof/>
        </w:rPr>
      </w:pPr>
      <w:r>
        <w:rPr>
          <w:noProof/>
        </w:rPr>
        <w:t>Punerea în aplicare a măsurii se finalizează până la 31 decembrie 2021.</w:t>
      </w:r>
    </w:p>
    <w:p w14:paraId="163C9820" w14:textId="4E1904CE" w:rsidR="00D924EA" w:rsidRDefault="00011DE9">
      <w:pPr>
        <w:pStyle w:val="P68B1DB1-Normal8"/>
        <w:keepNext/>
        <w:spacing w:after="200" w:line="240" w:lineRule="auto"/>
        <w:jc w:val="both"/>
        <w:rPr>
          <w:rFonts w:cs="Times New Roman"/>
          <w:noProof/>
        </w:rPr>
      </w:pPr>
      <w:r>
        <w:rPr>
          <w:noProof/>
        </w:rPr>
        <w:t>Reforma 2 (C6.R2) – Strategia indicativă pentru sectorul feroviar</w:t>
      </w:r>
    </w:p>
    <w:p w14:paraId="2DA4B647" w14:textId="77777777" w:rsidR="00D924EA" w:rsidRDefault="00011DE9">
      <w:pPr>
        <w:pStyle w:val="P68B1DB1-Normal7"/>
        <w:spacing w:after="200" w:line="240" w:lineRule="auto"/>
        <w:jc w:val="both"/>
        <w:rPr>
          <w:rFonts w:cs="Times New Roman"/>
          <w:noProof/>
        </w:rPr>
      </w:pPr>
      <w:r>
        <w:rPr>
          <w:noProof/>
        </w:rPr>
        <w:t>Obiectivele reformei sunt instituirea unor instrumente care să asigure faptul că rețeaua feroviară răspunde nevoilor viitoare în materie de mobilitate într-un mod coerent și eficace. Strategia stabilește un scenariu clar de planificare pentru modul de transport feroviar și permite alinierea priorităților de investiții la Strategia pentru o mobilitate sigură, durabilă și conectată (R1).</w:t>
      </w:r>
    </w:p>
    <w:p w14:paraId="22F1938B" w14:textId="77777777" w:rsidR="00D924EA" w:rsidRDefault="00011DE9">
      <w:pPr>
        <w:pStyle w:val="P68B1DB1-Normal7"/>
        <w:spacing w:after="200" w:line="240" w:lineRule="auto"/>
        <w:jc w:val="both"/>
        <w:rPr>
          <w:rFonts w:cs="Times New Roman"/>
          <w:noProof/>
        </w:rPr>
      </w:pPr>
      <w:r>
        <w:rPr>
          <w:noProof/>
        </w:rPr>
        <w:t xml:space="preserve">Reforma constă în mai multe acțiuni, printre care: </w:t>
      </w:r>
    </w:p>
    <w:p w14:paraId="28B5F57E" w14:textId="77777777" w:rsidR="00D924EA" w:rsidRDefault="00011DE9">
      <w:pPr>
        <w:pStyle w:val="P68B1DB1-Normal7"/>
        <w:numPr>
          <w:ilvl w:val="0"/>
          <w:numId w:val="53"/>
        </w:numPr>
        <w:spacing w:after="200" w:line="240" w:lineRule="auto"/>
        <w:contextualSpacing/>
        <w:jc w:val="both"/>
        <w:rPr>
          <w:rFonts w:cs="Times New Roman"/>
          <w:noProof/>
        </w:rPr>
      </w:pPr>
      <w:r>
        <w:rPr>
          <w:noProof/>
        </w:rPr>
        <w:t xml:space="preserve">stabilirea unei planificări mai clare a acțiunilor din sectorul feroviar, orientate în special către mobilitatea de zi cu zi; </w:t>
      </w:r>
    </w:p>
    <w:p w14:paraId="6797ACE0" w14:textId="77777777" w:rsidR="00D924EA" w:rsidRDefault="00011DE9">
      <w:pPr>
        <w:pStyle w:val="P68B1DB1-Normal7"/>
        <w:numPr>
          <w:ilvl w:val="0"/>
          <w:numId w:val="53"/>
        </w:numPr>
        <w:spacing w:after="200" w:line="240" w:lineRule="auto"/>
        <w:contextualSpacing/>
        <w:jc w:val="both"/>
        <w:rPr>
          <w:rFonts w:cs="Times New Roman"/>
          <w:noProof/>
        </w:rPr>
      </w:pPr>
      <w:r>
        <w:rPr>
          <w:noProof/>
        </w:rPr>
        <w:t xml:space="preserve">îmbunătățirea întreținerii rețelelor; </w:t>
      </w:r>
    </w:p>
    <w:p w14:paraId="40CFFFDE" w14:textId="77777777" w:rsidR="00D924EA" w:rsidRDefault="00011DE9">
      <w:pPr>
        <w:pStyle w:val="P68B1DB1-Normal7"/>
        <w:numPr>
          <w:ilvl w:val="0"/>
          <w:numId w:val="53"/>
        </w:numPr>
        <w:spacing w:after="200" w:line="240" w:lineRule="auto"/>
        <w:contextualSpacing/>
        <w:jc w:val="both"/>
        <w:rPr>
          <w:rFonts w:cs="Times New Roman"/>
          <w:noProof/>
        </w:rPr>
      </w:pPr>
      <w:r>
        <w:rPr>
          <w:noProof/>
        </w:rPr>
        <w:t xml:space="preserve">asigurarea sustenabilității economice a rețelei feroviare; </w:t>
      </w:r>
    </w:p>
    <w:p w14:paraId="0697B01C" w14:textId="157C30A6" w:rsidR="00D924EA" w:rsidRDefault="00011DE9">
      <w:pPr>
        <w:pStyle w:val="P68B1DB1-Normal7"/>
        <w:numPr>
          <w:ilvl w:val="0"/>
          <w:numId w:val="53"/>
        </w:numPr>
        <w:spacing w:after="200" w:line="240" w:lineRule="auto"/>
        <w:contextualSpacing/>
        <w:jc w:val="both"/>
        <w:rPr>
          <w:rFonts w:cs="Times New Roman"/>
          <w:noProof/>
        </w:rPr>
      </w:pPr>
      <w:r>
        <w:rPr>
          <w:noProof/>
        </w:rPr>
        <w:t xml:space="preserve">prioritizarea utilizării eficiente a resurselor, cu o evaluare ex ante și ex post a proiectelor de investiții; </w:t>
      </w:r>
    </w:p>
    <w:p w14:paraId="044BC817" w14:textId="77777777" w:rsidR="00D924EA" w:rsidRDefault="00011DE9">
      <w:pPr>
        <w:pStyle w:val="P68B1DB1-Normal7"/>
        <w:numPr>
          <w:ilvl w:val="0"/>
          <w:numId w:val="53"/>
        </w:numPr>
        <w:spacing w:after="200" w:line="240" w:lineRule="auto"/>
        <w:contextualSpacing/>
        <w:jc w:val="both"/>
        <w:rPr>
          <w:rFonts w:cs="Times New Roman"/>
          <w:noProof/>
        </w:rPr>
      </w:pPr>
      <w:r>
        <w:rPr>
          <w:noProof/>
        </w:rPr>
        <w:t xml:space="preserve">îmbunătățirea interoperabilității rețelei, în special pe coridoarele rețelei transeuropene, și a intermodalității rețelei; </w:t>
      </w:r>
    </w:p>
    <w:p w14:paraId="6A47CA62" w14:textId="77777777" w:rsidR="00D924EA" w:rsidRDefault="00011DE9">
      <w:pPr>
        <w:pStyle w:val="P68B1DB1-Normal7"/>
        <w:numPr>
          <w:ilvl w:val="0"/>
          <w:numId w:val="53"/>
        </w:numPr>
        <w:spacing w:after="200" w:line="240" w:lineRule="auto"/>
        <w:contextualSpacing/>
        <w:jc w:val="both"/>
        <w:rPr>
          <w:rFonts w:cs="Times New Roman"/>
          <w:noProof/>
        </w:rPr>
      </w:pPr>
      <w:r>
        <w:rPr>
          <w:noProof/>
        </w:rPr>
        <w:t xml:space="preserve">stimularea traficului feroviar de marfă; </w:t>
      </w:r>
    </w:p>
    <w:p w14:paraId="5F2BFC00" w14:textId="77777777" w:rsidR="00D924EA" w:rsidRDefault="00011DE9">
      <w:pPr>
        <w:pStyle w:val="P68B1DB1-Normal7"/>
        <w:numPr>
          <w:ilvl w:val="0"/>
          <w:numId w:val="53"/>
        </w:numPr>
        <w:spacing w:after="200" w:line="240" w:lineRule="auto"/>
        <w:contextualSpacing/>
        <w:jc w:val="both"/>
        <w:rPr>
          <w:rFonts w:cs="Times New Roman"/>
          <w:noProof/>
        </w:rPr>
      </w:pPr>
      <w:r>
        <w:rPr>
          <w:noProof/>
        </w:rPr>
        <w:t>îmbunătățirea siguranței în transportul feroviar și</w:t>
      </w:r>
    </w:p>
    <w:p w14:paraId="356F6324" w14:textId="77777777" w:rsidR="00D924EA" w:rsidRDefault="00011DE9">
      <w:pPr>
        <w:pStyle w:val="P68B1DB1-Normal7"/>
        <w:numPr>
          <w:ilvl w:val="0"/>
          <w:numId w:val="53"/>
        </w:numPr>
        <w:spacing w:after="200" w:line="240" w:lineRule="auto"/>
        <w:contextualSpacing/>
        <w:jc w:val="both"/>
        <w:rPr>
          <w:rFonts w:cs="Times New Roman"/>
          <w:noProof/>
        </w:rPr>
      </w:pPr>
      <w:r>
        <w:rPr>
          <w:noProof/>
        </w:rPr>
        <w:t>promovarea digitalizării transporturilor și a inovării pentru a asigura mobilitatea conectată.</w:t>
      </w:r>
    </w:p>
    <w:p w14:paraId="0D3B3F70" w14:textId="77777777" w:rsidR="00D924EA" w:rsidRDefault="00011DE9">
      <w:pPr>
        <w:pStyle w:val="P68B1DB1-Normal7"/>
        <w:spacing w:after="200" w:line="240" w:lineRule="auto"/>
        <w:jc w:val="both"/>
        <w:rPr>
          <w:rFonts w:cs="Times New Roman"/>
          <w:noProof/>
        </w:rPr>
      </w:pPr>
      <w:r>
        <w:rPr>
          <w:noProof/>
        </w:rPr>
        <w:br/>
        <w:t>Punerea în aplicare a măsurii se finalizează până la 31 decembrie 2022.</w:t>
      </w:r>
    </w:p>
    <w:p w14:paraId="34FD599F" w14:textId="77777777" w:rsidR="00D924EA" w:rsidRDefault="00011DE9">
      <w:pPr>
        <w:pStyle w:val="P68B1DB1-Normal8"/>
        <w:spacing w:after="200" w:line="240" w:lineRule="auto"/>
        <w:jc w:val="both"/>
        <w:rPr>
          <w:rFonts w:cs="Times New Roman"/>
          <w:noProof/>
        </w:rPr>
      </w:pPr>
      <w:r>
        <w:rPr>
          <w:noProof/>
        </w:rPr>
        <w:t>Investiția 1 (C6.I1) – Rețeaua națională de transport: Coridoare europene</w:t>
      </w:r>
    </w:p>
    <w:p w14:paraId="7663E97F" w14:textId="5D2DF448" w:rsidR="00D924EA" w:rsidRDefault="00011DE9">
      <w:pPr>
        <w:pStyle w:val="P68B1DB1-Normal13"/>
        <w:spacing w:after="200" w:line="240" w:lineRule="auto"/>
        <w:jc w:val="both"/>
        <w:rPr>
          <w:rFonts w:cs="Times New Roman"/>
          <w:noProof/>
          <w:kern w:val="0"/>
          <w14:ligatures w14:val="none"/>
        </w:rPr>
      </w:pPr>
      <w:r>
        <w:rPr>
          <w:noProof/>
          <w:kern w:val="0"/>
          <w14:ligatures w14:val="none"/>
        </w:rPr>
        <w:t xml:space="preserve">Obiectivele măsurii sunt de a construi o nouă infrastructură feroviară în coridoarele TEN-T europene centrale și de a le moderniza și moderniza pe cele existente. Măsura </w:t>
      </w:r>
      <w:r>
        <w:rPr>
          <w:noProof/>
        </w:rPr>
        <w:t xml:space="preserve">constă în acțiuni care acoperă 1 400 de kilometri de coridoare TEN-T centrale. </w:t>
      </w:r>
    </w:p>
    <w:p w14:paraId="05DF5E62" w14:textId="77777777" w:rsidR="00D924EA" w:rsidRDefault="00011DE9">
      <w:pPr>
        <w:pStyle w:val="P68B1DB1-Normal8"/>
        <w:spacing w:after="200" w:line="240" w:lineRule="auto"/>
        <w:jc w:val="both"/>
        <w:rPr>
          <w:rFonts w:cs="Times New Roman"/>
          <w:noProof/>
        </w:rPr>
      </w:pPr>
      <w:r>
        <w:rPr>
          <w:noProof/>
        </w:rPr>
        <w:t>Investiția 2 (C6.I2) – Programul privind rețeaua transeuropeană de transport, alte lucrări</w:t>
      </w:r>
    </w:p>
    <w:p w14:paraId="653481A8" w14:textId="4CE76E63" w:rsidR="00D924EA" w:rsidRDefault="00011DE9">
      <w:pPr>
        <w:pStyle w:val="P68B1DB1-Normal13"/>
        <w:spacing w:before="60" w:afterLines="60" w:after="144" w:line="240" w:lineRule="auto"/>
        <w:jc w:val="both"/>
        <w:rPr>
          <w:noProof/>
        </w:rPr>
      </w:pPr>
      <w:r>
        <w:rPr>
          <w:noProof/>
          <w:kern w:val="0"/>
          <w14:ligatures w14:val="none"/>
        </w:rPr>
        <w:t xml:space="preserve">Obiectivul măsurii este de a face rețelele naționale de transport mai fiabile, mai durabile, mai sigure și mai reziliente. Măsura </w:t>
      </w:r>
      <w:r>
        <w:rPr>
          <w:noProof/>
        </w:rPr>
        <w:t>constă în diverse acțiuni în domeniul transportului aerian, rutier și feroviar și în sprijinirea acțiunilor de digitalizare.</w:t>
      </w:r>
    </w:p>
    <w:p w14:paraId="0C41374F" w14:textId="77777777" w:rsidR="00D924EA" w:rsidRDefault="00011DE9">
      <w:pPr>
        <w:pStyle w:val="P68B1DB1-Normal8"/>
        <w:spacing w:after="200" w:line="240" w:lineRule="auto"/>
        <w:jc w:val="both"/>
        <w:rPr>
          <w:rFonts w:cs="Times New Roman"/>
          <w:noProof/>
        </w:rPr>
      </w:pPr>
      <w:r>
        <w:rPr>
          <w:noProof/>
        </w:rPr>
        <w:t>Investiția 3 (C6.I3) – Intermodalitate și logistică</w:t>
      </w:r>
    </w:p>
    <w:p w14:paraId="3CF39B48" w14:textId="3B8E2F63" w:rsidR="00D924EA" w:rsidRDefault="00011DE9">
      <w:pPr>
        <w:pStyle w:val="P68B1DB1-Normal13"/>
        <w:spacing w:after="200" w:line="240" w:lineRule="auto"/>
        <w:jc w:val="both"/>
        <w:rPr>
          <w:noProof/>
          <w:kern w:val="0"/>
          <w14:ligatures w14:val="none"/>
        </w:rPr>
      </w:pPr>
      <w:r>
        <w:rPr>
          <w:noProof/>
          <w:kern w:val="0"/>
          <w14:ligatures w14:val="none"/>
        </w:rPr>
        <w:t>Obiectivul măsurii este de a pune în aplicare axa 6 a Strategiei pentru o mobilitate sigură, durabilă și conectată (R1) privind lanțurile logistice intermodale inteligente.</w:t>
      </w:r>
      <w:r>
        <w:rPr>
          <w:noProof/>
        </w:rPr>
        <w:t xml:space="preserve"> Măsura constă în intervenții legate de terminalele intermodale și logistice, precum și de accesibilitatea și sustenabilitatea porturilor. </w:t>
      </w:r>
    </w:p>
    <w:p w14:paraId="03206406" w14:textId="77777777" w:rsidR="00D924EA" w:rsidRDefault="00011DE9">
      <w:pPr>
        <w:pStyle w:val="P68B1DB1-Normal8"/>
        <w:spacing w:after="200" w:line="240" w:lineRule="auto"/>
        <w:jc w:val="both"/>
        <w:rPr>
          <w:rFonts w:cs="Times New Roman"/>
          <w:noProof/>
        </w:rPr>
      </w:pPr>
      <w:r>
        <w:rPr>
          <w:noProof/>
        </w:rPr>
        <w:t>Investiția 4 (C6.I4) – Program de sprijin pentru un transport durabil și digital</w:t>
      </w:r>
    </w:p>
    <w:p w14:paraId="0CA9DB4D" w14:textId="673F2A50" w:rsidR="00D924EA" w:rsidRDefault="00011DE9">
      <w:pPr>
        <w:pStyle w:val="P68B1DB1-Normal13"/>
        <w:spacing w:after="200" w:line="240" w:lineRule="auto"/>
        <w:jc w:val="both"/>
        <w:rPr>
          <w:rFonts w:cs="Times New Roman"/>
          <w:noProof/>
          <w:kern w:val="0"/>
          <w14:ligatures w14:val="none"/>
        </w:rPr>
      </w:pPr>
      <w:r>
        <w:rPr>
          <w:noProof/>
          <w:kern w:val="0"/>
          <w14:ligatures w14:val="none"/>
        </w:rPr>
        <w:t xml:space="preserve">Obiectivul măsurii este de a îmbunătăți eficiența sistemului de transport. Măsura </w:t>
      </w:r>
      <w:r>
        <w:rPr>
          <w:noProof/>
        </w:rPr>
        <w:t xml:space="preserve">constă în acțiuni pentru un transport durabil sau digital. </w:t>
      </w:r>
    </w:p>
    <w:p w14:paraId="58FD5DDB" w14:textId="08D6D955" w:rsidR="00D924EA" w:rsidRDefault="00011DE9">
      <w:pPr>
        <w:pStyle w:val="P68B1DB1-Normal6"/>
        <w:spacing w:before="120" w:after="120" w:line="240" w:lineRule="auto"/>
        <w:ind w:left="709"/>
        <w:jc w:val="both"/>
        <w:rPr>
          <w:rFonts w:ascii="Times New Roman" w:eastAsia="Calibri" w:hAnsi="Times New Roman" w:cs="Times New Roman"/>
          <w:b/>
          <w:noProof/>
          <w:u w:val="single"/>
        </w:rPr>
      </w:pPr>
      <w:r>
        <w:rPr>
          <w:rFonts w:ascii="Times New Roman" w:eastAsia="Calibri" w:hAnsi="Times New Roman" w:cs="Arial"/>
          <w:b/>
          <w:noProof/>
          <w:u w:val="single"/>
        </w:rPr>
        <w:t>F.2.</w:t>
      </w:r>
      <w:r w:rsidR="00971820">
        <w:rPr>
          <w:rFonts w:ascii="Times New Roman" w:eastAsia="Calibri" w:hAnsi="Times New Roman" w:cs="Arial"/>
          <w:b/>
          <w:noProof/>
          <w:u w:val="single"/>
        </w:rPr>
        <w:t xml:space="preserve"> </w:t>
      </w:r>
      <w:r>
        <w:rPr>
          <w:rFonts w:ascii="Times New Roman" w:eastAsia="Calibri" w:hAnsi="Times New Roman" w:cs="Arial"/>
          <w:b/>
          <w:noProof/>
          <w:u w:val="single"/>
        </w:rPr>
        <w:t>Jaloane, ținte, indicatori și calendarul de monitorizare și implementare aplicabile sprijinului financiar nerambursabil</w:t>
      </w:r>
    </w:p>
    <w:p w14:paraId="1210DA34" w14:textId="5D74F87A" w:rsidR="00D924EA" w:rsidRDefault="00011DE9">
      <w:pPr>
        <w:pStyle w:val="P68B1DB1-Normal7"/>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3BE28B0" w14:textId="77777777" w:rsidR="00D924EA" w:rsidRDefault="00D924EA">
      <w:pPr>
        <w:spacing w:before="120" w:after="120" w:line="240" w:lineRule="auto"/>
        <w:jc w:val="both"/>
        <w:rPr>
          <w:rFonts w:ascii="Times New Roman" w:eastAsia="Calibri" w:hAnsi="Times New Roman" w:cs="Times New Roman"/>
          <w:noProof/>
          <w:kern w:val="0"/>
          <w14:ligatures w14:val="none"/>
        </w:rPr>
        <w:sectPr w:rsidR="00D924EA" w:rsidSect="00B528FB">
          <w:headerReference w:type="default" r:id="rId92"/>
          <w:footerReference w:type="default" r:id="rId93"/>
          <w:pgSz w:w="11907" w:h="16839"/>
          <w:pgMar w:top="1134" w:right="1134" w:bottom="1134" w:left="1134" w:header="567" w:footer="567" w:gutter="0"/>
          <w:cols w:space="720"/>
          <w:docGrid w:linePitch="360"/>
        </w:sectPr>
      </w:pPr>
    </w:p>
    <w:tbl>
      <w:tblPr>
        <w:tblW w:w="14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2"/>
        <w:gridCol w:w="818"/>
        <w:gridCol w:w="817"/>
        <w:gridCol w:w="1366"/>
        <w:gridCol w:w="992"/>
        <w:gridCol w:w="992"/>
        <w:gridCol w:w="992"/>
        <w:gridCol w:w="723"/>
        <w:gridCol w:w="410"/>
        <w:gridCol w:w="546"/>
        <w:gridCol w:w="5810"/>
      </w:tblGrid>
      <w:tr w:rsidR="00D924EA" w14:paraId="6E584943" w14:textId="77777777" w:rsidTr="0042520D">
        <w:trPr>
          <w:trHeight w:val="309"/>
          <w:tblHeader/>
          <w:jc w:val="center"/>
        </w:trPr>
        <w:tc>
          <w:tcPr>
            <w:tcW w:w="822" w:type="dxa"/>
            <w:vMerge w:val="restart"/>
            <w:shd w:val="clear" w:color="auto" w:fill="C6D9F1"/>
            <w:noWrap/>
            <w:vAlign w:val="center"/>
          </w:tcPr>
          <w:p w14:paraId="712BD1E2" w14:textId="77777777" w:rsidR="00D924EA" w:rsidRDefault="00011DE9">
            <w:pPr>
              <w:pStyle w:val="P68B1DB1-Normal17"/>
              <w:spacing w:after="0" w:line="240" w:lineRule="auto"/>
              <w:jc w:val="center"/>
              <w:rPr>
                <w:rFonts w:cs="Times New Roman"/>
                <w:noProof/>
                <w:szCs w:val="18"/>
              </w:rPr>
            </w:pPr>
            <w:r>
              <w:rPr>
                <w:noProof/>
              </w:rPr>
              <w:t>Număr</w:t>
            </w:r>
          </w:p>
        </w:tc>
        <w:tc>
          <w:tcPr>
            <w:tcW w:w="818" w:type="dxa"/>
            <w:vMerge w:val="restart"/>
            <w:shd w:val="clear" w:color="auto" w:fill="C6D9F1"/>
            <w:noWrap/>
            <w:vAlign w:val="center"/>
          </w:tcPr>
          <w:p w14:paraId="391FC529" w14:textId="77777777" w:rsidR="00D924EA" w:rsidRDefault="00011DE9">
            <w:pPr>
              <w:pStyle w:val="P68B1DB1-Normal17"/>
              <w:spacing w:after="0" w:line="240" w:lineRule="auto"/>
              <w:jc w:val="center"/>
              <w:rPr>
                <w:rFonts w:cs="Times New Roman"/>
                <w:noProof/>
                <w:szCs w:val="18"/>
              </w:rPr>
            </w:pPr>
            <w:r>
              <w:rPr>
                <w:noProof/>
              </w:rPr>
              <w:t>Măsură</w:t>
            </w:r>
          </w:p>
        </w:tc>
        <w:tc>
          <w:tcPr>
            <w:tcW w:w="817" w:type="dxa"/>
            <w:vMerge w:val="restart"/>
            <w:shd w:val="clear" w:color="auto" w:fill="C6D9F1"/>
            <w:noWrap/>
            <w:vAlign w:val="center"/>
          </w:tcPr>
          <w:p w14:paraId="12DB8BB1" w14:textId="313F15D3" w:rsidR="00D924EA" w:rsidRDefault="00011DE9">
            <w:pPr>
              <w:pStyle w:val="P68B1DB1-Normal6"/>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Etapă</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/Țintei</w:t>
            </w:r>
          </w:p>
        </w:tc>
        <w:tc>
          <w:tcPr>
            <w:tcW w:w="1366" w:type="dxa"/>
            <w:vMerge w:val="restart"/>
            <w:shd w:val="clear" w:color="auto" w:fill="C6D9F1"/>
            <w:noWrap/>
            <w:vAlign w:val="center"/>
          </w:tcPr>
          <w:p w14:paraId="0B8AB7F5" w14:textId="77777777" w:rsidR="00D924EA" w:rsidRDefault="00011DE9">
            <w:pPr>
              <w:pStyle w:val="P68B1DB1-Normal17"/>
              <w:spacing w:after="0" w:line="240" w:lineRule="auto"/>
              <w:jc w:val="center"/>
              <w:rPr>
                <w:rFonts w:cs="Times New Roman"/>
                <w:noProof/>
                <w:szCs w:val="18"/>
              </w:rPr>
            </w:pPr>
            <w:r>
              <w:rPr>
                <w:noProof/>
              </w:rPr>
              <w:t>Nume</w:t>
            </w:r>
          </w:p>
        </w:tc>
        <w:tc>
          <w:tcPr>
            <w:tcW w:w="992" w:type="dxa"/>
            <w:vMerge w:val="restart"/>
            <w:shd w:val="clear" w:color="auto" w:fill="C6D9F1"/>
            <w:noWrap/>
            <w:vAlign w:val="center"/>
          </w:tcPr>
          <w:p w14:paraId="63BFDD63" w14:textId="77777777" w:rsidR="00D924EA" w:rsidRDefault="00011DE9">
            <w:pPr>
              <w:pStyle w:val="P68B1DB1-Normal17"/>
              <w:spacing w:after="0" w:line="240" w:lineRule="auto"/>
              <w:jc w:val="center"/>
              <w:rPr>
                <w:rFonts w:cs="Times New Roman"/>
                <w:noProof/>
                <w:szCs w:val="18"/>
              </w:rPr>
            </w:pPr>
            <w:r>
              <w:rPr>
                <w:noProof/>
              </w:rPr>
              <w:t>Indicator calitativ pentru jaloane</w:t>
            </w:r>
          </w:p>
        </w:tc>
        <w:tc>
          <w:tcPr>
            <w:tcW w:w="2707" w:type="dxa"/>
            <w:gridSpan w:val="3"/>
            <w:shd w:val="clear" w:color="auto" w:fill="C6D9F1"/>
            <w:noWrap/>
            <w:vAlign w:val="center"/>
          </w:tcPr>
          <w:p w14:paraId="529CFF52" w14:textId="77777777" w:rsidR="00D924EA" w:rsidRDefault="00011DE9">
            <w:pPr>
              <w:pStyle w:val="P68B1DB1-Normal17"/>
              <w:spacing w:after="0" w:line="240" w:lineRule="auto"/>
              <w:jc w:val="center"/>
              <w:rPr>
                <w:rFonts w:cs="Times New Roman"/>
                <w:noProof/>
                <w:szCs w:val="18"/>
              </w:rPr>
            </w:pPr>
            <w:r>
              <w:rPr>
                <w:noProof/>
              </w:rPr>
              <w:t>Indicator cantitativ pentru ținte</w:t>
            </w:r>
          </w:p>
        </w:tc>
        <w:tc>
          <w:tcPr>
            <w:tcW w:w="956" w:type="dxa"/>
            <w:gridSpan w:val="2"/>
            <w:shd w:val="clear" w:color="auto" w:fill="C6D9F1"/>
            <w:noWrap/>
            <w:vAlign w:val="center"/>
          </w:tcPr>
          <w:p w14:paraId="6BFBDD41" w14:textId="77777777" w:rsidR="00D924EA" w:rsidRDefault="00011DE9">
            <w:pPr>
              <w:pStyle w:val="P68B1DB1-Normal17"/>
              <w:spacing w:after="0" w:line="240" w:lineRule="auto"/>
              <w:jc w:val="center"/>
              <w:rPr>
                <w:rFonts w:cs="Times New Roman"/>
                <w:noProof/>
                <w:szCs w:val="18"/>
              </w:rPr>
            </w:pPr>
            <w:r>
              <w:rPr>
                <w:noProof/>
              </w:rPr>
              <w:t>Timp</w:t>
            </w:r>
          </w:p>
        </w:tc>
        <w:tc>
          <w:tcPr>
            <w:tcW w:w="5810" w:type="dxa"/>
            <w:vMerge w:val="restart"/>
            <w:shd w:val="clear" w:color="auto" w:fill="C6D9F1"/>
            <w:noWrap/>
            <w:vAlign w:val="center"/>
          </w:tcPr>
          <w:p w14:paraId="3863F91B" w14:textId="77777777" w:rsidR="00D924EA" w:rsidRDefault="00011DE9">
            <w:pPr>
              <w:pStyle w:val="P68B1DB1-Normal17"/>
              <w:spacing w:after="0" w:line="240" w:lineRule="auto"/>
              <w:jc w:val="center"/>
              <w:rPr>
                <w:rFonts w:cs="Times New Roman"/>
                <w:noProof/>
                <w:szCs w:val="18"/>
              </w:rPr>
            </w:pPr>
            <w:r>
              <w:rPr>
                <w:noProof/>
              </w:rPr>
              <w:t>Descrierea fiecărui jalon și a fiecărei ținte</w:t>
            </w:r>
          </w:p>
        </w:tc>
      </w:tr>
      <w:tr w:rsidR="00D924EA" w14:paraId="508106E6" w14:textId="77777777" w:rsidTr="0042520D">
        <w:trPr>
          <w:trHeight w:val="309"/>
          <w:tblHeader/>
          <w:jc w:val="center"/>
        </w:trPr>
        <w:tc>
          <w:tcPr>
            <w:tcW w:w="822" w:type="dxa"/>
            <w:vMerge/>
            <w:noWrap/>
          </w:tcPr>
          <w:p w14:paraId="4BFF81FB" w14:textId="77777777" w:rsidR="00D924EA" w:rsidRDefault="00D924EA">
            <w:pPr>
              <w:spacing w:after="0" w:line="240" w:lineRule="auto"/>
              <w:jc w:val="center"/>
              <w:rPr>
                <w:rFonts w:ascii="Times New Roman" w:eastAsia="Calibri" w:hAnsi="Times New Roman" w:cs="Times New Roman"/>
                <w:b/>
                <w:noProof/>
                <w:kern w:val="0"/>
                <w:sz w:val="18"/>
                <w:szCs w:val="18"/>
                <w14:ligatures w14:val="none"/>
              </w:rPr>
            </w:pPr>
          </w:p>
        </w:tc>
        <w:tc>
          <w:tcPr>
            <w:tcW w:w="818" w:type="dxa"/>
            <w:vMerge/>
            <w:noWrap/>
          </w:tcPr>
          <w:p w14:paraId="242A50BA" w14:textId="77777777" w:rsidR="00D924EA" w:rsidRDefault="00D924EA">
            <w:pPr>
              <w:spacing w:after="0" w:line="240" w:lineRule="auto"/>
              <w:jc w:val="center"/>
              <w:rPr>
                <w:rFonts w:ascii="Times New Roman" w:eastAsia="Calibri" w:hAnsi="Times New Roman" w:cs="Times New Roman"/>
                <w:b/>
                <w:noProof/>
                <w:kern w:val="0"/>
                <w:sz w:val="18"/>
                <w:szCs w:val="18"/>
                <w14:ligatures w14:val="none"/>
              </w:rPr>
            </w:pPr>
          </w:p>
        </w:tc>
        <w:tc>
          <w:tcPr>
            <w:tcW w:w="817" w:type="dxa"/>
            <w:vMerge/>
            <w:noWrap/>
          </w:tcPr>
          <w:p w14:paraId="0667C18C" w14:textId="77777777" w:rsidR="00D924EA" w:rsidRDefault="00D924EA">
            <w:pPr>
              <w:spacing w:after="0" w:line="240" w:lineRule="auto"/>
              <w:jc w:val="center"/>
              <w:rPr>
                <w:rFonts w:ascii="Times New Roman" w:eastAsia="Calibri" w:hAnsi="Times New Roman" w:cs="Times New Roman"/>
                <w:b/>
                <w:noProof/>
                <w:kern w:val="0"/>
                <w:sz w:val="18"/>
                <w:szCs w:val="18"/>
                <w14:ligatures w14:val="none"/>
              </w:rPr>
            </w:pPr>
          </w:p>
        </w:tc>
        <w:tc>
          <w:tcPr>
            <w:tcW w:w="1366" w:type="dxa"/>
            <w:vMerge/>
            <w:noWrap/>
          </w:tcPr>
          <w:p w14:paraId="5578C065" w14:textId="77777777" w:rsidR="00D924EA" w:rsidRDefault="00D924EA">
            <w:pPr>
              <w:spacing w:after="0" w:line="240" w:lineRule="auto"/>
              <w:rPr>
                <w:rFonts w:ascii="Times New Roman" w:eastAsia="Calibri" w:hAnsi="Times New Roman" w:cs="Times New Roman"/>
                <w:b/>
                <w:noProof/>
                <w:kern w:val="0"/>
                <w:sz w:val="18"/>
                <w:szCs w:val="18"/>
                <w14:ligatures w14:val="none"/>
              </w:rPr>
            </w:pPr>
          </w:p>
        </w:tc>
        <w:tc>
          <w:tcPr>
            <w:tcW w:w="992" w:type="dxa"/>
            <w:vMerge/>
            <w:noWrap/>
          </w:tcPr>
          <w:p w14:paraId="1479C6CC" w14:textId="77777777" w:rsidR="00D924EA" w:rsidRDefault="00D924EA">
            <w:pPr>
              <w:spacing w:after="0" w:line="240" w:lineRule="auto"/>
              <w:jc w:val="center"/>
              <w:rPr>
                <w:rFonts w:ascii="Times New Roman" w:eastAsia="Calibri" w:hAnsi="Times New Roman" w:cs="Times New Roman"/>
                <w:b/>
                <w:noProof/>
                <w:kern w:val="0"/>
                <w:sz w:val="18"/>
                <w:szCs w:val="18"/>
                <w14:ligatures w14:val="none"/>
              </w:rPr>
            </w:pPr>
          </w:p>
        </w:tc>
        <w:tc>
          <w:tcPr>
            <w:tcW w:w="992" w:type="dxa"/>
            <w:shd w:val="clear" w:color="auto" w:fill="C6D9F1"/>
            <w:noWrap/>
            <w:vAlign w:val="center"/>
          </w:tcPr>
          <w:p w14:paraId="1ECC4D5D" w14:textId="77777777" w:rsidR="00D924EA" w:rsidRDefault="00011DE9">
            <w:pPr>
              <w:pStyle w:val="P68B1DB1-Normal17"/>
              <w:spacing w:after="0" w:line="240" w:lineRule="auto"/>
              <w:jc w:val="center"/>
              <w:rPr>
                <w:rFonts w:cs="Times New Roman"/>
                <w:noProof/>
                <w:szCs w:val="18"/>
              </w:rPr>
            </w:pPr>
            <w:r>
              <w:rPr>
                <w:noProof/>
              </w:rPr>
              <w:t>Unitate</w:t>
            </w:r>
          </w:p>
        </w:tc>
        <w:tc>
          <w:tcPr>
            <w:tcW w:w="992" w:type="dxa"/>
            <w:shd w:val="clear" w:color="auto" w:fill="C6D9F1"/>
            <w:noWrap/>
            <w:vAlign w:val="center"/>
          </w:tcPr>
          <w:p w14:paraId="1EC0A6AE" w14:textId="77777777" w:rsidR="00D924EA" w:rsidRDefault="00011DE9">
            <w:pPr>
              <w:pStyle w:val="P68B1DB1-Normal17"/>
              <w:spacing w:after="0" w:line="240" w:lineRule="auto"/>
              <w:jc w:val="center"/>
              <w:rPr>
                <w:rFonts w:cs="Times New Roman"/>
                <w:noProof/>
                <w:szCs w:val="18"/>
              </w:rPr>
            </w:pPr>
            <w:r>
              <w:rPr>
                <w:noProof/>
              </w:rPr>
              <w:t>Situația de referință</w:t>
            </w:r>
          </w:p>
        </w:tc>
        <w:tc>
          <w:tcPr>
            <w:tcW w:w="723" w:type="dxa"/>
            <w:shd w:val="clear" w:color="auto" w:fill="C6D9F1"/>
            <w:noWrap/>
            <w:vAlign w:val="center"/>
          </w:tcPr>
          <w:p w14:paraId="5FC71609" w14:textId="77777777" w:rsidR="00D924EA" w:rsidRDefault="00011DE9">
            <w:pPr>
              <w:pStyle w:val="P68B1DB1-Normal17"/>
              <w:spacing w:after="0" w:line="240" w:lineRule="auto"/>
              <w:jc w:val="center"/>
              <w:rPr>
                <w:rFonts w:cs="Times New Roman"/>
                <w:noProof/>
                <w:szCs w:val="18"/>
              </w:rPr>
            </w:pPr>
            <w:r>
              <w:rPr>
                <w:noProof/>
              </w:rPr>
              <w:t>Obiectiv</w:t>
            </w:r>
          </w:p>
        </w:tc>
        <w:tc>
          <w:tcPr>
            <w:tcW w:w="410" w:type="dxa"/>
            <w:shd w:val="clear" w:color="auto" w:fill="C6D9F1"/>
            <w:noWrap/>
            <w:vAlign w:val="center"/>
          </w:tcPr>
          <w:p w14:paraId="73A53347" w14:textId="354C88D7" w:rsidR="00D924EA" w:rsidRDefault="0042520D">
            <w:pPr>
              <w:pStyle w:val="P68B1DB1-Normal17"/>
              <w:spacing w:after="0" w:line="240" w:lineRule="auto"/>
              <w:jc w:val="center"/>
              <w:rPr>
                <w:rFonts w:cs="Times New Roman"/>
                <w:noProof/>
                <w:szCs w:val="18"/>
              </w:rPr>
            </w:pPr>
            <w:r>
              <w:rPr>
                <w:noProof/>
              </w:rPr>
              <w:t>T</w:t>
            </w:r>
          </w:p>
        </w:tc>
        <w:tc>
          <w:tcPr>
            <w:tcW w:w="546" w:type="dxa"/>
            <w:shd w:val="clear" w:color="auto" w:fill="C6D9F1"/>
            <w:noWrap/>
            <w:vAlign w:val="center"/>
          </w:tcPr>
          <w:p w14:paraId="23AD2D18" w14:textId="77777777" w:rsidR="00D924EA" w:rsidRDefault="00011DE9">
            <w:pPr>
              <w:pStyle w:val="P68B1DB1-Normal17"/>
              <w:spacing w:after="0" w:line="240" w:lineRule="auto"/>
              <w:jc w:val="center"/>
              <w:rPr>
                <w:rFonts w:cs="Times New Roman"/>
                <w:noProof/>
                <w:szCs w:val="18"/>
              </w:rPr>
            </w:pPr>
            <w:r>
              <w:rPr>
                <w:noProof/>
              </w:rPr>
              <w:t>Anul</w:t>
            </w:r>
          </w:p>
        </w:tc>
        <w:tc>
          <w:tcPr>
            <w:tcW w:w="5810" w:type="dxa"/>
            <w:vMerge/>
            <w:noWrap/>
          </w:tcPr>
          <w:p w14:paraId="45A7C6C3" w14:textId="77777777" w:rsidR="00D924EA" w:rsidRDefault="00D924EA">
            <w:pPr>
              <w:spacing w:after="0" w:line="240" w:lineRule="auto"/>
              <w:rPr>
                <w:rFonts w:ascii="Times New Roman" w:eastAsia="Calibri" w:hAnsi="Times New Roman" w:cs="Times New Roman"/>
                <w:b/>
                <w:noProof/>
                <w:kern w:val="0"/>
                <w:sz w:val="18"/>
                <w:szCs w:val="18"/>
                <w14:ligatures w14:val="none"/>
              </w:rPr>
            </w:pPr>
          </w:p>
        </w:tc>
      </w:tr>
      <w:tr w:rsidR="00D924EA" w14:paraId="58737643" w14:textId="77777777" w:rsidTr="0042520D">
        <w:trPr>
          <w:trHeight w:val="309"/>
          <w:jc w:val="center"/>
        </w:trPr>
        <w:tc>
          <w:tcPr>
            <w:tcW w:w="822" w:type="dxa"/>
            <w:shd w:val="clear" w:color="auto" w:fill="C6EFCE"/>
            <w:noWrap/>
          </w:tcPr>
          <w:p w14:paraId="00F27A27" w14:textId="77777777" w:rsidR="00D924EA" w:rsidRDefault="00011DE9">
            <w:pPr>
              <w:pStyle w:val="P68B1DB1-Normal18"/>
              <w:spacing w:after="0" w:line="240" w:lineRule="auto"/>
              <w:jc w:val="center"/>
              <w:rPr>
                <w:rFonts w:eastAsia="MS Mincho" w:cs="Times New Roman"/>
                <w:noProof/>
                <w:szCs w:val="18"/>
              </w:rPr>
            </w:pPr>
            <w:r>
              <w:rPr>
                <w:noProof/>
              </w:rPr>
              <w:t>82</w:t>
            </w:r>
          </w:p>
        </w:tc>
        <w:tc>
          <w:tcPr>
            <w:tcW w:w="818" w:type="dxa"/>
            <w:shd w:val="clear" w:color="auto" w:fill="C6EFCE"/>
            <w:noWrap/>
          </w:tcPr>
          <w:p w14:paraId="7144E06A" w14:textId="77777777" w:rsidR="00D924EA" w:rsidRDefault="00011DE9">
            <w:pPr>
              <w:pStyle w:val="P68B1DB1-Normal18"/>
              <w:spacing w:after="0" w:line="240" w:lineRule="auto"/>
              <w:jc w:val="center"/>
              <w:rPr>
                <w:rFonts w:eastAsia="MS Mincho" w:cs="Times New Roman"/>
                <w:noProof/>
                <w:szCs w:val="18"/>
              </w:rPr>
            </w:pPr>
            <w:r>
              <w:rPr>
                <w:noProof/>
              </w:rPr>
              <w:t>C6.R1</w:t>
            </w:r>
          </w:p>
        </w:tc>
        <w:tc>
          <w:tcPr>
            <w:tcW w:w="817" w:type="dxa"/>
            <w:shd w:val="clear" w:color="auto" w:fill="C6EFCE"/>
            <w:noWrap/>
          </w:tcPr>
          <w:p w14:paraId="7A622FD3" w14:textId="77777777" w:rsidR="00D924EA" w:rsidRDefault="00011DE9">
            <w:pPr>
              <w:pStyle w:val="P68B1DB1-Normal18"/>
              <w:spacing w:after="0" w:line="240" w:lineRule="auto"/>
              <w:jc w:val="center"/>
              <w:rPr>
                <w:rFonts w:eastAsia="MS Mincho" w:cs="Times New Roman"/>
                <w:noProof/>
                <w:szCs w:val="18"/>
              </w:rPr>
            </w:pPr>
            <w:r>
              <w:rPr>
                <w:noProof/>
              </w:rPr>
              <w:t>M</w:t>
            </w:r>
          </w:p>
        </w:tc>
        <w:tc>
          <w:tcPr>
            <w:tcW w:w="1366" w:type="dxa"/>
            <w:shd w:val="clear" w:color="auto" w:fill="C6EFCE"/>
            <w:noWrap/>
          </w:tcPr>
          <w:p w14:paraId="23D1BDFF" w14:textId="77777777" w:rsidR="00D924EA" w:rsidRDefault="00011DE9">
            <w:pPr>
              <w:pStyle w:val="P68B1DB1-Normal18"/>
              <w:spacing w:after="0" w:line="240" w:lineRule="auto"/>
              <w:rPr>
                <w:rFonts w:eastAsia="MS Mincho" w:cs="Times New Roman"/>
                <w:noProof/>
                <w:szCs w:val="18"/>
              </w:rPr>
            </w:pPr>
            <w:r>
              <w:rPr>
                <w:noProof/>
              </w:rPr>
              <w:t>Strategia privind mobilitatea durabilă, sigură și conectată (consultare publică)</w:t>
            </w:r>
          </w:p>
        </w:tc>
        <w:tc>
          <w:tcPr>
            <w:tcW w:w="992" w:type="dxa"/>
            <w:shd w:val="clear" w:color="auto" w:fill="C6EFCE"/>
            <w:noWrap/>
          </w:tcPr>
          <w:p w14:paraId="40729B5B" w14:textId="77777777" w:rsidR="00D924EA" w:rsidRDefault="00011DE9">
            <w:pPr>
              <w:pStyle w:val="P68B1DB1-Normal18"/>
              <w:spacing w:after="0" w:line="240" w:lineRule="auto"/>
              <w:jc w:val="center"/>
              <w:rPr>
                <w:rFonts w:eastAsia="MS Mincho" w:cs="Times New Roman"/>
                <w:noProof/>
                <w:szCs w:val="18"/>
              </w:rPr>
            </w:pPr>
            <w:r>
              <w:rPr>
                <w:noProof/>
              </w:rPr>
              <w:t>Aviz de încheiere a consultării</w:t>
            </w:r>
          </w:p>
        </w:tc>
        <w:tc>
          <w:tcPr>
            <w:tcW w:w="992" w:type="dxa"/>
            <w:shd w:val="clear" w:color="auto" w:fill="C6EFCE"/>
            <w:noWrap/>
          </w:tcPr>
          <w:p w14:paraId="07BEC2FC" w14:textId="77777777" w:rsidR="00D924EA" w:rsidRDefault="00011DE9">
            <w:pPr>
              <w:pStyle w:val="P68B1DB1-Normal18"/>
              <w:spacing w:after="0" w:line="240" w:lineRule="auto"/>
              <w:jc w:val="right"/>
              <w:rPr>
                <w:rFonts w:eastAsia="MS Mincho" w:cs="Times New Roman"/>
                <w:noProof/>
                <w:szCs w:val="18"/>
              </w:rPr>
            </w:pPr>
            <w:r>
              <w:rPr>
                <w:noProof/>
              </w:rPr>
              <w:t xml:space="preserve"> </w:t>
            </w:r>
          </w:p>
        </w:tc>
        <w:tc>
          <w:tcPr>
            <w:tcW w:w="992" w:type="dxa"/>
            <w:shd w:val="clear" w:color="auto" w:fill="C6EFCE"/>
            <w:noWrap/>
          </w:tcPr>
          <w:p w14:paraId="3C4AF79E" w14:textId="77777777" w:rsidR="00D924EA" w:rsidRDefault="00011DE9">
            <w:pPr>
              <w:pStyle w:val="P68B1DB1-Normal18"/>
              <w:spacing w:after="0" w:line="240" w:lineRule="auto"/>
              <w:jc w:val="right"/>
              <w:rPr>
                <w:rFonts w:eastAsia="MS Mincho" w:cs="Times New Roman"/>
                <w:noProof/>
                <w:szCs w:val="18"/>
              </w:rPr>
            </w:pPr>
            <w:r>
              <w:rPr>
                <w:noProof/>
              </w:rPr>
              <w:t xml:space="preserve"> </w:t>
            </w:r>
          </w:p>
        </w:tc>
        <w:tc>
          <w:tcPr>
            <w:tcW w:w="723" w:type="dxa"/>
            <w:shd w:val="clear" w:color="auto" w:fill="C6EFCE"/>
            <w:noWrap/>
          </w:tcPr>
          <w:p w14:paraId="230A3979" w14:textId="77777777" w:rsidR="00D924EA" w:rsidRDefault="00011DE9">
            <w:pPr>
              <w:pStyle w:val="P68B1DB1-Normal18"/>
              <w:spacing w:after="0" w:line="240" w:lineRule="auto"/>
              <w:jc w:val="right"/>
              <w:rPr>
                <w:rFonts w:eastAsia="MS Mincho" w:cs="Times New Roman"/>
                <w:noProof/>
                <w:szCs w:val="18"/>
              </w:rPr>
            </w:pPr>
            <w:r>
              <w:rPr>
                <w:noProof/>
              </w:rPr>
              <w:t xml:space="preserve"> </w:t>
            </w:r>
          </w:p>
        </w:tc>
        <w:tc>
          <w:tcPr>
            <w:tcW w:w="410" w:type="dxa"/>
            <w:shd w:val="clear" w:color="auto" w:fill="C6EFCE"/>
            <w:noWrap/>
          </w:tcPr>
          <w:p w14:paraId="5A4B9EF6" w14:textId="334893DB" w:rsidR="00D924EA" w:rsidRDefault="005701C9">
            <w:pPr>
              <w:pStyle w:val="P68B1DB1-Normal18"/>
              <w:spacing w:after="0" w:line="240" w:lineRule="auto"/>
              <w:jc w:val="center"/>
              <w:rPr>
                <w:rFonts w:eastAsia="MS Mincho" w:cs="Times New Roman"/>
                <w:noProof/>
                <w:szCs w:val="18"/>
              </w:rPr>
            </w:pPr>
            <w:r>
              <w:rPr>
                <w:noProof/>
              </w:rPr>
              <w:t>T4</w:t>
            </w:r>
          </w:p>
        </w:tc>
        <w:tc>
          <w:tcPr>
            <w:tcW w:w="546" w:type="dxa"/>
            <w:shd w:val="clear" w:color="auto" w:fill="C6EFCE"/>
            <w:noWrap/>
          </w:tcPr>
          <w:p w14:paraId="221E3290" w14:textId="77777777" w:rsidR="00D924EA" w:rsidRDefault="00011DE9">
            <w:pPr>
              <w:pStyle w:val="P68B1DB1-Normal18"/>
              <w:spacing w:after="0" w:line="240" w:lineRule="auto"/>
              <w:jc w:val="center"/>
              <w:rPr>
                <w:rFonts w:eastAsia="MS Mincho" w:cs="Times New Roman"/>
                <w:noProof/>
                <w:szCs w:val="18"/>
              </w:rPr>
            </w:pPr>
            <w:r>
              <w:rPr>
                <w:noProof/>
              </w:rPr>
              <w:t>2020</w:t>
            </w:r>
          </w:p>
        </w:tc>
        <w:tc>
          <w:tcPr>
            <w:tcW w:w="5810" w:type="dxa"/>
            <w:shd w:val="clear" w:color="auto" w:fill="C6EFCE"/>
            <w:noWrap/>
          </w:tcPr>
          <w:p w14:paraId="7B868711" w14:textId="7AD53751" w:rsidR="00D924EA" w:rsidRDefault="00011DE9">
            <w:pPr>
              <w:pStyle w:val="P68B1DB1-Normal6"/>
              <w:spacing w:after="0" w:line="240" w:lineRule="auto"/>
              <w:rPr>
                <w:rFonts w:ascii="Calibri" w:eastAsia="Calibri" w:hAnsi="Calibri" w:cs="Arial"/>
                <w:noProof/>
              </w:rPr>
            </w:pPr>
            <w:r>
              <w:rPr>
                <w:rFonts w:ascii="Times New Roman" w:eastAsia="Calibri" w:hAnsi="Times New Roman" w:cs="Arial"/>
                <w:noProof/>
                <w:sz w:val="18"/>
              </w:rPr>
              <w:t>Încheierea procesului de consultare publică a strategiei care abordează acțiuni în următoarele nouă domenii:</w:t>
            </w:r>
            <w:r w:rsidR="00971820">
              <w:rPr>
                <w:rFonts w:ascii="Calibri" w:eastAsia="Calibri" w:hAnsi="Calibri" w:cs="Arial"/>
                <w:noProof/>
              </w:rPr>
              <w:t xml:space="preserve"> </w:t>
            </w:r>
          </w:p>
          <w:p w14:paraId="72F87F53" w14:textId="617DDC31" w:rsidR="00D924EA" w:rsidRDefault="00011DE9">
            <w:pPr>
              <w:pStyle w:val="P68B1DB1-Normal6"/>
              <w:spacing w:after="0" w:line="240" w:lineRule="auto"/>
              <w:rPr>
                <w:rFonts w:ascii="Calibri" w:eastAsia="Calibri" w:hAnsi="Calibri" w:cs="Arial"/>
                <w:noProof/>
              </w:rPr>
            </w:pPr>
            <w:r>
              <w:rPr>
                <w:rFonts w:ascii="Times New Roman" w:eastAsia="Calibri" w:hAnsi="Times New Roman" w:cs="Arial"/>
                <w:noProof/>
                <w:sz w:val="18"/>
              </w:rPr>
              <w:t>1) mobilitatea pentru toți (pentru a asigura accesibilitatea universală la costuri rezonabile);</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2) noi politici de investiții (pentru a asigura finanțarea adecvată a infrastructurilor și serviciilor de transport);</w:t>
            </w:r>
            <w:r w:rsidR="00971820">
              <w:rPr>
                <w:rFonts w:ascii="Calibri" w:eastAsia="Calibri" w:hAnsi="Calibri" w:cs="Arial"/>
                <w:noProof/>
              </w:rPr>
              <w:t xml:space="preserve"> </w:t>
            </w:r>
          </w:p>
          <w:p w14:paraId="42397F93" w14:textId="0F602753" w:rsidR="00D924EA" w:rsidRDefault="00011DE9">
            <w:pPr>
              <w:pStyle w:val="P68B1DB1-Normal6"/>
              <w:spacing w:after="0" w:line="240" w:lineRule="auto"/>
              <w:rPr>
                <w:rFonts w:ascii="Calibri" w:eastAsia="Calibri" w:hAnsi="Calibri" w:cs="Arial"/>
                <w:noProof/>
              </w:rPr>
            </w:pPr>
            <w:r>
              <w:rPr>
                <w:rFonts w:ascii="Times New Roman" w:eastAsia="Calibri" w:hAnsi="Times New Roman" w:cs="Arial"/>
                <w:noProof/>
                <w:sz w:val="18"/>
              </w:rPr>
              <w:t>3) mobilitate sigură (acordând prioritate investițiilor în monitorizare, întreținere și securitate cibernetică);</w:t>
            </w:r>
            <w:r w:rsidR="00971820">
              <w:rPr>
                <w:rFonts w:ascii="Calibri" w:eastAsia="Calibri" w:hAnsi="Calibri" w:cs="Arial"/>
                <w:noProof/>
              </w:rPr>
              <w:t xml:space="preserve"> </w:t>
            </w:r>
          </w:p>
          <w:p w14:paraId="32DFFDF3" w14:textId="5944608A" w:rsidR="00D924EA" w:rsidRDefault="00011DE9">
            <w:pPr>
              <w:pStyle w:val="P68B1DB1-Normal6"/>
              <w:spacing w:after="0" w:line="240" w:lineRule="auto"/>
              <w:rPr>
                <w:rFonts w:ascii="Calibri" w:eastAsia="Calibri" w:hAnsi="Calibri" w:cs="Arial"/>
                <w:noProof/>
              </w:rPr>
            </w:pPr>
            <w:r>
              <w:rPr>
                <w:rFonts w:ascii="Times New Roman" w:eastAsia="Calibri" w:hAnsi="Times New Roman" w:cs="Arial"/>
                <w:noProof/>
                <w:sz w:val="18"/>
              </w:rPr>
              <w:t>4) mobilitatea cu emisii scăzute (creșterea eficienței, reducerea consumului de energie);</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5) mobilitatea inteligentă (stimularea C &amp; D și a inovării în domeniul mobilității, construirea și gestionarea infrastructurii inteligente);</w:t>
            </w:r>
            <w:r w:rsidR="00971820">
              <w:rPr>
                <w:rFonts w:ascii="Calibri" w:eastAsia="Calibri" w:hAnsi="Calibri" w:cs="Arial"/>
                <w:noProof/>
              </w:rPr>
              <w:t xml:space="preserve"> </w:t>
            </w:r>
          </w:p>
          <w:p w14:paraId="561E1B0F" w14:textId="266BD9EB" w:rsidR="00D924EA" w:rsidRDefault="00011DE9">
            <w:pPr>
              <w:pStyle w:val="P68B1DB1-Normal6"/>
              <w:spacing w:after="0" w:line="240" w:lineRule="auto"/>
              <w:rPr>
                <w:rFonts w:ascii="Calibri" w:eastAsia="Calibri" w:hAnsi="Calibri" w:cs="Arial"/>
                <w:noProof/>
              </w:rPr>
            </w:pPr>
            <w:r>
              <w:rPr>
                <w:rFonts w:ascii="Times New Roman" w:eastAsia="Calibri" w:hAnsi="Times New Roman" w:cs="Arial"/>
                <w:noProof/>
                <w:sz w:val="18"/>
              </w:rPr>
              <w:t>6) lanțuri logistice intermodale inteligente (pentru a acorda prioritate transportului de mărfuri pe calea ferată);</w:t>
            </w:r>
            <w:r w:rsidR="00971820">
              <w:rPr>
                <w:rFonts w:ascii="Calibri" w:eastAsia="Calibri" w:hAnsi="Calibri" w:cs="Arial"/>
                <w:noProof/>
              </w:rPr>
              <w:t xml:space="preserve"> </w:t>
            </w:r>
          </w:p>
          <w:p w14:paraId="5C00E8BD" w14:textId="4BC8DBC2" w:rsidR="00D924EA" w:rsidRDefault="00011DE9">
            <w:pPr>
              <w:pStyle w:val="P68B1DB1-Normal6"/>
              <w:spacing w:after="0" w:line="240" w:lineRule="auto"/>
              <w:rPr>
                <w:rFonts w:ascii="Calibri" w:eastAsia="Calibri" w:hAnsi="Calibri" w:cs="Arial"/>
                <w:noProof/>
              </w:rPr>
            </w:pPr>
            <w:r>
              <w:rPr>
                <w:rFonts w:ascii="Times New Roman" w:eastAsia="Calibri" w:hAnsi="Times New Roman" w:cs="Arial"/>
                <w:noProof/>
                <w:sz w:val="18"/>
              </w:rPr>
              <w:t>7) conectarea Europei și a lumii (conectarea porturilor la terminalele logistice intermodale și intensificarea cooperării cu țările învecinate pentru a coordona construirea și/sau îmbunătățirea infrastructurilor transfrontaliere);</w:t>
            </w:r>
            <w:r w:rsidR="00971820">
              <w:rPr>
                <w:rFonts w:ascii="Calibri" w:eastAsia="Calibri" w:hAnsi="Calibri" w:cs="Arial"/>
                <w:noProof/>
              </w:rPr>
              <w:t xml:space="preserve"> </w:t>
            </w:r>
          </w:p>
          <w:p w14:paraId="29ED6FC8" w14:textId="77777777" w:rsidR="00D924EA" w:rsidRDefault="00011DE9">
            <w:pPr>
              <w:pStyle w:val="P68B1DB1-Normal6"/>
              <w:spacing w:after="0" w:line="240" w:lineRule="auto"/>
              <w:rPr>
                <w:rFonts w:ascii="Calibri" w:eastAsia="Calibri" w:hAnsi="Calibri" w:cs="Arial"/>
                <w:noProof/>
              </w:rPr>
            </w:pPr>
            <w:r>
              <w:rPr>
                <w:rFonts w:ascii="Times New Roman" w:eastAsia="Calibri" w:hAnsi="Times New Roman" w:cs="Arial"/>
                <w:noProof/>
                <w:sz w:val="18"/>
              </w:rPr>
              <w:t>8) aspecte sociale și de muncă (echilibrul de gen și acțiuni de recalificare și perfecționare a forței de muncă din domeniul transporturilor);</w:t>
            </w:r>
            <w:r>
              <w:rPr>
                <w:rFonts w:ascii="Calibri" w:eastAsia="Calibri" w:hAnsi="Calibri" w:cs="Arial"/>
                <w:noProof/>
              </w:rPr>
              <w:t xml:space="preserve"> </w:t>
            </w:r>
          </w:p>
          <w:p w14:paraId="14E60C53" w14:textId="77777777" w:rsidR="00D924EA" w:rsidRDefault="00011DE9">
            <w:pPr>
              <w:pStyle w:val="P68B1DB1-Normal18"/>
              <w:spacing w:after="0" w:line="240" w:lineRule="auto"/>
              <w:rPr>
                <w:rFonts w:eastAsia="MS Mincho" w:cs="Times New Roman"/>
                <w:noProof/>
                <w:szCs w:val="18"/>
              </w:rPr>
            </w:pPr>
            <w:r>
              <w:rPr>
                <w:noProof/>
              </w:rPr>
              <w:t>9) digitalizarea Ministerului Transporturilor (MITMA).</w:t>
            </w:r>
          </w:p>
        </w:tc>
      </w:tr>
      <w:tr w:rsidR="00D924EA" w14:paraId="71ECAA37" w14:textId="77777777" w:rsidTr="0042520D">
        <w:trPr>
          <w:trHeight w:val="309"/>
          <w:jc w:val="center"/>
        </w:trPr>
        <w:tc>
          <w:tcPr>
            <w:tcW w:w="822" w:type="dxa"/>
            <w:shd w:val="clear" w:color="auto" w:fill="C6EFCE"/>
            <w:noWrap/>
          </w:tcPr>
          <w:p w14:paraId="608CC553" w14:textId="77777777" w:rsidR="00D924EA" w:rsidRDefault="00011DE9">
            <w:pPr>
              <w:pStyle w:val="P68B1DB1-Normal18"/>
              <w:spacing w:after="0" w:line="240" w:lineRule="auto"/>
              <w:jc w:val="center"/>
              <w:rPr>
                <w:rFonts w:eastAsia="MS Mincho" w:cs="Times New Roman"/>
                <w:noProof/>
                <w:szCs w:val="18"/>
              </w:rPr>
            </w:pPr>
            <w:r>
              <w:rPr>
                <w:noProof/>
              </w:rPr>
              <w:t>83</w:t>
            </w:r>
          </w:p>
        </w:tc>
        <w:tc>
          <w:tcPr>
            <w:tcW w:w="818" w:type="dxa"/>
            <w:shd w:val="clear" w:color="auto" w:fill="C6EFCE"/>
            <w:noWrap/>
          </w:tcPr>
          <w:p w14:paraId="137AEAF4" w14:textId="77777777" w:rsidR="00D924EA" w:rsidRDefault="00011DE9">
            <w:pPr>
              <w:pStyle w:val="P68B1DB1-Normal18"/>
              <w:spacing w:after="0" w:line="240" w:lineRule="auto"/>
              <w:jc w:val="center"/>
              <w:rPr>
                <w:rFonts w:eastAsia="MS Mincho" w:cs="Times New Roman"/>
                <w:noProof/>
                <w:szCs w:val="18"/>
              </w:rPr>
            </w:pPr>
            <w:r>
              <w:rPr>
                <w:noProof/>
              </w:rPr>
              <w:t>C6.R1</w:t>
            </w:r>
          </w:p>
        </w:tc>
        <w:tc>
          <w:tcPr>
            <w:tcW w:w="817" w:type="dxa"/>
            <w:shd w:val="clear" w:color="auto" w:fill="C6EFCE"/>
            <w:noWrap/>
          </w:tcPr>
          <w:p w14:paraId="6D945865" w14:textId="77777777" w:rsidR="00D924EA" w:rsidRDefault="00011DE9">
            <w:pPr>
              <w:pStyle w:val="P68B1DB1-Normal18"/>
              <w:spacing w:after="0" w:line="240" w:lineRule="auto"/>
              <w:jc w:val="center"/>
              <w:rPr>
                <w:rFonts w:eastAsia="MS Mincho" w:cs="Times New Roman"/>
                <w:noProof/>
                <w:szCs w:val="18"/>
              </w:rPr>
            </w:pPr>
            <w:r>
              <w:rPr>
                <w:noProof/>
              </w:rPr>
              <w:t>M</w:t>
            </w:r>
          </w:p>
        </w:tc>
        <w:tc>
          <w:tcPr>
            <w:tcW w:w="1366" w:type="dxa"/>
            <w:shd w:val="clear" w:color="auto" w:fill="C6EFCE"/>
            <w:noWrap/>
          </w:tcPr>
          <w:p w14:paraId="6F101F03" w14:textId="77777777" w:rsidR="00D924EA" w:rsidRDefault="00011DE9">
            <w:pPr>
              <w:pStyle w:val="P68B1DB1-Normal18"/>
              <w:spacing w:after="0" w:line="240" w:lineRule="auto"/>
              <w:rPr>
                <w:rFonts w:eastAsia="MS Mincho" w:cs="Times New Roman"/>
                <w:noProof/>
                <w:szCs w:val="18"/>
              </w:rPr>
            </w:pPr>
            <w:r>
              <w:rPr>
                <w:noProof/>
              </w:rPr>
              <w:t xml:space="preserve">Strategia privind mobilitatea durabilă, sigură și conectată (aprobare) </w:t>
            </w:r>
          </w:p>
        </w:tc>
        <w:tc>
          <w:tcPr>
            <w:tcW w:w="992" w:type="dxa"/>
            <w:shd w:val="clear" w:color="auto" w:fill="C6EFCE"/>
            <w:noWrap/>
          </w:tcPr>
          <w:p w14:paraId="5882ADE6" w14:textId="77777777" w:rsidR="00D924EA" w:rsidRDefault="00011DE9">
            <w:pPr>
              <w:pStyle w:val="P68B1DB1-Normal18"/>
              <w:spacing w:after="0" w:line="240" w:lineRule="auto"/>
              <w:jc w:val="center"/>
              <w:rPr>
                <w:rFonts w:eastAsia="MS Mincho" w:cs="Times New Roman"/>
                <w:noProof/>
                <w:szCs w:val="18"/>
              </w:rPr>
            </w:pPr>
            <w:r>
              <w:rPr>
                <w:noProof/>
              </w:rPr>
              <w:t>Aprobarea de către Consiliul de Miniștri</w:t>
            </w:r>
          </w:p>
        </w:tc>
        <w:tc>
          <w:tcPr>
            <w:tcW w:w="992" w:type="dxa"/>
            <w:shd w:val="clear" w:color="auto" w:fill="C6EFCE"/>
            <w:noWrap/>
          </w:tcPr>
          <w:p w14:paraId="28563B7B" w14:textId="77777777" w:rsidR="00D924EA" w:rsidRDefault="00011DE9">
            <w:pPr>
              <w:pStyle w:val="P68B1DB1-Normal18"/>
              <w:spacing w:after="0" w:line="240" w:lineRule="auto"/>
              <w:jc w:val="right"/>
              <w:rPr>
                <w:rFonts w:eastAsia="MS Mincho" w:cs="Times New Roman"/>
                <w:noProof/>
                <w:szCs w:val="18"/>
              </w:rPr>
            </w:pPr>
            <w:r>
              <w:rPr>
                <w:noProof/>
              </w:rPr>
              <w:t xml:space="preserve"> </w:t>
            </w:r>
          </w:p>
        </w:tc>
        <w:tc>
          <w:tcPr>
            <w:tcW w:w="992" w:type="dxa"/>
            <w:shd w:val="clear" w:color="auto" w:fill="C6EFCE"/>
            <w:noWrap/>
          </w:tcPr>
          <w:p w14:paraId="0F3498E1" w14:textId="77777777" w:rsidR="00D924EA" w:rsidRDefault="00011DE9">
            <w:pPr>
              <w:pStyle w:val="P68B1DB1-Normal18"/>
              <w:spacing w:after="0" w:line="240" w:lineRule="auto"/>
              <w:jc w:val="right"/>
              <w:rPr>
                <w:rFonts w:eastAsia="MS Mincho" w:cs="Times New Roman"/>
                <w:noProof/>
                <w:szCs w:val="18"/>
              </w:rPr>
            </w:pPr>
            <w:r>
              <w:rPr>
                <w:noProof/>
              </w:rPr>
              <w:t xml:space="preserve"> </w:t>
            </w:r>
          </w:p>
        </w:tc>
        <w:tc>
          <w:tcPr>
            <w:tcW w:w="723" w:type="dxa"/>
            <w:shd w:val="clear" w:color="auto" w:fill="C6EFCE"/>
            <w:noWrap/>
          </w:tcPr>
          <w:p w14:paraId="6FD9B63E" w14:textId="77777777" w:rsidR="00D924EA" w:rsidRDefault="00011DE9">
            <w:pPr>
              <w:pStyle w:val="P68B1DB1-Normal18"/>
              <w:spacing w:after="0" w:line="240" w:lineRule="auto"/>
              <w:jc w:val="right"/>
              <w:rPr>
                <w:rFonts w:cs="Times New Roman"/>
                <w:noProof/>
                <w:szCs w:val="18"/>
              </w:rPr>
            </w:pPr>
            <w:r>
              <w:rPr>
                <w:noProof/>
              </w:rPr>
              <w:t xml:space="preserve"> </w:t>
            </w:r>
          </w:p>
        </w:tc>
        <w:tc>
          <w:tcPr>
            <w:tcW w:w="410" w:type="dxa"/>
            <w:shd w:val="clear" w:color="auto" w:fill="C6EFCE"/>
            <w:noWrap/>
          </w:tcPr>
          <w:p w14:paraId="0E3165CF" w14:textId="480D7F6D" w:rsidR="00D924EA" w:rsidRDefault="005701C9">
            <w:pPr>
              <w:pStyle w:val="P68B1DB1-Normal18"/>
              <w:spacing w:after="0" w:line="240" w:lineRule="auto"/>
              <w:jc w:val="center"/>
              <w:rPr>
                <w:rFonts w:cs="Times New Roman"/>
                <w:noProof/>
                <w:szCs w:val="18"/>
              </w:rPr>
            </w:pPr>
            <w:r>
              <w:rPr>
                <w:noProof/>
              </w:rPr>
              <w:t>T4</w:t>
            </w:r>
          </w:p>
        </w:tc>
        <w:tc>
          <w:tcPr>
            <w:tcW w:w="546" w:type="dxa"/>
            <w:shd w:val="clear" w:color="auto" w:fill="C6EFCE"/>
            <w:noWrap/>
          </w:tcPr>
          <w:p w14:paraId="181B5E4A" w14:textId="77777777" w:rsidR="00D924EA" w:rsidRDefault="00011DE9">
            <w:pPr>
              <w:pStyle w:val="P68B1DB1-Normal18"/>
              <w:spacing w:after="0" w:line="240" w:lineRule="auto"/>
              <w:jc w:val="center"/>
              <w:rPr>
                <w:rFonts w:cs="Times New Roman"/>
                <w:noProof/>
                <w:szCs w:val="18"/>
              </w:rPr>
            </w:pPr>
            <w:r>
              <w:rPr>
                <w:noProof/>
              </w:rPr>
              <w:t>2021</w:t>
            </w:r>
          </w:p>
        </w:tc>
        <w:tc>
          <w:tcPr>
            <w:tcW w:w="5810" w:type="dxa"/>
            <w:shd w:val="clear" w:color="auto" w:fill="C6EFCE"/>
            <w:noWrap/>
          </w:tcPr>
          <w:p w14:paraId="6CFCF72D" w14:textId="635C9179" w:rsidR="00D924EA" w:rsidRDefault="00011DE9">
            <w:pPr>
              <w:pStyle w:val="P68B1DB1-Normal6"/>
              <w:spacing w:after="0" w:line="240" w:lineRule="auto"/>
              <w:rPr>
                <w:rFonts w:ascii="Calibri" w:eastAsia="Calibri" w:hAnsi="Calibri" w:cs="Arial"/>
                <w:noProof/>
              </w:rPr>
            </w:pPr>
            <w:r>
              <w:rPr>
                <w:rFonts w:ascii="Times New Roman" w:eastAsia="Calibri" w:hAnsi="Times New Roman" w:cs="Arial"/>
                <w:noProof/>
                <w:sz w:val="18"/>
              </w:rPr>
              <w:t>Aprobarea de către Consiliul de Miniștri a strategiei care abordează acțiuni în următoarele nouă domenii:</w:t>
            </w:r>
            <w:r w:rsidR="00971820">
              <w:rPr>
                <w:rFonts w:ascii="Calibri" w:eastAsia="Calibri" w:hAnsi="Calibri" w:cs="Arial"/>
                <w:noProof/>
              </w:rPr>
              <w:t xml:space="preserve"> </w:t>
            </w:r>
          </w:p>
          <w:p w14:paraId="3FA35F53" w14:textId="1B6BC920" w:rsidR="00D924EA" w:rsidRDefault="00011DE9">
            <w:pPr>
              <w:pStyle w:val="P68B1DB1-Normal6"/>
              <w:spacing w:after="0" w:line="240" w:lineRule="auto"/>
              <w:rPr>
                <w:rFonts w:ascii="Calibri" w:eastAsia="Calibri" w:hAnsi="Calibri" w:cs="Arial"/>
                <w:noProof/>
              </w:rPr>
            </w:pPr>
            <w:r>
              <w:rPr>
                <w:rFonts w:ascii="Times New Roman" w:eastAsia="Calibri" w:hAnsi="Times New Roman" w:cs="Arial"/>
                <w:noProof/>
                <w:sz w:val="18"/>
              </w:rPr>
              <w:t>1) mobilitatea pentru toți (cu scopul de a asigura accesibilitatea universală la un cost rezonabil);</w:t>
            </w:r>
            <w:r w:rsidR="00971820">
              <w:rPr>
                <w:rFonts w:ascii="Calibri" w:eastAsia="Calibri" w:hAnsi="Calibri" w:cs="Arial"/>
                <w:noProof/>
              </w:rPr>
              <w:t xml:space="preserve"> </w:t>
            </w:r>
          </w:p>
          <w:p w14:paraId="798CD53B" w14:textId="1C769DAB" w:rsidR="00D924EA" w:rsidRDefault="00011DE9">
            <w:pPr>
              <w:pStyle w:val="P68B1DB1-Normal6"/>
              <w:spacing w:after="0" w:line="240" w:lineRule="auto"/>
              <w:rPr>
                <w:rFonts w:ascii="Calibri" w:eastAsia="Calibri" w:hAnsi="Calibri" w:cs="Arial"/>
                <w:noProof/>
              </w:rPr>
            </w:pPr>
            <w:r>
              <w:rPr>
                <w:rFonts w:ascii="Times New Roman" w:eastAsia="Calibri" w:hAnsi="Times New Roman" w:cs="Arial"/>
                <w:noProof/>
                <w:sz w:val="18"/>
              </w:rPr>
              <w:t>2) noi politici de investiții (pentru a asigura finanțarea adecvată a infrastructurilor și serviciilor de transport);</w:t>
            </w:r>
            <w:r w:rsidR="00971820">
              <w:rPr>
                <w:rFonts w:ascii="Calibri" w:eastAsia="Calibri" w:hAnsi="Calibri" w:cs="Arial"/>
                <w:noProof/>
              </w:rPr>
              <w:t xml:space="preserve"> </w:t>
            </w:r>
          </w:p>
          <w:p w14:paraId="2ADD2FB9" w14:textId="3B1DB532" w:rsidR="00D924EA" w:rsidRDefault="00011DE9">
            <w:pPr>
              <w:pStyle w:val="P68B1DB1-Normal6"/>
              <w:spacing w:after="0" w:line="240" w:lineRule="auto"/>
              <w:rPr>
                <w:rFonts w:ascii="Calibri" w:eastAsia="Calibri" w:hAnsi="Calibri" w:cs="Arial"/>
                <w:noProof/>
              </w:rPr>
            </w:pPr>
            <w:r>
              <w:rPr>
                <w:rFonts w:ascii="Times New Roman" w:eastAsia="Calibri" w:hAnsi="Times New Roman" w:cs="Arial"/>
                <w:noProof/>
                <w:sz w:val="18"/>
              </w:rPr>
              <w:t>3) mobilitate sigură (acordând prioritate investițiilor în monitorizare, întreținere și securitate cibernetică);</w:t>
            </w:r>
            <w:r w:rsidR="00971820">
              <w:rPr>
                <w:rFonts w:ascii="Calibri" w:eastAsia="Calibri" w:hAnsi="Calibri" w:cs="Arial"/>
                <w:noProof/>
              </w:rPr>
              <w:t xml:space="preserve"> </w:t>
            </w:r>
          </w:p>
          <w:p w14:paraId="027C8648" w14:textId="5AF38758" w:rsidR="00D924EA" w:rsidRDefault="00011DE9">
            <w:pPr>
              <w:pStyle w:val="P68B1DB1-Normal6"/>
              <w:spacing w:after="0" w:line="240" w:lineRule="auto"/>
              <w:rPr>
                <w:rFonts w:ascii="Calibri" w:eastAsia="Calibri" w:hAnsi="Calibri" w:cs="Arial"/>
                <w:noProof/>
              </w:rPr>
            </w:pPr>
            <w:r>
              <w:rPr>
                <w:rFonts w:ascii="Times New Roman" w:eastAsia="Calibri" w:hAnsi="Times New Roman" w:cs="Arial"/>
                <w:noProof/>
                <w:sz w:val="18"/>
              </w:rPr>
              <w:t>4) mobilitatea cu emisii scăzute (creșterea eficienței, reducerea consumului de energie);</w:t>
            </w:r>
            <w:r w:rsidR="00971820">
              <w:rPr>
                <w:rFonts w:ascii="Calibri" w:eastAsia="Calibri" w:hAnsi="Calibri" w:cs="Arial"/>
                <w:noProof/>
              </w:rPr>
              <w:t xml:space="preserve"> </w:t>
            </w:r>
          </w:p>
          <w:p w14:paraId="7E3822DD" w14:textId="3F5E0948" w:rsidR="00D924EA" w:rsidRDefault="00011DE9">
            <w:pPr>
              <w:pStyle w:val="P68B1DB1-Normal6"/>
              <w:spacing w:after="0" w:line="240" w:lineRule="auto"/>
              <w:rPr>
                <w:rFonts w:ascii="Calibri" w:eastAsia="Calibri" w:hAnsi="Calibri" w:cs="Arial"/>
                <w:noProof/>
              </w:rPr>
            </w:pPr>
            <w:r>
              <w:rPr>
                <w:rFonts w:ascii="Times New Roman" w:eastAsia="Calibri" w:hAnsi="Times New Roman" w:cs="Arial"/>
                <w:noProof/>
                <w:sz w:val="18"/>
              </w:rPr>
              <w:t>5) mobilitatea inteligentă (stimularea C &amp; D și a inovării în domeniul mobilității, construirea și gestionarea infrastructurii inteligente);</w:t>
            </w:r>
            <w:r w:rsidR="00971820">
              <w:rPr>
                <w:rFonts w:ascii="Calibri" w:eastAsia="Calibri" w:hAnsi="Calibri" w:cs="Arial"/>
                <w:noProof/>
              </w:rPr>
              <w:t xml:space="preserve"> </w:t>
            </w:r>
          </w:p>
          <w:p w14:paraId="4A9E66A8" w14:textId="5BA2F738" w:rsidR="00D924EA" w:rsidRDefault="00011DE9">
            <w:pPr>
              <w:pStyle w:val="P68B1DB1-Normal6"/>
              <w:spacing w:after="0" w:line="240" w:lineRule="auto"/>
              <w:rPr>
                <w:rFonts w:ascii="Calibri" w:eastAsia="Calibri" w:hAnsi="Calibri" w:cs="Arial"/>
                <w:noProof/>
              </w:rPr>
            </w:pPr>
            <w:r>
              <w:rPr>
                <w:rFonts w:ascii="Times New Roman" w:eastAsia="Calibri" w:hAnsi="Times New Roman" w:cs="Arial"/>
                <w:noProof/>
                <w:sz w:val="18"/>
              </w:rPr>
              <w:t>6) lanțuri logistice intermodale inteligente (prioritizarea transportului de mărfuri pe calea ferată în agendele publice și private);</w:t>
            </w:r>
            <w:r w:rsidR="00971820">
              <w:rPr>
                <w:rFonts w:ascii="Calibri" w:eastAsia="Calibri" w:hAnsi="Calibri" w:cs="Arial"/>
                <w:noProof/>
              </w:rPr>
              <w:t xml:space="preserve"> </w:t>
            </w:r>
          </w:p>
          <w:p w14:paraId="39D51ADE" w14:textId="2628C7EB" w:rsidR="00D924EA" w:rsidRDefault="00011DE9">
            <w:pPr>
              <w:pStyle w:val="P68B1DB1-Normal6"/>
              <w:spacing w:after="0" w:line="240" w:lineRule="auto"/>
              <w:rPr>
                <w:rFonts w:ascii="Calibri" w:eastAsia="Calibri" w:hAnsi="Calibri" w:cs="Arial"/>
                <w:noProof/>
              </w:rPr>
            </w:pPr>
            <w:r>
              <w:rPr>
                <w:rFonts w:ascii="Times New Roman" w:eastAsia="Calibri" w:hAnsi="Times New Roman" w:cs="Arial"/>
                <w:noProof/>
                <w:sz w:val="18"/>
              </w:rPr>
              <w:t>7) conectarea Europei și a lumii (conectarea porturilor la terminalele logistice intermodale și intensificarea cooperării cu țările învecinate pentru a coordona construirea și/sau îmbunătățirea infrastructurilor transfrontaliere);</w:t>
            </w:r>
            <w:r w:rsidR="00971820">
              <w:rPr>
                <w:rFonts w:ascii="Calibri" w:eastAsia="Calibri" w:hAnsi="Calibri" w:cs="Arial"/>
                <w:noProof/>
              </w:rPr>
              <w:t xml:space="preserve"> </w:t>
            </w:r>
          </w:p>
          <w:p w14:paraId="3F747656" w14:textId="26FDA0EE" w:rsidR="00D924EA" w:rsidRDefault="00011DE9">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8) aspecte sociale și de muncă (echilibrul de gen și acțiuni de recalificare și perfecționare a forței de muncă din domeniul transporturilor);</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9) digitalizarea Ministerului Transporturilor – MITMA.</w:t>
            </w:r>
          </w:p>
        </w:tc>
      </w:tr>
      <w:tr w:rsidR="00D924EA" w14:paraId="2BC74F3A" w14:textId="77777777" w:rsidTr="0042520D">
        <w:trPr>
          <w:trHeight w:val="309"/>
          <w:jc w:val="center"/>
        </w:trPr>
        <w:tc>
          <w:tcPr>
            <w:tcW w:w="822" w:type="dxa"/>
            <w:shd w:val="clear" w:color="auto" w:fill="C6EFCE"/>
            <w:noWrap/>
          </w:tcPr>
          <w:p w14:paraId="1F4AEC2E" w14:textId="77777777" w:rsidR="00D924EA" w:rsidRDefault="00011DE9">
            <w:pPr>
              <w:pStyle w:val="P68B1DB1-Normal18"/>
              <w:spacing w:after="0" w:line="240" w:lineRule="auto"/>
              <w:jc w:val="center"/>
              <w:rPr>
                <w:rFonts w:cs="Times New Roman"/>
                <w:noProof/>
                <w:szCs w:val="18"/>
              </w:rPr>
            </w:pPr>
            <w:r>
              <w:rPr>
                <w:noProof/>
              </w:rPr>
              <w:t>84</w:t>
            </w:r>
          </w:p>
        </w:tc>
        <w:tc>
          <w:tcPr>
            <w:tcW w:w="818" w:type="dxa"/>
            <w:shd w:val="clear" w:color="auto" w:fill="C6EFCE"/>
            <w:noWrap/>
          </w:tcPr>
          <w:p w14:paraId="18535F47" w14:textId="77777777" w:rsidR="00D924EA" w:rsidRDefault="00011DE9">
            <w:pPr>
              <w:pStyle w:val="P68B1DB1-Normal18"/>
              <w:spacing w:after="0" w:line="240" w:lineRule="auto"/>
              <w:jc w:val="center"/>
              <w:rPr>
                <w:rFonts w:cs="Times New Roman"/>
                <w:noProof/>
                <w:szCs w:val="18"/>
              </w:rPr>
            </w:pPr>
            <w:r>
              <w:rPr>
                <w:noProof/>
              </w:rPr>
              <w:t>C6.R2</w:t>
            </w:r>
          </w:p>
        </w:tc>
        <w:tc>
          <w:tcPr>
            <w:tcW w:w="817" w:type="dxa"/>
            <w:shd w:val="clear" w:color="auto" w:fill="C6EFCE"/>
            <w:noWrap/>
          </w:tcPr>
          <w:p w14:paraId="517AF3F8" w14:textId="77777777" w:rsidR="00D924EA" w:rsidRDefault="00011DE9">
            <w:pPr>
              <w:pStyle w:val="P68B1DB1-Normal18"/>
              <w:spacing w:after="0" w:line="240" w:lineRule="auto"/>
              <w:jc w:val="center"/>
              <w:rPr>
                <w:rFonts w:cs="Times New Roman"/>
                <w:noProof/>
                <w:szCs w:val="18"/>
              </w:rPr>
            </w:pPr>
            <w:r>
              <w:rPr>
                <w:noProof/>
              </w:rPr>
              <w:t>M</w:t>
            </w:r>
          </w:p>
        </w:tc>
        <w:tc>
          <w:tcPr>
            <w:tcW w:w="1366" w:type="dxa"/>
            <w:shd w:val="clear" w:color="auto" w:fill="C6EFCE"/>
            <w:noWrap/>
          </w:tcPr>
          <w:p w14:paraId="74EE4E60" w14:textId="77777777" w:rsidR="00D924EA" w:rsidRDefault="00011DE9">
            <w:pPr>
              <w:pStyle w:val="P68B1DB1-Normal18"/>
              <w:spacing w:after="0" w:line="240" w:lineRule="auto"/>
              <w:rPr>
                <w:rFonts w:cs="Times New Roman"/>
                <w:noProof/>
                <w:szCs w:val="18"/>
              </w:rPr>
            </w:pPr>
            <w:r>
              <w:rPr>
                <w:noProof/>
              </w:rPr>
              <w:t>Strategia indicativă pentru sectorul feroviar</w:t>
            </w:r>
          </w:p>
        </w:tc>
        <w:tc>
          <w:tcPr>
            <w:tcW w:w="992" w:type="dxa"/>
            <w:shd w:val="clear" w:color="auto" w:fill="C6EFCE"/>
            <w:noWrap/>
          </w:tcPr>
          <w:p w14:paraId="7541BE8B" w14:textId="77777777" w:rsidR="00D924EA" w:rsidRDefault="00011DE9">
            <w:pPr>
              <w:pStyle w:val="P68B1DB1-Normal18"/>
              <w:spacing w:after="0" w:line="240" w:lineRule="auto"/>
              <w:jc w:val="center"/>
              <w:rPr>
                <w:rFonts w:cs="Times New Roman"/>
                <w:noProof/>
                <w:szCs w:val="18"/>
              </w:rPr>
            </w:pPr>
            <w:r>
              <w:rPr>
                <w:noProof/>
              </w:rPr>
              <w:t>Publicarea în Jurnalul Oficial</w:t>
            </w:r>
          </w:p>
        </w:tc>
        <w:tc>
          <w:tcPr>
            <w:tcW w:w="992" w:type="dxa"/>
            <w:shd w:val="clear" w:color="auto" w:fill="C6EFCE"/>
            <w:noWrap/>
          </w:tcPr>
          <w:p w14:paraId="7637DC7E" w14:textId="77777777" w:rsidR="00D924EA" w:rsidRDefault="00011DE9">
            <w:pPr>
              <w:pStyle w:val="P68B1DB1-Normal18"/>
              <w:spacing w:after="0" w:line="240" w:lineRule="auto"/>
              <w:jc w:val="right"/>
              <w:rPr>
                <w:rFonts w:cs="Times New Roman"/>
                <w:noProof/>
                <w:szCs w:val="18"/>
              </w:rPr>
            </w:pPr>
            <w:r>
              <w:rPr>
                <w:noProof/>
              </w:rPr>
              <w:t xml:space="preserve"> </w:t>
            </w:r>
          </w:p>
        </w:tc>
        <w:tc>
          <w:tcPr>
            <w:tcW w:w="992" w:type="dxa"/>
            <w:shd w:val="clear" w:color="auto" w:fill="C6EFCE"/>
            <w:noWrap/>
          </w:tcPr>
          <w:p w14:paraId="5812D3AB" w14:textId="77777777" w:rsidR="00D924EA" w:rsidRDefault="00011DE9">
            <w:pPr>
              <w:pStyle w:val="P68B1DB1-Normal18"/>
              <w:spacing w:after="0" w:line="240" w:lineRule="auto"/>
              <w:jc w:val="right"/>
              <w:rPr>
                <w:rFonts w:cs="Times New Roman"/>
                <w:noProof/>
                <w:szCs w:val="18"/>
              </w:rPr>
            </w:pPr>
            <w:r>
              <w:rPr>
                <w:noProof/>
              </w:rPr>
              <w:t xml:space="preserve"> </w:t>
            </w:r>
          </w:p>
        </w:tc>
        <w:tc>
          <w:tcPr>
            <w:tcW w:w="723" w:type="dxa"/>
            <w:shd w:val="clear" w:color="auto" w:fill="C6EFCE"/>
            <w:noWrap/>
          </w:tcPr>
          <w:p w14:paraId="654F37BD" w14:textId="77777777" w:rsidR="00D924EA" w:rsidRDefault="00011DE9">
            <w:pPr>
              <w:pStyle w:val="P68B1DB1-Normal18"/>
              <w:spacing w:after="0" w:line="240" w:lineRule="auto"/>
              <w:jc w:val="right"/>
              <w:rPr>
                <w:rFonts w:cs="Times New Roman"/>
                <w:noProof/>
                <w:szCs w:val="18"/>
              </w:rPr>
            </w:pPr>
            <w:r>
              <w:rPr>
                <w:noProof/>
              </w:rPr>
              <w:t xml:space="preserve"> </w:t>
            </w:r>
          </w:p>
        </w:tc>
        <w:tc>
          <w:tcPr>
            <w:tcW w:w="410" w:type="dxa"/>
            <w:shd w:val="clear" w:color="auto" w:fill="C6EFCE"/>
            <w:noWrap/>
          </w:tcPr>
          <w:p w14:paraId="2B1A27BA" w14:textId="11A936E9" w:rsidR="00D924EA" w:rsidRDefault="005701C9">
            <w:pPr>
              <w:pStyle w:val="P68B1DB1-Normal18"/>
              <w:spacing w:after="0" w:line="240" w:lineRule="auto"/>
              <w:jc w:val="center"/>
              <w:rPr>
                <w:rFonts w:cs="Times New Roman"/>
                <w:noProof/>
                <w:szCs w:val="18"/>
              </w:rPr>
            </w:pPr>
            <w:r>
              <w:rPr>
                <w:noProof/>
              </w:rPr>
              <w:t>T4</w:t>
            </w:r>
          </w:p>
        </w:tc>
        <w:tc>
          <w:tcPr>
            <w:tcW w:w="546" w:type="dxa"/>
            <w:shd w:val="clear" w:color="auto" w:fill="C6EFCE"/>
            <w:noWrap/>
          </w:tcPr>
          <w:p w14:paraId="2572CAC9" w14:textId="77777777" w:rsidR="00D924EA" w:rsidRDefault="00011DE9">
            <w:pPr>
              <w:pStyle w:val="P68B1DB1-Normal18"/>
              <w:spacing w:after="0" w:line="240" w:lineRule="auto"/>
              <w:jc w:val="center"/>
              <w:rPr>
                <w:rFonts w:cs="Times New Roman"/>
                <w:noProof/>
                <w:szCs w:val="18"/>
              </w:rPr>
            </w:pPr>
            <w:r>
              <w:rPr>
                <w:noProof/>
              </w:rPr>
              <w:t>2022</w:t>
            </w:r>
          </w:p>
        </w:tc>
        <w:tc>
          <w:tcPr>
            <w:tcW w:w="5810" w:type="dxa"/>
            <w:shd w:val="clear" w:color="auto" w:fill="C6EFCE"/>
            <w:noWrap/>
          </w:tcPr>
          <w:p w14:paraId="3FDA4E0C" w14:textId="5F9F07B6" w:rsidR="00D924EA" w:rsidRDefault="00011DE9">
            <w:pPr>
              <w:pStyle w:val="P68B1DB1-Normal6"/>
              <w:spacing w:after="0" w:line="240" w:lineRule="auto"/>
              <w:rPr>
                <w:rFonts w:ascii="Times New Roman" w:eastAsia="Calibri" w:hAnsi="Times New Roman" w:cs="Arial"/>
                <w:noProof/>
                <w:sz w:val="18"/>
              </w:rPr>
            </w:pPr>
            <w:r>
              <w:rPr>
                <w:rFonts w:ascii="Times New Roman" w:eastAsia="Calibri" w:hAnsi="Times New Roman" w:cs="Arial"/>
                <w:noProof/>
                <w:sz w:val="18"/>
              </w:rPr>
              <w:t>Publicarea în Jurnalul Oficial a rezoluției de aprobare a Strategiei indicative pentru sectorul feroviar, cu acțiuni privind:</w:t>
            </w:r>
            <w:r w:rsidR="00971820">
              <w:rPr>
                <w:rFonts w:ascii="Times New Roman" w:eastAsia="Calibri" w:hAnsi="Times New Roman" w:cs="Arial"/>
                <w:noProof/>
                <w:sz w:val="18"/>
              </w:rPr>
              <w:t xml:space="preserve">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a) stabilirea unei planificări mai clare a acțiunilor din sectorul feroviar, orientate în special către mobilitatea de zi cu zi;</w:t>
            </w:r>
            <w:r w:rsidR="00971820">
              <w:rPr>
                <w:rFonts w:ascii="Times New Roman" w:eastAsia="Calibri" w:hAnsi="Times New Roman" w:cs="Arial"/>
                <w:noProof/>
                <w:sz w:val="18"/>
              </w:rPr>
              <w:t xml:space="preserve"> </w:t>
            </w:r>
            <w:r>
              <w:rPr>
                <w:rFonts w:ascii="Calibri" w:eastAsia="Calibri" w:hAnsi="Calibri" w:cs="Arial"/>
                <w:noProof/>
              </w:rPr>
              <w:br/>
            </w:r>
            <w:r>
              <w:rPr>
                <w:rFonts w:ascii="Times New Roman" w:eastAsia="Calibri" w:hAnsi="Times New Roman" w:cs="Arial"/>
                <w:noProof/>
                <w:sz w:val="18"/>
              </w:rPr>
              <w:t>(b) îmbunătățirea întreținerii rețelei;</w:t>
            </w:r>
            <w:r w:rsidR="00971820">
              <w:rPr>
                <w:rFonts w:ascii="Times New Roman" w:eastAsia="Calibri" w:hAnsi="Times New Roman" w:cs="Arial"/>
                <w:noProof/>
                <w:sz w:val="18"/>
              </w:rPr>
              <w:t xml:space="preserve"> </w:t>
            </w:r>
            <w:r>
              <w:rPr>
                <w:rFonts w:ascii="Calibri" w:eastAsia="Calibri" w:hAnsi="Calibri" w:cs="Arial"/>
                <w:noProof/>
              </w:rPr>
              <w:br/>
            </w:r>
            <w:r>
              <w:rPr>
                <w:rFonts w:ascii="Times New Roman" w:eastAsia="Calibri" w:hAnsi="Times New Roman" w:cs="Arial"/>
                <w:noProof/>
                <w:sz w:val="18"/>
              </w:rPr>
              <w:t>c) asigurarea sustenabilității economice a rețelei feroviare;</w:t>
            </w:r>
            <w:r w:rsidR="00971820">
              <w:rPr>
                <w:rFonts w:ascii="Times New Roman" w:eastAsia="Calibri" w:hAnsi="Times New Roman" w:cs="Arial"/>
                <w:noProof/>
                <w:sz w:val="18"/>
              </w:rPr>
              <w:t xml:space="preserve"> </w:t>
            </w:r>
            <w:r>
              <w:rPr>
                <w:rFonts w:ascii="Calibri" w:eastAsia="Calibri" w:hAnsi="Calibri" w:cs="Arial"/>
                <w:noProof/>
              </w:rPr>
              <w:br/>
            </w:r>
            <w:r>
              <w:rPr>
                <w:rFonts w:ascii="Times New Roman" w:eastAsia="Calibri" w:hAnsi="Times New Roman" w:cs="Arial"/>
                <w:noProof/>
                <w:sz w:val="18"/>
              </w:rPr>
              <w:t>d) prioritizarea utilizării eficiente a resurselor, cu o evaluare ex ante și ex post a proiectelor de investiții;</w:t>
            </w:r>
            <w:r w:rsidR="00971820">
              <w:rPr>
                <w:rFonts w:ascii="Times New Roman" w:eastAsia="Calibri" w:hAnsi="Times New Roman" w:cs="Arial"/>
                <w:noProof/>
                <w:sz w:val="18"/>
              </w:rPr>
              <w:t xml:space="preserve"> </w:t>
            </w:r>
            <w:r>
              <w:rPr>
                <w:rFonts w:ascii="Calibri" w:eastAsia="Calibri" w:hAnsi="Calibri" w:cs="Arial"/>
                <w:noProof/>
              </w:rPr>
              <w:br/>
            </w:r>
            <w:r>
              <w:rPr>
                <w:rFonts w:ascii="Times New Roman" w:eastAsia="Calibri" w:hAnsi="Times New Roman" w:cs="Arial"/>
                <w:noProof/>
                <w:sz w:val="18"/>
              </w:rPr>
              <w:t>(e) îmbunătățirea interoperabilității rețelei, în special pe coridoarele rețelei transeuropene, și a intermodalității rețelei;</w:t>
            </w:r>
            <w:r w:rsidR="00971820">
              <w:rPr>
                <w:rFonts w:ascii="Times New Roman" w:eastAsia="Calibri" w:hAnsi="Times New Roman" w:cs="Arial"/>
                <w:noProof/>
                <w:sz w:val="18"/>
              </w:rPr>
              <w:t xml:space="preserve"> </w:t>
            </w:r>
            <w:r>
              <w:rPr>
                <w:rFonts w:ascii="Calibri" w:eastAsia="Calibri" w:hAnsi="Calibri" w:cs="Arial"/>
                <w:noProof/>
              </w:rPr>
              <w:br/>
            </w:r>
            <w:r>
              <w:rPr>
                <w:rFonts w:ascii="Times New Roman" w:eastAsia="Calibri" w:hAnsi="Times New Roman" w:cs="Arial"/>
                <w:noProof/>
                <w:sz w:val="18"/>
              </w:rPr>
              <w:t>f) stimularea traficului feroviar de marfă;</w:t>
            </w:r>
            <w:r w:rsidR="00971820">
              <w:rPr>
                <w:rFonts w:ascii="Times New Roman" w:eastAsia="Calibri" w:hAnsi="Times New Roman" w:cs="Arial"/>
                <w:noProof/>
                <w:sz w:val="18"/>
              </w:rPr>
              <w:t xml:space="preserve"> </w:t>
            </w:r>
            <w:r>
              <w:rPr>
                <w:rFonts w:ascii="Calibri" w:eastAsia="Calibri" w:hAnsi="Calibri" w:cs="Arial"/>
                <w:noProof/>
              </w:rPr>
              <w:br/>
            </w:r>
            <w:r>
              <w:rPr>
                <w:rFonts w:ascii="Times New Roman" w:eastAsia="Calibri" w:hAnsi="Times New Roman" w:cs="Arial"/>
                <w:noProof/>
                <w:sz w:val="18"/>
              </w:rPr>
              <w:t>g) îmbunătățirea siguranței în transportul feroviar;</w:t>
            </w:r>
            <w:r w:rsidR="00971820">
              <w:rPr>
                <w:rFonts w:ascii="Times New Roman" w:eastAsia="Calibri" w:hAnsi="Times New Roman" w:cs="Arial"/>
                <w:noProof/>
                <w:sz w:val="18"/>
              </w:rPr>
              <w:t xml:space="preserve"> </w:t>
            </w:r>
            <w:r>
              <w:rPr>
                <w:rFonts w:ascii="Calibri" w:eastAsia="Calibri" w:hAnsi="Calibri" w:cs="Arial"/>
                <w:noProof/>
              </w:rPr>
              <w:br/>
            </w:r>
            <w:r>
              <w:rPr>
                <w:rFonts w:ascii="Times New Roman" w:eastAsia="Calibri" w:hAnsi="Times New Roman" w:cs="Arial"/>
                <w:noProof/>
                <w:sz w:val="18"/>
              </w:rPr>
              <w:t>h) promovarea digitalizării transporturilor și a inovării pentru a asigura mobilitatea conectată.</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Pentru toate acțiunile incluse în „Strategia orientativă privind transportul feroviar”, să asigure îndeplinirea dispozițiilor Legii nr. 21/2013 privind evaluarea impactului asupra mediului și ale Legii nr. 9/2018 din 5 decembrie, de modificare a Legii nr. 21/2013, și să pună în aplicare acțiunile de atenuare necesare pentru protecția mediului prevăzute în evaluarea impactului asupra mediului (EIM).</w:t>
            </w:r>
          </w:p>
          <w:p w14:paraId="34F0F1B6" w14:textId="77777777" w:rsidR="00D924EA" w:rsidRDefault="00D924EA">
            <w:pPr>
              <w:spacing w:after="0" w:line="240" w:lineRule="auto"/>
              <w:rPr>
                <w:rFonts w:ascii="Times New Roman" w:eastAsia="Calibri" w:hAnsi="Times New Roman" w:cs="Arial"/>
                <w:noProof/>
                <w:kern w:val="0"/>
                <w:sz w:val="18"/>
                <w14:ligatures w14:val="none"/>
              </w:rPr>
            </w:pPr>
          </w:p>
          <w:p w14:paraId="1A75944F" w14:textId="77777777" w:rsidR="00D924EA" w:rsidRDefault="00011DE9">
            <w:pPr>
              <w:pStyle w:val="P68B1DB1-Normal19"/>
              <w:spacing w:after="0" w:line="240" w:lineRule="auto"/>
              <w:rPr>
                <w:noProof/>
              </w:rPr>
            </w:pPr>
            <w:r>
              <w:rPr>
                <w:noProof/>
              </w:rPr>
              <w:t>În sensul prezentului acord operațional, publicarea pe site-ul oficial relevant este considerată un indicator calitativ al intrării în vigoare.</w:t>
            </w:r>
          </w:p>
        </w:tc>
      </w:tr>
      <w:tr w:rsidR="00D924EA" w14:paraId="1787C215" w14:textId="77777777" w:rsidTr="0042520D">
        <w:trPr>
          <w:trHeight w:val="309"/>
          <w:jc w:val="center"/>
        </w:trPr>
        <w:tc>
          <w:tcPr>
            <w:tcW w:w="822" w:type="dxa"/>
            <w:shd w:val="clear" w:color="auto" w:fill="C6EFCE"/>
            <w:noWrap/>
          </w:tcPr>
          <w:p w14:paraId="18372436" w14:textId="77777777" w:rsidR="00D924EA" w:rsidRDefault="00011DE9">
            <w:pPr>
              <w:pStyle w:val="P68B1DB1-Normal18"/>
              <w:spacing w:after="0" w:line="240" w:lineRule="auto"/>
              <w:jc w:val="center"/>
              <w:rPr>
                <w:rFonts w:cs="Times New Roman"/>
                <w:noProof/>
                <w:szCs w:val="18"/>
              </w:rPr>
            </w:pPr>
            <w:r>
              <w:rPr>
                <w:noProof/>
              </w:rPr>
              <w:t>85</w:t>
            </w:r>
          </w:p>
        </w:tc>
        <w:tc>
          <w:tcPr>
            <w:tcW w:w="818" w:type="dxa"/>
            <w:shd w:val="clear" w:color="auto" w:fill="C6EFCE"/>
            <w:noWrap/>
          </w:tcPr>
          <w:p w14:paraId="1674F1AE" w14:textId="77777777" w:rsidR="00D924EA" w:rsidRDefault="00011DE9">
            <w:pPr>
              <w:pStyle w:val="P68B1DB1-Normal18"/>
              <w:spacing w:after="0" w:line="240" w:lineRule="auto"/>
              <w:jc w:val="center"/>
              <w:rPr>
                <w:rFonts w:cs="Times New Roman"/>
                <w:noProof/>
                <w:szCs w:val="18"/>
              </w:rPr>
            </w:pPr>
            <w:r>
              <w:rPr>
                <w:noProof/>
              </w:rPr>
              <w:t>C6.I1</w:t>
            </w:r>
          </w:p>
        </w:tc>
        <w:tc>
          <w:tcPr>
            <w:tcW w:w="817" w:type="dxa"/>
            <w:shd w:val="clear" w:color="auto" w:fill="C6EFCE"/>
            <w:noWrap/>
          </w:tcPr>
          <w:p w14:paraId="1F684D52" w14:textId="77777777" w:rsidR="00D924EA" w:rsidRDefault="00011DE9">
            <w:pPr>
              <w:pStyle w:val="P68B1DB1-Normal18"/>
              <w:spacing w:after="0" w:line="240" w:lineRule="auto"/>
              <w:jc w:val="center"/>
              <w:rPr>
                <w:rFonts w:cs="Times New Roman"/>
                <w:noProof/>
                <w:szCs w:val="18"/>
              </w:rPr>
            </w:pPr>
            <w:r>
              <w:rPr>
                <w:noProof/>
              </w:rPr>
              <w:t>T</w:t>
            </w:r>
          </w:p>
        </w:tc>
        <w:tc>
          <w:tcPr>
            <w:tcW w:w="1366" w:type="dxa"/>
            <w:shd w:val="clear" w:color="auto" w:fill="C6EFCE"/>
            <w:noWrap/>
          </w:tcPr>
          <w:p w14:paraId="7F6B0399" w14:textId="77777777" w:rsidR="00D924EA" w:rsidRDefault="00011DE9">
            <w:pPr>
              <w:pStyle w:val="P68B1DB1-Normal18"/>
              <w:spacing w:after="0" w:line="240" w:lineRule="auto"/>
              <w:rPr>
                <w:rFonts w:cs="Times New Roman"/>
                <w:noProof/>
                <w:szCs w:val="18"/>
              </w:rPr>
            </w:pPr>
            <w:r>
              <w:rPr>
                <w:noProof/>
              </w:rPr>
              <w:t>Rețeaua TEN-T centrală: atribuirea contractelor</w:t>
            </w:r>
          </w:p>
        </w:tc>
        <w:tc>
          <w:tcPr>
            <w:tcW w:w="992" w:type="dxa"/>
            <w:shd w:val="clear" w:color="auto" w:fill="C6EFCE"/>
            <w:noWrap/>
          </w:tcPr>
          <w:p w14:paraId="4776095B" w14:textId="77777777" w:rsidR="00D924EA" w:rsidRDefault="00D924EA">
            <w:pPr>
              <w:spacing w:after="0" w:line="240" w:lineRule="auto"/>
              <w:jc w:val="center"/>
              <w:rPr>
                <w:rFonts w:ascii="Times New Roman" w:eastAsia="Calibri" w:hAnsi="Times New Roman" w:cs="Times New Roman"/>
                <w:noProof/>
                <w:kern w:val="0"/>
                <w:sz w:val="18"/>
                <w:szCs w:val="18"/>
                <w14:ligatures w14:val="none"/>
              </w:rPr>
            </w:pPr>
          </w:p>
        </w:tc>
        <w:tc>
          <w:tcPr>
            <w:tcW w:w="992" w:type="dxa"/>
            <w:shd w:val="clear" w:color="auto" w:fill="C6EFCE"/>
            <w:noWrap/>
          </w:tcPr>
          <w:p w14:paraId="1651BCCE" w14:textId="77777777" w:rsidR="00D924EA" w:rsidRDefault="00011DE9">
            <w:pPr>
              <w:pStyle w:val="P68B1DB1-Normal18"/>
              <w:spacing w:after="0" w:line="240" w:lineRule="auto"/>
              <w:jc w:val="right"/>
              <w:rPr>
                <w:rFonts w:cs="Times New Roman"/>
                <w:noProof/>
                <w:szCs w:val="18"/>
              </w:rPr>
            </w:pPr>
            <w:r>
              <w:rPr>
                <w:noProof/>
              </w:rPr>
              <w:t xml:space="preserve">Contract sau alt instrument juridic </w:t>
            </w:r>
          </w:p>
        </w:tc>
        <w:tc>
          <w:tcPr>
            <w:tcW w:w="992" w:type="dxa"/>
            <w:shd w:val="clear" w:color="auto" w:fill="C6EFCE"/>
            <w:noWrap/>
          </w:tcPr>
          <w:p w14:paraId="58C4EF05" w14:textId="77777777" w:rsidR="00D924EA" w:rsidRDefault="00011DE9">
            <w:pPr>
              <w:pStyle w:val="P68B1DB1-Normal18"/>
              <w:spacing w:after="0" w:line="240" w:lineRule="auto"/>
              <w:jc w:val="right"/>
              <w:rPr>
                <w:rFonts w:cs="Times New Roman"/>
                <w:noProof/>
                <w:szCs w:val="18"/>
              </w:rPr>
            </w:pPr>
            <w:r>
              <w:rPr>
                <w:noProof/>
              </w:rPr>
              <w:t xml:space="preserve">0 </w:t>
            </w:r>
          </w:p>
        </w:tc>
        <w:tc>
          <w:tcPr>
            <w:tcW w:w="723" w:type="dxa"/>
            <w:shd w:val="clear" w:color="auto" w:fill="C6EFCE"/>
            <w:noWrap/>
          </w:tcPr>
          <w:p w14:paraId="161277E6" w14:textId="77777777" w:rsidR="00D924EA" w:rsidRDefault="00011DE9">
            <w:pPr>
              <w:pStyle w:val="P68B1DB1-Normal18"/>
              <w:spacing w:after="0" w:line="240" w:lineRule="auto"/>
              <w:jc w:val="right"/>
              <w:rPr>
                <w:rFonts w:cs="Times New Roman"/>
                <w:noProof/>
                <w:szCs w:val="18"/>
              </w:rPr>
            </w:pPr>
            <w:r>
              <w:rPr>
                <w:noProof/>
              </w:rPr>
              <w:t>144</w:t>
            </w:r>
          </w:p>
        </w:tc>
        <w:tc>
          <w:tcPr>
            <w:tcW w:w="410" w:type="dxa"/>
            <w:shd w:val="clear" w:color="auto" w:fill="C6EFCE"/>
            <w:noWrap/>
          </w:tcPr>
          <w:p w14:paraId="5D8E674D" w14:textId="252E9909" w:rsidR="00D924EA" w:rsidRDefault="005701C9">
            <w:pPr>
              <w:pStyle w:val="P68B1DB1-Normal18"/>
              <w:spacing w:after="0" w:line="240" w:lineRule="auto"/>
              <w:jc w:val="center"/>
              <w:rPr>
                <w:rFonts w:cs="Times New Roman"/>
                <w:noProof/>
                <w:szCs w:val="18"/>
              </w:rPr>
            </w:pPr>
            <w:r>
              <w:rPr>
                <w:noProof/>
              </w:rPr>
              <w:t>T4</w:t>
            </w:r>
          </w:p>
        </w:tc>
        <w:tc>
          <w:tcPr>
            <w:tcW w:w="546" w:type="dxa"/>
            <w:shd w:val="clear" w:color="auto" w:fill="C6EFCE"/>
            <w:noWrap/>
          </w:tcPr>
          <w:p w14:paraId="3B1DF061" w14:textId="77777777" w:rsidR="00D924EA" w:rsidRDefault="00011DE9">
            <w:pPr>
              <w:pStyle w:val="P68B1DB1-Normal18"/>
              <w:spacing w:after="0" w:line="240" w:lineRule="auto"/>
              <w:jc w:val="center"/>
              <w:rPr>
                <w:rFonts w:cs="Times New Roman"/>
                <w:noProof/>
                <w:szCs w:val="18"/>
              </w:rPr>
            </w:pPr>
            <w:r>
              <w:rPr>
                <w:noProof/>
              </w:rPr>
              <w:t>2022</w:t>
            </w:r>
          </w:p>
        </w:tc>
        <w:tc>
          <w:tcPr>
            <w:tcW w:w="5810" w:type="dxa"/>
            <w:shd w:val="clear" w:color="auto" w:fill="C6EFCE"/>
            <w:noWrap/>
          </w:tcPr>
          <w:p w14:paraId="069B994D" w14:textId="22CAE627" w:rsidR="00D924EA" w:rsidRDefault="00011DE9">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Cel puțin 144 contracte sau alte instrumente juridice atribuite care includ acțiuni în unul sau mai multe dintre următoarele coridoare ale rețelei centrale TEN-T:</w:t>
            </w:r>
            <w:r w:rsidR="00971820">
              <w:rPr>
                <w:rFonts w:ascii="Times New Roman" w:eastAsia="Calibri" w:hAnsi="Times New Roman" w:cs="Arial"/>
                <w:noProof/>
                <w:sz w:val="18"/>
              </w:rPr>
              <w:t xml:space="preserve">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CORIDORUL ATLANTIC</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Y Vasca: Vitoria-Bilbao-San Sebastian/Astigarraga-Irun</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Valladolid-Palencia-León</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León-La Robla-Pola de Lena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Castejón-Pamplona-Logroño-Bilbao</w:t>
            </w:r>
          </w:p>
          <w:p w14:paraId="1A54CD35" w14:textId="69F3D15A" w:rsidR="00D924EA" w:rsidRDefault="00011DE9">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 La Coruña-Vigo-Ourense</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Ourense-Monforte</w:t>
            </w:r>
          </w:p>
          <w:p w14:paraId="42512081" w14:textId="7EFE9BBF" w:rsidR="00D924EA" w:rsidRDefault="00011DE9">
            <w:pPr>
              <w:pStyle w:val="P68B1DB1-Normal6"/>
              <w:spacing w:after="0" w:line="276" w:lineRule="auto"/>
              <w:rPr>
                <w:rFonts w:ascii="Times New Roman" w:eastAsia="Calibri" w:hAnsi="Times New Roman" w:cs="Times New Roman"/>
                <w:noProof/>
                <w:sz w:val="18"/>
                <w:szCs w:val="18"/>
              </w:rPr>
            </w:pPr>
            <w:r>
              <w:rPr>
                <w:rFonts w:ascii="Times New Roman" w:eastAsia="Calibri" w:hAnsi="Times New Roman" w:cs="Arial"/>
                <w:noProof/>
                <w:sz w:val="18"/>
              </w:rPr>
              <w:t>• Monforte-León</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Talayuela-Plasencia-Cáceres-Mérida-Badajoz</w:t>
            </w:r>
          </w:p>
          <w:p w14:paraId="3D58BBD2" w14:textId="1E63D904" w:rsidR="00D924EA" w:rsidRDefault="00011DE9">
            <w:pPr>
              <w:pStyle w:val="P68B1DB1-Normal18"/>
              <w:spacing w:after="0" w:line="276" w:lineRule="auto"/>
              <w:jc w:val="both"/>
              <w:rPr>
                <w:rFonts w:cs="Times New Roman"/>
                <w:noProof/>
                <w:szCs w:val="18"/>
              </w:rPr>
            </w:pPr>
            <w:r>
              <w:rPr>
                <w:noProof/>
              </w:rPr>
              <w:t xml:space="preserve">• Talayuela-Madrid-Valladolid-Vitoria </w:t>
            </w:r>
          </w:p>
          <w:p w14:paraId="102A41A8" w14:textId="77777777" w:rsidR="00D924EA" w:rsidRDefault="00011DE9">
            <w:pPr>
              <w:pStyle w:val="P68B1DB1-Normal18"/>
              <w:spacing w:after="0" w:line="276" w:lineRule="auto"/>
              <w:jc w:val="both"/>
              <w:rPr>
                <w:rFonts w:cs="Times New Roman"/>
                <w:noProof/>
                <w:szCs w:val="18"/>
              </w:rPr>
            </w:pPr>
            <w:r>
              <w:rPr>
                <w:noProof/>
              </w:rPr>
              <w:t>• Sevilla-Huelva</w:t>
            </w:r>
          </w:p>
          <w:p w14:paraId="40257FC1" w14:textId="1C3851C3" w:rsidR="00D924EA" w:rsidRDefault="00971820">
            <w:pPr>
              <w:pStyle w:val="P68B1DB1-Normal6"/>
              <w:spacing w:after="0" w:line="240" w:lineRule="auto"/>
              <w:rPr>
                <w:rFonts w:ascii="Times New Roman" w:eastAsia="Calibri" w:hAnsi="Times New Roman" w:cs="Times New Roman"/>
                <w:noProof/>
                <w:sz w:val="18"/>
                <w:szCs w:val="18"/>
              </w:rPr>
            </w:pPr>
            <w:r>
              <w:rPr>
                <w:rFonts w:ascii="Calibri" w:eastAsia="Calibri" w:hAnsi="Calibri" w:cs="Arial"/>
                <w:noProof/>
              </w:rPr>
              <w:t xml:space="preserve"> </w:t>
            </w:r>
            <w:r w:rsidR="00011DE9">
              <w:rPr>
                <w:rFonts w:ascii="Calibri" w:eastAsia="Calibri" w:hAnsi="Calibri" w:cs="Arial"/>
                <w:noProof/>
              </w:rPr>
              <w:br/>
            </w:r>
            <w:r w:rsidR="00011DE9">
              <w:rPr>
                <w:rFonts w:ascii="Times New Roman" w:eastAsia="Calibri" w:hAnsi="Times New Roman" w:cs="Arial"/>
                <w:noProof/>
                <w:sz w:val="18"/>
              </w:rPr>
              <w:t>CORIDORUL MEDITERANEEAN:</w:t>
            </w:r>
            <w:r>
              <w:rPr>
                <w:rFonts w:ascii="Calibri" w:eastAsia="Calibri" w:hAnsi="Calibri" w:cs="Arial"/>
                <w:noProof/>
              </w:rPr>
              <w:t xml:space="preserve"> </w:t>
            </w:r>
            <w:r w:rsidR="00011DE9">
              <w:rPr>
                <w:rFonts w:ascii="Calibri" w:eastAsia="Calibri" w:hAnsi="Calibri" w:cs="Arial"/>
                <w:noProof/>
              </w:rPr>
              <w:br/>
            </w:r>
            <w:r w:rsidR="00011DE9">
              <w:rPr>
                <w:rFonts w:ascii="Times New Roman" w:eastAsia="Calibri" w:hAnsi="Times New Roman" w:cs="Arial"/>
                <w:noProof/>
                <w:sz w:val="18"/>
              </w:rPr>
              <w:t>• Madrid-Zaragoza-Tarragona</w:t>
            </w:r>
          </w:p>
          <w:p w14:paraId="79A2F204" w14:textId="77777777" w:rsidR="00D924EA" w:rsidRDefault="00011DE9">
            <w:pPr>
              <w:pStyle w:val="P68B1DB1-Normal18"/>
              <w:spacing w:after="0" w:line="240" w:lineRule="auto"/>
              <w:rPr>
                <w:rFonts w:cs="Times New Roman"/>
                <w:noProof/>
                <w:szCs w:val="18"/>
              </w:rPr>
            </w:pPr>
            <w:r>
              <w:rPr>
                <w:noProof/>
              </w:rPr>
              <w:t>• Frontera francesa-Barcelona/Tarragona-Vandellós</w:t>
            </w:r>
          </w:p>
          <w:p w14:paraId="7B2B7AA9" w14:textId="5D68E9B5" w:rsidR="00D924EA" w:rsidRDefault="00011DE9">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 Vandellós-Castellón</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Sagunto-Teruel – Zaragoza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Zaragoza-Tarragona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Castellón-Valencia-La Encina-Alicante</w:t>
            </w:r>
          </w:p>
          <w:p w14:paraId="4E0DA54C" w14:textId="0DD732CB" w:rsidR="00D924EA" w:rsidRDefault="00011DE9">
            <w:pPr>
              <w:pStyle w:val="P68B1DB1-Normal6"/>
              <w:spacing w:after="0" w:line="276" w:lineRule="auto"/>
              <w:rPr>
                <w:rFonts w:ascii="Times New Roman" w:eastAsia="Calibri" w:hAnsi="Times New Roman" w:cs="Times New Roman"/>
                <w:noProof/>
                <w:sz w:val="18"/>
                <w:szCs w:val="18"/>
              </w:rPr>
            </w:pPr>
            <w:r>
              <w:rPr>
                <w:rFonts w:ascii="Times New Roman" w:eastAsia="Calibri" w:hAnsi="Times New Roman" w:cs="Arial"/>
                <w:noProof/>
                <w:sz w:val="18"/>
              </w:rPr>
              <w:t>• Alcázar de San Juan-La Encina</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Murcia-Cartagena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Murcia-Almería</w:t>
            </w:r>
          </w:p>
          <w:p w14:paraId="7C8B30D8" w14:textId="77777777" w:rsidR="00D924EA" w:rsidRDefault="00011DE9">
            <w:pPr>
              <w:pStyle w:val="P68B1DB1-Normal18"/>
              <w:spacing w:after="0" w:line="276" w:lineRule="auto"/>
              <w:rPr>
                <w:rFonts w:cs="Times New Roman"/>
                <w:noProof/>
                <w:szCs w:val="18"/>
              </w:rPr>
            </w:pPr>
            <w:r>
              <w:rPr>
                <w:noProof/>
              </w:rPr>
              <w:t>• Utrera-Antequera Santa Ana</w:t>
            </w:r>
          </w:p>
          <w:p w14:paraId="02DDBF51" w14:textId="77777777" w:rsidR="00D924EA" w:rsidRDefault="00011DE9">
            <w:pPr>
              <w:pStyle w:val="P68B1DB1-Normal18"/>
              <w:spacing w:after="0" w:line="276" w:lineRule="auto"/>
              <w:jc w:val="both"/>
              <w:rPr>
                <w:rFonts w:cs="Times New Roman"/>
                <w:noProof/>
                <w:szCs w:val="18"/>
              </w:rPr>
            </w:pPr>
            <w:r>
              <w:rPr>
                <w:noProof/>
              </w:rPr>
              <w:t>• Madrid-Valencia</w:t>
            </w:r>
          </w:p>
          <w:p w14:paraId="100128D2" w14:textId="1FE374F6" w:rsidR="00D924EA" w:rsidRDefault="00971820">
            <w:pPr>
              <w:pStyle w:val="P68B1DB1-Normal6"/>
              <w:spacing w:after="0" w:line="240" w:lineRule="auto"/>
              <w:rPr>
                <w:rFonts w:ascii="Times New Roman" w:eastAsia="Calibri" w:hAnsi="Times New Roman" w:cs="Times New Roman"/>
                <w:noProof/>
                <w:sz w:val="18"/>
                <w:szCs w:val="18"/>
              </w:rPr>
            </w:pPr>
            <w:r>
              <w:rPr>
                <w:rFonts w:ascii="Calibri" w:eastAsia="Calibri" w:hAnsi="Calibri" w:cs="Arial"/>
                <w:noProof/>
              </w:rPr>
              <w:t xml:space="preserve"> </w:t>
            </w:r>
            <w:r w:rsidR="00011DE9">
              <w:rPr>
                <w:rFonts w:ascii="Calibri" w:eastAsia="Calibri" w:hAnsi="Calibri" w:cs="Arial"/>
                <w:noProof/>
              </w:rPr>
              <w:br/>
            </w:r>
            <w:r w:rsidR="00011DE9">
              <w:rPr>
                <w:rFonts w:ascii="Times New Roman" w:eastAsia="Calibri" w:hAnsi="Times New Roman" w:cs="Arial"/>
                <w:noProof/>
                <w:sz w:val="18"/>
              </w:rPr>
              <w:t>COMUNE AMBELOR CORIDOARE</w:t>
            </w:r>
            <w:r w:rsidR="00011DE9">
              <w:rPr>
                <w:rFonts w:ascii="Calibri" w:eastAsia="Calibri" w:hAnsi="Calibri" w:cs="Arial"/>
                <w:noProof/>
              </w:rPr>
              <w:t xml:space="preserve"> </w:t>
            </w:r>
            <w:r w:rsidR="00011DE9">
              <w:rPr>
                <w:rFonts w:ascii="Calibri" w:eastAsia="Calibri" w:hAnsi="Calibri" w:cs="Arial"/>
                <w:noProof/>
              </w:rPr>
              <w:br/>
              <w:t xml:space="preserve"> </w:t>
            </w:r>
            <w:r w:rsidR="00011DE9">
              <w:rPr>
                <w:rFonts w:ascii="Times New Roman" w:eastAsia="Calibri" w:hAnsi="Times New Roman" w:cs="Arial"/>
                <w:noProof/>
                <w:sz w:val="18"/>
              </w:rPr>
              <w:t>• Crearea unei legături între HSL Barcelona – HSL Levante</w:t>
            </w:r>
            <w:r w:rsidR="00011DE9">
              <w:rPr>
                <w:rFonts w:ascii="Calibri" w:eastAsia="Calibri" w:hAnsi="Calibri" w:cs="Arial"/>
                <w:noProof/>
              </w:rPr>
              <w:t xml:space="preserve"> </w:t>
            </w:r>
            <w:r w:rsidR="00011DE9">
              <w:rPr>
                <w:rFonts w:ascii="Calibri" w:eastAsia="Calibri" w:hAnsi="Calibri" w:cs="Arial"/>
                <w:noProof/>
              </w:rPr>
              <w:br/>
              <w:t xml:space="preserve"> </w:t>
            </w:r>
            <w:r w:rsidR="00011DE9">
              <w:rPr>
                <w:rFonts w:ascii="Times New Roman" w:eastAsia="Calibri" w:hAnsi="Times New Roman" w:cs="Arial"/>
                <w:noProof/>
                <w:sz w:val="18"/>
              </w:rPr>
              <w:t>• Aranjuez-Alcázar de San Juan-Manzanares-Córdoba-Algeciras</w:t>
            </w:r>
            <w:r w:rsidR="00011DE9">
              <w:rPr>
                <w:rFonts w:ascii="Calibri" w:eastAsia="Calibri" w:hAnsi="Calibri" w:cs="Arial"/>
                <w:noProof/>
              </w:rPr>
              <w:t xml:space="preserve"> </w:t>
            </w:r>
            <w:r w:rsidR="00011DE9">
              <w:rPr>
                <w:rFonts w:ascii="Calibri" w:eastAsia="Calibri" w:hAnsi="Calibri" w:cs="Arial"/>
                <w:noProof/>
              </w:rPr>
              <w:br/>
              <w:t xml:space="preserve"> </w:t>
            </w:r>
            <w:r w:rsidR="00011DE9">
              <w:rPr>
                <w:rFonts w:ascii="Times New Roman" w:eastAsia="Calibri" w:hAnsi="Times New Roman" w:cs="Arial"/>
                <w:noProof/>
                <w:sz w:val="18"/>
              </w:rPr>
              <w:t>• Madrid-Sevilla</w:t>
            </w:r>
            <w:r w:rsidR="00011DE9">
              <w:rPr>
                <w:rFonts w:ascii="Calibri" w:eastAsia="Calibri" w:hAnsi="Calibri" w:cs="Arial"/>
                <w:noProof/>
              </w:rPr>
              <w:t xml:space="preserve"> </w:t>
            </w:r>
            <w:r w:rsidR="00011DE9">
              <w:rPr>
                <w:rFonts w:ascii="Calibri" w:eastAsia="Calibri" w:hAnsi="Calibri" w:cs="Arial"/>
                <w:noProof/>
              </w:rPr>
              <w:br/>
              <w:t xml:space="preserve"> </w:t>
            </w:r>
            <w:r w:rsidR="00011DE9">
              <w:rPr>
                <w:rFonts w:ascii="Times New Roman" w:eastAsia="Calibri" w:hAnsi="Times New Roman" w:cs="Arial"/>
                <w:noProof/>
                <w:sz w:val="18"/>
              </w:rPr>
              <w:t>Acțiunile aparțin unuia sau mai multora dintre următoarele tipuri:</w:t>
            </w:r>
            <w:r>
              <w:rPr>
                <w:rFonts w:ascii="Times New Roman" w:eastAsia="Calibri" w:hAnsi="Times New Roman" w:cs="Arial"/>
                <w:noProof/>
                <w:sz w:val="18"/>
              </w:rPr>
              <w:t xml:space="preserve"> </w:t>
            </w:r>
            <w:r w:rsidR="00011DE9">
              <w:rPr>
                <w:rFonts w:ascii="Calibri" w:eastAsia="Calibri" w:hAnsi="Calibri" w:cs="Arial"/>
                <w:noProof/>
              </w:rPr>
              <w:br/>
            </w:r>
            <w:r w:rsidR="00011DE9">
              <w:rPr>
                <w:rFonts w:ascii="Times New Roman" w:eastAsia="Calibri" w:hAnsi="Times New Roman" w:cs="Arial"/>
                <w:noProof/>
                <w:sz w:val="18"/>
              </w:rPr>
              <w:t>• Platformă. Aceasta include proiecte care permit crearea infrastructurii care sprijină liniile și care include rambleuri, spații libere, viaducte, tuneluri etc. Acestea sunt, în principal, construirea de noi infrastructuri.</w:t>
            </w:r>
            <w:r>
              <w:rPr>
                <w:rFonts w:ascii="Calibri" w:eastAsia="Calibri" w:hAnsi="Calibri" w:cs="Arial"/>
                <w:noProof/>
              </w:rPr>
              <w:t xml:space="preserve"> </w:t>
            </w:r>
            <w:r w:rsidR="00011DE9">
              <w:rPr>
                <w:rFonts w:ascii="Calibri" w:eastAsia="Calibri" w:hAnsi="Calibri" w:cs="Arial"/>
                <w:noProof/>
              </w:rPr>
              <w:br/>
            </w:r>
            <w:r w:rsidR="00011DE9">
              <w:rPr>
                <w:rFonts w:ascii="Times New Roman" w:eastAsia="Calibri" w:hAnsi="Times New Roman" w:cs="Arial"/>
                <w:noProof/>
                <w:sz w:val="18"/>
              </w:rPr>
              <w:t>• Înlocuirea serviciilor. Aceasta include acțiuni care vizează restaurarea serviciilor existente (iluminat, irigații, apă etc.) care sunt afectate în timpul executării lucrărilor feroviare.</w:t>
            </w:r>
            <w:r>
              <w:rPr>
                <w:rFonts w:ascii="Calibri" w:eastAsia="Calibri" w:hAnsi="Calibri" w:cs="Arial"/>
                <w:noProof/>
              </w:rPr>
              <w:t xml:space="preserve"> </w:t>
            </w:r>
            <w:r w:rsidR="00011DE9">
              <w:rPr>
                <w:rFonts w:ascii="Calibri" w:eastAsia="Calibri" w:hAnsi="Calibri" w:cs="Arial"/>
                <w:noProof/>
              </w:rPr>
              <w:br/>
            </w:r>
            <w:r w:rsidR="00011DE9">
              <w:rPr>
                <w:rFonts w:ascii="Times New Roman" w:eastAsia="Calibri" w:hAnsi="Times New Roman" w:cs="Arial"/>
                <w:noProof/>
                <w:sz w:val="18"/>
              </w:rPr>
              <w:t>• Linii de cale ferată. Aceasta include acțiuni pentru asamblarea și furnizarea de materiale de cale ferată (balast, traverse, șine, comutatoare și dispozitive de expansiune) pe tronsoane feroviare noi, precum și reînnoirea liniilor existente.</w:t>
            </w:r>
            <w:r>
              <w:rPr>
                <w:rFonts w:ascii="Calibri" w:eastAsia="Calibri" w:hAnsi="Calibri" w:cs="Arial"/>
                <w:noProof/>
              </w:rPr>
              <w:t xml:space="preserve"> </w:t>
            </w:r>
            <w:r w:rsidR="00011DE9">
              <w:rPr>
                <w:rFonts w:ascii="Calibri" w:eastAsia="Calibri" w:hAnsi="Calibri" w:cs="Arial"/>
                <w:noProof/>
              </w:rPr>
              <w:br/>
            </w:r>
            <w:r w:rsidR="00011DE9">
              <w:rPr>
                <w:rFonts w:ascii="Times New Roman" w:eastAsia="Calibri" w:hAnsi="Times New Roman" w:cs="Arial"/>
                <w:noProof/>
                <w:sz w:val="18"/>
              </w:rPr>
              <w:t>• Energie electrică. Acesta include acțiuni care vizează electrificarea liniilor, inclusiv: linie aeriană de contact, stații electrice de tracțiune, centre de transformare, telecomenzi electrice, linii electrice de înaltă tensiune etc.</w:t>
            </w:r>
            <w:r w:rsidR="00011DE9">
              <w:rPr>
                <w:rFonts w:ascii="Calibri" w:eastAsia="Calibri" w:hAnsi="Calibri" w:cs="Arial"/>
                <w:noProof/>
              </w:rPr>
              <w:t xml:space="preserve"> </w:t>
            </w:r>
            <w:r w:rsidR="00011DE9">
              <w:rPr>
                <w:rFonts w:ascii="Calibri" w:eastAsia="Calibri" w:hAnsi="Calibri" w:cs="Arial"/>
                <w:noProof/>
              </w:rPr>
              <w:br/>
              <w:t xml:space="preserve"> </w:t>
            </w:r>
            <w:r w:rsidR="00011DE9">
              <w:rPr>
                <w:rFonts w:ascii="Times New Roman" w:eastAsia="Calibri" w:hAnsi="Times New Roman" w:cs="Arial"/>
                <w:noProof/>
                <w:sz w:val="18"/>
              </w:rPr>
              <w:t>• Semnalizarea și controlul traficului. Acesta include proiecte care vizează punerea în aplicare a unor noi sisteme de semnalizare și de control al traficului (ERTMS etc.).</w:t>
            </w:r>
            <w:r>
              <w:rPr>
                <w:rFonts w:ascii="Calibri" w:eastAsia="Calibri" w:hAnsi="Calibri" w:cs="Arial"/>
                <w:noProof/>
              </w:rPr>
              <w:t xml:space="preserve"> </w:t>
            </w:r>
            <w:r w:rsidR="00011DE9">
              <w:rPr>
                <w:rFonts w:ascii="Calibri" w:eastAsia="Calibri" w:hAnsi="Calibri" w:cs="Arial"/>
                <w:noProof/>
              </w:rPr>
              <w:br/>
            </w:r>
            <w:r w:rsidR="00011DE9">
              <w:rPr>
                <w:rFonts w:ascii="Times New Roman" w:eastAsia="Calibri" w:hAnsi="Times New Roman" w:cs="Arial"/>
                <w:noProof/>
                <w:sz w:val="18"/>
              </w:rPr>
              <w:t>• Telecomunicații. Include proiecte legate de telecomunicațiile fixe și mobile pe liniile de cale ferată (cum ar fi fibra optică, GSM-R)</w:t>
            </w:r>
            <w:r w:rsidR="00011DE9">
              <w:rPr>
                <w:rFonts w:ascii="Calibri" w:eastAsia="Calibri" w:hAnsi="Calibri" w:cs="Arial"/>
                <w:noProof/>
              </w:rPr>
              <w:t xml:space="preserve"> </w:t>
            </w:r>
            <w:r w:rsidR="00011DE9">
              <w:rPr>
                <w:rFonts w:ascii="Calibri" w:eastAsia="Calibri" w:hAnsi="Calibri" w:cs="Arial"/>
                <w:noProof/>
              </w:rPr>
              <w:br/>
              <w:t xml:space="preserve"> </w:t>
            </w:r>
            <w:r w:rsidR="00011DE9">
              <w:rPr>
                <w:rFonts w:ascii="Times New Roman" w:eastAsia="Calibri" w:hAnsi="Times New Roman" w:cs="Arial"/>
                <w:noProof/>
                <w:sz w:val="18"/>
              </w:rPr>
              <w:t>• Stații. Aceasta include modernizarea și reabilitarea gărilor existente, precum și construirea de noi gări.</w:t>
            </w:r>
          </w:p>
        </w:tc>
      </w:tr>
      <w:tr w:rsidR="00D924EA" w14:paraId="6CA5F2EE" w14:textId="77777777" w:rsidTr="0042520D">
        <w:trPr>
          <w:trHeight w:val="309"/>
          <w:jc w:val="center"/>
        </w:trPr>
        <w:tc>
          <w:tcPr>
            <w:tcW w:w="822" w:type="dxa"/>
            <w:shd w:val="clear" w:color="auto" w:fill="C6EFCE"/>
            <w:noWrap/>
          </w:tcPr>
          <w:p w14:paraId="4C8FFC2C" w14:textId="77777777" w:rsidR="00D924EA" w:rsidRDefault="00011DE9">
            <w:pPr>
              <w:pStyle w:val="P68B1DB1-Normal18"/>
              <w:spacing w:after="0" w:line="240" w:lineRule="auto"/>
              <w:jc w:val="center"/>
              <w:rPr>
                <w:rFonts w:cs="Times New Roman"/>
                <w:noProof/>
                <w:szCs w:val="18"/>
              </w:rPr>
            </w:pPr>
            <w:r>
              <w:rPr>
                <w:noProof/>
              </w:rPr>
              <w:t>87</w:t>
            </w:r>
          </w:p>
        </w:tc>
        <w:tc>
          <w:tcPr>
            <w:tcW w:w="818" w:type="dxa"/>
            <w:shd w:val="clear" w:color="auto" w:fill="C6EFCE"/>
            <w:noWrap/>
          </w:tcPr>
          <w:p w14:paraId="4ACA0B76" w14:textId="77777777" w:rsidR="00D924EA" w:rsidRDefault="00011DE9">
            <w:pPr>
              <w:pStyle w:val="P68B1DB1-Normal18"/>
              <w:spacing w:after="0" w:line="240" w:lineRule="auto"/>
              <w:jc w:val="center"/>
              <w:rPr>
                <w:rFonts w:cs="Times New Roman"/>
                <w:noProof/>
                <w:szCs w:val="18"/>
              </w:rPr>
            </w:pPr>
            <w:r>
              <w:rPr>
                <w:noProof/>
              </w:rPr>
              <w:t>C6.I1</w:t>
            </w:r>
          </w:p>
        </w:tc>
        <w:tc>
          <w:tcPr>
            <w:tcW w:w="817" w:type="dxa"/>
            <w:shd w:val="clear" w:color="auto" w:fill="C6EFCE"/>
            <w:noWrap/>
          </w:tcPr>
          <w:p w14:paraId="442681C9" w14:textId="77893BB3" w:rsidR="00D924EA" w:rsidRDefault="00011DE9">
            <w:pPr>
              <w:pStyle w:val="P68B1DB1-Normal18"/>
              <w:spacing w:after="0" w:line="240" w:lineRule="auto"/>
              <w:jc w:val="center"/>
              <w:rPr>
                <w:rFonts w:cs="Times New Roman"/>
                <w:noProof/>
                <w:szCs w:val="18"/>
              </w:rPr>
            </w:pPr>
            <w:r>
              <w:rPr>
                <w:noProof/>
              </w:rPr>
              <w:t>M</w:t>
            </w:r>
          </w:p>
        </w:tc>
        <w:tc>
          <w:tcPr>
            <w:tcW w:w="1366" w:type="dxa"/>
            <w:shd w:val="clear" w:color="auto" w:fill="C6EFCE"/>
            <w:noWrap/>
          </w:tcPr>
          <w:p w14:paraId="144DE6A5" w14:textId="66C44CA5" w:rsidR="00D924EA" w:rsidRDefault="00011DE9">
            <w:pPr>
              <w:pStyle w:val="P68B1DB1-Normal46"/>
              <w:spacing w:after="0" w:line="240" w:lineRule="auto"/>
              <w:rPr>
                <w:rFonts w:cs="Times New Roman"/>
                <w:noProof/>
                <w:kern w:val="0"/>
                <w:szCs w:val="18"/>
                <w14:ligatures w14:val="none"/>
              </w:rPr>
            </w:pPr>
            <w:r>
              <w:rPr>
                <w:noProof/>
                <w:kern w:val="0"/>
                <w14:ligatures w14:val="none"/>
              </w:rPr>
              <w:t xml:space="preserve">Rețeaua TEN-T centrală: </w:t>
            </w:r>
            <w:r>
              <w:rPr>
                <w:noProof/>
                <w:szCs w:val="18"/>
              </w:rPr>
              <w:t>contracte executate</w:t>
            </w:r>
          </w:p>
        </w:tc>
        <w:tc>
          <w:tcPr>
            <w:tcW w:w="992" w:type="dxa"/>
            <w:shd w:val="clear" w:color="auto" w:fill="C6EFCE"/>
            <w:noWrap/>
          </w:tcPr>
          <w:p w14:paraId="0B960DA1" w14:textId="13BD3148" w:rsidR="00D924EA" w:rsidRDefault="00011DE9">
            <w:pPr>
              <w:pStyle w:val="P68B1DB1-Normal20"/>
              <w:spacing w:after="0" w:line="240" w:lineRule="auto"/>
              <w:jc w:val="center"/>
              <w:rPr>
                <w:rFonts w:cs="Times New Roman"/>
                <w:noProof/>
                <w:kern w:val="0"/>
                <w14:ligatures w14:val="none"/>
              </w:rPr>
            </w:pPr>
            <w:r>
              <w:rPr>
                <w:noProof/>
              </w:rPr>
              <w:t>Certificate de acceptare, declarații de conformitate sau documente echivalente care atestă executarea contractelor sau a altor instrumente juridice</w:t>
            </w:r>
          </w:p>
        </w:tc>
        <w:tc>
          <w:tcPr>
            <w:tcW w:w="992" w:type="dxa"/>
            <w:shd w:val="clear" w:color="auto" w:fill="C6EFCE"/>
            <w:noWrap/>
          </w:tcPr>
          <w:p w14:paraId="16958A1F" w14:textId="5C185ABD" w:rsidR="00D924EA" w:rsidRDefault="00D924EA">
            <w:pPr>
              <w:spacing w:after="0" w:line="240" w:lineRule="auto"/>
              <w:jc w:val="center"/>
              <w:rPr>
                <w:rFonts w:ascii="Times New Roman" w:eastAsia="Calibri" w:hAnsi="Times New Roman" w:cs="Times New Roman"/>
                <w:noProof/>
                <w:kern w:val="0"/>
                <w:sz w:val="18"/>
                <w:szCs w:val="18"/>
                <w14:ligatures w14:val="none"/>
              </w:rPr>
            </w:pPr>
          </w:p>
        </w:tc>
        <w:tc>
          <w:tcPr>
            <w:tcW w:w="992" w:type="dxa"/>
            <w:shd w:val="clear" w:color="auto" w:fill="C6EFCE"/>
            <w:noWrap/>
          </w:tcPr>
          <w:p w14:paraId="01E07652" w14:textId="2D5DFEB8" w:rsidR="00D924EA" w:rsidRDefault="00D924EA">
            <w:pPr>
              <w:spacing w:after="0" w:line="240" w:lineRule="auto"/>
              <w:jc w:val="right"/>
              <w:rPr>
                <w:rFonts w:ascii="Times New Roman" w:eastAsia="Calibri" w:hAnsi="Times New Roman" w:cs="Times New Roman"/>
                <w:noProof/>
                <w:kern w:val="0"/>
                <w:sz w:val="18"/>
                <w:szCs w:val="18"/>
                <w14:ligatures w14:val="none"/>
              </w:rPr>
            </w:pPr>
          </w:p>
        </w:tc>
        <w:tc>
          <w:tcPr>
            <w:tcW w:w="723" w:type="dxa"/>
            <w:shd w:val="clear" w:color="auto" w:fill="C6EFCE"/>
            <w:noWrap/>
          </w:tcPr>
          <w:p w14:paraId="1B27DDF7" w14:textId="0A01AE91" w:rsidR="00D924EA" w:rsidRDefault="00D924EA">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637B0CB8" w14:textId="70AE802D" w:rsidR="00D924EA" w:rsidRDefault="005701C9">
            <w:pPr>
              <w:pStyle w:val="P68B1DB1-Normal18"/>
              <w:spacing w:after="0" w:line="240" w:lineRule="auto"/>
              <w:jc w:val="center"/>
              <w:rPr>
                <w:rFonts w:cs="Times New Roman"/>
                <w:noProof/>
                <w:szCs w:val="18"/>
              </w:rPr>
            </w:pPr>
            <w:r>
              <w:rPr>
                <w:noProof/>
              </w:rPr>
              <w:t>T2</w:t>
            </w:r>
          </w:p>
        </w:tc>
        <w:tc>
          <w:tcPr>
            <w:tcW w:w="546" w:type="dxa"/>
            <w:shd w:val="clear" w:color="auto" w:fill="C6EFCE"/>
            <w:noWrap/>
          </w:tcPr>
          <w:p w14:paraId="02A3E456" w14:textId="77777777" w:rsidR="00D924EA" w:rsidRDefault="00011DE9">
            <w:pPr>
              <w:pStyle w:val="P68B1DB1-Normal18"/>
              <w:spacing w:after="0" w:line="240" w:lineRule="auto"/>
              <w:jc w:val="center"/>
              <w:rPr>
                <w:rFonts w:cs="Times New Roman"/>
                <w:noProof/>
                <w:szCs w:val="18"/>
              </w:rPr>
            </w:pPr>
            <w:r>
              <w:rPr>
                <w:noProof/>
              </w:rPr>
              <w:t>2026</w:t>
            </w:r>
          </w:p>
        </w:tc>
        <w:tc>
          <w:tcPr>
            <w:tcW w:w="5810" w:type="dxa"/>
            <w:shd w:val="clear" w:color="auto" w:fill="C6EFCE"/>
            <w:noWrap/>
          </w:tcPr>
          <w:p w14:paraId="647B6386" w14:textId="5520AA58" w:rsidR="00D924EA" w:rsidRDefault="00011DE9">
            <w:pPr>
              <w:pStyle w:val="P68B1DB1-Normal20"/>
              <w:spacing w:after="0" w:line="240" w:lineRule="auto"/>
              <w:rPr>
                <w:rFonts w:cs="Times New Roman"/>
                <w:noProof/>
                <w:kern w:val="0"/>
                <w14:ligatures w14:val="none"/>
              </w:rPr>
            </w:pPr>
            <w:r>
              <w:rPr>
                <w:noProof/>
              </w:rPr>
              <w:t>Confirmarea de către administrație a faptului că au fost executate contracte sau alte instrumente juridice sau părți corespunzătoare ale acestora referitoare la una sau mai multe dintre acțiunile și coridoarele definite la obiectivul 85, care acoperă 1 400 de kilometri pe coridoarele rețelei centrale TEN-T.</w:t>
            </w:r>
          </w:p>
        </w:tc>
      </w:tr>
      <w:tr w:rsidR="00D924EA" w14:paraId="0960F25C" w14:textId="77777777" w:rsidTr="0042520D">
        <w:trPr>
          <w:trHeight w:val="309"/>
          <w:jc w:val="center"/>
        </w:trPr>
        <w:tc>
          <w:tcPr>
            <w:tcW w:w="822" w:type="dxa"/>
            <w:shd w:val="clear" w:color="auto" w:fill="C6EFCE"/>
            <w:noWrap/>
          </w:tcPr>
          <w:p w14:paraId="356590D8" w14:textId="77777777" w:rsidR="00D924EA" w:rsidRDefault="00011DE9">
            <w:pPr>
              <w:pStyle w:val="P68B1DB1-Normal18"/>
              <w:spacing w:after="0" w:line="240" w:lineRule="auto"/>
              <w:jc w:val="center"/>
              <w:rPr>
                <w:rFonts w:cs="Times New Roman"/>
                <w:noProof/>
                <w:szCs w:val="18"/>
              </w:rPr>
            </w:pPr>
            <w:r>
              <w:rPr>
                <w:noProof/>
              </w:rPr>
              <w:t>88</w:t>
            </w:r>
          </w:p>
        </w:tc>
        <w:tc>
          <w:tcPr>
            <w:tcW w:w="818" w:type="dxa"/>
            <w:shd w:val="clear" w:color="auto" w:fill="C6EFCE"/>
            <w:noWrap/>
          </w:tcPr>
          <w:p w14:paraId="14727607" w14:textId="77777777" w:rsidR="00D924EA" w:rsidRDefault="00011DE9">
            <w:pPr>
              <w:pStyle w:val="P68B1DB1-Normal18"/>
              <w:spacing w:after="0" w:line="240" w:lineRule="auto"/>
              <w:jc w:val="center"/>
              <w:rPr>
                <w:rFonts w:cs="Times New Roman"/>
                <w:noProof/>
                <w:szCs w:val="18"/>
              </w:rPr>
            </w:pPr>
            <w:r>
              <w:rPr>
                <w:noProof/>
              </w:rPr>
              <w:t>C6.I2</w:t>
            </w:r>
          </w:p>
        </w:tc>
        <w:tc>
          <w:tcPr>
            <w:tcW w:w="817" w:type="dxa"/>
            <w:shd w:val="clear" w:color="auto" w:fill="C6EFCE"/>
            <w:noWrap/>
          </w:tcPr>
          <w:p w14:paraId="0626AFEE" w14:textId="77777777" w:rsidR="00D924EA" w:rsidRDefault="00011DE9">
            <w:pPr>
              <w:pStyle w:val="P68B1DB1-Normal18"/>
              <w:spacing w:after="0" w:line="240" w:lineRule="auto"/>
              <w:jc w:val="center"/>
              <w:rPr>
                <w:rFonts w:cs="Times New Roman"/>
                <w:noProof/>
                <w:szCs w:val="18"/>
              </w:rPr>
            </w:pPr>
            <w:r>
              <w:rPr>
                <w:noProof/>
              </w:rPr>
              <w:t>T</w:t>
            </w:r>
          </w:p>
        </w:tc>
        <w:tc>
          <w:tcPr>
            <w:tcW w:w="1366" w:type="dxa"/>
            <w:shd w:val="clear" w:color="auto" w:fill="C6EFCE"/>
            <w:noWrap/>
          </w:tcPr>
          <w:p w14:paraId="1537F895" w14:textId="77777777" w:rsidR="00D924EA" w:rsidRDefault="00011DE9">
            <w:pPr>
              <w:pStyle w:val="P68B1DB1-Normal18"/>
              <w:spacing w:after="0" w:line="240" w:lineRule="auto"/>
              <w:rPr>
                <w:rFonts w:cs="Times New Roman"/>
                <w:noProof/>
                <w:szCs w:val="18"/>
              </w:rPr>
            </w:pPr>
            <w:r>
              <w:rPr>
                <w:noProof/>
              </w:rPr>
              <w:t xml:space="preserve">Contracte atribuite rețelei TEN-T de transport feroviar și rețelei rutiere de stat </w:t>
            </w:r>
          </w:p>
        </w:tc>
        <w:tc>
          <w:tcPr>
            <w:tcW w:w="992" w:type="dxa"/>
            <w:shd w:val="clear" w:color="auto" w:fill="C6EFCE"/>
            <w:noWrap/>
          </w:tcPr>
          <w:p w14:paraId="1F482BAC" w14:textId="77777777" w:rsidR="00D924EA" w:rsidRDefault="00D924EA">
            <w:pPr>
              <w:spacing w:after="0" w:line="240" w:lineRule="auto"/>
              <w:jc w:val="center"/>
              <w:rPr>
                <w:rFonts w:ascii="Times New Roman" w:eastAsia="Calibri" w:hAnsi="Times New Roman" w:cs="Times New Roman"/>
                <w:noProof/>
                <w:kern w:val="0"/>
                <w:sz w:val="18"/>
                <w:szCs w:val="18"/>
                <w14:ligatures w14:val="none"/>
              </w:rPr>
            </w:pPr>
          </w:p>
        </w:tc>
        <w:tc>
          <w:tcPr>
            <w:tcW w:w="992" w:type="dxa"/>
            <w:shd w:val="clear" w:color="auto" w:fill="C6EFCE"/>
            <w:noWrap/>
          </w:tcPr>
          <w:p w14:paraId="2EC01A29" w14:textId="77777777" w:rsidR="00D924EA" w:rsidRDefault="00011DE9">
            <w:pPr>
              <w:pStyle w:val="P68B1DB1-Normal18"/>
              <w:spacing w:after="0" w:line="240" w:lineRule="auto"/>
              <w:jc w:val="right"/>
              <w:rPr>
                <w:rFonts w:cs="Times New Roman"/>
                <w:noProof/>
                <w:szCs w:val="18"/>
              </w:rPr>
            </w:pPr>
            <w:r>
              <w:rPr>
                <w:noProof/>
              </w:rPr>
              <w:t xml:space="preserve">Contract sau alt instrument juridic </w:t>
            </w:r>
          </w:p>
        </w:tc>
        <w:tc>
          <w:tcPr>
            <w:tcW w:w="992" w:type="dxa"/>
            <w:shd w:val="clear" w:color="auto" w:fill="C6EFCE"/>
            <w:noWrap/>
          </w:tcPr>
          <w:p w14:paraId="1AB864F9" w14:textId="77777777" w:rsidR="00D924EA" w:rsidRDefault="00011DE9">
            <w:pPr>
              <w:pStyle w:val="P68B1DB1-Normal18"/>
              <w:spacing w:after="0" w:line="240" w:lineRule="auto"/>
              <w:jc w:val="right"/>
              <w:rPr>
                <w:rFonts w:cs="Times New Roman"/>
                <w:noProof/>
                <w:szCs w:val="18"/>
              </w:rPr>
            </w:pPr>
            <w:r>
              <w:rPr>
                <w:noProof/>
              </w:rPr>
              <w:t xml:space="preserve">0 </w:t>
            </w:r>
          </w:p>
        </w:tc>
        <w:tc>
          <w:tcPr>
            <w:tcW w:w="723" w:type="dxa"/>
            <w:shd w:val="clear" w:color="auto" w:fill="C6EFCE"/>
            <w:noWrap/>
          </w:tcPr>
          <w:p w14:paraId="2F066246" w14:textId="77777777" w:rsidR="00D924EA" w:rsidRDefault="00011DE9">
            <w:pPr>
              <w:pStyle w:val="P68B1DB1-Normal18"/>
              <w:spacing w:after="0" w:line="240" w:lineRule="auto"/>
              <w:jc w:val="right"/>
              <w:rPr>
                <w:rFonts w:cs="Times New Roman"/>
                <w:noProof/>
                <w:szCs w:val="18"/>
              </w:rPr>
            </w:pPr>
            <w:r>
              <w:rPr>
                <w:noProof/>
              </w:rPr>
              <w:t xml:space="preserve">188 </w:t>
            </w:r>
          </w:p>
        </w:tc>
        <w:tc>
          <w:tcPr>
            <w:tcW w:w="410" w:type="dxa"/>
            <w:shd w:val="clear" w:color="auto" w:fill="C6EFCE"/>
            <w:noWrap/>
          </w:tcPr>
          <w:p w14:paraId="22F4EBA7" w14:textId="45A521E7" w:rsidR="00D924EA" w:rsidRDefault="005701C9">
            <w:pPr>
              <w:pStyle w:val="P68B1DB1-Normal18"/>
              <w:spacing w:after="0" w:line="240" w:lineRule="auto"/>
              <w:jc w:val="center"/>
              <w:rPr>
                <w:rFonts w:cs="Times New Roman"/>
                <w:noProof/>
                <w:szCs w:val="18"/>
              </w:rPr>
            </w:pPr>
            <w:r>
              <w:rPr>
                <w:noProof/>
              </w:rPr>
              <w:t>T4</w:t>
            </w:r>
          </w:p>
        </w:tc>
        <w:tc>
          <w:tcPr>
            <w:tcW w:w="546" w:type="dxa"/>
            <w:shd w:val="clear" w:color="auto" w:fill="C6EFCE"/>
            <w:noWrap/>
          </w:tcPr>
          <w:p w14:paraId="29011F70" w14:textId="77777777" w:rsidR="00D924EA" w:rsidRDefault="00011DE9">
            <w:pPr>
              <w:pStyle w:val="P68B1DB1-Normal18"/>
              <w:spacing w:after="0" w:line="240" w:lineRule="auto"/>
              <w:jc w:val="center"/>
              <w:rPr>
                <w:rFonts w:cs="Times New Roman"/>
                <w:noProof/>
                <w:szCs w:val="18"/>
              </w:rPr>
            </w:pPr>
            <w:r>
              <w:rPr>
                <w:noProof/>
              </w:rPr>
              <w:t>2022</w:t>
            </w:r>
          </w:p>
        </w:tc>
        <w:tc>
          <w:tcPr>
            <w:tcW w:w="5810" w:type="dxa"/>
            <w:shd w:val="clear" w:color="auto" w:fill="C6EFCE"/>
            <w:noWrap/>
          </w:tcPr>
          <w:p w14:paraId="2B1FE740" w14:textId="5B2FE3F9" w:rsidR="00D924EA" w:rsidRDefault="00011DE9">
            <w:pPr>
              <w:pStyle w:val="P68B1DB1-Normal6"/>
              <w:spacing w:after="0" w:line="240" w:lineRule="auto"/>
              <w:rPr>
                <w:rFonts w:ascii="Calibri" w:eastAsia="Calibri" w:hAnsi="Calibri" w:cs="Arial"/>
                <w:noProof/>
              </w:rPr>
            </w:pPr>
            <w:r>
              <w:rPr>
                <w:rFonts w:ascii="Times New Roman" w:eastAsia="Calibri" w:hAnsi="Times New Roman" w:cs="Arial"/>
                <w:noProof/>
                <w:sz w:val="18"/>
              </w:rPr>
              <w:t>Cel puțin 188 contracte sau alte instrumente juridice atribuite care includ intervenții în diferite moduri de transport: pentru intervențiile feroviare în rețeaua TEN-T secundară și pentru drumurile din rețeaua rutieră de stat</w:t>
            </w:r>
            <w:r w:rsidR="00971820">
              <w:rPr>
                <w:rFonts w:ascii="Times New Roman" w:eastAsia="Calibri" w:hAnsi="Times New Roman" w:cs="Arial"/>
                <w:noProof/>
                <w:sz w:val="18"/>
              </w:rPr>
              <w:t xml:space="preserve"> </w:t>
            </w:r>
            <w:r>
              <w:rPr>
                <w:rFonts w:ascii="Calibri" w:eastAsia="Calibri" w:hAnsi="Calibri" w:cs="Arial"/>
                <w:noProof/>
              </w:rPr>
              <w:t xml:space="preserve"> </w:t>
            </w:r>
          </w:p>
          <w:p w14:paraId="01F75ABF" w14:textId="7E1C6103" w:rsidR="00D924EA" w:rsidRDefault="00011DE9">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pentru transportul feroviar, intervențiile aparțin unuia sau mai multora dintre următoarele tipuri de intervenții:</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Îmbunătățirea infrastructurii tehnologice pentru managementul traficului feroviar</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Securitate (cum ar fi securitatea cibernetică, instalarea de detectoare de accidente)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Protecții acustice/hărți acustice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Dezvoltarea tehnologiei prin satelit aplicate semnalizării feroviare ERTMS</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Electrificarea tronsoanelor (cum ar fi Monforte-Lugo)</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Reînnoirea căii ferate (cum ar fi Soria-Torralba și Monforte-Lugo)</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Îmbunătățirea subsistemului control-comandă și semnalizare (cum ar fi Soria-Torralba și Ávila-Salamanca)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Crearea de noi secțiuni sau variante (cum ar fi Palencia-Santander, varianta Rincón de Soto și varianta Ourense)</w:t>
            </w:r>
            <w:r w:rsidR="00971820">
              <w:rPr>
                <w:rFonts w:ascii="Times New Roman" w:eastAsia="Calibri" w:hAnsi="Times New Roman" w:cs="Arial"/>
                <w:noProof/>
                <w:sz w:val="18"/>
              </w:rPr>
              <w:t xml:space="preserve"> </w:t>
            </w:r>
            <w:r>
              <w:rPr>
                <w:rFonts w:ascii="Calibri" w:eastAsia="Calibri" w:hAnsi="Calibri" w:cs="Arial"/>
                <w:noProof/>
              </w:rPr>
              <w:br/>
              <w:t xml:space="preserve"> </w:t>
            </w:r>
            <w:r>
              <w:rPr>
                <w:rFonts w:ascii="Times New Roman" w:eastAsia="Calibri" w:hAnsi="Times New Roman" w:cs="Arial"/>
                <w:noProof/>
                <w:sz w:val="18"/>
              </w:rPr>
              <w:t>b) În ceea ce privește drumurile, intervențiile aparțin unuia sau mai multora dintre următoarele tipuri de intervenții:</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Îmbunătățirea siguranței rutiere: inclusiv siguranța rutieră în tuneluri, protejarea faunei sălbatice vulnerabile și protejarea utilizatorilor vulnerabili</w:t>
            </w:r>
            <w:r w:rsidR="00971820">
              <w:rPr>
                <w:rFonts w:ascii="Times New Roman" w:eastAsia="Calibri" w:hAnsi="Times New Roman" w:cs="Arial"/>
                <w:noProof/>
                <w:sz w:val="18"/>
              </w:rPr>
              <w:t xml:space="preserve"> </w:t>
            </w:r>
            <w:r>
              <w:rPr>
                <w:rFonts w:ascii="Calibri" w:eastAsia="Calibri" w:hAnsi="Calibri" w:cs="Arial"/>
                <w:noProof/>
              </w:rPr>
              <w:br/>
              <w:t xml:space="preserve"> </w:t>
            </w:r>
            <w:r>
              <w:rPr>
                <w:rFonts w:ascii="Times New Roman" w:eastAsia="Calibri" w:hAnsi="Times New Roman" w:cs="Arial"/>
                <w:noProof/>
                <w:sz w:val="18"/>
              </w:rPr>
              <w:t>• Durabilitate: îmbunătățirea calității aerului, noi forme de mobilitate urbană, protejarea biodiversității, prevenirea riscurilor climatice, eficiența energetică, reducerea zgomotului</w:t>
            </w:r>
            <w:r w:rsidR="00971820">
              <w:rPr>
                <w:rFonts w:ascii="Times New Roman" w:eastAsia="Calibri" w:hAnsi="Times New Roman" w:cs="Arial"/>
                <w:noProof/>
                <w:sz w:val="18"/>
              </w:rPr>
              <w:t xml:space="preserve"> </w:t>
            </w:r>
            <w:r>
              <w:rPr>
                <w:rFonts w:ascii="Calibri" w:eastAsia="Calibri" w:hAnsi="Calibri" w:cs="Arial"/>
                <w:noProof/>
              </w:rPr>
              <w:br/>
              <w:t xml:space="preserve"> </w:t>
            </w:r>
            <w:r>
              <w:rPr>
                <w:rFonts w:ascii="Times New Roman" w:eastAsia="Calibri" w:hAnsi="Times New Roman" w:cs="Arial"/>
                <w:noProof/>
                <w:sz w:val="18"/>
              </w:rPr>
              <w:t>• Digitalizarea: Punerea în aplicare a unor sisteme de monitorizare pentru poduri, tuneluri, utilizând analiza volumelor mari de date și internetul obiectelor; digitalizarea căilor rutiere pentru monitorizare și întreținere</w:t>
            </w:r>
            <w:r w:rsidR="00971820">
              <w:rPr>
                <w:rFonts w:ascii="Times New Roman" w:eastAsia="Calibri" w:hAnsi="Times New Roman" w:cs="Arial"/>
                <w:noProof/>
                <w:sz w:val="18"/>
              </w:rPr>
              <w:t xml:space="preserve"> </w:t>
            </w:r>
            <w:r>
              <w:rPr>
                <w:rFonts w:ascii="Calibri" w:eastAsia="Calibri" w:hAnsi="Calibri" w:cs="Arial"/>
                <w:noProof/>
              </w:rPr>
              <w:br/>
              <w:t xml:space="preserve"> </w:t>
            </w:r>
            <w:r>
              <w:rPr>
                <w:rFonts w:ascii="Times New Roman" w:eastAsia="Calibri" w:hAnsi="Times New Roman" w:cs="Arial"/>
                <w:noProof/>
                <w:sz w:val="18"/>
              </w:rPr>
              <w:t>• Implementarea sistemelor de transport inteligente pe culoarele „bus-VAO”</w:t>
            </w:r>
            <w:r w:rsidR="00971820">
              <w:rPr>
                <w:rFonts w:ascii="Times New Roman" w:eastAsia="Calibri" w:hAnsi="Times New Roman" w:cs="Arial"/>
                <w:noProof/>
                <w:sz w:val="18"/>
              </w:rPr>
              <w:t xml:space="preserve"> </w:t>
            </w:r>
            <w:r>
              <w:rPr>
                <w:rFonts w:ascii="Calibri" w:eastAsia="Calibri" w:hAnsi="Calibri" w:cs="Arial"/>
                <w:noProof/>
              </w:rPr>
              <w:br/>
              <w:t xml:space="preserve"> </w:t>
            </w:r>
            <w:r>
              <w:rPr>
                <w:rFonts w:ascii="Times New Roman" w:eastAsia="Calibri" w:hAnsi="Times New Roman" w:cs="Arial"/>
                <w:noProof/>
                <w:sz w:val="18"/>
              </w:rPr>
              <w:t xml:space="preserve">• Actualizarea proiectului preliminar primar al legăturii fixe peste Strâmtoarea Gibraltar </w:t>
            </w:r>
          </w:p>
        </w:tc>
      </w:tr>
      <w:tr w:rsidR="00D924EA" w14:paraId="707195DE" w14:textId="77777777" w:rsidTr="0042520D">
        <w:trPr>
          <w:trHeight w:val="309"/>
          <w:jc w:val="center"/>
        </w:trPr>
        <w:tc>
          <w:tcPr>
            <w:tcW w:w="822" w:type="dxa"/>
            <w:shd w:val="clear" w:color="auto" w:fill="C6EFCE"/>
            <w:noWrap/>
          </w:tcPr>
          <w:p w14:paraId="06A2D459" w14:textId="77777777" w:rsidR="00D924EA" w:rsidRDefault="00011DE9">
            <w:pPr>
              <w:pStyle w:val="P68B1DB1-Normal18"/>
              <w:spacing w:after="0" w:line="240" w:lineRule="auto"/>
              <w:jc w:val="center"/>
              <w:rPr>
                <w:rFonts w:cs="Times New Roman"/>
                <w:noProof/>
                <w:szCs w:val="18"/>
              </w:rPr>
            </w:pPr>
            <w:r>
              <w:rPr>
                <w:noProof/>
              </w:rPr>
              <w:t>91</w:t>
            </w:r>
          </w:p>
        </w:tc>
        <w:tc>
          <w:tcPr>
            <w:tcW w:w="818" w:type="dxa"/>
            <w:shd w:val="clear" w:color="auto" w:fill="C6EFCE"/>
            <w:noWrap/>
          </w:tcPr>
          <w:p w14:paraId="2FB90CE9" w14:textId="77777777" w:rsidR="00D924EA" w:rsidRDefault="00011DE9">
            <w:pPr>
              <w:pStyle w:val="P68B1DB1-Normal18"/>
              <w:spacing w:after="0" w:line="240" w:lineRule="auto"/>
              <w:jc w:val="center"/>
              <w:rPr>
                <w:rFonts w:cs="Times New Roman"/>
                <w:noProof/>
                <w:szCs w:val="18"/>
              </w:rPr>
            </w:pPr>
            <w:r>
              <w:rPr>
                <w:noProof/>
              </w:rPr>
              <w:t>C6.I2</w:t>
            </w:r>
          </w:p>
        </w:tc>
        <w:tc>
          <w:tcPr>
            <w:tcW w:w="817" w:type="dxa"/>
            <w:shd w:val="clear" w:color="auto" w:fill="C6EFCE"/>
            <w:noWrap/>
          </w:tcPr>
          <w:p w14:paraId="6931116C" w14:textId="77777777" w:rsidR="00D924EA" w:rsidRDefault="00011DE9">
            <w:pPr>
              <w:pStyle w:val="P68B1DB1-Normal18"/>
              <w:spacing w:after="0" w:line="240" w:lineRule="auto"/>
              <w:jc w:val="center"/>
              <w:rPr>
                <w:rFonts w:cs="Times New Roman"/>
                <w:noProof/>
                <w:szCs w:val="18"/>
              </w:rPr>
            </w:pPr>
            <w:r>
              <w:rPr>
                <w:noProof/>
              </w:rPr>
              <w:t>M</w:t>
            </w:r>
          </w:p>
        </w:tc>
        <w:tc>
          <w:tcPr>
            <w:tcW w:w="1366" w:type="dxa"/>
            <w:shd w:val="clear" w:color="auto" w:fill="C6EFCE"/>
            <w:noWrap/>
          </w:tcPr>
          <w:p w14:paraId="1A7640B7" w14:textId="20A63605" w:rsidR="00D924EA" w:rsidRDefault="00011DE9">
            <w:pPr>
              <w:pStyle w:val="P68B1DB1-Normal18"/>
              <w:spacing w:after="0" w:line="240" w:lineRule="auto"/>
              <w:rPr>
                <w:rFonts w:cs="Times New Roman"/>
                <w:noProof/>
                <w:szCs w:val="18"/>
              </w:rPr>
            </w:pPr>
            <w:r>
              <w:rPr>
                <w:noProof/>
              </w:rPr>
              <w:t>Acțiuni de digitalizare: contracte executate</w:t>
            </w:r>
          </w:p>
        </w:tc>
        <w:tc>
          <w:tcPr>
            <w:tcW w:w="992" w:type="dxa"/>
            <w:shd w:val="clear" w:color="auto" w:fill="C6EFCE"/>
            <w:noWrap/>
          </w:tcPr>
          <w:p w14:paraId="459D7636" w14:textId="23731318" w:rsidR="00D924EA" w:rsidRDefault="00011DE9">
            <w:pPr>
              <w:pStyle w:val="P68B1DB1-Normal46"/>
              <w:spacing w:after="0" w:line="240" w:lineRule="auto"/>
              <w:jc w:val="center"/>
              <w:rPr>
                <w:rFonts w:cs="Times New Roman"/>
                <w:noProof/>
                <w:kern w:val="0"/>
                <w:szCs w:val="18"/>
                <w14:ligatures w14:val="none"/>
              </w:rPr>
            </w:pPr>
            <w:r>
              <w:rPr>
                <w:noProof/>
                <w:szCs w:val="18"/>
              </w:rPr>
              <w:t>Certificate de acceptare, declarații de conformitate sau documente echivalente care atestă executarea contractelor sau a altor instrumente juridice</w:t>
            </w:r>
            <w:r>
              <w:rPr>
                <w:noProof/>
                <w:kern w:val="0"/>
                <w14:ligatures w14:val="none"/>
              </w:rPr>
              <w:t xml:space="preserve"> </w:t>
            </w:r>
          </w:p>
        </w:tc>
        <w:tc>
          <w:tcPr>
            <w:tcW w:w="992" w:type="dxa"/>
            <w:shd w:val="clear" w:color="auto" w:fill="C6EFCE"/>
            <w:noWrap/>
          </w:tcPr>
          <w:p w14:paraId="44CCC544" w14:textId="77777777" w:rsidR="00D924EA" w:rsidRDefault="00011DE9">
            <w:pPr>
              <w:pStyle w:val="P68B1DB1-Normal18"/>
              <w:spacing w:after="0" w:line="240" w:lineRule="auto"/>
              <w:jc w:val="center"/>
              <w:rPr>
                <w:rFonts w:cs="Times New Roman"/>
                <w:noProof/>
                <w:szCs w:val="18"/>
              </w:rPr>
            </w:pPr>
            <w:r>
              <w:rPr>
                <w:noProof/>
              </w:rPr>
              <w:t xml:space="preserve"> </w:t>
            </w:r>
          </w:p>
        </w:tc>
        <w:tc>
          <w:tcPr>
            <w:tcW w:w="992" w:type="dxa"/>
            <w:shd w:val="clear" w:color="auto" w:fill="C6EFCE"/>
            <w:noWrap/>
          </w:tcPr>
          <w:p w14:paraId="7EB89EC3" w14:textId="77777777" w:rsidR="00D924EA" w:rsidRDefault="00011DE9">
            <w:pPr>
              <w:pStyle w:val="P68B1DB1-Normal18"/>
              <w:spacing w:after="0" w:line="240" w:lineRule="auto"/>
              <w:jc w:val="right"/>
              <w:rPr>
                <w:rFonts w:cs="Times New Roman"/>
                <w:noProof/>
                <w:szCs w:val="18"/>
              </w:rPr>
            </w:pPr>
            <w:r>
              <w:rPr>
                <w:noProof/>
              </w:rPr>
              <w:t xml:space="preserve"> </w:t>
            </w:r>
          </w:p>
        </w:tc>
        <w:tc>
          <w:tcPr>
            <w:tcW w:w="723" w:type="dxa"/>
            <w:shd w:val="clear" w:color="auto" w:fill="C6EFCE"/>
            <w:noWrap/>
          </w:tcPr>
          <w:p w14:paraId="0BAF8F9C" w14:textId="10B038D1" w:rsidR="00D924EA" w:rsidRDefault="00D924EA">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69251562" w14:textId="3D750F64" w:rsidR="00D924EA" w:rsidRDefault="005701C9">
            <w:pPr>
              <w:pStyle w:val="P68B1DB1-Normal18"/>
              <w:spacing w:after="0" w:line="240" w:lineRule="auto"/>
              <w:jc w:val="center"/>
              <w:rPr>
                <w:rFonts w:cs="Times New Roman"/>
                <w:noProof/>
                <w:szCs w:val="18"/>
              </w:rPr>
            </w:pPr>
            <w:r>
              <w:rPr>
                <w:noProof/>
              </w:rPr>
              <w:t>T4</w:t>
            </w:r>
          </w:p>
        </w:tc>
        <w:tc>
          <w:tcPr>
            <w:tcW w:w="546" w:type="dxa"/>
            <w:shd w:val="clear" w:color="auto" w:fill="C6EFCE"/>
            <w:noWrap/>
          </w:tcPr>
          <w:p w14:paraId="4EB235E7" w14:textId="53806D23" w:rsidR="00D924EA" w:rsidRDefault="00011DE9">
            <w:pPr>
              <w:pStyle w:val="P68B1DB1-Normal18"/>
              <w:spacing w:after="0" w:line="240" w:lineRule="auto"/>
              <w:jc w:val="center"/>
              <w:rPr>
                <w:rFonts w:cs="Times New Roman"/>
                <w:noProof/>
                <w:szCs w:val="18"/>
              </w:rPr>
            </w:pPr>
            <w:r>
              <w:rPr>
                <w:noProof/>
              </w:rPr>
              <w:t>2025</w:t>
            </w:r>
          </w:p>
        </w:tc>
        <w:tc>
          <w:tcPr>
            <w:tcW w:w="5810" w:type="dxa"/>
            <w:shd w:val="clear" w:color="auto" w:fill="C6EFCE"/>
            <w:noWrap/>
          </w:tcPr>
          <w:p w14:paraId="25CACEF0" w14:textId="3E029FD7" w:rsidR="00D924EA" w:rsidRDefault="00011DE9">
            <w:pPr>
              <w:pStyle w:val="P68B1DB1-Normal20"/>
              <w:spacing w:after="0" w:line="240" w:lineRule="auto"/>
              <w:rPr>
                <w:rFonts w:cs="Times New Roman"/>
                <w:noProof/>
                <w:kern w:val="0"/>
                <w14:ligatures w14:val="none"/>
              </w:rPr>
            </w:pPr>
            <w:r>
              <w:rPr>
                <w:noProof/>
              </w:rPr>
              <w:t>Confirmarea de către administrație a faptului că au fost executate 40 contracte sau alte instrumente juridice legate de acțiunile de digitalizare.</w:t>
            </w:r>
          </w:p>
        </w:tc>
      </w:tr>
      <w:tr w:rsidR="00D924EA" w14:paraId="4142B46C" w14:textId="77777777" w:rsidTr="0042520D">
        <w:trPr>
          <w:trHeight w:val="309"/>
          <w:jc w:val="center"/>
        </w:trPr>
        <w:tc>
          <w:tcPr>
            <w:tcW w:w="822" w:type="dxa"/>
            <w:shd w:val="clear" w:color="auto" w:fill="C6EFCE"/>
            <w:noWrap/>
          </w:tcPr>
          <w:p w14:paraId="508F46D4" w14:textId="77777777" w:rsidR="00D924EA" w:rsidRDefault="00011DE9">
            <w:pPr>
              <w:pStyle w:val="P68B1DB1-Normal18"/>
              <w:spacing w:after="0" w:line="240" w:lineRule="auto"/>
              <w:jc w:val="center"/>
              <w:rPr>
                <w:rFonts w:cs="Times New Roman"/>
                <w:noProof/>
                <w:szCs w:val="18"/>
              </w:rPr>
            </w:pPr>
            <w:r>
              <w:rPr>
                <w:noProof/>
              </w:rPr>
              <w:t>92</w:t>
            </w:r>
          </w:p>
        </w:tc>
        <w:tc>
          <w:tcPr>
            <w:tcW w:w="818" w:type="dxa"/>
            <w:shd w:val="clear" w:color="auto" w:fill="C6EFCE"/>
            <w:noWrap/>
          </w:tcPr>
          <w:p w14:paraId="239D237C" w14:textId="77777777" w:rsidR="00D924EA" w:rsidRDefault="00011DE9">
            <w:pPr>
              <w:pStyle w:val="P68B1DB1-Normal18"/>
              <w:spacing w:after="0" w:line="240" w:lineRule="auto"/>
              <w:jc w:val="center"/>
              <w:rPr>
                <w:rFonts w:cs="Times New Roman"/>
                <w:noProof/>
                <w:szCs w:val="18"/>
              </w:rPr>
            </w:pPr>
            <w:r>
              <w:rPr>
                <w:noProof/>
              </w:rPr>
              <w:t>C6.I2</w:t>
            </w:r>
          </w:p>
        </w:tc>
        <w:tc>
          <w:tcPr>
            <w:tcW w:w="817" w:type="dxa"/>
            <w:shd w:val="clear" w:color="auto" w:fill="C6EFCE"/>
            <w:noWrap/>
          </w:tcPr>
          <w:p w14:paraId="5E67182C" w14:textId="05BABE05" w:rsidR="00D924EA" w:rsidRDefault="00011DE9">
            <w:pPr>
              <w:pStyle w:val="P68B1DB1-Normal18"/>
              <w:spacing w:after="0" w:line="240" w:lineRule="auto"/>
              <w:jc w:val="center"/>
              <w:rPr>
                <w:rFonts w:cs="Times New Roman"/>
                <w:noProof/>
                <w:szCs w:val="18"/>
              </w:rPr>
            </w:pPr>
            <w:r>
              <w:rPr>
                <w:noProof/>
              </w:rPr>
              <w:t>M</w:t>
            </w:r>
          </w:p>
        </w:tc>
        <w:tc>
          <w:tcPr>
            <w:tcW w:w="1366" w:type="dxa"/>
            <w:shd w:val="clear" w:color="auto" w:fill="C6EFCE"/>
            <w:noWrap/>
          </w:tcPr>
          <w:p w14:paraId="34173ECE" w14:textId="0F1FD658" w:rsidR="00D924EA" w:rsidRDefault="00011DE9">
            <w:pPr>
              <w:pStyle w:val="P68B1DB1-Normal46"/>
              <w:spacing w:after="0" w:line="240" w:lineRule="auto"/>
              <w:rPr>
                <w:rFonts w:cs="Times New Roman"/>
                <w:noProof/>
                <w:kern w:val="0"/>
                <w:szCs w:val="18"/>
                <w14:ligatures w14:val="none"/>
              </w:rPr>
            </w:pPr>
            <w:r>
              <w:rPr>
                <w:noProof/>
                <w:kern w:val="0"/>
                <w14:ligatures w14:val="none"/>
              </w:rPr>
              <w:t xml:space="preserve"> Rețeaua TEN-T</w:t>
            </w:r>
            <w:r>
              <w:rPr>
                <w:noProof/>
                <w:szCs w:val="18"/>
              </w:rPr>
              <w:t>, cu excepția coridoarelor: contracte executate</w:t>
            </w:r>
          </w:p>
        </w:tc>
        <w:tc>
          <w:tcPr>
            <w:tcW w:w="992" w:type="dxa"/>
            <w:shd w:val="clear" w:color="auto" w:fill="C6EFCE"/>
            <w:noWrap/>
          </w:tcPr>
          <w:p w14:paraId="7AD1311C" w14:textId="536E9648" w:rsidR="00D924EA" w:rsidRDefault="00011DE9">
            <w:pPr>
              <w:pStyle w:val="P68B1DB1-Normal46"/>
              <w:spacing w:after="0" w:line="240" w:lineRule="auto"/>
              <w:jc w:val="center"/>
              <w:rPr>
                <w:rFonts w:cs="Times New Roman"/>
                <w:noProof/>
                <w:kern w:val="0"/>
                <w:szCs w:val="18"/>
                <w14:ligatures w14:val="none"/>
              </w:rPr>
            </w:pPr>
            <w:r>
              <w:rPr>
                <w:noProof/>
                <w:szCs w:val="18"/>
              </w:rPr>
              <w:t>Certificate de acceptare, declarații de conformitate sau documente echivalente care atestă executarea contractelor sau a altor instrumente juridice</w:t>
            </w:r>
            <w:r>
              <w:rPr>
                <w:noProof/>
                <w:kern w:val="0"/>
                <w14:ligatures w14:val="none"/>
              </w:rPr>
              <w:t xml:space="preserve"> </w:t>
            </w:r>
          </w:p>
        </w:tc>
        <w:tc>
          <w:tcPr>
            <w:tcW w:w="992" w:type="dxa"/>
            <w:shd w:val="clear" w:color="auto" w:fill="C6EFCE"/>
            <w:noWrap/>
          </w:tcPr>
          <w:p w14:paraId="4655FBED" w14:textId="5488175B" w:rsidR="00D924EA" w:rsidRDefault="00D924EA">
            <w:pPr>
              <w:spacing w:after="0" w:line="240" w:lineRule="auto"/>
              <w:jc w:val="center"/>
              <w:rPr>
                <w:rFonts w:ascii="Times New Roman" w:eastAsia="Calibri" w:hAnsi="Times New Roman" w:cs="Times New Roman"/>
                <w:noProof/>
                <w:kern w:val="0"/>
                <w:sz w:val="18"/>
                <w:szCs w:val="18"/>
                <w14:ligatures w14:val="none"/>
              </w:rPr>
            </w:pPr>
          </w:p>
        </w:tc>
        <w:tc>
          <w:tcPr>
            <w:tcW w:w="992" w:type="dxa"/>
            <w:shd w:val="clear" w:color="auto" w:fill="C6EFCE"/>
            <w:noWrap/>
          </w:tcPr>
          <w:p w14:paraId="6BAE9D92" w14:textId="03F4D7AD" w:rsidR="00D924EA" w:rsidRDefault="00D924EA">
            <w:pPr>
              <w:spacing w:after="0" w:line="240" w:lineRule="auto"/>
              <w:jc w:val="right"/>
              <w:rPr>
                <w:rFonts w:ascii="Times New Roman" w:eastAsia="Calibri" w:hAnsi="Times New Roman" w:cs="Times New Roman"/>
                <w:noProof/>
                <w:kern w:val="0"/>
                <w:sz w:val="18"/>
                <w:szCs w:val="18"/>
                <w14:ligatures w14:val="none"/>
              </w:rPr>
            </w:pPr>
          </w:p>
        </w:tc>
        <w:tc>
          <w:tcPr>
            <w:tcW w:w="723" w:type="dxa"/>
            <w:shd w:val="clear" w:color="auto" w:fill="C6EFCE"/>
            <w:noWrap/>
          </w:tcPr>
          <w:p w14:paraId="24DFC827" w14:textId="6302C49D" w:rsidR="00D924EA" w:rsidRDefault="00D924EA">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380E390A" w14:textId="2C4101C4" w:rsidR="00D924EA" w:rsidRDefault="005701C9">
            <w:pPr>
              <w:pStyle w:val="P68B1DB1-Normal18"/>
              <w:spacing w:after="0" w:line="240" w:lineRule="auto"/>
              <w:jc w:val="center"/>
              <w:rPr>
                <w:rFonts w:cs="Times New Roman"/>
                <w:noProof/>
                <w:szCs w:val="18"/>
              </w:rPr>
            </w:pPr>
            <w:r>
              <w:rPr>
                <w:noProof/>
              </w:rPr>
              <w:t>T2</w:t>
            </w:r>
          </w:p>
        </w:tc>
        <w:tc>
          <w:tcPr>
            <w:tcW w:w="546" w:type="dxa"/>
            <w:shd w:val="clear" w:color="auto" w:fill="C6EFCE"/>
            <w:noWrap/>
          </w:tcPr>
          <w:p w14:paraId="14AF094E" w14:textId="77777777" w:rsidR="00D924EA" w:rsidRDefault="00011DE9">
            <w:pPr>
              <w:pStyle w:val="P68B1DB1-Normal18"/>
              <w:spacing w:after="0" w:line="240" w:lineRule="auto"/>
              <w:jc w:val="center"/>
              <w:rPr>
                <w:rFonts w:cs="Times New Roman"/>
                <w:noProof/>
                <w:szCs w:val="18"/>
              </w:rPr>
            </w:pPr>
            <w:r>
              <w:rPr>
                <w:noProof/>
              </w:rPr>
              <w:t>2026</w:t>
            </w:r>
          </w:p>
        </w:tc>
        <w:tc>
          <w:tcPr>
            <w:tcW w:w="5810" w:type="dxa"/>
            <w:shd w:val="clear" w:color="auto" w:fill="C6EFCE"/>
            <w:noWrap/>
          </w:tcPr>
          <w:p w14:paraId="1A04B28E" w14:textId="49F39570" w:rsidR="00D924EA" w:rsidRDefault="00011DE9">
            <w:pPr>
              <w:pStyle w:val="P68B1DB1-Normal20"/>
              <w:spacing w:after="0" w:line="240" w:lineRule="auto"/>
              <w:rPr>
                <w:rFonts w:cs="Times New Roman"/>
                <w:noProof/>
                <w:kern w:val="0"/>
                <w14:ligatures w14:val="none"/>
              </w:rPr>
            </w:pPr>
            <w:r>
              <w:rPr>
                <w:noProof/>
              </w:rPr>
              <w:t>Confirmarea din partea administrației că au fost executate contracte sau alte instrumente juridice sau părți corespunzătoare ale acestora referitoare la una sau mai multe dintre intervențiile definite la ținta 88 litera (a), care acoperă 900 de kilometri pe rețeaua feroviară TEN-T, cu excepția coridoarelor.</w:t>
            </w:r>
          </w:p>
        </w:tc>
      </w:tr>
      <w:tr w:rsidR="00D924EA" w14:paraId="011FC620" w14:textId="77777777" w:rsidTr="0042520D">
        <w:trPr>
          <w:trHeight w:val="309"/>
          <w:jc w:val="center"/>
        </w:trPr>
        <w:tc>
          <w:tcPr>
            <w:tcW w:w="822" w:type="dxa"/>
            <w:shd w:val="clear" w:color="auto" w:fill="C6EFCE"/>
            <w:noWrap/>
          </w:tcPr>
          <w:p w14:paraId="37106DF9" w14:textId="77777777" w:rsidR="00D924EA" w:rsidRDefault="00011DE9">
            <w:pPr>
              <w:pStyle w:val="P68B1DB1-Normal18"/>
              <w:spacing w:after="0" w:line="240" w:lineRule="auto"/>
              <w:jc w:val="center"/>
              <w:rPr>
                <w:rFonts w:cs="Times New Roman"/>
                <w:noProof/>
                <w:szCs w:val="18"/>
              </w:rPr>
            </w:pPr>
            <w:r>
              <w:rPr>
                <w:noProof/>
              </w:rPr>
              <w:t>93</w:t>
            </w:r>
          </w:p>
        </w:tc>
        <w:tc>
          <w:tcPr>
            <w:tcW w:w="818" w:type="dxa"/>
            <w:shd w:val="clear" w:color="auto" w:fill="C6EFCE"/>
            <w:noWrap/>
          </w:tcPr>
          <w:p w14:paraId="0C57C207" w14:textId="77777777" w:rsidR="00D924EA" w:rsidRDefault="00011DE9">
            <w:pPr>
              <w:pStyle w:val="P68B1DB1-Normal18"/>
              <w:spacing w:after="0" w:line="240" w:lineRule="auto"/>
              <w:jc w:val="center"/>
              <w:rPr>
                <w:rFonts w:cs="Times New Roman"/>
                <w:noProof/>
                <w:szCs w:val="18"/>
              </w:rPr>
            </w:pPr>
            <w:r>
              <w:rPr>
                <w:noProof/>
              </w:rPr>
              <w:t>C6.I2</w:t>
            </w:r>
          </w:p>
        </w:tc>
        <w:tc>
          <w:tcPr>
            <w:tcW w:w="817" w:type="dxa"/>
            <w:shd w:val="clear" w:color="auto" w:fill="C6EFCE"/>
            <w:noWrap/>
          </w:tcPr>
          <w:p w14:paraId="1DBB2E7B" w14:textId="20B8D417" w:rsidR="00D924EA" w:rsidRDefault="00011DE9">
            <w:pPr>
              <w:pStyle w:val="P68B1DB1-Normal18"/>
              <w:spacing w:after="0" w:line="240" w:lineRule="auto"/>
              <w:jc w:val="center"/>
              <w:rPr>
                <w:rFonts w:cs="Times New Roman"/>
                <w:noProof/>
                <w:szCs w:val="18"/>
              </w:rPr>
            </w:pPr>
            <w:r>
              <w:rPr>
                <w:noProof/>
              </w:rPr>
              <w:t>M</w:t>
            </w:r>
          </w:p>
        </w:tc>
        <w:tc>
          <w:tcPr>
            <w:tcW w:w="1366" w:type="dxa"/>
            <w:shd w:val="clear" w:color="auto" w:fill="C6EFCE"/>
            <w:noWrap/>
          </w:tcPr>
          <w:p w14:paraId="30F2F768" w14:textId="6DAD2722" w:rsidR="00D924EA" w:rsidRDefault="00011DE9">
            <w:pPr>
              <w:pStyle w:val="P68B1DB1-Normal18"/>
              <w:spacing w:after="0" w:line="240" w:lineRule="auto"/>
              <w:rPr>
                <w:rFonts w:cs="Times New Roman"/>
                <w:noProof/>
                <w:szCs w:val="18"/>
              </w:rPr>
            </w:pPr>
            <w:r>
              <w:rPr>
                <w:noProof/>
              </w:rPr>
              <w:t>Managementul traficului aerian: contracte executate</w:t>
            </w:r>
          </w:p>
        </w:tc>
        <w:tc>
          <w:tcPr>
            <w:tcW w:w="992" w:type="dxa"/>
            <w:shd w:val="clear" w:color="auto" w:fill="C6EFCE"/>
            <w:noWrap/>
          </w:tcPr>
          <w:p w14:paraId="740A18A2" w14:textId="26C326B5" w:rsidR="00D924EA" w:rsidRDefault="00011DE9">
            <w:pPr>
              <w:pStyle w:val="P68B1DB1-Normal46"/>
              <w:spacing w:after="0" w:line="240" w:lineRule="auto"/>
              <w:jc w:val="center"/>
              <w:rPr>
                <w:rFonts w:cs="Times New Roman"/>
                <w:noProof/>
                <w:kern w:val="0"/>
                <w:szCs w:val="18"/>
                <w14:ligatures w14:val="none"/>
              </w:rPr>
            </w:pPr>
            <w:r>
              <w:rPr>
                <w:noProof/>
                <w:szCs w:val="18"/>
              </w:rPr>
              <w:t>Certificate de acceptare, declarații de conformitate sau alte documente echivalente care atestă executarea contractelor</w:t>
            </w:r>
            <w:r>
              <w:rPr>
                <w:noProof/>
                <w:kern w:val="0"/>
                <w14:ligatures w14:val="none"/>
              </w:rPr>
              <w:t xml:space="preserve"> </w:t>
            </w:r>
          </w:p>
        </w:tc>
        <w:tc>
          <w:tcPr>
            <w:tcW w:w="992" w:type="dxa"/>
            <w:shd w:val="clear" w:color="auto" w:fill="C6EFCE"/>
            <w:noWrap/>
          </w:tcPr>
          <w:p w14:paraId="42600679" w14:textId="27B0C233" w:rsidR="00D924EA" w:rsidRDefault="00D924EA">
            <w:pPr>
              <w:spacing w:after="0" w:line="240" w:lineRule="auto"/>
              <w:jc w:val="right"/>
              <w:rPr>
                <w:rFonts w:ascii="Times New Roman" w:eastAsia="Calibri" w:hAnsi="Times New Roman" w:cs="Times New Roman"/>
                <w:noProof/>
                <w:kern w:val="0"/>
                <w:sz w:val="18"/>
                <w:szCs w:val="18"/>
                <w14:ligatures w14:val="none"/>
              </w:rPr>
            </w:pPr>
          </w:p>
        </w:tc>
        <w:tc>
          <w:tcPr>
            <w:tcW w:w="992" w:type="dxa"/>
            <w:shd w:val="clear" w:color="auto" w:fill="C6EFCE"/>
            <w:noWrap/>
          </w:tcPr>
          <w:p w14:paraId="78E5211A" w14:textId="4316ED34" w:rsidR="00D924EA" w:rsidRDefault="00D924EA">
            <w:pPr>
              <w:spacing w:after="0" w:line="240" w:lineRule="auto"/>
              <w:jc w:val="right"/>
              <w:rPr>
                <w:rFonts w:ascii="Times New Roman" w:eastAsia="Calibri" w:hAnsi="Times New Roman" w:cs="Times New Roman"/>
                <w:noProof/>
                <w:kern w:val="0"/>
                <w:sz w:val="18"/>
                <w:szCs w:val="18"/>
                <w14:ligatures w14:val="none"/>
              </w:rPr>
            </w:pPr>
          </w:p>
        </w:tc>
        <w:tc>
          <w:tcPr>
            <w:tcW w:w="723" w:type="dxa"/>
            <w:shd w:val="clear" w:color="auto" w:fill="C6EFCE"/>
            <w:noWrap/>
          </w:tcPr>
          <w:p w14:paraId="0933D7C9" w14:textId="63D76D8D" w:rsidR="00D924EA" w:rsidRDefault="00D924EA">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24E9FEE1" w14:textId="369F9854" w:rsidR="00D924EA" w:rsidRDefault="005701C9">
            <w:pPr>
              <w:pStyle w:val="P68B1DB1-Normal18"/>
              <w:spacing w:after="0" w:line="240" w:lineRule="auto"/>
              <w:jc w:val="center"/>
              <w:rPr>
                <w:rFonts w:cs="Times New Roman"/>
                <w:noProof/>
                <w:szCs w:val="18"/>
              </w:rPr>
            </w:pPr>
            <w:r>
              <w:rPr>
                <w:noProof/>
              </w:rPr>
              <w:t>T2</w:t>
            </w:r>
          </w:p>
        </w:tc>
        <w:tc>
          <w:tcPr>
            <w:tcW w:w="546" w:type="dxa"/>
            <w:shd w:val="clear" w:color="auto" w:fill="C6EFCE"/>
            <w:noWrap/>
          </w:tcPr>
          <w:p w14:paraId="3FE3D4CE" w14:textId="77777777" w:rsidR="00D924EA" w:rsidRDefault="00011DE9">
            <w:pPr>
              <w:pStyle w:val="P68B1DB1-Normal18"/>
              <w:spacing w:after="0" w:line="240" w:lineRule="auto"/>
              <w:jc w:val="center"/>
              <w:rPr>
                <w:rFonts w:cs="Times New Roman"/>
                <w:noProof/>
                <w:szCs w:val="18"/>
              </w:rPr>
            </w:pPr>
            <w:r>
              <w:rPr>
                <w:noProof/>
              </w:rPr>
              <w:t>2026</w:t>
            </w:r>
          </w:p>
        </w:tc>
        <w:tc>
          <w:tcPr>
            <w:tcW w:w="5810" w:type="dxa"/>
            <w:shd w:val="clear" w:color="auto" w:fill="C6EFCE"/>
            <w:noWrap/>
          </w:tcPr>
          <w:p w14:paraId="2267BF3A" w14:textId="49B8D739" w:rsidR="00D924EA" w:rsidRDefault="00011DE9">
            <w:pPr>
              <w:pStyle w:val="P68B1DB1-Normal20"/>
              <w:spacing w:after="0" w:line="240" w:lineRule="auto"/>
              <w:rPr>
                <w:rFonts w:cs="Times New Roman"/>
                <w:noProof/>
                <w:kern w:val="0"/>
                <w14:ligatures w14:val="none"/>
              </w:rPr>
            </w:pPr>
            <w:r>
              <w:rPr>
                <w:noProof/>
                <w:kern w:val="0"/>
                <w14:ligatures w14:val="none"/>
              </w:rPr>
              <w:t>Confirmarea de către administrație a executării a 35 contracte referitoare la managementul traficului aerian</w:t>
            </w:r>
            <w:r>
              <w:rPr>
                <w:noProof/>
              </w:rPr>
              <w:t xml:space="preserve">. </w:t>
            </w:r>
          </w:p>
        </w:tc>
      </w:tr>
      <w:tr w:rsidR="00D924EA" w14:paraId="56767F0B" w14:textId="77777777" w:rsidTr="0042520D">
        <w:trPr>
          <w:trHeight w:val="309"/>
          <w:jc w:val="center"/>
        </w:trPr>
        <w:tc>
          <w:tcPr>
            <w:tcW w:w="822" w:type="dxa"/>
            <w:shd w:val="clear" w:color="auto" w:fill="C6EFCE"/>
            <w:noWrap/>
          </w:tcPr>
          <w:p w14:paraId="3B0079FD" w14:textId="77777777" w:rsidR="00D924EA" w:rsidRDefault="00011DE9">
            <w:pPr>
              <w:pStyle w:val="P68B1DB1-Normal18"/>
              <w:spacing w:after="0" w:line="240" w:lineRule="auto"/>
              <w:jc w:val="center"/>
              <w:rPr>
                <w:rFonts w:cs="Times New Roman"/>
                <w:noProof/>
                <w:szCs w:val="18"/>
              </w:rPr>
            </w:pPr>
            <w:r>
              <w:rPr>
                <w:noProof/>
              </w:rPr>
              <w:t>94</w:t>
            </w:r>
          </w:p>
        </w:tc>
        <w:tc>
          <w:tcPr>
            <w:tcW w:w="818" w:type="dxa"/>
            <w:shd w:val="clear" w:color="auto" w:fill="C6EFCE"/>
            <w:noWrap/>
          </w:tcPr>
          <w:p w14:paraId="1C54B9E0" w14:textId="77777777" w:rsidR="00D924EA" w:rsidRDefault="00011DE9">
            <w:pPr>
              <w:pStyle w:val="P68B1DB1-Normal18"/>
              <w:spacing w:after="0" w:line="240" w:lineRule="auto"/>
              <w:jc w:val="center"/>
              <w:rPr>
                <w:rFonts w:cs="Times New Roman"/>
                <w:noProof/>
                <w:szCs w:val="18"/>
              </w:rPr>
            </w:pPr>
            <w:r>
              <w:rPr>
                <w:noProof/>
              </w:rPr>
              <w:t>C6.I2</w:t>
            </w:r>
          </w:p>
        </w:tc>
        <w:tc>
          <w:tcPr>
            <w:tcW w:w="817" w:type="dxa"/>
            <w:shd w:val="clear" w:color="auto" w:fill="C6EFCE"/>
            <w:noWrap/>
          </w:tcPr>
          <w:p w14:paraId="796B98F1" w14:textId="77777777" w:rsidR="00D924EA" w:rsidRDefault="00011DE9">
            <w:pPr>
              <w:pStyle w:val="P68B1DB1-Normal18"/>
              <w:spacing w:after="0" w:line="240" w:lineRule="auto"/>
              <w:jc w:val="center"/>
              <w:rPr>
                <w:rFonts w:cs="Times New Roman"/>
                <w:noProof/>
                <w:szCs w:val="18"/>
              </w:rPr>
            </w:pPr>
            <w:r>
              <w:rPr>
                <w:noProof/>
              </w:rPr>
              <w:t>M</w:t>
            </w:r>
          </w:p>
        </w:tc>
        <w:tc>
          <w:tcPr>
            <w:tcW w:w="1366" w:type="dxa"/>
            <w:shd w:val="clear" w:color="auto" w:fill="C6EFCE"/>
            <w:noWrap/>
          </w:tcPr>
          <w:p w14:paraId="2FD75C33" w14:textId="53258B89" w:rsidR="00D924EA" w:rsidRDefault="00011DE9">
            <w:pPr>
              <w:pStyle w:val="P68B1DB1-Normal18"/>
              <w:spacing w:after="0" w:line="240" w:lineRule="auto"/>
              <w:rPr>
                <w:rFonts w:cs="Times New Roman"/>
                <w:noProof/>
                <w:szCs w:val="18"/>
              </w:rPr>
            </w:pPr>
            <w:r>
              <w:rPr>
                <w:noProof/>
              </w:rPr>
              <w:t>Rețeaua rutieră națională: contracte executate</w:t>
            </w:r>
          </w:p>
        </w:tc>
        <w:tc>
          <w:tcPr>
            <w:tcW w:w="992" w:type="dxa"/>
            <w:shd w:val="clear" w:color="auto" w:fill="C6EFCE"/>
            <w:noWrap/>
          </w:tcPr>
          <w:p w14:paraId="73F8D3BC" w14:textId="6266DAD6" w:rsidR="00D924EA" w:rsidRDefault="00011DE9">
            <w:pPr>
              <w:pStyle w:val="P68B1DB1-Normal46"/>
              <w:spacing w:after="0" w:line="240" w:lineRule="auto"/>
              <w:jc w:val="center"/>
              <w:rPr>
                <w:rFonts w:cs="Times New Roman"/>
                <w:noProof/>
                <w:kern w:val="0"/>
                <w:szCs w:val="18"/>
                <w14:ligatures w14:val="none"/>
              </w:rPr>
            </w:pPr>
            <w:r>
              <w:rPr>
                <w:noProof/>
                <w:szCs w:val="18"/>
              </w:rPr>
              <w:t>Certificate de acceptare, declarații de conformitate sau documente echivalente care atestă executarea contractelor sau a altor instrumente juridice</w:t>
            </w:r>
            <w:r>
              <w:rPr>
                <w:noProof/>
                <w:kern w:val="0"/>
                <w14:ligatures w14:val="none"/>
              </w:rPr>
              <w:t xml:space="preserve"> </w:t>
            </w:r>
          </w:p>
        </w:tc>
        <w:tc>
          <w:tcPr>
            <w:tcW w:w="992" w:type="dxa"/>
            <w:shd w:val="clear" w:color="auto" w:fill="C6EFCE"/>
            <w:noWrap/>
          </w:tcPr>
          <w:p w14:paraId="2BDFD0E1" w14:textId="77777777" w:rsidR="00D924EA" w:rsidRDefault="00011DE9">
            <w:pPr>
              <w:pStyle w:val="P68B1DB1-Normal18"/>
              <w:spacing w:after="0" w:line="240" w:lineRule="auto"/>
              <w:jc w:val="right"/>
              <w:rPr>
                <w:rFonts w:cs="Times New Roman"/>
                <w:noProof/>
                <w:szCs w:val="18"/>
              </w:rPr>
            </w:pPr>
            <w:r>
              <w:rPr>
                <w:noProof/>
              </w:rPr>
              <w:t xml:space="preserve"> </w:t>
            </w:r>
          </w:p>
        </w:tc>
        <w:tc>
          <w:tcPr>
            <w:tcW w:w="992" w:type="dxa"/>
            <w:shd w:val="clear" w:color="auto" w:fill="C6EFCE"/>
            <w:noWrap/>
          </w:tcPr>
          <w:p w14:paraId="445D0BB3" w14:textId="77777777" w:rsidR="00D924EA" w:rsidRDefault="00011DE9">
            <w:pPr>
              <w:pStyle w:val="P68B1DB1-Normal18"/>
              <w:spacing w:after="0" w:line="240" w:lineRule="auto"/>
              <w:jc w:val="right"/>
              <w:rPr>
                <w:rFonts w:cs="Times New Roman"/>
                <w:noProof/>
                <w:szCs w:val="18"/>
              </w:rPr>
            </w:pPr>
            <w:r>
              <w:rPr>
                <w:noProof/>
              </w:rPr>
              <w:t xml:space="preserve"> </w:t>
            </w:r>
          </w:p>
        </w:tc>
        <w:tc>
          <w:tcPr>
            <w:tcW w:w="723" w:type="dxa"/>
            <w:shd w:val="clear" w:color="auto" w:fill="C6EFCE"/>
            <w:noWrap/>
          </w:tcPr>
          <w:p w14:paraId="4096A233" w14:textId="4796F555" w:rsidR="00D924EA" w:rsidRDefault="00D924EA">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6DD96600" w14:textId="5736CB79" w:rsidR="00D924EA" w:rsidRDefault="005701C9">
            <w:pPr>
              <w:pStyle w:val="P68B1DB1-Normal18"/>
              <w:spacing w:after="0" w:line="240" w:lineRule="auto"/>
              <w:jc w:val="center"/>
              <w:rPr>
                <w:rFonts w:cs="Times New Roman"/>
                <w:noProof/>
                <w:szCs w:val="18"/>
              </w:rPr>
            </w:pPr>
            <w:r>
              <w:rPr>
                <w:noProof/>
              </w:rPr>
              <w:t>T2</w:t>
            </w:r>
          </w:p>
        </w:tc>
        <w:tc>
          <w:tcPr>
            <w:tcW w:w="546" w:type="dxa"/>
            <w:shd w:val="clear" w:color="auto" w:fill="C6EFCE"/>
            <w:noWrap/>
          </w:tcPr>
          <w:p w14:paraId="482B0848" w14:textId="77777777" w:rsidR="00D924EA" w:rsidRDefault="00011DE9">
            <w:pPr>
              <w:pStyle w:val="P68B1DB1-Normal18"/>
              <w:spacing w:after="0" w:line="240" w:lineRule="auto"/>
              <w:jc w:val="center"/>
              <w:rPr>
                <w:rFonts w:cs="Times New Roman"/>
                <w:noProof/>
                <w:szCs w:val="18"/>
              </w:rPr>
            </w:pPr>
            <w:r>
              <w:rPr>
                <w:noProof/>
              </w:rPr>
              <w:t>2026</w:t>
            </w:r>
          </w:p>
        </w:tc>
        <w:tc>
          <w:tcPr>
            <w:tcW w:w="5810" w:type="dxa"/>
            <w:shd w:val="clear" w:color="auto" w:fill="C6EFCE"/>
            <w:noWrap/>
          </w:tcPr>
          <w:p w14:paraId="35E99CC8" w14:textId="1EE63C4E" w:rsidR="00D924EA" w:rsidRDefault="00011DE9">
            <w:pPr>
              <w:pStyle w:val="P68B1DB1-Normal20"/>
              <w:spacing w:after="0" w:line="240" w:lineRule="auto"/>
              <w:rPr>
                <w:noProof/>
              </w:rPr>
            </w:pPr>
            <w:r>
              <w:rPr>
                <w:noProof/>
              </w:rPr>
              <w:t>Confirmarea de către administrație a faptului că au fost executate 92 contracte sau alte instrumente juridice referitoare la unul sau mai multe dintre tipurile de intervenții definite la ținta 88 litera (b).</w:t>
            </w:r>
          </w:p>
          <w:p w14:paraId="5E306A57" w14:textId="77777777" w:rsidR="00D924EA" w:rsidRDefault="00D924EA">
            <w:pPr>
              <w:spacing w:after="0" w:line="240" w:lineRule="auto"/>
              <w:rPr>
                <w:rFonts w:ascii="Times New Roman" w:eastAsia="Calibri" w:hAnsi="Times New Roman" w:cs="Arial"/>
                <w:noProof/>
                <w:sz w:val="18"/>
                <w:szCs w:val="18"/>
              </w:rPr>
            </w:pPr>
          </w:p>
          <w:p w14:paraId="026C629A" w14:textId="77777777" w:rsidR="00D924EA" w:rsidRDefault="00011DE9">
            <w:pPr>
              <w:pStyle w:val="P68B1DB1-Normal20"/>
              <w:spacing w:after="0" w:line="240" w:lineRule="auto"/>
              <w:rPr>
                <w:noProof/>
              </w:rPr>
            </w:pPr>
            <w:r>
              <w:rPr>
                <w:noProof/>
              </w:rPr>
              <w:t>Au fost efectuate lucrări în 70 tuneluri.</w:t>
            </w:r>
          </w:p>
          <w:p w14:paraId="092E7621" w14:textId="3A2EBC18" w:rsidR="00D924EA" w:rsidRDefault="00D924EA">
            <w:pPr>
              <w:spacing w:after="0" w:line="240" w:lineRule="auto"/>
              <w:rPr>
                <w:rFonts w:ascii="Times New Roman" w:eastAsia="Calibri" w:hAnsi="Times New Roman" w:cs="Times New Roman"/>
                <w:noProof/>
                <w:kern w:val="0"/>
                <w:sz w:val="18"/>
                <w:szCs w:val="18"/>
                <w14:ligatures w14:val="none"/>
              </w:rPr>
            </w:pPr>
          </w:p>
        </w:tc>
      </w:tr>
      <w:tr w:rsidR="00D924EA" w14:paraId="70C41E02" w14:textId="77777777" w:rsidTr="0042520D">
        <w:trPr>
          <w:trHeight w:val="309"/>
          <w:jc w:val="center"/>
        </w:trPr>
        <w:tc>
          <w:tcPr>
            <w:tcW w:w="822" w:type="dxa"/>
            <w:shd w:val="clear" w:color="auto" w:fill="C6EFCE"/>
            <w:noWrap/>
          </w:tcPr>
          <w:p w14:paraId="1AF4A589" w14:textId="77777777" w:rsidR="00D924EA" w:rsidRDefault="00011DE9">
            <w:pPr>
              <w:pStyle w:val="P68B1DB1-Normal18"/>
              <w:spacing w:after="0" w:line="240" w:lineRule="auto"/>
              <w:jc w:val="center"/>
              <w:rPr>
                <w:rFonts w:cs="Times New Roman"/>
                <w:noProof/>
                <w:szCs w:val="18"/>
              </w:rPr>
            </w:pPr>
            <w:r>
              <w:rPr>
                <w:noProof/>
              </w:rPr>
              <w:t>95</w:t>
            </w:r>
          </w:p>
        </w:tc>
        <w:tc>
          <w:tcPr>
            <w:tcW w:w="818" w:type="dxa"/>
            <w:shd w:val="clear" w:color="auto" w:fill="C6EFCE"/>
            <w:noWrap/>
          </w:tcPr>
          <w:p w14:paraId="367F38C2" w14:textId="77777777" w:rsidR="00D924EA" w:rsidRDefault="00011DE9">
            <w:pPr>
              <w:pStyle w:val="P68B1DB1-Normal18"/>
              <w:spacing w:after="0" w:line="240" w:lineRule="auto"/>
              <w:jc w:val="center"/>
              <w:rPr>
                <w:rFonts w:cs="Times New Roman"/>
                <w:noProof/>
                <w:szCs w:val="18"/>
              </w:rPr>
            </w:pPr>
            <w:r>
              <w:rPr>
                <w:noProof/>
              </w:rPr>
              <w:t>C6.I3</w:t>
            </w:r>
          </w:p>
        </w:tc>
        <w:tc>
          <w:tcPr>
            <w:tcW w:w="817" w:type="dxa"/>
            <w:shd w:val="clear" w:color="auto" w:fill="C6EFCE"/>
            <w:noWrap/>
          </w:tcPr>
          <w:p w14:paraId="49B148F6" w14:textId="77777777" w:rsidR="00D924EA" w:rsidRDefault="00011DE9">
            <w:pPr>
              <w:pStyle w:val="P68B1DB1-Normal18"/>
              <w:spacing w:after="0" w:line="240" w:lineRule="auto"/>
              <w:jc w:val="center"/>
              <w:rPr>
                <w:rFonts w:cs="Times New Roman"/>
                <w:noProof/>
                <w:szCs w:val="18"/>
              </w:rPr>
            </w:pPr>
            <w:r>
              <w:rPr>
                <w:noProof/>
              </w:rPr>
              <w:t>T</w:t>
            </w:r>
          </w:p>
        </w:tc>
        <w:tc>
          <w:tcPr>
            <w:tcW w:w="1366" w:type="dxa"/>
            <w:shd w:val="clear" w:color="auto" w:fill="C6EFCE"/>
            <w:noWrap/>
          </w:tcPr>
          <w:p w14:paraId="3148E115" w14:textId="77777777" w:rsidR="00D924EA" w:rsidRDefault="00011DE9">
            <w:pPr>
              <w:pStyle w:val="P68B1DB1-Normal18"/>
              <w:spacing w:after="0" w:line="240" w:lineRule="auto"/>
              <w:rPr>
                <w:rFonts w:cs="Times New Roman"/>
                <w:noProof/>
                <w:szCs w:val="18"/>
              </w:rPr>
            </w:pPr>
            <w:r>
              <w:rPr>
                <w:noProof/>
              </w:rPr>
              <w:t>T1: numărul de contracte sau alte instrumente juridice atribuite pentru îmbunătățirea infrastructurilor intermodale și logistice</w:t>
            </w:r>
          </w:p>
        </w:tc>
        <w:tc>
          <w:tcPr>
            <w:tcW w:w="992" w:type="dxa"/>
            <w:shd w:val="clear" w:color="auto" w:fill="C6EFCE"/>
            <w:noWrap/>
          </w:tcPr>
          <w:p w14:paraId="53EFA2B1" w14:textId="77777777" w:rsidR="00D924EA" w:rsidRDefault="00011DE9">
            <w:pPr>
              <w:pStyle w:val="P68B1DB1-Normal18"/>
              <w:spacing w:after="0" w:line="240" w:lineRule="auto"/>
              <w:jc w:val="center"/>
              <w:rPr>
                <w:rFonts w:cs="Times New Roman"/>
                <w:noProof/>
                <w:szCs w:val="18"/>
              </w:rPr>
            </w:pPr>
            <w:r>
              <w:rPr>
                <w:noProof/>
              </w:rPr>
              <w:t xml:space="preserve"> —</w:t>
            </w:r>
          </w:p>
        </w:tc>
        <w:tc>
          <w:tcPr>
            <w:tcW w:w="992" w:type="dxa"/>
            <w:shd w:val="clear" w:color="auto" w:fill="C6EFCE"/>
            <w:noWrap/>
          </w:tcPr>
          <w:p w14:paraId="2B4145C1" w14:textId="77777777" w:rsidR="00D924EA" w:rsidRDefault="00011DE9">
            <w:pPr>
              <w:pStyle w:val="P68B1DB1-Normal18"/>
              <w:spacing w:after="0" w:line="240" w:lineRule="auto"/>
              <w:jc w:val="right"/>
              <w:rPr>
                <w:rFonts w:cs="Times New Roman"/>
                <w:noProof/>
                <w:szCs w:val="18"/>
              </w:rPr>
            </w:pPr>
            <w:r>
              <w:rPr>
                <w:noProof/>
              </w:rPr>
              <w:t xml:space="preserve">Contract sau alt instrument juridic </w:t>
            </w:r>
          </w:p>
        </w:tc>
        <w:tc>
          <w:tcPr>
            <w:tcW w:w="992" w:type="dxa"/>
            <w:shd w:val="clear" w:color="auto" w:fill="C6EFCE"/>
            <w:noWrap/>
          </w:tcPr>
          <w:p w14:paraId="021DD4B5" w14:textId="77777777" w:rsidR="00D924EA" w:rsidRDefault="00011DE9">
            <w:pPr>
              <w:pStyle w:val="P68B1DB1-Normal18"/>
              <w:spacing w:after="0" w:line="240" w:lineRule="auto"/>
              <w:jc w:val="right"/>
              <w:rPr>
                <w:rFonts w:cs="Times New Roman"/>
                <w:noProof/>
                <w:szCs w:val="18"/>
              </w:rPr>
            </w:pPr>
            <w:r>
              <w:rPr>
                <w:noProof/>
              </w:rPr>
              <w:t xml:space="preserve">0 </w:t>
            </w:r>
          </w:p>
        </w:tc>
        <w:tc>
          <w:tcPr>
            <w:tcW w:w="723" w:type="dxa"/>
            <w:shd w:val="clear" w:color="auto" w:fill="C6EFCE"/>
            <w:noWrap/>
          </w:tcPr>
          <w:p w14:paraId="4D75E431" w14:textId="77777777" w:rsidR="00D924EA" w:rsidRDefault="00011DE9">
            <w:pPr>
              <w:pStyle w:val="P68B1DB1-Normal18"/>
              <w:spacing w:after="0" w:line="240" w:lineRule="auto"/>
              <w:jc w:val="right"/>
              <w:rPr>
                <w:rFonts w:cs="Times New Roman"/>
                <w:noProof/>
                <w:szCs w:val="18"/>
              </w:rPr>
            </w:pPr>
            <w:r>
              <w:rPr>
                <w:noProof/>
              </w:rPr>
              <w:t xml:space="preserve">66 </w:t>
            </w:r>
          </w:p>
        </w:tc>
        <w:tc>
          <w:tcPr>
            <w:tcW w:w="410" w:type="dxa"/>
            <w:shd w:val="clear" w:color="auto" w:fill="C6EFCE"/>
            <w:noWrap/>
          </w:tcPr>
          <w:p w14:paraId="3EC00DBC" w14:textId="73FB47C6" w:rsidR="00D924EA" w:rsidRDefault="005701C9">
            <w:pPr>
              <w:pStyle w:val="P68B1DB1-Normal18"/>
              <w:spacing w:after="0" w:line="240" w:lineRule="auto"/>
              <w:jc w:val="center"/>
              <w:rPr>
                <w:rFonts w:cs="Times New Roman"/>
                <w:noProof/>
                <w:szCs w:val="18"/>
              </w:rPr>
            </w:pPr>
            <w:r>
              <w:rPr>
                <w:noProof/>
              </w:rPr>
              <w:t>T4</w:t>
            </w:r>
          </w:p>
        </w:tc>
        <w:tc>
          <w:tcPr>
            <w:tcW w:w="546" w:type="dxa"/>
            <w:shd w:val="clear" w:color="auto" w:fill="C6EFCE"/>
            <w:noWrap/>
          </w:tcPr>
          <w:p w14:paraId="68DBBF49" w14:textId="77777777" w:rsidR="00D924EA" w:rsidRDefault="00011DE9">
            <w:pPr>
              <w:pStyle w:val="P68B1DB1-Normal18"/>
              <w:spacing w:after="0" w:line="240" w:lineRule="auto"/>
              <w:jc w:val="center"/>
              <w:rPr>
                <w:rFonts w:cs="Times New Roman"/>
                <w:noProof/>
                <w:szCs w:val="18"/>
              </w:rPr>
            </w:pPr>
            <w:r>
              <w:rPr>
                <w:noProof/>
              </w:rPr>
              <w:t>2022</w:t>
            </w:r>
          </w:p>
        </w:tc>
        <w:tc>
          <w:tcPr>
            <w:tcW w:w="5810" w:type="dxa"/>
            <w:shd w:val="clear" w:color="auto" w:fill="C6EFCE"/>
            <w:noWrap/>
          </w:tcPr>
          <w:p w14:paraId="51463321" w14:textId="7E23DBB8" w:rsidR="00D924EA" w:rsidRDefault="00011DE9">
            <w:pPr>
              <w:pStyle w:val="P68B1DB1-Normal6"/>
              <w:spacing w:after="0" w:line="240" w:lineRule="auto"/>
              <w:rPr>
                <w:rFonts w:ascii="Times New Roman" w:eastAsia="Calibri" w:hAnsi="Times New Roman" w:cs="Arial"/>
                <w:noProof/>
                <w:sz w:val="18"/>
                <w:szCs w:val="18"/>
              </w:rPr>
            </w:pPr>
            <w:r>
              <w:rPr>
                <w:rFonts w:ascii="Times New Roman" w:eastAsia="Calibri" w:hAnsi="Times New Roman" w:cs="Arial"/>
                <w:noProof/>
                <w:sz w:val="18"/>
              </w:rPr>
              <w:t>Cel puțin 66 contracte sau alte instrumente juridice atribuite, inclusiv intervenții pentru îmbunătățirea infrastructurilor intermodale și logistice.</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Intervențiile aparțin unuia sau mai multora dintre următoarele domenii:</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a) dezvoltarea și modernizarea terminalelor intermodale și logistice strategice în una sau mai multe dintre următoarele locații:</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Vicálvaro în Madrid;</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La Llagosta din Barcelona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San Luis din Valencia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Júndiz din Álava.</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Instalația logistică din Can Tunis (Barcelona)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Terminalul Orduña (Bizkaia)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Unitatea logistică din Lezo (Gipuzkoa)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Muriedas (Santander)</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Terminalul Escombreras (Murcia);</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b) construirea sau extinderea liniilor abătute la o lungime de cel puțin 750 de metri;</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îmbunătățirea accesului feroviar la portul A Coruña și la portul Castellón;</w:t>
            </w:r>
          </w:p>
          <w:p w14:paraId="0D244A24" w14:textId="77777777" w:rsidR="00D924EA" w:rsidRDefault="00011DE9">
            <w:pPr>
              <w:pStyle w:val="P68B1DB1-Normal18"/>
              <w:spacing w:after="0" w:line="240" w:lineRule="auto"/>
              <w:rPr>
                <w:noProof/>
              </w:rPr>
            </w:pPr>
            <w:r>
              <w:rPr>
                <w:noProof/>
              </w:rPr>
              <w:t>(d) îmbunătățirea accesului rutier la portul Algeciras; și</w:t>
            </w:r>
          </w:p>
          <w:p w14:paraId="443CEFB0" w14:textId="08FD3C9C" w:rsidR="00D924EA" w:rsidRDefault="00011DE9">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e) îmbunătățirea accesibilității și a sustenabilității porturilor, inclusiv:</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Accesibilitate: lucrări de acces feroviar, inclusiv lucrări de renovare și modernizare, precum și un nou acces și îmbunătățirea traficului intern în porturi, prin adaptarea infrastructurii care își continuă accesul terestru extern.</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 Durabilitate: inclusiv caracterul adecvat al sistemelor de alimentare cu apă și de salubrizare; planuri de îmbunătățire a calității aerului; instalarea unor rețele energetice mai eficiente; instalații solare fotovoltaice; renovarea rețelelor de iluminat și instalarea tehnologiei LED; sisteme de control al consumului de putere; recondiționarea sistemelor de prelucrare. </w:t>
            </w:r>
          </w:p>
        </w:tc>
      </w:tr>
      <w:tr w:rsidR="00D924EA" w14:paraId="1332137A" w14:textId="77777777" w:rsidTr="0042520D">
        <w:trPr>
          <w:trHeight w:val="309"/>
          <w:jc w:val="center"/>
        </w:trPr>
        <w:tc>
          <w:tcPr>
            <w:tcW w:w="822" w:type="dxa"/>
            <w:shd w:val="clear" w:color="auto" w:fill="C6EFCE"/>
            <w:noWrap/>
          </w:tcPr>
          <w:p w14:paraId="13FEDCFD" w14:textId="77777777" w:rsidR="00D924EA" w:rsidRDefault="00011DE9">
            <w:pPr>
              <w:pStyle w:val="P68B1DB1-Normal18"/>
              <w:spacing w:after="0" w:line="240" w:lineRule="auto"/>
              <w:jc w:val="center"/>
              <w:rPr>
                <w:rFonts w:cs="Times New Roman"/>
                <w:noProof/>
                <w:szCs w:val="18"/>
              </w:rPr>
            </w:pPr>
            <w:r>
              <w:rPr>
                <w:noProof/>
              </w:rPr>
              <w:t>97</w:t>
            </w:r>
          </w:p>
        </w:tc>
        <w:tc>
          <w:tcPr>
            <w:tcW w:w="818" w:type="dxa"/>
            <w:shd w:val="clear" w:color="auto" w:fill="C6EFCE"/>
            <w:noWrap/>
          </w:tcPr>
          <w:p w14:paraId="33708D0F" w14:textId="77777777" w:rsidR="00D924EA" w:rsidRDefault="00011DE9">
            <w:pPr>
              <w:pStyle w:val="P68B1DB1-Normal18"/>
              <w:spacing w:after="0" w:line="240" w:lineRule="auto"/>
              <w:jc w:val="center"/>
              <w:rPr>
                <w:rFonts w:cs="Times New Roman"/>
                <w:noProof/>
                <w:szCs w:val="18"/>
              </w:rPr>
            </w:pPr>
            <w:r>
              <w:rPr>
                <w:noProof/>
              </w:rPr>
              <w:t>C6.I3</w:t>
            </w:r>
          </w:p>
        </w:tc>
        <w:tc>
          <w:tcPr>
            <w:tcW w:w="817" w:type="dxa"/>
            <w:shd w:val="clear" w:color="auto" w:fill="C6EFCE"/>
            <w:noWrap/>
          </w:tcPr>
          <w:p w14:paraId="7FE0464C" w14:textId="2DF2B44B" w:rsidR="00D924EA" w:rsidRDefault="00011DE9">
            <w:pPr>
              <w:pStyle w:val="P68B1DB1-Normal47"/>
              <w:spacing w:after="0" w:line="240" w:lineRule="auto"/>
              <w:jc w:val="center"/>
              <w:rPr>
                <w:rFonts w:cs="Times New Roman"/>
                <w:noProof/>
              </w:rPr>
            </w:pPr>
            <w:r>
              <w:rPr>
                <w:noProof/>
              </w:rPr>
              <w:t>M</w:t>
            </w:r>
          </w:p>
        </w:tc>
        <w:tc>
          <w:tcPr>
            <w:tcW w:w="1366" w:type="dxa"/>
            <w:shd w:val="clear" w:color="auto" w:fill="C6EFCE"/>
            <w:noWrap/>
          </w:tcPr>
          <w:p w14:paraId="59F5C73F" w14:textId="60D0C09D" w:rsidR="00D924EA" w:rsidRDefault="00011DE9">
            <w:pPr>
              <w:pStyle w:val="P68B1DB1-Normal20"/>
              <w:spacing w:after="0" w:line="240" w:lineRule="auto"/>
              <w:rPr>
                <w:rFonts w:cs="Times New Roman"/>
                <w:noProof/>
                <w:kern w:val="0"/>
                <w14:ligatures w14:val="none"/>
              </w:rPr>
            </w:pPr>
            <w:r>
              <w:rPr>
                <w:noProof/>
              </w:rPr>
              <w:t>Terminale intermodale și logistice, porturi sau linii secundare de 750 metri: contracte executate</w:t>
            </w:r>
          </w:p>
        </w:tc>
        <w:tc>
          <w:tcPr>
            <w:tcW w:w="992" w:type="dxa"/>
            <w:shd w:val="clear" w:color="auto" w:fill="C6EFCE"/>
            <w:noWrap/>
          </w:tcPr>
          <w:p w14:paraId="44E99C9F" w14:textId="437A28E4" w:rsidR="00D924EA" w:rsidRDefault="00011DE9">
            <w:pPr>
              <w:pStyle w:val="P68B1DB1-Normal46"/>
              <w:spacing w:after="0" w:line="240" w:lineRule="auto"/>
              <w:jc w:val="center"/>
              <w:rPr>
                <w:rFonts w:cs="Times New Roman"/>
                <w:noProof/>
                <w:kern w:val="0"/>
                <w:szCs w:val="18"/>
                <w14:ligatures w14:val="none"/>
              </w:rPr>
            </w:pPr>
            <w:r>
              <w:rPr>
                <w:noProof/>
                <w:szCs w:val="18"/>
              </w:rPr>
              <w:t>Certificate de acceptare, declarații de conformitate sau documente echivalente care atestă executarea contractelor sau a altor instrumente juridice</w:t>
            </w:r>
            <w:r>
              <w:rPr>
                <w:noProof/>
                <w:kern w:val="0"/>
                <w14:ligatures w14:val="none"/>
              </w:rPr>
              <w:t xml:space="preserve"> </w:t>
            </w:r>
          </w:p>
        </w:tc>
        <w:tc>
          <w:tcPr>
            <w:tcW w:w="992" w:type="dxa"/>
            <w:shd w:val="clear" w:color="auto" w:fill="C6EFCE"/>
            <w:noWrap/>
          </w:tcPr>
          <w:p w14:paraId="512A4658" w14:textId="0AC465AD" w:rsidR="00D924EA" w:rsidRDefault="00D924EA">
            <w:pPr>
              <w:spacing w:after="0" w:line="240" w:lineRule="auto"/>
              <w:rPr>
                <w:rFonts w:ascii="Times New Roman" w:eastAsia="Calibri" w:hAnsi="Times New Roman" w:cs="Times New Roman"/>
                <w:noProof/>
                <w:kern w:val="0"/>
                <w:sz w:val="18"/>
                <w:szCs w:val="18"/>
                <w14:ligatures w14:val="none"/>
              </w:rPr>
            </w:pPr>
          </w:p>
        </w:tc>
        <w:tc>
          <w:tcPr>
            <w:tcW w:w="992" w:type="dxa"/>
            <w:shd w:val="clear" w:color="auto" w:fill="C6EFCE"/>
            <w:noWrap/>
          </w:tcPr>
          <w:p w14:paraId="5DD97BDA" w14:textId="2B7D4A22" w:rsidR="00D924EA" w:rsidRDefault="00D924EA">
            <w:pPr>
              <w:spacing w:after="0" w:line="240" w:lineRule="auto"/>
              <w:rPr>
                <w:rFonts w:ascii="Times New Roman" w:eastAsia="Calibri" w:hAnsi="Times New Roman" w:cs="Times New Roman"/>
                <w:noProof/>
                <w:kern w:val="0"/>
                <w:sz w:val="18"/>
                <w:szCs w:val="18"/>
                <w14:ligatures w14:val="none"/>
              </w:rPr>
            </w:pPr>
          </w:p>
        </w:tc>
        <w:tc>
          <w:tcPr>
            <w:tcW w:w="723" w:type="dxa"/>
            <w:shd w:val="clear" w:color="auto" w:fill="C6EFCE"/>
            <w:noWrap/>
          </w:tcPr>
          <w:p w14:paraId="7B714AE2" w14:textId="0091BB3E" w:rsidR="00D924EA" w:rsidRDefault="00D924EA">
            <w:pPr>
              <w:spacing w:after="0" w:line="240" w:lineRule="auto"/>
              <w:rPr>
                <w:rFonts w:ascii="Times New Roman" w:eastAsia="Calibri" w:hAnsi="Times New Roman" w:cs="Arial"/>
                <w:noProof/>
                <w:kern w:val="0"/>
                <w:sz w:val="18"/>
                <w:szCs w:val="18"/>
                <w14:ligatures w14:val="none"/>
              </w:rPr>
            </w:pPr>
          </w:p>
          <w:p w14:paraId="4452C77F" w14:textId="71C8F889" w:rsidR="00D924EA" w:rsidRDefault="00D924EA">
            <w:pPr>
              <w:spacing w:after="0" w:line="240" w:lineRule="auto"/>
              <w:rPr>
                <w:rFonts w:ascii="Times New Roman" w:eastAsia="Calibri" w:hAnsi="Times New Roman" w:cs="Arial"/>
                <w:noProof/>
                <w:kern w:val="0"/>
                <w:sz w:val="18"/>
                <w:szCs w:val="18"/>
                <w14:ligatures w14:val="none"/>
              </w:rPr>
            </w:pPr>
          </w:p>
          <w:p w14:paraId="36BC35AB" w14:textId="77777777" w:rsidR="00D924EA" w:rsidRDefault="00D924EA">
            <w:pPr>
              <w:spacing w:after="0" w:line="240" w:lineRule="auto"/>
              <w:rPr>
                <w:rFonts w:ascii="Times New Roman" w:eastAsia="Calibri" w:hAnsi="Times New Roman" w:cs="Times New Roman"/>
                <w:noProof/>
                <w:kern w:val="0"/>
                <w:sz w:val="18"/>
                <w:szCs w:val="18"/>
                <w14:ligatures w14:val="none"/>
              </w:rPr>
            </w:pPr>
          </w:p>
        </w:tc>
        <w:tc>
          <w:tcPr>
            <w:tcW w:w="410" w:type="dxa"/>
            <w:shd w:val="clear" w:color="auto" w:fill="C6EFCE"/>
            <w:noWrap/>
          </w:tcPr>
          <w:p w14:paraId="6D63B57D" w14:textId="72EBE642" w:rsidR="00D924EA" w:rsidRDefault="005701C9">
            <w:pPr>
              <w:pStyle w:val="P68B1DB1-Normal18"/>
              <w:spacing w:after="0" w:line="240" w:lineRule="auto"/>
              <w:jc w:val="center"/>
              <w:rPr>
                <w:rFonts w:cs="Times New Roman"/>
                <w:noProof/>
                <w:szCs w:val="18"/>
              </w:rPr>
            </w:pPr>
            <w:r>
              <w:rPr>
                <w:noProof/>
              </w:rPr>
              <w:t>T2</w:t>
            </w:r>
          </w:p>
        </w:tc>
        <w:tc>
          <w:tcPr>
            <w:tcW w:w="546" w:type="dxa"/>
            <w:shd w:val="clear" w:color="auto" w:fill="C6EFCE"/>
            <w:noWrap/>
          </w:tcPr>
          <w:p w14:paraId="25366A7B" w14:textId="77777777" w:rsidR="00D924EA" w:rsidRDefault="00011DE9">
            <w:pPr>
              <w:pStyle w:val="P68B1DB1-Normal18"/>
              <w:spacing w:after="0" w:line="240" w:lineRule="auto"/>
              <w:jc w:val="center"/>
              <w:rPr>
                <w:rFonts w:cs="Times New Roman"/>
                <w:noProof/>
                <w:szCs w:val="18"/>
              </w:rPr>
            </w:pPr>
            <w:r>
              <w:rPr>
                <w:noProof/>
              </w:rPr>
              <w:t>2026</w:t>
            </w:r>
          </w:p>
        </w:tc>
        <w:tc>
          <w:tcPr>
            <w:tcW w:w="5810" w:type="dxa"/>
            <w:shd w:val="clear" w:color="auto" w:fill="C6EFCE"/>
            <w:noWrap/>
          </w:tcPr>
          <w:p w14:paraId="339FC414" w14:textId="1B5CB6EF" w:rsidR="00D924EA" w:rsidRDefault="00011DE9">
            <w:pPr>
              <w:pStyle w:val="P68B1DB1-Normal18"/>
              <w:rPr>
                <w:rFonts w:cs="Times New Roman"/>
                <w:noProof/>
                <w:szCs w:val="18"/>
              </w:rPr>
            </w:pPr>
            <w:r>
              <w:rPr>
                <w:noProof/>
                <w:szCs w:val="18"/>
              </w:rPr>
              <w:t>Confirmarea din partea administrației că au fost executate contracte sau alte instrumente juridice sau părți corespunzătoare ale acestora, în valoare totală de 877.1 milioane EUR, referitoare la unul sau mai multe dintre tipurile de intervenții definite în ținta 95.</w:t>
            </w:r>
            <w:r w:rsidR="00971820">
              <w:rPr>
                <w:noProof/>
              </w:rPr>
              <w:t xml:space="preserve"> </w:t>
            </w:r>
          </w:p>
        </w:tc>
      </w:tr>
      <w:tr w:rsidR="00D924EA" w14:paraId="1745A533" w14:textId="77777777" w:rsidTr="0042520D">
        <w:trPr>
          <w:trHeight w:val="309"/>
          <w:jc w:val="center"/>
        </w:trPr>
        <w:tc>
          <w:tcPr>
            <w:tcW w:w="822" w:type="dxa"/>
            <w:shd w:val="clear" w:color="auto" w:fill="C6EFCE"/>
            <w:noWrap/>
          </w:tcPr>
          <w:p w14:paraId="194B5FF9" w14:textId="77777777" w:rsidR="00D924EA" w:rsidRDefault="00011DE9">
            <w:pPr>
              <w:pStyle w:val="P68B1DB1-Normal18"/>
              <w:spacing w:after="0" w:line="240" w:lineRule="auto"/>
              <w:jc w:val="center"/>
              <w:rPr>
                <w:rFonts w:cs="Times New Roman"/>
                <w:noProof/>
                <w:szCs w:val="18"/>
              </w:rPr>
            </w:pPr>
            <w:r>
              <w:rPr>
                <w:noProof/>
              </w:rPr>
              <w:t>99</w:t>
            </w:r>
          </w:p>
        </w:tc>
        <w:tc>
          <w:tcPr>
            <w:tcW w:w="818" w:type="dxa"/>
            <w:shd w:val="clear" w:color="auto" w:fill="C6EFCE"/>
            <w:noWrap/>
          </w:tcPr>
          <w:p w14:paraId="7BAD95B1" w14:textId="77777777" w:rsidR="00D924EA" w:rsidRDefault="00011DE9">
            <w:pPr>
              <w:pStyle w:val="P68B1DB1-Normal18"/>
              <w:spacing w:after="0" w:line="240" w:lineRule="auto"/>
              <w:jc w:val="center"/>
              <w:rPr>
                <w:rFonts w:cs="Times New Roman"/>
                <w:noProof/>
                <w:szCs w:val="18"/>
              </w:rPr>
            </w:pPr>
            <w:r>
              <w:rPr>
                <w:noProof/>
              </w:rPr>
              <w:t>C6.I4</w:t>
            </w:r>
          </w:p>
        </w:tc>
        <w:tc>
          <w:tcPr>
            <w:tcW w:w="817" w:type="dxa"/>
            <w:shd w:val="clear" w:color="auto" w:fill="C6EFCE"/>
            <w:noWrap/>
          </w:tcPr>
          <w:p w14:paraId="4D549705" w14:textId="77777777" w:rsidR="00D924EA" w:rsidRDefault="00011DE9">
            <w:pPr>
              <w:pStyle w:val="P68B1DB1-Normal18"/>
              <w:spacing w:after="0" w:line="240" w:lineRule="auto"/>
              <w:jc w:val="center"/>
              <w:rPr>
                <w:rFonts w:cs="Times New Roman"/>
                <w:noProof/>
                <w:szCs w:val="18"/>
              </w:rPr>
            </w:pPr>
            <w:r>
              <w:rPr>
                <w:noProof/>
              </w:rPr>
              <w:t>M</w:t>
            </w:r>
          </w:p>
        </w:tc>
        <w:tc>
          <w:tcPr>
            <w:tcW w:w="1366" w:type="dxa"/>
            <w:shd w:val="clear" w:color="auto" w:fill="C6EFCE"/>
            <w:noWrap/>
          </w:tcPr>
          <w:p w14:paraId="41326E10" w14:textId="77777777" w:rsidR="00D924EA" w:rsidRDefault="00011DE9">
            <w:pPr>
              <w:pStyle w:val="P68B1DB1-Normal18"/>
              <w:spacing w:after="0" w:line="240" w:lineRule="auto"/>
              <w:rPr>
                <w:rFonts w:cs="Times New Roman"/>
                <w:noProof/>
                <w:szCs w:val="18"/>
              </w:rPr>
            </w:pPr>
            <w:r>
              <w:rPr>
                <w:noProof/>
              </w:rPr>
              <w:t xml:space="preserve">Sprijin pentru programul de transport durabil și digital. </w:t>
            </w:r>
          </w:p>
        </w:tc>
        <w:tc>
          <w:tcPr>
            <w:tcW w:w="992" w:type="dxa"/>
            <w:shd w:val="clear" w:color="auto" w:fill="C6EFCE"/>
            <w:noWrap/>
          </w:tcPr>
          <w:p w14:paraId="46B52E15" w14:textId="77777777" w:rsidR="00D924EA" w:rsidRDefault="00011DE9">
            <w:pPr>
              <w:pStyle w:val="P68B1DB1-Normal18"/>
              <w:spacing w:after="0" w:line="240" w:lineRule="auto"/>
              <w:jc w:val="center"/>
              <w:rPr>
                <w:rFonts w:cs="Times New Roman"/>
                <w:noProof/>
                <w:szCs w:val="18"/>
              </w:rPr>
            </w:pPr>
            <w:r>
              <w:rPr>
                <w:noProof/>
              </w:rPr>
              <w:t>Publicarea în Jurnalul Oficial și adoptarea rezoluțiilor oficiale</w:t>
            </w:r>
          </w:p>
        </w:tc>
        <w:tc>
          <w:tcPr>
            <w:tcW w:w="992" w:type="dxa"/>
            <w:shd w:val="clear" w:color="auto" w:fill="C6EFCE"/>
            <w:noWrap/>
          </w:tcPr>
          <w:p w14:paraId="2FB5C667" w14:textId="77777777" w:rsidR="00D924EA" w:rsidRDefault="00011DE9">
            <w:pPr>
              <w:pStyle w:val="P68B1DB1-Normal18"/>
              <w:spacing w:after="0" w:line="240" w:lineRule="auto"/>
              <w:jc w:val="right"/>
              <w:rPr>
                <w:rFonts w:cs="Times New Roman"/>
                <w:noProof/>
                <w:szCs w:val="18"/>
              </w:rPr>
            </w:pPr>
            <w:r>
              <w:rPr>
                <w:noProof/>
              </w:rPr>
              <w:t xml:space="preserve"> </w:t>
            </w:r>
          </w:p>
        </w:tc>
        <w:tc>
          <w:tcPr>
            <w:tcW w:w="992" w:type="dxa"/>
            <w:shd w:val="clear" w:color="auto" w:fill="C6EFCE"/>
            <w:noWrap/>
          </w:tcPr>
          <w:p w14:paraId="6B893109" w14:textId="77777777" w:rsidR="00D924EA" w:rsidRDefault="00011DE9">
            <w:pPr>
              <w:pStyle w:val="P68B1DB1-Normal18"/>
              <w:spacing w:after="0" w:line="240" w:lineRule="auto"/>
              <w:jc w:val="right"/>
              <w:rPr>
                <w:rFonts w:cs="Times New Roman"/>
                <w:noProof/>
                <w:szCs w:val="18"/>
              </w:rPr>
            </w:pPr>
            <w:r>
              <w:rPr>
                <w:noProof/>
              </w:rPr>
              <w:t xml:space="preserve"> </w:t>
            </w:r>
          </w:p>
        </w:tc>
        <w:tc>
          <w:tcPr>
            <w:tcW w:w="723" w:type="dxa"/>
            <w:shd w:val="clear" w:color="auto" w:fill="C6EFCE"/>
            <w:noWrap/>
          </w:tcPr>
          <w:p w14:paraId="092B1B63" w14:textId="77777777" w:rsidR="00D924EA" w:rsidRDefault="00011DE9">
            <w:pPr>
              <w:pStyle w:val="P68B1DB1-Normal18"/>
              <w:spacing w:after="0" w:line="240" w:lineRule="auto"/>
              <w:jc w:val="right"/>
              <w:rPr>
                <w:rFonts w:cs="Times New Roman"/>
                <w:noProof/>
                <w:szCs w:val="18"/>
              </w:rPr>
            </w:pPr>
            <w:r>
              <w:rPr>
                <w:noProof/>
              </w:rPr>
              <w:t xml:space="preserve"> </w:t>
            </w:r>
          </w:p>
        </w:tc>
        <w:tc>
          <w:tcPr>
            <w:tcW w:w="410" w:type="dxa"/>
            <w:shd w:val="clear" w:color="auto" w:fill="C6EFCE"/>
            <w:noWrap/>
          </w:tcPr>
          <w:p w14:paraId="55C654D8" w14:textId="59468253" w:rsidR="00D924EA" w:rsidRDefault="005701C9">
            <w:pPr>
              <w:pStyle w:val="P68B1DB1-Normal18"/>
              <w:spacing w:after="0" w:line="240" w:lineRule="auto"/>
              <w:jc w:val="center"/>
              <w:rPr>
                <w:rFonts w:cs="Times New Roman"/>
                <w:noProof/>
                <w:szCs w:val="18"/>
              </w:rPr>
            </w:pPr>
            <w:r>
              <w:rPr>
                <w:noProof/>
              </w:rPr>
              <w:t>T4</w:t>
            </w:r>
          </w:p>
        </w:tc>
        <w:tc>
          <w:tcPr>
            <w:tcW w:w="546" w:type="dxa"/>
            <w:shd w:val="clear" w:color="auto" w:fill="C6EFCE"/>
            <w:noWrap/>
          </w:tcPr>
          <w:p w14:paraId="34B1BEEE" w14:textId="77777777" w:rsidR="00D924EA" w:rsidRDefault="00011DE9">
            <w:pPr>
              <w:pStyle w:val="P68B1DB1-Normal18"/>
              <w:spacing w:after="0" w:line="240" w:lineRule="auto"/>
              <w:jc w:val="center"/>
              <w:rPr>
                <w:rFonts w:cs="Times New Roman"/>
                <w:noProof/>
                <w:szCs w:val="18"/>
              </w:rPr>
            </w:pPr>
            <w:r>
              <w:rPr>
                <w:noProof/>
              </w:rPr>
              <w:t>2022</w:t>
            </w:r>
          </w:p>
        </w:tc>
        <w:tc>
          <w:tcPr>
            <w:tcW w:w="5810" w:type="dxa"/>
            <w:shd w:val="clear" w:color="auto" w:fill="C6EFCE"/>
            <w:noWrap/>
          </w:tcPr>
          <w:p w14:paraId="21F68FD9" w14:textId="6AC08FE1" w:rsidR="00D924EA" w:rsidRDefault="00011DE9">
            <w:pPr>
              <w:pStyle w:val="P68B1DB1-Normal6"/>
              <w:spacing w:after="0" w:line="240" w:lineRule="auto"/>
              <w:rPr>
                <w:rFonts w:ascii="Times New Roman" w:eastAsia="Calibri" w:hAnsi="Times New Roman" w:cs="Arial"/>
                <w:noProof/>
                <w:sz w:val="18"/>
              </w:rPr>
            </w:pPr>
            <w:r>
              <w:rPr>
                <w:rFonts w:ascii="Times New Roman" w:eastAsia="Calibri" w:hAnsi="Times New Roman" w:cs="Arial"/>
                <w:noProof/>
                <w:sz w:val="18"/>
              </w:rPr>
              <w:t>Dotarea cu 800 000 000 EUR în cadrul Programului de sprijin pentru transporturi sustenabile și digitale prin:</w:t>
            </w:r>
            <w:r w:rsidR="00971820">
              <w:rPr>
                <w:rFonts w:ascii="Times New Roman" w:eastAsia="Calibri" w:hAnsi="Times New Roman" w:cs="Arial"/>
                <w:noProof/>
                <w:sz w:val="18"/>
              </w:rPr>
              <w:t xml:space="preserve">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a) publicarea în Jurnalul Oficial a ordinului (ordinelor) ministerial (e) de instituire a schemei de sprijin pentru transportul durabil de mărfuri pe baza ECO-INCENTIVES în scopuri feroviare și maritime;</w:t>
            </w:r>
          </w:p>
          <w:p w14:paraId="0AF93414" w14:textId="6AAB3F0C" w:rsidR="00D924EA" w:rsidRDefault="00011DE9">
            <w:pPr>
              <w:pStyle w:val="P68B1DB1-Normal18"/>
              <w:spacing w:after="0" w:line="240" w:lineRule="auto"/>
              <w:rPr>
                <w:noProof/>
              </w:rPr>
            </w:pPr>
            <w:r>
              <w:rPr>
                <w:noProof/>
              </w:rPr>
              <w:t>b) rezoluțiile oficiale de aprobare a transferurilor stabilite în Decretul regal care alocă transferul de fonduri comunităților autonome pentru acordarea de granturi pentru proiecte de digitalizare a serviciilor de transport de călători și de mărfuri la nivel regional și local;</w:t>
            </w:r>
          </w:p>
          <w:p w14:paraId="154F983E" w14:textId="13E90A51" w:rsidR="00D924EA" w:rsidRDefault="00011DE9">
            <w:pPr>
              <w:pStyle w:val="P68B1DB1-Normal18"/>
              <w:spacing w:after="0" w:line="240" w:lineRule="auto"/>
              <w:rPr>
                <w:noProof/>
              </w:rPr>
            </w:pPr>
            <w:r>
              <w:rPr>
                <w:noProof/>
              </w:rPr>
              <w:t>c) rezoluțiile oficiale de aprobare a transferurilor stabilite în rezoluția Secretariatului de Stat pentru Transporturi, Mobilitate și Agenda Urbană privind transferul de fonduri către comunitățile autonome pentru atribuirea de contracte sau alte instrumente juridice pentru proiecte de digitalizare a serviciilor de transport de călători și de mărfuri la nivel regional și local; și</w:t>
            </w:r>
            <w:r w:rsidR="00971820">
              <w:rPr>
                <w:noProof/>
              </w:rPr>
              <w:t xml:space="preserve"> </w:t>
            </w:r>
          </w:p>
          <w:p w14:paraId="2990461C" w14:textId="133375F0" w:rsidR="00D924EA" w:rsidRDefault="00011DE9">
            <w:pPr>
              <w:pStyle w:val="P68B1DB1-Normal6"/>
              <w:spacing w:after="0" w:line="240" w:lineRule="auto"/>
              <w:rPr>
                <w:rFonts w:ascii="Times New Roman" w:eastAsia="Calibri" w:hAnsi="Times New Roman" w:cs="Arial"/>
                <w:noProof/>
                <w:sz w:val="18"/>
              </w:rPr>
            </w:pPr>
            <w:r>
              <w:rPr>
                <w:rFonts w:ascii="Times New Roman" w:eastAsia="Calibri" w:hAnsi="Times New Roman" w:cs="Arial"/>
                <w:noProof/>
                <w:sz w:val="18"/>
              </w:rPr>
              <w:t>d) Rezoluția Secretariatului de Stat pentru Transporturi, Mobilitate și Agenda Urbană privind atribuirea proiectelor pentru următoarele acțiuni:</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Linia de acțiune 1. Interoperabilitatea în transportul feroviar de marfă</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1. Sistemul european de management al traficului feroviar (ERTMS) la bord</w:t>
            </w:r>
            <w:r w:rsidR="00971820">
              <w:rPr>
                <w:rFonts w:ascii="Times New Roman" w:eastAsia="Calibri" w:hAnsi="Times New Roman" w:cs="Arial"/>
                <w:noProof/>
                <w:sz w:val="18"/>
              </w:rPr>
              <w:t xml:space="preserve"> </w:t>
            </w:r>
            <w:r>
              <w:rPr>
                <w:rFonts w:ascii="Calibri" w:eastAsia="Calibri" w:hAnsi="Calibri" w:cs="Arial"/>
                <w:noProof/>
              </w:rPr>
              <w:br/>
              <w:t xml:space="preserve"> </w:t>
            </w:r>
            <w:r>
              <w:rPr>
                <w:rFonts w:ascii="Times New Roman" w:eastAsia="Calibri" w:hAnsi="Times New Roman" w:cs="Arial"/>
                <w:noProof/>
                <w:sz w:val="18"/>
              </w:rPr>
              <w:t>2. Acțiuni de eliminare a barierelor din calea interoperabilității feroviare în conformitate cu STI-urile.</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3. Inovarea și dezvoltarea axei cu ecartament variabil în locomotive.</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Linia de acțiune 2. Promovarea intermodalității transporturilor </w:t>
            </w:r>
          </w:p>
          <w:p w14:paraId="1EDE73DE" w14:textId="15D3F497" w:rsidR="00D924EA" w:rsidRDefault="00011DE9">
            <w:pPr>
              <w:pStyle w:val="P68B1DB1-Normal6"/>
              <w:spacing w:after="0" w:line="240" w:lineRule="auto"/>
              <w:rPr>
                <w:rFonts w:ascii="Times New Roman" w:eastAsia="Calibri" w:hAnsi="Times New Roman" w:cs="Arial"/>
                <w:noProof/>
                <w:sz w:val="18"/>
              </w:rPr>
            </w:pPr>
            <w:r>
              <w:rPr>
                <w:rFonts w:ascii="Times New Roman" w:eastAsia="Calibri" w:hAnsi="Times New Roman" w:cs="Arial"/>
                <w:noProof/>
                <w:sz w:val="18"/>
              </w:rPr>
              <w:t>4. Construirea, adaptarea sau modernizarea încărcăturilor și a terminalelor intermodale feroviar-rutiere și a conexiunilor lor terestre</w:t>
            </w:r>
            <w:r w:rsidR="00971820">
              <w:rPr>
                <w:rFonts w:ascii="Times New Roman" w:eastAsia="Calibri" w:hAnsi="Times New Roman" w:cs="Arial"/>
                <w:noProof/>
                <w:sz w:val="18"/>
              </w:rPr>
              <w:t xml:space="preserve">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Linia de acțiune 3. Modernizarea echipamentelor de transport feroviar de marfă</w:t>
            </w:r>
            <w:r w:rsidR="00971820">
              <w:rPr>
                <w:rFonts w:ascii="Times New Roman" w:eastAsia="Calibri" w:hAnsi="Times New Roman" w:cs="Arial"/>
                <w:noProof/>
                <w:sz w:val="18"/>
              </w:rPr>
              <w:t xml:space="preserve"> </w:t>
            </w:r>
            <w:r>
              <w:rPr>
                <w:rFonts w:ascii="Calibri" w:eastAsia="Calibri" w:hAnsi="Calibri" w:cs="Arial"/>
                <w:noProof/>
              </w:rPr>
              <w:br/>
              <w:t xml:space="preserve"> </w:t>
            </w:r>
            <w:r>
              <w:rPr>
                <w:rFonts w:ascii="Times New Roman" w:eastAsia="Calibri" w:hAnsi="Times New Roman" w:cs="Arial"/>
                <w:noProof/>
                <w:sz w:val="18"/>
              </w:rPr>
              <w:t>5. Acțiuni de sprijinire a renovării sau modernizării vagoanelor pentru transportul feroviar de marfă, inclusiv pentru crearea de servicii de autostrăzi feroviare.</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6. Acțiuni de sprijinire a renovării sau adaptării echipamentelor tractoarelor feroviare cu alte materiale care utilizează combustibili alternativi (hidrogen sau energie electrică).</w:t>
            </w:r>
            <w:r w:rsidR="00971820">
              <w:rPr>
                <w:rFonts w:ascii="Times New Roman" w:eastAsia="Calibri" w:hAnsi="Times New Roman" w:cs="Arial"/>
                <w:noProof/>
                <w:sz w:val="18"/>
              </w:rPr>
              <w:t xml:space="preserve"> </w:t>
            </w:r>
            <w:r>
              <w:rPr>
                <w:rFonts w:ascii="Calibri" w:eastAsia="Calibri" w:hAnsi="Calibri" w:cs="Arial"/>
                <w:noProof/>
              </w:rPr>
              <w:br/>
            </w:r>
            <w:r>
              <w:rPr>
                <w:rFonts w:ascii="Times New Roman" w:eastAsia="Calibri" w:hAnsi="Times New Roman" w:cs="Arial"/>
                <w:noProof/>
                <w:sz w:val="18"/>
              </w:rPr>
              <w:t>Linia de acțiune 4. Un transport rutier sigur, durabil și conectat</w:t>
            </w:r>
            <w:r w:rsidR="00971820">
              <w:rPr>
                <w:rFonts w:ascii="Times New Roman" w:eastAsia="Calibri" w:hAnsi="Times New Roman" w:cs="Arial"/>
                <w:noProof/>
                <w:sz w:val="18"/>
              </w:rPr>
              <w:t xml:space="preserve"> </w:t>
            </w:r>
            <w:r>
              <w:rPr>
                <w:rFonts w:ascii="Calibri" w:eastAsia="Calibri" w:hAnsi="Calibri" w:cs="Arial"/>
                <w:noProof/>
              </w:rPr>
              <w:br/>
              <w:t xml:space="preserve"> </w:t>
            </w:r>
            <w:r>
              <w:rPr>
                <w:rFonts w:ascii="Times New Roman" w:eastAsia="Calibri" w:hAnsi="Times New Roman" w:cs="Arial"/>
                <w:noProof/>
                <w:sz w:val="18"/>
              </w:rPr>
              <w:t>7. Construirea și modernizarea spațiilor de parcare securizate pentru vehiculele comerciale și furnizarea de servicii de informare [regulamentul delegat (UE) nr. 885/2013].</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8. Servicii de transport inteligente pentru sectorul rutier (STI) în cadrul concesiunilor de autostrăzi cu taxă și alte servicii de siguranță și conservare rutieră.</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9. Acțiuni de sprijinire a instalării infrastructurii de realimentare cu combustibili alternativi pentru vehiculele grele în rețeaua rutieră</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10. Acțiuni de sprijinire a renovării sau adaptării mijloacelor și mașinilor pentru a realiza un pavaj durabil: reducerea amprentei de carbon și reducerea sunetului</w:t>
            </w:r>
            <w:r w:rsidR="00971820">
              <w:rPr>
                <w:rFonts w:ascii="Times New Roman" w:eastAsia="Calibri" w:hAnsi="Times New Roman" w:cs="Arial"/>
                <w:noProof/>
                <w:sz w:val="18"/>
              </w:rPr>
              <w:t xml:space="preserve"> </w:t>
            </w:r>
            <w:r>
              <w:rPr>
                <w:rFonts w:ascii="Calibri" w:eastAsia="Calibri" w:hAnsi="Calibri" w:cs="Arial"/>
                <w:noProof/>
              </w:rPr>
              <w:br/>
              <w:t xml:space="preserve"> </w:t>
            </w:r>
            <w:r>
              <w:rPr>
                <w:rFonts w:ascii="Times New Roman" w:eastAsia="Calibri" w:hAnsi="Times New Roman" w:cs="Arial"/>
                <w:noProof/>
                <w:sz w:val="18"/>
              </w:rPr>
              <w:t>Linia de acțiune 5. Durabilitatea transportului maritim și aerian</w:t>
            </w:r>
            <w:r w:rsidR="00971820">
              <w:rPr>
                <w:rFonts w:ascii="Times New Roman" w:eastAsia="Calibri" w:hAnsi="Times New Roman" w:cs="Arial"/>
                <w:noProof/>
                <w:sz w:val="18"/>
              </w:rPr>
              <w:t xml:space="preserve"> </w:t>
            </w:r>
            <w:r>
              <w:rPr>
                <w:rFonts w:ascii="Calibri" w:eastAsia="Calibri" w:hAnsi="Calibri" w:cs="Arial"/>
                <w:noProof/>
              </w:rPr>
              <w:br/>
              <w:t xml:space="preserve"> </w:t>
            </w:r>
            <w:r>
              <w:rPr>
                <w:rFonts w:ascii="Times New Roman" w:eastAsia="Calibri" w:hAnsi="Times New Roman" w:cs="Arial"/>
                <w:noProof/>
                <w:sz w:val="18"/>
              </w:rPr>
              <w:t>11. Sprijin pentru introducerea combustibililor alternativi în porturi și aeroporturi.</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12. Sprijin pentru adoptarea tehnologiilor energetice alternative propulsive în sectorul maritim.</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Linia de acțiune 6. Digitalizarea transporturilor</w:t>
            </w:r>
            <w:r w:rsidR="00971820">
              <w:rPr>
                <w:rFonts w:ascii="Times New Roman" w:eastAsia="Calibri" w:hAnsi="Times New Roman" w:cs="Arial"/>
                <w:noProof/>
                <w:sz w:val="18"/>
              </w:rPr>
              <w:t xml:space="preserve"> </w:t>
            </w:r>
            <w:r>
              <w:rPr>
                <w:rFonts w:ascii="Calibri" w:eastAsia="Calibri" w:hAnsi="Calibri" w:cs="Arial"/>
                <w:noProof/>
              </w:rPr>
              <w:br/>
              <w:t xml:space="preserve"> </w:t>
            </w:r>
            <w:r>
              <w:rPr>
                <w:rFonts w:ascii="Times New Roman" w:eastAsia="Calibri" w:hAnsi="Times New Roman" w:cs="Arial"/>
                <w:noProof/>
                <w:sz w:val="18"/>
              </w:rPr>
              <w:t>13. Proiecte pentru digitalizarea serviciilor de transport de călători și de marfă la nivel național.</w:t>
            </w:r>
            <w:r w:rsidR="00971820">
              <w:rPr>
                <w:rFonts w:ascii="Calibri" w:eastAsia="Calibri" w:hAnsi="Calibri" w:cs="Arial"/>
                <w:noProof/>
              </w:rPr>
              <w:t xml:space="preserve"> </w:t>
            </w:r>
            <w:r>
              <w:rPr>
                <w:rFonts w:ascii="Calibri" w:eastAsia="Calibri" w:hAnsi="Calibri" w:cs="Arial"/>
                <w:noProof/>
              </w:rPr>
              <w:br/>
            </w:r>
          </w:p>
          <w:p w14:paraId="570FE15E" w14:textId="643CD547" w:rsidR="00D924EA" w:rsidRDefault="00011DE9">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Pentru acțiunile 9 și 11, criteriile de selecție respectă Orientările tehnice de „a nu prejudicia în mod semnificativ” (2021/C58/01), asigurându-se că infrastructura este activată în momentul construirii pentru transportul gazelor din surse regenerabile și cu emisii scăzute de dioxid de carbon.</w:t>
            </w:r>
            <w:r w:rsidR="00971820">
              <w:rPr>
                <w:rFonts w:ascii="Calibri" w:eastAsia="Calibri" w:hAnsi="Calibri" w:cs="Arial"/>
                <w:noProof/>
              </w:rPr>
              <w:t xml:space="preserve"> </w:t>
            </w:r>
          </w:p>
        </w:tc>
      </w:tr>
      <w:tr w:rsidR="00D924EA" w14:paraId="3C8102C3" w14:textId="77777777" w:rsidTr="0042520D">
        <w:trPr>
          <w:trHeight w:val="309"/>
          <w:jc w:val="center"/>
        </w:trPr>
        <w:tc>
          <w:tcPr>
            <w:tcW w:w="822" w:type="dxa"/>
            <w:shd w:val="clear" w:color="auto" w:fill="C6EFCE"/>
            <w:noWrap/>
          </w:tcPr>
          <w:p w14:paraId="2EBBA921" w14:textId="77777777" w:rsidR="00D924EA" w:rsidRDefault="00011DE9">
            <w:pPr>
              <w:pStyle w:val="P68B1DB1-Normal18"/>
              <w:spacing w:after="0" w:line="240" w:lineRule="auto"/>
              <w:jc w:val="center"/>
              <w:rPr>
                <w:rFonts w:cs="Times New Roman"/>
                <w:noProof/>
                <w:szCs w:val="18"/>
              </w:rPr>
            </w:pPr>
            <w:r>
              <w:rPr>
                <w:noProof/>
              </w:rPr>
              <w:t>101</w:t>
            </w:r>
          </w:p>
        </w:tc>
        <w:tc>
          <w:tcPr>
            <w:tcW w:w="818" w:type="dxa"/>
            <w:shd w:val="clear" w:color="auto" w:fill="C6EFCE"/>
            <w:noWrap/>
          </w:tcPr>
          <w:p w14:paraId="70541A45" w14:textId="77777777" w:rsidR="00D924EA" w:rsidRDefault="00011DE9">
            <w:pPr>
              <w:pStyle w:val="P68B1DB1-Normal18"/>
              <w:spacing w:after="0" w:line="240" w:lineRule="auto"/>
              <w:jc w:val="center"/>
              <w:rPr>
                <w:rFonts w:cs="Times New Roman"/>
                <w:noProof/>
                <w:szCs w:val="18"/>
              </w:rPr>
            </w:pPr>
            <w:r>
              <w:rPr>
                <w:noProof/>
              </w:rPr>
              <w:t>C6.I4</w:t>
            </w:r>
          </w:p>
        </w:tc>
        <w:tc>
          <w:tcPr>
            <w:tcW w:w="817" w:type="dxa"/>
            <w:shd w:val="clear" w:color="auto" w:fill="C6EFCE"/>
            <w:noWrap/>
          </w:tcPr>
          <w:p w14:paraId="6580CD9D" w14:textId="77777777" w:rsidR="00D924EA" w:rsidRDefault="00011DE9">
            <w:pPr>
              <w:pStyle w:val="P68B1DB1-Normal18"/>
              <w:spacing w:after="0" w:line="240" w:lineRule="auto"/>
              <w:jc w:val="center"/>
              <w:rPr>
                <w:rFonts w:cs="Times New Roman"/>
                <w:noProof/>
                <w:szCs w:val="18"/>
              </w:rPr>
            </w:pPr>
            <w:r>
              <w:rPr>
                <w:noProof/>
              </w:rPr>
              <w:t>M</w:t>
            </w:r>
          </w:p>
        </w:tc>
        <w:tc>
          <w:tcPr>
            <w:tcW w:w="1366" w:type="dxa"/>
            <w:shd w:val="clear" w:color="auto" w:fill="C6EFCE"/>
            <w:noWrap/>
          </w:tcPr>
          <w:p w14:paraId="195CE651" w14:textId="313F53DC" w:rsidR="00D924EA" w:rsidRDefault="00011DE9">
            <w:pPr>
              <w:pStyle w:val="P68B1DB1-Normal18"/>
              <w:spacing w:after="0" w:line="240" w:lineRule="auto"/>
              <w:rPr>
                <w:rFonts w:cs="Times New Roman"/>
                <w:noProof/>
                <w:szCs w:val="18"/>
              </w:rPr>
            </w:pPr>
            <w:r>
              <w:rPr>
                <w:noProof/>
              </w:rPr>
              <w:t xml:space="preserve">Acțiuni legate de </w:t>
            </w:r>
            <w:r>
              <w:rPr>
                <w:noProof/>
                <w:szCs w:val="18"/>
              </w:rPr>
              <w:t>transportul durabil și digital</w:t>
            </w:r>
          </w:p>
        </w:tc>
        <w:tc>
          <w:tcPr>
            <w:tcW w:w="992" w:type="dxa"/>
            <w:shd w:val="clear" w:color="auto" w:fill="C6EFCE"/>
            <w:noWrap/>
          </w:tcPr>
          <w:p w14:paraId="1BFC6295" w14:textId="6580E427" w:rsidR="00D924EA" w:rsidRDefault="00011DE9">
            <w:pPr>
              <w:pStyle w:val="P68B1DB1-Normal20"/>
              <w:spacing w:after="0" w:line="240" w:lineRule="auto"/>
              <w:jc w:val="center"/>
              <w:rPr>
                <w:rFonts w:cs="Times New Roman"/>
                <w:noProof/>
                <w:kern w:val="0"/>
                <w14:ligatures w14:val="none"/>
              </w:rPr>
            </w:pPr>
            <w:r>
              <w:rPr>
                <w:noProof/>
              </w:rPr>
              <w:t>Hotărâri de atribuire, verificarea de către administrație, certificate de acceptare, declarații de conformitate sau echivalente care atestă executarea contractelor, rapoarte de audit</w:t>
            </w:r>
          </w:p>
        </w:tc>
        <w:tc>
          <w:tcPr>
            <w:tcW w:w="992" w:type="dxa"/>
            <w:shd w:val="clear" w:color="auto" w:fill="C6EFCE"/>
            <w:noWrap/>
          </w:tcPr>
          <w:p w14:paraId="3C5EA799" w14:textId="77777777" w:rsidR="00D924EA" w:rsidRDefault="00011DE9">
            <w:pPr>
              <w:pStyle w:val="P68B1DB1-Normal18"/>
              <w:spacing w:after="0" w:line="240" w:lineRule="auto"/>
              <w:jc w:val="right"/>
              <w:rPr>
                <w:rFonts w:cs="Times New Roman"/>
                <w:noProof/>
                <w:szCs w:val="18"/>
              </w:rPr>
            </w:pPr>
            <w:r>
              <w:rPr>
                <w:noProof/>
              </w:rPr>
              <w:t xml:space="preserve"> </w:t>
            </w:r>
          </w:p>
        </w:tc>
        <w:tc>
          <w:tcPr>
            <w:tcW w:w="992" w:type="dxa"/>
            <w:shd w:val="clear" w:color="auto" w:fill="C6EFCE"/>
            <w:noWrap/>
          </w:tcPr>
          <w:p w14:paraId="16507EA3" w14:textId="77777777" w:rsidR="00D924EA" w:rsidRDefault="00011DE9">
            <w:pPr>
              <w:pStyle w:val="P68B1DB1-Normal18"/>
              <w:spacing w:after="0" w:line="240" w:lineRule="auto"/>
              <w:jc w:val="right"/>
              <w:rPr>
                <w:rFonts w:cs="Times New Roman"/>
                <w:noProof/>
                <w:szCs w:val="18"/>
              </w:rPr>
            </w:pPr>
            <w:r>
              <w:rPr>
                <w:noProof/>
              </w:rPr>
              <w:t xml:space="preserve"> </w:t>
            </w:r>
          </w:p>
        </w:tc>
        <w:tc>
          <w:tcPr>
            <w:tcW w:w="723" w:type="dxa"/>
            <w:shd w:val="clear" w:color="auto" w:fill="C6EFCE"/>
            <w:noWrap/>
          </w:tcPr>
          <w:p w14:paraId="2916F5D4" w14:textId="77777777" w:rsidR="00D924EA" w:rsidRDefault="00011DE9">
            <w:pPr>
              <w:pStyle w:val="P68B1DB1-Normal18"/>
              <w:spacing w:after="0" w:line="240" w:lineRule="auto"/>
              <w:jc w:val="right"/>
              <w:rPr>
                <w:rFonts w:cs="Times New Roman"/>
                <w:noProof/>
                <w:szCs w:val="18"/>
              </w:rPr>
            </w:pPr>
            <w:r>
              <w:rPr>
                <w:noProof/>
              </w:rPr>
              <w:t xml:space="preserve"> </w:t>
            </w:r>
          </w:p>
        </w:tc>
        <w:tc>
          <w:tcPr>
            <w:tcW w:w="410" w:type="dxa"/>
            <w:shd w:val="clear" w:color="auto" w:fill="C6EFCE"/>
            <w:noWrap/>
          </w:tcPr>
          <w:p w14:paraId="70E18BD9" w14:textId="56D799BB" w:rsidR="00D924EA" w:rsidRDefault="005701C9">
            <w:pPr>
              <w:pStyle w:val="P68B1DB1-Normal18"/>
              <w:spacing w:after="0" w:line="240" w:lineRule="auto"/>
              <w:jc w:val="center"/>
              <w:rPr>
                <w:rFonts w:cs="Times New Roman"/>
                <w:noProof/>
                <w:szCs w:val="18"/>
              </w:rPr>
            </w:pPr>
            <w:r>
              <w:rPr>
                <w:noProof/>
              </w:rPr>
              <w:t>T2</w:t>
            </w:r>
          </w:p>
        </w:tc>
        <w:tc>
          <w:tcPr>
            <w:tcW w:w="546" w:type="dxa"/>
            <w:shd w:val="clear" w:color="auto" w:fill="C6EFCE"/>
            <w:noWrap/>
          </w:tcPr>
          <w:p w14:paraId="17BEE8C3" w14:textId="77777777" w:rsidR="00D924EA" w:rsidRDefault="00011DE9">
            <w:pPr>
              <w:pStyle w:val="P68B1DB1-Normal18"/>
              <w:spacing w:after="0" w:line="240" w:lineRule="auto"/>
              <w:jc w:val="center"/>
              <w:rPr>
                <w:rFonts w:cs="Times New Roman"/>
                <w:noProof/>
                <w:szCs w:val="18"/>
              </w:rPr>
            </w:pPr>
            <w:r>
              <w:rPr>
                <w:noProof/>
              </w:rPr>
              <w:t>2026</w:t>
            </w:r>
          </w:p>
        </w:tc>
        <w:tc>
          <w:tcPr>
            <w:tcW w:w="5810" w:type="dxa"/>
            <w:shd w:val="clear" w:color="auto" w:fill="C6EFCE"/>
            <w:noWrap/>
          </w:tcPr>
          <w:p w14:paraId="11F44E18" w14:textId="77777777" w:rsidR="00D924EA" w:rsidRDefault="00011DE9">
            <w:pPr>
              <w:pStyle w:val="P68B1DB1-Normal47"/>
              <w:spacing w:line="240" w:lineRule="auto"/>
              <w:jc w:val="both"/>
              <w:rPr>
                <w:noProof/>
              </w:rPr>
            </w:pPr>
            <w:r>
              <w:rPr>
                <w:noProof/>
              </w:rPr>
              <w:t>În ceea ce privește litera (a) definită în jalonul 99, confirmarea de către administrație a acțiunilor desfășurate în valoare totală de 104.8 milioane EUR legate de atribuirea ECO-INCENTIVELOR acumulate în scopuri feroviare și maritime.</w:t>
            </w:r>
          </w:p>
          <w:p w14:paraId="6464AC9C" w14:textId="77777777" w:rsidR="00D924EA" w:rsidRDefault="00011DE9">
            <w:pPr>
              <w:pStyle w:val="P68B1DB1-Normal47"/>
              <w:spacing w:line="240" w:lineRule="auto"/>
              <w:jc w:val="both"/>
              <w:rPr>
                <w:noProof/>
              </w:rPr>
            </w:pPr>
            <w:r>
              <w:rPr>
                <w:noProof/>
              </w:rPr>
              <w:t>În ceea ce privește litera (b) definită în jalonul 99, verificarea de către administrație a justificării documentare a plăților aferente granturilor legate de digitalizarea serviciilor de transport de călători și de mărfuri la nivel regional și local, care acoperă o sumă totală de 8.4 milioane EUR.</w:t>
            </w:r>
          </w:p>
          <w:p w14:paraId="053EB7DD" w14:textId="1CBDA614" w:rsidR="00D924EA" w:rsidRDefault="00011DE9">
            <w:pPr>
              <w:pStyle w:val="P68B1DB1-Normal47"/>
              <w:spacing w:line="240" w:lineRule="auto"/>
              <w:jc w:val="both"/>
              <w:rPr>
                <w:noProof/>
              </w:rPr>
            </w:pPr>
            <w:r>
              <w:rPr>
                <w:noProof/>
              </w:rPr>
              <w:t>În ceea ce privește litera (c) definită în descrierea jalonului 99, confirmarea de către administrație a faptului că au fost executate 53 de contracte sau alte instrumente juridice, sau părți corespunzătoare ale acestora, legate de digitalizarea serviciilor de transport de călători și de mărfuri la nivel regional și local.</w:t>
            </w:r>
          </w:p>
          <w:p w14:paraId="52204EEF" w14:textId="5E219642" w:rsidR="00D924EA" w:rsidRDefault="00011DE9">
            <w:pPr>
              <w:pStyle w:val="P68B1DB1-Normal47"/>
              <w:spacing w:after="0" w:line="240" w:lineRule="auto"/>
              <w:rPr>
                <w:rFonts w:cs="Times New Roman"/>
                <w:noProof/>
              </w:rPr>
            </w:pPr>
            <w:r>
              <w:rPr>
                <w:noProof/>
              </w:rPr>
              <w:t>În ceea ce privește litera (d) definită în descrierea jalonului 99, furnizarea a 47 rapoarte de audit care confirmă că au fost efectuate acțiuni în cadrul uneia sau mai multora dintre liniile de acțiune menționate la jalonul 99.</w:t>
            </w:r>
          </w:p>
        </w:tc>
      </w:tr>
    </w:tbl>
    <w:p w14:paraId="5555AC24" w14:textId="77777777" w:rsidR="00D924EA" w:rsidRDefault="00D924EA">
      <w:pPr>
        <w:rPr>
          <w:noProof/>
        </w:rPr>
        <w:sectPr w:rsidR="00D924EA" w:rsidSect="00F063D1">
          <w:headerReference w:type="even" r:id="rId94"/>
          <w:headerReference w:type="default" r:id="rId95"/>
          <w:footerReference w:type="even" r:id="rId96"/>
          <w:footerReference w:type="default" r:id="rId97"/>
          <w:headerReference w:type="first" r:id="rId98"/>
          <w:footerReference w:type="first" r:id="rId99"/>
          <w:pgSz w:w="16839" w:h="11907" w:orient="landscape"/>
          <w:pgMar w:top="1134" w:right="1134" w:bottom="1134" w:left="1134" w:header="567" w:footer="567" w:gutter="0"/>
          <w:cols w:space="720"/>
          <w:docGrid w:linePitch="360"/>
        </w:sectPr>
      </w:pPr>
    </w:p>
    <w:p w14:paraId="50B7FDD3" w14:textId="779BBA62" w:rsidR="00D924EA" w:rsidRDefault="00011DE9">
      <w:pPr>
        <w:keepNext/>
        <w:spacing w:before="120" w:after="120" w:line="240" w:lineRule="auto"/>
        <w:ind w:firstLine="720"/>
        <w:jc w:val="both"/>
        <w:rPr>
          <w:rFonts w:ascii="Times New Roman" w:hAnsi="Times New Roman" w:cs="Times New Roman"/>
          <w:b/>
          <w:noProof/>
          <w:u w:val="single"/>
        </w:rPr>
      </w:pPr>
      <w:r>
        <w:rPr>
          <w:rFonts w:ascii="Times New Roman" w:hAnsi="Times New Roman"/>
          <w:b/>
          <w:noProof/>
          <w:u w:val="single"/>
        </w:rPr>
        <w:t>F.3.</w:t>
      </w:r>
      <w:r w:rsidR="00971820">
        <w:rPr>
          <w:rFonts w:ascii="Times New Roman" w:hAnsi="Times New Roman"/>
          <w:b/>
          <w:noProof/>
          <w:u w:val="single"/>
        </w:rPr>
        <w:t xml:space="preserve"> </w:t>
      </w:r>
      <w:r>
        <w:rPr>
          <w:rFonts w:ascii="Times New Roman" w:hAnsi="Times New Roman"/>
          <w:b/>
          <w:noProof/>
          <w:u w:val="single"/>
        </w:rPr>
        <w:t>Descrierea investițiilor pentru sprijinul sub formă de împrumut</w:t>
      </w:r>
    </w:p>
    <w:p w14:paraId="3D917340" w14:textId="77777777" w:rsidR="00D924EA" w:rsidRDefault="00011DE9">
      <w:pPr>
        <w:pStyle w:val="P68B1DB1-Normal30"/>
        <w:keepNext/>
        <w:spacing w:before="120" w:after="120" w:line="240" w:lineRule="auto"/>
        <w:jc w:val="both"/>
        <w:rPr>
          <w:rFonts w:cs="Times New Roman"/>
          <w:noProof/>
        </w:rPr>
      </w:pPr>
      <w:r>
        <w:rPr>
          <w:noProof/>
        </w:rPr>
        <w:t>Reforma 3 (C6.R3) – Strategia în materie de eficiență energetică pe rețeaua națională de autostrăzi</w:t>
      </w:r>
    </w:p>
    <w:p w14:paraId="0FFF31CC" w14:textId="77777777" w:rsidR="00D924EA" w:rsidRDefault="00011DE9">
      <w:pPr>
        <w:pStyle w:val="P68B1DB1-Normal29"/>
        <w:keepNext/>
        <w:spacing w:before="120" w:after="120" w:line="240" w:lineRule="auto"/>
        <w:jc w:val="both"/>
        <w:rPr>
          <w:rFonts w:cs="Times New Roman"/>
          <w:noProof/>
        </w:rPr>
      </w:pPr>
      <w:r>
        <w:rPr>
          <w:noProof/>
        </w:rPr>
        <w:t xml:space="preserve">Obiectivul acestei reforme este publicarea Strategiei pentru eficiență energetică în rețeaua rutieră națională și stabilirea unui set de măsuri menite să îmbunătățească eficiența energetică în rețeaua rutieră națională. </w:t>
      </w:r>
    </w:p>
    <w:p w14:paraId="4C2626E4" w14:textId="77777777" w:rsidR="00D924EA" w:rsidRDefault="00011DE9">
      <w:pPr>
        <w:pStyle w:val="P68B1DB1-Normal29"/>
        <w:keepNext/>
        <w:spacing w:before="120" w:after="120" w:line="240" w:lineRule="auto"/>
        <w:jc w:val="both"/>
        <w:rPr>
          <w:rFonts w:cs="Times New Roman"/>
          <w:noProof/>
        </w:rPr>
      </w:pPr>
      <w:r>
        <w:rPr>
          <w:noProof/>
        </w:rPr>
        <w:t>Această strategie acoperă cel puțin următoarele elemente:</w:t>
      </w:r>
    </w:p>
    <w:p w14:paraId="6EAED31D" w14:textId="77777777" w:rsidR="00D924EA" w:rsidRDefault="00011DE9">
      <w:pPr>
        <w:pStyle w:val="P68B1DB1-ListParagraph34"/>
        <w:keepNext/>
        <w:numPr>
          <w:ilvl w:val="0"/>
          <w:numId w:val="57"/>
        </w:numPr>
        <w:spacing w:before="120" w:after="120" w:line="240" w:lineRule="auto"/>
        <w:ind w:left="426"/>
        <w:jc w:val="both"/>
        <w:rPr>
          <w:rFonts w:cs="Times New Roman"/>
          <w:noProof/>
        </w:rPr>
      </w:pPr>
      <w:r>
        <w:rPr>
          <w:noProof/>
        </w:rPr>
        <w:t>o analiză a aprovizionării cu energie a rețelei rutiere naționale;</w:t>
      </w:r>
    </w:p>
    <w:p w14:paraId="43E5FB04" w14:textId="77777777" w:rsidR="00D924EA" w:rsidRDefault="00011DE9">
      <w:pPr>
        <w:pStyle w:val="P68B1DB1-ListParagraph34"/>
        <w:keepNext/>
        <w:numPr>
          <w:ilvl w:val="0"/>
          <w:numId w:val="57"/>
        </w:numPr>
        <w:spacing w:before="120" w:after="120" w:line="240" w:lineRule="auto"/>
        <w:ind w:left="426"/>
        <w:jc w:val="both"/>
        <w:rPr>
          <w:rFonts w:cs="Times New Roman"/>
          <w:noProof/>
        </w:rPr>
      </w:pPr>
      <w:r>
        <w:rPr>
          <w:noProof/>
        </w:rPr>
        <w:t>o analiză a situației actuale a rețelei naționale de drumuri în ceea ce privește iluminarea acesteia și justificarea posibilelor soluții;</w:t>
      </w:r>
    </w:p>
    <w:p w14:paraId="68DBAF7A" w14:textId="77777777" w:rsidR="00D924EA" w:rsidRDefault="00011DE9">
      <w:pPr>
        <w:pStyle w:val="P68B1DB1-ListParagraph34"/>
        <w:keepNext/>
        <w:numPr>
          <w:ilvl w:val="0"/>
          <w:numId w:val="57"/>
        </w:numPr>
        <w:spacing w:before="120" w:after="120" w:line="240" w:lineRule="auto"/>
        <w:ind w:left="426"/>
        <w:jc w:val="both"/>
        <w:rPr>
          <w:rFonts w:cs="Times New Roman"/>
          <w:noProof/>
        </w:rPr>
      </w:pPr>
      <w:r>
        <w:rPr>
          <w:noProof/>
        </w:rPr>
        <w:t>o listă a măsurilor sau acțiunilor care urmează să fie întreprinse în cadrul rețelei rutiere naționale; și</w:t>
      </w:r>
    </w:p>
    <w:p w14:paraId="4EE7D228" w14:textId="77777777" w:rsidR="00D924EA" w:rsidRDefault="00011DE9">
      <w:pPr>
        <w:pStyle w:val="P68B1DB1-ListParagraph34"/>
        <w:keepNext/>
        <w:numPr>
          <w:ilvl w:val="0"/>
          <w:numId w:val="57"/>
        </w:numPr>
        <w:spacing w:before="120" w:after="120" w:line="240" w:lineRule="auto"/>
        <w:ind w:left="426"/>
        <w:jc w:val="both"/>
        <w:rPr>
          <w:rFonts w:cs="Times New Roman"/>
          <w:noProof/>
        </w:rPr>
      </w:pPr>
      <w:r>
        <w:rPr>
          <w:noProof/>
        </w:rPr>
        <w:t>un plan de investiții și de finanțare pentru măsurile sau acțiunile necesare în sistemul de iluminare a rețelei rutiere, cu termene pentru punerea lor în aplicare.</w:t>
      </w:r>
    </w:p>
    <w:p w14:paraId="2E762585" w14:textId="77777777" w:rsidR="00D924EA" w:rsidRDefault="00011DE9">
      <w:pPr>
        <w:pStyle w:val="P68B1DB1-Normal29"/>
        <w:keepNext/>
        <w:spacing w:before="120" w:after="120" w:line="240" w:lineRule="auto"/>
        <w:jc w:val="both"/>
        <w:rPr>
          <w:rFonts w:cs="Times New Roman"/>
          <w:noProof/>
        </w:rPr>
      </w:pPr>
      <w:r>
        <w:rPr>
          <w:noProof/>
        </w:rPr>
        <w:t xml:space="preserve">Strategia va fi publicată în primul trimestru al anului 2024. </w:t>
      </w:r>
    </w:p>
    <w:p w14:paraId="5C2847F8" w14:textId="35362B54" w:rsidR="00D924EA" w:rsidRDefault="00011DE9">
      <w:pPr>
        <w:keepNext/>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F.4.</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punere în aplicare pentru sprijinul sub formă de împrumut</w:t>
      </w:r>
    </w:p>
    <w:p w14:paraId="105DECC2" w14:textId="77777777" w:rsidR="00D924EA" w:rsidRDefault="00011DE9">
      <w:pPr>
        <w:pStyle w:val="P68B1DB1-Normal36"/>
        <w:keepNext/>
        <w:spacing w:before="120" w:after="120" w:line="240" w:lineRule="auto"/>
        <w:jc w:val="both"/>
        <w:rPr>
          <w:rFonts w:cs="Times New Roman"/>
          <w:noProof/>
        </w:rPr>
        <w:sectPr w:rsidR="00D924EA" w:rsidSect="00B528FB">
          <w:headerReference w:type="default" r:id="rId100"/>
          <w:footerReference w:type="default" r:id="rId101"/>
          <w:pgSz w:w="11907" w:h="16839"/>
          <w:pgMar w:top="1134" w:right="1134" w:bottom="1134" w:left="1134" w:header="567" w:footer="567" w:gutter="0"/>
          <w:cols w:space="720"/>
          <w:docGrid w:linePitch="360"/>
        </w:sectPr>
      </w:pPr>
      <w:r>
        <w:rPr>
          <w:noProof/>
        </w:rPr>
        <w:t>A se vedea tabelul de mai jos. Data de referință pentru toți indicatorii este 1 februarie, cu excepția cazului în care se indică altfel în descrierea acțiunii. Sumele din tabel nu includ TVA.</w:t>
      </w:r>
    </w:p>
    <w:tbl>
      <w:tblPr>
        <w:tblW w:w="14288"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1"/>
        <w:gridCol w:w="827"/>
        <w:gridCol w:w="826"/>
        <w:gridCol w:w="1169"/>
        <w:gridCol w:w="1134"/>
        <w:gridCol w:w="851"/>
        <w:gridCol w:w="992"/>
        <w:gridCol w:w="811"/>
        <w:gridCol w:w="414"/>
        <w:gridCol w:w="552"/>
        <w:gridCol w:w="5881"/>
      </w:tblGrid>
      <w:tr w:rsidR="00D924EA" w14:paraId="30822FA7" w14:textId="77777777" w:rsidTr="0042520D">
        <w:trPr>
          <w:trHeight w:val="309"/>
          <w:tblHeader/>
        </w:trPr>
        <w:tc>
          <w:tcPr>
            <w:tcW w:w="831" w:type="dxa"/>
            <w:vMerge w:val="restart"/>
            <w:shd w:val="clear" w:color="auto" w:fill="B7D4EF"/>
            <w:noWrap/>
            <w:vAlign w:val="center"/>
          </w:tcPr>
          <w:p w14:paraId="7E508505" w14:textId="77777777" w:rsidR="00D924EA" w:rsidRDefault="00011DE9">
            <w:pPr>
              <w:pStyle w:val="P68B1DB1-Normal28"/>
              <w:spacing w:after="0" w:line="240" w:lineRule="auto"/>
              <w:jc w:val="center"/>
              <w:rPr>
                <w:rFonts w:cs="Times New Roman"/>
                <w:noProof/>
                <w:szCs w:val="18"/>
              </w:rPr>
            </w:pPr>
            <w:r>
              <w:rPr>
                <w:noProof/>
              </w:rPr>
              <w:t>Număr</w:t>
            </w:r>
          </w:p>
        </w:tc>
        <w:tc>
          <w:tcPr>
            <w:tcW w:w="827" w:type="dxa"/>
            <w:vMerge w:val="restart"/>
            <w:shd w:val="clear" w:color="auto" w:fill="B7D4EF"/>
            <w:noWrap/>
            <w:vAlign w:val="center"/>
          </w:tcPr>
          <w:p w14:paraId="720C1A02" w14:textId="77777777" w:rsidR="00D924EA" w:rsidRDefault="00011DE9">
            <w:pPr>
              <w:pStyle w:val="P68B1DB1-Normal28"/>
              <w:spacing w:after="0" w:line="240" w:lineRule="auto"/>
              <w:jc w:val="center"/>
              <w:rPr>
                <w:rFonts w:cs="Times New Roman"/>
                <w:noProof/>
                <w:szCs w:val="18"/>
              </w:rPr>
            </w:pPr>
            <w:r>
              <w:rPr>
                <w:noProof/>
              </w:rPr>
              <w:t>Măsură</w:t>
            </w:r>
          </w:p>
        </w:tc>
        <w:tc>
          <w:tcPr>
            <w:tcW w:w="826" w:type="dxa"/>
            <w:vMerge w:val="restart"/>
            <w:shd w:val="clear" w:color="auto" w:fill="B7D4EF"/>
            <w:noWrap/>
            <w:vAlign w:val="center"/>
          </w:tcPr>
          <w:p w14:paraId="554EAF0B" w14:textId="1389CFE2" w:rsidR="00D924EA" w:rsidRDefault="00011DE9">
            <w:pPr>
              <w:spacing w:after="0" w:line="240" w:lineRule="auto"/>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1169" w:type="dxa"/>
            <w:vMerge w:val="restart"/>
            <w:shd w:val="clear" w:color="auto" w:fill="B7D4EF"/>
            <w:noWrap/>
            <w:vAlign w:val="center"/>
          </w:tcPr>
          <w:p w14:paraId="469E1DA0" w14:textId="77777777" w:rsidR="00D924EA" w:rsidRDefault="00011DE9">
            <w:pPr>
              <w:pStyle w:val="P68B1DB1-Normal28"/>
              <w:spacing w:after="0" w:line="240" w:lineRule="auto"/>
              <w:jc w:val="center"/>
              <w:rPr>
                <w:rFonts w:cs="Times New Roman"/>
                <w:noProof/>
                <w:szCs w:val="18"/>
              </w:rPr>
            </w:pPr>
            <w:r>
              <w:rPr>
                <w:noProof/>
              </w:rPr>
              <w:t>Nume</w:t>
            </w:r>
          </w:p>
        </w:tc>
        <w:tc>
          <w:tcPr>
            <w:tcW w:w="1134" w:type="dxa"/>
            <w:vMerge w:val="restart"/>
            <w:shd w:val="clear" w:color="auto" w:fill="B7D4EF"/>
            <w:noWrap/>
            <w:vAlign w:val="center"/>
          </w:tcPr>
          <w:p w14:paraId="3AE35ACB" w14:textId="77777777" w:rsidR="00D924EA" w:rsidRDefault="00011DE9">
            <w:pPr>
              <w:pStyle w:val="P68B1DB1-Normal28"/>
              <w:spacing w:after="0" w:line="240" w:lineRule="auto"/>
              <w:jc w:val="center"/>
              <w:rPr>
                <w:rFonts w:cs="Times New Roman"/>
                <w:noProof/>
                <w:szCs w:val="18"/>
              </w:rPr>
            </w:pPr>
            <w:r>
              <w:rPr>
                <w:noProof/>
              </w:rPr>
              <w:t>Indicator calitativ pentru jaloane</w:t>
            </w:r>
          </w:p>
        </w:tc>
        <w:tc>
          <w:tcPr>
            <w:tcW w:w="2654" w:type="dxa"/>
            <w:gridSpan w:val="3"/>
            <w:shd w:val="clear" w:color="auto" w:fill="B7D4EF"/>
            <w:noWrap/>
            <w:vAlign w:val="center"/>
          </w:tcPr>
          <w:p w14:paraId="3F1EE527" w14:textId="77777777" w:rsidR="00D924EA" w:rsidRDefault="00011DE9">
            <w:pPr>
              <w:pStyle w:val="P68B1DB1-Normal28"/>
              <w:spacing w:after="0" w:line="240" w:lineRule="auto"/>
              <w:jc w:val="center"/>
              <w:rPr>
                <w:rFonts w:cs="Times New Roman"/>
                <w:noProof/>
                <w:szCs w:val="18"/>
              </w:rPr>
            </w:pPr>
            <w:r>
              <w:rPr>
                <w:noProof/>
              </w:rPr>
              <w:t>Indicator cantitativ pentru ținte</w:t>
            </w:r>
          </w:p>
        </w:tc>
        <w:tc>
          <w:tcPr>
            <w:tcW w:w="966" w:type="dxa"/>
            <w:gridSpan w:val="2"/>
            <w:shd w:val="clear" w:color="auto" w:fill="B7D4EF"/>
            <w:noWrap/>
            <w:vAlign w:val="center"/>
          </w:tcPr>
          <w:p w14:paraId="1F49E6FB" w14:textId="77777777" w:rsidR="00D924EA" w:rsidRDefault="00011DE9">
            <w:pPr>
              <w:pStyle w:val="P68B1DB1-Normal28"/>
              <w:spacing w:after="0" w:line="240" w:lineRule="auto"/>
              <w:jc w:val="center"/>
              <w:rPr>
                <w:rFonts w:cs="Times New Roman"/>
                <w:noProof/>
                <w:szCs w:val="18"/>
              </w:rPr>
            </w:pPr>
            <w:r>
              <w:rPr>
                <w:noProof/>
              </w:rPr>
              <w:t>Timp</w:t>
            </w:r>
          </w:p>
        </w:tc>
        <w:tc>
          <w:tcPr>
            <w:tcW w:w="5881" w:type="dxa"/>
            <w:vMerge w:val="restart"/>
            <w:shd w:val="clear" w:color="auto" w:fill="B7D4EF"/>
            <w:noWrap/>
            <w:vAlign w:val="center"/>
          </w:tcPr>
          <w:p w14:paraId="712EEE8B" w14:textId="77777777" w:rsidR="00D924EA" w:rsidRDefault="00011DE9">
            <w:pPr>
              <w:pStyle w:val="P68B1DB1-Normal28"/>
              <w:spacing w:after="0" w:line="240" w:lineRule="auto"/>
              <w:jc w:val="center"/>
              <w:rPr>
                <w:rFonts w:cs="Times New Roman"/>
                <w:noProof/>
                <w:szCs w:val="18"/>
              </w:rPr>
            </w:pPr>
            <w:r>
              <w:rPr>
                <w:noProof/>
              </w:rPr>
              <w:t>Descrierea fiecărui jalon și a fiecărei ținte</w:t>
            </w:r>
          </w:p>
        </w:tc>
      </w:tr>
      <w:tr w:rsidR="00D924EA" w14:paraId="33013BFA" w14:textId="77777777" w:rsidTr="0042520D">
        <w:trPr>
          <w:trHeight w:val="309"/>
          <w:tblHeader/>
        </w:trPr>
        <w:tc>
          <w:tcPr>
            <w:tcW w:w="831" w:type="dxa"/>
            <w:vMerge/>
            <w:noWrap/>
          </w:tcPr>
          <w:p w14:paraId="0D6AD58A" w14:textId="77777777" w:rsidR="00D924EA" w:rsidRDefault="00D924EA">
            <w:pPr>
              <w:spacing w:after="0" w:line="240" w:lineRule="auto"/>
              <w:jc w:val="center"/>
              <w:rPr>
                <w:rFonts w:ascii="Times New Roman" w:hAnsi="Times New Roman" w:cs="Times New Roman"/>
                <w:b/>
                <w:noProof/>
                <w:sz w:val="18"/>
                <w:szCs w:val="18"/>
              </w:rPr>
            </w:pPr>
          </w:p>
        </w:tc>
        <w:tc>
          <w:tcPr>
            <w:tcW w:w="827" w:type="dxa"/>
            <w:vMerge/>
            <w:noWrap/>
          </w:tcPr>
          <w:p w14:paraId="568EC7A1" w14:textId="77777777" w:rsidR="00D924EA" w:rsidRDefault="00D924EA">
            <w:pPr>
              <w:spacing w:after="0" w:line="240" w:lineRule="auto"/>
              <w:jc w:val="center"/>
              <w:rPr>
                <w:rFonts w:ascii="Times New Roman" w:hAnsi="Times New Roman" w:cs="Times New Roman"/>
                <w:b/>
                <w:noProof/>
                <w:sz w:val="18"/>
                <w:szCs w:val="18"/>
              </w:rPr>
            </w:pPr>
          </w:p>
        </w:tc>
        <w:tc>
          <w:tcPr>
            <w:tcW w:w="826" w:type="dxa"/>
            <w:vMerge/>
            <w:noWrap/>
          </w:tcPr>
          <w:p w14:paraId="3E8D43AE" w14:textId="77777777" w:rsidR="00D924EA" w:rsidRDefault="00D924EA">
            <w:pPr>
              <w:spacing w:after="0" w:line="240" w:lineRule="auto"/>
              <w:jc w:val="center"/>
              <w:rPr>
                <w:rFonts w:ascii="Times New Roman" w:hAnsi="Times New Roman" w:cs="Times New Roman"/>
                <w:b/>
                <w:noProof/>
                <w:sz w:val="18"/>
                <w:szCs w:val="18"/>
              </w:rPr>
            </w:pPr>
          </w:p>
        </w:tc>
        <w:tc>
          <w:tcPr>
            <w:tcW w:w="1169" w:type="dxa"/>
            <w:vMerge/>
            <w:noWrap/>
          </w:tcPr>
          <w:p w14:paraId="4C6A3C08" w14:textId="77777777" w:rsidR="00D924EA" w:rsidRDefault="00D924EA">
            <w:pPr>
              <w:spacing w:after="0" w:line="240" w:lineRule="auto"/>
              <w:rPr>
                <w:rFonts w:ascii="Times New Roman" w:hAnsi="Times New Roman" w:cs="Times New Roman"/>
                <w:b/>
                <w:noProof/>
                <w:sz w:val="18"/>
                <w:szCs w:val="18"/>
              </w:rPr>
            </w:pPr>
          </w:p>
        </w:tc>
        <w:tc>
          <w:tcPr>
            <w:tcW w:w="1134" w:type="dxa"/>
            <w:vMerge/>
            <w:noWrap/>
          </w:tcPr>
          <w:p w14:paraId="228DE63C" w14:textId="77777777" w:rsidR="00D924EA" w:rsidRDefault="00D924EA">
            <w:pPr>
              <w:spacing w:after="0" w:line="240" w:lineRule="auto"/>
              <w:jc w:val="center"/>
              <w:rPr>
                <w:rFonts w:ascii="Times New Roman" w:hAnsi="Times New Roman" w:cs="Times New Roman"/>
                <w:b/>
                <w:noProof/>
                <w:sz w:val="18"/>
                <w:szCs w:val="18"/>
              </w:rPr>
            </w:pPr>
          </w:p>
        </w:tc>
        <w:tc>
          <w:tcPr>
            <w:tcW w:w="851" w:type="dxa"/>
            <w:shd w:val="clear" w:color="auto" w:fill="B7D4EF"/>
            <w:noWrap/>
            <w:vAlign w:val="center"/>
          </w:tcPr>
          <w:p w14:paraId="38C651C8" w14:textId="77777777" w:rsidR="00D924EA" w:rsidRDefault="00011DE9">
            <w:pPr>
              <w:pStyle w:val="P68B1DB1-Normal28"/>
              <w:spacing w:after="0" w:line="240" w:lineRule="auto"/>
              <w:jc w:val="center"/>
              <w:rPr>
                <w:rFonts w:cs="Times New Roman"/>
                <w:noProof/>
                <w:szCs w:val="18"/>
              </w:rPr>
            </w:pPr>
            <w:r>
              <w:rPr>
                <w:noProof/>
              </w:rPr>
              <w:t>Unitate</w:t>
            </w:r>
          </w:p>
        </w:tc>
        <w:tc>
          <w:tcPr>
            <w:tcW w:w="992" w:type="dxa"/>
            <w:shd w:val="clear" w:color="auto" w:fill="B7D4EF"/>
            <w:noWrap/>
            <w:vAlign w:val="center"/>
          </w:tcPr>
          <w:p w14:paraId="2B3C3229" w14:textId="77777777" w:rsidR="00D924EA" w:rsidRDefault="00011DE9">
            <w:pPr>
              <w:pStyle w:val="P68B1DB1-Normal28"/>
              <w:spacing w:after="0" w:line="240" w:lineRule="auto"/>
              <w:jc w:val="center"/>
              <w:rPr>
                <w:rFonts w:cs="Times New Roman"/>
                <w:noProof/>
                <w:szCs w:val="18"/>
              </w:rPr>
            </w:pPr>
            <w:r>
              <w:rPr>
                <w:noProof/>
              </w:rPr>
              <w:t>Situația de referință</w:t>
            </w:r>
          </w:p>
        </w:tc>
        <w:tc>
          <w:tcPr>
            <w:tcW w:w="811" w:type="dxa"/>
            <w:shd w:val="clear" w:color="auto" w:fill="B7D4EF"/>
            <w:noWrap/>
            <w:vAlign w:val="center"/>
          </w:tcPr>
          <w:p w14:paraId="3F5D13D4" w14:textId="77777777" w:rsidR="00D924EA" w:rsidRDefault="00011DE9">
            <w:pPr>
              <w:pStyle w:val="P68B1DB1-Normal28"/>
              <w:spacing w:after="0" w:line="240" w:lineRule="auto"/>
              <w:jc w:val="center"/>
              <w:rPr>
                <w:rFonts w:cs="Times New Roman"/>
                <w:noProof/>
                <w:szCs w:val="18"/>
              </w:rPr>
            </w:pPr>
            <w:r>
              <w:rPr>
                <w:noProof/>
              </w:rPr>
              <w:t>Obiectiv</w:t>
            </w:r>
          </w:p>
        </w:tc>
        <w:tc>
          <w:tcPr>
            <w:tcW w:w="414" w:type="dxa"/>
            <w:shd w:val="clear" w:color="auto" w:fill="B7D4EF"/>
            <w:noWrap/>
            <w:vAlign w:val="center"/>
          </w:tcPr>
          <w:p w14:paraId="70CE8A0C" w14:textId="7D2D63BA" w:rsidR="00D924EA" w:rsidRDefault="0042520D">
            <w:pPr>
              <w:pStyle w:val="P68B1DB1-Normal28"/>
              <w:spacing w:after="0" w:line="240" w:lineRule="auto"/>
              <w:jc w:val="center"/>
              <w:rPr>
                <w:rFonts w:cs="Times New Roman"/>
                <w:noProof/>
                <w:szCs w:val="18"/>
              </w:rPr>
            </w:pPr>
            <w:r>
              <w:rPr>
                <w:noProof/>
              </w:rPr>
              <w:t>T</w:t>
            </w:r>
          </w:p>
        </w:tc>
        <w:tc>
          <w:tcPr>
            <w:tcW w:w="552" w:type="dxa"/>
            <w:shd w:val="clear" w:color="auto" w:fill="B7D4EF"/>
            <w:noWrap/>
            <w:vAlign w:val="center"/>
          </w:tcPr>
          <w:p w14:paraId="3E92ECFD" w14:textId="77777777" w:rsidR="00D924EA" w:rsidRDefault="00011DE9">
            <w:pPr>
              <w:pStyle w:val="P68B1DB1-Normal28"/>
              <w:spacing w:after="0" w:line="240" w:lineRule="auto"/>
              <w:jc w:val="center"/>
              <w:rPr>
                <w:rFonts w:cs="Times New Roman"/>
                <w:noProof/>
                <w:szCs w:val="18"/>
              </w:rPr>
            </w:pPr>
            <w:r>
              <w:rPr>
                <w:noProof/>
              </w:rPr>
              <w:t>Anul</w:t>
            </w:r>
          </w:p>
        </w:tc>
        <w:tc>
          <w:tcPr>
            <w:tcW w:w="5881" w:type="dxa"/>
            <w:vMerge/>
            <w:noWrap/>
          </w:tcPr>
          <w:p w14:paraId="259A7EDA" w14:textId="77777777" w:rsidR="00D924EA" w:rsidRDefault="00D924EA">
            <w:pPr>
              <w:spacing w:after="0" w:line="240" w:lineRule="auto"/>
              <w:rPr>
                <w:rFonts w:ascii="Times New Roman" w:hAnsi="Times New Roman" w:cs="Times New Roman"/>
                <w:b/>
                <w:noProof/>
                <w:sz w:val="18"/>
                <w:szCs w:val="18"/>
              </w:rPr>
            </w:pPr>
          </w:p>
        </w:tc>
      </w:tr>
      <w:tr w:rsidR="00D924EA" w14:paraId="5F721ACB" w14:textId="77777777" w:rsidTr="0042520D">
        <w:trPr>
          <w:trHeight w:val="309"/>
        </w:trPr>
        <w:tc>
          <w:tcPr>
            <w:tcW w:w="831" w:type="dxa"/>
            <w:shd w:val="clear" w:color="auto" w:fill="C6EFCE"/>
            <w:noWrap/>
          </w:tcPr>
          <w:p w14:paraId="5166A3EF" w14:textId="77777777" w:rsidR="00D924EA" w:rsidRDefault="00011DE9">
            <w:pPr>
              <w:pStyle w:val="P68B1DB1-Normal23"/>
              <w:spacing w:after="0" w:line="240" w:lineRule="auto"/>
              <w:jc w:val="center"/>
              <w:rPr>
                <w:rFonts w:eastAsia="Times New Roman" w:cs="Times New Roman"/>
                <w:noProof/>
                <w:szCs w:val="18"/>
              </w:rPr>
            </w:pPr>
            <w:r>
              <w:rPr>
                <w:noProof/>
              </w:rPr>
              <w:t>L15</w:t>
            </w:r>
          </w:p>
        </w:tc>
        <w:tc>
          <w:tcPr>
            <w:tcW w:w="827" w:type="dxa"/>
            <w:shd w:val="clear" w:color="auto" w:fill="C6EFCE"/>
            <w:noWrap/>
          </w:tcPr>
          <w:p w14:paraId="69ABF7EA" w14:textId="77777777" w:rsidR="00D924EA" w:rsidRDefault="00011DE9">
            <w:pPr>
              <w:pStyle w:val="P68B1DB1-Normal23"/>
              <w:spacing w:after="0" w:line="240" w:lineRule="auto"/>
              <w:jc w:val="center"/>
              <w:rPr>
                <w:rFonts w:cs="Times New Roman"/>
                <w:noProof/>
                <w:szCs w:val="18"/>
              </w:rPr>
            </w:pPr>
            <w:r>
              <w:rPr>
                <w:noProof/>
              </w:rPr>
              <w:t>C6.R3</w:t>
            </w:r>
          </w:p>
        </w:tc>
        <w:tc>
          <w:tcPr>
            <w:tcW w:w="826" w:type="dxa"/>
            <w:shd w:val="clear" w:color="auto" w:fill="C6EFCE"/>
            <w:noWrap/>
          </w:tcPr>
          <w:p w14:paraId="0552C206" w14:textId="77777777" w:rsidR="00D924EA" w:rsidRDefault="00011DE9">
            <w:pPr>
              <w:pStyle w:val="P68B1DB1-Normal23"/>
              <w:spacing w:after="0" w:line="240" w:lineRule="auto"/>
              <w:jc w:val="center"/>
              <w:rPr>
                <w:rFonts w:cs="Times New Roman"/>
                <w:noProof/>
                <w:szCs w:val="18"/>
              </w:rPr>
            </w:pPr>
            <w:r>
              <w:rPr>
                <w:noProof/>
              </w:rPr>
              <w:t>M</w:t>
            </w:r>
          </w:p>
        </w:tc>
        <w:tc>
          <w:tcPr>
            <w:tcW w:w="1169" w:type="dxa"/>
            <w:shd w:val="clear" w:color="auto" w:fill="C6EFCE"/>
            <w:noWrap/>
          </w:tcPr>
          <w:p w14:paraId="52EA16E0" w14:textId="77777777" w:rsidR="00D924EA" w:rsidRDefault="00011DE9">
            <w:pPr>
              <w:pStyle w:val="P68B1DB1-Normal23"/>
              <w:keepNext/>
              <w:spacing w:line="240" w:lineRule="auto"/>
              <w:jc w:val="both"/>
              <w:rPr>
                <w:rFonts w:cs="Times New Roman"/>
                <w:noProof/>
                <w:szCs w:val="18"/>
              </w:rPr>
            </w:pPr>
            <w:r>
              <w:rPr>
                <w:noProof/>
              </w:rPr>
              <w:t>Strategia privind eficiența energetică</w:t>
            </w:r>
          </w:p>
        </w:tc>
        <w:tc>
          <w:tcPr>
            <w:tcW w:w="1134" w:type="dxa"/>
            <w:shd w:val="clear" w:color="auto" w:fill="C6EFCE"/>
            <w:noWrap/>
          </w:tcPr>
          <w:p w14:paraId="797C8024" w14:textId="77777777" w:rsidR="00D924EA" w:rsidRDefault="00011DE9">
            <w:pPr>
              <w:pStyle w:val="P68B1DB1-Normal23"/>
              <w:spacing w:after="0" w:line="240" w:lineRule="auto"/>
              <w:jc w:val="center"/>
              <w:rPr>
                <w:rFonts w:cs="Times New Roman"/>
                <w:noProof/>
                <w:szCs w:val="18"/>
              </w:rPr>
            </w:pPr>
            <w:r>
              <w:rPr>
                <w:noProof/>
              </w:rPr>
              <w:t>Publicarea în Jurnalul Oficial</w:t>
            </w:r>
          </w:p>
        </w:tc>
        <w:tc>
          <w:tcPr>
            <w:tcW w:w="851" w:type="dxa"/>
            <w:shd w:val="clear" w:color="auto" w:fill="C6EFCE"/>
            <w:noWrap/>
          </w:tcPr>
          <w:p w14:paraId="384CCD14" w14:textId="77777777" w:rsidR="00D924EA" w:rsidRDefault="00D924EA">
            <w:pPr>
              <w:spacing w:after="0" w:line="240" w:lineRule="auto"/>
              <w:rPr>
                <w:rFonts w:ascii="Times New Roman" w:eastAsia="MS Mincho" w:hAnsi="Times New Roman" w:cs="Times New Roman"/>
                <w:noProof/>
                <w:sz w:val="18"/>
                <w:szCs w:val="18"/>
              </w:rPr>
            </w:pPr>
          </w:p>
        </w:tc>
        <w:tc>
          <w:tcPr>
            <w:tcW w:w="992" w:type="dxa"/>
            <w:shd w:val="clear" w:color="auto" w:fill="C6EFCE"/>
            <w:noWrap/>
          </w:tcPr>
          <w:p w14:paraId="75645699" w14:textId="77777777" w:rsidR="00D924EA" w:rsidRDefault="00D924EA">
            <w:pPr>
              <w:spacing w:after="0" w:line="240" w:lineRule="auto"/>
              <w:rPr>
                <w:rFonts w:ascii="Times New Roman" w:eastAsia="MS Mincho" w:hAnsi="Times New Roman" w:cs="Times New Roman"/>
                <w:noProof/>
                <w:sz w:val="18"/>
                <w:szCs w:val="18"/>
              </w:rPr>
            </w:pPr>
          </w:p>
        </w:tc>
        <w:tc>
          <w:tcPr>
            <w:tcW w:w="811" w:type="dxa"/>
            <w:shd w:val="clear" w:color="auto" w:fill="C6EFCE"/>
            <w:noWrap/>
          </w:tcPr>
          <w:p w14:paraId="255B1FB9" w14:textId="77777777" w:rsidR="00D924EA" w:rsidRDefault="00D924EA">
            <w:pPr>
              <w:spacing w:after="0" w:line="240" w:lineRule="auto"/>
              <w:rPr>
                <w:rFonts w:ascii="Times New Roman" w:eastAsia="MS Mincho" w:hAnsi="Times New Roman" w:cs="Times New Roman"/>
                <w:noProof/>
                <w:sz w:val="18"/>
                <w:szCs w:val="18"/>
              </w:rPr>
            </w:pPr>
          </w:p>
        </w:tc>
        <w:tc>
          <w:tcPr>
            <w:tcW w:w="414" w:type="dxa"/>
            <w:shd w:val="clear" w:color="auto" w:fill="C6EFCE"/>
            <w:noWrap/>
          </w:tcPr>
          <w:p w14:paraId="33DCC4AA" w14:textId="33894839" w:rsidR="00D924EA" w:rsidRDefault="0042520D">
            <w:pPr>
              <w:pStyle w:val="P68B1DB1-Normal23"/>
              <w:spacing w:after="0" w:line="240" w:lineRule="auto"/>
              <w:jc w:val="center"/>
              <w:rPr>
                <w:noProof/>
                <w:szCs w:val="18"/>
              </w:rPr>
            </w:pPr>
            <w:r>
              <w:rPr>
                <w:noProof/>
              </w:rPr>
              <w:t>T</w:t>
            </w:r>
            <w:r w:rsidR="00011DE9">
              <w:rPr>
                <w:noProof/>
              </w:rPr>
              <w:t>1</w:t>
            </w:r>
          </w:p>
        </w:tc>
        <w:tc>
          <w:tcPr>
            <w:tcW w:w="552" w:type="dxa"/>
            <w:shd w:val="clear" w:color="auto" w:fill="C6EFCE"/>
            <w:noWrap/>
          </w:tcPr>
          <w:p w14:paraId="37717A09" w14:textId="77777777" w:rsidR="00D924EA" w:rsidRDefault="00011DE9">
            <w:pPr>
              <w:pStyle w:val="P68B1DB1-Normal23"/>
              <w:spacing w:after="0" w:line="240" w:lineRule="auto"/>
              <w:jc w:val="center"/>
              <w:rPr>
                <w:noProof/>
                <w:szCs w:val="18"/>
              </w:rPr>
            </w:pPr>
            <w:r>
              <w:rPr>
                <w:noProof/>
              </w:rPr>
              <w:t>2024</w:t>
            </w:r>
          </w:p>
        </w:tc>
        <w:tc>
          <w:tcPr>
            <w:tcW w:w="5881" w:type="dxa"/>
            <w:shd w:val="clear" w:color="auto" w:fill="C6EFCE"/>
            <w:noWrap/>
          </w:tcPr>
          <w:p w14:paraId="176381AA" w14:textId="77777777" w:rsidR="00D924EA" w:rsidRDefault="00011DE9">
            <w:pPr>
              <w:pStyle w:val="P68B1DB1-Normal23"/>
              <w:spacing w:after="0" w:line="240" w:lineRule="auto"/>
              <w:rPr>
                <w:rFonts w:cs="Times New Roman"/>
                <w:noProof/>
                <w:szCs w:val="18"/>
              </w:rPr>
            </w:pPr>
            <w:r>
              <w:rPr>
                <w:noProof/>
              </w:rPr>
              <w:t>Publicarea în Monitorul Oficial a aprobării Strategiei de Eficiență Energetică pentru Rețeaua Rutieră Națională care să cuprindă elementele conforme cu descrierea măsurii.</w:t>
            </w:r>
          </w:p>
        </w:tc>
      </w:tr>
    </w:tbl>
    <w:p w14:paraId="3A1DF1EC" w14:textId="77777777" w:rsidR="00D924EA" w:rsidRDefault="00D924EA">
      <w:pPr>
        <w:rPr>
          <w:rFonts w:ascii="Times New Roman" w:hAnsi="Times New Roman" w:cs="Times New Roman"/>
          <w:noProof/>
        </w:rPr>
        <w:sectPr w:rsidR="00D924EA" w:rsidSect="00193E2D">
          <w:headerReference w:type="even" r:id="rId102"/>
          <w:headerReference w:type="default" r:id="rId103"/>
          <w:footerReference w:type="even" r:id="rId104"/>
          <w:footerReference w:type="default" r:id="rId105"/>
          <w:headerReference w:type="first" r:id="rId106"/>
          <w:footerReference w:type="first" r:id="rId107"/>
          <w:pgSz w:w="16839" w:h="11907" w:orient="landscape"/>
          <w:pgMar w:top="1134" w:right="1134" w:bottom="1134" w:left="1134" w:header="567" w:footer="567" w:gutter="0"/>
          <w:cols w:space="720"/>
          <w:docGrid w:linePitch="360"/>
        </w:sectPr>
      </w:pPr>
    </w:p>
    <w:p w14:paraId="6026F5A5" w14:textId="77777777" w:rsidR="00D924EA" w:rsidRDefault="00011DE9">
      <w:pPr>
        <w:pStyle w:val="Heading1"/>
        <w:rPr>
          <w:rFonts w:cs="Times New Roman"/>
          <w:noProof/>
        </w:rPr>
      </w:pPr>
      <w:r>
        <w:rPr>
          <w:noProof/>
        </w:rPr>
        <w:t>G. COMPONENTA 07: Implementarea și integrarea surselor regenerabile de energie</w:t>
      </w:r>
    </w:p>
    <w:p w14:paraId="51AA9AB3" w14:textId="77777777" w:rsidR="00D924EA" w:rsidRDefault="00011DE9">
      <w:pPr>
        <w:pStyle w:val="P68B1DB1-Normal29"/>
        <w:spacing w:before="120" w:after="120" w:line="240" w:lineRule="auto"/>
        <w:jc w:val="both"/>
        <w:rPr>
          <w:rFonts w:cs="Times New Roman"/>
          <w:noProof/>
        </w:rPr>
      </w:pPr>
      <w:r>
        <w:rPr>
          <w:noProof/>
        </w:rPr>
        <w:t xml:space="preserve">Planul național privind energia și clima (PNEC) al Spaniei pentru perioada 2021-2030 preconizează o creștere semnificativă a pătrunderii energiei din surse regenerabile în Spania, ajungând la 74 % în sectorul energiei electrice și la 42 % în utilizarea finală în 2030. În acest context, obiectivul acestei componente a planului spaniol de redresare și reziliență este de a spori utilizarea energiei din surse regenerabile prin intermediul următoarelor elemente: </w:t>
      </w:r>
    </w:p>
    <w:p w14:paraId="18FDA41D" w14:textId="77777777" w:rsidR="00D924EA" w:rsidRDefault="00011DE9">
      <w:pPr>
        <w:pStyle w:val="P68B1DB1-Normal29"/>
        <w:numPr>
          <w:ilvl w:val="0"/>
          <w:numId w:val="59"/>
        </w:numPr>
        <w:spacing w:before="120" w:after="120" w:line="240" w:lineRule="auto"/>
        <w:jc w:val="both"/>
        <w:rPr>
          <w:rFonts w:cs="Times New Roman"/>
          <w:noProof/>
        </w:rPr>
      </w:pPr>
      <w:r>
        <w:rPr>
          <w:noProof/>
        </w:rPr>
        <w:t xml:space="preserve">dezvoltarea unui cadru de reglementare clar și previzibil care să promoveze investițiile în sursele regenerabile de energie; </w:t>
      </w:r>
    </w:p>
    <w:p w14:paraId="558DB344" w14:textId="77777777" w:rsidR="00D924EA" w:rsidRDefault="00011DE9">
      <w:pPr>
        <w:pStyle w:val="P68B1DB1-Normal29"/>
        <w:numPr>
          <w:ilvl w:val="0"/>
          <w:numId w:val="59"/>
        </w:numPr>
        <w:spacing w:before="120" w:after="120" w:line="240" w:lineRule="auto"/>
        <w:jc w:val="both"/>
        <w:rPr>
          <w:rFonts w:cs="Times New Roman"/>
          <w:noProof/>
        </w:rPr>
      </w:pPr>
      <w:r>
        <w:rPr>
          <w:noProof/>
        </w:rPr>
        <w:t xml:space="preserve">crearea și consolidarea lanțului valoric industrial în domeniul surselor regenerabile de energie; </w:t>
      </w:r>
    </w:p>
    <w:p w14:paraId="38232387" w14:textId="77777777" w:rsidR="00D924EA" w:rsidRDefault="00011DE9">
      <w:pPr>
        <w:pStyle w:val="P68B1DB1-Normal29"/>
        <w:numPr>
          <w:ilvl w:val="0"/>
          <w:numId w:val="59"/>
        </w:numPr>
        <w:spacing w:before="120" w:after="120" w:line="240" w:lineRule="auto"/>
        <w:jc w:val="both"/>
        <w:rPr>
          <w:rFonts w:cs="Times New Roman"/>
          <w:noProof/>
        </w:rPr>
      </w:pPr>
      <w:r>
        <w:rPr>
          <w:noProof/>
        </w:rPr>
        <w:t xml:space="preserve">sprijinirea surselor inovatoare de tehnologii de producere a energiei din surse regenerabile, inclusiv integrarea acestora în utilizările finale; și </w:t>
      </w:r>
    </w:p>
    <w:p w14:paraId="3716B421" w14:textId="77777777" w:rsidR="00D924EA" w:rsidRDefault="00011DE9">
      <w:pPr>
        <w:pStyle w:val="P68B1DB1-Normal29"/>
        <w:numPr>
          <w:ilvl w:val="0"/>
          <w:numId w:val="59"/>
        </w:numPr>
        <w:spacing w:before="120" w:after="120" w:line="240" w:lineRule="auto"/>
        <w:jc w:val="both"/>
        <w:rPr>
          <w:rFonts w:cs="Times New Roman"/>
          <w:noProof/>
        </w:rPr>
      </w:pPr>
      <w:r>
        <w:rPr>
          <w:noProof/>
        </w:rPr>
        <w:t xml:space="preserve">dezvoltarea competențelor verzi. </w:t>
      </w:r>
    </w:p>
    <w:p w14:paraId="7D0937C4" w14:textId="77777777" w:rsidR="00D924EA" w:rsidRDefault="00011DE9">
      <w:pPr>
        <w:pStyle w:val="P68B1DB1-Normal29"/>
        <w:spacing w:before="120" w:after="120" w:line="240" w:lineRule="auto"/>
        <w:jc w:val="both"/>
        <w:rPr>
          <w:rFonts w:cs="Times New Roman"/>
          <w:noProof/>
        </w:rPr>
      </w:pPr>
      <w:r>
        <w:rPr>
          <w:noProof/>
        </w:rPr>
        <w:t>În plus, componenta urmărește în mod specific să promoveze utilizarea energiei din surse regenerabile pe insulele spaniole, precum și participarea cetățenilor prin intermediul comunităților de energie din surse regenerabile.</w:t>
      </w:r>
    </w:p>
    <w:p w14:paraId="65AD5BFA" w14:textId="77777777" w:rsidR="00D924EA" w:rsidRDefault="00011DE9">
      <w:pPr>
        <w:pStyle w:val="P68B1DB1-Normal29"/>
        <w:spacing w:before="120" w:after="120" w:line="240" w:lineRule="auto"/>
        <w:jc w:val="both"/>
        <w:rPr>
          <w:rFonts w:cs="Times New Roman"/>
          <w:noProof/>
        </w:rPr>
      </w:pPr>
      <w:r>
        <w:rPr>
          <w:noProof/>
        </w:rPr>
        <w:t>Componenta este legată de promovarea investițiilor în inovare și în eficiența energetică (Recomandarea specifică fiecărei țări 3 2019). De asemenea, promovează investițiile publice și private și promovează tranziția verde (Recomandarea specifică fiecărei țări 3 2020).</w:t>
      </w:r>
    </w:p>
    <w:p w14:paraId="46AE76BD" w14:textId="6935C379" w:rsidR="00D924EA" w:rsidRDefault="00011DE9">
      <w:pPr>
        <w:pStyle w:val="P68B1DB1-Normal29"/>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r w:rsidR="00971820">
        <w:rPr>
          <w:noProof/>
        </w:rPr>
        <w:t xml:space="preserve"> </w:t>
      </w:r>
    </w:p>
    <w:p w14:paraId="2E0E003C" w14:textId="59A1D959" w:rsidR="00D924EA" w:rsidRDefault="00011DE9">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G.1.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6A2BD3E3" w14:textId="77777777" w:rsidR="00D924EA" w:rsidRDefault="00011DE9">
      <w:pPr>
        <w:pStyle w:val="P68B1DB1-Normal30"/>
        <w:spacing w:before="120" w:after="120" w:line="240" w:lineRule="auto"/>
        <w:jc w:val="both"/>
        <w:rPr>
          <w:rFonts w:cs="Times New Roman"/>
          <w:noProof/>
        </w:rPr>
      </w:pPr>
      <w:r>
        <w:rPr>
          <w:noProof/>
        </w:rPr>
        <w:t>Reforma 1 (C7.R1) – Cadru de reglementare pentru promovarea producției de energie din surse regenerabile</w:t>
      </w:r>
    </w:p>
    <w:p w14:paraId="2E6CA05B" w14:textId="77777777" w:rsidR="00D924EA" w:rsidRDefault="00011DE9">
      <w:pPr>
        <w:pStyle w:val="P68B1DB1-Normal29"/>
        <w:spacing w:before="120" w:after="120" w:line="240" w:lineRule="auto"/>
        <w:jc w:val="both"/>
        <w:rPr>
          <w:rFonts w:cs="Times New Roman"/>
          <w:noProof/>
        </w:rPr>
      </w:pPr>
      <w:r>
        <w:rPr>
          <w:noProof/>
        </w:rPr>
        <w:t xml:space="preserve">Obiectivul acestei măsuri este de a consolida cadrul de reglementare pentru promovarea producției de energie din surse regenerabile, pentru a spori certitudinea și a încuraja investițiile private în energia din surse regenerabile, pentru a elimina barierele din calea utilizării surselor regenerabile de energie și pentru a îmbunătăți integrarea acestora în mediu, în sistemul electric și în diferite sectoare. </w:t>
      </w:r>
    </w:p>
    <w:p w14:paraId="18508453" w14:textId="77777777" w:rsidR="00D924EA" w:rsidRDefault="00011DE9">
      <w:pPr>
        <w:pStyle w:val="P68B1DB1-Normal29"/>
        <w:spacing w:before="120" w:after="120" w:line="240" w:lineRule="auto"/>
        <w:jc w:val="both"/>
        <w:rPr>
          <w:rFonts w:cs="Times New Roman"/>
          <w:noProof/>
        </w:rPr>
      </w:pPr>
      <w:r>
        <w:rPr>
          <w:noProof/>
        </w:rPr>
        <w:t xml:space="preserve">Măsura include o serie de măsuri legislative și de reglementare, inclusiv: </w:t>
      </w:r>
    </w:p>
    <w:p w14:paraId="63F11FA5" w14:textId="77777777" w:rsidR="00D924EA" w:rsidRDefault="00011DE9">
      <w:pPr>
        <w:pStyle w:val="P68B1DB1-ListParagraph34"/>
        <w:numPr>
          <w:ilvl w:val="0"/>
          <w:numId w:val="60"/>
        </w:numPr>
        <w:spacing w:before="120" w:after="120" w:line="240" w:lineRule="auto"/>
        <w:jc w:val="both"/>
        <w:rPr>
          <w:rFonts w:cs="Times New Roman"/>
          <w:noProof/>
        </w:rPr>
      </w:pPr>
      <w:r>
        <w:rPr>
          <w:noProof/>
        </w:rPr>
        <w:t xml:space="preserve">adoptarea Decretului-lege regal nr. 23/2020 în iunie 2020, care instituie un nou sistem de licitație pentru producția de energie din surse regenerabile și îmbunătățește mecanismul de acces al producției de energie din surse regenerabile la rețeaua de energie electrică; </w:t>
      </w:r>
    </w:p>
    <w:p w14:paraId="3457DF53" w14:textId="77777777" w:rsidR="00D924EA" w:rsidRDefault="00011DE9">
      <w:pPr>
        <w:pStyle w:val="P68B1DB1-Normal29"/>
        <w:numPr>
          <w:ilvl w:val="0"/>
          <w:numId w:val="60"/>
        </w:numPr>
        <w:spacing w:before="120" w:after="120" w:line="240" w:lineRule="auto"/>
        <w:jc w:val="both"/>
        <w:rPr>
          <w:rFonts w:cs="Times New Roman"/>
          <w:noProof/>
        </w:rPr>
      </w:pPr>
      <w:r>
        <w:rPr>
          <w:noProof/>
        </w:rPr>
        <w:t xml:space="preserve">adoptarea Decretului regal 960/2020 în noiembrie 2020, care sporește previzibilitatea veniturilor care urmează să fie obținute prin producerea de energie din surse regenerabile în cadrul noilor licitații; </w:t>
      </w:r>
    </w:p>
    <w:p w14:paraId="2A1F3996" w14:textId="77777777" w:rsidR="00D924EA" w:rsidRDefault="00011DE9">
      <w:pPr>
        <w:pStyle w:val="P68B1DB1-Normal29"/>
        <w:numPr>
          <w:ilvl w:val="0"/>
          <w:numId w:val="60"/>
        </w:numPr>
        <w:spacing w:before="120" w:after="120" w:line="240" w:lineRule="auto"/>
        <w:jc w:val="both"/>
        <w:rPr>
          <w:rFonts w:cs="Times New Roman"/>
          <w:noProof/>
        </w:rPr>
      </w:pPr>
      <w:r>
        <w:rPr>
          <w:noProof/>
        </w:rPr>
        <w:t>Decretul regal nr. 1183/2020 din decembrie 2020, care reglementează condițiile de acces și de racordare pentru producția de energie din surse regenerabile, în conformitate cu dispozițiile Decretului-lege regal nr. 23/2020; și</w:t>
      </w:r>
    </w:p>
    <w:p w14:paraId="0AF0FF72" w14:textId="77777777" w:rsidR="00D924EA" w:rsidRDefault="00011DE9">
      <w:pPr>
        <w:pStyle w:val="P68B1DB1-Normal29"/>
        <w:numPr>
          <w:ilvl w:val="0"/>
          <w:numId w:val="60"/>
        </w:numPr>
        <w:spacing w:before="120" w:after="120" w:line="240" w:lineRule="auto"/>
        <w:jc w:val="both"/>
        <w:rPr>
          <w:rFonts w:cs="Times New Roman"/>
          <w:noProof/>
        </w:rPr>
      </w:pPr>
      <w:r>
        <w:rPr>
          <w:noProof/>
        </w:rPr>
        <w:t>Legea privind schimbările climatice și tranziția energetică, prevăzută a fi adoptată în prima jumătate a anului 2021, care va stabili prin lege obiectivele privind energia din surse regenerabile pentru 2030 și obiectivul neutralității climatice până în 2050 (inclusiv un sistem de energie electrică din surse regenerabile în proporție de 100 %). Această lege include, de asemenea, elemente care sunt relevante pentru alte componente ale planului (cum ar fi reducerea barierelor administrative și cerințele pentru instalarea de puncte de reîncărcare publice).</w:t>
      </w:r>
    </w:p>
    <w:p w14:paraId="5A84649F" w14:textId="77777777" w:rsidR="00D924EA" w:rsidRDefault="00011DE9">
      <w:pPr>
        <w:pStyle w:val="P68B1DB1-Normal29"/>
        <w:spacing w:before="120" w:after="120" w:line="240" w:lineRule="auto"/>
        <w:jc w:val="both"/>
        <w:rPr>
          <w:rFonts w:cs="Times New Roman"/>
          <w:noProof/>
        </w:rPr>
      </w:pPr>
      <w:r>
        <w:rPr>
          <w:noProof/>
        </w:rPr>
        <w:t xml:space="preserve">Punerea în aplicare a măsurii se finalizează până la 30 iunie 2023. </w:t>
      </w:r>
    </w:p>
    <w:p w14:paraId="2415080C" w14:textId="77777777" w:rsidR="00D924EA" w:rsidRDefault="00011DE9">
      <w:pPr>
        <w:pStyle w:val="P68B1DB1-Normal30"/>
        <w:spacing w:before="120" w:after="120" w:line="240" w:lineRule="auto"/>
        <w:jc w:val="both"/>
        <w:rPr>
          <w:rFonts w:cs="Times New Roman"/>
          <w:noProof/>
        </w:rPr>
      </w:pPr>
      <w:r>
        <w:rPr>
          <w:noProof/>
        </w:rPr>
        <w:t>Reforma 2 (C7.R2) – Strategia națională privind autoconsumul</w:t>
      </w:r>
    </w:p>
    <w:p w14:paraId="55E2777E" w14:textId="77777777" w:rsidR="00D924EA" w:rsidRDefault="00011DE9">
      <w:pPr>
        <w:pStyle w:val="P68B1DB1-Normal29"/>
        <w:spacing w:before="120" w:after="120" w:line="240" w:lineRule="auto"/>
        <w:jc w:val="both"/>
        <w:rPr>
          <w:rFonts w:cs="Times New Roman"/>
          <w:noProof/>
        </w:rPr>
      </w:pPr>
      <w:r>
        <w:rPr>
          <w:noProof/>
        </w:rPr>
        <w:t xml:space="preserve">Obiectivul acestei măsuri este de a stimula autoconsumul ca formă alternativă de producție de energie din surse regenerabile, de a stabili obiective în acest domeniu pentru perioada 2021-2030 și de a identifica și elabora măsuri de atenuare a principalelor obstacole din calea implementării lor. Autoconsumul contribuie la integrarea producției de energie din surse regenerabile în clădiri și în mediile urbane și stimulează ocuparea forței de muncă la nivel local. </w:t>
      </w:r>
    </w:p>
    <w:p w14:paraId="6C0F1362" w14:textId="77777777" w:rsidR="00D924EA" w:rsidRDefault="00011DE9">
      <w:pPr>
        <w:pStyle w:val="P68B1DB1-Normal29"/>
        <w:spacing w:before="120" w:after="120" w:line="240" w:lineRule="auto"/>
        <w:jc w:val="both"/>
        <w:rPr>
          <w:rFonts w:cs="Times New Roman"/>
          <w:noProof/>
        </w:rPr>
      </w:pPr>
      <w:r>
        <w:rPr>
          <w:noProof/>
        </w:rPr>
        <w:t xml:space="preserve">Măsura include adoptarea de către guvernul spaniol a unei strategii naționale privind autoconsumul în a doua jumătate a anului 2021, pentru a reduce barierele administrative din calea autoconsumului. Strategia va diagnostica situația actuală și potențială din Spania și va identifica măsuri care vizează: (a) o mai bună coordonare între administrații; (b) diseminarea informațiilor către consumatori și sensibilizarea; (c) identificarea competențelor relevante existente, precum și a oportunităților de formare suplimentară legate de introducerea autoconsumului. </w:t>
      </w:r>
    </w:p>
    <w:p w14:paraId="1967850C" w14:textId="77777777" w:rsidR="00D924EA" w:rsidRDefault="00011DE9">
      <w:pPr>
        <w:pStyle w:val="P68B1DB1-Normal29"/>
        <w:spacing w:before="120" w:after="120" w:line="240" w:lineRule="auto"/>
        <w:jc w:val="both"/>
        <w:rPr>
          <w:rFonts w:cs="Times New Roman"/>
          <w:noProof/>
        </w:rPr>
      </w:pPr>
      <w:r>
        <w:rPr>
          <w:noProof/>
        </w:rPr>
        <w:t xml:space="preserve">Măsura abordează punerea în aplicare a elementelor-cheie ale strategiei naționale de autoconsum, inclusiv publicarea de orientări privind modul de promovare a autoconsumului și finalizarea cursurilor de formare menite să îmbunătățească competențele necesare. </w:t>
      </w:r>
    </w:p>
    <w:p w14:paraId="3367ED4F" w14:textId="73EAB2A5" w:rsidR="00D924EA" w:rsidRDefault="00011DE9">
      <w:pPr>
        <w:pStyle w:val="P68B1DB1-Normal29"/>
        <w:spacing w:before="120" w:after="120" w:line="240" w:lineRule="auto"/>
        <w:jc w:val="both"/>
        <w:rPr>
          <w:rFonts w:cs="Times New Roman"/>
          <w:noProof/>
        </w:rPr>
      </w:pPr>
      <w:r>
        <w:rPr>
          <w:noProof/>
        </w:rPr>
        <w:t xml:space="preserve">Punerea în aplicare a măsurii se finalizează până la 30 iunie 2023. </w:t>
      </w:r>
    </w:p>
    <w:p w14:paraId="3507C245" w14:textId="77777777" w:rsidR="00D924EA" w:rsidRDefault="00011DE9">
      <w:pPr>
        <w:pStyle w:val="P68B1DB1-Normal30"/>
        <w:spacing w:before="120" w:after="120" w:line="240" w:lineRule="auto"/>
        <w:jc w:val="both"/>
        <w:rPr>
          <w:rFonts w:cs="Times New Roman"/>
          <w:noProof/>
        </w:rPr>
      </w:pPr>
      <w:r>
        <w:rPr>
          <w:noProof/>
        </w:rPr>
        <w:t>Reforma 3 (C7.R3) – Dezvoltarea comunităților energetice</w:t>
      </w:r>
    </w:p>
    <w:p w14:paraId="05B4B15A" w14:textId="054EA330" w:rsidR="00D924EA" w:rsidRDefault="00011DE9">
      <w:pPr>
        <w:pStyle w:val="P68B1DB1-Normal29"/>
        <w:spacing w:before="120" w:after="120" w:line="240" w:lineRule="auto"/>
        <w:jc w:val="both"/>
        <w:rPr>
          <w:rFonts w:cs="Times New Roman"/>
          <w:noProof/>
        </w:rPr>
      </w:pPr>
      <w:r>
        <w:rPr>
          <w:noProof/>
        </w:rPr>
        <w:t xml:space="preserve">Această măsură are obiectivul de a dezvolta comunități energetice pentru a stimula participarea cetățenilor la tranziția energetică, prin intermediul comunităților de energie din surse regenerabile și al comunităților de energie ale cetățenilor. Această măsură constă în sprijinirea proiectelor-pilot legate de energie sau a birourilor pentru comunitățile energetice. </w:t>
      </w:r>
    </w:p>
    <w:p w14:paraId="7114C391" w14:textId="77777777" w:rsidR="00D924EA" w:rsidRDefault="00011DE9">
      <w:pPr>
        <w:pStyle w:val="P68B1DB1-Normal30"/>
        <w:spacing w:before="120" w:after="120" w:line="240" w:lineRule="auto"/>
        <w:jc w:val="both"/>
        <w:rPr>
          <w:rFonts w:cs="Times New Roman"/>
          <w:noProof/>
        </w:rPr>
      </w:pPr>
      <w:r>
        <w:rPr>
          <w:noProof/>
        </w:rPr>
        <w:t>Reforma 4 (C7.R4) – Cadru pentru inovare și dezvoltare tehnologică în domeniul energiei din surse regenerabile</w:t>
      </w:r>
    </w:p>
    <w:p w14:paraId="449F95B3" w14:textId="77777777" w:rsidR="00D924EA" w:rsidRDefault="00011DE9">
      <w:pPr>
        <w:pStyle w:val="P68B1DB1-Normal29"/>
        <w:spacing w:before="120" w:after="120" w:line="240" w:lineRule="auto"/>
        <w:jc w:val="both"/>
        <w:rPr>
          <w:rFonts w:cs="Times New Roman"/>
          <w:noProof/>
        </w:rPr>
      </w:pPr>
      <w:r>
        <w:rPr>
          <w:noProof/>
        </w:rPr>
        <w:t xml:space="preserve">Această măsură consolidează cadrul pentru inovarea și dezvoltarea tehnologică a unei serii de surse regenerabile de energie și contribuie la realizarea de progrese în vederea atingerii obiectivului ca 100 % din cererea de energie să provină din surse regenerabile. Sursele regenerabile vizate de această măsură includ energia eoliană offshore și biogazul. Măsura facilitează, de asemenea, C &amp; D în domeniul tehnologiilor regenerabile. </w:t>
      </w:r>
    </w:p>
    <w:p w14:paraId="393ECFF7" w14:textId="4C5B0464" w:rsidR="00D924EA" w:rsidRDefault="00011DE9">
      <w:pPr>
        <w:pStyle w:val="P68B1DB1-Normal29"/>
        <w:spacing w:before="120" w:after="120" w:line="240" w:lineRule="auto"/>
        <w:jc w:val="both"/>
        <w:rPr>
          <w:rFonts w:cs="Times New Roman"/>
          <w:noProof/>
        </w:rPr>
      </w:pPr>
      <w:r>
        <w:rPr>
          <w:noProof/>
        </w:rPr>
        <w:t>Măsura include publicarea unei foi de parcurs pentru energia eoliană offshore și alte tipuri de energie marină. Scopul acestei foi de parcurs este de a reduce barierele administrative din calea dezvoltării acestei surse regenerabile de energie. În mod specific, foaia de parcurs urmărește: (a) să promoveze cercetarea, dezvoltarea și inovarea printr-un cadru de reglementare mai flexibil și prin consolidarea centrelor tehnologice și a platformelor de testare pentru noi prototipuri; (b) identificarea oportunităților și a sinergiilor cu principalele sectoare industriale; (c) să elaboreze un cadru de reglementare adecvat pentru implementarea în Spania (în special a tehnologiei plutitoare); și (d)</w:t>
      </w:r>
      <w:r w:rsidR="0042520D">
        <w:rPr>
          <w:noProof/>
        </w:rPr>
        <w:t> </w:t>
      </w:r>
      <w:r>
        <w:rPr>
          <w:noProof/>
        </w:rPr>
        <w:t>identificarea măsurilor de reducere la minimum a efectelor asupra mediului (urmărind, în același timp, simplificarea procedurilor administrative). Măsura pune în aplicare principalele măsuri de reglementare identificate în foaia de parcurs pentru a promova parcurile eoliene offshore, a stimula cercetarea și dezvoltarea și a sprijini implementarea tehnologiilor plutitoare.</w:t>
      </w:r>
    </w:p>
    <w:p w14:paraId="39BD0BB3" w14:textId="29D6F712" w:rsidR="00D924EA" w:rsidRDefault="00011DE9">
      <w:pPr>
        <w:pStyle w:val="P68B1DB1-Normal29"/>
        <w:spacing w:before="120" w:after="120" w:line="240" w:lineRule="auto"/>
        <w:jc w:val="both"/>
        <w:rPr>
          <w:rFonts w:cs="Times New Roman"/>
          <w:noProof/>
        </w:rPr>
      </w:pPr>
      <w:r>
        <w:rPr>
          <w:noProof/>
        </w:rPr>
        <w:t>Al doilea element al acestei măsuri este publicarea unei foi de parcurs pentru biogaz, care va analiza instrumentele de reglementare și sectoriale adecvate pentru promovarea biogazului, cu accent pe utilizarea eficientă a acestei surse de energie (cum ar fi în aplicațiile agroindustriale și pentru vehiculele grele în cazul cărora electrificarea nu este încă o alternativă). Această parte a reformei abordează punerea în aplicare a activităților-cheie din foaia de parcurs privind biogazul, inclusiv: (a)</w:t>
      </w:r>
      <w:r w:rsidR="0042520D">
        <w:rPr>
          <w:noProof/>
        </w:rPr>
        <w:t> </w:t>
      </w:r>
      <w:r>
        <w:rPr>
          <w:noProof/>
        </w:rPr>
        <w:t>instituirea unui sistem de garanții de origine pentru gazele din surse regenerabile, menit să încurajeze investițiile în biogaz și să decarbonizeze sectoare precum industria și transporturile; (b)</w:t>
      </w:r>
      <w:r w:rsidR="0042520D">
        <w:rPr>
          <w:noProof/>
        </w:rPr>
        <w:t> </w:t>
      </w:r>
      <w:r>
        <w:rPr>
          <w:noProof/>
        </w:rPr>
        <w:t xml:space="preserve">dezvoltarea unui instrument de calculare a contribuției biogazului la decarbonizare; și (c) studii de prefezabilitate pentru a promova punerea în aplicare a instalațiilor de producție a biogazului. </w:t>
      </w:r>
    </w:p>
    <w:p w14:paraId="2476AB1E" w14:textId="230EB9BF" w:rsidR="00D924EA" w:rsidRDefault="00011DE9">
      <w:pPr>
        <w:pStyle w:val="P68B1DB1-Normal29"/>
        <w:spacing w:before="120" w:after="120" w:line="240" w:lineRule="auto"/>
        <w:jc w:val="both"/>
        <w:rPr>
          <w:rFonts w:cs="Times New Roman"/>
          <w:noProof/>
        </w:rPr>
      </w:pPr>
      <w:r>
        <w:rPr>
          <w:noProof/>
        </w:rPr>
        <w:t>Punerea în aplicare a măsurii se finalizează până la 30 iunie 2023.</w:t>
      </w:r>
    </w:p>
    <w:p w14:paraId="778F769C" w14:textId="5E430C88" w:rsidR="00D924EA" w:rsidRDefault="00011DE9">
      <w:pPr>
        <w:pStyle w:val="P68B1DB1-Normal30"/>
        <w:spacing w:before="120" w:after="120" w:line="240" w:lineRule="auto"/>
        <w:jc w:val="both"/>
        <w:rPr>
          <w:rFonts w:cs="Times New Roman"/>
          <w:noProof/>
        </w:rPr>
      </w:pPr>
      <w:r>
        <w:rPr>
          <w:noProof/>
        </w:rPr>
        <w:t xml:space="preserve">Investiția 1 (C7.I1) – Dezvoltarea energiei din surse regenerabile și a stocării </w:t>
      </w:r>
    </w:p>
    <w:p w14:paraId="1CD76720" w14:textId="38E9CD9D" w:rsidR="00D924EA" w:rsidRDefault="00011DE9">
      <w:pPr>
        <w:pStyle w:val="P68B1DB1-Normal29"/>
        <w:spacing w:before="120" w:after="120" w:line="240" w:lineRule="auto"/>
        <w:jc w:val="both"/>
        <w:rPr>
          <w:rFonts w:cs="Times New Roman"/>
          <w:noProof/>
        </w:rPr>
      </w:pPr>
      <w:r>
        <w:rPr>
          <w:noProof/>
        </w:rPr>
        <w:t xml:space="preserve">Obiectivul acestei măsuri este de a promova dezvoltarea energiei din surse regenerabile și a stocării. Această măsură constă în investiții în capacitatea de producție și stocare a energiei din surse regenerabile. </w:t>
      </w:r>
    </w:p>
    <w:p w14:paraId="0E9BE65C" w14:textId="77777777" w:rsidR="00D924EA" w:rsidRDefault="00011DE9">
      <w:pPr>
        <w:pStyle w:val="P68B1DB1-Normal30"/>
        <w:spacing w:before="120" w:after="120" w:line="240" w:lineRule="auto"/>
        <w:jc w:val="both"/>
        <w:rPr>
          <w:rFonts w:cs="Times New Roman"/>
          <w:noProof/>
        </w:rPr>
      </w:pPr>
      <w:r>
        <w:rPr>
          <w:noProof/>
        </w:rPr>
        <w:t>Investiția 2 (C7.I2) – Energie durabilă în insule</w:t>
      </w:r>
    </w:p>
    <w:p w14:paraId="0DE0FF96" w14:textId="02540B3F" w:rsidR="00D924EA" w:rsidRDefault="00011DE9">
      <w:pPr>
        <w:pStyle w:val="P68B1DB1-Normal29"/>
        <w:spacing w:before="120" w:after="120" w:line="240" w:lineRule="auto"/>
        <w:jc w:val="both"/>
        <w:rPr>
          <w:rFonts w:cs="Times New Roman"/>
          <w:noProof/>
        </w:rPr>
      </w:pPr>
      <w:r>
        <w:rPr>
          <w:noProof/>
        </w:rPr>
        <w:t xml:space="preserve">Obiectivul acestei măsuri este de a spori energia durabilă în insulele spaniole (Insulele Canare și Baleare) și, în special, de a sprijini proiectele de pătrundere și integrare a energiei din surse regenerabile în insule și în sistemele nepeninsulare. </w:t>
      </w:r>
    </w:p>
    <w:p w14:paraId="0BB9DEC2" w14:textId="24695382" w:rsidR="00D924EA" w:rsidRDefault="00011DE9">
      <w:pPr>
        <w:pStyle w:val="P68B1DB1-Normal29"/>
        <w:spacing w:before="120" w:after="120" w:line="240" w:lineRule="auto"/>
        <w:jc w:val="both"/>
        <w:rPr>
          <w:rFonts w:cs="Times New Roman"/>
          <w:noProof/>
        </w:rPr>
      </w:pPr>
      <w:r>
        <w:rPr>
          <w:noProof/>
        </w:rPr>
        <w:t xml:space="preserve">Această măsură constă în acțiuni de sprijinire a tranziției energetice și a capacității suplimentare de producție de energie din surse regenerabile în insule. </w:t>
      </w:r>
    </w:p>
    <w:p w14:paraId="7751B5D3" w14:textId="1B1639A0" w:rsidR="00D924EA" w:rsidRDefault="00011DE9">
      <w:pPr>
        <w:keepNext/>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G.2.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14B95CEF" w14:textId="77777777" w:rsidR="00D924EA" w:rsidRDefault="00011DE9">
      <w:pPr>
        <w:pStyle w:val="P68B1DB1-Normal36"/>
        <w:keepNext/>
        <w:spacing w:before="120" w:after="120" w:line="240" w:lineRule="auto"/>
        <w:rPr>
          <w:rFonts w:cs="Times New Roman"/>
          <w:noProof/>
          <w:u w:val="single"/>
        </w:rPr>
        <w:sectPr w:rsidR="00D924EA" w:rsidSect="00B528FB">
          <w:headerReference w:type="default" r:id="rId108"/>
          <w:footerReference w:type="default" r:id="rId109"/>
          <w:pgSz w:w="11907" w:h="16839"/>
          <w:pgMar w:top="1134" w:right="1134" w:bottom="1134" w:left="1134" w:header="567" w:footer="567" w:gutter="0"/>
          <w:cols w:space="720"/>
          <w:docGrid w:linePitch="360"/>
        </w:sectPr>
      </w:pPr>
      <w:r>
        <w:rPr>
          <w:noProof/>
        </w:rPr>
        <w:t>A se vedea tabelul de mai jos. Data de referință pentru toți indicatorii este 1 februarie 2020, cu excepția cazului în care se indică altfel în descrierea acțiunii. Sumele din tabel nu includ TVA.</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850"/>
        <w:gridCol w:w="2688"/>
        <w:gridCol w:w="1418"/>
        <w:gridCol w:w="709"/>
        <w:gridCol w:w="997"/>
        <w:gridCol w:w="737"/>
        <w:gridCol w:w="567"/>
        <w:gridCol w:w="567"/>
        <w:gridCol w:w="5217"/>
      </w:tblGrid>
      <w:tr w:rsidR="00D924EA" w14:paraId="751F46F9" w14:textId="77777777" w:rsidTr="0042520D">
        <w:trPr>
          <w:trHeight w:val="309"/>
          <w:tblHeader/>
          <w:jc w:val="center"/>
        </w:trPr>
        <w:tc>
          <w:tcPr>
            <w:tcW w:w="709" w:type="dxa"/>
            <w:vMerge w:val="restart"/>
            <w:shd w:val="clear" w:color="auto" w:fill="B7D4EF"/>
            <w:noWrap/>
            <w:vAlign w:val="center"/>
          </w:tcPr>
          <w:p w14:paraId="262F0B47" w14:textId="77777777" w:rsidR="00D924EA" w:rsidRDefault="00011DE9">
            <w:pPr>
              <w:pStyle w:val="P68B1DB1-Normal28"/>
              <w:spacing w:after="0" w:line="240" w:lineRule="auto"/>
              <w:jc w:val="center"/>
              <w:rPr>
                <w:rFonts w:cs="Times New Roman"/>
                <w:noProof/>
                <w:szCs w:val="18"/>
              </w:rPr>
            </w:pPr>
            <w:r>
              <w:rPr>
                <w:noProof/>
              </w:rPr>
              <w:t>Număr</w:t>
            </w:r>
          </w:p>
        </w:tc>
        <w:tc>
          <w:tcPr>
            <w:tcW w:w="851" w:type="dxa"/>
            <w:vMerge w:val="restart"/>
            <w:shd w:val="clear" w:color="auto" w:fill="B7D4EF"/>
            <w:noWrap/>
            <w:vAlign w:val="center"/>
          </w:tcPr>
          <w:p w14:paraId="75D05D16" w14:textId="77777777" w:rsidR="00D924EA" w:rsidRDefault="00011DE9">
            <w:pPr>
              <w:pStyle w:val="P68B1DB1-Normal28"/>
              <w:spacing w:after="0" w:line="240" w:lineRule="auto"/>
              <w:jc w:val="center"/>
              <w:rPr>
                <w:rFonts w:cs="Times New Roman"/>
                <w:noProof/>
                <w:szCs w:val="18"/>
              </w:rPr>
            </w:pPr>
            <w:r>
              <w:rPr>
                <w:noProof/>
              </w:rPr>
              <w:t>Măsură</w:t>
            </w:r>
          </w:p>
        </w:tc>
        <w:tc>
          <w:tcPr>
            <w:tcW w:w="850" w:type="dxa"/>
            <w:vMerge w:val="restart"/>
            <w:shd w:val="clear" w:color="auto" w:fill="B7D4EF"/>
            <w:noWrap/>
            <w:vAlign w:val="center"/>
          </w:tcPr>
          <w:p w14:paraId="558FFAF8" w14:textId="1D6A3716" w:rsidR="00D924EA" w:rsidRDefault="00011DE9">
            <w:pPr>
              <w:spacing w:after="0" w:line="240" w:lineRule="auto"/>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2688" w:type="dxa"/>
            <w:vMerge w:val="restart"/>
            <w:shd w:val="clear" w:color="auto" w:fill="B7D4EF"/>
            <w:noWrap/>
            <w:vAlign w:val="center"/>
          </w:tcPr>
          <w:p w14:paraId="0F9BDE2E" w14:textId="77777777" w:rsidR="00D924EA" w:rsidRDefault="00011DE9">
            <w:pPr>
              <w:pStyle w:val="P68B1DB1-Normal28"/>
              <w:spacing w:after="0" w:line="240" w:lineRule="auto"/>
              <w:jc w:val="center"/>
              <w:rPr>
                <w:rFonts w:cs="Times New Roman"/>
                <w:noProof/>
                <w:szCs w:val="18"/>
              </w:rPr>
            </w:pPr>
            <w:r>
              <w:rPr>
                <w:noProof/>
              </w:rPr>
              <w:t>Nume</w:t>
            </w:r>
          </w:p>
        </w:tc>
        <w:tc>
          <w:tcPr>
            <w:tcW w:w="1418" w:type="dxa"/>
            <w:vMerge w:val="restart"/>
            <w:shd w:val="clear" w:color="auto" w:fill="B7D4EF"/>
            <w:noWrap/>
            <w:vAlign w:val="center"/>
          </w:tcPr>
          <w:p w14:paraId="69A73545" w14:textId="77777777" w:rsidR="00D924EA" w:rsidRDefault="00011DE9">
            <w:pPr>
              <w:pStyle w:val="P68B1DB1-Normal28"/>
              <w:spacing w:after="0" w:line="240" w:lineRule="auto"/>
              <w:jc w:val="center"/>
              <w:rPr>
                <w:rFonts w:cs="Times New Roman"/>
                <w:noProof/>
                <w:szCs w:val="18"/>
              </w:rPr>
            </w:pPr>
            <w:r>
              <w:rPr>
                <w:noProof/>
              </w:rPr>
              <w:t>Indicator calitativ pentru jaloane</w:t>
            </w:r>
          </w:p>
        </w:tc>
        <w:tc>
          <w:tcPr>
            <w:tcW w:w="2443" w:type="dxa"/>
            <w:gridSpan w:val="3"/>
            <w:shd w:val="clear" w:color="auto" w:fill="B7D4EF"/>
            <w:noWrap/>
            <w:vAlign w:val="center"/>
          </w:tcPr>
          <w:p w14:paraId="4EB37880" w14:textId="77777777" w:rsidR="00D924EA" w:rsidRDefault="00011DE9">
            <w:pPr>
              <w:pStyle w:val="P68B1DB1-Normal28"/>
              <w:spacing w:after="0" w:line="240" w:lineRule="auto"/>
              <w:jc w:val="center"/>
              <w:rPr>
                <w:rFonts w:cs="Times New Roman"/>
                <w:noProof/>
                <w:szCs w:val="18"/>
              </w:rPr>
            </w:pPr>
            <w:r>
              <w:rPr>
                <w:noProof/>
              </w:rPr>
              <w:t>Indicator cantitativ pentru ținte</w:t>
            </w:r>
          </w:p>
        </w:tc>
        <w:tc>
          <w:tcPr>
            <w:tcW w:w="1134" w:type="dxa"/>
            <w:gridSpan w:val="2"/>
            <w:shd w:val="clear" w:color="auto" w:fill="B7D4EF"/>
            <w:noWrap/>
            <w:vAlign w:val="center"/>
          </w:tcPr>
          <w:p w14:paraId="56229792" w14:textId="77777777" w:rsidR="00D924EA" w:rsidRDefault="00011DE9">
            <w:pPr>
              <w:pStyle w:val="P68B1DB1-Normal28"/>
              <w:spacing w:after="0" w:line="240" w:lineRule="auto"/>
              <w:jc w:val="center"/>
              <w:rPr>
                <w:rFonts w:cs="Times New Roman"/>
                <w:noProof/>
                <w:szCs w:val="18"/>
              </w:rPr>
            </w:pPr>
            <w:r>
              <w:rPr>
                <w:noProof/>
              </w:rPr>
              <w:t>Timp</w:t>
            </w:r>
          </w:p>
        </w:tc>
        <w:tc>
          <w:tcPr>
            <w:tcW w:w="5217" w:type="dxa"/>
            <w:vMerge w:val="restart"/>
            <w:shd w:val="clear" w:color="auto" w:fill="B7D4EF"/>
            <w:noWrap/>
            <w:vAlign w:val="center"/>
          </w:tcPr>
          <w:p w14:paraId="081DAA6A" w14:textId="77777777" w:rsidR="00D924EA" w:rsidRDefault="00011DE9">
            <w:pPr>
              <w:pStyle w:val="P68B1DB1-Normal28"/>
              <w:spacing w:after="0" w:line="240" w:lineRule="auto"/>
              <w:jc w:val="center"/>
              <w:rPr>
                <w:rFonts w:cs="Times New Roman"/>
                <w:noProof/>
                <w:szCs w:val="18"/>
              </w:rPr>
            </w:pPr>
            <w:r>
              <w:rPr>
                <w:noProof/>
              </w:rPr>
              <w:t>Descrierea fiecărui jalon și a fiecărei ținte</w:t>
            </w:r>
          </w:p>
        </w:tc>
      </w:tr>
      <w:tr w:rsidR="00D924EA" w14:paraId="386DF82F" w14:textId="77777777" w:rsidTr="0042520D">
        <w:trPr>
          <w:trHeight w:val="309"/>
          <w:tblHeader/>
          <w:jc w:val="center"/>
        </w:trPr>
        <w:tc>
          <w:tcPr>
            <w:tcW w:w="709" w:type="dxa"/>
            <w:vMerge/>
            <w:noWrap/>
          </w:tcPr>
          <w:p w14:paraId="4BF2AD93" w14:textId="77777777" w:rsidR="00D924EA" w:rsidRDefault="00D924EA">
            <w:pPr>
              <w:spacing w:after="0" w:line="240" w:lineRule="auto"/>
              <w:jc w:val="center"/>
              <w:rPr>
                <w:rFonts w:ascii="Times New Roman" w:hAnsi="Times New Roman" w:cs="Times New Roman"/>
                <w:b/>
                <w:noProof/>
                <w:sz w:val="18"/>
                <w:szCs w:val="18"/>
              </w:rPr>
            </w:pPr>
          </w:p>
        </w:tc>
        <w:tc>
          <w:tcPr>
            <w:tcW w:w="851" w:type="dxa"/>
            <w:vMerge/>
            <w:noWrap/>
          </w:tcPr>
          <w:p w14:paraId="37F9C8A1" w14:textId="77777777" w:rsidR="00D924EA" w:rsidRDefault="00D924EA">
            <w:pPr>
              <w:spacing w:after="0" w:line="240" w:lineRule="auto"/>
              <w:jc w:val="center"/>
              <w:rPr>
                <w:rFonts w:ascii="Times New Roman" w:hAnsi="Times New Roman" w:cs="Times New Roman"/>
                <w:b/>
                <w:noProof/>
                <w:sz w:val="18"/>
                <w:szCs w:val="18"/>
              </w:rPr>
            </w:pPr>
          </w:p>
        </w:tc>
        <w:tc>
          <w:tcPr>
            <w:tcW w:w="850" w:type="dxa"/>
            <w:vMerge/>
            <w:noWrap/>
          </w:tcPr>
          <w:p w14:paraId="0492955E" w14:textId="77777777" w:rsidR="00D924EA" w:rsidRDefault="00D924EA">
            <w:pPr>
              <w:spacing w:after="0" w:line="240" w:lineRule="auto"/>
              <w:jc w:val="center"/>
              <w:rPr>
                <w:rFonts w:ascii="Times New Roman" w:hAnsi="Times New Roman" w:cs="Times New Roman"/>
                <w:b/>
                <w:noProof/>
                <w:sz w:val="18"/>
                <w:szCs w:val="18"/>
              </w:rPr>
            </w:pPr>
          </w:p>
        </w:tc>
        <w:tc>
          <w:tcPr>
            <w:tcW w:w="2688" w:type="dxa"/>
            <w:vMerge/>
            <w:noWrap/>
          </w:tcPr>
          <w:p w14:paraId="0678F891" w14:textId="77777777" w:rsidR="00D924EA" w:rsidRDefault="00D924EA">
            <w:pPr>
              <w:spacing w:after="0" w:line="240" w:lineRule="auto"/>
              <w:rPr>
                <w:rFonts w:ascii="Times New Roman" w:hAnsi="Times New Roman" w:cs="Times New Roman"/>
                <w:b/>
                <w:noProof/>
                <w:sz w:val="18"/>
                <w:szCs w:val="18"/>
              </w:rPr>
            </w:pPr>
          </w:p>
        </w:tc>
        <w:tc>
          <w:tcPr>
            <w:tcW w:w="1418" w:type="dxa"/>
            <w:vMerge/>
            <w:noWrap/>
          </w:tcPr>
          <w:p w14:paraId="69E475BD" w14:textId="77777777" w:rsidR="00D924EA" w:rsidRDefault="00D924EA">
            <w:pPr>
              <w:spacing w:after="0" w:line="240" w:lineRule="auto"/>
              <w:jc w:val="center"/>
              <w:rPr>
                <w:rFonts w:ascii="Times New Roman" w:hAnsi="Times New Roman" w:cs="Times New Roman"/>
                <w:b/>
                <w:noProof/>
                <w:sz w:val="18"/>
                <w:szCs w:val="18"/>
              </w:rPr>
            </w:pPr>
          </w:p>
        </w:tc>
        <w:tc>
          <w:tcPr>
            <w:tcW w:w="709" w:type="dxa"/>
            <w:shd w:val="clear" w:color="auto" w:fill="B7D4EF"/>
            <w:noWrap/>
          </w:tcPr>
          <w:p w14:paraId="7C85D429" w14:textId="77777777" w:rsidR="00D924EA" w:rsidRDefault="00011DE9">
            <w:pPr>
              <w:pStyle w:val="P68B1DB1-Normal28"/>
              <w:spacing w:after="0" w:line="240" w:lineRule="auto"/>
              <w:jc w:val="center"/>
              <w:rPr>
                <w:rFonts w:cs="Times New Roman"/>
                <w:noProof/>
                <w:szCs w:val="18"/>
              </w:rPr>
            </w:pPr>
            <w:r>
              <w:rPr>
                <w:noProof/>
              </w:rPr>
              <w:t>Unitate</w:t>
            </w:r>
          </w:p>
        </w:tc>
        <w:tc>
          <w:tcPr>
            <w:tcW w:w="997" w:type="dxa"/>
            <w:shd w:val="clear" w:color="auto" w:fill="B7D4EF"/>
            <w:noWrap/>
          </w:tcPr>
          <w:p w14:paraId="35291671" w14:textId="77777777" w:rsidR="00D924EA" w:rsidRDefault="00011DE9">
            <w:pPr>
              <w:pStyle w:val="P68B1DB1-Normal28"/>
              <w:spacing w:after="0" w:line="240" w:lineRule="auto"/>
              <w:jc w:val="center"/>
              <w:rPr>
                <w:rFonts w:cs="Times New Roman"/>
                <w:noProof/>
                <w:szCs w:val="18"/>
              </w:rPr>
            </w:pPr>
            <w:r>
              <w:rPr>
                <w:noProof/>
              </w:rPr>
              <w:t>Situația de referință</w:t>
            </w:r>
          </w:p>
        </w:tc>
        <w:tc>
          <w:tcPr>
            <w:tcW w:w="737" w:type="dxa"/>
            <w:shd w:val="clear" w:color="auto" w:fill="B7D4EF"/>
            <w:noWrap/>
          </w:tcPr>
          <w:p w14:paraId="044EB61C" w14:textId="77777777" w:rsidR="00D924EA" w:rsidRDefault="00011DE9">
            <w:pPr>
              <w:pStyle w:val="P68B1DB1-Normal28"/>
              <w:spacing w:after="0" w:line="240" w:lineRule="auto"/>
              <w:jc w:val="center"/>
              <w:rPr>
                <w:rFonts w:cs="Times New Roman"/>
                <w:noProof/>
                <w:szCs w:val="18"/>
              </w:rPr>
            </w:pPr>
            <w:r>
              <w:rPr>
                <w:noProof/>
              </w:rPr>
              <w:t>Obiectiv</w:t>
            </w:r>
          </w:p>
        </w:tc>
        <w:tc>
          <w:tcPr>
            <w:tcW w:w="567" w:type="dxa"/>
            <w:shd w:val="clear" w:color="auto" w:fill="B7D4EF"/>
            <w:noWrap/>
          </w:tcPr>
          <w:p w14:paraId="5AAD0778" w14:textId="0FCF1EEE" w:rsidR="00D924EA" w:rsidRDefault="0042520D">
            <w:pPr>
              <w:pStyle w:val="P68B1DB1-Normal28"/>
              <w:spacing w:after="0" w:line="240" w:lineRule="auto"/>
              <w:jc w:val="center"/>
              <w:rPr>
                <w:rFonts w:cs="Times New Roman"/>
                <w:noProof/>
                <w:szCs w:val="18"/>
              </w:rPr>
            </w:pPr>
            <w:r>
              <w:rPr>
                <w:noProof/>
              </w:rPr>
              <w:t>T</w:t>
            </w:r>
          </w:p>
        </w:tc>
        <w:tc>
          <w:tcPr>
            <w:tcW w:w="567" w:type="dxa"/>
            <w:shd w:val="clear" w:color="auto" w:fill="B7D4EF"/>
            <w:noWrap/>
          </w:tcPr>
          <w:p w14:paraId="3B046262" w14:textId="77777777" w:rsidR="00D924EA" w:rsidRDefault="00011DE9">
            <w:pPr>
              <w:pStyle w:val="P68B1DB1-Normal28"/>
              <w:spacing w:after="0" w:line="240" w:lineRule="auto"/>
              <w:jc w:val="center"/>
              <w:rPr>
                <w:rFonts w:cs="Times New Roman"/>
                <w:noProof/>
                <w:szCs w:val="18"/>
              </w:rPr>
            </w:pPr>
            <w:r>
              <w:rPr>
                <w:noProof/>
              </w:rPr>
              <w:t>Anul</w:t>
            </w:r>
          </w:p>
        </w:tc>
        <w:tc>
          <w:tcPr>
            <w:tcW w:w="5217" w:type="dxa"/>
            <w:vMerge/>
            <w:noWrap/>
          </w:tcPr>
          <w:p w14:paraId="323F10A2" w14:textId="77777777" w:rsidR="00D924EA" w:rsidRDefault="00D924EA">
            <w:pPr>
              <w:spacing w:after="0" w:line="240" w:lineRule="auto"/>
              <w:rPr>
                <w:rFonts w:ascii="Times New Roman" w:hAnsi="Times New Roman" w:cs="Times New Roman"/>
                <w:b/>
                <w:noProof/>
                <w:sz w:val="18"/>
                <w:szCs w:val="18"/>
              </w:rPr>
            </w:pPr>
          </w:p>
        </w:tc>
      </w:tr>
      <w:tr w:rsidR="00D924EA" w14:paraId="2919F0B8" w14:textId="77777777" w:rsidTr="0042520D">
        <w:trPr>
          <w:trHeight w:val="309"/>
          <w:jc w:val="center"/>
        </w:trPr>
        <w:tc>
          <w:tcPr>
            <w:tcW w:w="709" w:type="dxa"/>
            <w:shd w:val="clear" w:color="auto" w:fill="C6EFCE"/>
            <w:noWrap/>
          </w:tcPr>
          <w:p w14:paraId="6DD6FB0A" w14:textId="77777777" w:rsidR="00D924EA" w:rsidRDefault="00011DE9">
            <w:pPr>
              <w:pStyle w:val="P68B1DB1-Normal23"/>
              <w:spacing w:after="0" w:line="240" w:lineRule="auto"/>
              <w:jc w:val="center"/>
              <w:rPr>
                <w:rFonts w:eastAsia="Calibri" w:cs="Times New Roman"/>
                <w:noProof/>
                <w:szCs w:val="18"/>
              </w:rPr>
            </w:pPr>
            <w:r>
              <w:rPr>
                <w:noProof/>
              </w:rPr>
              <w:t>102</w:t>
            </w:r>
          </w:p>
        </w:tc>
        <w:tc>
          <w:tcPr>
            <w:tcW w:w="851" w:type="dxa"/>
            <w:shd w:val="clear" w:color="auto" w:fill="C6EFCE"/>
            <w:noWrap/>
          </w:tcPr>
          <w:p w14:paraId="6B6991E9" w14:textId="77777777" w:rsidR="00D924EA" w:rsidRDefault="00011DE9">
            <w:pPr>
              <w:pStyle w:val="P68B1DB1-Normal23"/>
              <w:spacing w:after="0" w:line="240" w:lineRule="auto"/>
              <w:jc w:val="center"/>
              <w:rPr>
                <w:rFonts w:eastAsia="Calibri" w:cs="Times New Roman"/>
                <w:noProof/>
                <w:szCs w:val="18"/>
              </w:rPr>
            </w:pPr>
            <w:r>
              <w:rPr>
                <w:noProof/>
              </w:rPr>
              <w:t>C7.R1</w:t>
            </w:r>
          </w:p>
        </w:tc>
        <w:tc>
          <w:tcPr>
            <w:tcW w:w="850" w:type="dxa"/>
            <w:shd w:val="clear" w:color="auto" w:fill="C6EFCE"/>
            <w:noWrap/>
          </w:tcPr>
          <w:p w14:paraId="4C0F8B69" w14:textId="77777777" w:rsidR="00D924EA" w:rsidRDefault="00011DE9">
            <w:pPr>
              <w:pStyle w:val="P68B1DB1-Normal23"/>
              <w:spacing w:after="0" w:line="240" w:lineRule="auto"/>
              <w:jc w:val="center"/>
              <w:rPr>
                <w:rFonts w:eastAsia="Calibri" w:cs="Times New Roman"/>
                <w:noProof/>
                <w:szCs w:val="18"/>
              </w:rPr>
            </w:pPr>
            <w:r>
              <w:rPr>
                <w:noProof/>
              </w:rPr>
              <w:t>M</w:t>
            </w:r>
          </w:p>
        </w:tc>
        <w:tc>
          <w:tcPr>
            <w:tcW w:w="2688" w:type="dxa"/>
            <w:shd w:val="clear" w:color="auto" w:fill="C6EFCE"/>
            <w:noWrap/>
          </w:tcPr>
          <w:p w14:paraId="0B64070D" w14:textId="77777777" w:rsidR="00D924EA" w:rsidRDefault="00011DE9">
            <w:pPr>
              <w:pStyle w:val="P68B1DB1-Normal23"/>
              <w:spacing w:after="0" w:line="240" w:lineRule="auto"/>
              <w:rPr>
                <w:rFonts w:eastAsia="Calibri" w:cs="Times New Roman"/>
                <w:noProof/>
                <w:szCs w:val="18"/>
              </w:rPr>
            </w:pPr>
            <w:r>
              <w:rPr>
                <w:noProof/>
              </w:rPr>
              <w:t>Intrarea în vigoare a Decretului-lege regal 23/2020 (măsuri în domeniul energiei)</w:t>
            </w:r>
          </w:p>
        </w:tc>
        <w:tc>
          <w:tcPr>
            <w:tcW w:w="1418" w:type="dxa"/>
            <w:shd w:val="clear" w:color="auto" w:fill="C6EFCE"/>
            <w:noWrap/>
          </w:tcPr>
          <w:p w14:paraId="176F3147" w14:textId="77777777" w:rsidR="00D924EA" w:rsidRDefault="00011DE9">
            <w:pPr>
              <w:pStyle w:val="P68B1DB1-Normal23"/>
              <w:spacing w:after="0" w:line="240" w:lineRule="auto"/>
              <w:jc w:val="center"/>
              <w:rPr>
                <w:rFonts w:eastAsia="Calibri" w:cs="Times New Roman"/>
                <w:noProof/>
                <w:szCs w:val="18"/>
              </w:rPr>
            </w:pPr>
            <w:r>
              <w:rPr>
                <w:noProof/>
              </w:rPr>
              <w:t>Dispoziție din Decretul-lege regal nr. 23/2020 privind intrarea în vigoare</w:t>
            </w:r>
          </w:p>
        </w:tc>
        <w:tc>
          <w:tcPr>
            <w:tcW w:w="709" w:type="dxa"/>
            <w:shd w:val="clear" w:color="auto" w:fill="C6EFCE"/>
            <w:noWrap/>
          </w:tcPr>
          <w:p w14:paraId="1FC22312" w14:textId="77777777" w:rsidR="00D924EA" w:rsidRDefault="00011DE9">
            <w:pPr>
              <w:pStyle w:val="P68B1DB1-Normal23"/>
              <w:spacing w:after="0" w:line="240" w:lineRule="auto"/>
              <w:jc w:val="right"/>
              <w:rPr>
                <w:rFonts w:eastAsia="Calibri" w:cs="Times New Roman"/>
                <w:noProof/>
                <w:szCs w:val="18"/>
              </w:rPr>
            </w:pPr>
            <w:r>
              <w:rPr>
                <w:noProof/>
              </w:rPr>
              <w:t xml:space="preserve"> </w:t>
            </w:r>
          </w:p>
        </w:tc>
        <w:tc>
          <w:tcPr>
            <w:tcW w:w="997" w:type="dxa"/>
            <w:shd w:val="clear" w:color="auto" w:fill="C6EFCE"/>
            <w:noWrap/>
          </w:tcPr>
          <w:p w14:paraId="75C83ECE" w14:textId="77777777" w:rsidR="00D924EA" w:rsidRDefault="00011DE9">
            <w:pPr>
              <w:pStyle w:val="P68B1DB1-Normal23"/>
              <w:spacing w:after="0" w:line="240" w:lineRule="auto"/>
              <w:jc w:val="right"/>
              <w:rPr>
                <w:rFonts w:eastAsia="Calibri" w:cs="Times New Roman"/>
                <w:noProof/>
                <w:szCs w:val="18"/>
              </w:rPr>
            </w:pPr>
            <w:r>
              <w:rPr>
                <w:noProof/>
              </w:rPr>
              <w:t xml:space="preserve"> </w:t>
            </w:r>
          </w:p>
        </w:tc>
        <w:tc>
          <w:tcPr>
            <w:tcW w:w="737" w:type="dxa"/>
            <w:shd w:val="clear" w:color="auto" w:fill="C6EFCE"/>
            <w:noWrap/>
          </w:tcPr>
          <w:p w14:paraId="1E1E59CD" w14:textId="77777777" w:rsidR="00D924EA" w:rsidRDefault="00011DE9">
            <w:pPr>
              <w:pStyle w:val="P68B1DB1-Normal23"/>
              <w:spacing w:after="0" w:line="240" w:lineRule="auto"/>
              <w:jc w:val="right"/>
              <w:rPr>
                <w:rFonts w:eastAsia="Calibri" w:cs="Times New Roman"/>
                <w:noProof/>
                <w:szCs w:val="18"/>
              </w:rPr>
            </w:pPr>
            <w:r>
              <w:rPr>
                <w:noProof/>
              </w:rPr>
              <w:t xml:space="preserve"> </w:t>
            </w:r>
          </w:p>
        </w:tc>
        <w:tc>
          <w:tcPr>
            <w:tcW w:w="567" w:type="dxa"/>
            <w:shd w:val="clear" w:color="auto" w:fill="C6EFCE"/>
            <w:noWrap/>
          </w:tcPr>
          <w:p w14:paraId="0D67D5C8" w14:textId="0CC72FB9" w:rsidR="00D924EA" w:rsidRDefault="005701C9">
            <w:pPr>
              <w:pStyle w:val="P68B1DB1-Normal23"/>
              <w:spacing w:after="0" w:line="240" w:lineRule="auto"/>
              <w:jc w:val="center"/>
              <w:rPr>
                <w:rFonts w:eastAsia="Calibri" w:cs="Times New Roman"/>
                <w:noProof/>
                <w:szCs w:val="18"/>
              </w:rPr>
            </w:pPr>
            <w:r>
              <w:rPr>
                <w:noProof/>
              </w:rPr>
              <w:t>T4</w:t>
            </w:r>
          </w:p>
        </w:tc>
        <w:tc>
          <w:tcPr>
            <w:tcW w:w="567" w:type="dxa"/>
            <w:shd w:val="clear" w:color="auto" w:fill="C6EFCE"/>
            <w:noWrap/>
          </w:tcPr>
          <w:p w14:paraId="638117FF" w14:textId="77777777" w:rsidR="00D924EA" w:rsidRDefault="00011DE9">
            <w:pPr>
              <w:pStyle w:val="P68B1DB1-Normal23"/>
              <w:spacing w:after="0" w:line="240" w:lineRule="auto"/>
              <w:jc w:val="center"/>
              <w:rPr>
                <w:rFonts w:eastAsia="Calibri" w:cs="Times New Roman"/>
                <w:noProof/>
                <w:szCs w:val="18"/>
              </w:rPr>
            </w:pPr>
            <w:r>
              <w:rPr>
                <w:noProof/>
              </w:rPr>
              <w:t>2020</w:t>
            </w:r>
          </w:p>
        </w:tc>
        <w:tc>
          <w:tcPr>
            <w:tcW w:w="5217" w:type="dxa"/>
            <w:shd w:val="clear" w:color="auto" w:fill="C6EFCE"/>
            <w:noWrap/>
          </w:tcPr>
          <w:p w14:paraId="6A827045" w14:textId="77777777" w:rsidR="00D924EA" w:rsidRDefault="00011DE9">
            <w:pPr>
              <w:pStyle w:val="P68B1DB1-Normal23"/>
              <w:spacing w:after="0" w:line="240" w:lineRule="auto"/>
              <w:rPr>
                <w:rFonts w:eastAsia="Calibri" w:cs="Times New Roman"/>
                <w:noProof/>
                <w:szCs w:val="18"/>
              </w:rPr>
            </w:pPr>
            <w:r>
              <w:rPr>
                <w:noProof/>
              </w:rPr>
              <w:t>Decretul-lege regal nr. 23/2020 aprobă măsurile în domeniul energiei menite să stabilească temeiul juridic pentru o nouă schemă de licitație, să definească noii participanți din sectorul energetic, cum ar fi agregatorii independenți și comunitățile de energie din surse regenerabile, și să contribuie la raționalizarea autorizațiilor de acces și conectare.</w:t>
            </w:r>
          </w:p>
        </w:tc>
      </w:tr>
      <w:tr w:rsidR="00D924EA" w14:paraId="08C4416F" w14:textId="77777777" w:rsidTr="0042520D">
        <w:trPr>
          <w:trHeight w:val="309"/>
          <w:jc w:val="center"/>
        </w:trPr>
        <w:tc>
          <w:tcPr>
            <w:tcW w:w="709" w:type="dxa"/>
            <w:shd w:val="clear" w:color="auto" w:fill="C6EFCE"/>
            <w:noWrap/>
          </w:tcPr>
          <w:p w14:paraId="63347AAA" w14:textId="77777777" w:rsidR="00D924EA" w:rsidRDefault="00011DE9">
            <w:pPr>
              <w:pStyle w:val="P68B1DB1-Normal23"/>
              <w:spacing w:after="0" w:line="240" w:lineRule="auto"/>
              <w:jc w:val="center"/>
              <w:rPr>
                <w:rFonts w:eastAsia="Calibri" w:cs="Times New Roman"/>
                <w:noProof/>
                <w:szCs w:val="18"/>
              </w:rPr>
            </w:pPr>
            <w:r>
              <w:rPr>
                <w:noProof/>
              </w:rPr>
              <w:t>103</w:t>
            </w:r>
          </w:p>
        </w:tc>
        <w:tc>
          <w:tcPr>
            <w:tcW w:w="851" w:type="dxa"/>
            <w:shd w:val="clear" w:color="auto" w:fill="C6EFCE"/>
            <w:noWrap/>
          </w:tcPr>
          <w:p w14:paraId="6F52B1F5" w14:textId="77777777" w:rsidR="00D924EA" w:rsidRDefault="00011DE9">
            <w:pPr>
              <w:pStyle w:val="P68B1DB1-Normal23"/>
              <w:spacing w:after="0" w:line="240" w:lineRule="auto"/>
              <w:jc w:val="center"/>
              <w:rPr>
                <w:rFonts w:eastAsia="Calibri" w:cs="Times New Roman"/>
                <w:noProof/>
                <w:szCs w:val="18"/>
              </w:rPr>
            </w:pPr>
            <w:r>
              <w:rPr>
                <w:noProof/>
              </w:rPr>
              <w:t>C7.R1</w:t>
            </w:r>
          </w:p>
        </w:tc>
        <w:tc>
          <w:tcPr>
            <w:tcW w:w="850" w:type="dxa"/>
            <w:shd w:val="clear" w:color="auto" w:fill="C6EFCE"/>
            <w:noWrap/>
          </w:tcPr>
          <w:p w14:paraId="5281FAEA" w14:textId="77777777" w:rsidR="00D924EA" w:rsidRDefault="00011DE9">
            <w:pPr>
              <w:pStyle w:val="P68B1DB1-Normal23"/>
              <w:spacing w:after="0" w:line="240" w:lineRule="auto"/>
              <w:jc w:val="center"/>
              <w:rPr>
                <w:rFonts w:eastAsia="Calibri" w:cs="Times New Roman"/>
                <w:noProof/>
                <w:szCs w:val="18"/>
              </w:rPr>
            </w:pPr>
            <w:r>
              <w:rPr>
                <w:noProof/>
              </w:rPr>
              <w:t>M</w:t>
            </w:r>
          </w:p>
        </w:tc>
        <w:tc>
          <w:tcPr>
            <w:tcW w:w="2688" w:type="dxa"/>
            <w:shd w:val="clear" w:color="auto" w:fill="C6EFCE"/>
            <w:noWrap/>
          </w:tcPr>
          <w:p w14:paraId="5F83C709" w14:textId="77777777" w:rsidR="00D924EA" w:rsidRDefault="00011DE9">
            <w:pPr>
              <w:pStyle w:val="P68B1DB1-Normal23"/>
              <w:spacing w:after="0" w:line="240" w:lineRule="auto"/>
              <w:rPr>
                <w:rFonts w:eastAsia="Calibri" w:cs="Times New Roman"/>
                <w:noProof/>
                <w:szCs w:val="18"/>
              </w:rPr>
            </w:pPr>
            <w:r>
              <w:rPr>
                <w:noProof/>
              </w:rPr>
              <w:t>Intrarea în vigoare a Decretului regal 960/2020 (regimul economic pentru energia din surse regenerabile)</w:t>
            </w:r>
          </w:p>
        </w:tc>
        <w:tc>
          <w:tcPr>
            <w:tcW w:w="1418" w:type="dxa"/>
            <w:shd w:val="clear" w:color="auto" w:fill="C6EFCE"/>
            <w:noWrap/>
          </w:tcPr>
          <w:p w14:paraId="5D7790EA" w14:textId="77777777" w:rsidR="00D924EA" w:rsidRDefault="00011DE9">
            <w:pPr>
              <w:pStyle w:val="P68B1DB1-Normal23"/>
              <w:spacing w:after="0" w:line="240" w:lineRule="auto"/>
              <w:jc w:val="center"/>
              <w:rPr>
                <w:rFonts w:eastAsia="Calibri" w:cs="Times New Roman"/>
                <w:noProof/>
                <w:szCs w:val="18"/>
              </w:rPr>
            </w:pPr>
            <w:r>
              <w:rPr>
                <w:noProof/>
              </w:rPr>
              <w:t xml:space="preserve">Dispoziție din Decretul regal nr. 960/2020 privind intrarea în vigoare </w:t>
            </w:r>
          </w:p>
        </w:tc>
        <w:tc>
          <w:tcPr>
            <w:tcW w:w="709" w:type="dxa"/>
            <w:shd w:val="clear" w:color="auto" w:fill="C6EFCE"/>
            <w:noWrap/>
          </w:tcPr>
          <w:p w14:paraId="4EFF4962" w14:textId="77777777" w:rsidR="00D924EA" w:rsidRDefault="00011DE9">
            <w:pPr>
              <w:pStyle w:val="P68B1DB1-Normal23"/>
              <w:spacing w:after="0" w:line="240" w:lineRule="auto"/>
              <w:jc w:val="right"/>
              <w:rPr>
                <w:rFonts w:eastAsia="Calibri" w:cs="Times New Roman"/>
                <w:noProof/>
                <w:szCs w:val="18"/>
              </w:rPr>
            </w:pPr>
            <w:r>
              <w:rPr>
                <w:noProof/>
              </w:rPr>
              <w:t xml:space="preserve"> </w:t>
            </w:r>
          </w:p>
        </w:tc>
        <w:tc>
          <w:tcPr>
            <w:tcW w:w="997" w:type="dxa"/>
            <w:shd w:val="clear" w:color="auto" w:fill="C6EFCE"/>
            <w:noWrap/>
          </w:tcPr>
          <w:p w14:paraId="32AF0F6A" w14:textId="77777777" w:rsidR="00D924EA" w:rsidRDefault="00011DE9">
            <w:pPr>
              <w:pStyle w:val="P68B1DB1-Normal23"/>
              <w:spacing w:after="0" w:line="240" w:lineRule="auto"/>
              <w:jc w:val="right"/>
              <w:rPr>
                <w:rFonts w:eastAsia="Calibri" w:cs="Times New Roman"/>
                <w:noProof/>
                <w:szCs w:val="18"/>
              </w:rPr>
            </w:pPr>
            <w:r>
              <w:rPr>
                <w:noProof/>
              </w:rPr>
              <w:t xml:space="preserve"> </w:t>
            </w:r>
          </w:p>
        </w:tc>
        <w:tc>
          <w:tcPr>
            <w:tcW w:w="737" w:type="dxa"/>
            <w:shd w:val="clear" w:color="auto" w:fill="C6EFCE"/>
            <w:noWrap/>
          </w:tcPr>
          <w:p w14:paraId="00EF350C" w14:textId="77777777" w:rsidR="00D924EA" w:rsidRDefault="00011DE9">
            <w:pPr>
              <w:pStyle w:val="P68B1DB1-Normal23"/>
              <w:spacing w:after="0" w:line="240" w:lineRule="auto"/>
              <w:jc w:val="right"/>
              <w:rPr>
                <w:rFonts w:eastAsia="Calibri" w:cs="Times New Roman"/>
                <w:noProof/>
                <w:szCs w:val="18"/>
              </w:rPr>
            </w:pPr>
            <w:r>
              <w:rPr>
                <w:noProof/>
              </w:rPr>
              <w:t xml:space="preserve"> </w:t>
            </w:r>
          </w:p>
        </w:tc>
        <w:tc>
          <w:tcPr>
            <w:tcW w:w="567" w:type="dxa"/>
            <w:shd w:val="clear" w:color="auto" w:fill="C6EFCE"/>
            <w:noWrap/>
          </w:tcPr>
          <w:p w14:paraId="73D2B12C" w14:textId="2059C9B9" w:rsidR="00D924EA" w:rsidRDefault="005701C9">
            <w:pPr>
              <w:pStyle w:val="P68B1DB1-Normal23"/>
              <w:spacing w:after="0" w:line="240" w:lineRule="auto"/>
              <w:jc w:val="center"/>
              <w:rPr>
                <w:rFonts w:eastAsia="Calibri" w:cs="Times New Roman"/>
                <w:noProof/>
                <w:szCs w:val="18"/>
              </w:rPr>
            </w:pPr>
            <w:r>
              <w:rPr>
                <w:noProof/>
              </w:rPr>
              <w:t>T4</w:t>
            </w:r>
          </w:p>
        </w:tc>
        <w:tc>
          <w:tcPr>
            <w:tcW w:w="567" w:type="dxa"/>
            <w:shd w:val="clear" w:color="auto" w:fill="C6EFCE"/>
            <w:noWrap/>
          </w:tcPr>
          <w:p w14:paraId="74E3DE71" w14:textId="77777777" w:rsidR="00D924EA" w:rsidRDefault="00011DE9">
            <w:pPr>
              <w:pStyle w:val="P68B1DB1-Normal23"/>
              <w:spacing w:after="0" w:line="240" w:lineRule="auto"/>
              <w:jc w:val="center"/>
              <w:rPr>
                <w:rFonts w:eastAsia="Calibri" w:cs="Times New Roman"/>
                <w:noProof/>
                <w:szCs w:val="18"/>
              </w:rPr>
            </w:pPr>
            <w:r>
              <w:rPr>
                <w:noProof/>
              </w:rPr>
              <w:t>2020</w:t>
            </w:r>
          </w:p>
        </w:tc>
        <w:tc>
          <w:tcPr>
            <w:tcW w:w="5217" w:type="dxa"/>
            <w:shd w:val="clear" w:color="auto" w:fill="C6EFCE"/>
            <w:noWrap/>
          </w:tcPr>
          <w:p w14:paraId="64D98B5C" w14:textId="77777777" w:rsidR="00D924EA" w:rsidRDefault="00011DE9">
            <w:pPr>
              <w:pStyle w:val="P68B1DB1-Normal23"/>
              <w:spacing w:after="0" w:line="240" w:lineRule="auto"/>
              <w:rPr>
                <w:rFonts w:eastAsia="Calibri" w:cs="Times New Roman"/>
                <w:noProof/>
                <w:szCs w:val="18"/>
              </w:rPr>
            </w:pPr>
            <w:r>
              <w:rPr>
                <w:noProof/>
              </w:rPr>
              <w:t>Decretul regal 960/2020 reglementează regimul economic al energiei din surse regenerabile</w:t>
            </w:r>
          </w:p>
        </w:tc>
      </w:tr>
      <w:tr w:rsidR="00D924EA" w14:paraId="5DCEBA3F" w14:textId="77777777" w:rsidTr="0042520D">
        <w:trPr>
          <w:trHeight w:val="309"/>
          <w:jc w:val="center"/>
        </w:trPr>
        <w:tc>
          <w:tcPr>
            <w:tcW w:w="709" w:type="dxa"/>
            <w:shd w:val="clear" w:color="auto" w:fill="C6EFCE"/>
            <w:noWrap/>
          </w:tcPr>
          <w:p w14:paraId="6C0F0036" w14:textId="77777777" w:rsidR="00D924EA" w:rsidRDefault="00011DE9">
            <w:pPr>
              <w:pStyle w:val="P68B1DB1-Normal23"/>
              <w:spacing w:after="0" w:line="240" w:lineRule="auto"/>
              <w:jc w:val="center"/>
              <w:rPr>
                <w:rFonts w:eastAsia="Calibri" w:cs="Times New Roman"/>
                <w:noProof/>
                <w:szCs w:val="18"/>
              </w:rPr>
            </w:pPr>
            <w:r>
              <w:rPr>
                <w:noProof/>
              </w:rPr>
              <w:t>104</w:t>
            </w:r>
          </w:p>
        </w:tc>
        <w:tc>
          <w:tcPr>
            <w:tcW w:w="851" w:type="dxa"/>
            <w:shd w:val="clear" w:color="auto" w:fill="C6EFCE"/>
            <w:noWrap/>
          </w:tcPr>
          <w:p w14:paraId="1687FCFF" w14:textId="77777777" w:rsidR="00D924EA" w:rsidRDefault="00011DE9">
            <w:pPr>
              <w:pStyle w:val="P68B1DB1-Normal23"/>
              <w:spacing w:after="0" w:line="240" w:lineRule="auto"/>
              <w:jc w:val="center"/>
              <w:rPr>
                <w:rFonts w:eastAsia="Calibri" w:cs="Times New Roman"/>
                <w:noProof/>
                <w:szCs w:val="18"/>
              </w:rPr>
            </w:pPr>
            <w:r>
              <w:rPr>
                <w:noProof/>
              </w:rPr>
              <w:t>C7.R1</w:t>
            </w:r>
          </w:p>
        </w:tc>
        <w:tc>
          <w:tcPr>
            <w:tcW w:w="850" w:type="dxa"/>
            <w:shd w:val="clear" w:color="auto" w:fill="C6EFCE"/>
            <w:noWrap/>
          </w:tcPr>
          <w:p w14:paraId="7A019355" w14:textId="77777777" w:rsidR="00D924EA" w:rsidRDefault="00011DE9">
            <w:pPr>
              <w:pStyle w:val="P68B1DB1-Normal23"/>
              <w:spacing w:after="0" w:line="240" w:lineRule="auto"/>
              <w:jc w:val="center"/>
              <w:rPr>
                <w:rFonts w:eastAsia="Calibri" w:cs="Times New Roman"/>
                <w:noProof/>
                <w:szCs w:val="18"/>
              </w:rPr>
            </w:pPr>
            <w:r>
              <w:rPr>
                <w:noProof/>
              </w:rPr>
              <w:t>M</w:t>
            </w:r>
          </w:p>
        </w:tc>
        <w:tc>
          <w:tcPr>
            <w:tcW w:w="2688" w:type="dxa"/>
            <w:shd w:val="clear" w:color="auto" w:fill="C6EFCE"/>
            <w:noWrap/>
          </w:tcPr>
          <w:p w14:paraId="297E15C6" w14:textId="77777777" w:rsidR="00D924EA" w:rsidRDefault="00011DE9">
            <w:pPr>
              <w:pStyle w:val="P68B1DB1-Normal23"/>
              <w:spacing w:after="0" w:line="240" w:lineRule="auto"/>
              <w:rPr>
                <w:rFonts w:eastAsia="Calibri" w:cs="Times New Roman"/>
                <w:noProof/>
                <w:szCs w:val="18"/>
              </w:rPr>
            </w:pPr>
            <w:r>
              <w:rPr>
                <w:noProof/>
              </w:rPr>
              <w:t>Intrarea în vigoare a Decretului regal 1183/2020 (racordarea surselor regenerabile de energie la rețeaua electrică)</w:t>
            </w:r>
          </w:p>
        </w:tc>
        <w:tc>
          <w:tcPr>
            <w:tcW w:w="1418" w:type="dxa"/>
            <w:shd w:val="clear" w:color="auto" w:fill="C6EFCE"/>
            <w:noWrap/>
          </w:tcPr>
          <w:p w14:paraId="65160400" w14:textId="77777777" w:rsidR="00D924EA" w:rsidRDefault="00011DE9">
            <w:pPr>
              <w:pStyle w:val="P68B1DB1-Normal23"/>
              <w:spacing w:after="0" w:line="240" w:lineRule="auto"/>
              <w:jc w:val="center"/>
              <w:rPr>
                <w:rFonts w:eastAsia="Calibri" w:cs="Times New Roman"/>
                <w:noProof/>
                <w:szCs w:val="18"/>
              </w:rPr>
            </w:pPr>
            <w:r>
              <w:rPr>
                <w:noProof/>
              </w:rPr>
              <w:t>Dispoziție din Decretul regal nr. 1183/2020 privind intrarea în vigoare</w:t>
            </w:r>
          </w:p>
        </w:tc>
        <w:tc>
          <w:tcPr>
            <w:tcW w:w="709" w:type="dxa"/>
            <w:shd w:val="clear" w:color="auto" w:fill="C6EFCE"/>
            <w:noWrap/>
          </w:tcPr>
          <w:p w14:paraId="18A46140"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997" w:type="dxa"/>
            <w:shd w:val="clear" w:color="auto" w:fill="C6EFCE"/>
            <w:noWrap/>
          </w:tcPr>
          <w:p w14:paraId="75338147"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737" w:type="dxa"/>
            <w:shd w:val="clear" w:color="auto" w:fill="C6EFCE"/>
            <w:noWrap/>
          </w:tcPr>
          <w:p w14:paraId="53F3875D"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567" w:type="dxa"/>
            <w:shd w:val="clear" w:color="auto" w:fill="C6EFCE"/>
            <w:noWrap/>
          </w:tcPr>
          <w:p w14:paraId="409CDD51" w14:textId="2112691E" w:rsidR="00D924EA" w:rsidRDefault="005701C9">
            <w:pPr>
              <w:pStyle w:val="P68B1DB1-Normal23"/>
              <w:spacing w:after="0" w:line="240" w:lineRule="auto"/>
              <w:jc w:val="center"/>
              <w:rPr>
                <w:rFonts w:eastAsia="Symbol" w:cs="Times New Roman"/>
                <w:noProof/>
                <w:szCs w:val="18"/>
              </w:rPr>
            </w:pPr>
            <w:r>
              <w:rPr>
                <w:noProof/>
              </w:rPr>
              <w:t>T4</w:t>
            </w:r>
          </w:p>
        </w:tc>
        <w:tc>
          <w:tcPr>
            <w:tcW w:w="567" w:type="dxa"/>
            <w:shd w:val="clear" w:color="auto" w:fill="C6EFCE"/>
            <w:noWrap/>
          </w:tcPr>
          <w:p w14:paraId="5CE340CB" w14:textId="77777777" w:rsidR="00D924EA" w:rsidRDefault="00011DE9">
            <w:pPr>
              <w:pStyle w:val="P68B1DB1-Normal23"/>
              <w:spacing w:after="0" w:line="240" w:lineRule="auto"/>
              <w:jc w:val="center"/>
              <w:rPr>
                <w:rFonts w:eastAsia="Symbol" w:cs="Times New Roman"/>
                <w:noProof/>
                <w:szCs w:val="18"/>
              </w:rPr>
            </w:pPr>
            <w:r>
              <w:rPr>
                <w:noProof/>
              </w:rPr>
              <w:t>2020</w:t>
            </w:r>
          </w:p>
        </w:tc>
        <w:tc>
          <w:tcPr>
            <w:tcW w:w="5217" w:type="dxa"/>
            <w:shd w:val="clear" w:color="auto" w:fill="C6EFCE"/>
            <w:noWrap/>
          </w:tcPr>
          <w:p w14:paraId="153999D2" w14:textId="77777777" w:rsidR="00D924EA" w:rsidRDefault="00011DE9">
            <w:pPr>
              <w:pStyle w:val="P68B1DB1-Normal23"/>
              <w:spacing w:after="0" w:line="240" w:lineRule="auto"/>
              <w:rPr>
                <w:rFonts w:eastAsia="Symbol" w:cs="Times New Roman"/>
                <w:noProof/>
                <w:szCs w:val="18"/>
              </w:rPr>
            </w:pPr>
            <w:r>
              <w:rPr>
                <w:noProof/>
              </w:rPr>
              <w:t>Decretul regal nr. 1183/2020 reglementează hibridizarea și ordonarea accesului la sursele regenerabile de energie și a racordării acestora la rețeaua de energie electrică.</w:t>
            </w:r>
          </w:p>
        </w:tc>
      </w:tr>
      <w:tr w:rsidR="00D924EA" w14:paraId="40041DDA" w14:textId="77777777" w:rsidTr="0042520D">
        <w:trPr>
          <w:trHeight w:val="309"/>
          <w:jc w:val="center"/>
        </w:trPr>
        <w:tc>
          <w:tcPr>
            <w:tcW w:w="709" w:type="dxa"/>
            <w:shd w:val="clear" w:color="auto" w:fill="C6EFCE"/>
            <w:noWrap/>
          </w:tcPr>
          <w:p w14:paraId="5ECBDC20" w14:textId="77777777" w:rsidR="00D924EA" w:rsidRDefault="00011DE9">
            <w:pPr>
              <w:pStyle w:val="P68B1DB1-Normal23"/>
              <w:spacing w:after="0" w:line="240" w:lineRule="auto"/>
              <w:jc w:val="center"/>
              <w:rPr>
                <w:rFonts w:eastAsia="Symbol" w:cs="Times New Roman"/>
                <w:noProof/>
                <w:szCs w:val="18"/>
              </w:rPr>
            </w:pPr>
            <w:r>
              <w:rPr>
                <w:noProof/>
              </w:rPr>
              <w:t>105</w:t>
            </w:r>
          </w:p>
        </w:tc>
        <w:tc>
          <w:tcPr>
            <w:tcW w:w="851" w:type="dxa"/>
            <w:shd w:val="clear" w:color="auto" w:fill="C6EFCE"/>
            <w:noWrap/>
          </w:tcPr>
          <w:p w14:paraId="4DC89E47" w14:textId="77777777" w:rsidR="00D924EA" w:rsidRDefault="00011DE9">
            <w:pPr>
              <w:pStyle w:val="P68B1DB1-Normal23"/>
              <w:spacing w:after="0" w:line="240" w:lineRule="auto"/>
              <w:jc w:val="center"/>
              <w:rPr>
                <w:rFonts w:eastAsia="Symbol" w:cs="Times New Roman"/>
                <w:noProof/>
                <w:szCs w:val="18"/>
              </w:rPr>
            </w:pPr>
            <w:r>
              <w:rPr>
                <w:noProof/>
              </w:rPr>
              <w:t>C7.R1</w:t>
            </w:r>
          </w:p>
        </w:tc>
        <w:tc>
          <w:tcPr>
            <w:tcW w:w="850" w:type="dxa"/>
            <w:shd w:val="clear" w:color="auto" w:fill="C6EFCE"/>
            <w:noWrap/>
          </w:tcPr>
          <w:p w14:paraId="246CDDCA" w14:textId="77777777" w:rsidR="00D924EA" w:rsidRDefault="00011DE9">
            <w:pPr>
              <w:pStyle w:val="P68B1DB1-Normal23"/>
              <w:spacing w:after="0" w:line="240" w:lineRule="auto"/>
              <w:jc w:val="center"/>
              <w:rPr>
                <w:rFonts w:eastAsia="Symbol" w:cs="Times New Roman"/>
                <w:noProof/>
                <w:szCs w:val="18"/>
              </w:rPr>
            </w:pPr>
            <w:r>
              <w:rPr>
                <w:noProof/>
              </w:rPr>
              <w:t>M</w:t>
            </w:r>
          </w:p>
        </w:tc>
        <w:tc>
          <w:tcPr>
            <w:tcW w:w="2688" w:type="dxa"/>
            <w:shd w:val="clear" w:color="auto" w:fill="C6EFCE"/>
            <w:noWrap/>
          </w:tcPr>
          <w:p w14:paraId="7F85599B" w14:textId="77777777" w:rsidR="00D924EA" w:rsidRDefault="00011DE9">
            <w:pPr>
              <w:pStyle w:val="P68B1DB1-Normal23"/>
              <w:spacing w:after="0" w:line="240" w:lineRule="auto"/>
              <w:rPr>
                <w:rFonts w:eastAsia="Symbol" w:cs="Times New Roman"/>
                <w:noProof/>
                <w:szCs w:val="18"/>
              </w:rPr>
            </w:pPr>
            <w:r>
              <w:rPr>
                <w:noProof/>
              </w:rPr>
              <w:t xml:space="preserve">Intrarea în vigoare a Legii privind schimbările climatice și tranziția energetică </w:t>
            </w:r>
          </w:p>
        </w:tc>
        <w:tc>
          <w:tcPr>
            <w:tcW w:w="1418" w:type="dxa"/>
            <w:shd w:val="clear" w:color="auto" w:fill="C6EFCE"/>
            <w:noWrap/>
          </w:tcPr>
          <w:p w14:paraId="39CB9D99" w14:textId="77777777" w:rsidR="00D924EA" w:rsidRDefault="00011DE9">
            <w:pPr>
              <w:pStyle w:val="P68B1DB1-Normal23"/>
              <w:spacing w:after="0" w:line="240" w:lineRule="auto"/>
              <w:jc w:val="center"/>
              <w:rPr>
                <w:rFonts w:eastAsia="Symbol" w:cs="Times New Roman"/>
                <w:noProof/>
                <w:szCs w:val="18"/>
              </w:rPr>
            </w:pPr>
            <w:r>
              <w:rPr>
                <w:noProof/>
              </w:rPr>
              <w:t xml:space="preserve">Dispoziție din Legea privind schimbările climatice și tranziția energetică privind intrarea în vigoare </w:t>
            </w:r>
          </w:p>
        </w:tc>
        <w:tc>
          <w:tcPr>
            <w:tcW w:w="709" w:type="dxa"/>
            <w:shd w:val="clear" w:color="auto" w:fill="C6EFCE"/>
            <w:noWrap/>
          </w:tcPr>
          <w:p w14:paraId="5369CE06"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997" w:type="dxa"/>
            <w:shd w:val="clear" w:color="auto" w:fill="C6EFCE"/>
            <w:noWrap/>
          </w:tcPr>
          <w:p w14:paraId="1D11950C"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737" w:type="dxa"/>
            <w:shd w:val="clear" w:color="auto" w:fill="C6EFCE"/>
            <w:noWrap/>
          </w:tcPr>
          <w:p w14:paraId="468FB12B"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567" w:type="dxa"/>
            <w:shd w:val="clear" w:color="auto" w:fill="C6EFCE"/>
            <w:noWrap/>
          </w:tcPr>
          <w:p w14:paraId="118CA739" w14:textId="3C569B60" w:rsidR="00D924EA" w:rsidRDefault="005701C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5BF7FF0F" w14:textId="77777777" w:rsidR="00D924EA" w:rsidRDefault="00011DE9">
            <w:pPr>
              <w:pStyle w:val="P68B1DB1-Normal23"/>
              <w:spacing w:after="0" w:line="240" w:lineRule="auto"/>
              <w:jc w:val="center"/>
              <w:rPr>
                <w:rFonts w:eastAsia="Symbol" w:cs="Times New Roman"/>
                <w:noProof/>
                <w:szCs w:val="18"/>
              </w:rPr>
            </w:pPr>
            <w:r>
              <w:rPr>
                <w:noProof/>
              </w:rPr>
              <w:t>2021</w:t>
            </w:r>
          </w:p>
        </w:tc>
        <w:tc>
          <w:tcPr>
            <w:tcW w:w="5217" w:type="dxa"/>
            <w:shd w:val="clear" w:color="auto" w:fill="C6EFCE"/>
            <w:noWrap/>
          </w:tcPr>
          <w:p w14:paraId="5400DBFB" w14:textId="77777777" w:rsidR="00D924EA" w:rsidRDefault="00011DE9">
            <w:pPr>
              <w:pStyle w:val="P68B1DB1-Normal23"/>
              <w:spacing w:after="0" w:line="240" w:lineRule="auto"/>
              <w:rPr>
                <w:rFonts w:eastAsia="Symbol" w:cs="Times New Roman"/>
                <w:noProof/>
                <w:szCs w:val="18"/>
              </w:rPr>
            </w:pPr>
            <w:r>
              <w:rPr>
                <w:noProof/>
              </w:rPr>
              <w:t>Legea privind schimbările climatice și tranziția energetică oferă o stabilitate normativă alternativă la dezvoltarea resurselor regenerabile, reducerea barierelor administrative și cerințe minime pentru instalarea de puncte publice de reîncărcare în serviciu.</w:t>
            </w:r>
          </w:p>
        </w:tc>
      </w:tr>
      <w:tr w:rsidR="00D924EA" w14:paraId="79A737AA" w14:textId="77777777" w:rsidTr="0042520D">
        <w:trPr>
          <w:trHeight w:val="309"/>
          <w:jc w:val="center"/>
        </w:trPr>
        <w:tc>
          <w:tcPr>
            <w:tcW w:w="709" w:type="dxa"/>
            <w:shd w:val="clear" w:color="auto" w:fill="C6EFCE"/>
            <w:noWrap/>
          </w:tcPr>
          <w:p w14:paraId="78F9FCB9" w14:textId="77777777" w:rsidR="00D924EA" w:rsidRDefault="00011DE9">
            <w:pPr>
              <w:pStyle w:val="P68B1DB1-Normal23"/>
              <w:spacing w:after="0" w:line="240" w:lineRule="auto"/>
              <w:jc w:val="center"/>
              <w:rPr>
                <w:rFonts w:eastAsia="Symbol" w:cs="Times New Roman"/>
                <w:noProof/>
                <w:szCs w:val="18"/>
              </w:rPr>
            </w:pPr>
            <w:r>
              <w:rPr>
                <w:noProof/>
              </w:rPr>
              <w:t>106</w:t>
            </w:r>
          </w:p>
        </w:tc>
        <w:tc>
          <w:tcPr>
            <w:tcW w:w="851" w:type="dxa"/>
            <w:shd w:val="clear" w:color="auto" w:fill="C6EFCE"/>
            <w:noWrap/>
          </w:tcPr>
          <w:p w14:paraId="29613ED1" w14:textId="77777777" w:rsidR="00D924EA" w:rsidRDefault="00011DE9">
            <w:pPr>
              <w:pStyle w:val="P68B1DB1-Normal23"/>
              <w:spacing w:after="0" w:line="240" w:lineRule="auto"/>
              <w:jc w:val="center"/>
              <w:rPr>
                <w:rFonts w:eastAsia="Symbol" w:cs="Times New Roman"/>
                <w:noProof/>
                <w:szCs w:val="18"/>
              </w:rPr>
            </w:pPr>
            <w:r>
              <w:rPr>
                <w:noProof/>
              </w:rPr>
              <w:t>C7.R1</w:t>
            </w:r>
          </w:p>
        </w:tc>
        <w:tc>
          <w:tcPr>
            <w:tcW w:w="850" w:type="dxa"/>
            <w:shd w:val="clear" w:color="auto" w:fill="C6EFCE"/>
            <w:noWrap/>
          </w:tcPr>
          <w:p w14:paraId="12B3AA46" w14:textId="77777777" w:rsidR="00D924EA" w:rsidRDefault="00011DE9">
            <w:pPr>
              <w:pStyle w:val="P68B1DB1-Normal23"/>
              <w:spacing w:after="0" w:line="240" w:lineRule="auto"/>
              <w:jc w:val="center"/>
              <w:rPr>
                <w:rFonts w:eastAsia="Symbol" w:cs="Times New Roman"/>
                <w:noProof/>
                <w:szCs w:val="18"/>
              </w:rPr>
            </w:pPr>
            <w:r>
              <w:rPr>
                <w:noProof/>
              </w:rPr>
              <w:t>T</w:t>
            </w:r>
          </w:p>
        </w:tc>
        <w:tc>
          <w:tcPr>
            <w:tcW w:w="2688" w:type="dxa"/>
            <w:shd w:val="clear" w:color="auto" w:fill="C6EFCE"/>
            <w:noWrap/>
          </w:tcPr>
          <w:p w14:paraId="11980AD0" w14:textId="77777777" w:rsidR="00D924EA" w:rsidRDefault="00011DE9">
            <w:pPr>
              <w:pStyle w:val="P68B1DB1-Normal23"/>
              <w:spacing w:after="0" w:line="240" w:lineRule="auto"/>
              <w:rPr>
                <w:rFonts w:eastAsia="Symbol" w:cs="Times New Roman"/>
                <w:noProof/>
                <w:szCs w:val="18"/>
              </w:rPr>
            </w:pPr>
            <w:r>
              <w:rPr>
                <w:noProof/>
              </w:rPr>
              <w:t xml:space="preserve">Capacitate de producție suplimentară pentru energia din surse regenerabile </w:t>
            </w:r>
          </w:p>
        </w:tc>
        <w:tc>
          <w:tcPr>
            <w:tcW w:w="1418" w:type="dxa"/>
            <w:shd w:val="clear" w:color="auto" w:fill="C6EFCE"/>
            <w:noWrap/>
          </w:tcPr>
          <w:p w14:paraId="10E376B4" w14:textId="77777777" w:rsidR="00D924EA" w:rsidRDefault="00011DE9">
            <w:pPr>
              <w:pStyle w:val="P68B1DB1-Normal23"/>
              <w:spacing w:after="0" w:line="240" w:lineRule="auto"/>
              <w:jc w:val="center"/>
              <w:rPr>
                <w:rFonts w:eastAsia="Symbol" w:cs="Times New Roman"/>
                <w:noProof/>
                <w:szCs w:val="18"/>
              </w:rPr>
            </w:pPr>
            <w:r>
              <w:rPr>
                <w:noProof/>
              </w:rPr>
              <w:t>—</w:t>
            </w:r>
          </w:p>
        </w:tc>
        <w:tc>
          <w:tcPr>
            <w:tcW w:w="709" w:type="dxa"/>
            <w:shd w:val="clear" w:color="auto" w:fill="C6EFCE"/>
            <w:noWrap/>
          </w:tcPr>
          <w:p w14:paraId="014D8028" w14:textId="77777777" w:rsidR="00D924EA" w:rsidRDefault="00011DE9">
            <w:pPr>
              <w:pStyle w:val="P68B1DB1-Normal23"/>
              <w:spacing w:after="0" w:line="240" w:lineRule="auto"/>
              <w:jc w:val="center"/>
              <w:rPr>
                <w:rFonts w:eastAsia="Symbol" w:cs="Times New Roman"/>
                <w:noProof/>
                <w:szCs w:val="18"/>
              </w:rPr>
            </w:pPr>
            <w:r>
              <w:rPr>
                <w:noProof/>
              </w:rPr>
              <w:t>Număr (MW)</w:t>
            </w:r>
          </w:p>
        </w:tc>
        <w:tc>
          <w:tcPr>
            <w:tcW w:w="997" w:type="dxa"/>
            <w:shd w:val="clear" w:color="auto" w:fill="C6EFCE"/>
            <w:noWrap/>
          </w:tcPr>
          <w:p w14:paraId="153A2AD1" w14:textId="77777777" w:rsidR="00D924EA" w:rsidRDefault="00011DE9">
            <w:pPr>
              <w:pStyle w:val="P68B1DB1-Normal23"/>
              <w:spacing w:after="0" w:line="240" w:lineRule="auto"/>
              <w:jc w:val="center"/>
              <w:rPr>
                <w:rFonts w:eastAsia="Symbol" w:cs="Times New Roman"/>
                <w:noProof/>
                <w:szCs w:val="18"/>
              </w:rPr>
            </w:pPr>
            <w:r>
              <w:rPr>
                <w:noProof/>
              </w:rPr>
              <w:t>0</w:t>
            </w:r>
          </w:p>
        </w:tc>
        <w:tc>
          <w:tcPr>
            <w:tcW w:w="737" w:type="dxa"/>
            <w:shd w:val="clear" w:color="auto" w:fill="C6EFCE"/>
            <w:noWrap/>
          </w:tcPr>
          <w:p w14:paraId="738954D0" w14:textId="7305E707" w:rsidR="00D924EA" w:rsidRDefault="00011DE9">
            <w:pPr>
              <w:pStyle w:val="P68B1DB1-Normal23"/>
              <w:spacing w:after="0" w:line="240" w:lineRule="auto"/>
              <w:jc w:val="center"/>
              <w:rPr>
                <w:rFonts w:eastAsia="Symbol" w:cs="Times New Roman"/>
                <w:noProof/>
                <w:szCs w:val="18"/>
              </w:rPr>
            </w:pPr>
            <w:r>
              <w:rPr>
                <w:noProof/>
              </w:rPr>
              <w:t>6 000</w:t>
            </w:r>
            <w:r w:rsidR="00971820">
              <w:rPr>
                <w:noProof/>
              </w:rPr>
              <w:t xml:space="preserve">      </w:t>
            </w:r>
          </w:p>
        </w:tc>
        <w:tc>
          <w:tcPr>
            <w:tcW w:w="567" w:type="dxa"/>
            <w:shd w:val="clear" w:color="auto" w:fill="C6EFCE"/>
            <w:noWrap/>
          </w:tcPr>
          <w:p w14:paraId="7687A070" w14:textId="72C5CFC6" w:rsidR="00D924EA" w:rsidRDefault="005701C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4C22EE6F" w14:textId="77777777" w:rsidR="00D924EA" w:rsidRDefault="00011DE9">
            <w:pPr>
              <w:pStyle w:val="P68B1DB1-Normal23"/>
              <w:spacing w:after="0" w:line="240" w:lineRule="auto"/>
              <w:jc w:val="center"/>
              <w:rPr>
                <w:rFonts w:eastAsia="Symbol" w:cs="Times New Roman"/>
                <w:noProof/>
                <w:szCs w:val="18"/>
              </w:rPr>
            </w:pPr>
            <w:r>
              <w:rPr>
                <w:noProof/>
              </w:rPr>
              <w:t>2023</w:t>
            </w:r>
          </w:p>
        </w:tc>
        <w:tc>
          <w:tcPr>
            <w:tcW w:w="5217" w:type="dxa"/>
            <w:shd w:val="clear" w:color="auto" w:fill="C6EFCE"/>
            <w:noWrap/>
          </w:tcPr>
          <w:p w14:paraId="7321FB01" w14:textId="77777777" w:rsidR="00D924EA" w:rsidRDefault="00011DE9">
            <w:pPr>
              <w:pStyle w:val="P68B1DB1-Normal23"/>
              <w:spacing w:after="0" w:line="240" w:lineRule="auto"/>
              <w:rPr>
                <w:rFonts w:eastAsia="Symbol" w:cs="Times New Roman"/>
                <w:noProof/>
                <w:szCs w:val="18"/>
              </w:rPr>
            </w:pPr>
            <w:r>
              <w:rPr>
                <w:noProof/>
              </w:rPr>
              <w:t xml:space="preserve">Capacitatea suplimentară cumulativă de producție pentru energia din surse regenerabile sprijinită în temeiul noului cadru legislativ favorabil inclus în reforma C7.R1 (inclusiv mecanismul de licitație instituit prin RD 960/2020, noul regulament privind autorizațiile de acces și conectare și privind hibridizarea): cel puțin 6 000 MW acordați </w:t>
            </w:r>
          </w:p>
        </w:tc>
      </w:tr>
      <w:tr w:rsidR="00D924EA" w14:paraId="07C26E73" w14:textId="77777777" w:rsidTr="0042520D">
        <w:trPr>
          <w:trHeight w:val="309"/>
          <w:jc w:val="center"/>
        </w:trPr>
        <w:tc>
          <w:tcPr>
            <w:tcW w:w="709" w:type="dxa"/>
            <w:shd w:val="clear" w:color="auto" w:fill="C6EFCE"/>
            <w:noWrap/>
          </w:tcPr>
          <w:p w14:paraId="1F0F80F3" w14:textId="77777777" w:rsidR="00D924EA" w:rsidRDefault="00011DE9">
            <w:pPr>
              <w:pStyle w:val="P68B1DB1-Normal23"/>
              <w:spacing w:after="0" w:line="240" w:lineRule="auto"/>
              <w:jc w:val="center"/>
              <w:rPr>
                <w:rFonts w:eastAsia="Symbol" w:cs="Times New Roman"/>
                <w:noProof/>
                <w:szCs w:val="18"/>
              </w:rPr>
            </w:pPr>
            <w:r>
              <w:rPr>
                <w:noProof/>
              </w:rPr>
              <w:t>107</w:t>
            </w:r>
          </w:p>
        </w:tc>
        <w:tc>
          <w:tcPr>
            <w:tcW w:w="851" w:type="dxa"/>
            <w:shd w:val="clear" w:color="auto" w:fill="C6EFCE"/>
            <w:noWrap/>
          </w:tcPr>
          <w:p w14:paraId="30D2BE6C" w14:textId="77777777" w:rsidR="00D924EA" w:rsidRDefault="00011DE9">
            <w:pPr>
              <w:pStyle w:val="P68B1DB1-Normal23"/>
              <w:spacing w:after="0" w:line="240" w:lineRule="auto"/>
              <w:jc w:val="center"/>
              <w:rPr>
                <w:rFonts w:eastAsia="Symbol" w:cs="Times New Roman"/>
                <w:noProof/>
                <w:szCs w:val="18"/>
              </w:rPr>
            </w:pPr>
            <w:r>
              <w:rPr>
                <w:noProof/>
              </w:rPr>
              <w:t>C7.R1</w:t>
            </w:r>
          </w:p>
        </w:tc>
        <w:tc>
          <w:tcPr>
            <w:tcW w:w="850" w:type="dxa"/>
            <w:shd w:val="clear" w:color="auto" w:fill="C6EFCE"/>
            <w:noWrap/>
          </w:tcPr>
          <w:p w14:paraId="1FE00E67" w14:textId="77777777" w:rsidR="00D924EA" w:rsidRDefault="00011DE9">
            <w:pPr>
              <w:pStyle w:val="P68B1DB1-Normal23"/>
              <w:spacing w:after="0" w:line="240" w:lineRule="auto"/>
              <w:jc w:val="center"/>
              <w:rPr>
                <w:rFonts w:eastAsia="Symbol" w:cs="Times New Roman"/>
                <w:noProof/>
                <w:szCs w:val="18"/>
              </w:rPr>
            </w:pPr>
            <w:r>
              <w:rPr>
                <w:noProof/>
              </w:rPr>
              <w:t>T</w:t>
            </w:r>
          </w:p>
        </w:tc>
        <w:tc>
          <w:tcPr>
            <w:tcW w:w="2688" w:type="dxa"/>
            <w:shd w:val="clear" w:color="auto" w:fill="C6EFCE"/>
            <w:noWrap/>
          </w:tcPr>
          <w:p w14:paraId="71953EBC" w14:textId="77777777" w:rsidR="00D924EA" w:rsidRDefault="00011DE9">
            <w:pPr>
              <w:pStyle w:val="P68B1DB1-Normal23"/>
              <w:spacing w:after="0" w:line="240" w:lineRule="auto"/>
              <w:rPr>
                <w:rFonts w:eastAsia="Symbol" w:cs="Times New Roman"/>
                <w:noProof/>
                <w:szCs w:val="18"/>
              </w:rPr>
            </w:pPr>
            <w:r>
              <w:rPr>
                <w:noProof/>
              </w:rPr>
              <w:t xml:space="preserve">Capacitatea suplimentară cumulată de energie din surse regenerabile instalată în Spania </w:t>
            </w:r>
          </w:p>
        </w:tc>
        <w:tc>
          <w:tcPr>
            <w:tcW w:w="1418" w:type="dxa"/>
            <w:shd w:val="clear" w:color="auto" w:fill="C6EFCE"/>
            <w:noWrap/>
          </w:tcPr>
          <w:p w14:paraId="0594B0C8" w14:textId="77777777" w:rsidR="00D924EA" w:rsidRDefault="00011DE9">
            <w:pPr>
              <w:pStyle w:val="P68B1DB1-Normal23"/>
              <w:spacing w:after="0" w:line="240" w:lineRule="auto"/>
              <w:jc w:val="center"/>
              <w:rPr>
                <w:rFonts w:eastAsia="Symbol" w:cs="Times New Roman"/>
                <w:noProof/>
                <w:szCs w:val="18"/>
              </w:rPr>
            </w:pPr>
            <w:r>
              <w:rPr>
                <w:noProof/>
              </w:rPr>
              <w:t>—</w:t>
            </w:r>
          </w:p>
        </w:tc>
        <w:tc>
          <w:tcPr>
            <w:tcW w:w="709" w:type="dxa"/>
            <w:shd w:val="clear" w:color="auto" w:fill="C6EFCE"/>
            <w:noWrap/>
          </w:tcPr>
          <w:p w14:paraId="344E8D26" w14:textId="77777777" w:rsidR="00D924EA" w:rsidRDefault="00011DE9">
            <w:pPr>
              <w:pStyle w:val="P68B1DB1-Normal23"/>
              <w:spacing w:after="0" w:line="240" w:lineRule="auto"/>
              <w:jc w:val="center"/>
              <w:rPr>
                <w:rFonts w:eastAsia="Symbol" w:cs="Times New Roman"/>
                <w:noProof/>
                <w:szCs w:val="18"/>
              </w:rPr>
            </w:pPr>
            <w:r>
              <w:rPr>
                <w:noProof/>
              </w:rPr>
              <w:t>Număr (MW)</w:t>
            </w:r>
          </w:p>
        </w:tc>
        <w:tc>
          <w:tcPr>
            <w:tcW w:w="997" w:type="dxa"/>
            <w:shd w:val="clear" w:color="auto" w:fill="C6EFCE"/>
            <w:noWrap/>
          </w:tcPr>
          <w:p w14:paraId="4489AFE3" w14:textId="77777777" w:rsidR="00D924EA" w:rsidRDefault="00011DE9">
            <w:pPr>
              <w:pStyle w:val="P68B1DB1-Normal23"/>
              <w:spacing w:after="0" w:line="240" w:lineRule="auto"/>
              <w:jc w:val="center"/>
              <w:rPr>
                <w:rFonts w:eastAsia="Symbol" w:cs="Times New Roman"/>
                <w:noProof/>
                <w:szCs w:val="18"/>
              </w:rPr>
            </w:pPr>
            <w:r>
              <w:rPr>
                <w:noProof/>
              </w:rPr>
              <w:t>0</w:t>
            </w:r>
          </w:p>
        </w:tc>
        <w:tc>
          <w:tcPr>
            <w:tcW w:w="737" w:type="dxa"/>
            <w:shd w:val="clear" w:color="auto" w:fill="C6EFCE"/>
            <w:noWrap/>
          </w:tcPr>
          <w:p w14:paraId="712D836F" w14:textId="77777777" w:rsidR="00D924EA" w:rsidRDefault="00011DE9">
            <w:pPr>
              <w:pStyle w:val="P68B1DB1-Normal23"/>
              <w:spacing w:after="0" w:line="240" w:lineRule="auto"/>
              <w:jc w:val="center"/>
              <w:rPr>
                <w:rFonts w:eastAsia="Symbol" w:cs="Times New Roman"/>
                <w:noProof/>
                <w:szCs w:val="18"/>
              </w:rPr>
            </w:pPr>
            <w:r>
              <w:rPr>
                <w:noProof/>
              </w:rPr>
              <w:t>6 000</w:t>
            </w:r>
          </w:p>
        </w:tc>
        <w:tc>
          <w:tcPr>
            <w:tcW w:w="567" w:type="dxa"/>
            <w:shd w:val="clear" w:color="auto" w:fill="C6EFCE"/>
            <w:noWrap/>
          </w:tcPr>
          <w:p w14:paraId="7A182FB5" w14:textId="641DD10D" w:rsidR="00D924EA" w:rsidRDefault="005701C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0CEB32A9" w14:textId="77777777" w:rsidR="00D924EA" w:rsidRDefault="00011DE9">
            <w:pPr>
              <w:pStyle w:val="P68B1DB1-Normal23"/>
              <w:spacing w:after="0" w:line="240" w:lineRule="auto"/>
              <w:jc w:val="center"/>
              <w:rPr>
                <w:rFonts w:eastAsia="Symbol" w:cs="Times New Roman"/>
                <w:noProof/>
                <w:szCs w:val="18"/>
              </w:rPr>
            </w:pPr>
            <w:r>
              <w:rPr>
                <w:noProof/>
              </w:rPr>
              <w:t>2023</w:t>
            </w:r>
          </w:p>
        </w:tc>
        <w:tc>
          <w:tcPr>
            <w:tcW w:w="5217" w:type="dxa"/>
            <w:shd w:val="clear" w:color="auto" w:fill="C6EFCE"/>
            <w:noWrap/>
          </w:tcPr>
          <w:p w14:paraId="36033345" w14:textId="69FA7405" w:rsidR="00D924EA" w:rsidRDefault="00011DE9">
            <w:pPr>
              <w:pStyle w:val="P68B1DB1-Normal23"/>
              <w:spacing w:after="0" w:line="240" w:lineRule="auto"/>
              <w:rPr>
                <w:noProof/>
              </w:rPr>
            </w:pPr>
            <w:r>
              <w:rPr>
                <w:noProof/>
              </w:rPr>
              <w:t>Capacitatea suplimentară cumulată de energie din surse regenerabile instalată în Spania în perioada T1 2020-T42023, în temeiul noului cadru legislativ favorabil inclus în reforma C7.R1 (inclusiv mecanismul de licitație instituit prin RD 960/2020, noul regulament privind autorizațiile de acces și conectare și privind hibridizarea): cel puțin 6 000 MW construiți</w:t>
            </w:r>
          </w:p>
          <w:p w14:paraId="33D2A88C" w14:textId="77777777" w:rsidR="00D924EA" w:rsidRDefault="00D924EA">
            <w:pPr>
              <w:spacing w:after="0" w:line="240" w:lineRule="auto"/>
              <w:rPr>
                <w:rFonts w:ascii="Times New Roman" w:hAnsi="Times New Roman"/>
                <w:noProof/>
                <w:sz w:val="18"/>
              </w:rPr>
            </w:pPr>
          </w:p>
          <w:p w14:paraId="3398CB77" w14:textId="77777777" w:rsidR="00D924EA" w:rsidRDefault="00011DE9">
            <w:pPr>
              <w:pStyle w:val="P68B1DB1-Normal23"/>
              <w:spacing w:after="0" w:line="240" w:lineRule="auto"/>
              <w:rPr>
                <w:noProof/>
                <w:szCs w:val="22"/>
              </w:rPr>
            </w:pPr>
            <w:r>
              <w:rPr>
                <w:noProof/>
              </w:rPr>
              <w:t>Specificații suplimentare din acordurile operaționale: Decretul regal nr. 413/2014 reglementează în mod exhaustiv registrul oficial al producției de energie din surse regenerabile (RAIPREE). La articolul 37, acest decret regal indică faptul că este obligatoriu ca toate instalațiile care intră în domeniul de aplicare al decretului regal să fie înscrise în RAIPREE. Articolul 40 din decretul regal prevede că, pentru a fi înscrisă în RAIPREE, instalația trebuie să dețină o autorizație definitivă de exploatare.</w:t>
            </w:r>
          </w:p>
        </w:tc>
      </w:tr>
      <w:tr w:rsidR="00D924EA" w14:paraId="01382B41" w14:textId="77777777" w:rsidTr="0042520D">
        <w:trPr>
          <w:trHeight w:val="309"/>
          <w:jc w:val="center"/>
        </w:trPr>
        <w:tc>
          <w:tcPr>
            <w:tcW w:w="709" w:type="dxa"/>
            <w:shd w:val="clear" w:color="auto" w:fill="C6EFCE"/>
            <w:noWrap/>
          </w:tcPr>
          <w:p w14:paraId="4913D990" w14:textId="77777777" w:rsidR="00D924EA" w:rsidRDefault="00011DE9">
            <w:pPr>
              <w:pStyle w:val="P68B1DB1-Normal23"/>
              <w:spacing w:after="0" w:line="240" w:lineRule="auto"/>
              <w:jc w:val="center"/>
              <w:rPr>
                <w:rFonts w:eastAsia="Symbol" w:cs="Times New Roman"/>
                <w:noProof/>
                <w:szCs w:val="18"/>
              </w:rPr>
            </w:pPr>
            <w:r>
              <w:rPr>
                <w:noProof/>
              </w:rPr>
              <w:t>108</w:t>
            </w:r>
          </w:p>
        </w:tc>
        <w:tc>
          <w:tcPr>
            <w:tcW w:w="851" w:type="dxa"/>
            <w:shd w:val="clear" w:color="auto" w:fill="C6EFCE"/>
            <w:noWrap/>
          </w:tcPr>
          <w:p w14:paraId="198E5476" w14:textId="77777777" w:rsidR="00D924EA" w:rsidRDefault="00011DE9">
            <w:pPr>
              <w:pStyle w:val="P68B1DB1-Normal23"/>
              <w:spacing w:after="0" w:line="240" w:lineRule="auto"/>
              <w:jc w:val="center"/>
              <w:rPr>
                <w:rFonts w:eastAsia="Symbol" w:cs="Times New Roman"/>
                <w:noProof/>
                <w:szCs w:val="18"/>
              </w:rPr>
            </w:pPr>
            <w:r>
              <w:rPr>
                <w:noProof/>
              </w:rPr>
              <w:t>C7.R2</w:t>
            </w:r>
          </w:p>
        </w:tc>
        <w:tc>
          <w:tcPr>
            <w:tcW w:w="850" w:type="dxa"/>
            <w:shd w:val="clear" w:color="auto" w:fill="C6EFCE"/>
            <w:noWrap/>
          </w:tcPr>
          <w:p w14:paraId="044B02F8" w14:textId="77777777" w:rsidR="00D924EA" w:rsidRDefault="00011DE9">
            <w:pPr>
              <w:pStyle w:val="P68B1DB1-Normal23"/>
              <w:spacing w:after="0" w:line="240" w:lineRule="auto"/>
              <w:jc w:val="center"/>
              <w:rPr>
                <w:rFonts w:eastAsia="Symbol" w:cs="Times New Roman"/>
                <w:noProof/>
                <w:szCs w:val="18"/>
              </w:rPr>
            </w:pPr>
            <w:r>
              <w:rPr>
                <w:noProof/>
              </w:rPr>
              <w:t>M</w:t>
            </w:r>
          </w:p>
        </w:tc>
        <w:tc>
          <w:tcPr>
            <w:tcW w:w="2688" w:type="dxa"/>
            <w:shd w:val="clear" w:color="auto" w:fill="C6EFCE"/>
            <w:noWrap/>
          </w:tcPr>
          <w:p w14:paraId="4CBD9E3D" w14:textId="77777777" w:rsidR="00D924EA" w:rsidRDefault="00011DE9">
            <w:pPr>
              <w:pStyle w:val="P68B1DB1-Normal23"/>
              <w:spacing w:after="0" w:line="240" w:lineRule="auto"/>
              <w:rPr>
                <w:rFonts w:eastAsia="Symbol" w:cs="Times New Roman"/>
                <w:noProof/>
                <w:szCs w:val="18"/>
              </w:rPr>
            </w:pPr>
            <w:r>
              <w:rPr>
                <w:noProof/>
              </w:rPr>
              <w:t>Strategia națională privind autoconsumul</w:t>
            </w:r>
          </w:p>
        </w:tc>
        <w:tc>
          <w:tcPr>
            <w:tcW w:w="1418" w:type="dxa"/>
            <w:shd w:val="clear" w:color="auto" w:fill="C6EFCE"/>
            <w:noWrap/>
          </w:tcPr>
          <w:p w14:paraId="216C6234" w14:textId="77777777" w:rsidR="00D924EA" w:rsidRDefault="00011DE9">
            <w:pPr>
              <w:pStyle w:val="P68B1DB1-Normal23"/>
              <w:spacing w:after="0" w:line="240" w:lineRule="auto"/>
              <w:jc w:val="center"/>
              <w:rPr>
                <w:rFonts w:eastAsia="Symbol" w:cs="Times New Roman"/>
                <w:noProof/>
                <w:szCs w:val="18"/>
              </w:rPr>
            </w:pPr>
            <w:r>
              <w:rPr>
                <w:noProof/>
              </w:rPr>
              <w:t>Publicarea pe pagina web</w:t>
            </w:r>
          </w:p>
        </w:tc>
        <w:tc>
          <w:tcPr>
            <w:tcW w:w="709" w:type="dxa"/>
            <w:shd w:val="clear" w:color="auto" w:fill="C6EFCE"/>
            <w:noWrap/>
          </w:tcPr>
          <w:p w14:paraId="560028C6"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997" w:type="dxa"/>
            <w:shd w:val="clear" w:color="auto" w:fill="C6EFCE"/>
            <w:noWrap/>
          </w:tcPr>
          <w:p w14:paraId="5F29237F"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737" w:type="dxa"/>
            <w:shd w:val="clear" w:color="auto" w:fill="C6EFCE"/>
            <w:noWrap/>
          </w:tcPr>
          <w:p w14:paraId="4843AABC"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567" w:type="dxa"/>
            <w:shd w:val="clear" w:color="auto" w:fill="C6EFCE"/>
            <w:noWrap/>
          </w:tcPr>
          <w:p w14:paraId="66F9C1D7" w14:textId="6629D3BD" w:rsidR="00D924EA" w:rsidRDefault="005701C9">
            <w:pPr>
              <w:pStyle w:val="P68B1DB1-Normal23"/>
              <w:spacing w:after="0" w:line="240" w:lineRule="auto"/>
              <w:jc w:val="center"/>
              <w:rPr>
                <w:rFonts w:eastAsia="Symbol" w:cs="Times New Roman"/>
                <w:noProof/>
                <w:szCs w:val="18"/>
              </w:rPr>
            </w:pPr>
            <w:r>
              <w:rPr>
                <w:noProof/>
              </w:rPr>
              <w:t>T4</w:t>
            </w:r>
          </w:p>
        </w:tc>
        <w:tc>
          <w:tcPr>
            <w:tcW w:w="567" w:type="dxa"/>
            <w:shd w:val="clear" w:color="auto" w:fill="C6EFCE"/>
            <w:noWrap/>
          </w:tcPr>
          <w:p w14:paraId="168E4341" w14:textId="77777777" w:rsidR="00D924EA" w:rsidRDefault="00011DE9">
            <w:pPr>
              <w:pStyle w:val="P68B1DB1-Normal23"/>
              <w:spacing w:after="0" w:line="240" w:lineRule="auto"/>
              <w:jc w:val="center"/>
              <w:rPr>
                <w:rFonts w:eastAsia="Symbol" w:cs="Times New Roman"/>
                <w:noProof/>
                <w:szCs w:val="18"/>
              </w:rPr>
            </w:pPr>
            <w:r>
              <w:rPr>
                <w:noProof/>
              </w:rPr>
              <w:t>2021</w:t>
            </w:r>
          </w:p>
        </w:tc>
        <w:tc>
          <w:tcPr>
            <w:tcW w:w="5217" w:type="dxa"/>
            <w:shd w:val="clear" w:color="auto" w:fill="C6EFCE"/>
            <w:noWrap/>
          </w:tcPr>
          <w:p w14:paraId="6AB6C889" w14:textId="77777777" w:rsidR="00D924EA" w:rsidRDefault="00011DE9">
            <w:pPr>
              <w:pStyle w:val="P68B1DB1-Normal23"/>
              <w:spacing w:after="0" w:line="240" w:lineRule="auto"/>
              <w:rPr>
                <w:rFonts w:eastAsia="Symbol" w:cs="Times New Roman"/>
                <w:noProof/>
                <w:szCs w:val="18"/>
              </w:rPr>
            </w:pPr>
            <w:r>
              <w:rPr>
                <w:noProof/>
              </w:rPr>
              <w:t>Adoptarea de către Consiliul de Miniștri și publicarea pe site-ul guvernului a Strategiei naționale privind autoconsumul în vederea reducerii barierelor administrative din calea autoconsumului.</w:t>
            </w:r>
          </w:p>
        </w:tc>
      </w:tr>
      <w:tr w:rsidR="00D924EA" w14:paraId="17FE36FE" w14:textId="77777777" w:rsidTr="0042520D">
        <w:trPr>
          <w:trHeight w:val="309"/>
          <w:jc w:val="center"/>
        </w:trPr>
        <w:tc>
          <w:tcPr>
            <w:tcW w:w="709" w:type="dxa"/>
            <w:shd w:val="clear" w:color="auto" w:fill="C6EFCE"/>
            <w:noWrap/>
          </w:tcPr>
          <w:p w14:paraId="62E01D46" w14:textId="77777777" w:rsidR="00D924EA" w:rsidRDefault="00011DE9">
            <w:pPr>
              <w:pStyle w:val="P68B1DB1-Normal23"/>
              <w:spacing w:after="0" w:line="240" w:lineRule="auto"/>
              <w:jc w:val="center"/>
              <w:rPr>
                <w:rFonts w:eastAsia="Symbol" w:cs="Times New Roman"/>
                <w:noProof/>
                <w:szCs w:val="18"/>
              </w:rPr>
            </w:pPr>
            <w:r>
              <w:rPr>
                <w:noProof/>
              </w:rPr>
              <w:t>109</w:t>
            </w:r>
          </w:p>
        </w:tc>
        <w:tc>
          <w:tcPr>
            <w:tcW w:w="851" w:type="dxa"/>
            <w:shd w:val="clear" w:color="auto" w:fill="C6EFCE"/>
            <w:noWrap/>
          </w:tcPr>
          <w:p w14:paraId="4ACFFD44" w14:textId="77777777" w:rsidR="00D924EA" w:rsidRDefault="00011DE9">
            <w:pPr>
              <w:pStyle w:val="P68B1DB1-Normal23"/>
              <w:spacing w:after="0" w:line="240" w:lineRule="auto"/>
              <w:jc w:val="center"/>
              <w:rPr>
                <w:rFonts w:eastAsia="Symbol" w:cs="Times New Roman"/>
                <w:noProof/>
                <w:szCs w:val="18"/>
              </w:rPr>
            </w:pPr>
            <w:r>
              <w:rPr>
                <w:noProof/>
              </w:rPr>
              <w:t>C7.R2</w:t>
            </w:r>
          </w:p>
        </w:tc>
        <w:tc>
          <w:tcPr>
            <w:tcW w:w="850" w:type="dxa"/>
            <w:shd w:val="clear" w:color="auto" w:fill="C6EFCE"/>
            <w:noWrap/>
          </w:tcPr>
          <w:p w14:paraId="28340228" w14:textId="77777777" w:rsidR="00D924EA" w:rsidRDefault="00011DE9">
            <w:pPr>
              <w:pStyle w:val="P68B1DB1-Normal23"/>
              <w:spacing w:after="0" w:line="240" w:lineRule="auto"/>
              <w:jc w:val="center"/>
              <w:rPr>
                <w:rFonts w:eastAsia="Symbol" w:cs="Times New Roman"/>
                <w:noProof/>
                <w:szCs w:val="18"/>
              </w:rPr>
            </w:pPr>
            <w:r>
              <w:rPr>
                <w:noProof/>
              </w:rPr>
              <w:t>M</w:t>
            </w:r>
          </w:p>
        </w:tc>
        <w:tc>
          <w:tcPr>
            <w:tcW w:w="2688" w:type="dxa"/>
            <w:shd w:val="clear" w:color="auto" w:fill="C6EFCE"/>
            <w:noWrap/>
          </w:tcPr>
          <w:p w14:paraId="6E4373F2" w14:textId="77777777" w:rsidR="00D924EA" w:rsidRDefault="00011DE9">
            <w:pPr>
              <w:pStyle w:val="P68B1DB1-Normal23"/>
              <w:spacing w:after="0" w:line="240" w:lineRule="auto"/>
              <w:rPr>
                <w:rFonts w:eastAsia="Symbol" w:cs="Times New Roman"/>
                <w:noProof/>
                <w:szCs w:val="18"/>
              </w:rPr>
            </w:pPr>
            <w:r>
              <w:rPr>
                <w:noProof/>
              </w:rPr>
              <w:t>Finalizarea măsurilor din cadrul Strategiei naționale privind autoconsumul</w:t>
            </w:r>
          </w:p>
        </w:tc>
        <w:tc>
          <w:tcPr>
            <w:tcW w:w="1418" w:type="dxa"/>
            <w:shd w:val="clear" w:color="auto" w:fill="C6EFCE"/>
            <w:noWrap/>
          </w:tcPr>
          <w:p w14:paraId="2CC40CB1" w14:textId="77777777" w:rsidR="00D924EA" w:rsidRDefault="00011DE9">
            <w:pPr>
              <w:pStyle w:val="P68B1DB1-Normal23"/>
              <w:spacing w:after="0" w:line="240" w:lineRule="auto"/>
              <w:jc w:val="center"/>
              <w:rPr>
                <w:rFonts w:eastAsia="Symbol" w:cs="Times New Roman"/>
                <w:noProof/>
                <w:szCs w:val="18"/>
              </w:rPr>
            </w:pPr>
            <w:r>
              <w:rPr>
                <w:noProof/>
              </w:rPr>
              <w:t>Publicarea rezultatelor pe pagina web</w:t>
            </w:r>
          </w:p>
        </w:tc>
        <w:tc>
          <w:tcPr>
            <w:tcW w:w="709" w:type="dxa"/>
            <w:shd w:val="clear" w:color="auto" w:fill="C6EFCE"/>
            <w:noWrap/>
          </w:tcPr>
          <w:p w14:paraId="7827ACDA"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997" w:type="dxa"/>
            <w:shd w:val="clear" w:color="auto" w:fill="C6EFCE"/>
            <w:noWrap/>
          </w:tcPr>
          <w:p w14:paraId="251F1D22"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737" w:type="dxa"/>
            <w:shd w:val="clear" w:color="auto" w:fill="C6EFCE"/>
            <w:noWrap/>
          </w:tcPr>
          <w:p w14:paraId="35AD7798"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567" w:type="dxa"/>
            <w:shd w:val="clear" w:color="auto" w:fill="C6EFCE"/>
            <w:noWrap/>
          </w:tcPr>
          <w:p w14:paraId="5AD1DEAE" w14:textId="2FB178CA" w:rsidR="00D924EA" w:rsidRDefault="005701C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40589898" w14:textId="77777777" w:rsidR="00D924EA" w:rsidRDefault="00011DE9">
            <w:pPr>
              <w:pStyle w:val="P68B1DB1-Normal23"/>
              <w:spacing w:after="0" w:line="240" w:lineRule="auto"/>
              <w:jc w:val="center"/>
              <w:rPr>
                <w:rFonts w:eastAsia="Symbol" w:cs="Times New Roman"/>
                <w:noProof/>
                <w:szCs w:val="18"/>
              </w:rPr>
            </w:pPr>
            <w:r>
              <w:rPr>
                <w:noProof/>
              </w:rPr>
              <w:t>2023</w:t>
            </w:r>
          </w:p>
        </w:tc>
        <w:tc>
          <w:tcPr>
            <w:tcW w:w="5217" w:type="dxa"/>
            <w:shd w:val="clear" w:color="auto" w:fill="C6EFCE"/>
            <w:noWrap/>
          </w:tcPr>
          <w:p w14:paraId="21E2E1D4" w14:textId="77777777" w:rsidR="00D924EA" w:rsidRDefault="00011DE9">
            <w:pPr>
              <w:pStyle w:val="P68B1DB1-Normal23"/>
              <w:spacing w:after="0" w:line="240" w:lineRule="auto"/>
              <w:rPr>
                <w:rFonts w:eastAsia="Symbol" w:cs="Times New Roman"/>
                <w:noProof/>
                <w:szCs w:val="18"/>
              </w:rPr>
            </w:pPr>
            <w:r>
              <w:rPr>
                <w:noProof/>
              </w:rPr>
              <w:t>Finalizarea măsurilor-cheie din cadrul Strategiei naționale privind autoconsumul, inclusiv: publicarea pe site-ul Ministerului Tranziției Ecologice a orientărilor tehnice și a orientărilor pentru municipalități cu privire la modul de promovare a autoconsumului și finalizarea cursurilor de formare realizate pentru îmbunătățirea competențelor tehnice necesare privind sursele regenerabile de autoconsum de energie pentru cel puțin 500 de profesioniști.</w:t>
            </w:r>
          </w:p>
        </w:tc>
      </w:tr>
      <w:tr w:rsidR="00D924EA" w14:paraId="41133F50" w14:textId="77777777" w:rsidTr="0042520D">
        <w:trPr>
          <w:trHeight w:val="309"/>
          <w:jc w:val="center"/>
        </w:trPr>
        <w:tc>
          <w:tcPr>
            <w:tcW w:w="709" w:type="dxa"/>
            <w:shd w:val="clear" w:color="auto" w:fill="C6EFCE"/>
            <w:noWrap/>
          </w:tcPr>
          <w:p w14:paraId="0E9071DD" w14:textId="77777777" w:rsidR="00D924EA" w:rsidRDefault="00011DE9">
            <w:pPr>
              <w:pStyle w:val="P68B1DB1-Normal23"/>
              <w:spacing w:after="0" w:line="240" w:lineRule="auto"/>
              <w:jc w:val="center"/>
              <w:rPr>
                <w:rFonts w:eastAsia="Symbol" w:cs="Times New Roman"/>
                <w:noProof/>
                <w:szCs w:val="18"/>
              </w:rPr>
            </w:pPr>
            <w:r>
              <w:rPr>
                <w:noProof/>
              </w:rPr>
              <w:t>110</w:t>
            </w:r>
          </w:p>
        </w:tc>
        <w:tc>
          <w:tcPr>
            <w:tcW w:w="851" w:type="dxa"/>
            <w:shd w:val="clear" w:color="auto" w:fill="C6EFCE"/>
            <w:noWrap/>
          </w:tcPr>
          <w:p w14:paraId="566CD89E" w14:textId="77777777" w:rsidR="00D924EA" w:rsidRDefault="00011DE9">
            <w:pPr>
              <w:pStyle w:val="P68B1DB1-Normal23"/>
              <w:spacing w:after="0" w:line="240" w:lineRule="auto"/>
              <w:jc w:val="center"/>
              <w:rPr>
                <w:rFonts w:eastAsia="Symbol" w:cs="Times New Roman"/>
                <w:noProof/>
                <w:szCs w:val="18"/>
              </w:rPr>
            </w:pPr>
            <w:r>
              <w:rPr>
                <w:noProof/>
              </w:rPr>
              <w:t>C7.R3</w:t>
            </w:r>
          </w:p>
        </w:tc>
        <w:tc>
          <w:tcPr>
            <w:tcW w:w="850" w:type="dxa"/>
            <w:shd w:val="clear" w:color="auto" w:fill="C6EFCE"/>
            <w:noWrap/>
          </w:tcPr>
          <w:p w14:paraId="28BEFB1E" w14:textId="77777777" w:rsidR="00D924EA" w:rsidRDefault="00011DE9">
            <w:pPr>
              <w:pStyle w:val="P68B1DB1-Normal23"/>
              <w:spacing w:after="0" w:line="240" w:lineRule="auto"/>
              <w:jc w:val="center"/>
              <w:rPr>
                <w:rFonts w:eastAsia="Symbol" w:cs="Times New Roman"/>
                <w:noProof/>
                <w:szCs w:val="18"/>
              </w:rPr>
            </w:pPr>
            <w:r>
              <w:rPr>
                <w:noProof/>
              </w:rPr>
              <w:t>M</w:t>
            </w:r>
          </w:p>
        </w:tc>
        <w:tc>
          <w:tcPr>
            <w:tcW w:w="2688" w:type="dxa"/>
            <w:shd w:val="clear" w:color="auto" w:fill="C6EFCE"/>
            <w:noWrap/>
          </w:tcPr>
          <w:p w14:paraId="41B47FF2" w14:textId="77777777" w:rsidR="00D924EA" w:rsidRDefault="00011DE9">
            <w:pPr>
              <w:pStyle w:val="P68B1DB1-Normal23"/>
              <w:spacing w:after="0" w:line="240" w:lineRule="auto"/>
              <w:rPr>
                <w:rFonts w:eastAsia="Symbol" w:cs="Times New Roman"/>
                <w:noProof/>
                <w:szCs w:val="18"/>
              </w:rPr>
            </w:pPr>
            <w:r>
              <w:rPr>
                <w:noProof/>
              </w:rPr>
              <w:t xml:space="preserve">Proiect-pilot pentru comunitățile energetice </w:t>
            </w:r>
          </w:p>
        </w:tc>
        <w:tc>
          <w:tcPr>
            <w:tcW w:w="1418" w:type="dxa"/>
            <w:shd w:val="clear" w:color="auto" w:fill="C6EFCE"/>
            <w:noWrap/>
          </w:tcPr>
          <w:p w14:paraId="449D3CC8" w14:textId="77777777" w:rsidR="00D924EA" w:rsidRDefault="00011DE9">
            <w:pPr>
              <w:pStyle w:val="P68B1DB1-Normal23"/>
              <w:spacing w:after="0" w:line="240" w:lineRule="auto"/>
              <w:jc w:val="center"/>
              <w:rPr>
                <w:rFonts w:eastAsia="Symbol" w:cs="Times New Roman"/>
                <w:noProof/>
                <w:szCs w:val="18"/>
              </w:rPr>
            </w:pPr>
            <w:r>
              <w:rPr>
                <w:noProof/>
              </w:rPr>
              <w:t>Publicarea pe pagina web</w:t>
            </w:r>
          </w:p>
        </w:tc>
        <w:tc>
          <w:tcPr>
            <w:tcW w:w="709" w:type="dxa"/>
            <w:shd w:val="clear" w:color="auto" w:fill="C6EFCE"/>
            <w:noWrap/>
          </w:tcPr>
          <w:p w14:paraId="5F31A4A3"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997" w:type="dxa"/>
            <w:shd w:val="clear" w:color="auto" w:fill="C6EFCE"/>
            <w:noWrap/>
          </w:tcPr>
          <w:p w14:paraId="0E85F535"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737" w:type="dxa"/>
            <w:shd w:val="clear" w:color="auto" w:fill="C6EFCE"/>
            <w:noWrap/>
          </w:tcPr>
          <w:p w14:paraId="441CACA0"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567" w:type="dxa"/>
            <w:shd w:val="clear" w:color="auto" w:fill="C6EFCE"/>
            <w:noWrap/>
          </w:tcPr>
          <w:p w14:paraId="1B173CB6" w14:textId="5B77AEDC" w:rsidR="00D924EA" w:rsidRDefault="005701C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6580C9A3" w14:textId="77777777" w:rsidR="00D924EA" w:rsidRDefault="00011DE9">
            <w:pPr>
              <w:pStyle w:val="P68B1DB1-Normal23"/>
              <w:spacing w:after="0" w:line="240" w:lineRule="auto"/>
              <w:jc w:val="center"/>
              <w:rPr>
                <w:rFonts w:eastAsia="Symbol" w:cs="Times New Roman"/>
                <w:noProof/>
                <w:szCs w:val="18"/>
              </w:rPr>
            </w:pPr>
            <w:r>
              <w:rPr>
                <w:noProof/>
              </w:rPr>
              <w:t>2022</w:t>
            </w:r>
          </w:p>
        </w:tc>
        <w:tc>
          <w:tcPr>
            <w:tcW w:w="5217" w:type="dxa"/>
            <w:shd w:val="clear" w:color="auto" w:fill="C6EFCE"/>
            <w:noWrap/>
          </w:tcPr>
          <w:p w14:paraId="18C462E9" w14:textId="77777777" w:rsidR="00D924EA" w:rsidRDefault="00011DE9">
            <w:pPr>
              <w:pStyle w:val="P68B1DB1-Normal23"/>
              <w:spacing w:after="0" w:line="240" w:lineRule="auto"/>
              <w:rPr>
                <w:rFonts w:eastAsia="Symbol" w:cs="Times New Roman"/>
                <w:noProof/>
                <w:szCs w:val="18"/>
              </w:rPr>
            </w:pPr>
            <w:r>
              <w:rPr>
                <w:noProof/>
              </w:rPr>
              <w:t xml:space="preserve">Atribuirea primului proiect-pilot pentru comunitățile energetice pe baza unor proceduri de ofertare, pentru a demonstra viabilitatea acestui model. </w:t>
            </w:r>
          </w:p>
        </w:tc>
      </w:tr>
      <w:tr w:rsidR="00D924EA" w14:paraId="1E432E89" w14:textId="77777777" w:rsidTr="0042520D">
        <w:trPr>
          <w:trHeight w:val="309"/>
          <w:jc w:val="center"/>
        </w:trPr>
        <w:tc>
          <w:tcPr>
            <w:tcW w:w="709" w:type="dxa"/>
            <w:shd w:val="clear" w:color="auto" w:fill="C6EFCE"/>
            <w:noWrap/>
          </w:tcPr>
          <w:p w14:paraId="1A70C285" w14:textId="77777777" w:rsidR="00D924EA" w:rsidRDefault="00011DE9">
            <w:pPr>
              <w:pStyle w:val="P68B1DB1-Normal23"/>
              <w:spacing w:after="0" w:line="240" w:lineRule="auto"/>
              <w:jc w:val="center"/>
              <w:rPr>
                <w:rFonts w:eastAsia="Symbol" w:cs="Times New Roman"/>
                <w:noProof/>
                <w:szCs w:val="18"/>
              </w:rPr>
            </w:pPr>
            <w:r>
              <w:rPr>
                <w:noProof/>
              </w:rPr>
              <w:t>111</w:t>
            </w:r>
          </w:p>
        </w:tc>
        <w:tc>
          <w:tcPr>
            <w:tcW w:w="851" w:type="dxa"/>
            <w:shd w:val="clear" w:color="auto" w:fill="C6EFCE"/>
            <w:noWrap/>
          </w:tcPr>
          <w:p w14:paraId="72E335B7" w14:textId="77777777" w:rsidR="00D924EA" w:rsidRDefault="00011DE9">
            <w:pPr>
              <w:pStyle w:val="P68B1DB1-Normal23"/>
              <w:spacing w:after="0" w:line="240" w:lineRule="auto"/>
              <w:jc w:val="center"/>
              <w:rPr>
                <w:rFonts w:eastAsia="Symbol" w:cs="Times New Roman"/>
                <w:noProof/>
                <w:szCs w:val="18"/>
              </w:rPr>
            </w:pPr>
            <w:r>
              <w:rPr>
                <w:noProof/>
              </w:rPr>
              <w:t>C7.R3</w:t>
            </w:r>
          </w:p>
        </w:tc>
        <w:tc>
          <w:tcPr>
            <w:tcW w:w="850" w:type="dxa"/>
            <w:shd w:val="clear" w:color="auto" w:fill="C6EFCE"/>
            <w:noWrap/>
          </w:tcPr>
          <w:p w14:paraId="11909FAD" w14:textId="77777777" w:rsidR="00D924EA" w:rsidRDefault="00011DE9">
            <w:pPr>
              <w:pStyle w:val="P68B1DB1-Normal23"/>
              <w:spacing w:after="0" w:line="240" w:lineRule="auto"/>
              <w:jc w:val="center"/>
              <w:rPr>
                <w:rFonts w:eastAsia="Symbol" w:cs="Times New Roman"/>
                <w:noProof/>
                <w:szCs w:val="18"/>
              </w:rPr>
            </w:pPr>
            <w:r>
              <w:rPr>
                <w:noProof/>
              </w:rPr>
              <w:t>T</w:t>
            </w:r>
          </w:p>
        </w:tc>
        <w:tc>
          <w:tcPr>
            <w:tcW w:w="2688" w:type="dxa"/>
            <w:shd w:val="clear" w:color="auto" w:fill="C6EFCE"/>
            <w:noWrap/>
          </w:tcPr>
          <w:p w14:paraId="744A5C6D" w14:textId="0B0FB9F1" w:rsidR="00D924EA" w:rsidRDefault="00011DE9">
            <w:pPr>
              <w:pStyle w:val="P68B1DB1-Normal23"/>
              <w:spacing w:after="0" w:line="240" w:lineRule="auto"/>
              <w:rPr>
                <w:rFonts w:eastAsia="Symbol" w:cs="Times New Roman"/>
                <w:noProof/>
                <w:szCs w:val="18"/>
              </w:rPr>
            </w:pPr>
            <w:r>
              <w:rPr>
                <w:noProof/>
              </w:rPr>
              <w:t>Proiecte-pilot sau birouri legate de energie pentru comunitățile energetice</w:t>
            </w:r>
          </w:p>
        </w:tc>
        <w:tc>
          <w:tcPr>
            <w:tcW w:w="1418" w:type="dxa"/>
            <w:shd w:val="clear" w:color="auto" w:fill="C6EFCE"/>
            <w:noWrap/>
          </w:tcPr>
          <w:p w14:paraId="63C8C4B8" w14:textId="6F74EC37" w:rsidR="00D924EA" w:rsidRDefault="00011DE9">
            <w:pPr>
              <w:pStyle w:val="P68B1DB1-Normal23"/>
              <w:spacing w:after="0" w:line="240" w:lineRule="auto"/>
              <w:jc w:val="center"/>
              <w:rPr>
                <w:rFonts w:eastAsia="Symbol" w:cs="Times New Roman"/>
                <w:noProof/>
                <w:szCs w:val="18"/>
              </w:rPr>
            </w:pPr>
            <w:r>
              <w:rPr>
                <w:noProof/>
              </w:rPr>
              <w:t>—</w:t>
            </w:r>
          </w:p>
        </w:tc>
        <w:tc>
          <w:tcPr>
            <w:tcW w:w="709" w:type="dxa"/>
            <w:shd w:val="clear" w:color="auto" w:fill="C6EFCE"/>
            <w:noWrap/>
          </w:tcPr>
          <w:p w14:paraId="282FC241" w14:textId="77777777" w:rsidR="00D924EA" w:rsidRDefault="00011DE9">
            <w:pPr>
              <w:pStyle w:val="P68B1DB1-Normal23"/>
              <w:spacing w:after="0" w:line="240" w:lineRule="auto"/>
              <w:jc w:val="center"/>
              <w:rPr>
                <w:rFonts w:eastAsia="Symbol" w:cs="Times New Roman"/>
                <w:noProof/>
                <w:szCs w:val="18"/>
              </w:rPr>
            </w:pPr>
            <w:r>
              <w:rPr>
                <w:noProof/>
              </w:rPr>
              <w:t>Număr</w:t>
            </w:r>
          </w:p>
        </w:tc>
        <w:tc>
          <w:tcPr>
            <w:tcW w:w="997" w:type="dxa"/>
            <w:shd w:val="clear" w:color="auto" w:fill="C6EFCE"/>
            <w:noWrap/>
          </w:tcPr>
          <w:p w14:paraId="4B3BF14F" w14:textId="77777777" w:rsidR="00D924EA" w:rsidRDefault="00011DE9">
            <w:pPr>
              <w:pStyle w:val="P68B1DB1-Normal23"/>
              <w:spacing w:after="0" w:line="240" w:lineRule="auto"/>
              <w:jc w:val="center"/>
              <w:rPr>
                <w:rFonts w:eastAsia="Symbol" w:cs="Times New Roman"/>
                <w:noProof/>
                <w:szCs w:val="18"/>
              </w:rPr>
            </w:pPr>
            <w:r>
              <w:rPr>
                <w:noProof/>
              </w:rPr>
              <w:t> 0</w:t>
            </w:r>
          </w:p>
        </w:tc>
        <w:tc>
          <w:tcPr>
            <w:tcW w:w="737" w:type="dxa"/>
            <w:shd w:val="clear" w:color="auto" w:fill="C6EFCE"/>
            <w:noWrap/>
          </w:tcPr>
          <w:p w14:paraId="55A5384B" w14:textId="77777777" w:rsidR="00D924EA" w:rsidRDefault="00011DE9">
            <w:pPr>
              <w:pStyle w:val="P68B1DB1-Normal23"/>
              <w:spacing w:after="0" w:line="240" w:lineRule="auto"/>
              <w:jc w:val="center"/>
              <w:rPr>
                <w:rFonts w:eastAsia="Symbol" w:cs="Times New Roman"/>
                <w:noProof/>
                <w:szCs w:val="18"/>
              </w:rPr>
            </w:pPr>
            <w:r>
              <w:rPr>
                <w:noProof/>
              </w:rPr>
              <w:t>37</w:t>
            </w:r>
          </w:p>
        </w:tc>
        <w:tc>
          <w:tcPr>
            <w:tcW w:w="567" w:type="dxa"/>
            <w:shd w:val="clear" w:color="auto" w:fill="C6EFCE"/>
            <w:noWrap/>
          </w:tcPr>
          <w:p w14:paraId="3E6D71DC" w14:textId="46ACF0BA" w:rsidR="00D924EA" w:rsidRDefault="005701C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07B5CBE2" w14:textId="0B447D29" w:rsidR="00D924EA" w:rsidRDefault="00011DE9">
            <w:pPr>
              <w:pStyle w:val="P68B1DB1-Normal23"/>
              <w:spacing w:after="0" w:line="240" w:lineRule="auto"/>
              <w:jc w:val="center"/>
              <w:rPr>
                <w:rFonts w:eastAsia="Symbol" w:cs="Times New Roman"/>
                <w:noProof/>
                <w:szCs w:val="18"/>
              </w:rPr>
            </w:pPr>
            <w:r>
              <w:rPr>
                <w:noProof/>
              </w:rPr>
              <w:t>2026</w:t>
            </w:r>
          </w:p>
        </w:tc>
        <w:tc>
          <w:tcPr>
            <w:tcW w:w="5217" w:type="dxa"/>
            <w:shd w:val="clear" w:color="auto" w:fill="C6EFCE"/>
            <w:noWrap/>
          </w:tcPr>
          <w:p w14:paraId="645B511A" w14:textId="09F9C38C" w:rsidR="00D924EA" w:rsidRDefault="00011DE9">
            <w:pPr>
              <w:pStyle w:val="P68B1DB1-Normal23"/>
              <w:spacing w:after="0" w:line="240" w:lineRule="auto"/>
              <w:rPr>
                <w:rFonts w:eastAsia="Symbol" w:cs="Times New Roman"/>
                <w:noProof/>
                <w:szCs w:val="18"/>
              </w:rPr>
            </w:pPr>
            <w:r>
              <w:rPr>
                <w:noProof/>
              </w:rPr>
              <w:t>Entitățile sau persoanele beneficiare prezintă rapoarte finale care confirmă finalizarea activităților atribuite pentru granturi legate de un număr cumulat de 37 de proiecte sau birouri pentru comunitățile energetice.</w:t>
            </w:r>
            <w:r w:rsidR="00971820">
              <w:rPr>
                <w:noProof/>
              </w:rPr>
              <w:t xml:space="preserve"> </w:t>
            </w:r>
            <w:r>
              <w:rPr>
                <w:noProof/>
              </w:rPr>
              <w:t xml:space="preserve"> </w:t>
            </w:r>
          </w:p>
        </w:tc>
      </w:tr>
      <w:tr w:rsidR="00D924EA" w14:paraId="7A451DD8" w14:textId="77777777" w:rsidTr="0042520D">
        <w:trPr>
          <w:trHeight w:val="309"/>
          <w:jc w:val="center"/>
        </w:trPr>
        <w:tc>
          <w:tcPr>
            <w:tcW w:w="709" w:type="dxa"/>
            <w:shd w:val="clear" w:color="auto" w:fill="C6EFCE"/>
            <w:noWrap/>
          </w:tcPr>
          <w:p w14:paraId="125CFA51" w14:textId="77777777" w:rsidR="00D924EA" w:rsidRDefault="00011DE9">
            <w:pPr>
              <w:pStyle w:val="P68B1DB1-Normal23"/>
              <w:spacing w:after="0" w:line="240" w:lineRule="auto"/>
              <w:jc w:val="center"/>
              <w:rPr>
                <w:rFonts w:eastAsia="Symbol" w:cs="Times New Roman"/>
                <w:noProof/>
                <w:szCs w:val="18"/>
              </w:rPr>
            </w:pPr>
            <w:r>
              <w:rPr>
                <w:noProof/>
              </w:rPr>
              <w:t>112</w:t>
            </w:r>
          </w:p>
        </w:tc>
        <w:tc>
          <w:tcPr>
            <w:tcW w:w="851" w:type="dxa"/>
            <w:shd w:val="clear" w:color="auto" w:fill="C6EFCE"/>
            <w:noWrap/>
          </w:tcPr>
          <w:p w14:paraId="13FB9FEA" w14:textId="77777777" w:rsidR="00D924EA" w:rsidRDefault="00011DE9">
            <w:pPr>
              <w:pStyle w:val="P68B1DB1-Normal23"/>
              <w:spacing w:after="0" w:line="240" w:lineRule="auto"/>
              <w:jc w:val="center"/>
              <w:rPr>
                <w:rFonts w:eastAsia="Symbol" w:cs="Times New Roman"/>
                <w:noProof/>
                <w:szCs w:val="18"/>
              </w:rPr>
            </w:pPr>
            <w:r>
              <w:rPr>
                <w:noProof/>
              </w:rPr>
              <w:t>C7.R4</w:t>
            </w:r>
          </w:p>
        </w:tc>
        <w:tc>
          <w:tcPr>
            <w:tcW w:w="850" w:type="dxa"/>
            <w:shd w:val="clear" w:color="auto" w:fill="C6EFCE"/>
            <w:noWrap/>
          </w:tcPr>
          <w:p w14:paraId="3732871C" w14:textId="77777777" w:rsidR="00D924EA" w:rsidRDefault="00011DE9">
            <w:pPr>
              <w:pStyle w:val="P68B1DB1-Normal23"/>
              <w:spacing w:after="0" w:line="240" w:lineRule="auto"/>
              <w:jc w:val="center"/>
              <w:rPr>
                <w:rFonts w:eastAsia="Symbol" w:cs="Times New Roman"/>
                <w:noProof/>
                <w:szCs w:val="18"/>
              </w:rPr>
            </w:pPr>
            <w:r>
              <w:rPr>
                <w:noProof/>
              </w:rPr>
              <w:t>M</w:t>
            </w:r>
          </w:p>
        </w:tc>
        <w:tc>
          <w:tcPr>
            <w:tcW w:w="2688" w:type="dxa"/>
            <w:shd w:val="clear" w:color="auto" w:fill="C6EFCE"/>
            <w:noWrap/>
          </w:tcPr>
          <w:p w14:paraId="2876125E" w14:textId="77777777" w:rsidR="00D924EA" w:rsidRDefault="00011DE9">
            <w:pPr>
              <w:pStyle w:val="P68B1DB1-Normal23"/>
              <w:spacing w:after="0" w:line="240" w:lineRule="auto"/>
              <w:rPr>
                <w:rFonts w:eastAsia="Symbol" w:cs="Times New Roman"/>
                <w:noProof/>
                <w:szCs w:val="18"/>
              </w:rPr>
            </w:pPr>
            <w:r>
              <w:rPr>
                <w:noProof/>
              </w:rPr>
              <w:t>Foaie de parcurs pentru energia eoliană offshore și alte tipuri de energie marină</w:t>
            </w:r>
          </w:p>
        </w:tc>
        <w:tc>
          <w:tcPr>
            <w:tcW w:w="1418" w:type="dxa"/>
            <w:shd w:val="clear" w:color="auto" w:fill="C6EFCE"/>
            <w:noWrap/>
          </w:tcPr>
          <w:p w14:paraId="54AB67C7" w14:textId="77777777" w:rsidR="00D924EA" w:rsidRDefault="00011DE9">
            <w:pPr>
              <w:pStyle w:val="P68B1DB1-Normal23"/>
              <w:spacing w:after="0" w:line="240" w:lineRule="auto"/>
              <w:jc w:val="center"/>
              <w:rPr>
                <w:rFonts w:eastAsia="Symbol" w:cs="Times New Roman"/>
                <w:noProof/>
                <w:szCs w:val="18"/>
              </w:rPr>
            </w:pPr>
            <w:r>
              <w:rPr>
                <w:noProof/>
              </w:rPr>
              <w:t>Publicarea pe pagina web</w:t>
            </w:r>
          </w:p>
        </w:tc>
        <w:tc>
          <w:tcPr>
            <w:tcW w:w="709" w:type="dxa"/>
            <w:shd w:val="clear" w:color="auto" w:fill="C6EFCE"/>
            <w:noWrap/>
          </w:tcPr>
          <w:p w14:paraId="4EB93002"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997" w:type="dxa"/>
            <w:shd w:val="clear" w:color="auto" w:fill="C6EFCE"/>
            <w:noWrap/>
          </w:tcPr>
          <w:p w14:paraId="31739A17"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737" w:type="dxa"/>
            <w:shd w:val="clear" w:color="auto" w:fill="C6EFCE"/>
            <w:noWrap/>
          </w:tcPr>
          <w:p w14:paraId="3AEB2445"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567" w:type="dxa"/>
            <w:shd w:val="clear" w:color="auto" w:fill="C6EFCE"/>
            <w:noWrap/>
          </w:tcPr>
          <w:p w14:paraId="69DB4295" w14:textId="1F5C4C12" w:rsidR="00D924EA" w:rsidRDefault="005701C9">
            <w:pPr>
              <w:pStyle w:val="P68B1DB1-Normal23"/>
              <w:spacing w:after="0" w:line="240" w:lineRule="auto"/>
              <w:jc w:val="center"/>
              <w:rPr>
                <w:rFonts w:eastAsia="Symbol" w:cs="Times New Roman"/>
                <w:noProof/>
                <w:szCs w:val="18"/>
              </w:rPr>
            </w:pPr>
            <w:r>
              <w:rPr>
                <w:noProof/>
              </w:rPr>
              <w:t>T4</w:t>
            </w:r>
          </w:p>
        </w:tc>
        <w:tc>
          <w:tcPr>
            <w:tcW w:w="567" w:type="dxa"/>
            <w:shd w:val="clear" w:color="auto" w:fill="C6EFCE"/>
            <w:noWrap/>
          </w:tcPr>
          <w:p w14:paraId="1B962DF7" w14:textId="77777777" w:rsidR="00D924EA" w:rsidRDefault="00011DE9">
            <w:pPr>
              <w:pStyle w:val="P68B1DB1-Normal23"/>
              <w:spacing w:after="0" w:line="240" w:lineRule="auto"/>
              <w:jc w:val="center"/>
              <w:rPr>
                <w:rFonts w:eastAsia="Symbol" w:cs="Times New Roman"/>
                <w:noProof/>
                <w:szCs w:val="18"/>
              </w:rPr>
            </w:pPr>
            <w:r>
              <w:rPr>
                <w:noProof/>
              </w:rPr>
              <w:t>2021</w:t>
            </w:r>
          </w:p>
        </w:tc>
        <w:tc>
          <w:tcPr>
            <w:tcW w:w="5217" w:type="dxa"/>
            <w:shd w:val="clear" w:color="auto" w:fill="C6EFCE"/>
            <w:noWrap/>
          </w:tcPr>
          <w:p w14:paraId="6B6E1C6B" w14:textId="77777777" w:rsidR="00D924EA" w:rsidRDefault="00011DE9">
            <w:pPr>
              <w:pStyle w:val="P68B1DB1-Normal23"/>
              <w:spacing w:after="0" w:line="240" w:lineRule="auto"/>
              <w:rPr>
                <w:rFonts w:eastAsia="Symbol" w:cs="Times New Roman"/>
                <w:noProof/>
                <w:szCs w:val="18"/>
              </w:rPr>
            </w:pPr>
            <w:r>
              <w:rPr>
                <w:noProof/>
              </w:rPr>
              <w:t>Publicarea Foii de parcurs pentru energia eoliană offshore și alte tipuri de energie marină în vederea reducerii barierelor administrative din calea dezvoltării acestei surse regenerabile de energie</w:t>
            </w:r>
          </w:p>
        </w:tc>
      </w:tr>
      <w:tr w:rsidR="00D924EA" w14:paraId="0893ADD4" w14:textId="77777777" w:rsidTr="0042520D">
        <w:trPr>
          <w:trHeight w:val="309"/>
          <w:jc w:val="center"/>
        </w:trPr>
        <w:tc>
          <w:tcPr>
            <w:tcW w:w="709" w:type="dxa"/>
            <w:shd w:val="clear" w:color="auto" w:fill="C6EFCE"/>
            <w:noWrap/>
          </w:tcPr>
          <w:p w14:paraId="4896D3BD" w14:textId="77777777" w:rsidR="00D924EA" w:rsidRDefault="00011DE9">
            <w:pPr>
              <w:pStyle w:val="P68B1DB1-Normal23"/>
              <w:spacing w:after="0" w:line="240" w:lineRule="auto"/>
              <w:jc w:val="center"/>
              <w:rPr>
                <w:rFonts w:eastAsia="Symbol" w:cs="Times New Roman"/>
                <w:noProof/>
                <w:szCs w:val="18"/>
              </w:rPr>
            </w:pPr>
            <w:r>
              <w:rPr>
                <w:noProof/>
              </w:rPr>
              <w:t>113</w:t>
            </w:r>
          </w:p>
        </w:tc>
        <w:tc>
          <w:tcPr>
            <w:tcW w:w="851" w:type="dxa"/>
            <w:shd w:val="clear" w:color="auto" w:fill="C6EFCE"/>
            <w:noWrap/>
          </w:tcPr>
          <w:p w14:paraId="5D45E5A1" w14:textId="77777777" w:rsidR="00D924EA" w:rsidRDefault="00011DE9">
            <w:pPr>
              <w:pStyle w:val="P68B1DB1-Normal23"/>
              <w:spacing w:after="0" w:line="240" w:lineRule="auto"/>
              <w:jc w:val="center"/>
              <w:rPr>
                <w:rFonts w:eastAsia="Symbol" w:cs="Times New Roman"/>
                <w:noProof/>
                <w:szCs w:val="18"/>
              </w:rPr>
            </w:pPr>
            <w:r>
              <w:rPr>
                <w:noProof/>
              </w:rPr>
              <w:t>C7.R4</w:t>
            </w:r>
          </w:p>
        </w:tc>
        <w:tc>
          <w:tcPr>
            <w:tcW w:w="850" w:type="dxa"/>
            <w:shd w:val="clear" w:color="auto" w:fill="C6EFCE"/>
            <w:noWrap/>
          </w:tcPr>
          <w:p w14:paraId="5D8747E0" w14:textId="77777777" w:rsidR="00D924EA" w:rsidRDefault="00011DE9">
            <w:pPr>
              <w:pStyle w:val="P68B1DB1-Normal23"/>
              <w:spacing w:after="0" w:line="240" w:lineRule="auto"/>
              <w:jc w:val="center"/>
              <w:rPr>
                <w:rFonts w:eastAsia="Symbol" w:cs="Times New Roman"/>
                <w:noProof/>
                <w:szCs w:val="18"/>
              </w:rPr>
            </w:pPr>
            <w:r>
              <w:rPr>
                <w:noProof/>
              </w:rPr>
              <w:t>M</w:t>
            </w:r>
          </w:p>
        </w:tc>
        <w:tc>
          <w:tcPr>
            <w:tcW w:w="2688" w:type="dxa"/>
            <w:shd w:val="clear" w:color="auto" w:fill="C6EFCE"/>
            <w:noWrap/>
          </w:tcPr>
          <w:p w14:paraId="29DD35EA" w14:textId="77777777" w:rsidR="00D924EA" w:rsidRDefault="00011DE9">
            <w:pPr>
              <w:pStyle w:val="P68B1DB1-Normal23"/>
              <w:spacing w:after="0" w:line="240" w:lineRule="auto"/>
              <w:rPr>
                <w:rFonts w:eastAsia="Symbol" w:cs="Times New Roman"/>
                <w:noProof/>
                <w:szCs w:val="18"/>
              </w:rPr>
            </w:pPr>
            <w:r>
              <w:rPr>
                <w:noProof/>
              </w:rPr>
              <w:t>Intrarea în vigoare a măsurilor de reglementare identificate în harta energiei eoliene offshore și a altor tipuri de energie marină</w:t>
            </w:r>
          </w:p>
        </w:tc>
        <w:tc>
          <w:tcPr>
            <w:tcW w:w="1418" w:type="dxa"/>
            <w:shd w:val="clear" w:color="auto" w:fill="C6EFCE"/>
            <w:noWrap/>
          </w:tcPr>
          <w:p w14:paraId="266A2E2C" w14:textId="77777777" w:rsidR="00D924EA" w:rsidRDefault="00011DE9">
            <w:pPr>
              <w:pStyle w:val="P68B1DB1-Normal23"/>
              <w:spacing w:after="0" w:line="240" w:lineRule="auto"/>
              <w:jc w:val="center"/>
              <w:rPr>
                <w:rFonts w:eastAsia="Symbol" w:cs="Times New Roman"/>
                <w:noProof/>
                <w:szCs w:val="18"/>
              </w:rPr>
            </w:pPr>
            <w:r>
              <w:rPr>
                <w:noProof/>
              </w:rPr>
              <w:t>Dispoziții din măsurile de reglementare privind intrarea în vigoare</w:t>
            </w:r>
          </w:p>
        </w:tc>
        <w:tc>
          <w:tcPr>
            <w:tcW w:w="709" w:type="dxa"/>
            <w:shd w:val="clear" w:color="auto" w:fill="C6EFCE"/>
            <w:noWrap/>
          </w:tcPr>
          <w:p w14:paraId="527A117E"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997" w:type="dxa"/>
            <w:shd w:val="clear" w:color="auto" w:fill="C6EFCE"/>
            <w:noWrap/>
          </w:tcPr>
          <w:p w14:paraId="2FFE01DD"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737" w:type="dxa"/>
            <w:shd w:val="clear" w:color="auto" w:fill="C6EFCE"/>
            <w:noWrap/>
          </w:tcPr>
          <w:p w14:paraId="3E9A5520"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567" w:type="dxa"/>
            <w:shd w:val="clear" w:color="auto" w:fill="C6EFCE"/>
            <w:noWrap/>
          </w:tcPr>
          <w:p w14:paraId="41C07E4C" w14:textId="3F6A51E9" w:rsidR="00D924EA" w:rsidRDefault="005701C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10BA0301" w14:textId="77777777" w:rsidR="00D924EA" w:rsidRDefault="00011DE9">
            <w:pPr>
              <w:pStyle w:val="P68B1DB1-Normal23"/>
              <w:spacing w:after="0" w:line="240" w:lineRule="auto"/>
              <w:jc w:val="center"/>
              <w:rPr>
                <w:rFonts w:eastAsia="Symbol" w:cs="Times New Roman"/>
                <w:noProof/>
                <w:szCs w:val="18"/>
              </w:rPr>
            </w:pPr>
            <w:r>
              <w:rPr>
                <w:noProof/>
              </w:rPr>
              <w:t>2023</w:t>
            </w:r>
          </w:p>
        </w:tc>
        <w:tc>
          <w:tcPr>
            <w:tcW w:w="5217" w:type="dxa"/>
            <w:shd w:val="clear" w:color="auto" w:fill="C6EFCE"/>
            <w:noWrap/>
          </w:tcPr>
          <w:p w14:paraId="4B11E53A" w14:textId="77777777" w:rsidR="00D924EA" w:rsidRDefault="00011DE9">
            <w:pPr>
              <w:pStyle w:val="P68B1DB1-Normal23"/>
              <w:spacing w:after="0" w:line="240" w:lineRule="auto"/>
              <w:rPr>
                <w:rFonts w:eastAsia="Symbol" w:cs="Times New Roman"/>
                <w:noProof/>
                <w:szCs w:val="18"/>
              </w:rPr>
            </w:pPr>
            <w:r>
              <w:rPr>
                <w:noProof/>
              </w:rPr>
              <w:t>Intrarea în vigoare a principalelor măsuri de reglementare identificate în harta pentru energia eoliană offshore și alte tipuri de energie marină, pentru a promova cercetarea și inovarea și pentru a sprijini implementarea tehnologiilor plutitoare. Aceste măsuri-cheie includ: aprobarea finală a planurilor de amenajare a spațiului maritim, o mai bună coordonare a planificării rețelei și a strategiei offshore și actualizarea cadrului de reglementare.</w:t>
            </w:r>
          </w:p>
        </w:tc>
      </w:tr>
      <w:tr w:rsidR="00D924EA" w14:paraId="7825AED3" w14:textId="77777777" w:rsidTr="0042520D">
        <w:trPr>
          <w:trHeight w:val="309"/>
          <w:jc w:val="center"/>
        </w:trPr>
        <w:tc>
          <w:tcPr>
            <w:tcW w:w="709" w:type="dxa"/>
            <w:shd w:val="clear" w:color="auto" w:fill="C6EFCE"/>
            <w:noWrap/>
          </w:tcPr>
          <w:p w14:paraId="248043A2" w14:textId="77777777" w:rsidR="00D924EA" w:rsidRDefault="00011DE9">
            <w:pPr>
              <w:pStyle w:val="P68B1DB1-Normal23"/>
              <w:spacing w:after="0" w:line="240" w:lineRule="auto"/>
              <w:jc w:val="center"/>
              <w:rPr>
                <w:rFonts w:eastAsia="Symbol" w:cs="Times New Roman"/>
                <w:noProof/>
                <w:szCs w:val="18"/>
              </w:rPr>
            </w:pPr>
            <w:r>
              <w:rPr>
                <w:noProof/>
              </w:rPr>
              <w:t>114</w:t>
            </w:r>
          </w:p>
        </w:tc>
        <w:tc>
          <w:tcPr>
            <w:tcW w:w="851" w:type="dxa"/>
            <w:shd w:val="clear" w:color="auto" w:fill="C6EFCE"/>
            <w:noWrap/>
          </w:tcPr>
          <w:p w14:paraId="67AF585E" w14:textId="77777777" w:rsidR="00D924EA" w:rsidRDefault="00011DE9">
            <w:pPr>
              <w:pStyle w:val="P68B1DB1-Normal23"/>
              <w:spacing w:after="0" w:line="240" w:lineRule="auto"/>
              <w:jc w:val="center"/>
              <w:rPr>
                <w:rFonts w:eastAsia="Symbol" w:cs="Times New Roman"/>
                <w:noProof/>
                <w:szCs w:val="18"/>
              </w:rPr>
            </w:pPr>
            <w:r>
              <w:rPr>
                <w:noProof/>
              </w:rPr>
              <w:t>C7.R4</w:t>
            </w:r>
          </w:p>
        </w:tc>
        <w:tc>
          <w:tcPr>
            <w:tcW w:w="850" w:type="dxa"/>
            <w:shd w:val="clear" w:color="auto" w:fill="C6EFCE"/>
            <w:noWrap/>
          </w:tcPr>
          <w:p w14:paraId="4CDE0908" w14:textId="77777777" w:rsidR="00D924EA" w:rsidRDefault="00011DE9">
            <w:pPr>
              <w:pStyle w:val="P68B1DB1-Normal23"/>
              <w:spacing w:after="0" w:line="240" w:lineRule="auto"/>
              <w:jc w:val="center"/>
              <w:rPr>
                <w:rFonts w:eastAsia="Symbol" w:cs="Times New Roman"/>
                <w:noProof/>
                <w:szCs w:val="18"/>
              </w:rPr>
            </w:pPr>
            <w:r>
              <w:rPr>
                <w:noProof/>
              </w:rPr>
              <w:t>M</w:t>
            </w:r>
          </w:p>
        </w:tc>
        <w:tc>
          <w:tcPr>
            <w:tcW w:w="2688" w:type="dxa"/>
            <w:shd w:val="clear" w:color="auto" w:fill="C6EFCE"/>
            <w:noWrap/>
          </w:tcPr>
          <w:p w14:paraId="7D0D4D8C" w14:textId="77777777" w:rsidR="00D924EA" w:rsidRDefault="00011DE9">
            <w:pPr>
              <w:pStyle w:val="P68B1DB1-Normal23"/>
              <w:spacing w:after="0" w:line="240" w:lineRule="auto"/>
              <w:rPr>
                <w:rFonts w:eastAsia="Symbol" w:cs="Times New Roman"/>
                <w:noProof/>
                <w:szCs w:val="18"/>
              </w:rPr>
            </w:pPr>
            <w:r>
              <w:rPr>
                <w:noProof/>
              </w:rPr>
              <w:t>Finalizarea măsurilor identificate în foaia de parcurs privind biogazul</w:t>
            </w:r>
          </w:p>
        </w:tc>
        <w:tc>
          <w:tcPr>
            <w:tcW w:w="1418" w:type="dxa"/>
            <w:shd w:val="clear" w:color="auto" w:fill="C6EFCE"/>
            <w:noWrap/>
          </w:tcPr>
          <w:p w14:paraId="0264E54E" w14:textId="77777777" w:rsidR="00D924EA" w:rsidRDefault="00011DE9">
            <w:pPr>
              <w:pStyle w:val="P68B1DB1-Normal23"/>
              <w:spacing w:after="0" w:line="240" w:lineRule="auto"/>
              <w:jc w:val="center"/>
              <w:rPr>
                <w:rFonts w:eastAsia="Symbol" w:cs="Times New Roman"/>
                <w:noProof/>
                <w:szCs w:val="18"/>
              </w:rPr>
            </w:pPr>
            <w:r>
              <w:rPr>
                <w:noProof/>
              </w:rPr>
              <w:t>Publicarea pe pagina web</w:t>
            </w:r>
          </w:p>
        </w:tc>
        <w:tc>
          <w:tcPr>
            <w:tcW w:w="709" w:type="dxa"/>
            <w:shd w:val="clear" w:color="auto" w:fill="C6EFCE"/>
            <w:noWrap/>
          </w:tcPr>
          <w:p w14:paraId="73BD951C"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997" w:type="dxa"/>
            <w:shd w:val="clear" w:color="auto" w:fill="C6EFCE"/>
            <w:noWrap/>
          </w:tcPr>
          <w:p w14:paraId="4B0E40B8"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737" w:type="dxa"/>
            <w:shd w:val="clear" w:color="auto" w:fill="C6EFCE"/>
            <w:noWrap/>
          </w:tcPr>
          <w:p w14:paraId="7CD5B2D3"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567" w:type="dxa"/>
            <w:shd w:val="clear" w:color="auto" w:fill="C6EFCE"/>
            <w:noWrap/>
          </w:tcPr>
          <w:p w14:paraId="2D3A3CA5" w14:textId="4B36E3F1" w:rsidR="00D924EA" w:rsidRDefault="005701C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2E354050" w14:textId="77777777" w:rsidR="00D924EA" w:rsidRDefault="00011DE9">
            <w:pPr>
              <w:pStyle w:val="P68B1DB1-Normal23"/>
              <w:spacing w:after="0" w:line="240" w:lineRule="auto"/>
              <w:jc w:val="center"/>
              <w:rPr>
                <w:rFonts w:eastAsia="Symbol" w:cs="Times New Roman"/>
                <w:noProof/>
                <w:szCs w:val="18"/>
              </w:rPr>
            </w:pPr>
            <w:r>
              <w:rPr>
                <w:noProof/>
              </w:rPr>
              <w:t>2023</w:t>
            </w:r>
          </w:p>
        </w:tc>
        <w:tc>
          <w:tcPr>
            <w:tcW w:w="5217" w:type="dxa"/>
            <w:shd w:val="clear" w:color="auto" w:fill="C6EFCE"/>
            <w:noWrap/>
          </w:tcPr>
          <w:p w14:paraId="4BF103A5" w14:textId="77777777" w:rsidR="00D924EA" w:rsidRDefault="00011DE9">
            <w:pPr>
              <w:pStyle w:val="P68B1DB1-Normal23"/>
              <w:spacing w:after="0" w:line="240" w:lineRule="auto"/>
              <w:rPr>
                <w:rFonts w:eastAsia="Symbol" w:cs="Times New Roman"/>
                <w:noProof/>
                <w:szCs w:val="18"/>
              </w:rPr>
            </w:pPr>
            <w:r>
              <w:rPr>
                <w:noProof/>
              </w:rPr>
              <w:t>Finalizarea măsurilor-cheie identificate în foaia de parcurs privind biogazul, inclusiv instituirea unei scheme de garanții de origine pentru gazele din surse regenerabile, pentru a îmbunătăți competitivitatea biogazului și pentru a stimula investițiile în producția de biogaz, asigurând o decarbonizare mai rapidă în sectoare precum industria și transporturile.</w:t>
            </w:r>
          </w:p>
        </w:tc>
      </w:tr>
      <w:tr w:rsidR="00D924EA" w14:paraId="59B55440" w14:textId="77777777" w:rsidTr="0042520D">
        <w:trPr>
          <w:trHeight w:val="309"/>
          <w:jc w:val="center"/>
        </w:trPr>
        <w:tc>
          <w:tcPr>
            <w:tcW w:w="709" w:type="dxa"/>
            <w:shd w:val="clear" w:color="auto" w:fill="C6EFCE"/>
            <w:noWrap/>
          </w:tcPr>
          <w:p w14:paraId="58B0C558" w14:textId="77777777" w:rsidR="00D924EA" w:rsidRDefault="00011DE9">
            <w:pPr>
              <w:pStyle w:val="P68B1DB1-Normal23"/>
              <w:spacing w:after="0" w:line="240" w:lineRule="auto"/>
              <w:jc w:val="center"/>
              <w:rPr>
                <w:rFonts w:eastAsia="Symbol" w:cs="Times New Roman"/>
                <w:noProof/>
                <w:szCs w:val="18"/>
              </w:rPr>
            </w:pPr>
            <w:r>
              <w:rPr>
                <w:noProof/>
              </w:rPr>
              <w:t>115</w:t>
            </w:r>
          </w:p>
        </w:tc>
        <w:tc>
          <w:tcPr>
            <w:tcW w:w="851" w:type="dxa"/>
            <w:shd w:val="clear" w:color="auto" w:fill="C6EFCE"/>
            <w:noWrap/>
          </w:tcPr>
          <w:p w14:paraId="108FA201" w14:textId="77777777" w:rsidR="00D924EA" w:rsidRDefault="00011DE9">
            <w:pPr>
              <w:pStyle w:val="P68B1DB1-Normal23"/>
              <w:spacing w:after="0" w:line="240" w:lineRule="auto"/>
              <w:jc w:val="center"/>
              <w:rPr>
                <w:rFonts w:eastAsia="Symbol" w:cs="Times New Roman"/>
                <w:noProof/>
                <w:szCs w:val="18"/>
              </w:rPr>
            </w:pPr>
            <w:r>
              <w:rPr>
                <w:noProof/>
              </w:rPr>
              <w:t>C7.I1</w:t>
            </w:r>
          </w:p>
        </w:tc>
        <w:tc>
          <w:tcPr>
            <w:tcW w:w="850" w:type="dxa"/>
            <w:shd w:val="clear" w:color="auto" w:fill="C6EFCE"/>
            <w:noWrap/>
          </w:tcPr>
          <w:p w14:paraId="7146BC74" w14:textId="77777777" w:rsidR="00D924EA" w:rsidRDefault="00011DE9">
            <w:pPr>
              <w:pStyle w:val="P68B1DB1-Normal23"/>
              <w:spacing w:after="0" w:line="240" w:lineRule="auto"/>
              <w:jc w:val="center"/>
              <w:rPr>
                <w:rFonts w:eastAsia="Symbol" w:cs="Times New Roman"/>
                <w:noProof/>
                <w:szCs w:val="18"/>
              </w:rPr>
            </w:pPr>
            <w:r>
              <w:rPr>
                <w:noProof/>
              </w:rPr>
              <w:t>M</w:t>
            </w:r>
          </w:p>
        </w:tc>
        <w:tc>
          <w:tcPr>
            <w:tcW w:w="2688" w:type="dxa"/>
            <w:shd w:val="clear" w:color="auto" w:fill="C6EFCE"/>
            <w:noWrap/>
          </w:tcPr>
          <w:p w14:paraId="41B8A1E8" w14:textId="77777777" w:rsidR="00D924EA" w:rsidRDefault="00011DE9">
            <w:pPr>
              <w:pStyle w:val="P68B1DB1-Normal23"/>
              <w:spacing w:after="0" w:line="240" w:lineRule="auto"/>
              <w:rPr>
                <w:rFonts w:eastAsia="Symbol" w:cs="Times New Roman"/>
                <w:noProof/>
                <w:szCs w:val="18"/>
              </w:rPr>
            </w:pPr>
            <w:r>
              <w:rPr>
                <w:noProof/>
              </w:rPr>
              <w:t>Licitație pentru sprijin pentru investiții în capacitatea inovatoare sau cu valoare adăugată de energie din surse regenerabile</w:t>
            </w:r>
          </w:p>
        </w:tc>
        <w:tc>
          <w:tcPr>
            <w:tcW w:w="1418" w:type="dxa"/>
            <w:shd w:val="clear" w:color="auto" w:fill="C6EFCE"/>
            <w:noWrap/>
          </w:tcPr>
          <w:p w14:paraId="63280D2F" w14:textId="77777777" w:rsidR="00D924EA" w:rsidRDefault="00011DE9">
            <w:pPr>
              <w:pStyle w:val="P68B1DB1-Normal23"/>
              <w:spacing w:after="0" w:line="240" w:lineRule="auto"/>
              <w:jc w:val="center"/>
              <w:rPr>
                <w:rFonts w:eastAsia="Symbol" w:cs="Times New Roman"/>
                <w:noProof/>
                <w:szCs w:val="18"/>
              </w:rPr>
            </w:pPr>
            <w:r>
              <w:rPr>
                <w:noProof/>
              </w:rPr>
              <w:t>Publicarea în JO</w:t>
            </w:r>
          </w:p>
        </w:tc>
        <w:tc>
          <w:tcPr>
            <w:tcW w:w="709" w:type="dxa"/>
            <w:shd w:val="clear" w:color="auto" w:fill="C6EFCE"/>
            <w:noWrap/>
          </w:tcPr>
          <w:p w14:paraId="128E9DFE"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997" w:type="dxa"/>
            <w:shd w:val="clear" w:color="auto" w:fill="C6EFCE"/>
            <w:noWrap/>
          </w:tcPr>
          <w:p w14:paraId="044FCB8E"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737" w:type="dxa"/>
            <w:shd w:val="clear" w:color="auto" w:fill="C6EFCE"/>
            <w:noWrap/>
          </w:tcPr>
          <w:p w14:paraId="0440B57F"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567" w:type="dxa"/>
            <w:shd w:val="clear" w:color="auto" w:fill="C6EFCE"/>
            <w:noWrap/>
          </w:tcPr>
          <w:p w14:paraId="417F7160" w14:textId="30924BC3" w:rsidR="00D924EA" w:rsidRDefault="005701C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512D381B" w14:textId="77777777" w:rsidR="00D924EA" w:rsidRDefault="00011DE9">
            <w:pPr>
              <w:pStyle w:val="P68B1DB1-Normal23"/>
              <w:spacing w:after="0" w:line="240" w:lineRule="auto"/>
              <w:jc w:val="center"/>
              <w:rPr>
                <w:rFonts w:eastAsia="Symbol" w:cs="Times New Roman"/>
                <w:noProof/>
                <w:szCs w:val="18"/>
              </w:rPr>
            </w:pPr>
            <w:r>
              <w:rPr>
                <w:noProof/>
              </w:rPr>
              <w:t>2022</w:t>
            </w:r>
          </w:p>
        </w:tc>
        <w:tc>
          <w:tcPr>
            <w:tcW w:w="5217" w:type="dxa"/>
            <w:shd w:val="clear" w:color="auto" w:fill="C6EFCE"/>
            <w:noWrap/>
          </w:tcPr>
          <w:p w14:paraId="4ECE418B" w14:textId="77777777" w:rsidR="00D924EA" w:rsidRDefault="00011DE9">
            <w:pPr>
              <w:pStyle w:val="P68B1DB1-Normal23"/>
              <w:spacing w:after="0" w:line="240" w:lineRule="auto"/>
              <w:rPr>
                <w:rFonts w:eastAsia="Symbol" w:cs="Times New Roman"/>
                <w:noProof/>
                <w:szCs w:val="18"/>
              </w:rPr>
            </w:pPr>
            <w:r>
              <w:rPr>
                <w:noProof/>
              </w:rPr>
              <w:t xml:space="preserve">Publicarea în JO a primei licitații pentru sprijinirea investițiilor în capacitatea inovatoare sau cu valoare adăugată de energie din surse regenerabile </w:t>
            </w:r>
          </w:p>
        </w:tc>
      </w:tr>
      <w:tr w:rsidR="00D924EA" w14:paraId="3A201470" w14:textId="77777777" w:rsidTr="0042520D">
        <w:trPr>
          <w:trHeight w:val="309"/>
          <w:jc w:val="center"/>
        </w:trPr>
        <w:tc>
          <w:tcPr>
            <w:tcW w:w="709" w:type="dxa"/>
            <w:shd w:val="clear" w:color="auto" w:fill="C6EFCE"/>
            <w:noWrap/>
          </w:tcPr>
          <w:p w14:paraId="1C6E0487" w14:textId="77777777" w:rsidR="00D924EA" w:rsidRDefault="00011DE9">
            <w:pPr>
              <w:pStyle w:val="P68B1DB1-Normal23"/>
              <w:spacing w:after="0" w:line="240" w:lineRule="auto"/>
              <w:jc w:val="center"/>
              <w:rPr>
                <w:rFonts w:eastAsia="Symbol" w:cs="Times New Roman"/>
                <w:noProof/>
                <w:szCs w:val="18"/>
              </w:rPr>
            </w:pPr>
            <w:r>
              <w:rPr>
                <w:noProof/>
              </w:rPr>
              <w:t>116</w:t>
            </w:r>
          </w:p>
        </w:tc>
        <w:tc>
          <w:tcPr>
            <w:tcW w:w="851" w:type="dxa"/>
            <w:shd w:val="clear" w:color="auto" w:fill="C6EFCE"/>
            <w:noWrap/>
          </w:tcPr>
          <w:p w14:paraId="43B06A63" w14:textId="77777777" w:rsidR="00D924EA" w:rsidRDefault="00011DE9">
            <w:pPr>
              <w:pStyle w:val="P68B1DB1-Normal23"/>
              <w:spacing w:after="0" w:line="240" w:lineRule="auto"/>
              <w:jc w:val="center"/>
              <w:rPr>
                <w:rFonts w:eastAsia="Symbol" w:cs="Times New Roman"/>
                <w:noProof/>
                <w:szCs w:val="18"/>
              </w:rPr>
            </w:pPr>
            <w:r>
              <w:rPr>
                <w:noProof/>
              </w:rPr>
              <w:t>C7.I1</w:t>
            </w:r>
          </w:p>
        </w:tc>
        <w:tc>
          <w:tcPr>
            <w:tcW w:w="850" w:type="dxa"/>
            <w:shd w:val="clear" w:color="auto" w:fill="C6EFCE"/>
            <w:noWrap/>
          </w:tcPr>
          <w:p w14:paraId="61EE2C68" w14:textId="77777777" w:rsidR="00D924EA" w:rsidRDefault="00011DE9">
            <w:pPr>
              <w:pStyle w:val="P68B1DB1-Normal23"/>
              <w:spacing w:after="0" w:line="240" w:lineRule="auto"/>
              <w:jc w:val="center"/>
              <w:rPr>
                <w:rFonts w:eastAsia="Symbol" w:cs="Times New Roman"/>
                <w:noProof/>
                <w:szCs w:val="18"/>
              </w:rPr>
            </w:pPr>
            <w:r>
              <w:rPr>
                <w:noProof/>
              </w:rPr>
              <w:t>M</w:t>
            </w:r>
          </w:p>
        </w:tc>
        <w:tc>
          <w:tcPr>
            <w:tcW w:w="2688" w:type="dxa"/>
            <w:shd w:val="clear" w:color="auto" w:fill="C6EFCE"/>
            <w:noWrap/>
          </w:tcPr>
          <w:p w14:paraId="092A86D3" w14:textId="77777777" w:rsidR="00D924EA" w:rsidRDefault="00011DE9">
            <w:pPr>
              <w:pStyle w:val="P68B1DB1-Normal23"/>
              <w:spacing w:after="0" w:line="240" w:lineRule="auto"/>
              <w:rPr>
                <w:rFonts w:eastAsia="Symbol" w:cs="Times New Roman"/>
                <w:noProof/>
                <w:szCs w:val="18"/>
              </w:rPr>
            </w:pPr>
            <w:r>
              <w:rPr>
                <w:noProof/>
              </w:rPr>
              <w:t>Noi proiecte, tehnologii sau instalații de infrastructură pentru energia din surse regenerabile marine</w:t>
            </w:r>
          </w:p>
        </w:tc>
        <w:tc>
          <w:tcPr>
            <w:tcW w:w="1418" w:type="dxa"/>
            <w:shd w:val="clear" w:color="auto" w:fill="C6EFCE"/>
            <w:noWrap/>
          </w:tcPr>
          <w:p w14:paraId="3F82F57D" w14:textId="77777777" w:rsidR="00D924EA" w:rsidRDefault="00011DE9">
            <w:pPr>
              <w:pStyle w:val="P68B1DB1-Normal23"/>
              <w:spacing w:after="0" w:line="240" w:lineRule="auto"/>
              <w:jc w:val="center"/>
              <w:rPr>
                <w:rFonts w:eastAsia="Symbol" w:cs="Times New Roman"/>
                <w:noProof/>
                <w:szCs w:val="18"/>
              </w:rPr>
            </w:pPr>
            <w:r>
              <w:rPr>
                <w:noProof/>
              </w:rPr>
              <w:t>Decizia de atribuire/decizia autorității de investiții</w:t>
            </w:r>
          </w:p>
        </w:tc>
        <w:tc>
          <w:tcPr>
            <w:tcW w:w="709" w:type="dxa"/>
            <w:shd w:val="clear" w:color="auto" w:fill="C6EFCE"/>
            <w:noWrap/>
          </w:tcPr>
          <w:p w14:paraId="1E109607"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997" w:type="dxa"/>
            <w:shd w:val="clear" w:color="auto" w:fill="C6EFCE"/>
            <w:noWrap/>
          </w:tcPr>
          <w:p w14:paraId="7D58474E"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737" w:type="dxa"/>
            <w:shd w:val="clear" w:color="auto" w:fill="C6EFCE"/>
            <w:noWrap/>
          </w:tcPr>
          <w:p w14:paraId="3EB48774" w14:textId="77777777" w:rsidR="00D924EA" w:rsidRDefault="00011DE9">
            <w:pPr>
              <w:pStyle w:val="P68B1DB1-Normal23"/>
              <w:spacing w:after="0" w:line="240" w:lineRule="auto"/>
              <w:jc w:val="center"/>
              <w:rPr>
                <w:rFonts w:eastAsia="Symbol" w:cs="Times New Roman"/>
                <w:noProof/>
                <w:szCs w:val="18"/>
              </w:rPr>
            </w:pPr>
            <w:r>
              <w:rPr>
                <w:noProof/>
              </w:rPr>
              <w:t xml:space="preserve"> </w:t>
            </w:r>
          </w:p>
        </w:tc>
        <w:tc>
          <w:tcPr>
            <w:tcW w:w="567" w:type="dxa"/>
            <w:shd w:val="clear" w:color="auto" w:fill="C6EFCE"/>
            <w:noWrap/>
          </w:tcPr>
          <w:p w14:paraId="2EBD3A65" w14:textId="4E15B763" w:rsidR="00D924EA" w:rsidRDefault="005701C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2C75F295" w14:textId="77777777" w:rsidR="00D924EA" w:rsidRDefault="00011DE9">
            <w:pPr>
              <w:pStyle w:val="P68B1DB1-Normal23"/>
              <w:spacing w:after="0" w:line="240" w:lineRule="auto"/>
              <w:jc w:val="center"/>
              <w:rPr>
                <w:rFonts w:eastAsia="Symbol" w:cs="Times New Roman"/>
                <w:noProof/>
                <w:szCs w:val="18"/>
              </w:rPr>
            </w:pPr>
            <w:r>
              <w:rPr>
                <w:noProof/>
              </w:rPr>
              <w:t>2023</w:t>
            </w:r>
          </w:p>
        </w:tc>
        <w:tc>
          <w:tcPr>
            <w:tcW w:w="5217" w:type="dxa"/>
            <w:shd w:val="clear" w:color="auto" w:fill="C6EFCE"/>
            <w:noWrap/>
          </w:tcPr>
          <w:p w14:paraId="43E81951" w14:textId="77777777" w:rsidR="00D924EA" w:rsidRDefault="00011DE9">
            <w:pPr>
              <w:pStyle w:val="P68B1DB1-Normal23"/>
              <w:spacing w:after="0" w:line="240" w:lineRule="auto"/>
              <w:rPr>
                <w:rFonts w:eastAsia="Symbol" w:cs="Times New Roman"/>
                <w:noProof/>
                <w:szCs w:val="18"/>
              </w:rPr>
            </w:pPr>
            <w:r>
              <w:rPr>
                <w:noProof/>
              </w:rPr>
              <w:t xml:space="preserve">Cel puțin 6 proiecte de dezvoltare atribuite care promovează noi proiecte, tehnologii sau instalații de infrastructură pentru energia din surse regenerabile marine. Evoluțiile din 6 ar trebui să contribuie la punerea în aplicare a proiectelor privind energia din surse regenerabile marine în Spania. Evoluțiile pot include IMM-uri cu activitate în domeniul energiei din surse regenerabile marine care primesc granturi, împrumuturi sau investiții de capital, participă la achiziții publice înainte de comercializare, precum și granturi acordate direct proiectelor marine în domeniul energiei din surse regenerabile sau unui prototip de producție sau implementare de noi tehnologii în domeniul energiei din surse regenerabile marine. </w:t>
            </w:r>
          </w:p>
        </w:tc>
      </w:tr>
      <w:tr w:rsidR="00D924EA" w14:paraId="0A93A197" w14:textId="77777777" w:rsidTr="0042520D">
        <w:trPr>
          <w:trHeight w:val="309"/>
          <w:jc w:val="center"/>
        </w:trPr>
        <w:tc>
          <w:tcPr>
            <w:tcW w:w="709" w:type="dxa"/>
            <w:shd w:val="clear" w:color="auto" w:fill="C6EFCE"/>
            <w:noWrap/>
          </w:tcPr>
          <w:p w14:paraId="7BBCE89F" w14:textId="77777777" w:rsidR="00D924EA" w:rsidRDefault="00011DE9">
            <w:pPr>
              <w:pStyle w:val="P68B1DB1-Normal23"/>
              <w:spacing w:after="0" w:line="240" w:lineRule="auto"/>
              <w:jc w:val="center"/>
              <w:rPr>
                <w:rFonts w:eastAsia="Symbol" w:cs="Times New Roman"/>
                <w:noProof/>
                <w:szCs w:val="18"/>
              </w:rPr>
            </w:pPr>
            <w:r>
              <w:rPr>
                <w:noProof/>
              </w:rPr>
              <w:t>117</w:t>
            </w:r>
          </w:p>
        </w:tc>
        <w:tc>
          <w:tcPr>
            <w:tcW w:w="851" w:type="dxa"/>
            <w:shd w:val="clear" w:color="auto" w:fill="C6EFCE"/>
            <w:noWrap/>
          </w:tcPr>
          <w:p w14:paraId="19351719" w14:textId="77777777" w:rsidR="00D924EA" w:rsidRDefault="00011DE9">
            <w:pPr>
              <w:pStyle w:val="P68B1DB1-Normal23"/>
              <w:spacing w:after="0" w:line="240" w:lineRule="auto"/>
              <w:jc w:val="center"/>
              <w:rPr>
                <w:rFonts w:eastAsia="Symbol" w:cs="Times New Roman"/>
                <w:noProof/>
                <w:szCs w:val="18"/>
              </w:rPr>
            </w:pPr>
            <w:r>
              <w:rPr>
                <w:noProof/>
              </w:rPr>
              <w:t>C7.I1</w:t>
            </w:r>
          </w:p>
        </w:tc>
        <w:tc>
          <w:tcPr>
            <w:tcW w:w="850" w:type="dxa"/>
            <w:shd w:val="clear" w:color="auto" w:fill="C6EFCE"/>
            <w:noWrap/>
          </w:tcPr>
          <w:p w14:paraId="24C3CCF6" w14:textId="77777777" w:rsidR="00D924EA" w:rsidRDefault="00011DE9">
            <w:pPr>
              <w:pStyle w:val="P68B1DB1-Normal23"/>
              <w:spacing w:after="0" w:line="240" w:lineRule="auto"/>
              <w:jc w:val="center"/>
              <w:rPr>
                <w:rFonts w:eastAsia="Symbol" w:cs="Times New Roman"/>
                <w:noProof/>
                <w:szCs w:val="18"/>
              </w:rPr>
            </w:pPr>
            <w:r>
              <w:rPr>
                <w:noProof/>
              </w:rPr>
              <w:t>T</w:t>
            </w:r>
          </w:p>
        </w:tc>
        <w:tc>
          <w:tcPr>
            <w:tcW w:w="2688" w:type="dxa"/>
            <w:shd w:val="clear" w:color="auto" w:fill="C6EFCE"/>
            <w:noWrap/>
          </w:tcPr>
          <w:p w14:paraId="069AB9A9" w14:textId="696EA70B" w:rsidR="00D924EA" w:rsidRDefault="00011DE9">
            <w:pPr>
              <w:pStyle w:val="P68B1DB1-Normal23"/>
              <w:spacing w:after="0" w:line="240" w:lineRule="auto"/>
              <w:rPr>
                <w:rFonts w:eastAsia="Symbol" w:cs="Times New Roman"/>
                <w:noProof/>
                <w:szCs w:val="18"/>
              </w:rPr>
            </w:pPr>
            <w:r>
              <w:rPr>
                <w:noProof/>
              </w:rPr>
              <w:t>Capacitate suplimentară pentru producția și stocarea energiei din surse regenerabile</w:t>
            </w:r>
          </w:p>
        </w:tc>
        <w:tc>
          <w:tcPr>
            <w:tcW w:w="1418" w:type="dxa"/>
            <w:shd w:val="clear" w:color="auto" w:fill="C6EFCE"/>
            <w:noWrap/>
          </w:tcPr>
          <w:p w14:paraId="78D13606" w14:textId="7E00BD2C" w:rsidR="00D924EA" w:rsidRDefault="00011DE9">
            <w:pPr>
              <w:pStyle w:val="P68B1DB1-Normal23"/>
              <w:spacing w:after="0" w:line="240" w:lineRule="auto"/>
              <w:jc w:val="center"/>
              <w:rPr>
                <w:rFonts w:eastAsia="Symbol" w:cs="Times New Roman"/>
                <w:noProof/>
                <w:szCs w:val="18"/>
              </w:rPr>
            </w:pPr>
            <w:r>
              <w:rPr>
                <w:noProof/>
              </w:rPr>
              <w:t>—</w:t>
            </w:r>
          </w:p>
        </w:tc>
        <w:tc>
          <w:tcPr>
            <w:tcW w:w="709" w:type="dxa"/>
            <w:shd w:val="clear" w:color="auto" w:fill="C6EFCE"/>
            <w:noWrap/>
          </w:tcPr>
          <w:p w14:paraId="0D1275C6" w14:textId="77777777" w:rsidR="00D924EA" w:rsidRDefault="00011DE9">
            <w:pPr>
              <w:pStyle w:val="P68B1DB1-Normal23"/>
              <w:spacing w:after="0" w:line="240" w:lineRule="auto"/>
              <w:jc w:val="center"/>
              <w:rPr>
                <w:rFonts w:eastAsia="Symbol" w:cs="Times New Roman"/>
                <w:noProof/>
                <w:szCs w:val="18"/>
              </w:rPr>
            </w:pPr>
            <w:r>
              <w:rPr>
                <w:noProof/>
              </w:rPr>
              <w:t>Număr (MW)</w:t>
            </w:r>
          </w:p>
        </w:tc>
        <w:tc>
          <w:tcPr>
            <w:tcW w:w="997" w:type="dxa"/>
            <w:shd w:val="clear" w:color="auto" w:fill="C6EFCE"/>
            <w:noWrap/>
          </w:tcPr>
          <w:p w14:paraId="183CEE7F" w14:textId="77777777" w:rsidR="00D924EA" w:rsidRDefault="00011DE9">
            <w:pPr>
              <w:pStyle w:val="P68B1DB1-Normal23"/>
              <w:spacing w:after="0" w:line="240" w:lineRule="auto"/>
              <w:jc w:val="center"/>
              <w:rPr>
                <w:rFonts w:eastAsia="Symbol" w:cs="Times New Roman"/>
                <w:noProof/>
                <w:szCs w:val="18"/>
              </w:rPr>
            </w:pPr>
            <w:r>
              <w:rPr>
                <w:noProof/>
              </w:rPr>
              <w:t>0</w:t>
            </w:r>
          </w:p>
        </w:tc>
        <w:tc>
          <w:tcPr>
            <w:tcW w:w="737" w:type="dxa"/>
            <w:shd w:val="clear" w:color="auto" w:fill="C6EFCE"/>
            <w:noWrap/>
          </w:tcPr>
          <w:p w14:paraId="74962F23" w14:textId="2E1E1BB3" w:rsidR="00D924EA" w:rsidRDefault="00011DE9">
            <w:pPr>
              <w:pStyle w:val="P68B1DB1-Normal23"/>
              <w:spacing w:after="0" w:line="240" w:lineRule="auto"/>
              <w:jc w:val="center"/>
              <w:rPr>
                <w:rFonts w:eastAsia="Symbol" w:cs="Times New Roman"/>
                <w:noProof/>
                <w:szCs w:val="18"/>
              </w:rPr>
            </w:pPr>
            <w:r>
              <w:rPr>
                <w:noProof/>
              </w:rPr>
              <w:t>2 811</w:t>
            </w:r>
            <w:r w:rsidR="00971820">
              <w:rPr>
                <w:noProof/>
              </w:rPr>
              <w:t xml:space="preserve"> </w:t>
            </w:r>
          </w:p>
        </w:tc>
        <w:tc>
          <w:tcPr>
            <w:tcW w:w="567" w:type="dxa"/>
            <w:shd w:val="clear" w:color="auto" w:fill="C6EFCE"/>
            <w:noWrap/>
          </w:tcPr>
          <w:p w14:paraId="409B49FA" w14:textId="712AE932" w:rsidR="00D924EA" w:rsidRDefault="005701C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2071C3D4" w14:textId="77777777" w:rsidR="00D924EA" w:rsidRDefault="00011DE9">
            <w:pPr>
              <w:pStyle w:val="P68B1DB1-Normal23"/>
              <w:spacing w:after="0" w:line="240" w:lineRule="auto"/>
              <w:jc w:val="center"/>
              <w:rPr>
                <w:rFonts w:eastAsia="Symbol" w:cs="Times New Roman"/>
                <w:noProof/>
                <w:szCs w:val="18"/>
              </w:rPr>
            </w:pPr>
            <w:r>
              <w:rPr>
                <w:noProof/>
              </w:rPr>
              <w:t>2026</w:t>
            </w:r>
          </w:p>
        </w:tc>
        <w:tc>
          <w:tcPr>
            <w:tcW w:w="5217" w:type="dxa"/>
            <w:shd w:val="clear" w:color="auto" w:fill="C6EFCE"/>
            <w:noWrap/>
          </w:tcPr>
          <w:p w14:paraId="477264D9" w14:textId="314E9AF6" w:rsidR="00D924EA" w:rsidRDefault="00011DE9">
            <w:pPr>
              <w:pStyle w:val="P68B1DB1-Normal24"/>
              <w:spacing w:after="0" w:line="240" w:lineRule="auto"/>
              <w:rPr>
                <w:rFonts w:eastAsia="Symbol" w:cs="Times New Roman"/>
                <w:noProof/>
              </w:rPr>
            </w:pPr>
            <w:r>
              <w:rPr>
                <w:noProof/>
              </w:rPr>
              <w:t>Entitățile sau persoanele beneficiare au prezentat rapoarte finale care confirmă finalizarea activităților atribuite pentru granturi legate de instalarea capacității de producție și stocare a energiei din surse regenerabile sau o confirmare din partea administrației că au fost executate contracte sau acorduri sau părți ale acestora legate de instalarea capacității de producție și stocare a energiei din surse regenerabile, pentru o cantitate totală cumulată de 2 811 MW.</w:t>
            </w:r>
          </w:p>
        </w:tc>
      </w:tr>
      <w:tr w:rsidR="00D924EA" w14:paraId="75955303" w14:textId="77777777" w:rsidTr="0042520D">
        <w:trPr>
          <w:trHeight w:val="309"/>
          <w:jc w:val="center"/>
        </w:trPr>
        <w:tc>
          <w:tcPr>
            <w:tcW w:w="709" w:type="dxa"/>
            <w:shd w:val="clear" w:color="auto" w:fill="C6EFCE"/>
            <w:noWrap/>
          </w:tcPr>
          <w:p w14:paraId="5CAADFA4" w14:textId="77777777" w:rsidR="00D924EA" w:rsidRDefault="00011DE9">
            <w:pPr>
              <w:pStyle w:val="P68B1DB1-Normal23"/>
              <w:spacing w:after="0" w:line="240" w:lineRule="auto"/>
              <w:jc w:val="center"/>
              <w:rPr>
                <w:rFonts w:cs="Times New Roman"/>
                <w:noProof/>
                <w:szCs w:val="18"/>
              </w:rPr>
            </w:pPr>
            <w:r>
              <w:rPr>
                <w:noProof/>
              </w:rPr>
              <w:t>118</w:t>
            </w:r>
          </w:p>
        </w:tc>
        <w:tc>
          <w:tcPr>
            <w:tcW w:w="851" w:type="dxa"/>
            <w:shd w:val="clear" w:color="auto" w:fill="C6EFCE"/>
            <w:noWrap/>
          </w:tcPr>
          <w:p w14:paraId="225282DA" w14:textId="77777777" w:rsidR="00D924EA" w:rsidRDefault="00011DE9">
            <w:pPr>
              <w:pStyle w:val="P68B1DB1-Normal23"/>
              <w:spacing w:after="0" w:line="240" w:lineRule="auto"/>
              <w:jc w:val="center"/>
              <w:rPr>
                <w:rFonts w:cs="Times New Roman"/>
                <w:noProof/>
                <w:szCs w:val="18"/>
              </w:rPr>
            </w:pPr>
            <w:r>
              <w:rPr>
                <w:noProof/>
              </w:rPr>
              <w:t>C7.I2</w:t>
            </w:r>
          </w:p>
        </w:tc>
        <w:tc>
          <w:tcPr>
            <w:tcW w:w="850" w:type="dxa"/>
            <w:shd w:val="clear" w:color="auto" w:fill="C6EFCE"/>
            <w:noWrap/>
          </w:tcPr>
          <w:p w14:paraId="5272AABA" w14:textId="77777777" w:rsidR="00D924EA" w:rsidRDefault="00011DE9">
            <w:pPr>
              <w:pStyle w:val="P68B1DB1-Normal23"/>
              <w:spacing w:after="0" w:line="240" w:lineRule="auto"/>
              <w:jc w:val="center"/>
              <w:rPr>
                <w:rFonts w:cs="Times New Roman"/>
                <w:noProof/>
                <w:szCs w:val="18"/>
              </w:rPr>
            </w:pPr>
            <w:r>
              <w:rPr>
                <w:noProof/>
              </w:rPr>
              <w:t>M</w:t>
            </w:r>
          </w:p>
        </w:tc>
        <w:tc>
          <w:tcPr>
            <w:tcW w:w="2688" w:type="dxa"/>
            <w:shd w:val="clear" w:color="auto" w:fill="C6EFCE"/>
            <w:noWrap/>
          </w:tcPr>
          <w:p w14:paraId="140C90FE" w14:textId="77777777" w:rsidR="00D924EA" w:rsidRDefault="00011DE9">
            <w:pPr>
              <w:pStyle w:val="P68B1DB1-Normal23"/>
              <w:spacing w:after="0" w:line="240" w:lineRule="auto"/>
              <w:rPr>
                <w:rFonts w:cs="Times New Roman"/>
                <w:noProof/>
                <w:szCs w:val="18"/>
              </w:rPr>
            </w:pPr>
            <w:r>
              <w:rPr>
                <w:noProof/>
              </w:rPr>
              <w:t xml:space="preserve">Biroul pentru energie curată și proiecte inteligente pentru insule </w:t>
            </w:r>
          </w:p>
        </w:tc>
        <w:tc>
          <w:tcPr>
            <w:tcW w:w="1418" w:type="dxa"/>
            <w:shd w:val="clear" w:color="auto" w:fill="C6EFCE"/>
            <w:noWrap/>
          </w:tcPr>
          <w:p w14:paraId="41231792" w14:textId="77777777" w:rsidR="00D924EA" w:rsidRDefault="00011DE9">
            <w:pPr>
              <w:pStyle w:val="P68B1DB1-Normal23"/>
              <w:spacing w:after="0" w:line="240" w:lineRule="auto"/>
              <w:jc w:val="center"/>
              <w:rPr>
                <w:rFonts w:cs="Times New Roman"/>
                <w:noProof/>
                <w:szCs w:val="18"/>
              </w:rPr>
            </w:pPr>
            <w:r>
              <w:rPr>
                <w:noProof/>
              </w:rPr>
              <w:t>Publicarea pe pagina web</w:t>
            </w:r>
          </w:p>
        </w:tc>
        <w:tc>
          <w:tcPr>
            <w:tcW w:w="709" w:type="dxa"/>
            <w:shd w:val="clear" w:color="auto" w:fill="C6EFCE"/>
            <w:noWrap/>
          </w:tcPr>
          <w:p w14:paraId="7A4C17D3" w14:textId="77777777" w:rsidR="00D924EA" w:rsidRDefault="00011DE9">
            <w:pPr>
              <w:pStyle w:val="P68B1DB1-Normal23"/>
              <w:spacing w:after="0" w:line="240" w:lineRule="auto"/>
              <w:jc w:val="center"/>
              <w:rPr>
                <w:rFonts w:cs="Times New Roman"/>
                <w:noProof/>
                <w:szCs w:val="18"/>
              </w:rPr>
            </w:pPr>
            <w:r>
              <w:rPr>
                <w:noProof/>
              </w:rPr>
              <w:t xml:space="preserve"> </w:t>
            </w:r>
          </w:p>
        </w:tc>
        <w:tc>
          <w:tcPr>
            <w:tcW w:w="997" w:type="dxa"/>
            <w:shd w:val="clear" w:color="auto" w:fill="C6EFCE"/>
            <w:noWrap/>
          </w:tcPr>
          <w:p w14:paraId="543AE70C" w14:textId="77777777" w:rsidR="00D924EA" w:rsidRDefault="00011DE9">
            <w:pPr>
              <w:pStyle w:val="P68B1DB1-Normal23"/>
              <w:spacing w:after="0" w:line="240" w:lineRule="auto"/>
              <w:jc w:val="center"/>
              <w:rPr>
                <w:rFonts w:cs="Times New Roman"/>
                <w:noProof/>
                <w:szCs w:val="18"/>
              </w:rPr>
            </w:pPr>
            <w:r>
              <w:rPr>
                <w:noProof/>
              </w:rPr>
              <w:t xml:space="preserve"> </w:t>
            </w:r>
          </w:p>
        </w:tc>
        <w:tc>
          <w:tcPr>
            <w:tcW w:w="737" w:type="dxa"/>
            <w:shd w:val="clear" w:color="auto" w:fill="C6EFCE"/>
            <w:noWrap/>
          </w:tcPr>
          <w:p w14:paraId="72BE98B0" w14:textId="77777777" w:rsidR="00D924EA" w:rsidRDefault="00011DE9">
            <w:pPr>
              <w:pStyle w:val="P68B1DB1-Normal23"/>
              <w:spacing w:after="0" w:line="240" w:lineRule="auto"/>
              <w:jc w:val="center"/>
              <w:rPr>
                <w:rFonts w:cs="Times New Roman"/>
                <w:noProof/>
                <w:szCs w:val="18"/>
              </w:rPr>
            </w:pPr>
            <w:r>
              <w:rPr>
                <w:noProof/>
              </w:rPr>
              <w:t xml:space="preserve"> </w:t>
            </w:r>
          </w:p>
        </w:tc>
        <w:tc>
          <w:tcPr>
            <w:tcW w:w="567" w:type="dxa"/>
            <w:shd w:val="clear" w:color="auto" w:fill="C6EFCE"/>
            <w:noWrap/>
          </w:tcPr>
          <w:p w14:paraId="14F49645" w14:textId="57AC904C" w:rsidR="00D924EA" w:rsidRDefault="005701C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06359223" w14:textId="77777777" w:rsidR="00D924EA" w:rsidRDefault="00011DE9">
            <w:pPr>
              <w:pStyle w:val="P68B1DB1-Normal23"/>
              <w:spacing w:after="0" w:line="240" w:lineRule="auto"/>
              <w:jc w:val="center"/>
              <w:rPr>
                <w:rFonts w:cs="Times New Roman"/>
                <w:noProof/>
                <w:szCs w:val="18"/>
              </w:rPr>
            </w:pPr>
            <w:r>
              <w:rPr>
                <w:noProof/>
              </w:rPr>
              <w:t>2023</w:t>
            </w:r>
          </w:p>
        </w:tc>
        <w:tc>
          <w:tcPr>
            <w:tcW w:w="5217" w:type="dxa"/>
            <w:shd w:val="clear" w:color="auto" w:fill="C6EFCE"/>
            <w:noWrap/>
          </w:tcPr>
          <w:p w14:paraId="5033FD9D" w14:textId="77777777" w:rsidR="00D924EA" w:rsidRDefault="00011DE9">
            <w:pPr>
              <w:pStyle w:val="P68B1DB1-Normal23"/>
              <w:spacing w:after="0" w:line="240" w:lineRule="auto"/>
              <w:rPr>
                <w:rFonts w:cs="Times New Roman"/>
                <w:noProof/>
                <w:szCs w:val="18"/>
              </w:rPr>
            </w:pPr>
            <w:r>
              <w:rPr>
                <w:noProof/>
              </w:rPr>
              <w:t>Crearea Biroului pentru energie curată și proiecte inteligente pentru insule, cu obiectivul de a gestiona programele de sprijin din cadrul Mecanismului de redresare și reziliență. Biroul coordonează dinamizarea și dezvoltarea tranziției energetice în insule.</w:t>
            </w:r>
          </w:p>
        </w:tc>
      </w:tr>
      <w:tr w:rsidR="00D924EA" w14:paraId="79365FE5" w14:textId="77777777" w:rsidTr="0042520D">
        <w:trPr>
          <w:trHeight w:val="309"/>
          <w:jc w:val="center"/>
        </w:trPr>
        <w:tc>
          <w:tcPr>
            <w:tcW w:w="709" w:type="dxa"/>
            <w:shd w:val="clear" w:color="auto" w:fill="C6EFCE"/>
            <w:noWrap/>
          </w:tcPr>
          <w:p w14:paraId="7C9E9844" w14:textId="77777777" w:rsidR="00D924EA" w:rsidRDefault="00011DE9">
            <w:pPr>
              <w:pStyle w:val="P68B1DB1-Normal23"/>
              <w:spacing w:after="0" w:line="240" w:lineRule="auto"/>
              <w:jc w:val="center"/>
              <w:rPr>
                <w:rFonts w:cs="Times New Roman"/>
                <w:noProof/>
                <w:szCs w:val="18"/>
              </w:rPr>
            </w:pPr>
            <w:r>
              <w:rPr>
                <w:noProof/>
              </w:rPr>
              <w:t>119</w:t>
            </w:r>
          </w:p>
        </w:tc>
        <w:tc>
          <w:tcPr>
            <w:tcW w:w="851" w:type="dxa"/>
            <w:shd w:val="clear" w:color="auto" w:fill="C6EFCE"/>
            <w:noWrap/>
          </w:tcPr>
          <w:p w14:paraId="6B446468" w14:textId="77777777" w:rsidR="00D924EA" w:rsidRDefault="00011DE9">
            <w:pPr>
              <w:pStyle w:val="P68B1DB1-Normal23"/>
              <w:spacing w:after="0" w:line="240" w:lineRule="auto"/>
              <w:jc w:val="center"/>
              <w:rPr>
                <w:rFonts w:cs="Times New Roman"/>
                <w:noProof/>
                <w:szCs w:val="18"/>
              </w:rPr>
            </w:pPr>
            <w:r>
              <w:rPr>
                <w:noProof/>
              </w:rPr>
              <w:t>C7.I2</w:t>
            </w:r>
          </w:p>
        </w:tc>
        <w:tc>
          <w:tcPr>
            <w:tcW w:w="850" w:type="dxa"/>
            <w:shd w:val="clear" w:color="auto" w:fill="C6EFCE"/>
            <w:noWrap/>
          </w:tcPr>
          <w:p w14:paraId="39CCE5CA" w14:textId="77777777" w:rsidR="00D924EA" w:rsidRDefault="00011DE9">
            <w:pPr>
              <w:pStyle w:val="P68B1DB1-Normal23"/>
              <w:spacing w:after="0" w:line="240" w:lineRule="auto"/>
              <w:jc w:val="center"/>
              <w:rPr>
                <w:rFonts w:cs="Times New Roman"/>
                <w:noProof/>
                <w:szCs w:val="18"/>
              </w:rPr>
            </w:pPr>
            <w:r>
              <w:rPr>
                <w:noProof/>
              </w:rPr>
              <w:t>T</w:t>
            </w:r>
          </w:p>
        </w:tc>
        <w:tc>
          <w:tcPr>
            <w:tcW w:w="2688" w:type="dxa"/>
            <w:shd w:val="clear" w:color="auto" w:fill="C6EFCE"/>
            <w:noWrap/>
          </w:tcPr>
          <w:p w14:paraId="0498418A" w14:textId="2F9B9F9E" w:rsidR="00D924EA" w:rsidRDefault="00011DE9">
            <w:pPr>
              <w:pStyle w:val="P68B1DB1-Normal23"/>
              <w:spacing w:after="0" w:line="240" w:lineRule="auto"/>
              <w:rPr>
                <w:rFonts w:cs="Times New Roman"/>
                <w:noProof/>
                <w:szCs w:val="18"/>
              </w:rPr>
            </w:pPr>
            <w:r>
              <w:rPr>
                <w:noProof/>
              </w:rPr>
              <w:t>Acțiuni de sprijinire a tranziției energetice pe insule</w:t>
            </w:r>
          </w:p>
        </w:tc>
        <w:tc>
          <w:tcPr>
            <w:tcW w:w="1418" w:type="dxa"/>
            <w:shd w:val="clear" w:color="auto" w:fill="C6EFCE"/>
            <w:noWrap/>
          </w:tcPr>
          <w:p w14:paraId="601705BA" w14:textId="7D66301A" w:rsidR="00D924EA" w:rsidRDefault="00011DE9">
            <w:pPr>
              <w:pStyle w:val="P68B1DB1-Normal24"/>
              <w:spacing w:after="0" w:line="240" w:lineRule="auto"/>
              <w:jc w:val="center"/>
              <w:rPr>
                <w:rFonts w:cs="Times New Roman"/>
                <w:noProof/>
              </w:rPr>
            </w:pPr>
            <w:r>
              <w:rPr>
                <w:noProof/>
              </w:rPr>
              <w:t xml:space="preserve"> —</w:t>
            </w:r>
          </w:p>
        </w:tc>
        <w:tc>
          <w:tcPr>
            <w:tcW w:w="709" w:type="dxa"/>
            <w:shd w:val="clear" w:color="auto" w:fill="C6EFCE"/>
            <w:noWrap/>
          </w:tcPr>
          <w:p w14:paraId="6E438C0E" w14:textId="77777777" w:rsidR="00D924EA" w:rsidRDefault="00011DE9">
            <w:pPr>
              <w:pStyle w:val="P68B1DB1-Normal23"/>
              <w:spacing w:after="0" w:line="240" w:lineRule="auto"/>
              <w:jc w:val="center"/>
              <w:rPr>
                <w:rFonts w:cs="Times New Roman"/>
                <w:noProof/>
                <w:szCs w:val="18"/>
              </w:rPr>
            </w:pPr>
            <w:r>
              <w:rPr>
                <w:noProof/>
              </w:rPr>
              <w:t>Număr</w:t>
            </w:r>
          </w:p>
        </w:tc>
        <w:tc>
          <w:tcPr>
            <w:tcW w:w="997" w:type="dxa"/>
            <w:shd w:val="clear" w:color="auto" w:fill="C6EFCE"/>
            <w:noWrap/>
          </w:tcPr>
          <w:p w14:paraId="3060ECF9" w14:textId="77777777" w:rsidR="00D924EA" w:rsidRDefault="00011DE9">
            <w:pPr>
              <w:pStyle w:val="P68B1DB1-Normal23"/>
              <w:spacing w:after="0" w:line="240" w:lineRule="auto"/>
              <w:jc w:val="center"/>
              <w:rPr>
                <w:rFonts w:cs="Times New Roman"/>
                <w:noProof/>
                <w:szCs w:val="18"/>
              </w:rPr>
            </w:pPr>
            <w:r>
              <w:rPr>
                <w:noProof/>
              </w:rPr>
              <w:t>0</w:t>
            </w:r>
          </w:p>
        </w:tc>
        <w:tc>
          <w:tcPr>
            <w:tcW w:w="737" w:type="dxa"/>
            <w:shd w:val="clear" w:color="auto" w:fill="C6EFCE"/>
            <w:noWrap/>
          </w:tcPr>
          <w:p w14:paraId="116FD7EA" w14:textId="0047387C" w:rsidR="00D924EA" w:rsidRDefault="00011DE9">
            <w:pPr>
              <w:pStyle w:val="P68B1DB1-Normal24"/>
              <w:spacing w:after="0" w:line="240" w:lineRule="auto"/>
              <w:jc w:val="center"/>
              <w:rPr>
                <w:rFonts w:cs="Times New Roman"/>
                <w:noProof/>
              </w:rPr>
            </w:pPr>
            <w:r>
              <w:rPr>
                <w:noProof/>
              </w:rPr>
              <w:t>430</w:t>
            </w:r>
          </w:p>
        </w:tc>
        <w:tc>
          <w:tcPr>
            <w:tcW w:w="567" w:type="dxa"/>
            <w:shd w:val="clear" w:color="auto" w:fill="C6EFCE"/>
            <w:noWrap/>
          </w:tcPr>
          <w:p w14:paraId="0ABADC1E" w14:textId="39F518DF" w:rsidR="00D924EA" w:rsidRDefault="005701C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3D9B0F8A" w14:textId="2CEFD7AF" w:rsidR="00D924EA" w:rsidRDefault="00011DE9">
            <w:pPr>
              <w:pStyle w:val="P68B1DB1-Normal23"/>
              <w:spacing w:after="0" w:line="240" w:lineRule="auto"/>
              <w:jc w:val="center"/>
              <w:rPr>
                <w:rFonts w:cs="Times New Roman"/>
                <w:noProof/>
                <w:szCs w:val="18"/>
              </w:rPr>
            </w:pPr>
            <w:r>
              <w:rPr>
                <w:noProof/>
              </w:rPr>
              <w:t>2026</w:t>
            </w:r>
          </w:p>
        </w:tc>
        <w:tc>
          <w:tcPr>
            <w:tcW w:w="5217" w:type="dxa"/>
            <w:shd w:val="clear" w:color="auto" w:fill="C6EFCE"/>
            <w:noWrap/>
          </w:tcPr>
          <w:p w14:paraId="00AFF428" w14:textId="08322520" w:rsidR="00D924EA" w:rsidRDefault="00011DE9">
            <w:pPr>
              <w:pStyle w:val="P68B1DB1-Normal24"/>
              <w:spacing w:after="0" w:line="240" w:lineRule="auto"/>
              <w:rPr>
                <w:rFonts w:cs="Times New Roman"/>
                <w:noProof/>
              </w:rPr>
            </w:pPr>
            <w:r>
              <w:rPr>
                <w:noProof/>
              </w:rPr>
              <w:t>Entitățile beneficiare sau persoanele fizice au prezentat rapoarte finale care confirmă finalizarea activităților atribuite pentru granturi legate de tranziția energetică pe insule sau administrația a confirmat că au fost executate contracte sau acorduri sau părți ale acestora legate de tranziția energetică pe insule, pentru un număr total cumulat de 430 de acțiuni.</w:t>
            </w:r>
          </w:p>
        </w:tc>
      </w:tr>
      <w:tr w:rsidR="00D924EA" w14:paraId="08CA7061" w14:textId="77777777" w:rsidTr="0042520D">
        <w:trPr>
          <w:trHeight w:val="309"/>
          <w:jc w:val="center"/>
        </w:trPr>
        <w:tc>
          <w:tcPr>
            <w:tcW w:w="709" w:type="dxa"/>
            <w:shd w:val="clear" w:color="auto" w:fill="C6EFCE"/>
            <w:noWrap/>
          </w:tcPr>
          <w:p w14:paraId="3609CB54" w14:textId="77777777" w:rsidR="00D924EA" w:rsidRDefault="00011DE9">
            <w:pPr>
              <w:pStyle w:val="P68B1DB1-Normal23"/>
              <w:spacing w:after="0" w:line="240" w:lineRule="auto"/>
              <w:jc w:val="center"/>
              <w:rPr>
                <w:rFonts w:cs="Times New Roman"/>
                <w:noProof/>
                <w:szCs w:val="18"/>
              </w:rPr>
            </w:pPr>
            <w:r>
              <w:rPr>
                <w:noProof/>
              </w:rPr>
              <w:t>120</w:t>
            </w:r>
          </w:p>
        </w:tc>
        <w:tc>
          <w:tcPr>
            <w:tcW w:w="851" w:type="dxa"/>
            <w:shd w:val="clear" w:color="auto" w:fill="C6EFCE"/>
            <w:noWrap/>
          </w:tcPr>
          <w:p w14:paraId="30CA338D" w14:textId="77777777" w:rsidR="00D924EA" w:rsidRDefault="00011DE9">
            <w:pPr>
              <w:pStyle w:val="P68B1DB1-Normal23"/>
              <w:spacing w:after="0" w:line="240" w:lineRule="auto"/>
              <w:jc w:val="center"/>
              <w:rPr>
                <w:rFonts w:cs="Times New Roman"/>
                <w:noProof/>
                <w:szCs w:val="18"/>
              </w:rPr>
            </w:pPr>
            <w:r>
              <w:rPr>
                <w:noProof/>
              </w:rPr>
              <w:t>C7.I2</w:t>
            </w:r>
          </w:p>
        </w:tc>
        <w:tc>
          <w:tcPr>
            <w:tcW w:w="850" w:type="dxa"/>
            <w:shd w:val="clear" w:color="auto" w:fill="C6EFCE"/>
            <w:noWrap/>
          </w:tcPr>
          <w:p w14:paraId="5828807D" w14:textId="77777777" w:rsidR="00D924EA" w:rsidRDefault="00011DE9">
            <w:pPr>
              <w:pStyle w:val="P68B1DB1-Normal23"/>
              <w:spacing w:after="0" w:line="240" w:lineRule="auto"/>
              <w:jc w:val="center"/>
              <w:rPr>
                <w:rFonts w:cs="Times New Roman"/>
                <w:noProof/>
                <w:szCs w:val="18"/>
              </w:rPr>
            </w:pPr>
            <w:r>
              <w:rPr>
                <w:noProof/>
              </w:rPr>
              <w:t>T</w:t>
            </w:r>
          </w:p>
        </w:tc>
        <w:tc>
          <w:tcPr>
            <w:tcW w:w="2688" w:type="dxa"/>
            <w:shd w:val="clear" w:color="auto" w:fill="C6EFCE"/>
            <w:noWrap/>
          </w:tcPr>
          <w:p w14:paraId="24D61434" w14:textId="77777777" w:rsidR="00D924EA" w:rsidRDefault="00011DE9">
            <w:pPr>
              <w:pStyle w:val="P68B1DB1-Normal23"/>
              <w:spacing w:after="0" w:line="240" w:lineRule="auto"/>
              <w:rPr>
                <w:rFonts w:cs="Times New Roman"/>
                <w:noProof/>
                <w:szCs w:val="18"/>
              </w:rPr>
            </w:pPr>
            <w:r>
              <w:rPr>
                <w:noProof/>
              </w:rPr>
              <w:t>Capacitatea suplimentară de producție de energie din surse regenerabile în insule</w:t>
            </w:r>
          </w:p>
        </w:tc>
        <w:tc>
          <w:tcPr>
            <w:tcW w:w="1418" w:type="dxa"/>
            <w:shd w:val="clear" w:color="auto" w:fill="C6EFCE"/>
            <w:noWrap/>
          </w:tcPr>
          <w:p w14:paraId="43D1CBBC" w14:textId="24FBDD12" w:rsidR="00D924EA" w:rsidRDefault="00011DE9">
            <w:pPr>
              <w:pStyle w:val="P68B1DB1-Normal24"/>
              <w:spacing w:after="0" w:line="240" w:lineRule="auto"/>
              <w:jc w:val="center"/>
              <w:rPr>
                <w:rFonts w:cs="Times New Roman"/>
                <w:noProof/>
              </w:rPr>
            </w:pPr>
            <w:r>
              <w:rPr>
                <w:noProof/>
              </w:rPr>
              <w:t>—</w:t>
            </w:r>
          </w:p>
        </w:tc>
        <w:tc>
          <w:tcPr>
            <w:tcW w:w="709" w:type="dxa"/>
            <w:shd w:val="clear" w:color="auto" w:fill="C6EFCE"/>
            <w:noWrap/>
          </w:tcPr>
          <w:p w14:paraId="6281B1A7" w14:textId="77777777" w:rsidR="00D924EA" w:rsidRDefault="00011DE9">
            <w:pPr>
              <w:pStyle w:val="P68B1DB1-Normal23"/>
              <w:spacing w:after="0" w:line="240" w:lineRule="auto"/>
              <w:jc w:val="center"/>
              <w:rPr>
                <w:rFonts w:cs="Times New Roman"/>
                <w:noProof/>
                <w:szCs w:val="18"/>
              </w:rPr>
            </w:pPr>
            <w:r>
              <w:rPr>
                <w:noProof/>
              </w:rPr>
              <w:t>Număr (MW)</w:t>
            </w:r>
          </w:p>
        </w:tc>
        <w:tc>
          <w:tcPr>
            <w:tcW w:w="997" w:type="dxa"/>
            <w:shd w:val="clear" w:color="auto" w:fill="C6EFCE"/>
            <w:noWrap/>
          </w:tcPr>
          <w:p w14:paraId="24894303" w14:textId="77777777" w:rsidR="00D924EA" w:rsidRDefault="00011DE9">
            <w:pPr>
              <w:pStyle w:val="P68B1DB1-Normal23"/>
              <w:spacing w:after="0" w:line="240" w:lineRule="auto"/>
              <w:jc w:val="center"/>
              <w:rPr>
                <w:rFonts w:cs="Times New Roman"/>
                <w:noProof/>
                <w:szCs w:val="18"/>
              </w:rPr>
            </w:pPr>
            <w:r>
              <w:rPr>
                <w:noProof/>
              </w:rPr>
              <w:t>0</w:t>
            </w:r>
          </w:p>
        </w:tc>
        <w:tc>
          <w:tcPr>
            <w:tcW w:w="737" w:type="dxa"/>
            <w:shd w:val="clear" w:color="auto" w:fill="C6EFCE"/>
            <w:noWrap/>
          </w:tcPr>
          <w:p w14:paraId="40DCA0C8" w14:textId="06C6FA38" w:rsidR="00D924EA" w:rsidRDefault="00011DE9">
            <w:pPr>
              <w:pStyle w:val="P68B1DB1-Normal24"/>
              <w:spacing w:after="0" w:line="240" w:lineRule="auto"/>
              <w:jc w:val="center"/>
              <w:rPr>
                <w:rFonts w:cs="Times New Roman"/>
                <w:noProof/>
              </w:rPr>
            </w:pPr>
            <w:r>
              <w:rPr>
                <w:noProof/>
              </w:rPr>
              <w:t>128</w:t>
            </w:r>
          </w:p>
        </w:tc>
        <w:tc>
          <w:tcPr>
            <w:tcW w:w="567" w:type="dxa"/>
            <w:shd w:val="clear" w:color="auto" w:fill="C6EFCE"/>
            <w:noWrap/>
          </w:tcPr>
          <w:p w14:paraId="6B10F890" w14:textId="338FBC23" w:rsidR="00D924EA" w:rsidRDefault="005701C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051C9956" w14:textId="77777777" w:rsidR="00D924EA" w:rsidRDefault="00011DE9">
            <w:pPr>
              <w:pStyle w:val="P68B1DB1-Normal23"/>
              <w:spacing w:after="0" w:line="240" w:lineRule="auto"/>
              <w:jc w:val="center"/>
              <w:rPr>
                <w:rFonts w:cs="Times New Roman"/>
                <w:noProof/>
                <w:szCs w:val="18"/>
              </w:rPr>
            </w:pPr>
            <w:r>
              <w:rPr>
                <w:noProof/>
              </w:rPr>
              <w:t>2026</w:t>
            </w:r>
          </w:p>
        </w:tc>
        <w:tc>
          <w:tcPr>
            <w:tcW w:w="5217" w:type="dxa"/>
            <w:shd w:val="clear" w:color="auto" w:fill="C6EFCE"/>
            <w:noWrap/>
          </w:tcPr>
          <w:p w14:paraId="353336CF" w14:textId="1A79F5A9" w:rsidR="00D924EA" w:rsidRDefault="00011DE9">
            <w:pPr>
              <w:pStyle w:val="P68B1DB1-Normal24"/>
              <w:spacing w:after="0" w:line="240" w:lineRule="auto"/>
              <w:rPr>
                <w:rFonts w:cs="Times New Roman"/>
                <w:noProof/>
              </w:rPr>
            </w:pPr>
            <w:r>
              <w:rPr>
                <w:noProof/>
              </w:rPr>
              <w:t>Entitățile sau persoanele beneficiare au prezentat rapoarte finale care confirmă finalizarea activităților atribuite pentru granturi legate de instalarea capacității de producție de energie din surse regenerabile în insule sau o confirmare din partea administrației că au fost executate contracte sau acorduri sau părți ale acestora legate de instalarea capacității de producție de energie din surse regenerabile în insule, pentru o cantitate totală cumulată de 128 MW.</w:t>
            </w:r>
          </w:p>
        </w:tc>
      </w:tr>
    </w:tbl>
    <w:p w14:paraId="3D2F2B44" w14:textId="77777777" w:rsidR="00D924EA" w:rsidRDefault="00D924EA">
      <w:pPr>
        <w:pStyle w:val="Heading1"/>
        <w:rPr>
          <w:noProof/>
        </w:rPr>
        <w:sectPr w:rsidR="00D924EA" w:rsidSect="00193E2D">
          <w:headerReference w:type="even" r:id="rId110"/>
          <w:headerReference w:type="default" r:id="rId111"/>
          <w:footerReference w:type="even" r:id="rId112"/>
          <w:footerReference w:type="default" r:id="rId113"/>
          <w:headerReference w:type="first" r:id="rId114"/>
          <w:footerReference w:type="first" r:id="rId115"/>
          <w:pgSz w:w="16839" w:h="11907" w:orient="landscape"/>
          <w:pgMar w:top="1134" w:right="1134" w:bottom="1134" w:left="1134" w:header="567" w:footer="567" w:gutter="0"/>
          <w:cols w:space="720"/>
          <w:docGrid w:linePitch="360"/>
        </w:sectPr>
      </w:pPr>
    </w:p>
    <w:p w14:paraId="0DAE8A88" w14:textId="77777777" w:rsidR="00D924EA" w:rsidRDefault="00011DE9">
      <w:pPr>
        <w:pStyle w:val="Heading1"/>
        <w:rPr>
          <w:noProof/>
        </w:rPr>
      </w:pPr>
      <w:r>
        <w:rPr>
          <w:noProof/>
        </w:rPr>
        <w:t>H. COMPONENTA 8: Infrastructura de energie electrică, rețelele inteligente și implementarea flexibilității și a stocării</w:t>
      </w:r>
    </w:p>
    <w:p w14:paraId="7C053C93" w14:textId="77777777" w:rsidR="00D924EA" w:rsidRDefault="00011DE9">
      <w:pPr>
        <w:pStyle w:val="P68B1DB1-Normal29"/>
        <w:keepNext/>
        <w:spacing w:before="120" w:after="120" w:line="240" w:lineRule="auto"/>
        <w:jc w:val="both"/>
        <w:rPr>
          <w:rFonts w:cs="Times New Roman"/>
          <w:noProof/>
        </w:rPr>
      </w:pPr>
      <w:r>
        <w:rPr>
          <w:noProof/>
        </w:rPr>
        <w:t>Planul național privind energia și clima (PNEC) al Spaniei urmărește să atingă o pondere de 42 % a energiei din surse regenerabile în consumul final de energie până în 2030. Integrarea unei cantități tot mai mari de producție de energie electrică din surse regenerabile (preconizată să atingă 74 % din cerere în 2030 și 100 % până în 2050) necesită o serie de investiții complementare în digitalizarea rețelei, stocare și gestionarea cererii. În special, intermitența și previzibilitatea parțială a tehnologiilor din domeniul energiei din surse regenerabile înseamnă că stocarea energiei joacă un rol important, pentru a oferi flexibilitate sistemului și pentru a asigura stabilitatea rețelei.</w:t>
      </w:r>
    </w:p>
    <w:p w14:paraId="6FF1C3F1" w14:textId="77777777" w:rsidR="00D924EA" w:rsidRDefault="00011DE9">
      <w:pPr>
        <w:pStyle w:val="P68B1DB1-Normal29"/>
        <w:keepNext/>
        <w:spacing w:before="120" w:after="120" w:line="240" w:lineRule="auto"/>
        <w:jc w:val="both"/>
        <w:rPr>
          <w:rFonts w:cs="Times New Roman"/>
          <w:noProof/>
        </w:rPr>
      </w:pPr>
      <w:r>
        <w:rPr>
          <w:noProof/>
        </w:rPr>
        <w:t xml:space="preserve">În acest context, această componentă a planului spaniol de redresare și reziliență urmărește următoarele obiective: </w:t>
      </w:r>
    </w:p>
    <w:p w14:paraId="28F6EE29" w14:textId="77777777" w:rsidR="00D924EA" w:rsidRDefault="00011DE9">
      <w:pPr>
        <w:pStyle w:val="P68B1DB1-Normal29"/>
        <w:keepNext/>
        <w:numPr>
          <w:ilvl w:val="0"/>
          <w:numId w:val="61"/>
        </w:numPr>
        <w:spacing w:before="120" w:after="120" w:line="240" w:lineRule="auto"/>
        <w:jc w:val="both"/>
        <w:rPr>
          <w:rFonts w:cs="Times New Roman"/>
          <w:noProof/>
        </w:rPr>
      </w:pPr>
      <w:r>
        <w:rPr>
          <w:noProof/>
        </w:rPr>
        <w:t>Dezvoltarea unui sistem energetic mai flexibil, descentralizat și dinamic, capabil să absoarbă în mod eficient și în condiții de siguranță niveluri mai ridicate de producție de energie din surse regenerabile;</w:t>
      </w:r>
    </w:p>
    <w:p w14:paraId="241B6D3E" w14:textId="77777777" w:rsidR="00D924EA" w:rsidRDefault="00011DE9">
      <w:pPr>
        <w:pStyle w:val="P68B1DB1-Normal29"/>
        <w:keepNext/>
        <w:numPr>
          <w:ilvl w:val="0"/>
          <w:numId w:val="61"/>
        </w:numPr>
        <w:spacing w:before="120" w:after="120" w:line="240" w:lineRule="auto"/>
        <w:jc w:val="both"/>
        <w:rPr>
          <w:rFonts w:cs="Times New Roman"/>
          <w:noProof/>
        </w:rPr>
      </w:pPr>
      <w:r>
        <w:rPr>
          <w:noProof/>
        </w:rPr>
        <w:t xml:space="preserve">Dezvoltarea unor noi modele de afaceri inovatoare; și </w:t>
      </w:r>
    </w:p>
    <w:p w14:paraId="4B3AAEE7" w14:textId="77777777" w:rsidR="00D924EA" w:rsidRDefault="00011DE9">
      <w:pPr>
        <w:pStyle w:val="P68B1DB1-Normal29"/>
        <w:keepNext/>
        <w:numPr>
          <w:ilvl w:val="0"/>
          <w:numId w:val="61"/>
        </w:numPr>
        <w:spacing w:before="120" w:after="120" w:line="240" w:lineRule="auto"/>
        <w:jc w:val="both"/>
        <w:rPr>
          <w:rFonts w:cs="Times New Roman"/>
          <w:noProof/>
        </w:rPr>
      </w:pPr>
      <w:r>
        <w:rPr>
          <w:noProof/>
        </w:rPr>
        <w:t>Implicarea unor noi actori în sistemul de energie electrică (producători, furnizori și consumatori, pe lângă operatorii de stocare și agregatori) și un cadru de reglementare mai flexibil, capabil să se adapteze la noile nevoi, prin spații de testare în materie de reglementare.</w:t>
      </w:r>
    </w:p>
    <w:p w14:paraId="2554A36B" w14:textId="77777777" w:rsidR="00D924EA" w:rsidRDefault="00011DE9">
      <w:pPr>
        <w:pStyle w:val="P68B1DB1-Normal29"/>
        <w:spacing w:before="120" w:after="120" w:line="240" w:lineRule="auto"/>
        <w:jc w:val="both"/>
        <w:rPr>
          <w:rFonts w:cs="Times New Roman"/>
          <w:noProof/>
        </w:rPr>
      </w:pPr>
      <w:r>
        <w:rPr>
          <w:noProof/>
        </w:rPr>
        <w:t>Componenta promovează investițiile în inovare și în eficiența energetică și încurajează adoptarea unor politici eficiente de încurajare a inovării (Recomandarea specifică fiecărei țări 3 2019). Aceasta promovează, de asemenea, investițiile publice și private și încurajează tranziția verde (Recomandarea specifică fiecărei țări 3 2020).</w:t>
      </w:r>
    </w:p>
    <w:p w14:paraId="3B0E0EFF" w14:textId="77777777" w:rsidR="00D924EA" w:rsidRDefault="00011DE9">
      <w:pPr>
        <w:pStyle w:val="P68B1DB1-Normal29"/>
        <w:spacing w:before="120" w:after="120" w:line="240" w:lineRule="auto"/>
        <w:jc w:val="both"/>
        <w:rPr>
          <w:rFonts w:cs="Times New Roman"/>
          <w:i/>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25621F49" w14:textId="6DD4C64C" w:rsidR="00D924EA" w:rsidRDefault="00011DE9">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H.1.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4056F468" w14:textId="77777777" w:rsidR="00D924EA" w:rsidRDefault="00011DE9">
      <w:pPr>
        <w:pStyle w:val="P68B1DB1-Normal30"/>
        <w:spacing w:before="120" w:after="120" w:line="240" w:lineRule="auto"/>
        <w:jc w:val="both"/>
        <w:rPr>
          <w:rFonts w:cs="Times New Roman"/>
          <w:noProof/>
        </w:rPr>
      </w:pPr>
      <w:r>
        <w:rPr>
          <w:noProof/>
        </w:rPr>
        <w:t>Reforma 1 (C8.R1) – Facilitarea unui cadru pentru integrarea surselor regenerabile de energie în sistemul energetic: rețele, stocare și infrastructură</w:t>
      </w:r>
    </w:p>
    <w:p w14:paraId="62EB1F28" w14:textId="77777777" w:rsidR="00D924EA" w:rsidRDefault="00011DE9">
      <w:pPr>
        <w:pStyle w:val="P68B1DB1-Normal29"/>
        <w:spacing w:before="120" w:after="120" w:line="240" w:lineRule="auto"/>
        <w:jc w:val="both"/>
        <w:rPr>
          <w:rFonts w:cs="Times New Roman"/>
          <w:noProof/>
        </w:rPr>
      </w:pPr>
      <w:r>
        <w:rPr>
          <w:noProof/>
        </w:rPr>
        <w:t xml:space="preserve">Obiectivul acestei măsuri este de a permite un cadru de reglementare transparent și stabil, care să creeze certitudine și să permită o integrare sporită a surselor regenerabile de energie în sistemul energetic, prin investiții în rețele, stocare și infrastructură. </w:t>
      </w:r>
    </w:p>
    <w:p w14:paraId="71173884" w14:textId="77777777" w:rsidR="00D924EA" w:rsidRDefault="00011DE9">
      <w:pPr>
        <w:pStyle w:val="P68B1DB1-Normal29"/>
        <w:spacing w:before="120" w:after="120" w:line="240" w:lineRule="auto"/>
        <w:jc w:val="both"/>
        <w:rPr>
          <w:rFonts w:cs="Times New Roman"/>
          <w:noProof/>
        </w:rPr>
      </w:pPr>
      <w:r>
        <w:rPr>
          <w:noProof/>
        </w:rPr>
        <w:t xml:space="preserve">Reforma include strategia de decarbonizare pe termen lung pentru 2050 („ELP 2050”). Obiectivul acestei strategii este de a pune bazele unui cadru strategic și de reglementare pentru integrarea eficientă a energiilor regenerabile într-un sistem energetic flexibil și inteligent. Printre obiectivele ELP 2050 se numără: (a) reducerea emisiilor de GES cu 90 % comparativ cu 1990 (neutralitatea climatică); (b) atingerea unei ponderi de 97 % a energiei din surse regenerabile în consumul final de energie; și (c) un sistem de energie electrică din surse regenerabile în proporție de 100 %. </w:t>
      </w:r>
    </w:p>
    <w:p w14:paraId="22E00AE1" w14:textId="5298B41A" w:rsidR="00D924EA" w:rsidRDefault="00011DE9">
      <w:pPr>
        <w:pStyle w:val="P68B1DB1-Normal29"/>
        <w:spacing w:before="120" w:after="120" w:line="240" w:lineRule="auto"/>
        <w:jc w:val="both"/>
        <w:rPr>
          <w:rFonts w:cs="Times New Roman"/>
          <w:noProof/>
        </w:rPr>
      </w:pPr>
      <w:r>
        <w:rPr>
          <w:noProof/>
        </w:rPr>
        <w:t xml:space="preserve">Punerea în aplicare a măsurii se finalizează până la 31 martie 2021. </w:t>
      </w:r>
    </w:p>
    <w:p w14:paraId="080E1503" w14:textId="77777777" w:rsidR="00D924EA" w:rsidRDefault="00011DE9">
      <w:pPr>
        <w:pStyle w:val="P68B1DB1-Normal30"/>
        <w:spacing w:before="120" w:after="120" w:line="240" w:lineRule="auto"/>
        <w:jc w:val="both"/>
        <w:rPr>
          <w:rFonts w:cs="Times New Roman"/>
          <w:noProof/>
        </w:rPr>
      </w:pPr>
      <w:r>
        <w:rPr>
          <w:noProof/>
        </w:rPr>
        <w:t>Reforma 2 (C8.R2) – Strategia de stocare a energiei și adaptarea cadrului de reglementare pentru implementarea stocării energiei</w:t>
      </w:r>
    </w:p>
    <w:p w14:paraId="1F48BB34" w14:textId="77777777" w:rsidR="00D924EA" w:rsidRDefault="00011DE9">
      <w:pPr>
        <w:pStyle w:val="P68B1DB1-Normal29"/>
        <w:spacing w:before="120" w:after="120" w:line="240" w:lineRule="auto"/>
        <w:jc w:val="both"/>
        <w:rPr>
          <w:rFonts w:cs="Times New Roman"/>
          <w:noProof/>
        </w:rPr>
      </w:pPr>
      <w:r>
        <w:rPr>
          <w:noProof/>
        </w:rPr>
        <w:t xml:space="preserve">Această măsură urmărește să elaboreze, să aprobe și să pună în aplicare un cadru strategic și de reglementare pentru a promova stocarea energiei. Reforma oferă cadrul necesar pentru investițiile planificate în cadrul C8.I1 și C8.I3, legate de implementarea stocării energiei și, respectiv, a noilor modele de afaceri în tranziția energetică. </w:t>
      </w:r>
    </w:p>
    <w:p w14:paraId="44428CB0" w14:textId="77777777" w:rsidR="00D924EA" w:rsidRDefault="00011DE9">
      <w:pPr>
        <w:pStyle w:val="P68B1DB1-Normal29"/>
        <w:spacing w:before="120" w:after="120" w:line="240" w:lineRule="auto"/>
        <w:jc w:val="both"/>
        <w:rPr>
          <w:rFonts w:cs="Times New Roman"/>
          <w:noProof/>
        </w:rPr>
      </w:pPr>
      <w:r>
        <w:rPr>
          <w:noProof/>
        </w:rPr>
        <w:t xml:space="preserve">Reforma include aprobarea de către guvernul spaniol a strategiei de stocare a energiei. Obiectivul acestei strategii este de a dispune de o capacitate de stocare a energiei de 20 GW în 2030 și de 30 GW în 2050. </w:t>
      </w:r>
    </w:p>
    <w:p w14:paraId="481C0AC3" w14:textId="5DF923FF" w:rsidR="00D924EA" w:rsidRDefault="00011DE9">
      <w:pPr>
        <w:pStyle w:val="P68B1DB1-Normal29"/>
        <w:spacing w:before="120" w:after="120" w:line="240" w:lineRule="auto"/>
        <w:jc w:val="both"/>
        <w:rPr>
          <w:rFonts w:cs="Times New Roman"/>
          <w:noProof/>
        </w:rPr>
      </w:pPr>
      <w:r>
        <w:rPr>
          <w:noProof/>
        </w:rPr>
        <w:t xml:space="preserve">Reforma include trei acte legislative și de reglementare: (I) Decretul regal nr. 1183/2020 de reglementare a accesului la rețea pentru instalațiile de stocare; (II) Circulara nr. 1/2021 a </w:t>
      </w:r>
      <w:r>
        <w:rPr>
          <w:i/>
          <w:noProof/>
        </w:rPr>
        <w:t>Comisión Nacional de los Mercados y la Competencia</w:t>
      </w:r>
      <w:r>
        <w:rPr>
          <w:noProof/>
        </w:rPr>
        <w:t xml:space="preserve"> de stabilire a metodologiei și a condițiilor de acces și de racordare la rețelele de transport și de distribuție a instalațiilor de producere a energiei electrice; (III)</w:t>
      </w:r>
      <w:r w:rsidR="0042520D">
        <w:rPr>
          <w:noProof/>
        </w:rPr>
        <w:t> </w:t>
      </w:r>
      <w:r>
        <w:rPr>
          <w:noProof/>
        </w:rPr>
        <w:t xml:space="preserve">Rezoluția </w:t>
      </w:r>
      <w:r>
        <w:rPr>
          <w:i/>
          <w:noProof/>
        </w:rPr>
        <w:t>Comisión Nacional de los Mercados y la Competencia</w:t>
      </w:r>
      <w:r>
        <w:rPr>
          <w:noProof/>
        </w:rPr>
        <w:t xml:space="preserve"> din 10 decembrie 2020, care reglementează participarea instalațiilor de stocare a energiei la furnizarea de servicii de sistem. </w:t>
      </w:r>
    </w:p>
    <w:p w14:paraId="76D5B7F9" w14:textId="21DD6F36" w:rsidR="00D924EA" w:rsidRDefault="00011DE9">
      <w:pPr>
        <w:pStyle w:val="P68B1DB1-Normal29"/>
        <w:spacing w:before="120" w:after="120" w:line="240" w:lineRule="auto"/>
        <w:jc w:val="both"/>
        <w:rPr>
          <w:rFonts w:cs="Times New Roman"/>
          <w:noProof/>
        </w:rPr>
      </w:pPr>
      <w:r>
        <w:rPr>
          <w:noProof/>
        </w:rPr>
        <w:t>Punerea în aplicare a măsurii se finalizează până la 30 iunie 2022.</w:t>
      </w:r>
    </w:p>
    <w:p w14:paraId="7FFFC330" w14:textId="3E50877B" w:rsidR="00D924EA" w:rsidRDefault="00011DE9">
      <w:pPr>
        <w:pStyle w:val="P68B1DB1-Normal30"/>
        <w:spacing w:before="120" w:after="120" w:line="240" w:lineRule="auto"/>
        <w:jc w:val="both"/>
        <w:rPr>
          <w:rFonts w:cs="Times New Roman"/>
          <w:noProof/>
        </w:rPr>
      </w:pPr>
      <w:r>
        <w:rPr>
          <w:noProof/>
        </w:rPr>
        <w:t>Reforma 3 (C8.R3) – Cadru de reglementare pentru un sistem energetic mai flexibil</w:t>
      </w:r>
    </w:p>
    <w:p w14:paraId="11F012D5" w14:textId="189E1629" w:rsidR="00D924EA" w:rsidRDefault="00011DE9">
      <w:pPr>
        <w:pStyle w:val="P68B1DB1-Normal29"/>
        <w:spacing w:before="120" w:after="120" w:line="240" w:lineRule="auto"/>
        <w:jc w:val="both"/>
        <w:rPr>
          <w:noProof/>
        </w:rPr>
      </w:pPr>
      <w:r>
        <w:rPr>
          <w:noProof/>
        </w:rPr>
        <w:t xml:space="preserve">Obiectivul acestei măsuri este de a integra flexibilitatea și răspunsul părții de consum în cadrul de reglementare al sistemului energetic. </w:t>
      </w:r>
    </w:p>
    <w:p w14:paraId="420F3BBD" w14:textId="03C4E37D" w:rsidR="00D924EA" w:rsidRDefault="00011DE9">
      <w:pPr>
        <w:pStyle w:val="P68B1DB1-Normal29"/>
        <w:spacing w:before="120" w:after="120" w:line="240" w:lineRule="auto"/>
        <w:jc w:val="both"/>
        <w:rPr>
          <w:rFonts w:cs="Times New Roman"/>
          <w:noProof/>
        </w:rPr>
      </w:pPr>
      <w:r>
        <w:rPr>
          <w:noProof/>
        </w:rPr>
        <w:t>Această reformă constă în adoptarea a trei măsuri de reglementare.</w:t>
      </w:r>
    </w:p>
    <w:p w14:paraId="3F58C77A" w14:textId="2EC3828E" w:rsidR="00D924EA" w:rsidRDefault="00011DE9">
      <w:pPr>
        <w:pStyle w:val="P68B1DB1-Normal29"/>
        <w:spacing w:before="120" w:after="120" w:line="240" w:lineRule="auto"/>
        <w:jc w:val="both"/>
        <w:rPr>
          <w:rFonts w:cs="Times New Roman"/>
          <w:noProof/>
        </w:rPr>
      </w:pPr>
      <w:r>
        <w:rPr>
          <w:noProof/>
        </w:rPr>
        <w:t xml:space="preserve"> </w:t>
      </w:r>
    </w:p>
    <w:p w14:paraId="4BE9782C" w14:textId="77777777" w:rsidR="00D924EA" w:rsidRDefault="00011DE9">
      <w:pPr>
        <w:pStyle w:val="P68B1DB1-Normal29"/>
        <w:spacing w:before="120" w:after="120" w:line="240" w:lineRule="auto"/>
        <w:jc w:val="both"/>
        <w:rPr>
          <w:rFonts w:eastAsia="Symbol" w:cs="Times New Roman"/>
          <w:noProof/>
          <w:u w:val="single"/>
        </w:rPr>
      </w:pPr>
      <w:r>
        <w:rPr>
          <w:noProof/>
          <w:u w:val="single"/>
        </w:rPr>
        <w:t>Reforma 4 (C8.R4) – Spații de testare în materie de reglementare sau bancuri de testare</w:t>
      </w:r>
      <w:r>
        <w:rPr>
          <w:noProof/>
        </w:rPr>
        <w:t xml:space="preserve"> </w:t>
      </w:r>
    </w:p>
    <w:p w14:paraId="56B41C8E" w14:textId="77777777" w:rsidR="00D924EA" w:rsidRDefault="00011DE9">
      <w:pPr>
        <w:pStyle w:val="P68B1DB1-Normal29"/>
        <w:spacing w:before="120" w:after="120" w:line="240" w:lineRule="auto"/>
        <w:jc w:val="both"/>
        <w:rPr>
          <w:rFonts w:cs="Times New Roman"/>
          <w:noProof/>
        </w:rPr>
      </w:pPr>
      <w:r>
        <w:rPr>
          <w:noProof/>
        </w:rPr>
        <w:t>Această măsură urmărește să dezvolte bancuri de testare în materie de reglementare (spații de testare) în cadrul național de reglementare, permițând introducerea de noi produse sau soluții tehnologice, excepții sau garanții de reglementare pentru a contribui la facilitarea cercetării și inovării în sectorul energetic. Reforma este direct legată de reforma C8.R3 și de investiția C8.I3.</w:t>
      </w:r>
    </w:p>
    <w:p w14:paraId="56B854FE" w14:textId="77777777" w:rsidR="00D924EA" w:rsidRDefault="00011DE9">
      <w:pPr>
        <w:pStyle w:val="P68B1DB1-Normal29"/>
        <w:spacing w:before="120" w:after="120" w:line="240" w:lineRule="auto"/>
        <w:jc w:val="both"/>
        <w:rPr>
          <w:rFonts w:cs="Times New Roman"/>
          <w:noProof/>
        </w:rPr>
      </w:pPr>
      <w:r>
        <w:rPr>
          <w:noProof/>
        </w:rPr>
        <w:t>Spațiile de testare în materie de reglementare permit industriei să testeze noi tehnologii, sisteme și servicii legate de flexibilitate, răspunsul părții de consum și stocarea energiei într-un mediu sigur, în care părțile interesate să poată experimenta soluții inovatoare fără a face obiectul unor cerințe de reglementare de prevenire. În plus, spațiile de testare prevăd un dialog bidirecțional în materie de reglementare între administrație și autoritatea de reglementare, care accelerează și facilitează revizuirea reglementărilor existente și le adaptează la intrarea pe piață a unor noi agenți. Se preconizează că acest lucru va facilita crearea de start-up-uri tehnologice, oferindu-le posibilitatea de a-și testa modelele de afaceri.</w:t>
      </w:r>
    </w:p>
    <w:p w14:paraId="78A17334" w14:textId="77777777" w:rsidR="00D924EA" w:rsidRDefault="00011DE9">
      <w:pPr>
        <w:pStyle w:val="P68B1DB1-Normal29"/>
        <w:spacing w:before="120" w:after="120" w:line="240" w:lineRule="auto"/>
        <w:jc w:val="both"/>
        <w:rPr>
          <w:rFonts w:cs="Times New Roman"/>
          <w:noProof/>
        </w:rPr>
      </w:pPr>
      <w:r>
        <w:rPr>
          <w:noProof/>
        </w:rPr>
        <w:t>Reforma include adoptarea unui decret regal privind dezvoltarea spațiilor de testare în materie de reglementare pentru a permite dezvoltarea de noi proiecte-pilot, cu scopul de a promova cercetarea și inovarea în sectorul energiei electrice.</w:t>
      </w:r>
    </w:p>
    <w:p w14:paraId="64CD9769" w14:textId="77777777" w:rsidR="00D924EA" w:rsidRDefault="00011DE9">
      <w:pPr>
        <w:pStyle w:val="P68B1DB1-Normal29"/>
        <w:spacing w:before="120" w:after="120" w:line="240" w:lineRule="auto"/>
        <w:jc w:val="both"/>
        <w:rPr>
          <w:rFonts w:cs="Times New Roman"/>
          <w:noProof/>
        </w:rPr>
      </w:pPr>
      <w:r>
        <w:rPr>
          <w:noProof/>
        </w:rPr>
        <w:t xml:space="preserve">Punerea în aplicare a măsurii se finalizează până la 30 iunie 2023. </w:t>
      </w:r>
    </w:p>
    <w:p w14:paraId="50D2FB02" w14:textId="77777777" w:rsidR="00D924EA" w:rsidRDefault="00D924EA">
      <w:pPr>
        <w:spacing w:before="120" w:after="120" w:line="240" w:lineRule="auto"/>
        <w:jc w:val="both"/>
        <w:rPr>
          <w:rFonts w:ascii="Times New Roman" w:hAnsi="Times New Roman"/>
          <w:noProof/>
          <w:u w:val="single"/>
        </w:rPr>
      </w:pPr>
    </w:p>
    <w:p w14:paraId="48F46BBE" w14:textId="77777777" w:rsidR="00D924EA" w:rsidRDefault="00011DE9">
      <w:pPr>
        <w:pStyle w:val="P68B1DB1-Normal30"/>
        <w:spacing w:before="120" w:after="120" w:line="240" w:lineRule="auto"/>
        <w:jc w:val="both"/>
        <w:rPr>
          <w:rFonts w:eastAsia="Symbol" w:cs="Times New Roman"/>
          <w:noProof/>
        </w:rPr>
      </w:pPr>
      <w:r>
        <w:rPr>
          <w:noProof/>
        </w:rPr>
        <w:t>Investiția 2 (C8.I2) – Digitalizarea rețelelor</w:t>
      </w:r>
    </w:p>
    <w:p w14:paraId="63D64711" w14:textId="77777777" w:rsidR="00D924EA" w:rsidRDefault="00011DE9">
      <w:pPr>
        <w:pStyle w:val="P68B1DB1-Normal29"/>
        <w:spacing w:before="120" w:after="120" w:line="240" w:lineRule="auto"/>
        <w:jc w:val="both"/>
        <w:rPr>
          <w:noProof/>
        </w:rPr>
      </w:pPr>
      <w:r>
        <w:rPr>
          <w:noProof/>
        </w:rPr>
        <w:t xml:space="preserve">Obiectivul măsurii este de a sprijini digitalizarea distribuției de energie electrică. </w:t>
      </w:r>
    </w:p>
    <w:p w14:paraId="2E71385C" w14:textId="6EF6501A" w:rsidR="00D924EA" w:rsidRDefault="00011DE9">
      <w:pPr>
        <w:pStyle w:val="P68B1DB1-Normal29"/>
        <w:spacing w:before="120" w:after="120" w:line="240" w:lineRule="auto"/>
        <w:jc w:val="both"/>
        <w:rPr>
          <w:rFonts w:eastAsiaTheme="minorEastAsia" w:cs="Times New Roman"/>
          <w:noProof/>
        </w:rPr>
      </w:pPr>
      <w:r>
        <w:rPr>
          <w:noProof/>
        </w:rPr>
        <w:t xml:space="preserve">Această măsură constă în sprijinirea investițiilor întreprinderilor de distribuție a energiei electrice legate de digitalizarea rețelelor de distribuție. </w:t>
      </w:r>
    </w:p>
    <w:p w14:paraId="488BEB73" w14:textId="692BDD3B" w:rsidR="00D924EA" w:rsidRDefault="00D924EA">
      <w:pPr>
        <w:spacing w:before="120" w:after="120" w:line="240" w:lineRule="auto"/>
        <w:jc w:val="both"/>
        <w:rPr>
          <w:rFonts w:ascii="Times New Roman" w:eastAsiaTheme="minorEastAsia" w:hAnsi="Times New Roman" w:cs="Times New Roman"/>
          <w:noProof/>
        </w:rPr>
      </w:pPr>
    </w:p>
    <w:p w14:paraId="3E652C72" w14:textId="6619A498" w:rsidR="00D924EA" w:rsidRDefault="00D924EA">
      <w:pPr>
        <w:spacing w:before="120" w:after="120" w:line="240" w:lineRule="auto"/>
        <w:jc w:val="both"/>
        <w:rPr>
          <w:rFonts w:ascii="Times New Roman" w:eastAsia="Symbol" w:hAnsi="Times New Roman" w:cs="Times New Roman"/>
          <w:noProof/>
        </w:rPr>
      </w:pPr>
    </w:p>
    <w:p w14:paraId="4A66F7D7" w14:textId="1A683362" w:rsidR="00D924EA" w:rsidRDefault="00011DE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H.2.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6B3ED88E" w14:textId="77777777" w:rsidR="00D924EA" w:rsidRDefault="00011DE9">
      <w:pPr>
        <w:pStyle w:val="P68B1DB1-Normal29"/>
        <w:spacing w:before="120" w:after="120" w:line="240" w:lineRule="auto"/>
        <w:jc w:val="both"/>
        <w:rPr>
          <w:rFonts w:cs="Times New Roman"/>
          <w:b/>
          <w:noProof/>
          <w:u w:val="single"/>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6506BD8A" w14:textId="77777777" w:rsidR="00D924EA" w:rsidRDefault="00D924EA">
      <w:pPr>
        <w:spacing w:before="120" w:after="120" w:line="240" w:lineRule="auto"/>
        <w:ind w:left="709"/>
        <w:jc w:val="both"/>
        <w:rPr>
          <w:rFonts w:ascii="Times New Roman" w:hAnsi="Times New Roman" w:cs="Times New Roman"/>
          <w:noProof/>
        </w:rPr>
        <w:sectPr w:rsidR="00D924EA" w:rsidSect="00B528FB">
          <w:headerReference w:type="default" r:id="rId116"/>
          <w:footerReference w:type="default" r:id="rId117"/>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343"/>
        <w:gridCol w:w="1104"/>
        <w:gridCol w:w="829"/>
        <w:gridCol w:w="966"/>
        <w:gridCol w:w="553"/>
        <w:gridCol w:w="553"/>
        <w:gridCol w:w="553"/>
        <w:gridCol w:w="6061"/>
      </w:tblGrid>
      <w:tr w:rsidR="00D924EA" w14:paraId="7815B9B6" w14:textId="77777777">
        <w:trPr>
          <w:trHeight w:val="309"/>
          <w:tblHeader/>
          <w:jc w:val="center"/>
        </w:trPr>
        <w:tc>
          <w:tcPr>
            <w:tcW w:w="833" w:type="dxa"/>
            <w:vMerge w:val="restart"/>
            <w:shd w:val="clear" w:color="auto" w:fill="B7D4EF"/>
            <w:noWrap/>
            <w:vAlign w:val="center"/>
          </w:tcPr>
          <w:p w14:paraId="4EA23E02" w14:textId="77777777" w:rsidR="00D924EA" w:rsidRDefault="00011DE9">
            <w:pPr>
              <w:pStyle w:val="P68B1DB1-Normal28"/>
              <w:spacing w:after="0" w:line="240" w:lineRule="auto"/>
              <w:jc w:val="center"/>
              <w:rPr>
                <w:rFonts w:cs="Times New Roman"/>
                <w:noProof/>
                <w:szCs w:val="18"/>
              </w:rPr>
            </w:pPr>
            <w:r>
              <w:rPr>
                <w:noProof/>
              </w:rPr>
              <w:t>Număr</w:t>
            </w:r>
          </w:p>
        </w:tc>
        <w:tc>
          <w:tcPr>
            <w:tcW w:w="829" w:type="dxa"/>
            <w:vMerge w:val="restart"/>
            <w:shd w:val="clear" w:color="auto" w:fill="B7D4EF"/>
            <w:noWrap/>
            <w:vAlign w:val="center"/>
          </w:tcPr>
          <w:p w14:paraId="4131BBA0" w14:textId="77777777" w:rsidR="00D924EA" w:rsidRDefault="00011DE9">
            <w:pPr>
              <w:pStyle w:val="P68B1DB1-Normal28"/>
              <w:spacing w:after="0" w:line="240" w:lineRule="auto"/>
              <w:jc w:val="center"/>
              <w:rPr>
                <w:rFonts w:cs="Times New Roman"/>
                <w:noProof/>
                <w:szCs w:val="18"/>
              </w:rPr>
            </w:pPr>
            <w:r>
              <w:rPr>
                <w:noProof/>
              </w:rPr>
              <w:t>Măsură</w:t>
            </w:r>
          </w:p>
        </w:tc>
        <w:tc>
          <w:tcPr>
            <w:tcW w:w="828" w:type="dxa"/>
            <w:vMerge w:val="restart"/>
            <w:shd w:val="clear" w:color="auto" w:fill="B7D4EF"/>
            <w:noWrap/>
            <w:vAlign w:val="center"/>
          </w:tcPr>
          <w:p w14:paraId="2BF7CE5B" w14:textId="3D7ED82B" w:rsidR="00D924EA" w:rsidRDefault="00011DE9">
            <w:pPr>
              <w:spacing w:after="0" w:line="240" w:lineRule="auto"/>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2343" w:type="dxa"/>
            <w:vMerge w:val="restart"/>
            <w:shd w:val="clear" w:color="auto" w:fill="B7D4EF"/>
            <w:noWrap/>
            <w:vAlign w:val="center"/>
          </w:tcPr>
          <w:p w14:paraId="5CB43BBE" w14:textId="77777777" w:rsidR="00D924EA" w:rsidRDefault="00011DE9">
            <w:pPr>
              <w:pStyle w:val="P68B1DB1-Normal28"/>
              <w:spacing w:after="0" w:line="240" w:lineRule="auto"/>
              <w:jc w:val="center"/>
              <w:rPr>
                <w:rFonts w:cs="Times New Roman"/>
                <w:noProof/>
                <w:szCs w:val="18"/>
              </w:rPr>
            </w:pPr>
            <w:r>
              <w:rPr>
                <w:noProof/>
              </w:rPr>
              <w:t>Nume</w:t>
            </w:r>
          </w:p>
        </w:tc>
        <w:tc>
          <w:tcPr>
            <w:tcW w:w="1104" w:type="dxa"/>
            <w:vMerge w:val="restart"/>
            <w:shd w:val="clear" w:color="auto" w:fill="B7D4EF"/>
            <w:noWrap/>
            <w:vAlign w:val="center"/>
          </w:tcPr>
          <w:p w14:paraId="0964DB31" w14:textId="77777777" w:rsidR="00D924EA" w:rsidRDefault="00011DE9">
            <w:pPr>
              <w:pStyle w:val="P68B1DB1-Normal28"/>
              <w:spacing w:after="0" w:line="240" w:lineRule="auto"/>
              <w:jc w:val="center"/>
              <w:rPr>
                <w:rFonts w:cs="Times New Roman"/>
                <w:noProof/>
                <w:szCs w:val="18"/>
              </w:rPr>
            </w:pPr>
            <w:r>
              <w:rPr>
                <w:noProof/>
              </w:rPr>
              <w:t>Indicator calitativ pentru jaloane</w:t>
            </w:r>
          </w:p>
        </w:tc>
        <w:tc>
          <w:tcPr>
            <w:tcW w:w="2348" w:type="dxa"/>
            <w:gridSpan w:val="3"/>
            <w:shd w:val="clear" w:color="auto" w:fill="B7D4EF"/>
            <w:noWrap/>
            <w:vAlign w:val="center"/>
          </w:tcPr>
          <w:p w14:paraId="7D39A13E" w14:textId="77777777" w:rsidR="00D924EA" w:rsidRDefault="00011DE9">
            <w:pPr>
              <w:pStyle w:val="P68B1DB1-Normal28"/>
              <w:spacing w:after="0" w:line="240" w:lineRule="auto"/>
              <w:jc w:val="center"/>
              <w:rPr>
                <w:rFonts w:cs="Times New Roman"/>
                <w:noProof/>
                <w:szCs w:val="18"/>
              </w:rPr>
            </w:pPr>
            <w:r>
              <w:rPr>
                <w:noProof/>
              </w:rPr>
              <w:t>Indicator cantitativ pentru ținte</w:t>
            </w:r>
          </w:p>
        </w:tc>
        <w:tc>
          <w:tcPr>
            <w:tcW w:w="1106" w:type="dxa"/>
            <w:gridSpan w:val="2"/>
            <w:shd w:val="clear" w:color="auto" w:fill="B7D4EF"/>
            <w:noWrap/>
            <w:vAlign w:val="center"/>
          </w:tcPr>
          <w:p w14:paraId="26EBBB70" w14:textId="77777777" w:rsidR="00D924EA" w:rsidRDefault="00011DE9">
            <w:pPr>
              <w:pStyle w:val="P68B1DB1-Normal28"/>
              <w:spacing w:after="0" w:line="240" w:lineRule="auto"/>
              <w:jc w:val="center"/>
              <w:rPr>
                <w:rFonts w:cs="Times New Roman"/>
                <w:noProof/>
                <w:szCs w:val="18"/>
              </w:rPr>
            </w:pPr>
            <w:r>
              <w:rPr>
                <w:noProof/>
              </w:rPr>
              <w:t>Timp</w:t>
            </w:r>
          </w:p>
        </w:tc>
        <w:tc>
          <w:tcPr>
            <w:tcW w:w="6061" w:type="dxa"/>
            <w:vMerge w:val="restart"/>
            <w:shd w:val="clear" w:color="auto" w:fill="B7D4EF"/>
            <w:noWrap/>
            <w:vAlign w:val="center"/>
          </w:tcPr>
          <w:p w14:paraId="3C829187" w14:textId="77777777" w:rsidR="00D924EA" w:rsidRDefault="00011DE9">
            <w:pPr>
              <w:pStyle w:val="P68B1DB1-Normal28"/>
              <w:spacing w:after="0" w:line="240" w:lineRule="auto"/>
              <w:jc w:val="center"/>
              <w:rPr>
                <w:rFonts w:cs="Times New Roman"/>
                <w:noProof/>
                <w:szCs w:val="18"/>
              </w:rPr>
            </w:pPr>
            <w:r>
              <w:rPr>
                <w:noProof/>
              </w:rPr>
              <w:t>Descrierea fiecărui jalon și a fiecărei ținte</w:t>
            </w:r>
          </w:p>
        </w:tc>
      </w:tr>
      <w:tr w:rsidR="00D924EA" w14:paraId="54F0C3AB" w14:textId="77777777">
        <w:trPr>
          <w:trHeight w:val="309"/>
          <w:tblHeader/>
          <w:jc w:val="center"/>
        </w:trPr>
        <w:tc>
          <w:tcPr>
            <w:tcW w:w="833" w:type="dxa"/>
            <w:vMerge/>
            <w:noWrap/>
          </w:tcPr>
          <w:p w14:paraId="74827ADE" w14:textId="77777777" w:rsidR="00D924EA" w:rsidRDefault="00D924EA">
            <w:pPr>
              <w:spacing w:after="0" w:line="240" w:lineRule="auto"/>
              <w:jc w:val="center"/>
              <w:rPr>
                <w:rFonts w:ascii="Times New Roman" w:hAnsi="Times New Roman" w:cs="Times New Roman"/>
                <w:b/>
                <w:noProof/>
                <w:sz w:val="18"/>
                <w:szCs w:val="18"/>
              </w:rPr>
            </w:pPr>
          </w:p>
        </w:tc>
        <w:tc>
          <w:tcPr>
            <w:tcW w:w="829" w:type="dxa"/>
            <w:vMerge/>
            <w:noWrap/>
          </w:tcPr>
          <w:p w14:paraId="4CB08B50" w14:textId="77777777" w:rsidR="00D924EA" w:rsidRDefault="00D924EA">
            <w:pPr>
              <w:spacing w:after="0" w:line="240" w:lineRule="auto"/>
              <w:jc w:val="center"/>
              <w:rPr>
                <w:rFonts w:ascii="Times New Roman" w:hAnsi="Times New Roman" w:cs="Times New Roman"/>
                <w:b/>
                <w:noProof/>
                <w:sz w:val="18"/>
                <w:szCs w:val="18"/>
              </w:rPr>
            </w:pPr>
          </w:p>
        </w:tc>
        <w:tc>
          <w:tcPr>
            <w:tcW w:w="828" w:type="dxa"/>
            <w:vMerge/>
            <w:noWrap/>
          </w:tcPr>
          <w:p w14:paraId="2BDD4EDC" w14:textId="77777777" w:rsidR="00D924EA" w:rsidRDefault="00D924EA">
            <w:pPr>
              <w:spacing w:after="0" w:line="240" w:lineRule="auto"/>
              <w:jc w:val="center"/>
              <w:rPr>
                <w:rFonts w:ascii="Times New Roman" w:hAnsi="Times New Roman" w:cs="Times New Roman"/>
                <w:b/>
                <w:noProof/>
                <w:sz w:val="18"/>
                <w:szCs w:val="18"/>
              </w:rPr>
            </w:pPr>
          </w:p>
        </w:tc>
        <w:tc>
          <w:tcPr>
            <w:tcW w:w="2343" w:type="dxa"/>
            <w:vMerge/>
            <w:noWrap/>
          </w:tcPr>
          <w:p w14:paraId="64271CBF" w14:textId="77777777" w:rsidR="00D924EA" w:rsidRDefault="00D924EA">
            <w:pPr>
              <w:spacing w:after="0" w:line="240" w:lineRule="auto"/>
              <w:rPr>
                <w:rFonts w:ascii="Times New Roman" w:hAnsi="Times New Roman" w:cs="Times New Roman"/>
                <w:b/>
                <w:noProof/>
                <w:sz w:val="18"/>
                <w:szCs w:val="18"/>
              </w:rPr>
            </w:pPr>
          </w:p>
        </w:tc>
        <w:tc>
          <w:tcPr>
            <w:tcW w:w="1104" w:type="dxa"/>
            <w:vMerge/>
            <w:noWrap/>
          </w:tcPr>
          <w:p w14:paraId="4B86A886" w14:textId="77777777" w:rsidR="00D924EA" w:rsidRDefault="00D924EA">
            <w:pPr>
              <w:spacing w:after="0" w:line="240" w:lineRule="auto"/>
              <w:jc w:val="center"/>
              <w:rPr>
                <w:rFonts w:ascii="Times New Roman" w:hAnsi="Times New Roman" w:cs="Times New Roman"/>
                <w:b/>
                <w:noProof/>
                <w:sz w:val="18"/>
                <w:szCs w:val="18"/>
              </w:rPr>
            </w:pPr>
          </w:p>
        </w:tc>
        <w:tc>
          <w:tcPr>
            <w:tcW w:w="829" w:type="dxa"/>
            <w:shd w:val="clear" w:color="auto" w:fill="B7D4EF"/>
            <w:noWrap/>
            <w:vAlign w:val="center"/>
          </w:tcPr>
          <w:p w14:paraId="07FBEE0E" w14:textId="77777777" w:rsidR="00D924EA" w:rsidRDefault="00011DE9">
            <w:pPr>
              <w:pStyle w:val="P68B1DB1-Normal28"/>
              <w:spacing w:after="0" w:line="240" w:lineRule="auto"/>
              <w:jc w:val="center"/>
              <w:rPr>
                <w:rFonts w:cs="Times New Roman"/>
                <w:noProof/>
                <w:szCs w:val="18"/>
              </w:rPr>
            </w:pPr>
            <w:r>
              <w:rPr>
                <w:noProof/>
              </w:rPr>
              <w:t>Unitate</w:t>
            </w:r>
          </w:p>
        </w:tc>
        <w:tc>
          <w:tcPr>
            <w:tcW w:w="966" w:type="dxa"/>
            <w:shd w:val="clear" w:color="auto" w:fill="B7D4EF"/>
            <w:noWrap/>
            <w:vAlign w:val="center"/>
          </w:tcPr>
          <w:p w14:paraId="66E84C9A" w14:textId="77777777" w:rsidR="00D924EA" w:rsidRDefault="00011DE9">
            <w:pPr>
              <w:pStyle w:val="P68B1DB1-Normal28"/>
              <w:spacing w:after="0" w:line="240" w:lineRule="auto"/>
              <w:jc w:val="center"/>
              <w:rPr>
                <w:rFonts w:cs="Times New Roman"/>
                <w:noProof/>
                <w:szCs w:val="18"/>
              </w:rPr>
            </w:pPr>
            <w:r>
              <w:rPr>
                <w:noProof/>
              </w:rPr>
              <w:t>Situația de referință</w:t>
            </w:r>
          </w:p>
        </w:tc>
        <w:tc>
          <w:tcPr>
            <w:tcW w:w="553" w:type="dxa"/>
            <w:shd w:val="clear" w:color="auto" w:fill="B7D4EF"/>
            <w:noWrap/>
            <w:vAlign w:val="center"/>
          </w:tcPr>
          <w:p w14:paraId="78CF8EA7" w14:textId="77777777" w:rsidR="00D924EA" w:rsidRDefault="00011DE9">
            <w:pPr>
              <w:pStyle w:val="P68B1DB1-Normal28"/>
              <w:spacing w:after="0" w:line="240" w:lineRule="auto"/>
              <w:jc w:val="center"/>
              <w:rPr>
                <w:rFonts w:cs="Times New Roman"/>
                <w:noProof/>
                <w:szCs w:val="18"/>
              </w:rPr>
            </w:pPr>
            <w:r>
              <w:rPr>
                <w:noProof/>
              </w:rPr>
              <w:t>Obiectiv</w:t>
            </w:r>
          </w:p>
        </w:tc>
        <w:tc>
          <w:tcPr>
            <w:tcW w:w="553" w:type="dxa"/>
            <w:shd w:val="clear" w:color="auto" w:fill="B7D4EF"/>
            <w:noWrap/>
            <w:vAlign w:val="center"/>
          </w:tcPr>
          <w:p w14:paraId="4DA08D49" w14:textId="67F208CC" w:rsidR="00D924EA" w:rsidRDefault="0042520D">
            <w:pPr>
              <w:pStyle w:val="P68B1DB1-Normal28"/>
              <w:spacing w:after="0" w:line="240" w:lineRule="auto"/>
              <w:jc w:val="center"/>
              <w:rPr>
                <w:rFonts w:cs="Times New Roman"/>
                <w:noProof/>
                <w:szCs w:val="18"/>
              </w:rPr>
            </w:pPr>
            <w:r>
              <w:rPr>
                <w:noProof/>
              </w:rPr>
              <w:t>T</w:t>
            </w:r>
          </w:p>
        </w:tc>
        <w:tc>
          <w:tcPr>
            <w:tcW w:w="553" w:type="dxa"/>
            <w:shd w:val="clear" w:color="auto" w:fill="B7D4EF"/>
            <w:noWrap/>
            <w:vAlign w:val="center"/>
          </w:tcPr>
          <w:p w14:paraId="235903A9" w14:textId="77777777" w:rsidR="00D924EA" w:rsidRDefault="00011DE9">
            <w:pPr>
              <w:pStyle w:val="P68B1DB1-Normal28"/>
              <w:spacing w:after="0" w:line="240" w:lineRule="auto"/>
              <w:jc w:val="center"/>
              <w:rPr>
                <w:rFonts w:cs="Times New Roman"/>
                <w:noProof/>
                <w:szCs w:val="18"/>
              </w:rPr>
            </w:pPr>
            <w:r>
              <w:rPr>
                <w:noProof/>
              </w:rPr>
              <w:t>Anul</w:t>
            </w:r>
          </w:p>
        </w:tc>
        <w:tc>
          <w:tcPr>
            <w:tcW w:w="6061" w:type="dxa"/>
            <w:vMerge/>
            <w:noWrap/>
          </w:tcPr>
          <w:p w14:paraId="28EE3194" w14:textId="77777777" w:rsidR="00D924EA" w:rsidRDefault="00D924EA">
            <w:pPr>
              <w:spacing w:after="0" w:line="240" w:lineRule="auto"/>
              <w:rPr>
                <w:rFonts w:ascii="Times New Roman" w:hAnsi="Times New Roman" w:cs="Times New Roman"/>
                <w:b/>
                <w:noProof/>
                <w:sz w:val="18"/>
                <w:szCs w:val="18"/>
              </w:rPr>
            </w:pPr>
          </w:p>
        </w:tc>
      </w:tr>
      <w:tr w:rsidR="00D924EA" w14:paraId="43096875" w14:textId="77777777">
        <w:trPr>
          <w:trHeight w:val="309"/>
          <w:jc w:val="center"/>
        </w:trPr>
        <w:tc>
          <w:tcPr>
            <w:tcW w:w="833" w:type="dxa"/>
            <w:shd w:val="clear" w:color="auto" w:fill="C6EFCE"/>
            <w:noWrap/>
          </w:tcPr>
          <w:p w14:paraId="338F6D36" w14:textId="77777777" w:rsidR="00D924EA" w:rsidRDefault="00011DE9">
            <w:pPr>
              <w:pStyle w:val="P68B1DB1-Normal23"/>
              <w:spacing w:after="0" w:line="240" w:lineRule="auto"/>
              <w:jc w:val="center"/>
              <w:rPr>
                <w:rFonts w:eastAsia="Symbol" w:cs="Times New Roman"/>
                <w:noProof/>
                <w:szCs w:val="18"/>
              </w:rPr>
            </w:pPr>
            <w:r>
              <w:rPr>
                <w:noProof/>
              </w:rPr>
              <w:t>121</w:t>
            </w:r>
          </w:p>
        </w:tc>
        <w:tc>
          <w:tcPr>
            <w:tcW w:w="829" w:type="dxa"/>
            <w:shd w:val="clear" w:color="auto" w:fill="C6EFCE"/>
            <w:noWrap/>
          </w:tcPr>
          <w:p w14:paraId="205D6E49" w14:textId="77777777" w:rsidR="00D924EA" w:rsidRDefault="00011DE9">
            <w:pPr>
              <w:pStyle w:val="P68B1DB1-Normal23"/>
              <w:spacing w:after="0" w:line="240" w:lineRule="auto"/>
              <w:jc w:val="center"/>
              <w:rPr>
                <w:rFonts w:eastAsia="Symbol" w:cs="Times New Roman"/>
                <w:noProof/>
                <w:szCs w:val="18"/>
              </w:rPr>
            </w:pPr>
            <w:r>
              <w:rPr>
                <w:noProof/>
              </w:rPr>
              <w:t>C8.R1</w:t>
            </w:r>
          </w:p>
        </w:tc>
        <w:tc>
          <w:tcPr>
            <w:tcW w:w="828" w:type="dxa"/>
            <w:shd w:val="clear" w:color="auto" w:fill="C6EFCE"/>
            <w:noWrap/>
          </w:tcPr>
          <w:p w14:paraId="3B5CACCE" w14:textId="77777777" w:rsidR="00D924EA" w:rsidRDefault="00011DE9">
            <w:pPr>
              <w:pStyle w:val="P68B1DB1-Normal23"/>
              <w:spacing w:after="0" w:line="240" w:lineRule="auto"/>
              <w:jc w:val="center"/>
              <w:rPr>
                <w:rFonts w:eastAsia="Symbol" w:cs="Times New Roman"/>
                <w:noProof/>
                <w:szCs w:val="18"/>
              </w:rPr>
            </w:pPr>
            <w:r>
              <w:rPr>
                <w:noProof/>
              </w:rPr>
              <w:t>M</w:t>
            </w:r>
          </w:p>
        </w:tc>
        <w:tc>
          <w:tcPr>
            <w:tcW w:w="2343" w:type="dxa"/>
            <w:shd w:val="clear" w:color="auto" w:fill="C6EFCE"/>
            <w:noWrap/>
          </w:tcPr>
          <w:p w14:paraId="6D5E1CD8" w14:textId="77777777" w:rsidR="00D924EA" w:rsidRDefault="00011DE9">
            <w:pPr>
              <w:pStyle w:val="P68B1DB1-Normal23"/>
              <w:spacing w:after="0" w:line="240" w:lineRule="auto"/>
              <w:rPr>
                <w:rFonts w:eastAsia="Symbol" w:cs="Times New Roman"/>
                <w:noProof/>
                <w:szCs w:val="18"/>
              </w:rPr>
            </w:pPr>
            <w:r>
              <w:rPr>
                <w:noProof/>
              </w:rPr>
              <w:t>Aprobarea strategiei de decarbonizare pe termen lung („ELP2050”).</w:t>
            </w:r>
          </w:p>
        </w:tc>
        <w:tc>
          <w:tcPr>
            <w:tcW w:w="1104" w:type="dxa"/>
            <w:shd w:val="clear" w:color="auto" w:fill="C6EFCE"/>
            <w:noWrap/>
          </w:tcPr>
          <w:p w14:paraId="4E858BA5" w14:textId="77777777" w:rsidR="00D924EA" w:rsidRDefault="00011DE9">
            <w:pPr>
              <w:pStyle w:val="P68B1DB1-Normal23"/>
              <w:spacing w:after="0" w:line="240" w:lineRule="auto"/>
              <w:jc w:val="center"/>
              <w:rPr>
                <w:rFonts w:eastAsia="Symbol" w:cs="Times New Roman"/>
                <w:noProof/>
                <w:szCs w:val="18"/>
              </w:rPr>
            </w:pPr>
            <w:r>
              <w:rPr>
                <w:noProof/>
              </w:rPr>
              <w:t>Aprobarea de către Consiliul de Miniștri</w:t>
            </w:r>
          </w:p>
        </w:tc>
        <w:tc>
          <w:tcPr>
            <w:tcW w:w="829" w:type="dxa"/>
            <w:shd w:val="clear" w:color="auto" w:fill="C6EFCE"/>
            <w:noWrap/>
          </w:tcPr>
          <w:p w14:paraId="744B1879"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7FF6CA7F"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553" w:type="dxa"/>
            <w:shd w:val="clear" w:color="auto" w:fill="C6EFCE"/>
            <w:noWrap/>
          </w:tcPr>
          <w:p w14:paraId="39C363BF"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553" w:type="dxa"/>
            <w:shd w:val="clear" w:color="auto" w:fill="C6EFCE"/>
            <w:noWrap/>
          </w:tcPr>
          <w:p w14:paraId="17D668BC" w14:textId="3410BD30" w:rsidR="00D924EA" w:rsidRDefault="0042520D">
            <w:pPr>
              <w:pStyle w:val="P68B1DB1-Normal23"/>
              <w:spacing w:after="0" w:line="240" w:lineRule="auto"/>
              <w:jc w:val="center"/>
              <w:rPr>
                <w:rFonts w:eastAsia="Symbol" w:cs="Times New Roman"/>
                <w:noProof/>
                <w:szCs w:val="18"/>
              </w:rPr>
            </w:pPr>
            <w:r>
              <w:rPr>
                <w:noProof/>
              </w:rPr>
              <w:t>T</w:t>
            </w:r>
            <w:r w:rsidR="00011DE9">
              <w:rPr>
                <w:noProof/>
              </w:rPr>
              <w:t>1</w:t>
            </w:r>
          </w:p>
        </w:tc>
        <w:tc>
          <w:tcPr>
            <w:tcW w:w="553" w:type="dxa"/>
            <w:shd w:val="clear" w:color="auto" w:fill="C6EFCE"/>
            <w:noWrap/>
          </w:tcPr>
          <w:p w14:paraId="177CBFAD" w14:textId="77777777" w:rsidR="00D924EA" w:rsidRDefault="00011DE9">
            <w:pPr>
              <w:pStyle w:val="P68B1DB1-Normal23"/>
              <w:spacing w:after="0" w:line="240" w:lineRule="auto"/>
              <w:jc w:val="center"/>
              <w:rPr>
                <w:rFonts w:eastAsia="Symbol" w:cs="Times New Roman"/>
                <w:noProof/>
                <w:szCs w:val="18"/>
              </w:rPr>
            </w:pPr>
            <w:r>
              <w:rPr>
                <w:noProof/>
              </w:rPr>
              <w:t>2021</w:t>
            </w:r>
          </w:p>
        </w:tc>
        <w:tc>
          <w:tcPr>
            <w:tcW w:w="6061" w:type="dxa"/>
            <w:shd w:val="clear" w:color="auto" w:fill="C6EFCE"/>
            <w:noWrap/>
          </w:tcPr>
          <w:p w14:paraId="27D21F59" w14:textId="77777777" w:rsidR="00D924EA" w:rsidRDefault="00011DE9">
            <w:pPr>
              <w:pStyle w:val="P68B1DB1-Normal23"/>
              <w:spacing w:after="0" w:line="240" w:lineRule="auto"/>
              <w:rPr>
                <w:rFonts w:eastAsia="Symbol" w:cs="Times New Roman"/>
                <w:noProof/>
                <w:szCs w:val="18"/>
              </w:rPr>
            </w:pPr>
            <w:r>
              <w:rPr>
                <w:noProof/>
              </w:rPr>
              <w:t>Aprobarea strategiei de decarbonizare pe termen lung („ELP2050”). ELP50 stabilește baza pentru definirea cadrului strategic și de reglementare pentru integrarea eficace a energiei din surse regenerabile într-un sistem energetic flexibil și inteligent, care trebuie interpretată în contextul abordării mai ample prevăzute în PNEC.</w:t>
            </w:r>
          </w:p>
        </w:tc>
      </w:tr>
      <w:tr w:rsidR="00D924EA" w14:paraId="3F167B9D" w14:textId="77777777">
        <w:trPr>
          <w:trHeight w:val="309"/>
          <w:jc w:val="center"/>
        </w:trPr>
        <w:tc>
          <w:tcPr>
            <w:tcW w:w="833" w:type="dxa"/>
            <w:shd w:val="clear" w:color="auto" w:fill="C6EFCE"/>
            <w:noWrap/>
          </w:tcPr>
          <w:p w14:paraId="5AF92326" w14:textId="77777777" w:rsidR="00D924EA" w:rsidRDefault="00011DE9">
            <w:pPr>
              <w:pStyle w:val="P68B1DB1-Normal23"/>
              <w:spacing w:after="0" w:line="240" w:lineRule="auto"/>
              <w:jc w:val="center"/>
              <w:rPr>
                <w:rFonts w:eastAsia="Symbol" w:cs="Times New Roman"/>
                <w:noProof/>
                <w:szCs w:val="18"/>
              </w:rPr>
            </w:pPr>
            <w:r>
              <w:rPr>
                <w:noProof/>
              </w:rPr>
              <w:t>122</w:t>
            </w:r>
          </w:p>
        </w:tc>
        <w:tc>
          <w:tcPr>
            <w:tcW w:w="829" w:type="dxa"/>
            <w:shd w:val="clear" w:color="auto" w:fill="C6EFCE"/>
            <w:noWrap/>
          </w:tcPr>
          <w:p w14:paraId="22C6500F" w14:textId="77777777" w:rsidR="00D924EA" w:rsidRDefault="00011DE9">
            <w:pPr>
              <w:pStyle w:val="P68B1DB1-Normal23"/>
              <w:spacing w:after="0" w:line="240" w:lineRule="auto"/>
              <w:jc w:val="center"/>
              <w:rPr>
                <w:rFonts w:eastAsia="Symbol" w:cs="Times New Roman"/>
                <w:noProof/>
                <w:szCs w:val="18"/>
              </w:rPr>
            </w:pPr>
            <w:r>
              <w:rPr>
                <w:noProof/>
              </w:rPr>
              <w:t>C8.R2</w:t>
            </w:r>
          </w:p>
        </w:tc>
        <w:tc>
          <w:tcPr>
            <w:tcW w:w="828" w:type="dxa"/>
            <w:shd w:val="clear" w:color="auto" w:fill="C6EFCE"/>
            <w:noWrap/>
          </w:tcPr>
          <w:p w14:paraId="2CFA0E77" w14:textId="77777777" w:rsidR="00D924EA" w:rsidRDefault="00011DE9">
            <w:pPr>
              <w:pStyle w:val="P68B1DB1-Normal23"/>
              <w:spacing w:after="0" w:line="240" w:lineRule="auto"/>
              <w:jc w:val="center"/>
              <w:rPr>
                <w:rFonts w:eastAsia="Symbol" w:cs="Times New Roman"/>
                <w:noProof/>
                <w:szCs w:val="18"/>
              </w:rPr>
            </w:pPr>
            <w:r>
              <w:rPr>
                <w:noProof/>
              </w:rPr>
              <w:t>M</w:t>
            </w:r>
          </w:p>
        </w:tc>
        <w:tc>
          <w:tcPr>
            <w:tcW w:w="2343" w:type="dxa"/>
            <w:shd w:val="clear" w:color="auto" w:fill="C6EFCE"/>
            <w:noWrap/>
          </w:tcPr>
          <w:p w14:paraId="1009BBDB" w14:textId="77777777" w:rsidR="00D924EA" w:rsidRDefault="00011DE9">
            <w:pPr>
              <w:pStyle w:val="P68B1DB1-Normal23"/>
              <w:spacing w:after="0" w:line="240" w:lineRule="auto"/>
              <w:rPr>
                <w:rFonts w:eastAsia="Symbol" w:cs="Times New Roman"/>
                <w:noProof/>
                <w:szCs w:val="18"/>
              </w:rPr>
            </w:pPr>
            <w:r>
              <w:rPr>
                <w:noProof/>
              </w:rPr>
              <w:t>Intrarea în vigoare a reformelor de planificare, legislative și de reglementare pentru a promova dezvoltarea soluțiilor de stocare a energiei.</w:t>
            </w:r>
          </w:p>
        </w:tc>
        <w:tc>
          <w:tcPr>
            <w:tcW w:w="1104" w:type="dxa"/>
            <w:shd w:val="clear" w:color="auto" w:fill="C6EFCE"/>
            <w:noWrap/>
          </w:tcPr>
          <w:p w14:paraId="6078851E" w14:textId="77777777" w:rsidR="00D924EA" w:rsidRDefault="00011DE9">
            <w:pPr>
              <w:pStyle w:val="P68B1DB1-Normal23"/>
              <w:spacing w:after="0" w:line="240" w:lineRule="auto"/>
              <w:jc w:val="center"/>
              <w:rPr>
                <w:rFonts w:eastAsia="Symbol" w:cs="Times New Roman"/>
                <w:noProof/>
                <w:szCs w:val="18"/>
              </w:rPr>
            </w:pPr>
            <w:r>
              <w:rPr>
                <w:noProof/>
              </w:rPr>
              <w:t xml:space="preserve">Dispoziții din actele cu putere de lege și actele administrative privind intrarea în vigoare </w:t>
            </w:r>
          </w:p>
        </w:tc>
        <w:tc>
          <w:tcPr>
            <w:tcW w:w="829" w:type="dxa"/>
            <w:shd w:val="clear" w:color="auto" w:fill="C6EFCE"/>
            <w:noWrap/>
          </w:tcPr>
          <w:p w14:paraId="0A97B175"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787F9C02"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553" w:type="dxa"/>
            <w:shd w:val="clear" w:color="auto" w:fill="C6EFCE"/>
            <w:noWrap/>
          </w:tcPr>
          <w:p w14:paraId="5290F601"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553" w:type="dxa"/>
            <w:shd w:val="clear" w:color="auto" w:fill="C6EFCE"/>
            <w:noWrap/>
          </w:tcPr>
          <w:p w14:paraId="1E3A792E" w14:textId="76CC6AFD" w:rsidR="00D924EA" w:rsidRDefault="005701C9">
            <w:pPr>
              <w:pStyle w:val="P68B1DB1-Normal23"/>
              <w:spacing w:after="0" w:line="240" w:lineRule="auto"/>
              <w:jc w:val="center"/>
              <w:rPr>
                <w:rFonts w:eastAsia="Symbol" w:cs="Times New Roman"/>
                <w:noProof/>
                <w:szCs w:val="18"/>
              </w:rPr>
            </w:pPr>
            <w:r>
              <w:rPr>
                <w:noProof/>
              </w:rPr>
              <w:t>T2</w:t>
            </w:r>
          </w:p>
        </w:tc>
        <w:tc>
          <w:tcPr>
            <w:tcW w:w="553" w:type="dxa"/>
            <w:shd w:val="clear" w:color="auto" w:fill="C6EFCE"/>
            <w:noWrap/>
          </w:tcPr>
          <w:p w14:paraId="44479401" w14:textId="77777777" w:rsidR="00D924EA" w:rsidRDefault="00011DE9">
            <w:pPr>
              <w:pStyle w:val="P68B1DB1-Normal23"/>
              <w:spacing w:after="0" w:line="240" w:lineRule="auto"/>
              <w:jc w:val="center"/>
              <w:rPr>
                <w:rFonts w:eastAsia="Symbol" w:cs="Times New Roman"/>
                <w:noProof/>
                <w:szCs w:val="18"/>
              </w:rPr>
            </w:pPr>
            <w:r>
              <w:rPr>
                <w:noProof/>
              </w:rPr>
              <w:t>2021</w:t>
            </w:r>
          </w:p>
        </w:tc>
        <w:tc>
          <w:tcPr>
            <w:tcW w:w="6061" w:type="dxa"/>
            <w:shd w:val="clear" w:color="auto" w:fill="C6EFCE"/>
            <w:noWrap/>
          </w:tcPr>
          <w:p w14:paraId="0905D058" w14:textId="360DD6DA" w:rsidR="00D924EA" w:rsidRDefault="00011DE9">
            <w:pPr>
              <w:spacing w:after="0" w:line="240" w:lineRule="auto"/>
              <w:rPr>
                <w:rFonts w:ascii="Times New Roman" w:eastAsia="Symbol" w:hAnsi="Times New Roman" w:cs="Times New Roman"/>
                <w:noProof/>
                <w:sz w:val="18"/>
                <w:szCs w:val="18"/>
              </w:rPr>
            </w:pPr>
            <w:r>
              <w:rPr>
                <w:rFonts w:ascii="Times New Roman" w:hAnsi="Times New Roman"/>
                <w:noProof/>
                <w:sz w:val="18"/>
              </w:rPr>
              <w:t>Adoptarea și intrarea în vigoare a următoarelor reforme de planificare, legislative și de reglementare pentru a promova dezvoltarea de soluții de stocare a energiei:</w:t>
            </w:r>
            <w:r w:rsidR="00971820">
              <w:rPr>
                <w:noProof/>
              </w:rPr>
              <w:t xml:space="preserve"> </w:t>
            </w:r>
            <w:r>
              <w:rPr>
                <w:noProof/>
              </w:rPr>
              <w:br/>
            </w:r>
            <w:r>
              <w:rPr>
                <w:rFonts w:ascii="Times New Roman" w:hAnsi="Times New Roman"/>
                <w:noProof/>
                <w:sz w:val="18"/>
              </w:rPr>
              <w:t>a) Aprobarea în cadrul Consiliului de Miniștri a Strategiei de stocare a energiei, cu obiectivele de a promova implementarea stocării energiei prin intermediul a 66 de măsuri specifice grupate în cele 10 linii de acțiune incluse în strategie. Obiectivul este de a avea o capacitate de stocare a energiei de 20 GW în 2030 și de 30 GW în 2050;</w:t>
            </w:r>
            <w:r w:rsidR="00971820">
              <w:rPr>
                <w:rFonts w:ascii="Times New Roman" w:hAnsi="Times New Roman"/>
                <w:noProof/>
                <w:sz w:val="18"/>
              </w:rPr>
              <w:t xml:space="preserve"> </w:t>
            </w:r>
            <w:r>
              <w:rPr>
                <w:noProof/>
              </w:rPr>
              <w:br/>
            </w:r>
            <w:r>
              <w:rPr>
                <w:rFonts w:ascii="Times New Roman" w:hAnsi="Times New Roman"/>
                <w:noProof/>
                <w:sz w:val="18"/>
              </w:rPr>
              <w:t>b) Publicarea în JO a Decretului regal nr. 1183/2020, pentru a reglementa accesul la rețea al instalațiilor de stocare.</w:t>
            </w:r>
            <w:r w:rsidR="00971820">
              <w:rPr>
                <w:noProof/>
              </w:rPr>
              <w:t xml:space="preserve"> </w:t>
            </w:r>
            <w:r>
              <w:rPr>
                <w:noProof/>
              </w:rPr>
              <w:br/>
            </w:r>
            <w:r>
              <w:rPr>
                <w:rFonts w:ascii="Times New Roman" w:hAnsi="Times New Roman"/>
                <w:noProof/>
                <w:sz w:val="18"/>
              </w:rPr>
              <w:t xml:space="preserve">publicarea în JO a Circularei 1/2021 de către </w:t>
            </w:r>
            <w:r>
              <w:rPr>
                <w:rFonts w:ascii="Times New Roman" w:hAnsi="Times New Roman"/>
                <w:i/>
                <w:noProof/>
                <w:sz w:val="18"/>
              </w:rPr>
              <w:t>Comisión Nacional de los Mercados y la Competencia</w:t>
            </w:r>
            <w:r>
              <w:rPr>
                <w:rFonts w:ascii="Times New Roman" w:hAnsi="Times New Roman"/>
                <w:noProof/>
                <w:sz w:val="18"/>
              </w:rPr>
              <w:t xml:space="preserve"> pentru a stabili metodologia și condițiile de acces și de conectare la rețelele de transport și distribuție ale instalațiilor de producere a energiei electrice.</w:t>
            </w:r>
            <w:r w:rsidR="00971820">
              <w:rPr>
                <w:rFonts w:ascii="Times New Roman" w:hAnsi="Times New Roman"/>
                <w:noProof/>
                <w:sz w:val="18"/>
              </w:rPr>
              <w:t xml:space="preserve"> </w:t>
            </w:r>
            <w:r>
              <w:rPr>
                <w:noProof/>
              </w:rPr>
              <w:br/>
            </w:r>
            <w:r>
              <w:rPr>
                <w:rFonts w:ascii="Times New Roman" w:hAnsi="Times New Roman"/>
                <w:noProof/>
                <w:sz w:val="18"/>
              </w:rPr>
              <w:t>d) Publicarea în JO a Rezoluției din 10 decembrie 2020 care reglementează participarea instalațiilor de stocare a energiei la furnizarea de servicii de sistem</w:t>
            </w:r>
          </w:p>
        </w:tc>
      </w:tr>
      <w:tr w:rsidR="00D924EA" w14:paraId="582E19CA" w14:textId="77777777">
        <w:trPr>
          <w:trHeight w:val="309"/>
          <w:jc w:val="center"/>
        </w:trPr>
        <w:tc>
          <w:tcPr>
            <w:tcW w:w="833" w:type="dxa"/>
            <w:shd w:val="clear" w:color="auto" w:fill="C6EFCE"/>
            <w:noWrap/>
          </w:tcPr>
          <w:p w14:paraId="5C90FFFD" w14:textId="77777777" w:rsidR="00D924EA" w:rsidRDefault="00011DE9">
            <w:pPr>
              <w:pStyle w:val="P68B1DB1-Normal23"/>
              <w:spacing w:after="0" w:line="240" w:lineRule="auto"/>
              <w:jc w:val="center"/>
              <w:rPr>
                <w:rFonts w:eastAsia="Symbol" w:cs="Times New Roman"/>
                <w:noProof/>
                <w:szCs w:val="18"/>
              </w:rPr>
            </w:pPr>
            <w:r>
              <w:rPr>
                <w:noProof/>
              </w:rPr>
              <w:t>123</w:t>
            </w:r>
          </w:p>
        </w:tc>
        <w:tc>
          <w:tcPr>
            <w:tcW w:w="829" w:type="dxa"/>
            <w:shd w:val="clear" w:color="auto" w:fill="C6EFCE"/>
            <w:noWrap/>
          </w:tcPr>
          <w:p w14:paraId="41B97177" w14:textId="77777777" w:rsidR="00D924EA" w:rsidRDefault="00011DE9">
            <w:pPr>
              <w:pStyle w:val="P68B1DB1-Normal23"/>
              <w:spacing w:after="0" w:line="240" w:lineRule="auto"/>
              <w:jc w:val="center"/>
              <w:rPr>
                <w:rFonts w:eastAsia="Symbol" w:cs="Times New Roman"/>
                <w:noProof/>
                <w:szCs w:val="18"/>
              </w:rPr>
            </w:pPr>
            <w:r>
              <w:rPr>
                <w:noProof/>
              </w:rPr>
              <w:t>C8.R3</w:t>
            </w:r>
          </w:p>
        </w:tc>
        <w:tc>
          <w:tcPr>
            <w:tcW w:w="828" w:type="dxa"/>
            <w:shd w:val="clear" w:color="auto" w:fill="C6EFCE"/>
            <w:noWrap/>
          </w:tcPr>
          <w:p w14:paraId="0242B2EF" w14:textId="77777777" w:rsidR="00D924EA" w:rsidRDefault="00011DE9">
            <w:pPr>
              <w:pStyle w:val="P68B1DB1-Normal23"/>
              <w:spacing w:after="0" w:line="240" w:lineRule="auto"/>
              <w:jc w:val="center"/>
              <w:rPr>
                <w:rFonts w:eastAsia="Symbol" w:cs="Times New Roman"/>
                <w:noProof/>
                <w:szCs w:val="18"/>
              </w:rPr>
            </w:pPr>
            <w:r>
              <w:rPr>
                <w:noProof/>
              </w:rPr>
              <w:t>M</w:t>
            </w:r>
          </w:p>
        </w:tc>
        <w:tc>
          <w:tcPr>
            <w:tcW w:w="2343" w:type="dxa"/>
            <w:shd w:val="clear" w:color="auto" w:fill="C6EFCE"/>
            <w:noWrap/>
          </w:tcPr>
          <w:p w14:paraId="53D71FFD" w14:textId="00CC3908" w:rsidR="00D924EA" w:rsidRDefault="00011DE9">
            <w:pPr>
              <w:pStyle w:val="P68B1DB1-Normal24"/>
              <w:spacing w:after="0" w:line="240" w:lineRule="auto"/>
              <w:rPr>
                <w:rFonts w:eastAsia="Symbol" w:cs="Times New Roman"/>
                <w:noProof/>
              </w:rPr>
            </w:pPr>
            <w:r>
              <w:rPr>
                <w:noProof/>
              </w:rPr>
              <w:t xml:space="preserve">Intrarea în vigoare a măsurilor de reglementare </w:t>
            </w:r>
          </w:p>
        </w:tc>
        <w:tc>
          <w:tcPr>
            <w:tcW w:w="1104" w:type="dxa"/>
            <w:shd w:val="clear" w:color="auto" w:fill="C6EFCE"/>
            <w:noWrap/>
          </w:tcPr>
          <w:p w14:paraId="7EF30A58" w14:textId="77777777" w:rsidR="00D924EA" w:rsidRDefault="00011DE9">
            <w:pPr>
              <w:pStyle w:val="P68B1DB1-Normal23"/>
              <w:spacing w:after="0" w:line="240" w:lineRule="auto"/>
              <w:jc w:val="center"/>
              <w:rPr>
                <w:rFonts w:eastAsia="Symbol" w:cs="Times New Roman"/>
                <w:noProof/>
                <w:szCs w:val="18"/>
              </w:rPr>
            </w:pPr>
            <w:r>
              <w:rPr>
                <w:noProof/>
              </w:rPr>
              <w:t>Dispoziții din actele cu putere de lege și actele administrative privind intrarea în vigoare</w:t>
            </w:r>
          </w:p>
        </w:tc>
        <w:tc>
          <w:tcPr>
            <w:tcW w:w="829" w:type="dxa"/>
            <w:shd w:val="clear" w:color="auto" w:fill="C6EFCE"/>
            <w:noWrap/>
          </w:tcPr>
          <w:p w14:paraId="4CE0D637"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6886ECBF"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553" w:type="dxa"/>
            <w:shd w:val="clear" w:color="auto" w:fill="C6EFCE"/>
            <w:noWrap/>
          </w:tcPr>
          <w:p w14:paraId="1B354364"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553" w:type="dxa"/>
            <w:shd w:val="clear" w:color="auto" w:fill="C6EFCE"/>
            <w:noWrap/>
          </w:tcPr>
          <w:p w14:paraId="65670B4C" w14:textId="35C3FBAC" w:rsidR="00D924EA" w:rsidRDefault="005701C9">
            <w:pPr>
              <w:pStyle w:val="P68B1DB1-Normal23"/>
              <w:spacing w:after="0" w:line="240" w:lineRule="auto"/>
              <w:jc w:val="center"/>
              <w:rPr>
                <w:rFonts w:eastAsia="Symbol" w:cs="Times New Roman"/>
                <w:noProof/>
                <w:szCs w:val="18"/>
              </w:rPr>
            </w:pPr>
            <w:r>
              <w:rPr>
                <w:noProof/>
              </w:rPr>
              <w:t>T4</w:t>
            </w:r>
          </w:p>
        </w:tc>
        <w:tc>
          <w:tcPr>
            <w:tcW w:w="553" w:type="dxa"/>
            <w:shd w:val="clear" w:color="auto" w:fill="C6EFCE"/>
            <w:noWrap/>
          </w:tcPr>
          <w:p w14:paraId="3D2956C0" w14:textId="35B4AB45" w:rsidR="00D924EA" w:rsidRDefault="00011DE9">
            <w:pPr>
              <w:pStyle w:val="P68B1DB1-Normal23"/>
              <w:spacing w:after="0" w:line="240" w:lineRule="auto"/>
              <w:jc w:val="center"/>
              <w:rPr>
                <w:rFonts w:eastAsia="Symbol" w:cs="Times New Roman"/>
                <w:noProof/>
                <w:szCs w:val="18"/>
              </w:rPr>
            </w:pPr>
            <w:r>
              <w:rPr>
                <w:noProof/>
              </w:rPr>
              <w:t>2025</w:t>
            </w:r>
          </w:p>
        </w:tc>
        <w:tc>
          <w:tcPr>
            <w:tcW w:w="6061" w:type="dxa"/>
            <w:shd w:val="clear" w:color="auto" w:fill="C6EFCE"/>
            <w:noWrap/>
          </w:tcPr>
          <w:p w14:paraId="75F1CC0E" w14:textId="7C81E137" w:rsidR="00D924EA" w:rsidRDefault="00011DE9">
            <w:pPr>
              <w:spacing w:after="0" w:line="240" w:lineRule="auto"/>
              <w:ind w:left="75"/>
              <w:rPr>
                <w:rFonts w:ascii="Times New Roman" w:eastAsia="Symbol" w:hAnsi="Times New Roman" w:cs="Times New Roman"/>
                <w:noProof/>
                <w:sz w:val="18"/>
                <w:szCs w:val="18"/>
              </w:rPr>
            </w:pPr>
            <w:r>
              <w:rPr>
                <w:rFonts w:ascii="Times New Roman" w:hAnsi="Times New Roman"/>
                <w:noProof/>
                <w:sz w:val="18"/>
                <w:szCs w:val="18"/>
              </w:rPr>
              <w:t xml:space="preserve">a) Intrarea în vigoare a Rezoluției din 10 decembrie 2020 a </w:t>
            </w:r>
            <w:r>
              <w:rPr>
                <w:rFonts w:ascii="Times New Roman" w:hAnsi="Times New Roman"/>
                <w:i/>
                <w:noProof/>
                <w:sz w:val="18"/>
                <w:szCs w:val="18"/>
              </w:rPr>
              <w:t>Comisión Nacional de los Mercados y la Competencia</w:t>
            </w:r>
            <w:r>
              <w:rPr>
                <w:rFonts w:ascii="Times New Roman" w:hAnsi="Times New Roman"/>
                <w:noProof/>
                <w:sz w:val="18"/>
                <w:szCs w:val="18"/>
              </w:rPr>
              <w:t xml:space="preserve"> de aprobare a adaptării procedurilor de funcționare a sistemului la condițiile de echilibru</w:t>
            </w:r>
            <w:r>
              <w:rPr>
                <w:noProof/>
              </w:rPr>
              <w:t xml:space="preserve"> </w:t>
            </w:r>
            <w:r>
              <w:rPr>
                <w:noProof/>
              </w:rPr>
              <w:br/>
            </w:r>
            <w:r>
              <w:rPr>
                <w:rFonts w:ascii="Times New Roman" w:hAnsi="Times New Roman"/>
                <w:noProof/>
                <w:sz w:val="18"/>
                <w:szCs w:val="18"/>
              </w:rPr>
              <w:t xml:space="preserve">b) Intrarea în vigoare a Decretului regal de aprobare a Regulamentului general privind aprovizionarea și contractarea și de stabilire a condițiilor pentru comercializarea, agregarea și protecția consumatorilor de energie electrică </w:t>
            </w:r>
            <w:r>
              <w:rPr>
                <w:noProof/>
              </w:rPr>
              <w:br/>
              <w:t xml:space="preserve"> </w:t>
            </w:r>
            <w:r>
              <w:rPr>
                <w:rFonts w:ascii="Times New Roman" w:hAnsi="Times New Roman"/>
                <w:noProof/>
                <w:sz w:val="18"/>
                <w:szCs w:val="18"/>
              </w:rPr>
              <w:t>c) Intrarea în vigoare a Regulamentului (CE) nr. RDL23/2020, care include crearea statutului de agregator independent</w:t>
            </w:r>
          </w:p>
        </w:tc>
      </w:tr>
      <w:tr w:rsidR="00D924EA" w14:paraId="1AA16BA7" w14:textId="77777777">
        <w:trPr>
          <w:trHeight w:val="309"/>
          <w:jc w:val="center"/>
        </w:trPr>
        <w:tc>
          <w:tcPr>
            <w:tcW w:w="833" w:type="dxa"/>
            <w:shd w:val="clear" w:color="auto" w:fill="C6EFCE"/>
            <w:noWrap/>
          </w:tcPr>
          <w:p w14:paraId="7BA03904" w14:textId="77777777" w:rsidR="00D924EA" w:rsidRDefault="00011DE9">
            <w:pPr>
              <w:pStyle w:val="P68B1DB1-Normal23"/>
              <w:spacing w:after="0" w:line="240" w:lineRule="auto"/>
              <w:jc w:val="center"/>
              <w:rPr>
                <w:rFonts w:eastAsia="Symbol" w:cs="Times New Roman"/>
                <w:noProof/>
                <w:szCs w:val="18"/>
              </w:rPr>
            </w:pPr>
            <w:r>
              <w:rPr>
                <w:noProof/>
              </w:rPr>
              <w:t>124</w:t>
            </w:r>
          </w:p>
        </w:tc>
        <w:tc>
          <w:tcPr>
            <w:tcW w:w="829" w:type="dxa"/>
            <w:shd w:val="clear" w:color="auto" w:fill="C6EFCE"/>
            <w:noWrap/>
          </w:tcPr>
          <w:p w14:paraId="4CB8381A" w14:textId="77777777" w:rsidR="00D924EA" w:rsidRDefault="00011DE9">
            <w:pPr>
              <w:pStyle w:val="P68B1DB1-Normal23"/>
              <w:spacing w:after="0" w:line="240" w:lineRule="auto"/>
              <w:jc w:val="center"/>
              <w:rPr>
                <w:rFonts w:eastAsia="Symbol" w:cs="Times New Roman"/>
                <w:noProof/>
                <w:szCs w:val="18"/>
              </w:rPr>
            </w:pPr>
            <w:r>
              <w:rPr>
                <w:noProof/>
              </w:rPr>
              <w:t>C8.R4</w:t>
            </w:r>
          </w:p>
        </w:tc>
        <w:tc>
          <w:tcPr>
            <w:tcW w:w="828" w:type="dxa"/>
            <w:shd w:val="clear" w:color="auto" w:fill="C6EFCE"/>
            <w:noWrap/>
          </w:tcPr>
          <w:p w14:paraId="524D1BC7" w14:textId="77777777" w:rsidR="00D924EA" w:rsidRDefault="00011DE9">
            <w:pPr>
              <w:pStyle w:val="P68B1DB1-Normal23"/>
              <w:spacing w:after="0" w:line="240" w:lineRule="auto"/>
              <w:jc w:val="center"/>
              <w:rPr>
                <w:rFonts w:eastAsia="Symbol" w:cs="Times New Roman"/>
                <w:noProof/>
                <w:szCs w:val="18"/>
              </w:rPr>
            </w:pPr>
            <w:r>
              <w:rPr>
                <w:noProof/>
              </w:rPr>
              <w:t>M</w:t>
            </w:r>
          </w:p>
        </w:tc>
        <w:tc>
          <w:tcPr>
            <w:tcW w:w="2343" w:type="dxa"/>
            <w:shd w:val="clear" w:color="auto" w:fill="C6EFCE"/>
            <w:noWrap/>
          </w:tcPr>
          <w:p w14:paraId="732F956E" w14:textId="77777777" w:rsidR="00D924EA" w:rsidRDefault="00011DE9">
            <w:pPr>
              <w:pStyle w:val="P68B1DB1-Normal23"/>
              <w:spacing w:after="0" w:line="240" w:lineRule="auto"/>
              <w:rPr>
                <w:rFonts w:eastAsia="Symbol" w:cs="Times New Roman"/>
                <w:noProof/>
                <w:szCs w:val="18"/>
              </w:rPr>
            </w:pPr>
            <w:r>
              <w:rPr>
                <w:noProof/>
              </w:rPr>
              <w:t>Intrarea în vigoare a măsurilor de promovare a spațiilor de testare în materie de reglementare pentru a stimula cercetarea și inovarea în sectorul energiei electrice.</w:t>
            </w:r>
          </w:p>
        </w:tc>
        <w:tc>
          <w:tcPr>
            <w:tcW w:w="1104" w:type="dxa"/>
            <w:shd w:val="clear" w:color="auto" w:fill="C6EFCE"/>
            <w:noWrap/>
          </w:tcPr>
          <w:p w14:paraId="03848BA2" w14:textId="77777777" w:rsidR="00D924EA" w:rsidRDefault="00011DE9">
            <w:pPr>
              <w:pStyle w:val="P68B1DB1-Normal23"/>
              <w:spacing w:after="0" w:line="240" w:lineRule="auto"/>
              <w:jc w:val="center"/>
              <w:rPr>
                <w:rFonts w:eastAsia="Symbol" w:cs="Times New Roman"/>
                <w:noProof/>
                <w:szCs w:val="18"/>
              </w:rPr>
            </w:pPr>
            <w:r>
              <w:rPr>
                <w:noProof/>
              </w:rPr>
              <w:t>Dispozițiile decretului regal privind intrarea în vigoare</w:t>
            </w:r>
          </w:p>
        </w:tc>
        <w:tc>
          <w:tcPr>
            <w:tcW w:w="829" w:type="dxa"/>
            <w:shd w:val="clear" w:color="auto" w:fill="C6EFCE"/>
            <w:noWrap/>
          </w:tcPr>
          <w:p w14:paraId="0EED8445"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48F80A4E"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553" w:type="dxa"/>
            <w:shd w:val="clear" w:color="auto" w:fill="C6EFCE"/>
            <w:noWrap/>
          </w:tcPr>
          <w:p w14:paraId="6EB037DC" w14:textId="77777777" w:rsidR="00D924EA" w:rsidRDefault="00011DE9">
            <w:pPr>
              <w:pStyle w:val="P68B1DB1-Normal23"/>
              <w:spacing w:after="0" w:line="240" w:lineRule="auto"/>
              <w:jc w:val="right"/>
              <w:rPr>
                <w:rFonts w:eastAsia="Symbol" w:cs="Times New Roman"/>
                <w:noProof/>
                <w:szCs w:val="18"/>
              </w:rPr>
            </w:pPr>
            <w:r>
              <w:rPr>
                <w:noProof/>
              </w:rPr>
              <w:t xml:space="preserve"> </w:t>
            </w:r>
          </w:p>
        </w:tc>
        <w:tc>
          <w:tcPr>
            <w:tcW w:w="553" w:type="dxa"/>
            <w:shd w:val="clear" w:color="auto" w:fill="C6EFCE"/>
            <w:noWrap/>
          </w:tcPr>
          <w:p w14:paraId="795BF7D7" w14:textId="512D305E" w:rsidR="00D924EA" w:rsidRDefault="005701C9">
            <w:pPr>
              <w:pStyle w:val="P68B1DB1-Normal23"/>
              <w:spacing w:after="0" w:line="240" w:lineRule="auto"/>
              <w:jc w:val="center"/>
              <w:rPr>
                <w:rFonts w:eastAsia="Symbol" w:cs="Times New Roman"/>
                <w:noProof/>
                <w:szCs w:val="18"/>
              </w:rPr>
            </w:pPr>
            <w:r>
              <w:rPr>
                <w:noProof/>
              </w:rPr>
              <w:t>T2</w:t>
            </w:r>
          </w:p>
        </w:tc>
        <w:tc>
          <w:tcPr>
            <w:tcW w:w="553" w:type="dxa"/>
            <w:shd w:val="clear" w:color="auto" w:fill="C6EFCE"/>
            <w:noWrap/>
          </w:tcPr>
          <w:p w14:paraId="583FFC4C" w14:textId="77777777" w:rsidR="00D924EA" w:rsidRDefault="00011DE9">
            <w:pPr>
              <w:pStyle w:val="P68B1DB1-Normal23"/>
              <w:spacing w:after="0" w:line="240" w:lineRule="auto"/>
              <w:jc w:val="center"/>
              <w:rPr>
                <w:rFonts w:eastAsia="Symbol" w:cs="Times New Roman"/>
                <w:noProof/>
                <w:szCs w:val="18"/>
              </w:rPr>
            </w:pPr>
            <w:r>
              <w:rPr>
                <w:noProof/>
              </w:rPr>
              <w:t>2022</w:t>
            </w:r>
          </w:p>
        </w:tc>
        <w:tc>
          <w:tcPr>
            <w:tcW w:w="6061" w:type="dxa"/>
            <w:shd w:val="clear" w:color="auto" w:fill="C6EFCE"/>
            <w:noWrap/>
          </w:tcPr>
          <w:p w14:paraId="29BEDFEE" w14:textId="0DEE64EB" w:rsidR="00D924EA" w:rsidRDefault="00011DE9">
            <w:pPr>
              <w:spacing w:after="0" w:line="240" w:lineRule="auto"/>
              <w:rPr>
                <w:rFonts w:ascii="Times New Roman" w:eastAsia="Symbol" w:hAnsi="Times New Roman" w:cs="Times New Roman"/>
                <w:noProof/>
                <w:sz w:val="18"/>
                <w:szCs w:val="18"/>
              </w:rPr>
            </w:pPr>
            <w:r>
              <w:rPr>
                <w:rFonts w:ascii="Times New Roman" w:hAnsi="Times New Roman"/>
                <w:noProof/>
                <w:sz w:val="18"/>
              </w:rPr>
              <w:t>Publicarea și intrarea în vigoare a Decretului regal privind dezvoltarea spațiilor de testare în materie de reglementare pentru a permite dezvoltarea de noi proiecte-pilot, cu scopul de a promova cercetarea și inovarea în sectorul energiei electrice.</w:t>
            </w:r>
            <w:r w:rsidR="00971820">
              <w:rPr>
                <w:noProof/>
              </w:rPr>
              <w:t xml:space="preserve"> </w:t>
            </w:r>
            <w:r>
              <w:rPr>
                <w:noProof/>
              </w:rPr>
              <w:br/>
            </w:r>
            <w:r>
              <w:rPr>
                <w:rFonts w:ascii="Times New Roman" w:hAnsi="Times New Roman"/>
                <w:noProof/>
                <w:sz w:val="18"/>
              </w:rPr>
              <w:t>Legislația permite industriei să testeze noi tehnologii, sisteme și servicii legate de flexibilitate, consumul dispecerizabil și stocarea energiei, într-un spațiu sigur și propice în care părțile interesate să poată experimenta soluții inovatoare fără a face obiectul cerințelor de reglementare predominante. În plus, acest lucru va asigura un dialog bidirecțional în materie de reglementare între administrație și autoritatea de reglementare, care va accelera și va facilita revizuirea reglementărilor existente și le va adapta la intrarea pe piață a unor noi agenți, încurajând crearea de noi întreprinderi tehnologice, oferindu-le posibilitatea de a-și testa modelele de afaceri.</w:t>
            </w:r>
          </w:p>
        </w:tc>
      </w:tr>
      <w:tr w:rsidR="00D924EA" w14:paraId="566C6DD6" w14:textId="77777777">
        <w:trPr>
          <w:trHeight w:val="309"/>
          <w:jc w:val="center"/>
        </w:trPr>
        <w:tc>
          <w:tcPr>
            <w:tcW w:w="833" w:type="dxa"/>
            <w:shd w:val="clear" w:color="auto" w:fill="C6EFCE"/>
            <w:noWrap/>
          </w:tcPr>
          <w:p w14:paraId="15988646" w14:textId="77777777" w:rsidR="00D924EA" w:rsidRDefault="00011DE9">
            <w:pPr>
              <w:pStyle w:val="P68B1DB1-Normal23"/>
              <w:spacing w:after="0" w:line="240" w:lineRule="auto"/>
              <w:jc w:val="center"/>
              <w:rPr>
                <w:rFonts w:eastAsia="Symbol" w:cs="Times New Roman"/>
                <w:noProof/>
                <w:szCs w:val="18"/>
              </w:rPr>
            </w:pPr>
            <w:r>
              <w:rPr>
                <w:noProof/>
              </w:rPr>
              <w:t>127</w:t>
            </w:r>
          </w:p>
        </w:tc>
        <w:tc>
          <w:tcPr>
            <w:tcW w:w="829" w:type="dxa"/>
            <w:shd w:val="clear" w:color="auto" w:fill="C6EFCE"/>
            <w:noWrap/>
          </w:tcPr>
          <w:p w14:paraId="1763D757" w14:textId="77777777" w:rsidR="00D924EA" w:rsidRDefault="00011DE9">
            <w:pPr>
              <w:pStyle w:val="P68B1DB1-Normal23"/>
              <w:spacing w:after="0" w:line="240" w:lineRule="auto"/>
              <w:jc w:val="center"/>
              <w:rPr>
                <w:rFonts w:eastAsia="Symbol" w:cs="Times New Roman"/>
                <w:noProof/>
                <w:szCs w:val="18"/>
              </w:rPr>
            </w:pPr>
            <w:r>
              <w:rPr>
                <w:noProof/>
              </w:rPr>
              <w:t>C8.I2</w:t>
            </w:r>
          </w:p>
        </w:tc>
        <w:tc>
          <w:tcPr>
            <w:tcW w:w="828" w:type="dxa"/>
            <w:shd w:val="clear" w:color="auto" w:fill="C6EFCE"/>
            <w:noWrap/>
          </w:tcPr>
          <w:p w14:paraId="6C48E903" w14:textId="77777777" w:rsidR="00D924EA" w:rsidRDefault="00011DE9">
            <w:pPr>
              <w:pStyle w:val="P68B1DB1-Normal23"/>
              <w:spacing w:after="0" w:line="240" w:lineRule="auto"/>
              <w:jc w:val="center"/>
              <w:rPr>
                <w:rFonts w:eastAsia="Symbol" w:cs="Times New Roman"/>
                <w:noProof/>
                <w:szCs w:val="18"/>
              </w:rPr>
            </w:pPr>
            <w:r>
              <w:rPr>
                <w:noProof/>
              </w:rPr>
              <w:t>T</w:t>
            </w:r>
          </w:p>
        </w:tc>
        <w:tc>
          <w:tcPr>
            <w:tcW w:w="2343" w:type="dxa"/>
            <w:shd w:val="clear" w:color="auto" w:fill="C6EFCE"/>
            <w:noWrap/>
          </w:tcPr>
          <w:p w14:paraId="44201213" w14:textId="0FFC1D15" w:rsidR="00D924EA" w:rsidRDefault="00011DE9">
            <w:pPr>
              <w:pStyle w:val="P68B1DB1-Normal24"/>
              <w:spacing w:after="0" w:line="240" w:lineRule="auto"/>
              <w:rPr>
                <w:rFonts w:eastAsia="Symbol" w:cs="Times New Roman"/>
                <w:noProof/>
              </w:rPr>
            </w:pPr>
            <w:r>
              <w:rPr>
                <w:noProof/>
              </w:rPr>
              <w:t>Atribuirea proiectelor de digitalizare societăților de distribuție a energiei electrice</w:t>
            </w:r>
          </w:p>
        </w:tc>
        <w:tc>
          <w:tcPr>
            <w:tcW w:w="1104" w:type="dxa"/>
            <w:shd w:val="clear" w:color="auto" w:fill="C6EFCE"/>
            <w:noWrap/>
          </w:tcPr>
          <w:p w14:paraId="1D6231A8" w14:textId="77777777" w:rsidR="00D924EA" w:rsidRDefault="00011DE9">
            <w:pPr>
              <w:pStyle w:val="P68B1DB1-Normal23"/>
              <w:spacing w:after="0" w:line="240" w:lineRule="auto"/>
              <w:jc w:val="center"/>
              <w:rPr>
                <w:rFonts w:eastAsia="Symbol" w:cs="Times New Roman"/>
                <w:noProof/>
                <w:szCs w:val="18"/>
              </w:rPr>
            </w:pPr>
            <w:r>
              <w:rPr>
                <w:noProof/>
              </w:rPr>
              <w:t>—</w:t>
            </w:r>
          </w:p>
        </w:tc>
        <w:tc>
          <w:tcPr>
            <w:tcW w:w="829" w:type="dxa"/>
            <w:shd w:val="clear" w:color="auto" w:fill="C6EFCE"/>
            <w:noWrap/>
          </w:tcPr>
          <w:p w14:paraId="5B17A9D6" w14:textId="77777777" w:rsidR="00D924EA" w:rsidRDefault="00011DE9">
            <w:pPr>
              <w:pStyle w:val="P68B1DB1-Normal23"/>
              <w:spacing w:after="0" w:line="240" w:lineRule="auto"/>
              <w:rPr>
                <w:rFonts w:eastAsia="Symbol" w:cs="Times New Roman"/>
                <w:noProof/>
                <w:szCs w:val="18"/>
              </w:rPr>
            </w:pPr>
            <w:r>
              <w:rPr>
                <w:noProof/>
              </w:rPr>
              <w:t>Număr</w:t>
            </w:r>
          </w:p>
        </w:tc>
        <w:tc>
          <w:tcPr>
            <w:tcW w:w="966" w:type="dxa"/>
            <w:shd w:val="clear" w:color="auto" w:fill="C6EFCE"/>
            <w:noWrap/>
          </w:tcPr>
          <w:p w14:paraId="35DB4C3C" w14:textId="77777777" w:rsidR="00D924EA" w:rsidRDefault="00011DE9">
            <w:pPr>
              <w:pStyle w:val="P68B1DB1-Normal23"/>
              <w:spacing w:after="0" w:line="240" w:lineRule="auto"/>
              <w:rPr>
                <w:rFonts w:eastAsia="Symbol" w:cs="Times New Roman"/>
                <w:noProof/>
                <w:szCs w:val="18"/>
              </w:rPr>
            </w:pPr>
            <w:r>
              <w:rPr>
                <w:noProof/>
              </w:rPr>
              <w:t>0</w:t>
            </w:r>
          </w:p>
        </w:tc>
        <w:tc>
          <w:tcPr>
            <w:tcW w:w="553" w:type="dxa"/>
            <w:shd w:val="clear" w:color="auto" w:fill="C6EFCE"/>
            <w:noWrap/>
          </w:tcPr>
          <w:p w14:paraId="39087D4D" w14:textId="55F46793" w:rsidR="00D924EA" w:rsidRDefault="00011DE9">
            <w:pPr>
              <w:pStyle w:val="P68B1DB1-Normal24"/>
              <w:spacing w:after="0" w:line="240" w:lineRule="auto"/>
              <w:rPr>
                <w:rFonts w:eastAsia="Symbol" w:cs="Times New Roman"/>
                <w:noProof/>
              </w:rPr>
            </w:pPr>
            <w:r>
              <w:rPr>
                <w:noProof/>
              </w:rPr>
              <w:t>161</w:t>
            </w:r>
          </w:p>
        </w:tc>
        <w:tc>
          <w:tcPr>
            <w:tcW w:w="553" w:type="dxa"/>
            <w:shd w:val="clear" w:color="auto" w:fill="C6EFCE"/>
            <w:noWrap/>
          </w:tcPr>
          <w:p w14:paraId="15BBD535" w14:textId="5F87FA3D" w:rsidR="00D924EA" w:rsidRDefault="005701C9">
            <w:pPr>
              <w:pStyle w:val="P68B1DB1-Normal23"/>
              <w:spacing w:after="0" w:line="240" w:lineRule="auto"/>
              <w:rPr>
                <w:rFonts w:eastAsia="Symbol" w:cs="Times New Roman"/>
                <w:noProof/>
                <w:szCs w:val="18"/>
              </w:rPr>
            </w:pPr>
            <w:r>
              <w:rPr>
                <w:noProof/>
              </w:rPr>
              <w:t>T2</w:t>
            </w:r>
          </w:p>
        </w:tc>
        <w:tc>
          <w:tcPr>
            <w:tcW w:w="553" w:type="dxa"/>
            <w:shd w:val="clear" w:color="auto" w:fill="C6EFCE"/>
            <w:noWrap/>
          </w:tcPr>
          <w:p w14:paraId="61EF0AC0" w14:textId="6A5CB517" w:rsidR="00D924EA" w:rsidRDefault="00011DE9">
            <w:pPr>
              <w:pStyle w:val="P68B1DB1-Normal23"/>
              <w:spacing w:after="0" w:line="240" w:lineRule="auto"/>
              <w:rPr>
                <w:rFonts w:eastAsia="Symbol" w:cs="Times New Roman"/>
                <w:noProof/>
                <w:szCs w:val="18"/>
              </w:rPr>
            </w:pPr>
            <w:r>
              <w:rPr>
                <w:noProof/>
              </w:rPr>
              <w:t>2026</w:t>
            </w:r>
          </w:p>
        </w:tc>
        <w:tc>
          <w:tcPr>
            <w:tcW w:w="6061" w:type="dxa"/>
            <w:shd w:val="clear" w:color="auto" w:fill="C6EFCE"/>
            <w:noWrap/>
          </w:tcPr>
          <w:p w14:paraId="7BADD25F" w14:textId="1AF2AA39" w:rsidR="00D924EA" w:rsidRDefault="00011DE9">
            <w:pPr>
              <w:pStyle w:val="P68B1DB1-Normal24"/>
              <w:spacing w:after="0" w:line="240" w:lineRule="auto"/>
              <w:rPr>
                <w:i/>
                <w:noProof/>
              </w:rPr>
            </w:pPr>
            <w:r>
              <w:rPr>
                <w:noProof/>
              </w:rPr>
              <w:t>Cel puțin 161 de proiecte de digitalizare atribuite societăților de distribuție.</w:t>
            </w:r>
          </w:p>
        </w:tc>
      </w:tr>
    </w:tbl>
    <w:p w14:paraId="00BD95A7" w14:textId="77777777" w:rsidR="00D924EA" w:rsidRDefault="00D924EA">
      <w:pPr>
        <w:spacing w:before="120" w:after="120" w:line="240" w:lineRule="auto"/>
        <w:jc w:val="both"/>
        <w:rPr>
          <w:rFonts w:ascii="Times New Roman" w:hAnsi="Times New Roman" w:cs="Times New Roman"/>
          <w:noProof/>
        </w:rPr>
        <w:sectPr w:rsidR="00D924EA" w:rsidSect="00B528FB">
          <w:headerReference w:type="even" r:id="rId118"/>
          <w:headerReference w:type="default" r:id="rId119"/>
          <w:footerReference w:type="even" r:id="rId120"/>
          <w:footerReference w:type="default" r:id="rId121"/>
          <w:headerReference w:type="first" r:id="rId122"/>
          <w:footerReference w:type="first" r:id="rId123"/>
          <w:pgSz w:w="16839" w:h="11907" w:orient="landscape"/>
          <w:pgMar w:top="1134" w:right="1134" w:bottom="1134" w:left="1134" w:header="567" w:footer="567" w:gutter="0"/>
          <w:cols w:space="720"/>
          <w:docGrid w:linePitch="360"/>
        </w:sectPr>
      </w:pPr>
    </w:p>
    <w:p w14:paraId="2C244194" w14:textId="77777777" w:rsidR="00D924EA" w:rsidRDefault="00011DE9">
      <w:pPr>
        <w:pStyle w:val="Heading1"/>
        <w:rPr>
          <w:noProof/>
        </w:rPr>
      </w:pPr>
      <w:r>
        <w:rPr>
          <w:noProof/>
        </w:rPr>
        <w:t>I. COMPONENTA 9: Hidrogen din surse regenerabile</w:t>
      </w:r>
    </w:p>
    <w:p w14:paraId="05F491CD" w14:textId="77777777" w:rsidR="00D924EA" w:rsidRDefault="00011DE9">
      <w:pPr>
        <w:pStyle w:val="P68B1DB1-Normal29"/>
        <w:spacing w:before="100" w:beforeAutospacing="1" w:after="240" w:line="240" w:lineRule="auto"/>
        <w:jc w:val="both"/>
        <w:rPr>
          <w:noProof/>
        </w:rPr>
      </w:pPr>
      <w:r>
        <w:rPr>
          <w:noProof/>
        </w:rPr>
        <w:t>Planul național al Spaniei privind energia și clima pentru perioada 2021-2030 urmărește să reducă emisiile de gaze cu efect de seră cu 23 % față de 1990. În acest context, principalul obiectiv al componentei 9 a planului spaniol de redresare și reziliență este de a dezvolta tehnologii pe bază de hidrogen produs din surse regenerabile de energie:</w:t>
      </w:r>
    </w:p>
    <w:p w14:paraId="128A2072" w14:textId="77777777" w:rsidR="00D924EA" w:rsidRDefault="00011DE9">
      <w:pPr>
        <w:pStyle w:val="P68B1DB1-Normal29"/>
        <w:numPr>
          <w:ilvl w:val="0"/>
          <w:numId w:val="63"/>
        </w:numPr>
        <w:spacing w:before="120" w:after="240" w:line="240" w:lineRule="auto"/>
        <w:ind w:left="714" w:hanging="357"/>
        <w:jc w:val="both"/>
        <w:rPr>
          <w:noProof/>
        </w:rPr>
      </w:pPr>
      <w:r>
        <w:rPr>
          <w:noProof/>
        </w:rPr>
        <w:t>Ca mijloc de stocare a energiei pentru a gestiona diferențele dintre cererea și oferta de energie electrică, oferind flexibilitate sistemului de energie electrică.</w:t>
      </w:r>
    </w:p>
    <w:p w14:paraId="580B6704" w14:textId="77777777" w:rsidR="00D924EA" w:rsidRDefault="00011DE9">
      <w:pPr>
        <w:pStyle w:val="P68B1DB1-Normal29"/>
        <w:numPr>
          <w:ilvl w:val="0"/>
          <w:numId w:val="63"/>
        </w:numPr>
        <w:spacing w:before="100" w:beforeAutospacing="1" w:after="240" w:line="240" w:lineRule="auto"/>
        <w:jc w:val="both"/>
        <w:rPr>
          <w:noProof/>
        </w:rPr>
      </w:pPr>
      <w:r>
        <w:rPr>
          <w:noProof/>
        </w:rPr>
        <w:t>Prin promovarea dezvoltării și consolidării lor de-a lungul lanțului valoric industrial, având în vedere că aceste tehnologii nu sunt în prezent pregătite să funcționeze în condițiile pieței;</w:t>
      </w:r>
    </w:p>
    <w:p w14:paraId="487BE7BC" w14:textId="77777777" w:rsidR="00D924EA" w:rsidRDefault="00011DE9">
      <w:pPr>
        <w:pStyle w:val="P68B1DB1-Normal29"/>
        <w:numPr>
          <w:ilvl w:val="0"/>
          <w:numId w:val="63"/>
        </w:numPr>
        <w:spacing w:before="100" w:beforeAutospacing="1" w:after="240" w:line="240" w:lineRule="auto"/>
        <w:jc w:val="both"/>
        <w:rPr>
          <w:noProof/>
        </w:rPr>
      </w:pPr>
      <w:r>
        <w:rPr>
          <w:noProof/>
        </w:rPr>
        <w:t>Prin sprijinirea integrării acestora în utilizările finale, inclusiv pentru a înlocui hidrogenul pe bază de combustibili fosili în industrie; și</w:t>
      </w:r>
    </w:p>
    <w:p w14:paraId="5475E49F" w14:textId="77777777" w:rsidR="00D924EA" w:rsidRDefault="00011DE9">
      <w:pPr>
        <w:pStyle w:val="P68B1DB1-Normal29"/>
        <w:numPr>
          <w:ilvl w:val="0"/>
          <w:numId w:val="63"/>
        </w:numPr>
        <w:spacing w:before="100" w:beforeAutospacing="1" w:after="240" w:line="240" w:lineRule="auto"/>
        <w:jc w:val="both"/>
        <w:rPr>
          <w:noProof/>
        </w:rPr>
      </w:pPr>
      <w:r>
        <w:rPr>
          <w:noProof/>
        </w:rPr>
        <w:t>Prin dezvoltarea competențelor verzi.</w:t>
      </w:r>
    </w:p>
    <w:p w14:paraId="49D092FC" w14:textId="77777777" w:rsidR="00D924EA" w:rsidRDefault="00011DE9">
      <w:pPr>
        <w:pStyle w:val="P68B1DB1-Normal29"/>
        <w:spacing w:before="120" w:after="240" w:line="240" w:lineRule="auto"/>
        <w:jc w:val="both"/>
        <w:rPr>
          <w:noProof/>
        </w:rPr>
      </w:pPr>
      <w:r>
        <w:rPr>
          <w:noProof/>
        </w:rPr>
        <w:t>Această componentă a planului spaniol de redresare și reziliență abordează recomandările specifice fiecărei țări de promovare a investițiilor în inovare și în eficiența energetică (Recomandarea specifică fiecărei țări 3 2019) și de promovare a tranziției verzi (Recomandarea specifică fiecărei țări 3 2020).</w:t>
      </w:r>
    </w:p>
    <w:p w14:paraId="61A3A49D" w14:textId="77777777" w:rsidR="00D924EA" w:rsidRDefault="00011DE9">
      <w:pPr>
        <w:pStyle w:val="P68B1DB1-Normal29"/>
        <w:spacing w:before="120" w:after="240" w:line="240" w:lineRule="auto"/>
        <w:jc w:val="both"/>
        <w:rPr>
          <w:noProof/>
        </w:rPr>
      </w:pPr>
      <w:r>
        <w:rPr>
          <w:noProof/>
        </w:rPr>
        <w:t>Componenta face parte din strategia privind energia din surse regenerabile care stă la baza componentei 1 și a componentei 6 (utilizarea hidrogenului în scopuri de mobilitate &amp; transport), a componentei 7 (generarea de energie din surse regenerabile) și a componentei 8 (stocare și rețele inteligente) din planul spaniol de redresare și reziliență.</w:t>
      </w:r>
    </w:p>
    <w:p w14:paraId="5DEEF76C" w14:textId="77777777" w:rsidR="00D924EA" w:rsidRDefault="00011DE9">
      <w:pPr>
        <w:pStyle w:val="P68B1DB1-Normal29"/>
        <w:spacing w:before="120" w:after="240"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396C2A7" w14:textId="26F55E1D" w:rsidR="00D924EA" w:rsidRDefault="00011DE9">
      <w:pPr>
        <w:spacing w:before="120" w:after="240" w:line="240" w:lineRule="auto"/>
        <w:ind w:left="709"/>
        <w:jc w:val="both"/>
        <w:rPr>
          <w:rFonts w:ascii="Times New Roman" w:hAnsi="Times New Roman"/>
          <w:b/>
          <w:i/>
          <w:noProof/>
        </w:rPr>
      </w:pPr>
      <w:r>
        <w:rPr>
          <w:rFonts w:ascii="Times New Roman" w:hAnsi="Times New Roman"/>
          <w:b/>
          <w:noProof/>
          <w:u w:val="single"/>
        </w:rPr>
        <w:t>I.1.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39B64108" w14:textId="77777777" w:rsidR="00D924EA" w:rsidRDefault="00011DE9">
      <w:pPr>
        <w:pStyle w:val="P68B1DB1-Normal30"/>
        <w:spacing w:before="120" w:after="240" w:line="240" w:lineRule="auto"/>
        <w:jc w:val="both"/>
        <w:rPr>
          <w:noProof/>
        </w:rPr>
      </w:pPr>
      <w:r>
        <w:rPr>
          <w:noProof/>
        </w:rPr>
        <w:t>Reforma 1 (C9.R1) – Foaie de parcurs privind hidrogenul</w:t>
      </w:r>
    </w:p>
    <w:p w14:paraId="1FE9AADF" w14:textId="77777777" w:rsidR="00D924EA" w:rsidRDefault="00011DE9">
      <w:pPr>
        <w:pStyle w:val="P68B1DB1-Normal29"/>
        <w:spacing w:before="120" w:after="240" w:line="240" w:lineRule="auto"/>
        <w:jc w:val="both"/>
        <w:rPr>
          <w:noProof/>
        </w:rPr>
      </w:pPr>
      <w:r>
        <w:rPr>
          <w:noProof/>
        </w:rPr>
        <w:t>Această măsură oferă un cadru pentru dezvoltarea hidrogenului din surse regenerabile în Spania („Foaia de parcurs privind hidrogenul”). În acest scop, acesta identifică obiectivele care trebuie atinse până în 2030 în ceea ce privește capacitatea instalată pe sectoare (industrie și transporturi). Foaia de parcurs privind hidrogenul a fost aprobată de Consiliul de Miniștri în octombrie 2020. Măsura stabilește, de asemenea, un mijloc concret de sprijinire a punerii în aplicare a foii de parcurs prin asigurarea aprovizionării electrolizoarelor pe bază de hidrogen cu energie din surse regenerabile. Măsurile de reglementare aferente includ i) instituirea unui instrument de reglementare care să includă numirea și guvernanța organismelor naționale care emit garanții de origine pentru gazele din surse regenerabile, inclusiv pentru hidrogenul din surse regenerabile; și ii) un mecanism de reglementare care să stabilească modul în care este verificată originea regenerabilă a hidrogenului.</w:t>
      </w:r>
    </w:p>
    <w:p w14:paraId="624CF41E" w14:textId="77777777" w:rsidR="00D924EA" w:rsidRDefault="00011DE9">
      <w:pPr>
        <w:pStyle w:val="P68B1DB1-Normal29"/>
        <w:spacing w:before="120" w:after="240" w:line="240" w:lineRule="auto"/>
        <w:jc w:val="both"/>
        <w:rPr>
          <w:noProof/>
        </w:rPr>
      </w:pPr>
      <w:r>
        <w:rPr>
          <w:noProof/>
        </w:rPr>
        <w:t>Această reformă se finalizează până la 30 iunie 2022.</w:t>
      </w:r>
    </w:p>
    <w:p w14:paraId="3D3E0B33" w14:textId="77777777" w:rsidR="00D924EA" w:rsidRDefault="00011DE9">
      <w:pPr>
        <w:spacing w:before="120" w:after="120" w:line="240" w:lineRule="auto"/>
        <w:jc w:val="both"/>
        <w:rPr>
          <w:rFonts w:ascii="Times New Roman" w:hAnsi="Times New Roman"/>
          <w:noProof/>
        </w:rPr>
      </w:pPr>
      <w:r>
        <w:rPr>
          <w:noProof/>
        </w:rPr>
        <w:br w:type="page"/>
      </w:r>
      <w:r>
        <w:rPr>
          <w:rFonts w:ascii="Times New Roman" w:hAnsi="Times New Roman"/>
          <w:noProof/>
          <w:u w:val="single"/>
        </w:rPr>
        <w:t>Investiția 1 (C9.I1) – Schemă de sprijinire a hidrogenului din surse regenerabile, un proiect național</w:t>
      </w:r>
    </w:p>
    <w:p w14:paraId="10407760" w14:textId="77777777" w:rsidR="00D924EA" w:rsidRDefault="00011DE9">
      <w:pPr>
        <w:pStyle w:val="P68B1DB1-Normal29"/>
        <w:spacing w:before="120" w:after="120" w:line="240" w:lineRule="auto"/>
        <w:jc w:val="both"/>
        <w:rPr>
          <w:noProof/>
        </w:rPr>
      </w:pPr>
      <w:r>
        <w:rPr>
          <w:noProof/>
        </w:rPr>
        <w:t xml:space="preserve">Această măsură urmărește să contribuie la punerea în aplicare a foii de parcurs privind hidrogenul în patru direcții de acțiune. </w:t>
      </w:r>
    </w:p>
    <w:p w14:paraId="14305B2B" w14:textId="776C4071" w:rsidR="00D924EA" w:rsidRDefault="00011DE9">
      <w:pPr>
        <w:pStyle w:val="P68B1DB1-Normal29"/>
        <w:jc w:val="both"/>
        <w:rPr>
          <w:noProof/>
        </w:rPr>
      </w:pPr>
      <w:r>
        <w:rPr>
          <w:noProof/>
        </w:rPr>
        <w:t>Această măsură constă într-o investiție publică într-o schemă de sprijin care acoperă subvențiile pentru sprijinirea producției și a utilizării hidrogenului din surse regenerabile. Sistemul funcționează prin furnizarea de stimulente financiare prin acordarea de granturi. Pe baza investiției MRR, schema de sprijin urmărește să ofere inițial o finanțare de cel puțin 1 555 000 000 EUR. Schema este gestionată de „Instituto de Diversificación y Ahorro de la Energía” (IDAE) în calitate de partener de implementare.</w:t>
      </w:r>
    </w:p>
    <w:p w14:paraId="3E020E37" w14:textId="77777777" w:rsidR="00D924EA" w:rsidRDefault="00011DE9">
      <w:pPr>
        <w:pStyle w:val="P68B1DB1-Normal29"/>
        <w:jc w:val="both"/>
        <w:rPr>
          <w:noProof/>
        </w:rPr>
      </w:pPr>
      <w:r>
        <w:rPr>
          <w:noProof/>
        </w:rPr>
        <w:t xml:space="preserve">Pentru a implementa investiția în schemă, Spania adoptă unul sau mai multe instrumente juridice de instituire a schemei, care includ următoarele elemente: </w:t>
      </w:r>
    </w:p>
    <w:p w14:paraId="6FE82CEB" w14:textId="77777777" w:rsidR="00D924EA" w:rsidRDefault="00011DE9">
      <w:pPr>
        <w:pStyle w:val="P68B1DB1-ListParagraph34"/>
        <w:numPr>
          <w:ilvl w:val="0"/>
          <w:numId w:val="64"/>
        </w:numPr>
        <w:spacing w:line="259" w:lineRule="auto"/>
        <w:jc w:val="both"/>
        <w:rPr>
          <w:noProof/>
        </w:rPr>
      </w:pPr>
      <w:r>
        <w:rPr>
          <w:noProof/>
        </w:rPr>
        <w:t>Lista activităților eligibile pentru sprijin, care include toate elementele următoare, printre altele:</w:t>
      </w:r>
    </w:p>
    <w:p w14:paraId="39102483" w14:textId="77777777" w:rsidR="00D924EA" w:rsidRDefault="00011DE9">
      <w:pPr>
        <w:pStyle w:val="P68B1DB1-ListParagraph34"/>
        <w:numPr>
          <w:ilvl w:val="0"/>
          <w:numId w:val="65"/>
        </w:numPr>
        <w:spacing w:line="259" w:lineRule="auto"/>
        <w:jc w:val="both"/>
        <w:rPr>
          <w:noProof/>
        </w:rPr>
      </w:pPr>
      <w:r>
        <w:rPr>
          <w:noProof/>
        </w:rPr>
        <w:t xml:space="preserve">Sprijinirea, printre altele, a IMM-urilor pentru a consolida lanțul valoric spaniol existent prin consolidarea uneia sau mai multora dintre următoarele activități: capacitățile de producție, competențele, competitivitatea, transferul de cunoștințe și tehnologie și/sau dimensiunea internațională; </w:t>
      </w:r>
    </w:p>
    <w:p w14:paraId="3B559A38" w14:textId="77777777" w:rsidR="00D924EA" w:rsidRDefault="00011DE9">
      <w:pPr>
        <w:pStyle w:val="P68B1DB1-ListParagraph34"/>
        <w:numPr>
          <w:ilvl w:val="0"/>
          <w:numId w:val="65"/>
        </w:numPr>
        <w:spacing w:line="259" w:lineRule="auto"/>
        <w:jc w:val="both"/>
        <w:rPr>
          <w:noProof/>
        </w:rPr>
      </w:pPr>
      <w:r>
        <w:rPr>
          <w:noProof/>
        </w:rPr>
        <w:t>Sprijină evoluțiile tehnologice sau prototipurile (cum ar fi electrolizoarele, compresoarele, recipientele de stocare, pilele de combustie și sistemele de transport pe bază de H2), inclusiv „primele de acest tip”, pentru a sprijini validarea noilor proiecte sau prototipuri extinse asociate fie producției, logisticii de distribuție, fie consumului de hidrogen;</w:t>
      </w:r>
    </w:p>
    <w:p w14:paraId="5E0A2E02" w14:textId="77777777" w:rsidR="00D924EA" w:rsidRDefault="00011DE9">
      <w:pPr>
        <w:pStyle w:val="P68B1DB1-ListParagraph34"/>
        <w:numPr>
          <w:ilvl w:val="0"/>
          <w:numId w:val="65"/>
        </w:numPr>
        <w:spacing w:line="259" w:lineRule="auto"/>
        <w:jc w:val="both"/>
        <w:rPr>
          <w:noProof/>
        </w:rPr>
      </w:pPr>
      <w:r>
        <w:rPr>
          <w:noProof/>
        </w:rPr>
        <w:t>Sprijinirea intervențiilor care vizează îmbunătățirea instalațiilor de testare sau punerea în aplicare a unor noi linii de producție a tehnologiilor sau sistemelor generice esențiale în cadrul lanțului de aprovizionare cu hidrogen, cum ar fi electrolizoarele sau pilele de combustie. Acestea trebuie: I) îmbunătățirea instalațiilor sau a laboratoarelor de testare în domeniul C &amp; D &amp; I și/sau a echipamentelor aferente; sau ii) îmbunătățirea instalațiilor și/sau achiziționarea de echipamente noi (cum ar fi mașini-unelte) pentru fabricarea de sisteme, echipamente sau componente legate de hidrogen și de pilele de combustie;</w:t>
      </w:r>
    </w:p>
    <w:p w14:paraId="4793F07F" w14:textId="77777777" w:rsidR="00D924EA" w:rsidRDefault="00011DE9">
      <w:pPr>
        <w:pStyle w:val="P68B1DB1-ListParagraph34"/>
        <w:numPr>
          <w:ilvl w:val="0"/>
          <w:numId w:val="65"/>
        </w:numPr>
        <w:spacing w:line="259" w:lineRule="auto"/>
        <w:jc w:val="both"/>
        <w:rPr>
          <w:noProof/>
        </w:rPr>
      </w:pPr>
      <w:r>
        <w:rPr>
          <w:noProof/>
        </w:rPr>
        <w:t>Sprijin pentru înființarea de clustere de hidrogen din surse regenerabile care să integreze producția, prelucrarea și consumul la scară largă. Obiectivul a cel puțin unuia dintre aceste clustere este de a integra un electrolizor de hidrogen din surse regenerabile de mare capacitate care să furnizeze în mod direct hidrogen consumatorilor industriali locali. Electrolizorul este alimentat cu energie electrică din surse regenerabile. Hidrogenul generat rezultat este integrat în procesele industriale și în lanțurile de aprovizionare ale întreprinderilor (inclusiv adaptarea și transferul modelelor de afaceri de la consumul de hidrogen pe bază de combustibili fosili) pentru a înlocui cel puțin 5 % din consumul lor anual de hidrogen pe bază de combustibili fosili;</w:t>
      </w:r>
    </w:p>
    <w:p w14:paraId="117E15F3" w14:textId="77777777" w:rsidR="00D924EA" w:rsidRDefault="00011DE9">
      <w:pPr>
        <w:pStyle w:val="P68B1DB1-ListParagraph34"/>
        <w:numPr>
          <w:ilvl w:val="0"/>
          <w:numId w:val="65"/>
        </w:numPr>
        <w:spacing w:line="259" w:lineRule="auto"/>
        <w:jc w:val="both"/>
        <w:rPr>
          <w:noProof/>
        </w:rPr>
      </w:pPr>
      <w:r>
        <w:rPr>
          <w:noProof/>
        </w:rPr>
        <w:t>Sprijin pentru implementarea hidrogenului în cadrul proiectelor de pionierat cu o dimensiune mai mică decât clusterul. Acestea introduc hidrogenul din surse regenerabile dincolo de un singur nod industrial în sisteme energetice izolate care permit integrarea hidrogenului din surse regenerabile în domenii precum transporturile. Se preconizează că aceste intervenții vor include producția, distribuția și consumul de hidrogen din surse regenerabile, extinzând acoperirea în diferite sectoare și părți ale teritoriului spaniol;</w:t>
      </w:r>
    </w:p>
    <w:p w14:paraId="2D1CCEA4" w14:textId="77777777" w:rsidR="00D924EA" w:rsidRDefault="00011DE9">
      <w:pPr>
        <w:pStyle w:val="ListParagraph"/>
        <w:numPr>
          <w:ilvl w:val="0"/>
          <w:numId w:val="65"/>
        </w:numPr>
        <w:spacing w:line="259" w:lineRule="auto"/>
        <w:jc w:val="both"/>
        <w:rPr>
          <w:rFonts w:ascii="Times New Roman" w:hAnsi="Times New Roman"/>
          <w:noProof/>
        </w:rPr>
      </w:pPr>
      <w:r>
        <w:rPr>
          <w:rFonts w:ascii="Times New Roman" w:hAnsi="Times New Roman"/>
          <w:noProof/>
        </w:rPr>
        <w:t>Unele dintre întreprinderile sprijinite prin intermediul facilității pot deveni parte a unui PIIEC privind hidrogenul, împreună cu întreprinderi din alte state membre, bazându-se pe un cadru adecvat de colaborare în cadrul Uniunii pentru a integra lanțurile valorice naționale în vederea stimulării competitivității.</w:t>
      </w:r>
    </w:p>
    <w:p w14:paraId="4530285E" w14:textId="77777777" w:rsidR="00D924EA" w:rsidRDefault="00D924EA">
      <w:pPr>
        <w:pStyle w:val="ListParagraph"/>
        <w:jc w:val="both"/>
        <w:rPr>
          <w:rFonts w:ascii="Times New Roman" w:hAnsi="Times New Roman"/>
          <w:noProof/>
        </w:rPr>
      </w:pPr>
    </w:p>
    <w:p w14:paraId="6389803A" w14:textId="5997A161" w:rsidR="00D924EA" w:rsidRDefault="00011DE9">
      <w:pPr>
        <w:pStyle w:val="P68B1DB1-ListParagraph34"/>
        <w:numPr>
          <w:ilvl w:val="0"/>
          <w:numId w:val="64"/>
        </w:numPr>
        <w:spacing w:line="259" w:lineRule="auto"/>
        <w:jc w:val="both"/>
        <w:rPr>
          <w:noProof/>
        </w:rPr>
      </w:pPr>
      <w:r>
        <w:rPr>
          <w:noProof/>
        </w:rPr>
        <w:t xml:space="preserve">Descrierea procesului decizional al sistemului: Evaluarea cererilor și selectarea beneficiarilor care urmează să fie incluși în deciziile finale de atribuire sau în deciziile de investiții din cadrul schemei se iau de către un comitet de investiții sau de către un comitet de evaluare tehnică și se aprobă cu majoritatea voturilor membrilor independenți de guvern, ceea ce înseamnă că aceștia trebuie să fie fie membri ai personalului angajat de IDAE și/sau alți experți independenți. Deciziile finale de atribuire sau deciziile de investiții din cadrul schemei se limitează la aprobarea (fără modificări) sau la exercitarea unui drept de veto cu privire la o decizie de atribuire sau la o decizie de investiții propusă de comitetul de investiții sau de organul de conducere echivalent relevant. În cazul în care IDAE participă la oricare dintre cereri, iar bugetul pentru cererea respectivă este insuficient pentru a acoperi toate cererile primite, procesul de evaluare face obiectul unui audit extern, astfel cum se prevede în „Plan de Mitigación de Potenciales Conflictos de Interés en Sociedades Participadas” al IDAE. </w:t>
      </w:r>
    </w:p>
    <w:p w14:paraId="2D09285C" w14:textId="77777777" w:rsidR="00D924EA" w:rsidRDefault="00D924EA">
      <w:pPr>
        <w:pStyle w:val="ListParagraph"/>
        <w:ind w:left="360"/>
        <w:jc w:val="both"/>
        <w:rPr>
          <w:rFonts w:ascii="Times New Roman" w:hAnsi="Times New Roman"/>
          <w:noProof/>
        </w:rPr>
      </w:pPr>
    </w:p>
    <w:p w14:paraId="535E0B7E" w14:textId="709901FF" w:rsidR="00D924EA" w:rsidRDefault="00011DE9">
      <w:pPr>
        <w:pStyle w:val="ListParagraph"/>
        <w:numPr>
          <w:ilvl w:val="0"/>
          <w:numId w:val="64"/>
        </w:numPr>
        <w:spacing w:line="259" w:lineRule="auto"/>
        <w:jc w:val="both"/>
        <w:rPr>
          <w:rFonts w:ascii="Times New Roman" w:hAnsi="Times New Roman"/>
          <w:noProof/>
        </w:rPr>
      </w:pPr>
      <w:r>
        <w:rPr>
          <w:rFonts w:ascii="Times New Roman" w:hAnsi="Times New Roman"/>
          <w:noProof/>
        </w:rPr>
        <w:t>Cerința de a respecta principiul de „a nu prejudicia în mod semnificativ” în cadrul Mecanismului de redresare și reziliență, astfel cum se prevede în Orientările tehnice privind principiul de „a nu prejudicia în mod semnificativ” (2021/C58/01). În cazul sprijinului general pentru întreprinderi (inclusiv capital propriu și capital de risc), instrumentul (instrumentele) juridic (e) exclude (exclud) întreprinderile care acordă o atenție deosebită</w:t>
      </w:r>
      <w:r>
        <w:rPr>
          <w:rStyle w:val="FootnoteReference"/>
          <w:noProof/>
        </w:rPr>
        <w:footnoteReference w:id="15"/>
      </w:r>
      <w:r>
        <w:rPr>
          <w:rFonts w:ascii="Times New Roman" w:hAnsi="Times New Roman"/>
          <w:noProof/>
        </w:rPr>
        <w:t xml:space="preserve"> următoarelor sectoare: (I) producția de energie pe bază de combustibili fosili și activitățile conexe</w:t>
      </w:r>
      <w:r>
        <w:rPr>
          <w:rStyle w:val="FootnoteReference"/>
          <w:noProof/>
        </w:rPr>
        <w:footnoteReference w:id="16"/>
      </w:r>
      <w:r>
        <w:rPr>
          <w:rFonts w:ascii="Times New Roman" w:hAnsi="Times New Roman"/>
          <w:noProof/>
        </w:rPr>
        <w:t>; (II) industriile mari consumatoare de energie și/sau cu emisii ridicate de CO2</w:t>
      </w:r>
      <w:r>
        <w:rPr>
          <w:rStyle w:val="FootnoteReference"/>
          <w:noProof/>
        </w:rPr>
        <w:footnoteReference w:id="17"/>
      </w:r>
      <w:r>
        <w:rPr>
          <w:rFonts w:ascii="Times New Roman" w:hAnsi="Times New Roman"/>
          <w:noProof/>
        </w:rPr>
        <w:t>; (III) producția, închirierea sau vânzarea de vehicule poluante</w:t>
      </w:r>
      <w:r>
        <w:rPr>
          <w:rStyle w:val="FootnoteReference"/>
          <w:noProof/>
        </w:rPr>
        <w:footnoteReference w:id="18"/>
      </w:r>
      <w:r>
        <w:rPr>
          <w:rFonts w:ascii="Times New Roman" w:hAnsi="Times New Roman"/>
          <w:noProof/>
        </w:rPr>
        <w:t>; (IV) colectarea deșeurilor, tratarea și eliminarea deșeurilor</w:t>
      </w:r>
      <w:r>
        <w:rPr>
          <w:rStyle w:val="FootnoteReference"/>
          <w:noProof/>
        </w:rPr>
        <w:footnoteReference w:id="19"/>
      </w:r>
      <w:r>
        <w:rPr>
          <w:rFonts w:ascii="Times New Roman" w:hAnsi="Times New Roman"/>
          <w:noProof/>
        </w:rPr>
        <w:t>, (v) prelucrarea combustibilului nuclear, producția de energie nucleară. În plus, instrumentul (instrumentele) juridic (e) impune (impun) respectarea legislației UE și naționale relevante în materie de mediu de către beneficiarii finali ai sistemelor de subvenții.</w:t>
      </w:r>
    </w:p>
    <w:p w14:paraId="59EBB1D8" w14:textId="77777777" w:rsidR="00D924EA" w:rsidRDefault="00D924EA">
      <w:pPr>
        <w:pStyle w:val="ListParagraph"/>
        <w:ind w:left="360"/>
        <w:jc w:val="both"/>
        <w:rPr>
          <w:rFonts w:ascii="Times New Roman" w:hAnsi="Times New Roman"/>
          <w:noProof/>
        </w:rPr>
      </w:pPr>
    </w:p>
    <w:p w14:paraId="421299D7" w14:textId="79F1B196" w:rsidR="00D924EA" w:rsidRDefault="00011DE9">
      <w:pPr>
        <w:pStyle w:val="ListParagraph"/>
        <w:numPr>
          <w:ilvl w:val="0"/>
          <w:numId w:val="64"/>
        </w:numPr>
        <w:spacing w:line="259" w:lineRule="auto"/>
        <w:jc w:val="both"/>
        <w:rPr>
          <w:rFonts w:ascii="Times New Roman" w:hAnsi="Times New Roman"/>
          <w:noProof/>
        </w:rPr>
      </w:pPr>
      <w:r>
        <w:rPr>
          <w:rFonts w:ascii="Times New Roman" w:hAnsi="Times New Roman"/>
          <w:noProof/>
        </w:rPr>
        <w:t xml:space="preserve">Cerința ca beneficiarii finali ai schemei să nu primească sprijin din partea </w:t>
      </w:r>
      <w:r>
        <w:rPr>
          <w:noProof/>
        </w:rPr>
        <w:t>celorlalte</w:t>
      </w:r>
      <w:r>
        <w:rPr>
          <w:rFonts w:ascii="Times New Roman" w:hAnsi="Times New Roman"/>
          <w:noProof/>
        </w:rPr>
        <w:t xml:space="preserve"> instrumente ale Uniunii pentru a acoperi aceleași costuri.</w:t>
      </w:r>
    </w:p>
    <w:p w14:paraId="5EA495EF" w14:textId="77777777" w:rsidR="00D924EA" w:rsidRDefault="00D924EA">
      <w:pPr>
        <w:pStyle w:val="ListParagraph"/>
        <w:rPr>
          <w:rFonts w:ascii="Times New Roman" w:hAnsi="Times New Roman"/>
          <w:noProof/>
        </w:rPr>
      </w:pPr>
    </w:p>
    <w:p w14:paraId="6B18E0F1" w14:textId="66EB8355" w:rsidR="00D924EA" w:rsidRDefault="00011DE9">
      <w:pPr>
        <w:pStyle w:val="P68B1DB1-ListParagraph34"/>
        <w:numPr>
          <w:ilvl w:val="0"/>
          <w:numId w:val="64"/>
        </w:numPr>
        <w:spacing w:line="259" w:lineRule="auto"/>
        <w:jc w:val="both"/>
        <w:rPr>
          <w:noProof/>
        </w:rPr>
      </w:pPr>
      <w:r>
        <w:rPr>
          <w:noProof/>
        </w:rPr>
        <w:t xml:space="preserve">Suma acoperită de schemă și cerința de a reinvesti orice venituri neutilizate din schemă în activitățile enumerate mai sus, inclusiv după 2026. </w:t>
      </w:r>
    </w:p>
    <w:p w14:paraId="347A65B4" w14:textId="77777777" w:rsidR="00D924EA" w:rsidRDefault="00D924EA">
      <w:pPr>
        <w:pStyle w:val="ListParagraph"/>
        <w:ind w:left="360"/>
        <w:jc w:val="both"/>
        <w:rPr>
          <w:rFonts w:ascii="Times New Roman" w:hAnsi="Times New Roman"/>
          <w:noProof/>
        </w:rPr>
      </w:pPr>
    </w:p>
    <w:p w14:paraId="569C7073" w14:textId="0C1FF6B0" w:rsidR="00D924EA" w:rsidRDefault="00011DE9">
      <w:pPr>
        <w:pStyle w:val="ListParagraph"/>
        <w:numPr>
          <w:ilvl w:val="0"/>
          <w:numId w:val="64"/>
        </w:numPr>
        <w:spacing w:line="259" w:lineRule="auto"/>
        <w:jc w:val="both"/>
        <w:rPr>
          <w:rFonts w:ascii="Times New Roman" w:hAnsi="Times New Roman"/>
          <w:noProof/>
        </w:rPr>
      </w:pPr>
      <w:r>
        <w:rPr>
          <w:rFonts w:ascii="Times New Roman" w:hAnsi="Times New Roman"/>
          <w:noProof/>
        </w:rPr>
        <w:t>Cerințe de raportare pentru investițiile în domeniul climei pentru schema de subvenții</w:t>
      </w:r>
      <w:r>
        <w:rPr>
          <w:rStyle w:val="FootnoteReference"/>
          <w:noProof/>
        </w:rPr>
        <w:footnoteReference w:id="20"/>
      </w:r>
      <w:r>
        <w:rPr>
          <w:rFonts w:ascii="Times New Roman" w:hAnsi="Times New Roman"/>
          <w:noProof/>
        </w:rPr>
        <w:t>.</w:t>
      </w:r>
    </w:p>
    <w:p w14:paraId="7ABFBB0F" w14:textId="41648196" w:rsidR="00D924EA" w:rsidRDefault="00D924EA">
      <w:pPr>
        <w:spacing w:before="120" w:after="120" w:line="240" w:lineRule="auto"/>
        <w:jc w:val="both"/>
        <w:rPr>
          <w:rFonts w:ascii="Times New Roman" w:hAnsi="Times New Roman"/>
          <w:noProof/>
        </w:rPr>
      </w:pPr>
    </w:p>
    <w:p w14:paraId="28783339" w14:textId="5B5A9D7D" w:rsidR="00D924EA" w:rsidRDefault="00011DE9">
      <w:pPr>
        <w:spacing w:before="120" w:after="120" w:line="240" w:lineRule="auto"/>
        <w:ind w:left="709"/>
        <w:jc w:val="both"/>
        <w:rPr>
          <w:rFonts w:ascii="Times New Roman" w:hAnsi="Times New Roman"/>
          <w:b/>
          <w:noProof/>
          <w:u w:val="single"/>
        </w:rPr>
      </w:pPr>
      <w:r>
        <w:rPr>
          <w:rFonts w:ascii="Times New Roman" w:hAnsi="Times New Roman"/>
          <w:b/>
          <w:noProof/>
          <w:u w:val="single"/>
        </w:rPr>
        <w:t>I.2.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2651E674" w14:textId="77777777" w:rsidR="00D924EA" w:rsidRDefault="00011DE9">
      <w:pPr>
        <w:pStyle w:val="P68B1DB1-Normal29"/>
        <w:spacing w:before="120" w:after="120" w:line="240" w:lineRule="auto"/>
        <w:jc w:val="both"/>
        <w:rPr>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2F02B454" w14:textId="77777777" w:rsidR="00D924EA" w:rsidRDefault="00D924EA">
      <w:pPr>
        <w:spacing w:before="120" w:after="120" w:line="240" w:lineRule="auto"/>
        <w:ind w:left="709"/>
        <w:jc w:val="both"/>
        <w:rPr>
          <w:rFonts w:ascii="Times New Roman" w:hAnsi="Times New Roman"/>
          <w:noProof/>
        </w:rPr>
        <w:sectPr w:rsidR="00D924EA" w:rsidSect="00B528FB">
          <w:headerReference w:type="even" r:id="rId124"/>
          <w:headerReference w:type="default" r:id="rId125"/>
          <w:footerReference w:type="even" r:id="rId126"/>
          <w:footerReference w:type="default" r:id="rId127"/>
          <w:headerReference w:type="first" r:id="rId128"/>
          <w:footerReference w:type="first" r:id="rId129"/>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828"/>
        <w:gridCol w:w="1192"/>
        <w:gridCol w:w="1276"/>
        <w:gridCol w:w="708"/>
        <w:gridCol w:w="1134"/>
        <w:gridCol w:w="797"/>
        <w:gridCol w:w="415"/>
        <w:gridCol w:w="553"/>
        <w:gridCol w:w="6888"/>
      </w:tblGrid>
      <w:tr w:rsidR="00D924EA" w14:paraId="6990D594" w14:textId="77777777" w:rsidTr="0042520D">
        <w:trPr>
          <w:trHeight w:val="309"/>
          <w:tblHeader/>
          <w:jc w:val="center"/>
        </w:trPr>
        <w:tc>
          <w:tcPr>
            <w:tcW w:w="832" w:type="dxa"/>
            <w:vMerge w:val="restart"/>
            <w:shd w:val="clear" w:color="auto" w:fill="C6D9F1"/>
            <w:noWrap/>
            <w:vAlign w:val="center"/>
          </w:tcPr>
          <w:p w14:paraId="15CCB93C" w14:textId="77777777" w:rsidR="00D924EA" w:rsidRDefault="00011DE9">
            <w:pPr>
              <w:pStyle w:val="P68B1DB1-Normal28"/>
              <w:spacing w:after="0" w:line="240" w:lineRule="auto"/>
              <w:jc w:val="center"/>
              <w:rPr>
                <w:noProof/>
              </w:rPr>
            </w:pPr>
            <w:r>
              <w:rPr>
                <w:noProof/>
              </w:rPr>
              <w:t>Număr</w:t>
            </w:r>
          </w:p>
        </w:tc>
        <w:tc>
          <w:tcPr>
            <w:tcW w:w="829" w:type="dxa"/>
            <w:vMerge w:val="restart"/>
            <w:shd w:val="clear" w:color="auto" w:fill="C6D9F1"/>
            <w:noWrap/>
            <w:vAlign w:val="center"/>
          </w:tcPr>
          <w:p w14:paraId="69EAE78B" w14:textId="77777777" w:rsidR="00D924EA" w:rsidRDefault="00011DE9">
            <w:pPr>
              <w:pStyle w:val="P68B1DB1-Normal28"/>
              <w:spacing w:after="0" w:line="240" w:lineRule="auto"/>
              <w:jc w:val="center"/>
              <w:rPr>
                <w:noProof/>
              </w:rPr>
            </w:pPr>
            <w:r>
              <w:rPr>
                <w:noProof/>
              </w:rPr>
              <w:t>Măsură</w:t>
            </w:r>
          </w:p>
        </w:tc>
        <w:tc>
          <w:tcPr>
            <w:tcW w:w="828" w:type="dxa"/>
            <w:vMerge w:val="restart"/>
            <w:shd w:val="clear" w:color="auto" w:fill="C6D9F1"/>
            <w:noWrap/>
            <w:vAlign w:val="center"/>
          </w:tcPr>
          <w:p w14:paraId="73C1BAE6" w14:textId="6914EAE9" w:rsidR="00D924EA" w:rsidRDefault="00011DE9">
            <w:pPr>
              <w:spacing w:after="0" w:line="240" w:lineRule="auto"/>
              <w:jc w:val="center"/>
              <w:rPr>
                <w:rFonts w:ascii="Times New Roman" w:hAnsi="Times New Roman"/>
                <w:b/>
                <w:noProof/>
                <w:sz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1192" w:type="dxa"/>
            <w:vMerge w:val="restart"/>
            <w:shd w:val="clear" w:color="auto" w:fill="C6D9F1"/>
            <w:noWrap/>
            <w:vAlign w:val="center"/>
          </w:tcPr>
          <w:p w14:paraId="6A2C0FF9" w14:textId="77777777" w:rsidR="00D924EA" w:rsidRDefault="00011DE9">
            <w:pPr>
              <w:pStyle w:val="P68B1DB1-Normal28"/>
              <w:spacing w:after="0" w:line="240" w:lineRule="auto"/>
              <w:jc w:val="center"/>
              <w:rPr>
                <w:noProof/>
              </w:rPr>
            </w:pPr>
            <w:r>
              <w:rPr>
                <w:noProof/>
              </w:rPr>
              <w:t>Nume</w:t>
            </w:r>
          </w:p>
        </w:tc>
        <w:tc>
          <w:tcPr>
            <w:tcW w:w="1276" w:type="dxa"/>
            <w:vMerge w:val="restart"/>
            <w:shd w:val="clear" w:color="auto" w:fill="C6D9F1"/>
            <w:noWrap/>
            <w:vAlign w:val="center"/>
          </w:tcPr>
          <w:p w14:paraId="376DBE91" w14:textId="77777777" w:rsidR="00D924EA" w:rsidRDefault="00011DE9">
            <w:pPr>
              <w:pStyle w:val="P68B1DB1-Normal28"/>
              <w:spacing w:after="0" w:line="240" w:lineRule="auto"/>
              <w:jc w:val="center"/>
              <w:rPr>
                <w:noProof/>
              </w:rPr>
            </w:pPr>
            <w:r>
              <w:rPr>
                <w:noProof/>
              </w:rPr>
              <w:t>Indicator calitativ pentru jaloane</w:t>
            </w:r>
          </w:p>
        </w:tc>
        <w:tc>
          <w:tcPr>
            <w:tcW w:w="2639" w:type="dxa"/>
            <w:gridSpan w:val="3"/>
            <w:shd w:val="clear" w:color="auto" w:fill="C6D9F1"/>
            <w:noWrap/>
            <w:vAlign w:val="center"/>
          </w:tcPr>
          <w:p w14:paraId="083484DD" w14:textId="77777777" w:rsidR="00D924EA" w:rsidRDefault="00011DE9">
            <w:pPr>
              <w:pStyle w:val="P68B1DB1-Normal28"/>
              <w:spacing w:after="0" w:line="240" w:lineRule="auto"/>
              <w:jc w:val="center"/>
              <w:rPr>
                <w:noProof/>
              </w:rPr>
            </w:pPr>
            <w:r>
              <w:rPr>
                <w:noProof/>
              </w:rPr>
              <w:t>Indicator cantitativ pentru ținte</w:t>
            </w:r>
          </w:p>
        </w:tc>
        <w:tc>
          <w:tcPr>
            <w:tcW w:w="968" w:type="dxa"/>
            <w:gridSpan w:val="2"/>
            <w:shd w:val="clear" w:color="auto" w:fill="C6D9F1"/>
            <w:noWrap/>
            <w:vAlign w:val="center"/>
          </w:tcPr>
          <w:p w14:paraId="61D9D100" w14:textId="77777777" w:rsidR="00D924EA" w:rsidRDefault="00011DE9">
            <w:pPr>
              <w:pStyle w:val="P68B1DB1-Normal28"/>
              <w:spacing w:after="0" w:line="240" w:lineRule="auto"/>
              <w:jc w:val="center"/>
              <w:rPr>
                <w:noProof/>
              </w:rPr>
            </w:pPr>
            <w:r>
              <w:rPr>
                <w:noProof/>
              </w:rPr>
              <w:t>Timp</w:t>
            </w:r>
          </w:p>
        </w:tc>
        <w:tc>
          <w:tcPr>
            <w:tcW w:w="6888" w:type="dxa"/>
            <w:vMerge w:val="restart"/>
            <w:shd w:val="clear" w:color="auto" w:fill="C6D9F1"/>
            <w:noWrap/>
            <w:vAlign w:val="center"/>
          </w:tcPr>
          <w:p w14:paraId="7C33C81C" w14:textId="77777777" w:rsidR="00D924EA" w:rsidRDefault="00011DE9">
            <w:pPr>
              <w:pStyle w:val="P68B1DB1-Normal28"/>
              <w:spacing w:after="0" w:line="240" w:lineRule="auto"/>
              <w:jc w:val="center"/>
              <w:rPr>
                <w:noProof/>
              </w:rPr>
            </w:pPr>
            <w:r>
              <w:rPr>
                <w:noProof/>
              </w:rPr>
              <w:t>Descrierea fiecărui jalon și a fiecărei ținte</w:t>
            </w:r>
          </w:p>
        </w:tc>
      </w:tr>
      <w:tr w:rsidR="00D924EA" w14:paraId="259FCA83" w14:textId="77777777" w:rsidTr="0042520D">
        <w:trPr>
          <w:trHeight w:val="309"/>
          <w:tblHeader/>
          <w:jc w:val="center"/>
        </w:trPr>
        <w:tc>
          <w:tcPr>
            <w:tcW w:w="832" w:type="dxa"/>
            <w:vMerge/>
            <w:noWrap/>
          </w:tcPr>
          <w:p w14:paraId="745E6EE5" w14:textId="77777777" w:rsidR="00D924EA" w:rsidRDefault="00D924EA">
            <w:pPr>
              <w:spacing w:after="0" w:line="240" w:lineRule="auto"/>
              <w:jc w:val="center"/>
              <w:rPr>
                <w:rFonts w:ascii="Times New Roman" w:hAnsi="Times New Roman"/>
                <w:b/>
                <w:noProof/>
                <w:sz w:val="18"/>
              </w:rPr>
            </w:pPr>
          </w:p>
        </w:tc>
        <w:tc>
          <w:tcPr>
            <w:tcW w:w="829" w:type="dxa"/>
            <w:vMerge/>
            <w:noWrap/>
          </w:tcPr>
          <w:p w14:paraId="65D1491D" w14:textId="77777777" w:rsidR="00D924EA" w:rsidRDefault="00D924EA">
            <w:pPr>
              <w:spacing w:after="0" w:line="240" w:lineRule="auto"/>
              <w:jc w:val="center"/>
              <w:rPr>
                <w:rFonts w:ascii="Times New Roman" w:hAnsi="Times New Roman"/>
                <w:b/>
                <w:noProof/>
                <w:sz w:val="18"/>
              </w:rPr>
            </w:pPr>
          </w:p>
        </w:tc>
        <w:tc>
          <w:tcPr>
            <w:tcW w:w="828" w:type="dxa"/>
            <w:vMerge/>
            <w:noWrap/>
          </w:tcPr>
          <w:p w14:paraId="28EEDC8A" w14:textId="77777777" w:rsidR="00D924EA" w:rsidRDefault="00D924EA">
            <w:pPr>
              <w:spacing w:after="0" w:line="240" w:lineRule="auto"/>
              <w:jc w:val="center"/>
              <w:rPr>
                <w:rFonts w:ascii="Times New Roman" w:hAnsi="Times New Roman"/>
                <w:b/>
                <w:noProof/>
                <w:sz w:val="18"/>
              </w:rPr>
            </w:pPr>
          </w:p>
        </w:tc>
        <w:tc>
          <w:tcPr>
            <w:tcW w:w="1192" w:type="dxa"/>
            <w:vMerge/>
            <w:noWrap/>
          </w:tcPr>
          <w:p w14:paraId="6E8F6F66" w14:textId="77777777" w:rsidR="00D924EA" w:rsidRDefault="00D924EA">
            <w:pPr>
              <w:spacing w:after="0" w:line="240" w:lineRule="auto"/>
              <w:rPr>
                <w:rFonts w:ascii="Times New Roman" w:hAnsi="Times New Roman"/>
                <w:b/>
                <w:noProof/>
                <w:sz w:val="18"/>
              </w:rPr>
            </w:pPr>
          </w:p>
        </w:tc>
        <w:tc>
          <w:tcPr>
            <w:tcW w:w="1276" w:type="dxa"/>
            <w:vMerge/>
            <w:noWrap/>
          </w:tcPr>
          <w:p w14:paraId="0FB19105" w14:textId="77777777" w:rsidR="00D924EA" w:rsidRDefault="00D924EA">
            <w:pPr>
              <w:spacing w:after="0" w:line="240" w:lineRule="auto"/>
              <w:jc w:val="center"/>
              <w:rPr>
                <w:rFonts w:ascii="Times New Roman" w:hAnsi="Times New Roman"/>
                <w:b/>
                <w:noProof/>
                <w:sz w:val="18"/>
              </w:rPr>
            </w:pPr>
          </w:p>
        </w:tc>
        <w:tc>
          <w:tcPr>
            <w:tcW w:w="708" w:type="dxa"/>
            <w:shd w:val="clear" w:color="auto" w:fill="C6D9F1"/>
            <w:noWrap/>
            <w:vAlign w:val="center"/>
          </w:tcPr>
          <w:p w14:paraId="2A153520" w14:textId="77777777" w:rsidR="00D924EA" w:rsidRDefault="00011DE9">
            <w:pPr>
              <w:pStyle w:val="P68B1DB1-Normal28"/>
              <w:spacing w:after="0" w:line="240" w:lineRule="auto"/>
              <w:jc w:val="center"/>
              <w:rPr>
                <w:noProof/>
              </w:rPr>
            </w:pPr>
            <w:r>
              <w:rPr>
                <w:noProof/>
              </w:rPr>
              <w:t>Unitate</w:t>
            </w:r>
          </w:p>
        </w:tc>
        <w:tc>
          <w:tcPr>
            <w:tcW w:w="1134" w:type="dxa"/>
            <w:shd w:val="clear" w:color="auto" w:fill="C6D9F1"/>
            <w:noWrap/>
            <w:vAlign w:val="center"/>
          </w:tcPr>
          <w:p w14:paraId="0AA3CAF8" w14:textId="77777777" w:rsidR="00D924EA" w:rsidRDefault="00011DE9">
            <w:pPr>
              <w:pStyle w:val="P68B1DB1-Normal28"/>
              <w:spacing w:after="0" w:line="240" w:lineRule="auto"/>
              <w:jc w:val="center"/>
              <w:rPr>
                <w:noProof/>
              </w:rPr>
            </w:pPr>
            <w:r>
              <w:rPr>
                <w:noProof/>
              </w:rPr>
              <w:t>Situația de referință</w:t>
            </w:r>
          </w:p>
        </w:tc>
        <w:tc>
          <w:tcPr>
            <w:tcW w:w="797" w:type="dxa"/>
            <w:shd w:val="clear" w:color="auto" w:fill="C6D9F1"/>
            <w:noWrap/>
            <w:vAlign w:val="center"/>
          </w:tcPr>
          <w:p w14:paraId="48AE445D" w14:textId="77777777" w:rsidR="00D924EA" w:rsidRDefault="00011DE9">
            <w:pPr>
              <w:pStyle w:val="P68B1DB1-Normal28"/>
              <w:spacing w:after="0" w:line="240" w:lineRule="auto"/>
              <w:jc w:val="center"/>
              <w:rPr>
                <w:noProof/>
              </w:rPr>
            </w:pPr>
            <w:r>
              <w:rPr>
                <w:noProof/>
              </w:rPr>
              <w:t>Obiectiv</w:t>
            </w:r>
          </w:p>
        </w:tc>
        <w:tc>
          <w:tcPr>
            <w:tcW w:w="415" w:type="dxa"/>
            <w:shd w:val="clear" w:color="auto" w:fill="C6D9F1"/>
            <w:noWrap/>
            <w:vAlign w:val="center"/>
          </w:tcPr>
          <w:p w14:paraId="60818D6F" w14:textId="2881328E" w:rsidR="00D924EA" w:rsidRDefault="0042520D">
            <w:pPr>
              <w:pStyle w:val="P68B1DB1-Normal28"/>
              <w:spacing w:after="0" w:line="240" w:lineRule="auto"/>
              <w:jc w:val="center"/>
              <w:rPr>
                <w:noProof/>
              </w:rPr>
            </w:pPr>
            <w:r>
              <w:rPr>
                <w:noProof/>
              </w:rPr>
              <w:t>T</w:t>
            </w:r>
          </w:p>
        </w:tc>
        <w:tc>
          <w:tcPr>
            <w:tcW w:w="553" w:type="dxa"/>
            <w:shd w:val="clear" w:color="auto" w:fill="C6D9F1"/>
            <w:noWrap/>
            <w:vAlign w:val="center"/>
          </w:tcPr>
          <w:p w14:paraId="651BB982" w14:textId="77777777" w:rsidR="00D924EA" w:rsidRDefault="00011DE9">
            <w:pPr>
              <w:pStyle w:val="P68B1DB1-Normal28"/>
              <w:spacing w:after="0" w:line="240" w:lineRule="auto"/>
              <w:jc w:val="center"/>
              <w:rPr>
                <w:noProof/>
              </w:rPr>
            </w:pPr>
            <w:r>
              <w:rPr>
                <w:noProof/>
              </w:rPr>
              <w:t>Anul</w:t>
            </w:r>
          </w:p>
        </w:tc>
        <w:tc>
          <w:tcPr>
            <w:tcW w:w="6888" w:type="dxa"/>
            <w:vMerge/>
            <w:noWrap/>
          </w:tcPr>
          <w:p w14:paraId="73A8966D" w14:textId="77777777" w:rsidR="00D924EA" w:rsidRDefault="00D924EA">
            <w:pPr>
              <w:spacing w:after="0" w:line="240" w:lineRule="auto"/>
              <w:rPr>
                <w:rFonts w:ascii="Times New Roman" w:hAnsi="Times New Roman"/>
                <w:b/>
                <w:noProof/>
                <w:sz w:val="18"/>
              </w:rPr>
            </w:pPr>
          </w:p>
        </w:tc>
      </w:tr>
      <w:tr w:rsidR="00D924EA" w14:paraId="485565C9" w14:textId="77777777" w:rsidTr="0042520D">
        <w:trPr>
          <w:trHeight w:val="309"/>
          <w:jc w:val="center"/>
        </w:trPr>
        <w:tc>
          <w:tcPr>
            <w:tcW w:w="832" w:type="dxa"/>
            <w:shd w:val="clear" w:color="auto" w:fill="C6EFCE"/>
            <w:noWrap/>
          </w:tcPr>
          <w:p w14:paraId="7E28C141" w14:textId="77777777" w:rsidR="00D924EA" w:rsidRDefault="00011DE9">
            <w:pPr>
              <w:pStyle w:val="P68B1DB1-Normal23"/>
              <w:spacing w:after="0" w:line="240" w:lineRule="auto"/>
              <w:jc w:val="center"/>
              <w:rPr>
                <w:noProof/>
              </w:rPr>
            </w:pPr>
            <w:r>
              <w:rPr>
                <w:noProof/>
              </w:rPr>
              <w:t>129</w:t>
            </w:r>
          </w:p>
        </w:tc>
        <w:tc>
          <w:tcPr>
            <w:tcW w:w="829" w:type="dxa"/>
            <w:shd w:val="clear" w:color="auto" w:fill="C6EFCE"/>
            <w:noWrap/>
          </w:tcPr>
          <w:p w14:paraId="7C8AC742" w14:textId="77777777" w:rsidR="00D924EA" w:rsidRDefault="00011DE9">
            <w:pPr>
              <w:pStyle w:val="P68B1DB1-Normal23"/>
              <w:spacing w:after="0" w:line="240" w:lineRule="auto"/>
              <w:jc w:val="center"/>
              <w:rPr>
                <w:noProof/>
              </w:rPr>
            </w:pPr>
            <w:r>
              <w:rPr>
                <w:noProof/>
              </w:rPr>
              <w:t>C9.R1</w:t>
            </w:r>
          </w:p>
        </w:tc>
        <w:tc>
          <w:tcPr>
            <w:tcW w:w="828" w:type="dxa"/>
            <w:shd w:val="clear" w:color="auto" w:fill="C6EFCE"/>
            <w:noWrap/>
          </w:tcPr>
          <w:p w14:paraId="730B1780" w14:textId="77777777" w:rsidR="00D924EA" w:rsidRDefault="00011DE9">
            <w:pPr>
              <w:pStyle w:val="P68B1DB1-Normal23"/>
              <w:spacing w:after="0" w:line="240" w:lineRule="auto"/>
              <w:jc w:val="center"/>
              <w:rPr>
                <w:noProof/>
              </w:rPr>
            </w:pPr>
            <w:r>
              <w:rPr>
                <w:noProof/>
              </w:rPr>
              <w:t>M</w:t>
            </w:r>
          </w:p>
        </w:tc>
        <w:tc>
          <w:tcPr>
            <w:tcW w:w="1192" w:type="dxa"/>
            <w:shd w:val="clear" w:color="auto" w:fill="C6EFCE"/>
            <w:noWrap/>
          </w:tcPr>
          <w:p w14:paraId="0B917254" w14:textId="77777777" w:rsidR="00D924EA" w:rsidRDefault="00011DE9">
            <w:pPr>
              <w:pStyle w:val="P68B1DB1-Normal23"/>
              <w:spacing w:after="0" w:line="240" w:lineRule="auto"/>
              <w:rPr>
                <w:noProof/>
              </w:rPr>
            </w:pPr>
            <w:r>
              <w:rPr>
                <w:noProof/>
              </w:rPr>
              <w:t xml:space="preserve">Foaie de parcurs privind hidrogenul </w:t>
            </w:r>
          </w:p>
        </w:tc>
        <w:tc>
          <w:tcPr>
            <w:tcW w:w="1276" w:type="dxa"/>
            <w:shd w:val="clear" w:color="auto" w:fill="C6EFCE"/>
            <w:noWrap/>
          </w:tcPr>
          <w:p w14:paraId="65DBB87C" w14:textId="77777777" w:rsidR="00D924EA" w:rsidRDefault="00011DE9">
            <w:pPr>
              <w:pStyle w:val="P68B1DB1-Normal23"/>
              <w:spacing w:after="0" w:line="240" w:lineRule="auto"/>
              <w:jc w:val="center"/>
              <w:rPr>
                <w:noProof/>
              </w:rPr>
            </w:pPr>
            <w:r>
              <w:rPr>
                <w:noProof/>
              </w:rPr>
              <w:t>Aprobarea de către Consiliul de Miniștri</w:t>
            </w:r>
          </w:p>
        </w:tc>
        <w:tc>
          <w:tcPr>
            <w:tcW w:w="708" w:type="dxa"/>
            <w:shd w:val="clear" w:color="auto" w:fill="C6EFCE"/>
            <w:noWrap/>
          </w:tcPr>
          <w:p w14:paraId="39416130" w14:textId="77777777" w:rsidR="00D924EA" w:rsidRDefault="00011DE9">
            <w:pPr>
              <w:pStyle w:val="P68B1DB1-Normal23"/>
              <w:spacing w:after="0" w:line="240" w:lineRule="auto"/>
              <w:jc w:val="right"/>
              <w:rPr>
                <w:noProof/>
              </w:rPr>
            </w:pPr>
            <w:r>
              <w:rPr>
                <w:noProof/>
              </w:rPr>
              <w:t xml:space="preserve"> </w:t>
            </w:r>
          </w:p>
        </w:tc>
        <w:tc>
          <w:tcPr>
            <w:tcW w:w="1134" w:type="dxa"/>
            <w:shd w:val="clear" w:color="auto" w:fill="C6EFCE"/>
            <w:noWrap/>
          </w:tcPr>
          <w:p w14:paraId="1C3A36BF" w14:textId="77777777" w:rsidR="00D924EA" w:rsidRDefault="00011DE9">
            <w:pPr>
              <w:pStyle w:val="P68B1DB1-Normal23"/>
              <w:spacing w:after="0" w:line="240" w:lineRule="auto"/>
              <w:jc w:val="right"/>
              <w:rPr>
                <w:noProof/>
              </w:rPr>
            </w:pPr>
            <w:r>
              <w:rPr>
                <w:noProof/>
              </w:rPr>
              <w:t xml:space="preserve"> </w:t>
            </w:r>
          </w:p>
        </w:tc>
        <w:tc>
          <w:tcPr>
            <w:tcW w:w="797" w:type="dxa"/>
            <w:shd w:val="clear" w:color="auto" w:fill="C6EFCE"/>
            <w:noWrap/>
          </w:tcPr>
          <w:p w14:paraId="0052FBBB" w14:textId="77777777" w:rsidR="00D924EA" w:rsidRDefault="00011DE9">
            <w:pPr>
              <w:pStyle w:val="P68B1DB1-Normal23"/>
              <w:spacing w:after="0" w:line="240" w:lineRule="auto"/>
              <w:jc w:val="right"/>
              <w:rPr>
                <w:noProof/>
              </w:rPr>
            </w:pPr>
            <w:r>
              <w:rPr>
                <w:noProof/>
              </w:rPr>
              <w:t xml:space="preserve"> </w:t>
            </w:r>
          </w:p>
        </w:tc>
        <w:tc>
          <w:tcPr>
            <w:tcW w:w="415" w:type="dxa"/>
            <w:shd w:val="clear" w:color="auto" w:fill="C6EFCE"/>
            <w:noWrap/>
          </w:tcPr>
          <w:p w14:paraId="0A8FED35" w14:textId="6471CDAF" w:rsidR="00D924EA" w:rsidRDefault="005701C9">
            <w:pPr>
              <w:pStyle w:val="P68B1DB1-Normal23"/>
              <w:spacing w:after="0" w:line="240" w:lineRule="auto"/>
              <w:jc w:val="center"/>
              <w:rPr>
                <w:noProof/>
              </w:rPr>
            </w:pPr>
            <w:r>
              <w:rPr>
                <w:noProof/>
              </w:rPr>
              <w:t>T4</w:t>
            </w:r>
          </w:p>
        </w:tc>
        <w:tc>
          <w:tcPr>
            <w:tcW w:w="553" w:type="dxa"/>
            <w:shd w:val="clear" w:color="auto" w:fill="C6EFCE"/>
            <w:noWrap/>
          </w:tcPr>
          <w:p w14:paraId="4E8BCD8A" w14:textId="77777777" w:rsidR="00D924EA" w:rsidRDefault="00011DE9">
            <w:pPr>
              <w:pStyle w:val="P68B1DB1-Normal23"/>
              <w:spacing w:after="0" w:line="240" w:lineRule="auto"/>
              <w:jc w:val="center"/>
              <w:rPr>
                <w:noProof/>
              </w:rPr>
            </w:pPr>
            <w:r>
              <w:rPr>
                <w:noProof/>
              </w:rPr>
              <w:t>2020</w:t>
            </w:r>
          </w:p>
        </w:tc>
        <w:tc>
          <w:tcPr>
            <w:tcW w:w="6888" w:type="dxa"/>
            <w:shd w:val="clear" w:color="auto" w:fill="C6EFCE"/>
            <w:noWrap/>
          </w:tcPr>
          <w:p w14:paraId="645913B1" w14:textId="77777777" w:rsidR="00D924EA" w:rsidRDefault="00011DE9">
            <w:pPr>
              <w:pStyle w:val="P68B1DB1-Normal23"/>
              <w:spacing w:after="0" w:line="240" w:lineRule="auto"/>
              <w:jc w:val="both"/>
              <w:rPr>
                <w:noProof/>
              </w:rPr>
            </w:pPr>
            <w:r>
              <w:rPr>
                <w:noProof/>
              </w:rPr>
              <w:t>Aprobarea foii de parcurs privind hidrogenul de către Consiliul de Miniștri. Foaia de parcurs privind hidrogenul stabilește orientările definite de Spania pentru dezvoltarea sectorului hidrogenului din surse regenerabile. În acest scop, acesta identifică obiectivele care trebuie atinse în ceea ce privește capacitatea instalată, industria și mobilitatea până în 2030.</w:t>
            </w:r>
          </w:p>
        </w:tc>
      </w:tr>
      <w:tr w:rsidR="00D924EA" w14:paraId="7DE268FD" w14:textId="77777777" w:rsidTr="0042520D">
        <w:trPr>
          <w:trHeight w:val="309"/>
          <w:jc w:val="center"/>
        </w:trPr>
        <w:tc>
          <w:tcPr>
            <w:tcW w:w="832" w:type="dxa"/>
            <w:shd w:val="clear" w:color="auto" w:fill="C6EFCE"/>
            <w:noWrap/>
          </w:tcPr>
          <w:p w14:paraId="0F2EACDC" w14:textId="77777777" w:rsidR="00D924EA" w:rsidRDefault="00011DE9">
            <w:pPr>
              <w:pStyle w:val="P68B1DB1-Normal23"/>
              <w:spacing w:after="0" w:line="240" w:lineRule="auto"/>
              <w:jc w:val="center"/>
              <w:rPr>
                <w:noProof/>
              </w:rPr>
            </w:pPr>
            <w:r>
              <w:rPr>
                <w:noProof/>
              </w:rPr>
              <w:t>130</w:t>
            </w:r>
          </w:p>
        </w:tc>
        <w:tc>
          <w:tcPr>
            <w:tcW w:w="829" w:type="dxa"/>
            <w:shd w:val="clear" w:color="auto" w:fill="C6EFCE"/>
            <w:noWrap/>
          </w:tcPr>
          <w:p w14:paraId="0CAA296D" w14:textId="77777777" w:rsidR="00D924EA" w:rsidRDefault="00011DE9">
            <w:pPr>
              <w:pStyle w:val="P68B1DB1-Normal23"/>
              <w:spacing w:after="0" w:line="240" w:lineRule="auto"/>
              <w:jc w:val="center"/>
              <w:rPr>
                <w:noProof/>
              </w:rPr>
            </w:pPr>
            <w:r>
              <w:rPr>
                <w:noProof/>
              </w:rPr>
              <w:t>C9.R1</w:t>
            </w:r>
          </w:p>
        </w:tc>
        <w:tc>
          <w:tcPr>
            <w:tcW w:w="828" w:type="dxa"/>
            <w:shd w:val="clear" w:color="auto" w:fill="C6EFCE"/>
            <w:noWrap/>
          </w:tcPr>
          <w:p w14:paraId="7703E23B" w14:textId="77777777" w:rsidR="00D924EA" w:rsidRDefault="00011DE9">
            <w:pPr>
              <w:pStyle w:val="P68B1DB1-Normal23"/>
              <w:spacing w:after="0" w:line="240" w:lineRule="auto"/>
              <w:jc w:val="center"/>
              <w:rPr>
                <w:noProof/>
              </w:rPr>
            </w:pPr>
            <w:r>
              <w:rPr>
                <w:noProof/>
              </w:rPr>
              <w:t>M</w:t>
            </w:r>
          </w:p>
        </w:tc>
        <w:tc>
          <w:tcPr>
            <w:tcW w:w="1192" w:type="dxa"/>
            <w:shd w:val="clear" w:color="auto" w:fill="C6EFCE"/>
            <w:noWrap/>
          </w:tcPr>
          <w:p w14:paraId="6B0AF501" w14:textId="77777777" w:rsidR="00D924EA" w:rsidRDefault="00011DE9">
            <w:pPr>
              <w:pStyle w:val="P68B1DB1-Normal23"/>
              <w:spacing w:after="0" w:line="240" w:lineRule="auto"/>
              <w:rPr>
                <w:noProof/>
              </w:rPr>
            </w:pPr>
            <w:r>
              <w:rPr>
                <w:noProof/>
              </w:rPr>
              <w:t>Intrarea în vigoare a regulamentului de stabilire a garanțiilor de origine pentru gazele din surse regenerabile</w:t>
            </w:r>
          </w:p>
        </w:tc>
        <w:tc>
          <w:tcPr>
            <w:tcW w:w="1276" w:type="dxa"/>
            <w:shd w:val="clear" w:color="auto" w:fill="C6EFCE"/>
            <w:noWrap/>
          </w:tcPr>
          <w:p w14:paraId="1E662612" w14:textId="77777777" w:rsidR="00D924EA" w:rsidRDefault="00011DE9">
            <w:pPr>
              <w:pStyle w:val="P68B1DB1-Normal23"/>
              <w:spacing w:after="0" w:line="240" w:lineRule="auto"/>
              <w:jc w:val="center"/>
              <w:rPr>
                <w:noProof/>
              </w:rPr>
            </w:pPr>
            <w:r>
              <w:rPr>
                <w:noProof/>
              </w:rPr>
              <w:t>Dispoziție din regulament care indică intrarea în vigoare a regulamentului</w:t>
            </w:r>
          </w:p>
        </w:tc>
        <w:tc>
          <w:tcPr>
            <w:tcW w:w="708" w:type="dxa"/>
            <w:shd w:val="clear" w:color="auto" w:fill="C6EFCE"/>
            <w:noWrap/>
          </w:tcPr>
          <w:p w14:paraId="4FCF3A02" w14:textId="77777777" w:rsidR="00D924EA" w:rsidRDefault="00011DE9">
            <w:pPr>
              <w:pStyle w:val="P68B1DB1-Normal23"/>
              <w:spacing w:after="0" w:line="240" w:lineRule="auto"/>
              <w:jc w:val="right"/>
              <w:rPr>
                <w:noProof/>
              </w:rPr>
            </w:pPr>
            <w:r>
              <w:rPr>
                <w:noProof/>
              </w:rPr>
              <w:t xml:space="preserve"> </w:t>
            </w:r>
          </w:p>
        </w:tc>
        <w:tc>
          <w:tcPr>
            <w:tcW w:w="1134" w:type="dxa"/>
            <w:shd w:val="clear" w:color="auto" w:fill="C6EFCE"/>
            <w:noWrap/>
          </w:tcPr>
          <w:p w14:paraId="5BF144C7" w14:textId="77777777" w:rsidR="00D924EA" w:rsidRDefault="00011DE9">
            <w:pPr>
              <w:pStyle w:val="P68B1DB1-Normal23"/>
              <w:spacing w:after="0" w:line="240" w:lineRule="auto"/>
              <w:jc w:val="right"/>
              <w:rPr>
                <w:noProof/>
              </w:rPr>
            </w:pPr>
            <w:r>
              <w:rPr>
                <w:noProof/>
              </w:rPr>
              <w:t xml:space="preserve"> </w:t>
            </w:r>
          </w:p>
        </w:tc>
        <w:tc>
          <w:tcPr>
            <w:tcW w:w="797" w:type="dxa"/>
            <w:shd w:val="clear" w:color="auto" w:fill="C6EFCE"/>
            <w:noWrap/>
          </w:tcPr>
          <w:p w14:paraId="51E86F44" w14:textId="77777777" w:rsidR="00D924EA" w:rsidRDefault="00011DE9">
            <w:pPr>
              <w:pStyle w:val="P68B1DB1-Normal23"/>
              <w:spacing w:after="0" w:line="240" w:lineRule="auto"/>
              <w:jc w:val="right"/>
              <w:rPr>
                <w:noProof/>
              </w:rPr>
            </w:pPr>
            <w:r>
              <w:rPr>
                <w:noProof/>
              </w:rPr>
              <w:t xml:space="preserve"> </w:t>
            </w:r>
          </w:p>
        </w:tc>
        <w:tc>
          <w:tcPr>
            <w:tcW w:w="415" w:type="dxa"/>
            <w:shd w:val="clear" w:color="auto" w:fill="C6EFCE"/>
            <w:noWrap/>
          </w:tcPr>
          <w:p w14:paraId="5D016FE6" w14:textId="2C213FC2" w:rsidR="00D924EA" w:rsidRDefault="005701C9">
            <w:pPr>
              <w:pStyle w:val="P68B1DB1-Normal23"/>
              <w:spacing w:after="0" w:line="240" w:lineRule="auto"/>
              <w:jc w:val="center"/>
              <w:rPr>
                <w:noProof/>
              </w:rPr>
            </w:pPr>
            <w:r>
              <w:rPr>
                <w:noProof/>
              </w:rPr>
              <w:t>T2</w:t>
            </w:r>
          </w:p>
        </w:tc>
        <w:tc>
          <w:tcPr>
            <w:tcW w:w="553" w:type="dxa"/>
            <w:shd w:val="clear" w:color="auto" w:fill="C6EFCE"/>
            <w:noWrap/>
          </w:tcPr>
          <w:p w14:paraId="1B2EAF7C" w14:textId="77777777" w:rsidR="00D924EA" w:rsidRDefault="00011DE9">
            <w:pPr>
              <w:pStyle w:val="P68B1DB1-Normal23"/>
              <w:spacing w:after="0" w:line="240" w:lineRule="auto"/>
              <w:jc w:val="center"/>
              <w:rPr>
                <w:noProof/>
              </w:rPr>
            </w:pPr>
            <w:r>
              <w:rPr>
                <w:noProof/>
              </w:rPr>
              <w:t>2022</w:t>
            </w:r>
          </w:p>
        </w:tc>
        <w:tc>
          <w:tcPr>
            <w:tcW w:w="6888" w:type="dxa"/>
            <w:shd w:val="clear" w:color="auto" w:fill="C6EFCE"/>
            <w:noWrap/>
          </w:tcPr>
          <w:p w14:paraId="690EF539" w14:textId="77777777" w:rsidR="00D924EA" w:rsidRDefault="00011DE9">
            <w:pPr>
              <w:pStyle w:val="P68B1DB1-Normal23"/>
              <w:spacing w:after="0" w:line="240" w:lineRule="auto"/>
              <w:jc w:val="both"/>
              <w:rPr>
                <w:noProof/>
              </w:rPr>
            </w:pPr>
            <w:r>
              <w:rPr>
                <w:noProof/>
              </w:rPr>
              <w:t>Intrarea în vigoare a regulamentului de instituire a unui sistem național de garanții de origine pentru gazele din surse regenerabile, inclusiv pentru hidrogenul din surse regenerabile, care asigură 100 % din energia din surse regenerabile. Sistemul care urmează să fie instituit prin instrumentul de reglementare include numirea organismelor emitente naționale și adoptarea guvernanței acestora; și un mecanism de reglementare care să stabilească modul în care este verificată originea regenerabilă a hidrogenului.</w:t>
            </w:r>
          </w:p>
        </w:tc>
      </w:tr>
      <w:tr w:rsidR="00D924EA" w14:paraId="2289252E" w14:textId="77777777" w:rsidTr="0042520D">
        <w:trPr>
          <w:trHeight w:val="309"/>
          <w:jc w:val="center"/>
        </w:trPr>
        <w:tc>
          <w:tcPr>
            <w:tcW w:w="832" w:type="dxa"/>
            <w:shd w:val="clear" w:color="auto" w:fill="C6EFCE"/>
            <w:noWrap/>
          </w:tcPr>
          <w:p w14:paraId="71E2B794" w14:textId="77777777" w:rsidR="00D924EA" w:rsidRDefault="00011DE9">
            <w:pPr>
              <w:pStyle w:val="P68B1DB1-Normal23"/>
              <w:spacing w:after="0" w:line="240" w:lineRule="auto"/>
              <w:jc w:val="center"/>
              <w:rPr>
                <w:noProof/>
              </w:rPr>
            </w:pPr>
            <w:r>
              <w:rPr>
                <w:noProof/>
              </w:rPr>
              <w:t>131</w:t>
            </w:r>
          </w:p>
        </w:tc>
        <w:tc>
          <w:tcPr>
            <w:tcW w:w="829" w:type="dxa"/>
            <w:shd w:val="clear" w:color="auto" w:fill="C6EFCE"/>
            <w:noWrap/>
          </w:tcPr>
          <w:p w14:paraId="21A9AAC5" w14:textId="77777777" w:rsidR="00D924EA" w:rsidRDefault="00011DE9">
            <w:pPr>
              <w:pStyle w:val="P68B1DB1-Normal23"/>
              <w:spacing w:after="0" w:line="240" w:lineRule="auto"/>
              <w:jc w:val="center"/>
              <w:rPr>
                <w:noProof/>
              </w:rPr>
            </w:pPr>
            <w:r>
              <w:rPr>
                <w:noProof/>
              </w:rPr>
              <w:t>C9.I1</w:t>
            </w:r>
          </w:p>
        </w:tc>
        <w:tc>
          <w:tcPr>
            <w:tcW w:w="828" w:type="dxa"/>
            <w:shd w:val="clear" w:color="auto" w:fill="C6EFCE"/>
            <w:noWrap/>
          </w:tcPr>
          <w:p w14:paraId="050900BE" w14:textId="77777777" w:rsidR="00D924EA" w:rsidRDefault="00011DE9">
            <w:pPr>
              <w:pStyle w:val="P68B1DB1-Normal23"/>
              <w:spacing w:after="0" w:line="240" w:lineRule="auto"/>
              <w:jc w:val="center"/>
              <w:rPr>
                <w:noProof/>
              </w:rPr>
            </w:pPr>
            <w:r>
              <w:rPr>
                <w:noProof/>
              </w:rPr>
              <w:t>M</w:t>
            </w:r>
          </w:p>
        </w:tc>
        <w:tc>
          <w:tcPr>
            <w:tcW w:w="1192" w:type="dxa"/>
            <w:shd w:val="clear" w:color="auto" w:fill="C6EFCE"/>
            <w:noWrap/>
          </w:tcPr>
          <w:p w14:paraId="456E1CD7" w14:textId="77777777" w:rsidR="00D924EA" w:rsidRDefault="00011DE9">
            <w:pPr>
              <w:pStyle w:val="P68B1DB1-Normal23"/>
              <w:spacing w:after="0" w:line="240" w:lineRule="auto"/>
              <w:rPr>
                <w:noProof/>
              </w:rPr>
            </w:pPr>
            <w:r>
              <w:rPr>
                <w:noProof/>
              </w:rPr>
              <w:t>Schemă de sprijinire a hidrogenului din surse regenerabile: Instituirea sistemului</w:t>
            </w:r>
          </w:p>
        </w:tc>
        <w:tc>
          <w:tcPr>
            <w:tcW w:w="1276" w:type="dxa"/>
            <w:shd w:val="clear" w:color="auto" w:fill="C6EFCE"/>
            <w:noWrap/>
          </w:tcPr>
          <w:p w14:paraId="2C553734" w14:textId="77777777" w:rsidR="00D924EA" w:rsidRDefault="00011DE9">
            <w:pPr>
              <w:pStyle w:val="P68B1DB1-Normal23"/>
              <w:spacing w:after="0" w:line="240" w:lineRule="auto"/>
              <w:jc w:val="center"/>
              <w:rPr>
                <w:noProof/>
              </w:rPr>
            </w:pPr>
            <w:r>
              <w:rPr>
                <w:noProof/>
              </w:rPr>
              <w:t>Intrarea în vigoare a instrumentului (instrumentelor) juridic (e) relevant (e)</w:t>
            </w:r>
          </w:p>
        </w:tc>
        <w:tc>
          <w:tcPr>
            <w:tcW w:w="708" w:type="dxa"/>
            <w:shd w:val="clear" w:color="auto" w:fill="C6EFCE"/>
            <w:noWrap/>
          </w:tcPr>
          <w:p w14:paraId="5C338A39" w14:textId="77777777" w:rsidR="00D924EA" w:rsidRDefault="00D924EA">
            <w:pPr>
              <w:spacing w:after="0" w:line="240" w:lineRule="auto"/>
              <w:jc w:val="center"/>
              <w:rPr>
                <w:rFonts w:ascii="Times New Roman" w:hAnsi="Times New Roman"/>
                <w:noProof/>
                <w:sz w:val="18"/>
              </w:rPr>
            </w:pPr>
          </w:p>
        </w:tc>
        <w:tc>
          <w:tcPr>
            <w:tcW w:w="1134" w:type="dxa"/>
            <w:shd w:val="clear" w:color="auto" w:fill="C6EFCE"/>
            <w:noWrap/>
          </w:tcPr>
          <w:p w14:paraId="404A9FB9" w14:textId="77777777" w:rsidR="00D924EA" w:rsidRDefault="00D924EA">
            <w:pPr>
              <w:spacing w:after="0" w:line="240" w:lineRule="auto"/>
              <w:jc w:val="center"/>
              <w:rPr>
                <w:rFonts w:ascii="Times New Roman" w:hAnsi="Times New Roman"/>
                <w:noProof/>
                <w:sz w:val="18"/>
              </w:rPr>
            </w:pPr>
          </w:p>
        </w:tc>
        <w:tc>
          <w:tcPr>
            <w:tcW w:w="797" w:type="dxa"/>
            <w:shd w:val="clear" w:color="auto" w:fill="C6EFCE"/>
            <w:noWrap/>
          </w:tcPr>
          <w:p w14:paraId="09DE4F15" w14:textId="77777777" w:rsidR="00D924EA" w:rsidRDefault="00D924EA">
            <w:pPr>
              <w:spacing w:after="0" w:line="240" w:lineRule="auto"/>
              <w:jc w:val="center"/>
              <w:rPr>
                <w:rFonts w:ascii="Times New Roman" w:hAnsi="Times New Roman"/>
                <w:noProof/>
                <w:sz w:val="18"/>
              </w:rPr>
            </w:pPr>
          </w:p>
        </w:tc>
        <w:tc>
          <w:tcPr>
            <w:tcW w:w="415" w:type="dxa"/>
            <w:shd w:val="clear" w:color="auto" w:fill="C6EFCE"/>
            <w:noWrap/>
          </w:tcPr>
          <w:p w14:paraId="308C880F" w14:textId="60251FB5" w:rsidR="00D924EA" w:rsidRDefault="005701C9">
            <w:pPr>
              <w:pStyle w:val="P68B1DB1-Normal23"/>
              <w:spacing w:after="0" w:line="240" w:lineRule="auto"/>
              <w:jc w:val="center"/>
              <w:rPr>
                <w:noProof/>
              </w:rPr>
            </w:pPr>
            <w:r>
              <w:rPr>
                <w:noProof/>
              </w:rPr>
              <w:t>T2</w:t>
            </w:r>
          </w:p>
        </w:tc>
        <w:tc>
          <w:tcPr>
            <w:tcW w:w="553" w:type="dxa"/>
            <w:shd w:val="clear" w:color="auto" w:fill="C6EFCE"/>
            <w:noWrap/>
          </w:tcPr>
          <w:p w14:paraId="1A4C8077" w14:textId="77777777" w:rsidR="00D924EA" w:rsidRDefault="00011DE9">
            <w:pPr>
              <w:pStyle w:val="P68B1DB1-Normal23"/>
              <w:spacing w:after="0" w:line="240" w:lineRule="auto"/>
              <w:jc w:val="center"/>
              <w:rPr>
                <w:noProof/>
              </w:rPr>
            </w:pPr>
            <w:r>
              <w:rPr>
                <w:noProof/>
              </w:rPr>
              <w:t>2023</w:t>
            </w:r>
          </w:p>
        </w:tc>
        <w:tc>
          <w:tcPr>
            <w:tcW w:w="6888" w:type="dxa"/>
            <w:shd w:val="clear" w:color="auto" w:fill="C6EFCE"/>
            <w:noWrap/>
          </w:tcPr>
          <w:p w14:paraId="262AD54A" w14:textId="1805CECE" w:rsidR="00D924EA" w:rsidRDefault="00011DE9">
            <w:pPr>
              <w:pStyle w:val="P68B1DB1-Normal24"/>
              <w:spacing w:after="0" w:line="240" w:lineRule="auto"/>
              <w:jc w:val="both"/>
              <w:rPr>
                <w:noProof/>
              </w:rPr>
            </w:pPr>
            <w:r>
              <w:rPr>
                <w:noProof/>
              </w:rPr>
              <w:t>Intrarea în vigoare a instrumentului (instrumentelor) juridic (e) de instituire a schemei de sprijin care constituie bugetul investiției în conformitate cu cerințele specificate în descrierea măsurii.</w:t>
            </w:r>
          </w:p>
          <w:p w14:paraId="0C45276C" w14:textId="326BFD5C" w:rsidR="00D924EA" w:rsidRDefault="00D924EA">
            <w:pPr>
              <w:spacing w:after="0" w:line="240" w:lineRule="auto"/>
              <w:jc w:val="both"/>
              <w:rPr>
                <w:rFonts w:ascii="Times New Roman" w:hAnsi="Times New Roman"/>
                <w:noProof/>
                <w:sz w:val="18"/>
                <w:szCs w:val="18"/>
              </w:rPr>
            </w:pPr>
          </w:p>
          <w:p w14:paraId="45C694F8" w14:textId="77777777" w:rsidR="00D924EA" w:rsidRDefault="00011DE9">
            <w:pPr>
              <w:pStyle w:val="P68B1DB1-Normal24"/>
              <w:spacing w:after="0" w:line="240" w:lineRule="auto"/>
              <w:jc w:val="both"/>
              <w:rPr>
                <w:noProof/>
              </w:rPr>
            </w:pPr>
            <w:r>
              <w:rPr>
                <w:noProof/>
              </w:rPr>
              <w:t>Pentru cererile de propuneri anterioare anului 2025, procesul decizional al sistemului poate consta în decizii aprobate în unanimitate și cu cel puțin un vot independent de guvernul spaniol.</w:t>
            </w:r>
          </w:p>
          <w:p w14:paraId="03E926FB" w14:textId="5E1850F1" w:rsidR="00D924EA" w:rsidRDefault="00011DE9">
            <w:pPr>
              <w:pStyle w:val="P68B1DB1-Normal24"/>
              <w:spacing w:after="0" w:line="240" w:lineRule="auto"/>
              <w:jc w:val="both"/>
              <w:rPr>
                <w:noProof/>
              </w:rPr>
            </w:pPr>
            <w:r>
              <w:rPr>
                <w:noProof/>
              </w:rPr>
              <w:t>Pentru instrumentele de finanțare a proiectelor PIIEC, beneficiarii sunt, în cele din urmă, selectați de Comisia Europeană ca urmare a procesului de corelare inerent PIIEC.</w:t>
            </w:r>
          </w:p>
        </w:tc>
      </w:tr>
      <w:tr w:rsidR="00D924EA" w14:paraId="4C562CAC" w14:textId="77777777" w:rsidTr="0042520D">
        <w:trPr>
          <w:trHeight w:val="309"/>
          <w:jc w:val="center"/>
        </w:trPr>
        <w:tc>
          <w:tcPr>
            <w:tcW w:w="832" w:type="dxa"/>
            <w:shd w:val="clear" w:color="auto" w:fill="C6EFCE"/>
            <w:noWrap/>
          </w:tcPr>
          <w:p w14:paraId="02641FD2" w14:textId="77777777" w:rsidR="00D924EA" w:rsidRDefault="00011DE9">
            <w:pPr>
              <w:pStyle w:val="P68B1DB1-Normal23"/>
              <w:spacing w:after="0" w:line="240" w:lineRule="auto"/>
              <w:jc w:val="center"/>
              <w:rPr>
                <w:noProof/>
              </w:rPr>
            </w:pPr>
            <w:r>
              <w:rPr>
                <w:noProof/>
              </w:rPr>
              <w:t>132</w:t>
            </w:r>
          </w:p>
        </w:tc>
        <w:tc>
          <w:tcPr>
            <w:tcW w:w="829" w:type="dxa"/>
            <w:shd w:val="clear" w:color="auto" w:fill="C6EFCE"/>
            <w:noWrap/>
          </w:tcPr>
          <w:p w14:paraId="5625610D" w14:textId="77777777" w:rsidR="00D924EA" w:rsidRDefault="00011DE9">
            <w:pPr>
              <w:pStyle w:val="P68B1DB1-Normal23"/>
              <w:spacing w:after="0" w:line="240" w:lineRule="auto"/>
              <w:jc w:val="center"/>
              <w:rPr>
                <w:noProof/>
              </w:rPr>
            </w:pPr>
            <w:r>
              <w:rPr>
                <w:noProof/>
              </w:rPr>
              <w:t>C9.I1</w:t>
            </w:r>
          </w:p>
        </w:tc>
        <w:tc>
          <w:tcPr>
            <w:tcW w:w="828" w:type="dxa"/>
            <w:shd w:val="clear" w:color="auto" w:fill="C6EFCE"/>
            <w:noWrap/>
          </w:tcPr>
          <w:p w14:paraId="73091E8B" w14:textId="77777777" w:rsidR="00D924EA" w:rsidRDefault="00011DE9">
            <w:pPr>
              <w:pStyle w:val="P68B1DB1-Normal23"/>
              <w:spacing w:after="0" w:line="240" w:lineRule="auto"/>
              <w:jc w:val="center"/>
              <w:rPr>
                <w:noProof/>
              </w:rPr>
            </w:pPr>
            <w:r>
              <w:rPr>
                <w:noProof/>
              </w:rPr>
              <w:t>T</w:t>
            </w:r>
          </w:p>
        </w:tc>
        <w:tc>
          <w:tcPr>
            <w:tcW w:w="1192" w:type="dxa"/>
            <w:shd w:val="clear" w:color="auto" w:fill="C6EFCE"/>
            <w:noWrap/>
          </w:tcPr>
          <w:p w14:paraId="3FE59DC7" w14:textId="77777777" w:rsidR="00D924EA" w:rsidRDefault="00011DE9">
            <w:pPr>
              <w:pStyle w:val="P68B1DB1-Normal23"/>
              <w:spacing w:after="0" w:line="240" w:lineRule="auto"/>
              <w:rPr>
                <w:noProof/>
              </w:rPr>
            </w:pPr>
            <w:r>
              <w:rPr>
                <w:noProof/>
              </w:rPr>
              <w:t>Schemă de sprijinire a hidrogenului din surse regenerabile: Acorduri juridice semnate cu beneficiarii finali sau rezoluții privind atribuirea finală publicate (I)</w:t>
            </w:r>
          </w:p>
        </w:tc>
        <w:tc>
          <w:tcPr>
            <w:tcW w:w="1276" w:type="dxa"/>
            <w:shd w:val="clear" w:color="auto" w:fill="C6EFCE"/>
            <w:noWrap/>
          </w:tcPr>
          <w:p w14:paraId="66E2A8B1" w14:textId="414775D6" w:rsidR="00D924EA" w:rsidRDefault="00011DE9">
            <w:pPr>
              <w:pStyle w:val="P68B1DB1-Normal23"/>
              <w:spacing w:after="0" w:line="240" w:lineRule="auto"/>
              <w:jc w:val="center"/>
              <w:rPr>
                <w:noProof/>
              </w:rPr>
            </w:pPr>
            <w:r>
              <w:rPr>
                <w:noProof/>
              </w:rPr>
              <w:t>Intrarea în vigoare a acordurilor juridice de finanțare sau publicarea rezoluțiilor de atribuire finală</w:t>
            </w:r>
          </w:p>
        </w:tc>
        <w:tc>
          <w:tcPr>
            <w:tcW w:w="708" w:type="dxa"/>
            <w:shd w:val="clear" w:color="auto" w:fill="C6EFCE"/>
            <w:noWrap/>
          </w:tcPr>
          <w:p w14:paraId="206E807E" w14:textId="77777777" w:rsidR="00D924EA" w:rsidRDefault="00D924EA">
            <w:pPr>
              <w:spacing w:after="0" w:line="240" w:lineRule="auto"/>
              <w:jc w:val="center"/>
              <w:rPr>
                <w:rFonts w:ascii="Times New Roman" w:hAnsi="Times New Roman"/>
                <w:noProof/>
                <w:sz w:val="18"/>
              </w:rPr>
            </w:pPr>
          </w:p>
        </w:tc>
        <w:tc>
          <w:tcPr>
            <w:tcW w:w="1134" w:type="dxa"/>
            <w:shd w:val="clear" w:color="auto" w:fill="C6EFCE"/>
            <w:noWrap/>
          </w:tcPr>
          <w:p w14:paraId="4A4434B8" w14:textId="77777777" w:rsidR="00D924EA" w:rsidRDefault="00011DE9">
            <w:pPr>
              <w:pStyle w:val="P68B1DB1-Normal23"/>
              <w:spacing w:after="0" w:line="240" w:lineRule="auto"/>
              <w:jc w:val="center"/>
              <w:rPr>
                <w:noProof/>
              </w:rPr>
            </w:pPr>
            <w:r>
              <w:rPr>
                <w:noProof/>
              </w:rPr>
              <w:t>0</w:t>
            </w:r>
          </w:p>
        </w:tc>
        <w:tc>
          <w:tcPr>
            <w:tcW w:w="797" w:type="dxa"/>
            <w:shd w:val="clear" w:color="auto" w:fill="C6EFCE"/>
            <w:noWrap/>
          </w:tcPr>
          <w:p w14:paraId="35A7539B" w14:textId="77777777" w:rsidR="00D924EA" w:rsidRDefault="00011DE9">
            <w:pPr>
              <w:pStyle w:val="P68B1DB1-Normal23"/>
              <w:spacing w:after="0" w:line="240" w:lineRule="auto"/>
              <w:jc w:val="center"/>
              <w:rPr>
                <w:noProof/>
              </w:rPr>
            </w:pPr>
            <w:r>
              <w:rPr>
                <w:noProof/>
              </w:rPr>
              <w:t>30 %</w:t>
            </w:r>
          </w:p>
        </w:tc>
        <w:tc>
          <w:tcPr>
            <w:tcW w:w="415" w:type="dxa"/>
            <w:shd w:val="clear" w:color="auto" w:fill="C6EFCE"/>
            <w:noWrap/>
          </w:tcPr>
          <w:p w14:paraId="6F3F3633" w14:textId="6EAFD8FD" w:rsidR="00D924EA" w:rsidRDefault="005701C9">
            <w:pPr>
              <w:pStyle w:val="P68B1DB1-Normal23"/>
              <w:spacing w:after="0" w:line="240" w:lineRule="auto"/>
              <w:jc w:val="center"/>
              <w:rPr>
                <w:noProof/>
              </w:rPr>
            </w:pPr>
            <w:r>
              <w:rPr>
                <w:noProof/>
              </w:rPr>
              <w:t>T2</w:t>
            </w:r>
          </w:p>
        </w:tc>
        <w:tc>
          <w:tcPr>
            <w:tcW w:w="553" w:type="dxa"/>
            <w:shd w:val="clear" w:color="auto" w:fill="C6EFCE"/>
            <w:noWrap/>
          </w:tcPr>
          <w:p w14:paraId="670F3B03" w14:textId="77777777" w:rsidR="00D924EA" w:rsidRDefault="00011DE9">
            <w:pPr>
              <w:pStyle w:val="P68B1DB1-Normal23"/>
              <w:spacing w:after="0" w:line="240" w:lineRule="auto"/>
              <w:jc w:val="center"/>
              <w:rPr>
                <w:noProof/>
              </w:rPr>
            </w:pPr>
            <w:r>
              <w:rPr>
                <w:noProof/>
              </w:rPr>
              <w:t>2023</w:t>
            </w:r>
          </w:p>
        </w:tc>
        <w:tc>
          <w:tcPr>
            <w:tcW w:w="6888" w:type="dxa"/>
            <w:shd w:val="clear" w:color="auto" w:fill="C6EFCE"/>
            <w:noWrap/>
          </w:tcPr>
          <w:p w14:paraId="4E57BEED" w14:textId="77777777" w:rsidR="00D924EA" w:rsidRDefault="00011DE9">
            <w:pPr>
              <w:pStyle w:val="P68B1DB1-Normal23"/>
              <w:spacing w:after="0" w:line="240" w:lineRule="auto"/>
              <w:jc w:val="both"/>
              <w:rPr>
                <w:noProof/>
              </w:rPr>
            </w:pPr>
            <w:r>
              <w:rPr>
                <w:noProof/>
              </w:rPr>
              <w:t>IDAE a publicat rezoluțiile finale de atribuire sau intrarea în vigoare a acordurilor de finanțare cu beneficiarii finali, pentru cel puțin 30 % din investițiile MRR în schema de sprijin (inclusiv costurile indirecte).</w:t>
            </w:r>
          </w:p>
          <w:p w14:paraId="307324C3" w14:textId="3B0304DF" w:rsidR="00D924EA" w:rsidRDefault="00D924EA">
            <w:pPr>
              <w:spacing w:after="0" w:line="240" w:lineRule="auto"/>
              <w:jc w:val="both"/>
              <w:rPr>
                <w:rFonts w:ascii="Times New Roman" w:hAnsi="Times New Roman"/>
                <w:noProof/>
                <w:sz w:val="18"/>
                <w:szCs w:val="18"/>
              </w:rPr>
            </w:pPr>
          </w:p>
        </w:tc>
      </w:tr>
      <w:tr w:rsidR="00D924EA" w14:paraId="7314071D" w14:textId="77777777" w:rsidTr="0042520D">
        <w:trPr>
          <w:trHeight w:val="309"/>
          <w:jc w:val="center"/>
        </w:trPr>
        <w:tc>
          <w:tcPr>
            <w:tcW w:w="832" w:type="dxa"/>
            <w:shd w:val="clear" w:color="auto" w:fill="C6EFCE"/>
            <w:noWrap/>
          </w:tcPr>
          <w:p w14:paraId="4B100C2E" w14:textId="77777777" w:rsidR="00D924EA" w:rsidRDefault="00011DE9">
            <w:pPr>
              <w:pStyle w:val="P68B1DB1-Normal23"/>
              <w:spacing w:after="0" w:line="240" w:lineRule="auto"/>
              <w:jc w:val="center"/>
              <w:rPr>
                <w:noProof/>
              </w:rPr>
            </w:pPr>
            <w:r>
              <w:rPr>
                <w:noProof/>
              </w:rPr>
              <w:t>135</w:t>
            </w:r>
          </w:p>
        </w:tc>
        <w:tc>
          <w:tcPr>
            <w:tcW w:w="829" w:type="dxa"/>
            <w:shd w:val="clear" w:color="auto" w:fill="C6EFCE"/>
            <w:noWrap/>
          </w:tcPr>
          <w:p w14:paraId="41B02D22" w14:textId="77777777" w:rsidR="00D924EA" w:rsidRDefault="00011DE9">
            <w:pPr>
              <w:pStyle w:val="P68B1DB1-Normal23"/>
              <w:spacing w:after="0" w:line="240" w:lineRule="auto"/>
              <w:jc w:val="center"/>
              <w:rPr>
                <w:noProof/>
              </w:rPr>
            </w:pPr>
            <w:r>
              <w:rPr>
                <w:noProof/>
              </w:rPr>
              <w:t>C9.I1</w:t>
            </w:r>
          </w:p>
        </w:tc>
        <w:tc>
          <w:tcPr>
            <w:tcW w:w="828" w:type="dxa"/>
            <w:shd w:val="clear" w:color="auto" w:fill="C6EFCE"/>
            <w:noWrap/>
          </w:tcPr>
          <w:p w14:paraId="1EC044D3" w14:textId="77777777" w:rsidR="00D924EA" w:rsidRDefault="00011DE9">
            <w:pPr>
              <w:pStyle w:val="P68B1DB1-Normal23"/>
              <w:spacing w:after="0" w:line="240" w:lineRule="auto"/>
              <w:jc w:val="center"/>
              <w:rPr>
                <w:noProof/>
              </w:rPr>
            </w:pPr>
            <w:r>
              <w:rPr>
                <w:noProof/>
              </w:rPr>
              <w:t>M</w:t>
            </w:r>
          </w:p>
        </w:tc>
        <w:tc>
          <w:tcPr>
            <w:tcW w:w="1192" w:type="dxa"/>
            <w:shd w:val="clear" w:color="auto" w:fill="C6EFCE"/>
            <w:noWrap/>
          </w:tcPr>
          <w:p w14:paraId="511D1377" w14:textId="77777777" w:rsidR="00D924EA" w:rsidRDefault="00011DE9">
            <w:pPr>
              <w:pStyle w:val="P68B1DB1-Normal23"/>
              <w:spacing w:after="0" w:line="240" w:lineRule="auto"/>
              <w:jc w:val="both"/>
              <w:rPr>
                <w:noProof/>
              </w:rPr>
            </w:pPr>
            <w:r>
              <w:rPr>
                <w:noProof/>
              </w:rPr>
              <w:t>Schemă de sprijinire a hidrogenului din surse regenerabile: Ministerul a finalizat investiția</w:t>
            </w:r>
          </w:p>
        </w:tc>
        <w:tc>
          <w:tcPr>
            <w:tcW w:w="1276" w:type="dxa"/>
            <w:shd w:val="clear" w:color="auto" w:fill="C6EFCE"/>
            <w:noWrap/>
          </w:tcPr>
          <w:p w14:paraId="63809AA3" w14:textId="47CC41D1" w:rsidR="00D924EA" w:rsidRDefault="00011DE9">
            <w:pPr>
              <w:pStyle w:val="P68B1DB1-Normal18"/>
              <w:spacing w:after="0" w:line="240" w:lineRule="auto"/>
              <w:jc w:val="center"/>
              <w:rPr>
                <w:noProof/>
              </w:rPr>
            </w:pPr>
            <w:r>
              <w:rPr>
                <w:noProof/>
              </w:rPr>
              <w:t>Intrarea în vigoare a acordurilor juridice de finanțare sau publicarea hotărârilor de atribuire finală și a certificatului de transfer</w:t>
            </w:r>
          </w:p>
        </w:tc>
        <w:tc>
          <w:tcPr>
            <w:tcW w:w="708" w:type="dxa"/>
            <w:shd w:val="clear" w:color="auto" w:fill="C6EFCE"/>
            <w:noWrap/>
          </w:tcPr>
          <w:p w14:paraId="57B95A52" w14:textId="77777777" w:rsidR="00D924EA" w:rsidRDefault="00D924EA">
            <w:pPr>
              <w:spacing w:after="0" w:line="240" w:lineRule="auto"/>
              <w:jc w:val="center"/>
              <w:rPr>
                <w:rFonts w:ascii="Times New Roman" w:hAnsi="Times New Roman"/>
                <w:noProof/>
                <w:sz w:val="18"/>
              </w:rPr>
            </w:pPr>
          </w:p>
        </w:tc>
        <w:tc>
          <w:tcPr>
            <w:tcW w:w="1134" w:type="dxa"/>
            <w:shd w:val="clear" w:color="auto" w:fill="C6EFCE"/>
            <w:noWrap/>
          </w:tcPr>
          <w:p w14:paraId="7CCAE655" w14:textId="77777777" w:rsidR="00D924EA" w:rsidRDefault="00D924EA">
            <w:pPr>
              <w:spacing w:after="0" w:line="240" w:lineRule="auto"/>
              <w:jc w:val="center"/>
              <w:rPr>
                <w:rFonts w:ascii="Times New Roman" w:hAnsi="Times New Roman"/>
                <w:noProof/>
                <w:sz w:val="18"/>
              </w:rPr>
            </w:pPr>
          </w:p>
        </w:tc>
        <w:tc>
          <w:tcPr>
            <w:tcW w:w="797" w:type="dxa"/>
            <w:shd w:val="clear" w:color="auto" w:fill="C6EFCE"/>
            <w:noWrap/>
          </w:tcPr>
          <w:p w14:paraId="0EF35653" w14:textId="77777777" w:rsidR="00D924EA" w:rsidRDefault="00D924EA">
            <w:pPr>
              <w:spacing w:after="0" w:line="240" w:lineRule="auto"/>
              <w:jc w:val="center"/>
              <w:rPr>
                <w:rFonts w:ascii="Times New Roman" w:hAnsi="Times New Roman"/>
                <w:noProof/>
                <w:sz w:val="18"/>
              </w:rPr>
            </w:pPr>
          </w:p>
        </w:tc>
        <w:tc>
          <w:tcPr>
            <w:tcW w:w="415" w:type="dxa"/>
            <w:shd w:val="clear" w:color="auto" w:fill="C6EFCE"/>
            <w:noWrap/>
          </w:tcPr>
          <w:p w14:paraId="284362FB" w14:textId="6E6FFD4C" w:rsidR="00D924EA" w:rsidRDefault="005701C9">
            <w:pPr>
              <w:pStyle w:val="P68B1DB1-Normal23"/>
              <w:spacing w:after="0" w:line="240" w:lineRule="auto"/>
              <w:jc w:val="center"/>
              <w:rPr>
                <w:noProof/>
              </w:rPr>
            </w:pPr>
            <w:r>
              <w:rPr>
                <w:noProof/>
              </w:rPr>
              <w:t>T2</w:t>
            </w:r>
          </w:p>
        </w:tc>
        <w:tc>
          <w:tcPr>
            <w:tcW w:w="553" w:type="dxa"/>
            <w:shd w:val="clear" w:color="auto" w:fill="C6EFCE"/>
            <w:noWrap/>
          </w:tcPr>
          <w:p w14:paraId="3C38ECD5" w14:textId="77777777" w:rsidR="00D924EA" w:rsidRDefault="00011DE9">
            <w:pPr>
              <w:pStyle w:val="P68B1DB1-Normal23"/>
              <w:spacing w:after="0" w:line="240" w:lineRule="auto"/>
              <w:jc w:val="center"/>
              <w:rPr>
                <w:noProof/>
              </w:rPr>
            </w:pPr>
            <w:r>
              <w:rPr>
                <w:noProof/>
              </w:rPr>
              <w:t>2026</w:t>
            </w:r>
          </w:p>
        </w:tc>
        <w:tc>
          <w:tcPr>
            <w:tcW w:w="6888" w:type="dxa"/>
            <w:shd w:val="clear" w:color="auto" w:fill="C6EFCE"/>
            <w:noWrap/>
          </w:tcPr>
          <w:p w14:paraId="6EE28350" w14:textId="6FF842A6" w:rsidR="00D924EA" w:rsidRDefault="00011DE9">
            <w:pPr>
              <w:pStyle w:val="P68B1DB1-Normal37"/>
              <w:spacing w:after="0" w:line="240" w:lineRule="auto"/>
              <w:jc w:val="both"/>
              <w:rPr>
                <w:rFonts w:ascii="Times New Roman" w:eastAsia="Calibri" w:hAnsi="Times New Roman" w:cs="Arial"/>
                <w:noProof/>
                <w:kern w:val="0"/>
                <w14:ligatures w14:val="none"/>
              </w:rPr>
            </w:pPr>
            <w:r>
              <w:rPr>
                <w:rFonts w:ascii="Times New Roman" w:hAnsi="Times New Roman"/>
                <w:noProof/>
              </w:rPr>
              <w:t>Spania transferă cel puțin 1 555 de milioane EUR către IDAE pentru schema de sprijin.</w:t>
            </w:r>
          </w:p>
          <w:p w14:paraId="02D48F66" w14:textId="77777777" w:rsidR="00D924EA" w:rsidRDefault="00D924EA">
            <w:pPr>
              <w:spacing w:after="0" w:line="240" w:lineRule="auto"/>
              <w:jc w:val="both"/>
              <w:rPr>
                <w:rFonts w:ascii="Times New Roman" w:eastAsia="Calibri" w:hAnsi="Times New Roman" w:cs="Arial"/>
                <w:noProof/>
                <w:kern w:val="0"/>
                <w:sz w:val="18"/>
                <w14:ligatures w14:val="none"/>
              </w:rPr>
            </w:pPr>
          </w:p>
          <w:p w14:paraId="2F8DEEEF" w14:textId="77777777" w:rsidR="00D924EA" w:rsidRDefault="00011DE9">
            <w:pPr>
              <w:pStyle w:val="P68B1DB1-Normal18"/>
              <w:spacing w:after="0" w:line="240" w:lineRule="auto"/>
              <w:jc w:val="both"/>
              <w:rPr>
                <w:noProof/>
              </w:rPr>
            </w:pPr>
            <w:r>
              <w:rPr>
                <w:noProof/>
              </w:rPr>
              <w:t xml:space="preserve">IDAE a publicat rezoluțiile finale de atribuire sau intrarea în vigoare a acordurilor de finanțare cu beneficiarii finali, pentru 100 % din investițiile MRR în schema de sprijin (inclusiv costurile indirecte). </w:t>
            </w:r>
          </w:p>
        </w:tc>
      </w:tr>
    </w:tbl>
    <w:p w14:paraId="0CFED637" w14:textId="77777777" w:rsidR="00D924EA" w:rsidRDefault="00D924EA">
      <w:pPr>
        <w:rPr>
          <w:rFonts w:ascii="Times New Roman" w:hAnsi="Times New Roman"/>
          <w:noProof/>
        </w:rPr>
      </w:pPr>
    </w:p>
    <w:p w14:paraId="59CCDC15" w14:textId="77777777" w:rsidR="00D924EA" w:rsidRDefault="00D924EA">
      <w:pPr>
        <w:pStyle w:val="Heading1"/>
        <w:rPr>
          <w:noProof/>
        </w:rPr>
        <w:sectPr w:rsidR="00D924EA" w:rsidSect="00243486">
          <w:headerReference w:type="even" r:id="rId130"/>
          <w:headerReference w:type="default" r:id="rId131"/>
          <w:footerReference w:type="even" r:id="rId132"/>
          <w:footerReference w:type="default" r:id="rId133"/>
          <w:headerReference w:type="first" r:id="rId134"/>
          <w:footerReference w:type="first" r:id="rId135"/>
          <w:pgSz w:w="16839" w:h="11907" w:orient="landscape"/>
          <w:pgMar w:top="1134" w:right="1134" w:bottom="1134" w:left="1134" w:header="567" w:footer="567" w:gutter="0"/>
          <w:cols w:space="720"/>
          <w:docGrid w:linePitch="360"/>
        </w:sectPr>
      </w:pPr>
    </w:p>
    <w:p w14:paraId="13A4A075" w14:textId="77777777" w:rsidR="00D924EA" w:rsidRDefault="00011DE9">
      <w:pPr>
        <w:pStyle w:val="P68B1DB1-Normal5"/>
        <w:keepNext/>
        <w:spacing w:before="360" w:after="360" w:line="240" w:lineRule="auto"/>
        <w:jc w:val="center"/>
        <w:outlineLvl w:val="0"/>
        <w:rPr>
          <w:rFonts w:cs="Times New Roman"/>
          <w:noProof/>
        </w:rPr>
      </w:pPr>
      <w:r>
        <w:rPr>
          <w:noProof/>
        </w:rPr>
        <w:t>J. COMPONENTA 10: Tranziție justă</w:t>
      </w:r>
    </w:p>
    <w:p w14:paraId="2DAC69FE" w14:textId="77777777" w:rsidR="00D924EA" w:rsidRDefault="00011DE9">
      <w:pPr>
        <w:pStyle w:val="P68B1DB1-Normal48"/>
        <w:spacing w:before="120" w:after="120" w:line="240" w:lineRule="auto"/>
        <w:jc w:val="both"/>
        <w:rPr>
          <w:rFonts w:cs="Times New Roman"/>
          <w:noProof/>
        </w:rPr>
      </w:pPr>
      <w:r>
        <w:rPr>
          <w:noProof/>
        </w:rPr>
        <w:t>Această componentă a planului spaniol de redresare și reziliență abordează impactul economic și social în zonele geografice afectate de închiderea minelor de cărbune și a centralelor pe cărbune/nucleare, care a fost exacerbat și mai mult de impactul pandemiei de COVID-19 și de închiderea centralelor termice. Un alt obiectiv este de a schimba modelul de producție și de a stimula transformarea în sprijinul unui model economic și social mai rezilient al teritoriilor pentru viitor. Strategia este concepută în paralel cu planul teritorial spaniol al Fondului pentru o tranziție justă (FTJ), acesta din urmă fiind menit să aibă un domeniu de aplicare mai larg, o durată mai lungă și un accent mai strategic pe dezvoltarea și sprijinul întreprinderilor.</w:t>
      </w:r>
    </w:p>
    <w:p w14:paraId="4A6B05AC" w14:textId="77777777" w:rsidR="00D924EA" w:rsidRDefault="00011DE9">
      <w:pPr>
        <w:pStyle w:val="P68B1DB1-Normal7"/>
        <w:spacing w:before="120" w:after="120" w:line="240" w:lineRule="auto"/>
        <w:jc w:val="both"/>
        <w:rPr>
          <w:rFonts w:cs="Times New Roman"/>
          <w:noProof/>
        </w:rPr>
      </w:pPr>
      <w:r>
        <w:rPr>
          <w:noProof/>
        </w:rPr>
        <w:t>Componenta contribuie la abordarea recomandărilor specifice fiecărei țări legate de sprijinirea ocupării forței de muncă prin măsuri de menținere a locurilor de muncă, stimulente eficace pentru recrutare și dezvoltarea competențelor (Recomandarea specifică fiecărei țări 2 2020); promovarea investițiilor publice și private care încurajează tranziția verde (Recomandarea specifică fiecărei țări 3 2020); și consolidarea cooperării la toate nivelurile de guvernare (Recomandarea specifică fiecărei țări 4 2019).</w:t>
      </w:r>
    </w:p>
    <w:p w14:paraId="06C56D82" w14:textId="77777777" w:rsidR="00D924EA" w:rsidRDefault="00011DE9">
      <w:pPr>
        <w:pStyle w:val="P68B1DB1-Normal7"/>
        <w:spacing w:before="120" w:after="120" w:line="240" w:lineRule="auto"/>
        <w:jc w:val="both"/>
        <w:rPr>
          <w:rFonts w:cs="Times New Roman"/>
          <w:noProof/>
          <w:shd w:val="clear" w:color="auto" w:fill="FFFFF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5F06B56B" w14:textId="1E880923" w:rsidR="00D924EA" w:rsidRDefault="00011DE9">
      <w:pPr>
        <w:pStyle w:val="P68B1DB1-Normal6"/>
        <w:spacing w:before="120" w:after="120" w:line="240" w:lineRule="auto"/>
        <w:ind w:left="709"/>
        <w:jc w:val="both"/>
        <w:rPr>
          <w:rFonts w:ascii="Times New Roman" w:eastAsia="Calibri" w:hAnsi="Times New Roman" w:cs="Times New Roman"/>
          <w:b/>
          <w:i/>
          <w:noProof/>
        </w:rPr>
      </w:pPr>
      <w:r>
        <w:rPr>
          <w:rFonts w:ascii="Times New Roman" w:eastAsia="Calibri" w:hAnsi="Times New Roman" w:cs="Arial"/>
          <w:b/>
          <w:noProof/>
          <w:u w:val="single"/>
        </w:rPr>
        <w:t>J.1.</w:t>
      </w:r>
      <w:r w:rsidR="00971820">
        <w:rPr>
          <w:rFonts w:ascii="Times New Roman" w:eastAsia="Calibri" w:hAnsi="Times New Roman" w:cs="Arial"/>
          <w:b/>
          <w:noProof/>
          <w:u w:val="single"/>
        </w:rPr>
        <w:t xml:space="preserve"> </w:t>
      </w:r>
      <w:r>
        <w:rPr>
          <w:rFonts w:ascii="Times New Roman" w:eastAsia="Calibri" w:hAnsi="Times New Roman" w:cs="Arial"/>
          <w:b/>
          <w:noProof/>
          <w:u w:val="single"/>
        </w:rPr>
        <w:t>Descrierea reformelor și a investițiilor pentru sprijinul financiar nerambursabil</w:t>
      </w:r>
    </w:p>
    <w:p w14:paraId="1F6AB59F" w14:textId="77777777" w:rsidR="00D924EA" w:rsidRDefault="00011DE9">
      <w:pPr>
        <w:pStyle w:val="P68B1DB1-Normal49"/>
        <w:spacing w:before="120" w:after="120" w:line="240" w:lineRule="auto"/>
        <w:jc w:val="both"/>
        <w:rPr>
          <w:rFonts w:cs="Times New Roman"/>
          <w:noProof/>
        </w:rPr>
      </w:pPr>
      <w:r>
        <w:rPr>
          <w:noProof/>
        </w:rPr>
        <w:t>Reforma 1 (C10.R1) – Protocoale pentru o tranziție justă</w:t>
      </w:r>
    </w:p>
    <w:p w14:paraId="5BC64FE1" w14:textId="3D7F905B" w:rsidR="00D924EA" w:rsidRDefault="00011DE9">
      <w:pPr>
        <w:pStyle w:val="P68B1DB1-Normal7"/>
        <w:spacing w:before="120" w:after="120" w:line="240" w:lineRule="auto"/>
        <w:jc w:val="both"/>
        <w:rPr>
          <w:rFonts w:cs="Times New Roman"/>
          <w:noProof/>
          <w:shd w:val="clear" w:color="auto" w:fill="FFFFFF"/>
        </w:rPr>
      </w:pPr>
      <w:r>
        <w:rPr>
          <w:noProof/>
          <w:shd w:val="clear" w:color="auto" w:fill="FFFFFF"/>
        </w:rPr>
        <w:t>În februarie 2020, guvernul a aprobat Strategia pentru o tranziție justă, astfel cum se reflectă în Planul național privind energia și clima (PNEC). În contextul prezentei strategii și în cadrul planului spaniol de redresare și reziliență, această reformă stabilește 12 protocoale pentru o tranziție justă care acoperă fiecare zonă afectată de închiderea minelor de cărbune și a centralelor electrice pe bază de cărbune. Fiecare dintre protocoalele pentru o tranziție justă acoperă cel puțin o zonă afectată de închiderea unei centrale electrice pe bază de cărbune.</w:t>
      </w:r>
      <w:r>
        <w:rPr>
          <w:noProof/>
        </w:rPr>
        <w:t xml:space="preserve"> </w:t>
      </w:r>
      <w:r>
        <w:rPr>
          <w:noProof/>
          <w:shd w:val="clear" w:color="auto" w:fill="FFFFFF"/>
        </w:rPr>
        <w:t>Protocoalele sunt</w:t>
      </w:r>
      <w:r w:rsidR="00971820">
        <w:rPr>
          <w:noProof/>
          <w:shd w:val="clear" w:color="auto" w:fill="FFFFFF"/>
        </w:rPr>
        <w:t xml:space="preserve"> </w:t>
      </w:r>
      <w:r>
        <w:rPr>
          <w:noProof/>
          <w:shd w:val="clear" w:color="auto" w:fill="FFFFFF"/>
        </w:rPr>
        <w:t>instrumente pentru sustenabilitatea ecologică, economică și socială a teritoriilor afectate.</w:t>
      </w:r>
      <w:r>
        <w:rPr>
          <w:noProof/>
        </w:rPr>
        <w:t xml:space="preserve"> Accentul se pune</w:t>
      </w:r>
      <w:r>
        <w:rPr>
          <w:i/>
          <w:noProof/>
        </w:rPr>
        <w:t>, printre altele,</w:t>
      </w:r>
      <w:r>
        <w:rPr>
          <w:noProof/>
        </w:rPr>
        <w:t xml:space="preserve"> pe susținerea și crearea de locuri de muncă, pe promovarea diversificării și a specializării, pe creșterea atractivității zonelor pentru combaterea depopulării și pe refacerea ecologică a terenurilor. Aceste protocoale includ cooperarea actorilor locali relevanți (publici și privați, inclusiv întreprinderi, parteneri sociali, sectorul educației, ONG-uri etc.). </w:t>
      </w:r>
    </w:p>
    <w:p w14:paraId="61F350A4" w14:textId="77777777" w:rsidR="00D924EA" w:rsidRDefault="00011DE9">
      <w:pPr>
        <w:pStyle w:val="P68B1DB1-Normal48"/>
        <w:spacing w:before="120" w:after="120" w:line="240" w:lineRule="auto"/>
        <w:jc w:val="both"/>
        <w:rPr>
          <w:rFonts w:cs="Times New Roman"/>
          <w:noProof/>
        </w:rPr>
      </w:pPr>
      <w:r>
        <w:rPr>
          <w:noProof/>
        </w:rPr>
        <w:t xml:space="preserve">Această reformă include, de asemenea, înființarea Institutului pentru o tranziție justă. Obiectivul institutului este de a identifica și de a adopta acțiuni care să garanteze tratamentul echitabil al lucrătorilor și al teritoriilor afectate de tranziția către o economie cu emisii scăzute de dioxid de carbon, reducând la minimum impactul negativ asupra ocupării forței de muncă și a populației acestor teritorii și optimizând oportunitățile procesului de transformare. Principalele funcții ale institutului sunt de a promova elaborarea politicilor industriale, cercetarea și dezvoltarea, promovarea activității economice, ocuparea forței de muncă și formarea profesională. </w:t>
      </w:r>
    </w:p>
    <w:p w14:paraId="4E697E9E" w14:textId="77777777" w:rsidR="00D924EA" w:rsidRDefault="00011DE9">
      <w:pPr>
        <w:pStyle w:val="P68B1DB1-Normal48"/>
        <w:spacing w:before="120" w:after="120" w:line="240" w:lineRule="auto"/>
        <w:jc w:val="both"/>
        <w:rPr>
          <w:rFonts w:cs="Times New Roman"/>
          <w:noProof/>
        </w:rPr>
      </w:pPr>
      <w:r>
        <w:rPr>
          <w:noProof/>
        </w:rPr>
        <w:t xml:space="preserve">Măsura include, de asemenea, înființarea unui consiliu consultativ alcătuit din reprezentanți ai departamentelor ministeriale și reprezentanți ai autorităților locale și regionale, care să ofere consiliere și să evalueze impactul politicilor pentru o tranziție justă. </w:t>
      </w:r>
    </w:p>
    <w:p w14:paraId="402B4179" w14:textId="2221BEA3" w:rsidR="00D924EA" w:rsidRDefault="00011DE9">
      <w:pPr>
        <w:pStyle w:val="P68B1DB1-Normal48"/>
        <w:spacing w:before="120" w:after="120" w:line="240" w:lineRule="auto"/>
        <w:jc w:val="both"/>
        <w:rPr>
          <w:rFonts w:cs="Times New Roman"/>
          <w:noProof/>
        </w:rPr>
      </w:pPr>
      <w:r>
        <w:rPr>
          <w:noProof/>
        </w:rPr>
        <w:t>Punerea în aplicare a măsurii se finalizează până la 30 iunie 2023.</w:t>
      </w:r>
    </w:p>
    <w:p w14:paraId="567BA323" w14:textId="77777777" w:rsidR="00D924EA" w:rsidRDefault="00011DE9">
      <w:pPr>
        <w:pStyle w:val="P68B1DB1-Normal49"/>
        <w:spacing w:before="120" w:after="120" w:line="240" w:lineRule="auto"/>
        <w:jc w:val="both"/>
        <w:rPr>
          <w:rFonts w:cs="Times New Roman"/>
          <w:noProof/>
        </w:rPr>
      </w:pPr>
      <w:r>
        <w:rPr>
          <w:noProof/>
        </w:rPr>
        <w:t>Investiția 1 (C10.I1) – Investiții în tranziția justă</w:t>
      </w:r>
    </w:p>
    <w:p w14:paraId="602E49EF" w14:textId="0DC430DA" w:rsidR="00D924EA" w:rsidRDefault="00011DE9">
      <w:pPr>
        <w:pStyle w:val="P68B1DB1-Normal48"/>
        <w:spacing w:before="120" w:after="120" w:line="240" w:lineRule="auto"/>
        <w:jc w:val="both"/>
        <w:rPr>
          <w:noProof/>
        </w:rPr>
      </w:pPr>
      <w:r>
        <w:rPr>
          <w:noProof/>
        </w:rPr>
        <w:t xml:space="preserve">Obiectivul acestei măsuri este de a investi în zonele vizate de tranziția justă. Măsura constă în acțiuni de sprijinire a proiectelor de mediu, digitale și de infrastructură, a capacității de inserție profesională, a reabilitării terenurilor sau a adaptării instalațiilor industriale pentru hidrogenul verde și stocarea energiei. </w:t>
      </w:r>
    </w:p>
    <w:p w14:paraId="1D89FC77" w14:textId="46F0D946" w:rsidR="00D924EA" w:rsidRDefault="00011DE9">
      <w:pPr>
        <w:pStyle w:val="P68B1DB1-Normal6"/>
        <w:spacing w:before="120" w:after="120" w:line="240" w:lineRule="auto"/>
        <w:ind w:left="709"/>
        <w:jc w:val="both"/>
        <w:rPr>
          <w:rFonts w:ascii="Times New Roman" w:eastAsia="Calibri" w:hAnsi="Times New Roman" w:cs="Times New Roman"/>
          <w:b/>
          <w:noProof/>
          <w:u w:val="single"/>
        </w:rPr>
      </w:pPr>
      <w:r>
        <w:rPr>
          <w:rFonts w:ascii="Times New Roman" w:eastAsia="Calibri" w:hAnsi="Times New Roman" w:cs="Arial"/>
          <w:b/>
          <w:noProof/>
          <w:u w:val="single"/>
        </w:rPr>
        <w:t>J.2.</w:t>
      </w:r>
      <w:r w:rsidR="00971820">
        <w:rPr>
          <w:rFonts w:ascii="Times New Roman" w:eastAsia="Calibri" w:hAnsi="Times New Roman" w:cs="Arial"/>
          <w:b/>
          <w:noProof/>
          <w:u w:val="single"/>
        </w:rPr>
        <w:t xml:space="preserve"> </w:t>
      </w:r>
      <w:r>
        <w:rPr>
          <w:rFonts w:ascii="Times New Roman" w:eastAsia="Calibri" w:hAnsi="Times New Roman" w:cs="Arial"/>
          <w:b/>
          <w:noProof/>
          <w:u w:val="single"/>
        </w:rPr>
        <w:t>Jaloane, ținte, indicatori și calendarul de monitorizare și implementare aplicabile sprijinului financiar nerambursabil</w:t>
      </w:r>
    </w:p>
    <w:p w14:paraId="51A735AD" w14:textId="77777777" w:rsidR="00D924EA" w:rsidRDefault="00011DE9">
      <w:pPr>
        <w:pStyle w:val="P68B1DB1-Normal7"/>
        <w:spacing w:before="120" w:after="120" w:line="240" w:lineRule="auto"/>
        <w:rPr>
          <w:rFonts w:cs="Times New Roman"/>
          <w:noProof/>
        </w:rPr>
        <w:sectPr w:rsidR="00D924EA" w:rsidSect="00B528FB">
          <w:headerReference w:type="default" r:id="rId136"/>
          <w:footerReference w:type="default" r:id="rId137"/>
          <w:pgSz w:w="11907" w:h="16839"/>
          <w:pgMar w:top="1134" w:right="1134" w:bottom="1134" w:left="1134" w:header="567" w:footer="567" w:gutter="0"/>
          <w:cols w:space="720"/>
          <w:docGrid w:linePitch="360"/>
        </w:sect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183"/>
        <w:gridCol w:w="1559"/>
        <w:gridCol w:w="993"/>
        <w:gridCol w:w="992"/>
        <w:gridCol w:w="894"/>
        <w:gridCol w:w="415"/>
        <w:gridCol w:w="553"/>
        <w:gridCol w:w="5373"/>
      </w:tblGrid>
      <w:tr w:rsidR="00D924EA" w14:paraId="1B4D5A50" w14:textId="77777777" w:rsidTr="0042520D">
        <w:trPr>
          <w:trHeight w:val="309"/>
          <w:tblHeader/>
          <w:jc w:val="center"/>
        </w:trPr>
        <w:tc>
          <w:tcPr>
            <w:tcW w:w="833" w:type="dxa"/>
            <w:vMerge w:val="restart"/>
            <w:shd w:val="clear" w:color="auto" w:fill="C6D9F1"/>
            <w:noWrap/>
            <w:vAlign w:val="center"/>
          </w:tcPr>
          <w:p w14:paraId="16C2FC86" w14:textId="77777777" w:rsidR="00D924EA" w:rsidRDefault="00011DE9">
            <w:pPr>
              <w:pStyle w:val="P68B1DB1-Normal17"/>
              <w:spacing w:after="0" w:line="240" w:lineRule="auto"/>
              <w:jc w:val="center"/>
              <w:rPr>
                <w:rFonts w:cs="Times New Roman"/>
                <w:noProof/>
                <w:szCs w:val="18"/>
              </w:rPr>
            </w:pPr>
            <w:r>
              <w:rPr>
                <w:noProof/>
              </w:rPr>
              <w:t>Număr</w:t>
            </w:r>
          </w:p>
        </w:tc>
        <w:tc>
          <w:tcPr>
            <w:tcW w:w="829" w:type="dxa"/>
            <w:vMerge w:val="restart"/>
            <w:shd w:val="clear" w:color="auto" w:fill="C6D9F1"/>
            <w:noWrap/>
            <w:vAlign w:val="center"/>
          </w:tcPr>
          <w:p w14:paraId="515E6FE1" w14:textId="77777777" w:rsidR="00D924EA" w:rsidRDefault="00011DE9">
            <w:pPr>
              <w:pStyle w:val="P68B1DB1-Normal17"/>
              <w:spacing w:after="0" w:line="240" w:lineRule="auto"/>
              <w:jc w:val="center"/>
              <w:rPr>
                <w:rFonts w:cs="Times New Roman"/>
                <w:noProof/>
                <w:szCs w:val="18"/>
              </w:rPr>
            </w:pPr>
            <w:r>
              <w:rPr>
                <w:noProof/>
              </w:rPr>
              <w:t>Măsură</w:t>
            </w:r>
          </w:p>
        </w:tc>
        <w:tc>
          <w:tcPr>
            <w:tcW w:w="828" w:type="dxa"/>
            <w:vMerge w:val="restart"/>
            <w:shd w:val="clear" w:color="auto" w:fill="C6D9F1"/>
            <w:noWrap/>
            <w:vAlign w:val="center"/>
          </w:tcPr>
          <w:p w14:paraId="2EF6E45B" w14:textId="51B75CAA" w:rsidR="00D924EA" w:rsidRDefault="00011DE9">
            <w:pPr>
              <w:pStyle w:val="P68B1DB1-Normal6"/>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Etapă</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/Țintei</w:t>
            </w:r>
          </w:p>
        </w:tc>
        <w:tc>
          <w:tcPr>
            <w:tcW w:w="2183" w:type="dxa"/>
            <w:vMerge w:val="restart"/>
            <w:shd w:val="clear" w:color="auto" w:fill="C6D9F1"/>
            <w:noWrap/>
            <w:vAlign w:val="center"/>
          </w:tcPr>
          <w:p w14:paraId="50A333D3" w14:textId="77777777" w:rsidR="00D924EA" w:rsidRDefault="00011DE9">
            <w:pPr>
              <w:pStyle w:val="P68B1DB1-Normal17"/>
              <w:spacing w:after="0" w:line="240" w:lineRule="auto"/>
              <w:jc w:val="center"/>
              <w:rPr>
                <w:rFonts w:cs="Times New Roman"/>
                <w:noProof/>
                <w:szCs w:val="18"/>
              </w:rPr>
            </w:pPr>
            <w:r>
              <w:rPr>
                <w:noProof/>
              </w:rPr>
              <w:t>Nume</w:t>
            </w:r>
          </w:p>
        </w:tc>
        <w:tc>
          <w:tcPr>
            <w:tcW w:w="1559" w:type="dxa"/>
            <w:vMerge w:val="restart"/>
            <w:shd w:val="clear" w:color="auto" w:fill="C6D9F1"/>
            <w:noWrap/>
            <w:vAlign w:val="center"/>
          </w:tcPr>
          <w:p w14:paraId="20080B68" w14:textId="77777777" w:rsidR="00D924EA" w:rsidRDefault="00011DE9">
            <w:pPr>
              <w:pStyle w:val="P68B1DB1-Normal17"/>
              <w:spacing w:after="0" w:line="240" w:lineRule="auto"/>
              <w:jc w:val="center"/>
              <w:rPr>
                <w:rFonts w:cs="Times New Roman"/>
                <w:noProof/>
                <w:szCs w:val="18"/>
              </w:rPr>
            </w:pPr>
            <w:r>
              <w:rPr>
                <w:noProof/>
              </w:rPr>
              <w:t>Indicator calitativ pentru jaloane</w:t>
            </w:r>
          </w:p>
        </w:tc>
        <w:tc>
          <w:tcPr>
            <w:tcW w:w="2879" w:type="dxa"/>
            <w:gridSpan w:val="3"/>
            <w:shd w:val="clear" w:color="auto" w:fill="C6D9F1"/>
            <w:noWrap/>
            <w:vAlign w:val="center"/>
          </w:tcPr>
          <w:p w14:paraId="6FAA61E1" w14:textId="77777777" w:rsidR="00D924EA" w:rsidRDefault="00011DE9">
            <w:pPr>
              <w:pStyle w:val="P68B1DB1-Normal17"/>
              <w:spacing w:after="0" w:line="240" w:lineRule="auto"/>
              <w:jc w:val="center"/>
              <w:rPr>
                <w:rFonts w:cs="Times New Roman"/>
                <w:noProof/>
                <w:szCs w:val="18"/>
              </w:rPr>
            </w:pPr>
            <w:r>
              <w:rPr>
                <w:noProof/>
              </w:rPr>
              <w:t>Indicator cantitativ pentru ținte</w:t>
            </w:r>
          </w:p>
        </w:tc>
        <w:tc>
          <w:tcPr>
            <w:tcW w:w="968" w:type="dxa"/>
            <w:gridSpan w:val="2"/>
            <w:shd w:val="clear" w:color="auto" w:fill="C6D9F1"/>
            <w:noWrap/>
            <w:vAlign w:val="center"/>
          </w:tcPr>
          <w:p w14:paraId="7679F16A" w14:textId="77777777" w:rsidR="00D924EA" w:rsidRDefault="00011DE9">
            <w:pPr>
              <w:pStyle w:val="P68B1DB1-Normal17"/>
              <w:spacing w:after="0" w:line="240" w:lineRule="auto"/>
              <w:jc w:val="center"/>
              <w:rPr>
                <w:rFonts w:cs="Times New Roman"/>
                <w:noProof/>
                <w:szCs w:val="18"/>
              </w:rPr>
            </w:pPr>
            <w:r>
              <w:rPr>
                <w:noProof/>
              </w:rPr>
              <w:t>Timp</w:t>
            </w:r>
          </w:p>
        </w:tc>
        <w:tc>
          <w:tcPr>
            <w:tcW w:w="5373" w:type="dxa"/>
            <w:vMerge w:val="restart"/>
            <w:shd w:val="clear" w:color="auto" w:fill="C6D9F1"/>
            <w:noWrap/>
            <w:vAlign w:val="center"/>
          </w:tcPr>
          <w:p w14:paraId="3F2F794D" w14:textId="77777777" w:rsidR="00D924EA" w:rsidRDefault="00011DE9">
            <w:pPr>
              <w:pStyle w:val="P68B1DB1-Normal17"/>
              <w:spacing w:after="0" w:line="240" w:lineRule="auto"/>
              <w:jc w:val="center"/>
              <w:rPr>
                <w:rFonts w:cs="Times New Roman"/>
                <w:noProof/>
                <w:szCs w:val="18"/>
              </w:rPr>
            </w:pPr>
            <w:r>
              <w:rPr>
                <w:noProof/>
              </w:rPr>
              <w:t>Descrierea fiecărui jalon și a fiecărei ținte</w:t>
            </w:r>
          </w:p>
        </w:tc>
      </w:tr>
      <w:tr w:rsidR="00D924EA" w14:paraId="1A8327D6" w14:textId="77777777" w:rsidTr="0042520D">
        <w:trPr>
          <w:trHeight w:val="309"/>
          <w:tblHeader/>
          <w:jc w:val="center"/>
        </w:trPr>
        <w:tc>
          <w:tcPr>
            <w:tcW w:w="833" w:type="dxa"/>
            <w:vMerge/>
            <w:noWrap/>
          </w:tcPr>
          <w:p w14:paraId="018E72A7" w14:textId="77777777" w:rsidR="00D924EA" w:rsidRDefault="00D924EA">
            <w:pPr>
              <w:spacing w:after="0" w:line="240" w:lineRule="auto"/>
              <w:jc w:val="center"/>
              <w:rPr>
                <w:rFonts w:ascii="Times New Roman" w:eastAsia="Calibri" w:hAnsi="Times New Roman" w:cs="Times New Roman"/>
                <w:b/>
                <w:noProof/>
                <w:kern w:val="0"/>
                <w:sz w:val="18"/>
                <w:szCs w:val="18"/>
                <w14:ligatures w14:val="none"/>
              </w:rPr>
            </w:pPr>
          </w:p>
        </w:tc>
        <w:tc>
          <w:tcPr>
            <w:tcW w:w="829" w:type="dxa"/>
            <w:vMerge/>
            <w:noWrap/>
          </w:tcPr>
          <w:p w14:paraId="50D11E00" w14:textId="77777777" w:rsidR="00D924EA" w:rsidRDefault="00D924EA">
            <w:pPr>
              <w:spacing w:after="0" w:line="240" w:lineRule="auto"/>
              <w:jc w:val="center"/>
              <w:rPr>
                <w:rFonts w:ascii="Times New Roman" w:eastAsia="Calibri" w:hAnsi="Times New Roman" w:cs="Times New Roman"/>
                <w:b/>
                <w:noProof/>
                <w:kern w:val="0"/>
                <w:sz w:val="18"/>
                <w:szCs w:val="18"/>
                <w14:ligatures w14:val="none"/>
              </w:rPr>
            </w:pPr>
          </w:p>
        </w:tc>
        <w:tc>
          <w:tcPr>
            <w:tcW w:w="828" w:type="dxa"/>
            <w:vMerge/>
            <w:noWrap/>
          </w:tcPr>
          <w:p w14:paraId="0178BBB9" w14:textId="77777777" w:rsidR="00D924EA" w:rsidRDefault="00D924EA">
            <w:pPr>
              <w:spacing w:after="0" w:line="240" w:lineRule="auto"/>
              <w:jc w:val="center"/>
              <w:rPr>
                <w:rFonts w:ascii="Times New Roman" w:eastAsia="Calibri" w:hAnsi="Times New Roman" w:cs="Times New Roman"/>
                <w:b/>
                <w:noProof/>
                <w:kern w:val="0"/>
                <w:sz w:val="18"/>
                <w:szCs w:val="18"/>
                <w14:ligatures w14:val="none"/>
              </w:rPr>
            </w:pPr>
          </w:p>
        </w:tc>
        <w:tc>
          <w:tcPr>
            <w:tcW w:w="2183" w:type="dxa"/>
            <w:vMerge/>
            <w:noWrap/>
          </w:tcPr>
          <w:p w14:paraId="0FC65F5C" w14:textId="77777777" w:rsidR="00D924EA" w:rsidRDefault="00D924EA">
            <w:pPr>
              <w:spacing w:after="0" w:line="240" w:lineRule="auto"/>
              <w:rPr>
                <w:rFonts w:ascii="Times New Roman" w:eastAsia="Calibri" w:hAnsi="Times New Roman" w:cs="Times New Roman"/>
                <w:b/>
                <w:noProof/>
                <w:kern w:val="0"/>
                <w:sz w:val="18"/>
                <w:szCs w:val="18"/>
                <w14:ligatures w14:val="none"/>
              </w:rPr>
            </w:pPr>
          </w:p>
        </w:tc>
        <w:tc>
          <w:tcPr>
            <w:tcW w:w="1559" w:type="dxa"/>
            <w:vMerge/>
            <w:noWrap/>
          </w:tcPr>
          <w:p w14:paraId="4844F3E9" w14:textId="77777777" w:rsidR="00D924EA" w:rsidRDefault="00D924EA">
            <w:pPr>
              <w:spacing w:after="0" w:line="240" w:lineRule="auto"/>
              <w:jc w:val="center"/>
              <w:rPr>
                <w:rFonts w:ascii="Times New Roman" w:eastAsia="Calibri" w:hAnsi="Times New Roman" w:cs="Times New Roman"/>
                <w:b/>
                <w:noProof/>
                <w:kern w:val="0"/>
                <w:sz w:val="18"/>
                <w:szCs w:val="18"/>
                <w14:ligatures w14:val="none"/>
              </w:rPr>
            </w:pPr>
          </w:p>
        </w:tc>
        <w:tc>
          <w:tcPr>
            <w:tcW w:w="993" w:type="dxa"/>
            <w:shd w:val="clear" w:color="auto" w:fill="C6D9F1"/>
            <w:noWrap/>
          </w:tcPr>
          <w:p w14:paraId="184E0C6C" w14:textId="77777777" w:rsidR="00D924EA" w:rsidRDefault="00011DE9">
            <w:pPr>
              <w:pStyle w:val="P68B1DB1-Normal17"/>
              <w:spacing w:after="0" w:line="240" w:lineRule="auto"/>
              <w:jc w:val="center"/>
              <w:rPr>
                <w:rFonts w:cs="Times New Roman"/>
                <w:noProof/>
                <w:szCs w:val="18"/>
              </w:rPr>
            </w:pPr>
            <w:r>
              <w:rPr>
                <w:noProof/>
              </w:rPr>
              <w:t>Unitate</w:t>
            </w:r>
          </w:p>
        </w:tc>
        <w:tc>
          <w:tcPr>
            <w:tcW w:w="992" w:type="dxa"/>
            <w:shd w:val="clear" w:color="auto" w:fill="C6D9F1"/>
            <w:noWrap/>
          </w:tcPr>
          <w:p w14:paraId="053F5412" w14:textId="77777777" w:rsidR="00D924EA" w:rsidRDefault="00011DE9">
            <w:pPr>
              <w:pStyle w:val="P68B1DB1-Normal17"/>
              <w:spacing w:after="0" w:line="240" w:lineRule="auto"/>
              <w:jc w:val="center"/>
              <w:rPr>
                <w:rFonts w:cs="Times New Roman"/>
                <w:noProof/>
                <w:szCs w:val="18"/>
              </w:rPr>
            </w:pPr>
            <w:r>
              <w:rPr>
                <w:noProof/>
              </w:rPr>
              <w:t>Situația de referință</w:t>
            </w:r>
          </w:p>
        </w:tc>
        <w:tc>
          <w:tcPr>
            <w:tcW w:w="894" w:type="dxa"/>
            <w:shd w:val="clear" w:color="auto" w:fill="C6D9F1"/>
            <w:noWrap/>
          </w:tcPr>
          <w:p w14:paraId="6988D8EE" w14:textId="77777777" w:rsidR="00D924EA" w:rsidRDefault="00011DE9">
            <w:pPr>
              <w:pStyle w:val="P68B1DB1-Normal17"/>
              <w:spacing w:after="0" w:line="240" w:lineRule="auto"/>
              <w:jc w:val="center"/>
              <w:rPr>
                <w:rFonts w:cs="Times New Roman"/>
                <w:noProof/>
                <w:szCs w:val="18"/>
              </w:rPr>
            </w:pPr>
            <w:r>
              <w:rPr>
                <w:noProof/>
              </w:rPr>
              <w:t>Obiectiv</w:t>
            </w:r>
          </w:p>
        </w:tc>
        <w:tc>
          <w:tcPr>
            <w:tcW w:w="415" w:type="dxa"/>
            <w:shd w:val="clear" w:color="auto" w:fill="C6D9F1"/>
            <w:noWrap/>
          </w:tcPr>
          <w:p w14:paraId="41F70A9D" w14:textId="69A27AA3" w:rsidR="00D924EA" w:rsidRDefault="0042520D">
            <w:pPr>
              <w:pStyle w:val="P68B1DB1-Normal17"/>
              <w:spacing w:after="0" w:line="240" w:lineRule="auto"/>
              <w:jc w:val="center"/>
              <w:rPr>
                <w:rFonts w:cs="Times New Roman"/>
                <w:noProof/>
                <w:szCs w:val="18"/>
              </w:rPr>
            </w:pPr>
            <w:r>
              <w:rPr>
                <w:noProof/>
              </w:rPr>
              <w:t>T</w:t>
            </w:r>
          </w:p>
        </w:tc>
        <w:tc>
          <w:tcPr>
            <w:tcW w:w="553" w:type="dxa"/>
            <w:shd w:val="clear" w:color="auto" w:fill="C6D9F1"/>
            <w:noWrap/>
          </w:tcPr>
          <w:p w14:paraId="3D5EEEF2" w14:textId="77777777" w:rsidR="00D924EA" w:rsidRDefault="00011DE9">
            <w:pPr>
              <w:pStyle w:val="P68B1DB1-Normal17"/>
              <w:spacing w:after="0" w:line="240" w:lineRule="auto"/>
              <w:jc w:val="center"/>
              <w:rPr>
                <w:rFonts w:cs="Times New Roman"/>
                <w:noProof/>
                <w:szCs w:val="18"/>
              </w:rPr>
            </w:pPr>
            <w:r>
              <w:rPr>
                <w:noProof/>
              </w:rPr>
              <w:t>Anul</w:t>
            </w:r>
          </w:p>
        </w:tc>
        <w:tc>
          <w:tcPr>
            <w:tcW w:w="5373" w:type="dxa"/>
            <w:vMerge/>
            <w:noWrap/>
          </w:tcPr>
          <w:p w14:paraId="7E017F72" w14:textId="77777777" w:rsidR="00D924EA" w:rsidRDefault="00D924EA">
            <w:pPr>
              <w:spacing w:after="0" w:line="240" w:lineRule="auto"/>
              <w:rPr>
                <w:rFonts w:ascii="Times New Roman" w:eastAsia="Calibri" w:hAnsi="Times New Roman" w:cs="Times New Roman"/>
                <w:b/>
                <w:noProof/>
                <w:kern w:val="0"/>
                <w:sz w:val="18"/>
                <w:szCs w:val="18"/>
                <w14:ligatures w14:val="none"/>
              </w:rPr>
            </w:pPr>
          </w:p>
        </w:tc>
      </w:tr>
      <w:tr w:rsidR="00D924EA" w14:paraId="2027C84D" w14:textId="77777777" w:rsidTr="0042520D">
        <w:trPr>
          <w:trHeight w:val="309"/>
          <w:jc w:val="center"/>
        </w:trPr>
        <w:tc>
          <w:tcPr>
            <w:tcW w:w="833" w:type="dxa"/>
            <w:shd w:val="clear" w:color="auto" w:fill="C6EFCE"/>
            <w:noWrap/>
          </w:tcPr>
          <w:p w14:paraId="349BF41D" w14:textId="77777777" w:rsidR="00D924EA" w:rsidRDefault="00011DE9">
            <w:pPr>
              <w:pStyle w:val="P68B1DB1-Normal18"/>
              <w:spacing w:after="0" w:line="240" w:lineRule="auto"/>
              <w:jc w:val="center"/>
              <w:rPr>
                <w:rFonts w:eastAsia="Symbol" w:cs="Times New Roman"/>
                <w:noProof/>
                <w:szCs w:val="18"/>
              </w:rPr>
            </w:pPr>
            <w:r>
              <w:rPr>
                <w:noProof/>
              </w:rPr>
              <w:t>137</w:t>
            </w:r>
          </w:p>
        </w:tc>
        <w:tc>
          <w:tcPr>
            <w:tcW w:w="829" w:type="dxa"/>
            <w:shd w:val="clear" w:color="auto" w:fill="C6EFCE"/>
            <w:noWrap/>
          </w:tcPr>
          <w:p w14:paraId="5DF0DF4A" w14:textId="77777777" w:rsidR="00D924EA" w:rsidRDefault="00011DE9">
            <w:pPr>
              <w:pStyle w:val="P68B1DB1-Normal18"/>
              <w:spacing w:after="0" w:line="240" w:lineRule="auto"/>
              <w:jc w:val="center"/>
              <w:rPr>
                <w:rFonts w:eastAsia="Symbol" w:cs="Times New Roman"/>
                <w:noProof/>
                <w:szCs w:val="18"/>
              </w:rPr>
            </w:pPr>
            <w:r>
              <w:rPr>
                <w:noProof/>
              </w:rPr>
              <w:t>C10.R1</w:t>
            </w:r>
          </w:p>
        </w:tc>
        <w:tc>
          <w:tcPr>
            <w:tcW w:w="828" w:type="dxa"/>
            <w:shd w:val="clear" w:color="auto" w:fill="C6EFCE"/>
            <w:noWrap/>
          </w:tcPr>
          <w:p w14:paraId="7CB30327" w14:textId="77777777" w:rsidR="00D924EA" w:rsidRDefault="00011DE9">
            <w:pPr>
              <w:pStyle w:val="P68B1DB1-Normal18"/>
              <w:spacing w:after="0" w:line="240" w:lineRule="auto"/>
              <w:jc w:val="center"/>
              <w:rPr>
                <w:rFonts w:eastAsia="Symbol" w:cs="Times New Roman"/>
                <w:noProof/>
                <w:szCs w:val="18"/>
              </w:rPr>
            </w:pPr>
            <w:r>
              <w:rPr>
                <w:noProof/>
              </w:rPr>
              <w:t>M</w:t>
            </w:r>
          </w:p>
        </w:tc>
        <w:tc>
          <w:tcPr>
            <w:tcW w:w="2183" w:type="dxa"/>
            <w:shd w:val="clear" w:color="auto" w:fill="C6EFCE"/>
            <w:noWrap/>
          </w:tcPr>
          <w:p w14:paraId="7A8CF73C" w14:textId="77777777" w:rsidR="00D924EA" w:rsidRDefault="00011DE9">
            <w:pPr>
              <w:pStyle w:val="P68B1DB1-Normal18"/>
              <w:spacing w:after="0" w:line="240" w:lineRule="auto"/>
              <w:rPr>
                <w:rFonts w:eastAsia="Symbol" w:cs="Times New Roman"/>
                <w:noProof/>
                <w:szCs w:val="18"/>
              </w:rPr>
            </w:pPr>
            <w:r>
              <w:rPr>
                <w:noProof/>
              </w:rPr>
              <w:t xml:space="preserve">Crearea Institutului pentru Fondul pentru o tranziție justă </w:t>
            </w:r>
          </w:p>
        </w:tc>
        <w:tc>
          <w:tcPr>
            <w:tcW w:w="1559" w:type="dxa"/>
            <w:shd w:val="clear" w:color="auto" w:fill="C6EFCE"/>
            <w:noWrap/>
          </w:tcPr>
          <w:p w14:paraId="0CF5B39C" w14:textId="77777777" w:rsidR="00D924EA" w:rsidRDefault="00011DE9">
            <w:pPr>
              <w:pStyle w:val="P68B1DB1-Normal18"/>
              <w:spacing w:after="0" w:line="240" w:lineRule="auto"/>
              <w:jc w:val="center"/>
              <w:rPr>
                <w:rFonts w:eastAsia="Symbol" w:cs="Times New Roman"/>
                <w:noProof/>
                <w:szCs w:val="18"/>
              </w:rPr>
            </w:pPr>
            <w:r>
              <w:rPr>
                <w:noProof/>
              </w:rPr>
              <w:t>Publicarea în JO</w:t>
            </w:r>
          </w:p>
        </w:tc>
        <w:tc>
          <w:tcPr>
            <w:tcW w:w="993" w:type="dxa"/>
            <w:shd w:val="clear" w:color="auto" w:fill="C6EFCE"/>
            <w:noWrap/>
          </w:tcPr>
          <w:p w14:paraId="48F8100F" w14:textId="77777777" w:rsidR="00D924EA" w:rsidRDefault="00011DE9">
            <w:pPr>
              <w:pStyle w:val="P68B1DB1-Normal18"/>
              <w:spacing w:after="0" w:line="240" w:lineRule="auto"/>
              <w:jc w:val="right"/>
              <w:rPr>
                <w:rFonts w:eastAsia="Symbol" w:cs="Times New Roman"/>
                <w:noProof/>
                <w:szCs w:val="18"/>
              </w:rPr>
            </w:pPr>
            <w:r>
              <w:rPr>
                <w:noProof/>
              </w:rPr>
              <w:t xml:space="preserve"> </w:t>
            </w:r>
          </w:p>
        </w:tc>
        <w:tc>
          <w:tcPr>
            <w:tcW w:w="992" w:type="dxa"/>
            <w:shd w:val="clear" w:color="auto" w:fill="C6EFCE"/>
            <w:noWrap/>
          </w:tcPr>
          <w:p w14:paraId="6F8CE59D" w14:textId="77777777" w:rsidR="00D924EA" w:rsidRDefault="00011DE9">
            <w:pPr>
              <w:pStyle w:val="P68B1DB1-Normal18"/>
              <w:spacing w:after="0" w:line="240" w:lineRule="auto"/>
              <w:jc w:val="right"/>
              <w:rPr>
                <w:rFonts w:eastAsia="Symbol" w:cs="Times New Roman"/>
                <w:noProof/>
                <w:szCs w:val="18"/>
              </w:rPr>
            </w:pPr>
            <w:r>
              <w:rPr>
                <w:noProof/>
              </w:rPr>
              <w:t xml:space="preserve"> </w:t>
            </w:r>
          </w:p>
        </w:tc>
        <w:tc>
          <w:tcPr>
            <w:tcW w:w="894" w:type="dxa"/>
            <w:shd w:val="clear" w:color="auto" w:fill="C6EFCE"/>
            <w:noWrap/>
          </w:tcPr>
          <w:p w14:paraId="0B51B3E5" w14:textId="77777777" w:rsidR="00D924EA" w:rsidRDefault="00011DE9">
            <w:pPr>
              <w:pStyle w:val="P68B1DB1-Normal18"/>
              <w:spacing w:after="0" w:line="240" w:lineRule="auto"/>
              <w:jc w:val="right"/>
              <w:rPr>
                <w:rFonts w:eastAsia="Symbol" w:cs="Times New Roman"/>
                <w:noProof/>
                <w:szCs w:val="18"/>
              </w:rPr>
            </w:pPr>
            <w:r>
              <w:rPr>
                <w:noProof/>
              </w:rPr>
              <w:t xml:space="preserve"> </w:t>
            </w:r>
          </w:p>
        </w:tc>
        <w:tc>
          <w:tcPr>
            <w:tcW w:w="415" w:type="dxa"/>
            <w:shd w:val="clear" w:color="auto" w:fill="C6EFCE"/>
            <w:noWrap/>
          </w:tcPr>
          <w:p w14:paraId="586F1568" w14:textId="1CCCDD21" w:rsidR="00D924EA" w:rsidRDefault="0042520D">
            <w:pPr>
              <w:pStyle w:val="P68B1DB1-Normal18"/>
              <w:spacing w:after="0" w:line="240" w:lineRule="auto"/>
              <w:jc w:val="center"/>
              <w:rPr>
                <w:rFonts w:eastAsia="Symbol" w:cs="Times New Roman"/>
                <w:noProof/>
                <w:szCs w:val="18"/>
              </w:rPr>
            </w:pPr>
            <w:r>
              <w:rPr>
                <w:noProof/>
              </w:rPr>
              <w:t>T</w:t>
            </w:r>
            <w:r w:rsidR="00011DE9">
              <w:rPr>
                <w:noProof/>
              </w:rPr>
              <w:t>1</w:t>
            </w:r>
          </w:p>
        </w:tc>
        <w:tc>
          <w:tcPr>
            <w:tcW w:w="553" w:type="dxa"/>
            <w:shd w:val="clear" w:color="auto" w:fill="C6EFCE"/>
            <w:noWrap/>
          </w:tcPr>
          <w:p w14:paraId="38951FFB" w14:textId="77777777" w:rsidR="00D924EA" w:rsidRDefault="00011DE9">
            <w:pPr>
              <w:pStyle w:val="P68B1DB1-Normal18"/>
              <w:spacing w:after="0" w:line="240" w:lineRule="auto"/>
              <w:jc w:val="center"/>
              <w:rPr>
                <w:rFonts w:eastAsia="Symbol" w:cs="Times New Roman"/>
                <w:noProof/>
                <w:szCs w:val="18"/>
              </w:rPr>
            </w:pPr>
            <w:r>
              <w:rPr>
                <w:noProof/>
              </w:rPr>
              <w:t>2020</w:t>
            </w:r>
          </w:p>
        </w:tc>
        <w:tc>
          <w:tcPr>
            <w:tcW w:w="5373" w:type="dxa"/>
            <w:shd w:val="clear" w:color="auto" w:fill="C6EFCE"/>
            <w:noWrap/>
          </w:tcPr>
          <w:p w14:paraId="4BF8BAEC" w14:textId="77777777" w:rsidR="00D924EA" w:rsidRDefault="00011DE9">
            <w:pPr>
              <w:pStyle w:val="P68B1DB1-Normal18"/>
              <w:spacing w:after="0" w:line="240" w:lineRule="auto"/>
              <w:rPr>
                <w:rFonts w:eastAsia="Symbol" w:cs="Times New Roman"/>
                <w:noProof/>
                <w:szCs w:val="18"/>
              </w:rPr>
            </w:pPr>
            <w:r>
              <w:rPr>
                <w:noProof/>
              </w:rPr>
              <w:t>Prin Decretul regal nr. 500/2020, crearea Institutului pentru Fondul pentru o tranziție justă. Obiectivul institutului este de a identifica și de a adopta măsuri, bazate pe solidaritate, care să garanteze tratamentul echitabil al lucrătorilor și al teritoriilor afectate de tranziția către o economie cu emisii scăzute de dioxid de carbon, reducând la minimum impactul negativ asupra ocupării forței de muncă și a populației acestor teritorii și optimizând oportunitățile procesului de transformare.</w:t>
            </w:r>
          </w:p>
        </w:tc>
      </w:tr>
      <w:tr w:rsidR="00D924EA" w14:paraId="1C69A263" w14:textId="77777777" w:rsidTr="0042520D">
        <w:trPr>
          <w:trHeight w:val="309"/>
          <w:jc w:val="center"/>
        </w:trPr>
        <w:tc>
          <w:tcPr>
            <w:tcW w:w="833" w:type="dxa"/>
            <w:shd w:val="clear" w:color="auto" w:fill="C6EFCE"/>
            <w:noWrap/>
          </w:tcPr>
          <w:p w14:paraId="313C0046" w14:textId="77777777" w:rsidR="00D924EA" w:rsidRDefault="00011DE9">
            <w:pPr>
              <w:pStyle w:val="P68B1DB1-Normal18"/>
              <w:spacing w:after="0" w:line="240" w:lineRule="auto"/>
              <w:jc w:val="center"/>
              <w:rPr>
                <w:rFonts w:eastAsia="Symbol" w:cs="Times New Roman"/>
                <w:noProof/>
                <w:szCs w:val="18"/>
              </w:rPr>
            </w:pPr>
            <w:r>
              <w:rPr>
                <w:noProof/>
              </w:rPr>
              <w:t>138</w:t>
            </w:r>
          </w:p>
        </w:tc>
        <w:tc>
          <w:tcPr>
            <w:tcW w:w="829" w:type="dxa"/>
            <w:shd w:val="clear" w:color="auto" w:fill="C6EFCE"/>
            <w:noWrap/>
          </w:tcPr>
          <w:p w14:paraId="65E35026" w14:textId="77777777" w:rsidR="00D924EA" w:rsidRDefault="00011DE9">
            <w:pPr>
              <w:pStyle w:val="P68B1DB1-Normal18"/>
              <w:spacing w:after="0" w:line="240" w:lineRule="auto"/>
              <w:jc w:val="center"/>
              <w:rPr>
                <w:rFonts w:eastAsia="Symbol" w:cs="Times New Roman"/>
                <w:noProof/>
                <w:szCs w:val="18"/>
              </w:rPr>
            </w:pPr>
            <w:r>
              <w:rPr>
                <w:noProof/>
              </w:rPr>
              <w:t>C10.R1</w:t>
            </w:r>
          </w:p>
        </w:tc>
        <w:tc>
          <w:tcPr>
            <w:tcW w:w="828" w:type="dxa"/>
            <w:shd w:val="clear" w:color="auto" w:fill="C6EFCE"/>
            <w:noWrap/>
          </w:tcPr>
          <w:p w14:paraId="5C86B006" w14:textId="77777777" w:rsidR="00D924EA" w:rsidRDefault="00011DE9">
            <w:pPr>
              <w:pStyle w:val="P68B1DB1-Normal18"/>
              <w:spacing w:after="0" w:line="240" w:lineRule="auto"/>
              <w:jc w:val="center"/>
              <w:rPr>
                <w:rFonts w:eastAsia="Symbol" w:cs="Times New Roman"/>
                <w:noProof/>
                <w:szCs w:val="18"/>
              </w:rPr>
            </w:pPr>
            <w:r>
              <w:rPr>
                <w:noProof/>
              </w:rPr>
              <w:t>T</w:t>
            </w:r>
          </w:p>
        </w:tc>
        <w:tc>
          <w:tcPr>
            <w:tcW w:w="2183" w:type="dxa"/>
            <w:shd w:val="clear" w:color="auto" w:fill="C6EFCE"/>
            <w:noWrap/>
          </w:tcPr>
          <w:p w14:paraId="361BB770" w14:textId="77777777" w:rsidR="00D924EA" w:rsidRDefault="00011DE9">
            <w:pPr>
              <w:pStyle w:val="P68B1DB1-Normal18"/>
              <w:spacing w:after="0" w:line="240" w:lineRule="auto"/>
              <w:rPr>
                <w:rFonts w:eastAsia="Symbol" w:cs="Times New Roman"/>
                <w:noProof/>
                <w:szCs w:val="18"/>
              </w:rPr>
            </w:pPr>
            <w:r>
              <w:rPr>
                <w:noProof/>
              </w:rPr>
              <w:t xml:space="preserve">Protocoalele pentru o tranziție justă și Consiliul consultativ </w:t>
            </w:r>
          </w:p>
        </w:tc>
        <w:tc>
          <w:tcPr>
            <w:tcW w:w="1559" w:type="dxa"/>
            <w:shd w:val="clear" w:color="auto" w:fill="C6EFCE"/>
            <w:noWrap/>
          </w:tcPr>
          <w:p w14:paraId="605914AF" w14:textId="77777777" w:rsidR="00D924EA" w:rsidRDefault="00011DE9">
            <w:pPr>
              <w:pStyle w:val="P68B1DB1-Normal18"/>
              <w:spacing w:after="0" w:line="240" w:lineRule="auto"/>
              <w:jc w:val="center"/>
              <w:rPr>
                <w:rFonts w:eastAsia="Symbol" w:cs="Times New Roman"/>
                <w:noProof/>
                <w:szCs w:val="18"/>
              </w:rPr>
            </w:pPr>
            <w:r>
              <w:rPr>
                <w:noProof/>
              </w:rPr>
              <w:t>—</w:t>
            </w:r>
          </w:p>
        </w:tc>
        <w:tc>
          <w:tcPr>
            <w:tcW w:w="993" w:type="dxa"/>
            <w:shd w:val="clear" w:color="auto" w:fill="C6EFCE"/>
            <w:noWrap/>
          </w:tcPr>
          <w:p w14:paraId="547B64F9" w14:textId="77777777" w:rsidR="00D924EA" w:rsidRDefault="00011DE9">
            <w:pPr>
              <w:pStyle w:val="P68B1DB1-Normal18"/>
              <w:spacing w:after="0" w:line="240" w:lineRule="auto"/>
              <w:jc w:val="right"/>
              <w:rPr>
                <w:rFonts w:eastAsia="Symbol" w:cs="Times New Roman"/>
                <w:noProof/>
                <w:szCs w:val="18"/>
              </w:rPr>
            </w:pPr>
            <w:r>
              <w:rPr>
                <w:noProof/>
              </w:rPr>
              <w:t>Număr</w:t>
            </w:r>
          </w:p>
        </w:tc>
        <w:tc>
          <w:tcPr>
            <w:tcW w:w="992" w:type="dxa"/>
            <w:shd w:val="clear" w:color="auto" w:fill="C6EFCE"/>
            <w:noWrap/>
          </w:tcPr>
          <w:p w14:paraId="1CDD97C6" w14:textId="77777777" w:rsidR="00D924EA" w:rsidRDefault="00011DE9">
            <w:pPr>
              <w:pStyle w:val="P68B1DB1-Normal18"/>
              <w:spacing w:after="0" w:line="240" w:lineRule="auto"/>
              <w:jc w:val="right"/>
              <w:rPr>
                <w:rFonts w:eastAsia="Symbol" w:cs="Times New Roman"/>
                <w:noProof/>
                <w:szCs w:val="18"/>
              </w:rPr>
            </w:pPr>
            <w:r>
              <w:rPr>
                <w:noProof/>
              </w:rPr>
              <w:t>0</w:t>
            </w:r>
          </w:p>
        </w:tc>
        <w:tc>
          <w:tcPr>
            <w:tcW w:w="894" w:type="dxa"/>
            <w:shd w:val="clear" w:color="auto" w:fill="C6EFCE"/>
            <w:noWrap/>
          </w:tcPr>
          <w:p w14:paraId="7C144F4F" w14:textId="77777777" w:rsidR="00D924EA" w:rsidRDefault="00011DE9">
            <w:pPr>
              <w:pStyle w:val="P68B1DB1-Normal18"/>
              <w:spacing w:after="0" w:line="240" w:lineRule="auto"/>
              <w:jc w:val="right"/>
              <w:rPr>
                <w:rFonts w:eastAsia="Symbol" w:cs="Times New Roman"/>
                <w:noProof/>
                <w:szCs w:val="18"/>
              </w:rPr>
            </w:pPr>
            <w:r>
              <w:rPr>
                <w:noProof/>
              </w:rPr>
              <w:t>12</w:t>
            </w:r>
          </w:p>
        </w:tc>
        <w:tc>
          <w:tcPr>
            <w:tcW w:w="415" w:type="dxa"/>
            <w:shd w:val="clear" w:color="auto" w:fill="C6EFCE"/>
            <w:noWrap/>
          </w:tcPr>
          <w:p w14:paraId="3233755F" w14:textId="311D8110" w:rsidR="00D924EA" w:rsidRDefault="005701C9">
            <w:pPr>
              <w:pStyle w:val="P68B1DB1-Normal18"/>
              <w:spacing w:after="0" w:line="240" w:lineRule="auto"/>
              <w:jc w:val="center"/>
              <w:rPr>
                <w:rFonts w:eastAsia="Symbol" w:cs="Times New Roman"/>
                <w:noProof/>
                <w:szCs w:val="18"/>
              </w:rPr>
            </w:pPr>
            <w:r>
              <w:rPr>
                <w:noProof/>
              </w:rPr>
              <w:t>T2</w:t>
            </w:r>
          </w:p>
        </w:tc>
        <w:tc>
          <w:tcPr>
            <w:tcW w:w="553" w:type="dxa"/>
            <w:shd w:val="clear" w:color="auto" w:fill="C6EFCE"/>
            <w:noWrap/>
          </w:tcPr>
          <w:p w14:paraId="7B2A9819" w14:textId="77777777" w:rsidR="00D924EA" w:rsidRDefault="00011DE9">
            <w:pPr>
              <w:pStyle w:val="P68B1DB1-Normal18"/>
              <w:spacing w:after="0" w:line="240" w:lineRule="auto"/>
              <w:jc w:val="center"/>
              <w:rPr>
                <w:rFonts w:eastAsia="Symbol" w:cs="Times New Roman"/>
                <w:noProof/>
                <w:szCs w:val="18"/>
              </w:rPr>
            </w:pPr>
            <w:r>
              <w:rPr>
                <w:noProof/>
              </w:rPr>
              <w:t>2023</w:t>
            </w:r>
          </w:p>
        </w:tc>
        <w:tc>
          <w:tcPr>
            <w:tcW w:w="5373" w:type="dxa"/>
            <w:shd w:val="clear" w:color="auto" w:fill="C6EFCE"/>
            <w:noWrap/>
          </w:tcPr>
          <w:p w14:paraId="2C19E813" w14:textId="77777777" w:rsidR="00D924EA" w:rsidRDefault="00011DE9">
            <w:pPr>
              <w:pStyle w:val="P68B1DB1-Normal18"/>
              <w:spacing w:after="0" w:line="240" w:lineRule="auto"/>
              <w:rPr>
                <w:rFonts w:cs="Times New Roman"/>
                <w:noProof/>
                <w:szCs w:val="18"/>
              </w:rPr>
            </w:pPr>
            <w:r>
              <w:rPr>
                <w:noProof/>
              </w:rPr>
              <w:t>După un proces participativ, publicarea pe site-ul dedicat tranziției juste a 12 protocoale pentru o tranziție justă, care includ angajamente privind ocuparea forței de muncă, refacerea mediului și dezvoltarea economică și socială pentru populația locală din 12 de zone afectate. Fiecare dintre protocoalele pentru o tranziție justă acoperă cel puțin o zonă afectată de închiderea unei centrale electrice pe bază de cărbune.</w:t>
            </w:r>
          </w:p>
          <w:p w14:paraId="78E8F771" w14:textId="77777777" w:rsidR="00D924EA" w:rsidRDefault="00011DE9">
            <w:pPr>
              <w:pStyle w:val="P68B1DB1-Normal18"/>
              <w:spacing w:after="0" w:line="240" w:lineRule="auto"/>
              <w:rPr>
                <w:rFonts w:cs="Times New Roman"/>
                <w:noProof/>
                <w:szCs w:val="18"/>
              </w:rPr>
            </w:pPr>
            <w:r>
              <w:rPr>
                <w:noProof/>
              </w:rPr>
              <w:t>Crearea unui consiliu consultativ, alcătuit din reprezentanți ai departamentelor ministeriale și reprezentanți ai autorităților locale și regionale, care să ofere consiliere și să evalueze impactul politicilor pentru o tranziție justă</w:t>
            </w:r>
          </w:p>
        </w:tc>
      </w:tr>
      <w:tr w:rsidR="00D924EA" w14:paraId="49C14B28" w14:textId="77777777" w:rsidTr="0042520D">
        <w:trPr>
          <w:trHeight w:val="309"/>
          <w:jc w:val="center"/>
        </w:trPr>
        <w:tc>
          <w:tcPr>
            <w:tcW w:w="833" w:type="dxa"/>
            <w:shd w:val="clear" w:color="auto" w:fill="C6EFCE"/>
            <w:noWrap/>
          </w:tcPr>
          <w:p w14:paraId="1B877F04" w14:textId="77777777" w:rsidR="00D924EA" w:rsidRDefault="00011DE9">
            <w:pPr>
              <w:pStyle w:val="P68B1DB1-Normal18"/>
              <w:spacing w:after="0" w:line="240" w:lineRule="auto"/>
              <w:jc w:val="center"/>
              <w:rPr>
                <w:rFonts w:eastAsia="Symbol" w:cs="Times New Roman"/>
                <w:noProof/>
                <w:szCs w:val="18"/>
              </w:rPr>
            </w:pPr>
            <w:r>
              <w:rPr>
                <w:noProof/>
              </w:rPr>
              <w:t>139</w:t>
            </w:r>
          </w:p>
        </w:tc>
        <w:tc>
          <w:tcPr>
            <w:tcW w:w="829" w:type="dxa"/>
            <w:shd w:val="clear" w:color="auto" w:fill="C6EFCE"/>
            <w:noWrap/>
          </w:tcPr>
          <w:p w14:paraId="38208822" w14:textId="77777777" w:rsidR="00D924EA" w:rsidRDefault="00011DE9">
            <w:pPr>
              <w:pStyle w:val="P68B1DB1-Normal18"/>
              <w:spacing w:after="0" w:line="240" w:lineRule="auto"/>
              <w:jc w:val="center"/>
              <w:rPr>
                <w:rFonts w:eastAsia="Symbol" w:cs="Times New Roman"/>
                <w:noProof/>
                <w:szCs w:val="18"/>
              </w:rPr>
            </w:pPr>
            <w:r>
              <w:rPr>
                <w:noProof/>
              </w:rPr>
              <w:t>C10.I1</w:t>
            </w:r>
          </w:p>
        </w:tc>
        <w:tc>
          <w:tcPr>
            <w:tcW w:w="828" w:type="dxa"/>
            <w:shd w:val="clear" w:color="auto" w:fill="C6EFCE"/>
            <w:noWrap/>
          </w:tcPr>
          <w:p w14:paraId="5313455C" w14:textId="77777777" w:rsidR="00D924EA" w:rsidRDefault="00011DE9">
            <w:pPr>
              <w:pStyle w:val="P68B1DB1-Normal18"/>
              <w:spacing w:after="0" w:line="240" w:lineRule="auto"/>
              <w:jc w:val="center"/>
              <w:rPr>
                <w:rFonts w:eastAsia="Symbol" w:cs="Times New Roman"/>
                <w:noProof/>
                <w:szCs w:val="18"/>
              </w:rPr>
            </w:pPr>
            <w:r>
              <w:rPr>
                <w:noProof/>
              </w:rPr>
              <w:t>M</w:t>
            </w:r>
          </w:p>
        </w:tc>
        <w:tc>
          <w:tcPr>
            <w:tcW w:w="2183" w:type="dxa"/>
            <w:shd w:val="clear" w:color="auto" w:fill="C6EFCE"/>
            <w:noWrap/>
          </w:tcPr>
          <w:p w14:paraId="2558BF6D" w14:textId="77777777" w:rsidR="00D924EA" w:rsidRDefault="00011DE9">
            <w:pPr>
              <w:pStyle w:val="P68B1DB1-Normal18"/>
              <w:spacing w:after="0" w:line="240" w:lineRule="auto"/>
              <w:rPr>
                <w:rFonts w:eastAsia="Symbol" w:cs="Times New Roman"/>
                <w:noProof/>
                <w:szCs w:val="18"/>
              </w:rPr>
            </w:pPr>
            <w:r>
              <w:rPr>
                <w:noProof/>
              </w:rPr>
              <w:t>Programul de ajutoare pentru formare „Tranziția justă” și acordarea de ajutoare pentru dezvoltarea economică a zonelor vizate de tranziția justă</w:t>
            </w:r>
          </w:p>
        </w:tc>
        <w:tc>
          <w:tcPr>
            <w:tcW w:w="1559" w:type="dxa"/>
            <w:shd w:val="clear" w:color="auto" w:fill="C6EFCE"/>
            <w:noWrap/>
          </w:tcPr>
          <w:p w14:paraId="58B48CBE" w14:textId="77777777" w:rsidR="00D924EA" w:rsidRDefault="00011DE9">
            <w:pPr>
              <w:pStyle w:val="P68B1DB1-Normal18"/>
              <w:spacing w:after="0" w:line="240" w:lineRule="auto"/>
              <w:jc w:val="center"/>
              <w:rPr>
                <w:rFonts w:eastAsia="Symbol" w:cs="Times New Roman"/>
                <w:noProof/>
                <w:szCs w:val="18"/>
              </w:rPr>
            </w:pPr>
            <w:r>
              <w:rPr>
                <w:noProof/>
              </w:rPr>
              <w:t>Publicarea în JO</w:t>
            </w:r>
          </w:p>
        </w:tc>
        <w:tc>
          <w:tcPr>
            <w:tcW w:w="993" w:type="dxa"/>
            <w:shd w:val="clear" w:color="auto" w:fill="C6EFCE"/>
            <w:noWrap/>
          </w:tcPr>
          <w:p w14:paraId="21882E31" w14:textId="77777777" w:rsidR="00D924EA" w:rsidRDefault="00011DE9">
            <w:pPr>
              <w:pStyle w:val="P68B1DB1-Normal18"/>
              <w:spacing w:after="0" w:line="240" w:lineRule="auto"/>
              <w:jc w:val="right"/>
              <w:rPr>
                <w:rFonts w:eastAsia="Symbol" w:cs="Times New Roman"/>
                <w:noProof/>
                <w:szCs w:val="18"/>
              </w:rPr>
            </w:pPr>
            <w:r>
              <w:rPr>
                <w:noProof/>
              </w:rPr>
              <w:t xml:space="preserve"> </w:t>
            </w:r>
          </w:p>
        </w:tc>
        <w:tc>
          <w:tcPr>
            <w:tcW w:w="992" w:type="dxa"/>
            <w:shd w:val="clear" w:color="auto" w:fill="C6EFCE"/>
            <w:noWrap/>
          </w:tcPr>
          <w:p w14:paraId="0060C720" w14:textId="77777777" w:rsidR="00D924EA" w:rsidRDefault="00011DE9">
            <w:pPr>
              <w:pStyle w:val="P68B1DB1-Normal18"/>
              <w:spacing w:after="0" w:line="240" w:lineRule="auto"/>
              <w:jc w:val="right"/>
              <w:rPr>
                <w:rFonts w:eastAsia="Symbol" w:cs="Times New Roman"/>
                <w:noProof/>
                <w:szCs w:val="18"/>
              </w:rPr>
            </w:pPr>
            <w:r>
              <w:rPr>
                <w:noProof/>
              </w:rPr>
              <w:t xml:space="preserve"> </w:t>
            </w:r>
          </w:p>
        </w:tc>
        <w:tc>
          <w:tcPr>
            <w:tcW w:w="894" w:type="dxa"/>
            <w:shd w:val="clear" w:color="auto" w:fill="C6EFCE"/>
            <w:noWrap/>
          </w:tcPr>
          <w:p w14:paraId="1BC3C861" w14:textId="77777777" w:rsidR="00D924EA" w:rsidRDefault="00011DE9">
            <w:pPr>
              <w:pStyle w:val="P68B1DB1-Normal18"/>
              <w:spacing w:after="0" w:line="240" w:lineRule="auto"/>
              <w:jc w:val="right"/>
              <w:rPr>
                <w:rFonts w:eastAsia="Symbol" w:cs="Times New Roman"/>
                <w:noProof/>
                <w:szCs w:val="18"/>
              </w:rPr>
            </w:pPr>
            <w:r>
              <w:rPr>
                <w:noProof/>
              </w:rPr>
              <w:t xml:space="preserve"> </w:t>
            </w:r>
          </w:p>
        </w:tc>
        <w:tc>
          <w:tcPr>
            <w:tcW w:w="415" w:type="dxa"/>
            <w:shd w:val="clear" w:color="auto" w:fill="C6EFCE"/>
            <w:noWrap/>
          </w:tcPr>
          <w:p w14:paraId="40EAFC18" w14:textId="4D99BC75" w:rsidR="00D924EA" w:rsidRDefault="005701C9">
            <w:pPr>
              <w:pStyle w:val="P68B1DB1-Normal18"/>
              <w:spacing w:after="0" w:line="240" w:lineRule="auto"/>
              <w:jc w:val="center"/>
              <w:rPr>
                <w:rFonts w:eastAsia="Symbol" w:cs="Times New Roman"/>
                <w:noProof/>
                <w:szCs w:val="18"/>
              </w:rPr>
            </w:pPr>
            <w:r>
              <w:rPr>
                <w:noProof/>
              </w:rPr>
              <w:t>T4</w:t>
            </w:r>
          </w:p>
        </w:tc>
        <w:tc>
          <w:tcPr>
            <w:tcW w:w="553" w:type="dxa"/>
            <w:shd w:val="clear" w:color="auto" w:fill="C6EFCE"/>
            <w:noWrap/>
          </w:tcPr>
          <w:p w14:paraId="11D5F831" w14:textId="77777777" w:rsidR="00D924EA" w:rsidRDefault="00011DE9">
            <w:pPr>
              <w:pStyle w:val="P68B1DB1-Normal18"/>
              <w:spacing w:after="0" w:line="240" w:lineRule="auto"/>
              <w:jc w:val="center"/>
              <w:rPr>
                <w:rFonts w:eastAsia="Symbol" w:cs="Times New Roman"/>
                <w:noProof/>
                <w:szCs w:val="18"/>
              </w:rPr>
            </w:pPr>
            <w:r>
              <w:rPr>
                <w:noProof/>
              </w:rPr>
              <w:t>2021</w:t>
            </w:r>
          </w:p>
        </w:tc>
        <w:tc>
          <w:tcPr>
            <w:tcW w:w="5373" w:type="dxa"/>
            <w:shd w:val="clear" w:color="auto" w:fill="C6EFCE"/>
            <w:noWrap/>
          </w:tcPr>
          <w:p w14:paraId="589F309D" w14:textId="77777777" w:rsidR="00D924EA" w:rsidRDefault="00011DE9">
            <w:pPr>
              <w:pStyle w:val="P68B1DB1-Normal18"/>
              <w:spacing w:after="0" w:line="240" w:lineRule="auto"/>
              <w:rPr>
                <w:noProof/>
              </w:rPr>
            </w:pPr>
            <w:r>
              <w:rPr>
                <w:noProof/>
              </w:rPr>
              <w:t>Publicarea în Jurnalul Oficial a: (a) ordin de aprobare a cadrului de reglementare pentru programul de ajutor pentru formare „tranziție justă”, specificând planul de sprijin pentru calificarea profesională și integrarea pe piața muncii a lucrătorilor și a persoanelor afectate de tranziția către o economie cu emisii scăzute de dioxid de carbon; și (b) ordin de stabilire a bazelor de reglementare pentru acordarea de ajutoare pentru dezvoltarea economică a zonelor vizate de tranziția justă, prin dezvoltarea infrastructurii de mediu, digitale și sociale în municipalitățile și teritoriile aflate în tranziție către o economie cu emisii scăzute de dioxid de carbon.</w:t>
            </w:r>
          </w:p>
          <w:p w14:paraId="6E18D571" w14:textId="7AF72142" w:rsidR="00D924EA" w:rsidRDefault="00011DE9">
            <w:pPr>
              <w:pStyle w:val="P68B1DB1-Normal50"/>
              <w:spacing w:after="0" w:line="240" w:lineRule="auto"/>
              <w:rPr>
                <w:noProof/>
              </w:rPr>
            </w:pPr>
            <w:r>
              <w:rPr>
                <w:noProof/>
              </w:rPr>
              <w:t>În sensul prezentului acord operațional, o aprobare semnată de autoritatea competentă și publicarea pe site-ul/platforma oficial (ă) relevant (ă) sunt considerate un indicator calitativ al intrării în vigoare. Domeniul de acțiune acoperă toate teritoriile afectate de tranziția energetică; în special cele direct afectate de închiderea siturilor de extracție a cărbunelui sau a zonelor adiacente centralelor termice sau nucleare.</w:t>
            </w:r>
          </w:p>
        </w:tc>
      </w:tr>
      <w:tr w:rsidR="00D924EA" w14:paraId="163EFE0A" w14:textId="77777777" w:rsidTr="0042520D">
        <w:trPr>
          <w:trHeight w:val="309"/>
          <w:jc w:val="center"/>
        </w:trPr>
        <w:tc>
          <w:tcPr>
            <w:tcW w:w="833" w:type="dxa"/>
            <w:shd w:val="clear" w:color="auto" w:fill="C6EFCE"/>
            <w:noWrap/>
          </w:tcPr>
          <w:p w14:paraId="176D2828" w14:textId="77777777" w:rsidR="00D924EA" w:rsidRDefault="00011DE9">
            <w:pPr>
              <w:pStyle w:val="P68B1DB1-Normal18"/>
              <w:spacing w:after="0" w:line="240" w:lineRule="auto"/>
              <w:jc w:val="center"/>
              <w:rPr>
                <w:rFonts w:eastAsia="Symbol" w:cs="Times New Roman"/>
                <w:noProof/>
                <w:szCs w:val="18"/>
              </w:rPr>
            </w:pPr>
            <w:r>
              <w:rPr>
                <w:noProof/>
              </w:rPr>
              <w:t>140</w:t>
            </w:r>
          </w:p>
        </w:tc>
        <w:tc>
          <w:tcPr>
            <w:tcW w:w="829" w:type="dxa"/>
            <w:shd w:val="clear" w:color="auto" w:fill="C6EFCE"/>
            <w:noWrap/>
          </w:tcPr>
          <w:p w14:paraId="51AA4C37" w14:textId="77777777" w:rsidR="00D924EA" w:rsidRDefault="00011DE9">
            <w:pPr>
              <w:pStyle w:val="P68B1DB1-Normal18"/>
              <w:spacing w:after="0" w:line="240" w:lineRule="auto"/>
              <w:jc w:val="center"/>
              <w:rPr>
                <w:rFonts w:eastAsia="Symbol" w:cs="Times New Roman"/>
                <w:noProof/>
                <w:szCs w:val="18"/>
              </w:rPr>
            </w:pPr>
            <w:r>
              <w:rPr>
                <w:noProof/>
              </w:rPr>
              <w:t>C10.I1</w:t>
            </w:r>
          </w:p>
        </w:tc>
        <w:tc>
          <w:tcPr>
            <w:tcW w:w="828" w:type="dxa"/>
            <w:shd w:val="clear" w:color="auto" w:fill="C6EFCE"/>
            <w:noWrap/>
          </w:tcPr>
          <w:p w14:paraId="0D3AB0FA" w14:textId="77777777" w:rsidR="00D924EA" w:rsidRDefault="00011DE9">
            <w:pPr>
              <w:pStyle w:val="P68B1DB1-Normal18"/>
              <w:spacing w:after="0" w:line="240" w:lineRule="auto"/>
              <w:jc w:val="center"/>
              <w:rPr>
                <w:rFonts w:eastAsia="Symbol" w:cs="Times New Roman"/>
                <w:noProof/>
                <w:szCs w:val="18"/>
              </w:rPr>
            </w:pPr>
            <w:r>
              <w:rPr>
                <w:noProof/>
              </w:rPr>
              <w:t>T</w:t>
            </w:r>
          </w:p>
        </w:tc>
        <w:tc>
          <w:tcPr>
            <w:tcW w:w="2183" w:type="dxa"/>
            <w:shd w:val="clear" w:color="auto" w:fill="C6EFCE"/>
            <w:noWrap/>
          </w:tcPr>
          <w:p w14:paraId="1FA415E1" w14:textId="77777777" w:rsidR="00D924EA" w:rsidRDefault="00011DE9">
            <w:pPr>
              <w:pStyle w:val="P68B1DB1-Normal18"/>
              <w:spacing w:after="0" w:line="240" w:lineRule="auto"/>
              <w:rPr>
                <w:rFonts w:eastAsia="Symbol" w:cs="Times New Roman"/>
                <w:noProof/>
                <w:szCs w:val="18"/>
              </w:rPr>
            </w:pPr>
            <w:r>
              <w:rPr>
                <w:noProof/>
              </w:rPr>
              <w:t>Sprijin pentru proiectele de infrastructură de mediu, digitală și socială.</w:t>
            </w:r>
          </w:p>
        </w:tc>
        <w:tc>
          <w:tcPr>
            <w:tcW w:w="1559" w:type="dxa"/>
            <w:shd w:val="clear" w:color="auto" w:fill="C6EFCE"/>
            <w:noWrap/>
          </w:tcPr>
          <w:p w14:paraId="74E80EE9" w14:textId="77777777" w:rsidR="00D924EA" w:rsidRDefault="00011DE9">
            <w:pPr>
              <w:pStyle w:val="P68B1DB1-Normal18"/>
              <w:spacing w:after="0" w:line="240" w:lineRule="auto"/>
              <w:jc w:val="center"/>
              <w:rPr>
                <w:rFonts w:eastAsia="Symbol" w:cs="Times New Roman"/>
                <w:noProof/>
                <w:szCs w:val="18"/>
              </w:rPr>
            </w:pPr>
            <w:r>
              <w:rPr>
                <w:noProof/>
              </w:rPr>
              <w:t>—</w:t>
            </w:r>
          </w:p>
        </w:tc>
        <w:tc>
          <w:tcPr>
            <w:tcW w:w="993" w:type="dxa"/>
            <w:shd w:val="clear" w:color="auto" w:fill="C6EFCE"/>
            <w:noWrap/>
          </w:tcPr>
          <w:p w14:paraId="0590E700" w14:textId="77777777" w:rsidR="00D924EA" w:rsidRDefault="00011DE9">
            <w:pPr>
              <w:pStyle w:val="P68B1DB1-Normal18"/>
              <w:spacing w:after="0" w:line="240" w:lineRule="auto"/>
              <w:jc w:val="right"/>
              <w:rPr>
                <w:rFonts w:eastAsia="Symbol" w:cs="Times New Roman"/>
                <w:noProof/>
                <w:szCs w:val="18"/>
              </w:rPr>
            </w:pPr>
            <w:r>
              <w:rPr>
                <w:noProof/>
              </w:rPr>
              <w:t>Număr</w:t>
            </w:r>
          </w:p>
        </w:tc>
        <w:tc>
          <w:tcPr>
            <w:tcW w:w="992" w:type="dxa"/>
            <w:shd w:val="clear" w:color="auto" w:fill="C6EFCE"/>
            <w:noWrap/>
          </w:tcPr>
          <w:p w14:paraId="22FAA346" w14:textId="77777777" w:rsidR="00D924EA" w:rsidRDefault="00011DE9">
            <w:pPr>
              <w:pStyle w:val="P68B1DB1-Normal18"/>
              <w:spacing w:after="0" w:line="240" w:lineRule="auto"/>
              <w:jc w:val="right"/>
              <w:rPr>
                <w:rFonts w:eastAsia="Symbol" w:cs="Times New Roman"/>
                <w:noProof/>
                <w:szCs w:val="18"/>
              </w:rPr>
            </w:pPr>
            <w:r>
              <w:rPr>
                <w:noProof/>
              </w:rPr>
              <w:t>0</w:t>
            </w:r>
          </w:p>
        </w:tc>
        <w:tc>
          <w:tcPr>
            <w:tcW w:w="894" w:type="dxa"/>
            <w:shd w:val="clear" w:color="auto" w:fill="C6EFCE"/>
            <w:noWrap/>
          </w:tcPr>
          <w:p w14:paraId="045677B8" w14:textId="77777777" w:rsidR="00D924EA" w:rsidRDefault="00011DE9">
            <w:pPr>
              <w:pStyle w:val="P68B1DB1-Normal18"/>
              <w:spacing w:after="0" w:line="240" w:lineRule="auto"/>
              <w:jc w:val="right"/>
              <w:rPr>
                <w:rFonts w:eastAsia="Symbol" w:cs="Times New Roman"/>
                <w:noProof/>
                <w:szCs w:val="18"/>
              </w:rPr>
            </w:pPr>
            <w:r>
              <w:rPr>
                <w:noProof/>
              </w:rPr>
              <w:t>100</w:t>
            </w:r>
          </w:p>
        </w:tc>
        <w:tc>
          <w:tcPr>
            <w:tcW w:w="415" w:type="dxa"/>
            <w:shd w:val="clear" w:color="auto" w:fill="C6EFCE"/>
            <w:noWrap/>
          </w:tcPr>
          <w:p w14:paraId="043B85AB" w14:textId="28F6BA3B" w:rsidR="00D924EA" w:rsidRDefault="005701C9">
            <w:pPr>
              <w:pStyle w:val="P68B1DB1-Normal18"/>
              <w:spacing w:after="0" w:line="240" w:lineRule="auto"/>
              <w:jc w:val="center"/>
              <w:rPr>
                <w:rFonts w:eastAsia="Symbol" w:cs="Times New Roman"/>
                <w:noProof/>
                <w:szCs w:val="18"/>
              </w:rPr>
            </w:pPr>
            <w:r>
              <w:rPr>
                <w:noProof/>
              </w:rPr>
              <w:t>T4</w:t>
            </w:r>
          </w:p>
        </w:tc>
        <w:tc>
          <w:tcPr>
            <w:tcW w:w="553" w:type="dxa"/>
            <w:shd w:val="clear" w:color="auto" w:fill="C6EFCE"/>
            <w:noWrap/>
          </w:tcPr>
          <w:p w14:paraId="7A83B0F5" w14:textId="77777777" w:rsidR="00D924EA" w:rsidRDefault="00011DE9">
            <w:pPr>
              <w:pStyle w:val="P68B1DB1-Normal18"/>
              <w:spacing w:after="0" w:line="240" w:lineRule="auto"/>
              <w:jc w:val="center"/>
              <w:rPr>
                <w:rFonts w:eastAsia="Symbol" w:cs="Times New Roman"/>
                <w:noProof/>
                <w:szCs w:val="18"/>
              </w:rPr>
            </w:pPr>
            <w:r>
              <w:rPr>
                <w:noProof/>
              </w:rPr>
              <w:t>2022</w:t>
            </w:r>
          </w:p>
        </w:tc>
        <w:tc>
          <w:tcPr>
            <w:tcW w:w="5373" w:type="dxa"/>
            <w:shd w:val="clear" w:color="auto" w:fill="C6EFCE"/>
            <w:noWrap/>
          </w:tcPr>
          <w:p w14:paraId="29289DEB" w14:textId="77777777" w:rsidR="00D924EA" w:rsidRDefault="00011DE9">
            <w:pPr>
              <w:pStyle w:val="P68B1DB1-Normal18"/>
              <w:spacing w:after="0" w:line="240" w:lineRule="auto"/>
              <w:rPr>
                <w:rFonts w:eastAsia="Symbol" w:cs="Times New Roman"/>
                <w:noProof/>
                <w:szCs w:val="18"/>
              </w:rPr>
            </w:pPr>
            <w:r>
              <w:rPr>
                <w:noProof/>
              </w:rPr>
              <w:t xml:space="preserve">Publicarea în Jurnalul Oficial a atribuirii unei sume de cel puțin 91 000 000 EUR pentru cel puțin 100 de proiecte de infrastructură de mediu, digitală și socială în municipalitățile și teritoriile aflate în tranziție către o economie cu emisii scăzute de dioxid de carbon. Cele 100 de proiecte de infrastructură de mediu, digitală și socială trebuie să fie situate în municipalități și teritorii din zonele de tranziție justă. </w:t>
            </w:r>
          </w:p>
        </w:tc>
      </w:tr>
      <w:tr w:rsidR="00D924EA" w14:paraId="0B683D50" w14:textId="77777777" w:rsidTr="0042520D">
        <w:trPr>
          <w:trHeight w:val="309"/>
          <w:jc w:val="center"/>
        </w:trPr>
        <w:tc>
          <w:tcPr>
            <w:tcW w:w="833" w:type="dxa"/>
            <w:shd w:val="clear" w:color="auto" w:fill="C6EFCE"/>
            <w:noWrap/>
          </w:tcPr>
          <w:p w14:paraId="09A48BEB" w14:textId="77777777" w:rsidR="00D924EA" w:rsidRDefault="00011DE9">
            <w:pPr>
              <w:pStyle w:val="P68B1DB1-Normal18"/>
              <w:spacing w:after="0" w:line="240" w:lineRule="auto"/>
              <w:jc w:val="center"/>
              <w:rPr>
                <w:rFonts w:cs="Times New Roman"/>
                <w:noProof/>
                <w:szCs w:val="18"/>
              </w:rPr>
            </w:pPr>
            <w:r>
              <w:rPr>
                <w:noProof/>
              </w:rPr>
              <w:t>431</w:t>
            </w:r>
          </w:p>
        </w:tc>
        <w:tc>
          <w:tcPr>
            <w:tcW w:w="829" w:type="dxa"/>
            <w:shd w:val="clear" w:color="auto" w:fill="C6EFCE"/>
            <w:noWrap/>
          </w:tcPr>
          <w:p w14:paraId="08987863" w14:textId="77777777" w:rsidR="00D924EA" w:rsidRDefault="00011DE9">
            <w:pPr>
              <w:pStyle w:val="P68B1DB1-Normal18"/>
              <w:spacing w:after="0" w:line="240" w:lineRule="auto"/>
              <w:jc w:val="center"/>
              <w:rPr>
                <w:rFonts w:cs="Times New Roman"/>
                <w:noProof/>
                <w:szCs w:val="18"/>
              </w:rPr>
            </w:pPr>
            <w:r>
              <w:rPr>
                <w:noProof/>
              </w:rPr>
              <w:t>C10.I1</w:t>
            </w:r>
          </w:p>
        </w:tc>
        <w:tc>
          <w:tcPr>
            <w:tcW w:w="828" w:type="dxa"/>
            <w:shd w:val="clear" w:color="auto" w:fill="C6EFCE"/>
            <w:noWrap/>
          </w:tcPr>
          <w:p w14:paraId="5C4F226A" w14:textId="3A92C0BC" w:rsidR="00D924EA" w:rsidRDefault="00011DE9">
            <w:pPr>
              <w:pStyle w:val="P68B1DB1-Normal47"/>
              <w:spacing w:after="0" w:line="240" w:lineRule="auto"/>
              <w:jc w:val="center"/>
              <w:rPr>
                <w:rFonts w:cs="Times New Roman"/>
                <w:noProof/>
              </w:rPr>
            </w:pPr>
            <w:r>
              <w:rPr>
                <w:noProof/>
              </w:rPr>
              <w:t>T</w:t>
            </w:r>
          </w:p>
        </w:tc>
        <w:tc>
          <w:tcPr>
            <w:tcW w:w="2183" w:type="dxa"/>
            <w:shd w:val="clear" w:color="auto" w:fill="C6EFCE"/>
            <w:noWrap/>
          </w:tcPr>
          <w:p w14:paraId="62E81C0A" w14:textId="77777777" w:rsidR="00D924EA" w:rsidRDefault="00011DE9">
            <w:pPr>
              <w:pStyle w:val="P68B1DB1-Normal18"/>
              <w:spacing w:after="0" w:line="240" w:lineRule="auto"/>
              <w:rPr>
                <w:rFonts w:cs="Times New Roman"/>
                <w:noProof/>
                <w:szCs w:val="18"/>
              </w:rPr>
            </w:pPr>
            <w:r>
              <w:rPr>
                <w:noProof/>
              </w:rPr>
              <w:t>Sprijin pentru proiectele de infrastructură de mediu, digitală și socială</w:t>
            </w:r>
          </w:p>
        </w:tc>
        <w:tc>
          <w:tcPr>
            <w:tcW w:w="1559" w:type="dxa"/>
            <w:shd w:val="clear" w:color="auto" w:fill="C6EFCE"/>
            <w:noWrap/>
          </w:tcPr>
          <w:p w14:paraId="7D889C2C" w14:textId="2AF8C636" w:rsidR="00D924EA" w:rsidRDefault="00D924EA">
            <w:pPr>
              <w:spacing w:after="0" w:line="240" w:lineRule="auto"/>
              <w:jc w:val="center"/>
              <w:rPr>
                <w:rFonts w:ascii="Times New Roman" w:eastAsia="Calibri" w:hAnsi="Times New Roman" w:cs="Times New Roman"/>
                <w:noProof/>
                <w:kern w:val="0"/>
                <w:sz w:val="18"/>
                <w:szCs w:val="18"/>
                <w14:ligatures w14:val="none"/>
              </w:rPr>
            </w:pPr>
          </w:p>
        </w:tc>
        <w:tc>
          <w:tcPr>
            <w:tcW w:w="993" w:type="dxa"/>
            <w:shd w:val="clear" w:color="auto" w:fill="C6EFCE"/>
            <w:noWrap/>
          </w:tcPr>
          <w:p w14:paraId="7CDC3D71" w14:textId="3E445C7F" w:rsidR="00D924EA" w:rsidRDefault="00011DE9">
            <w:pPr>
              <w:pStyle w:val="P68B1DB1-Normal21"/>
              <w:spacing w:after="0" w:line="240" w:lineRule="auto"/>
              <w:jc w:val="right"/>
              <w:rPr>
                <w:noProof/>
                <w:kern w:val="0"/>
                <w14:ligatures w14:val="none"/>
              </w:rPr>
            </w:pPr>
            <w:r>
              <w:rPr>
                <w:noProof/>
              </w:rPr>
              <w:t>Număr</w:t>
            </w:r>
          </w:p>
        </w:tc>
        <w:tc>
          <w:tcPr>
            <w:tcW w:w="992" w:type="dxa"/>
            <w:shd w:val="clear" w:color="auto" w:fill="C6EFCE"/>
            <w:noWrap/>
          </w:tcPr>
          <w:p w14:paraId="282E02D3" w14:textId="307E2269" w:rsidR="00D924EA" w:rsidRDefault="00011DE9">
            <w:pPr>
              <w:pStyle w:val="P68B1DB1-Normal21"/>
              <w:spacing w:after="0" w:line="240" w:lineRule="auto"/>
              <w:jc w:val="right"/>
              <w:rPr>
                <w:noProof/>
                <w:kern w:val="0"/>
                <w14:ligatures w14:val="none"/>
              </w:rPr>
            </w:pPr>
            <w:r>
              <w:rPr>
                <w:noProof/>
              </w:rPr>
              <w:t>100</w:t>
            </w:r>
          </w:p>
        </w:tc>
        <w:tc>
          <w:tcPr>
            <w:tcW w:w="894" w:type="dxa"/>
            <w:shd w:val="clear" w:color="auto" w:fill="C6EFCE"/>
            <w:noWrap/>
          </w:tcPr>
          <w:p w14:paraId="082F2C5A" w14:textId="4D080B05" w:rsidR="00D924EA" w:rsidRDefault="00011DE9">
            <w:pPr>
              <w:pStyle w:val="P68B1DB1-Normal21"/>
              <w:spacing w:after="0" w:line="240" w:lineRule="auto"/>
              <w:jc w:val="right"/>
              <w:rPr>
                <w:noProof/>
                <w:kern w:val="0"/>
                <w14:ligatures w14:val="none"/>
              </w:rPr>
            </w:pPr>
            <w:r>
              <w:rPr>
                <w:noProof/>
              </w:rPr>
              <w:t>130</w:t>
            </w:r>
          </w:p>
        </w:tc>
        <w:tc>
          <w:tcPr>
            <w:tcW w:w="415" w:type="dxa"/>
            <w:shd w:val="clear" w:color="auto" w:fill="C6EFCE"/>
            <w:noWrap/>
          </w:tcPr>
          <w:p w14:paraId="14C5280E" w14:textId="3C521F44" w:rsidR="00D924EA" w:rsidRDefault="005701C9">
            <w:pPr>
              <w:pStyle w:val="P68B1DB1-Normal18"/>
              <w:spacing w:after="0" w:line="240" w:lineRule="auto"/>
              <w:jc w:val="center"/>
              <w:rPr>
                <w:rFonts w:cs="Times New Roman"/>
                <w:noProof/>
                <w:szCs w:val="18"/>
              </w:rPr>
            </w:pPr>
            <w:r>
              <w:rPr>
                <w:noProof/>
              </w:rPr>
              <w:t>T4</w:t>
            </w:r>
          </w:p>
        </w:tc>
        <w:tc>
          <w:tcPr>
            <w:tcW w:w="553" w:type="dxa"/>
            <w:shd w:val="clear" w:color="auto" w:fill="C6EFCE"/>
            <w:noWrap/>
          </w:tcPr>
          <w:p w14:paraId="6A9E4CC4" w14:textId="328236A8" w:rsidR="00D924EA" w:rsidRDefault="00011DE9">
            <w:pPr>
              <w:pStyle w:val="P68B1DB1-Normal47"/>
              <w:spacing w:after="0" w:line="240" w:lineRule="auto"/>
              <w:jc w:val="center"/>
              <w:rPr>
                <w:noProof/>
              </w:rPr>
            </w:pPr>
            <w:r>
              <w:rPr>
                <w:noProof/>
              </w:rPr>
              <w:t>2024</w:t>
            </w:r>
          </w:p>
        </w:tc>
        <w:tc>
          <w:tcPr>
            <w:tcW w:w="5373" w:type="dxa"/>
            <w:shd w:val="clear" w:color="auto" w:fill="C6EFCE"/>
            <w:noWrap/>
          </w:tcPr>
          <w:p w14:paraId="55F3F76F" w14:textId="5F7D85C7" w:rsidR="00D924EA" w:rsidRDefault="00011DE9">
            <w:pPr>
              <w:pStyle w:val="P68B1DB1-Normal18"/>
              <w:spacing w:after="0" w:line="240" w:lineRule="auto"/>
              <w:rPr>
                <w:rFonts w:cs="Times New Roman"/>
                <w:noProof/>
                <w:szCs w:val="18"/>
              </w:rPr>
            </w:pPr>
            <w:r>
              <w:rPr>
                <w:noProof/>
              </w:rPr>
              <w:t xml:space="preserve">Publicarea în Jurnalul Oficial a atribuirii sumei de 11 000 000 EUR pentru 30 de proiecte de infrastructură de mediu, digitală și socială în zonele de tranziție justă. </w:t>
            </w:r>
          </w:p>
        </w:tc>
      </w:tr>
      <w:tr w:rsidR="00D924EA" w14:paraId="282F36C1" w14:textId="77777777" w:rsidTr="0042520D">
        <w:trPr>
          <w:trHeight w:val="309"/>
          <w:jc w:val="center"/>
        </w:trPr>
        <w:tc>
          <w:tcPr>
            <w:tcW w:w="833" w:type="dxa"/>
            <w:shd w:val="clear" w:color="auto" w:fill="C6EFCE"/>
            <w:noWrap/>
          </w:tcPr>
          <w:p w14:paraId="3904CD53" w14:textId="77777777" w:rsidR="00D924EA" w:rsidRDefault="00011DE9">
            <w:pPr>
              <w:pStyle w:val="P68B1DB1-Normal18"/>
              <w:spacing w:after="0" w:line="240" w:lineRule="auto"/>
              <w:jc w:val="center"/>
              <w:rPr>
                <w:rFonts w:eastAsia="Symbol" w:cs="Times New Roman"/>
                <w:noProof/>
                <w:szCs w:val="18"/>
              </w:rPr>
            </w:pPr>
            <w:r>
              <w:rPr>
                <w:noProof/>
              </w:rPr>
              <w:t>141</w:t>
            </w:r>
          </w:p>
        </w:tc>
        <w:tc>
          <w:tcPr>
            <w:tcW w:w="829" w:type="dxa"/>
            <w:shd w:val="clear" w:color="auto" w:fill="C6EFCE"/>
            <w:noWrap/>
          </w:tcPr>
          <w:p w14:paraId="0845C9E3" w14:textId="77777777" w:rsidR="00D924EA" w:rsidRDefault="00011DE9">
            <w:pPr>
              <w:pStyle w:val="P68B1DB1-Normal18"/>
              <w:spacing w:after="0" w:line="240" w:lineRule="auto"/>
              <w:jc w:val="center"/>
              <w:rPr>
                <w:rFonts w:eastAsia="Symbol" w:cs="Times New Roman"/>
                <w:noProof/>
                <w:szCs w:val="18"/>
              </w:rPr>
            </w:pPr>
            <w:r>
              <w:rPr>
                <w:noProof/>
              </w:rPr>
              <w:t>C10.I1</w:t>
            </w:r>
          </w:p>
        </w:tc>
        <w:tc>
          <w:tcPr>
            <w:tcW w:w="828" w:type="dxa"/>
            <w:shd w:val="clear" w:color="auto" w:fill="C6EFCE"/>
            <w:noWrap/>
          </w:tcPr>
          <w:p w14:paraId="785ED00B" w14:textId="6D821FD2" w:rsidR="00D924EA" w:rsidRDefault="00011DE9">
            <w:pPr>
              <w:pStyle w:val="P68B1DB1-Normal18"/>
              <w:spacing w:after="0" w:line="240" w:lineRule="auto"/>
              <w:jc w:val="center"/>
              <w:rPr>
                <w:rFonts w:eastAsia="Symbol" w:cs="Times New Roman"/>
                <w:noProof/>
                <w:szCs w:val="18"/>
              </w:rPr>
            </w:pPr>
            <w:r>
              <w:rPr>
                <w:noProof/>
              </w:rPr>
              <w:t>M</w:t>
            </w:r>
          </w:p>
        </w:tc>
        <w:tc>
          <w:tcPr>
            <w:tcW w:w="2183" w:type="dxa"/>
            <w:shd w:val="clear" w:color="auto" w:fill="C6EFCE"/>
            <w:noWrap/>
          </w:tcPr>
          <w:p w14:paraId="68603A3E" w14:textId="340BB726" w:rsidR="00D924EA" w:rsidRDefault="00011DE9">
            <w:pPr>
              <w:pStyle w:val="P68B1DB1-Normal18"/>
              <w:spacing w:after="0" w:line="240" w:lineRule="auto"/>
              <w:rPr>
                <w:rFonts w:eastAsia="Symbol" w:cs="Times New Roman"/>
                <w:noProof/>
                <w:szCs w:val="18"/>
              </w:rPr>
            </w:pPr>
            <w:r>
              <w:rPr>
                <w:noProof/>
              </w:rPr>
              <w:t>Cursuri de formare legate de ocuparea forței de muncă</w:t>
            </w:r>
          </w:p>
        </w:tc>
        <w:tc>
          <w:tcPr>
            <w:tcW w:w="1559" w:type="dxa"/>
            <w:shd w:val="clear" w:color="auto" w:fill="C6EFCE"/>
            <w:noWrap/>
          </w:tcPr>
          <w:p w14:paraId="4EA74D4A" w14:textId="40C4A547" w:rsidR="00D924EA" w:rsidRDefault="00011DE9">
            <w:pPr>
              <w:pStyle w:val="P68B1DB1-Normal20"/>
              <w:spacing w:after="0" w:line="240" w:lineRule="auto"/>
              <w:jc w:val="center"/>
              <w:rPr>
                <w:rFonts w:eastAsia="Symbol" w:cs="Times New Roman"/>
                <w:noProof/>
                <w:kern w:val="0"/>
                <w14:ligatures w14:val="none"/>
              </w:rPr>
            </w:pPr>
            <w:r>
              <w:rPr>
                <w:noProof/>
              </w:rPr>
              <w:t>Certificate de participare la formare sau certificat de participare la asistență pentru căutarea unui loc de muncă</w:t>
            </w:r>
          </w:p>
        </w:tc>
        <w:tc>
          <w:tcPr>
            <w:tcW w:w="993" w:type="dxa"/>
            <w:shd w:val="clear" w:color="auto" w:fill="C6EFCE"/>
            <w:noWrap/>
          </w:tcPr>
          <w:p w14:paraId="034CF7E3" w14:textId="3987AB04" w:rsidR="00D924EA" w:rsidRDefault="00D924EA">
            <w:pPr>
              <w:spacing w:after="0" w:line="240" w:lineRule="auto"/>
              <w:jc w:val="right"/>
              <w:rPr>
                <w:rFonts w:ascii="Times New Roman" w:eastAsia="Symbol" w:hAnsi="Times New Roman" w:cs="Times New Roman"/>
                <w:noProof/>
                <w:kern w:val="0"/>
                <w:sz w:val="18"/>
                <w:szCs w:val="18"/>
                <w14:ligatures w14:val="none"/>
              </w:rPr>
            </w:pPr>
          </w:p>
        </w:tc>
        <w:tc>
          <w:tcPr>
            <w:tcW w:w="992" w:type="dxa"/>
            <w:shd w:val="clear" w:color="auto" w:fill="C6EFCE"/>
            <w:noWrap/>
          </w:tcPr>
          <w:p w14:paraId="3ACE7770" w14:textId="24B89331" w:rsidR="00D924EA" w:rsidRDefault="00D924EA">
            <w:pPr>
              <w:spacing w:after="0" w:line="240" w:lineRule="auto"/>
              <w:jc w:val="right"/>
              <w:rPr>
                <w:rFonts w:ascii="Times New Roman" w:eastAsia="Symbol" w:hAnsi="Times New Roman" w:cs="Times New Roman"/>
                <w:noProof/>
                <w:kern w:val="0"/>
                <w:sz w:val="18"/>
                <w:szCs w:val="18"/>
                <w14:ligatures w14:val="none"/>
              </w:rPr>
            </w:pPr>
          </w:p>
        </w:tc>
        <w:tc>
          <w:tcPr>
            <w:tcW w:w="894" w:type="dxa"/>
            <w:shd w:val="clear" w:color="auto" w:fill="C6EFCE"/>
            <w:noWrap/>
          </w:tcPr>
          <w:p w14:paraId="1DC8D178" w14:textId="57F3975D" w:rsidR="00D924EA" w:rsidRDefault="00011DE9">
            <w:pPr>
              <w:pStyle w:val="P68B1DB1-Normal18"/>
              <w:spacing w:after="0" w:line="240" w:lineRule="auto"/>
              <w:jc w:val="right"/>
              <w:rPr>
                <w:rFonts w:eastAsia="Symbol" w:cs="Times New Roman"/>
                <w:noProof/>
                <w:szCs w:val="18"/>
              </w:rPr>
            </w:pPr>
            <w:r>
              <w:rPr>
                <w:noProof/>
              </w:rPr>
              <w:t xml:space="preserve"> </w:t>
            </w:r>
          </w:p>
        </w:tc>
        <w:tc>
          <w:tcPr>
            <w:tcW w:w="415" w:type="dxa"/>
            <w:shd w:val="clear" w:color="auto" w:fill="C6EFCE"/>
            <w:noWrap/>
          </w:tcPr>
          <w:p w14:paraId="3C18A18A" w14:textId="4A00E962" w:rsidR="00D924EA" w:rsidRDefault="005701C9">
            <w:pPr>
              <w:pStyle w:val="P68B1DB1-Normal18"/>
              <w:spacing w:after="0" w:line="240" w:lineRule="auto"/>
              <w:jc w:val="center"/>
              <w:rPr>
                <w:rFonts w:eastAsia="Symbol" w:cs="Times New Roman"/>
                <w:noProof/>
                <w:szCs w:val="18"/>
              </w:rPr>
            </w:pPr>
            <w:r>
              <w:rPr>
                <w:noProof/>
              </w:rPr>
              <w:t>T2</w:t>
            </w:r>
          </w:p>
        </w:tc>
        <w:tc>
          <w:tcPr>
            <w:tcW w:w="553" w:type="dxa"/>
            <w:shd w:val="clear" w:color="auto" w:fill="C6EFCE"/>
            <w:noWrap/>
          </w:tcPr>
          <w:p w14:paraId="17FA06C6" w14:textId="7F77717F" w:rsidR="00D924EA" w:rsidRDefault="00011DE9">
            <w:pPr>
              <w:pStyle w:val="P68B1DB1-Normal18"/>
              <w:spacing w:after="0" w:line="240" w:lineRule="auto"/>
              <w:jc w:val="center"/>
              <w:rPr>
                <w:rFonts w:eastAsia="Symbol" w:cs="Times New Roman"/>
                <w:noProof/>
                <w:szCs w:val="18"/>
              </w:rPr>
            </w:pPr>
            <w:r>
              <w:rPr>
                <w:noProof/>
              </w:rPr>
              <w:t>2026</w:t>
            </w:r>
          </w:p>
        </w:tc>
        <w:tc>
          <w:tcPr>
            <w:tcW w:w="5373" w:type="dxa"/>
            <w:shd w:val="clear" w:color="auto" w:fill="C6EFCE"/>
            <w:noWrap/>
          </w:tcPr>
          <w:p w14:paraId="6DE29306" w14:textId="466F9B64" w:rsidR="00D924EA" w:rsidRDefault="00011DE9">
            <w:pPr>
              <w:pStyle w:val="P68B1DB1-Normal51"/>
              <w:spacing w:after="0" w:line="240" w:lineRule="auto"/>
              <w:rPr>
                <w:noProof/>
                <w:kern w:val="0"/>
                <w14:ligatures w14:val="none"/>
              </w:rPr>
            </w:pPr>
            <w:r>
              <w:rPr>
                <w:noProof/>
              </w:rPr>
              <w:t>Certificate de participare la formare sau certificate de participare la asistență pentru căutarea unui loc de muncă eliberate pentru un total de 840 de cursuri de formare individuale sau de participare la activități de asistență pentru căutarea unui loc de muncă.</w:t>
            </w:r>
          </w:p>
        </w:tc>
      </w:tr>
      <w:tr w:rsidR="00D924EA" w14:paraId="3D799891" w14:textId="77777777" w:rsidTr="0042520D">
        <w:trPr>
          <w:trHeight w:val="309"/>
          <w:jc w:val="center"/>
        </w:trPr>
        <w:tc>
          <w:tcPr>
            <w:tcW w:w="833" w:type="dxa"/>
            <w:shd w:val="clear" w:color="auto" w:fill="C6EFCE"/>
            <w:noWrap/>
          </w:tcPr>
          <w:p w14:paraId="36546168" w14:textId="77777777" w:rsidR="00D924EA" w:rsidRDefault="00011DE9">
            <w:pPr>
              <w:pStyle w:val="P68B1DB1-Normal18"/>
              <w:spacing w:after="0" w:line="240" w:lineRule="auto"/>
              <w:jc w:val="center"/>
              <w:rPr>
                <w:rFonts w:eastAsia="Symbol" w:cs="Times New Roman"/>
                <w:noProof/>
                <w:szCs w:val="18"/>
              </w:rPr>
            </w:pPr>
            <w:r>
              <w:rPr>
                <w:noProof/>
              </w:rPr>
              <w:t>142</w:t>
            </w:r>
          </w:p>
        </w:tc>
        <w:tc>
          <w:tcPr>
            <w:tcW w:w="829" w:type="dxa"/>
            <w:shd w:val="clear" w:color="auto" w:fill="C6EFCE"/>
            <w:noWrap/>
          </w:tcPr>
          <w:p w14:paraId="5E299DB5" w14:textId="77777777" w:rsidR="00D924EA" w:rsidRDefault="00011DE9">
            <w:pPr>
              <w:pStyle w:val="P68B1DB1-Normal18"/>
              <w:spacing w:after="0" w:line="240" w:lineRule="auto"/>
              <w:jc w:val="center"/>
              <w:rPr>
                <w:rFonts w:eastAsia="Symbol" w:cs="Times New Roman"/>
                <w:noProof/>
                <w:szCs w:val="18"/>
              </w:rPr>
            </w:pPr>
            <w:r>
              <w:rPr>
                <w:noProof/>
              </w:rPr>
              <w:t>C10.I1</w:t>
            </w:r>
          </w:p>
        </w:tc>
        <w:tc>
          <w:tcPr>
            <w:tcW w:w="828" w:type="dxa"/>
            <w:shd w:val="clear" w:color="auto" w:fill="C6EFCE"/>
            <w:noWrap/>
          </w:tcPr>
          <w:p w14:paraId="7D941B2A" w14:textId="42A9234B" w:rsidR="00D924EA" w:rsidRDefault="00011DE9">
            <w:pPr>
              <w:pStyle w:val="P68B1DB1-Normal18"/>
              <w:spacing w:after="0" w:line="240" w:lineRule="auto"/>
              <w:jc w:val="center"/>
              <w:rPr>
                <w:rFonts w:eastAsia="Symbol" w:cs="Times New Roman"/>
                <w:noProof/>
                <w:szCs w:val="18"/>
              </w:rPr>
            </w:pPr>
            <w:r>
              <w:rPr>
                <w:noProof/>
              </w:rPr>
              <w:t>M</w:t>
            </w:r>
          </w:p>
        </w:tc>
        <w:tc>
          <w:tcPr>
            <w:tcW w:w="2183" w:type="dxa"/>
            <w:shd w:val="clear" w:color="auto" w:fill="C6EFCE"/>
            <w:noWrap/>
          </w:tcPr>
          <w:p w14:paraId="35E32879" w14:textId="77777777" w:rsidR="00D924EA" w:rsidRDefault="00011DE9">
            <w:pPr>
              <w:pStyle w:val="P68B1DB1-Normal18"/>
              <w:spacing w:after="0" w:line="240" w:lineRule="auto"/>
              <w:rPr>
                <w:rFonts w:eastAsia="Symbol" w:cs="Times New Roman"/>
                <w:noProof/>
                <w:szCs w:val="18"/>
              </w:rPr>
            </w:pPr>
            <w:r>
              <w:rPr>
                <w:noProof/>
              </w:rPr>
              <w:t>Proiecte de investiții pentru adaptarea instalațiilor industriale pentru hidrogenul verde și stocarea energiei.</w:t>
            </w:r>
          </w:p>
        </w:tc>
        <w:tc>
          <w:tcPr>
            <w:tcW w:w="1559" w:type="dxa"/>
            <w:shd w:val="clear" w:color="auto" w:fill="C6EFCE"/>
            <w:noWrap/>
          </w:tcPr>
          <w:p w14:paraId="66947A81" w14:textId="6DBBD786" w:rsidR="00D924EA" w:rsidRDefault="00011DE9">
            <w:pPr>
              <w:pStyle w:val="P68B1DB1-Normal18"/>
              <w:spacing w:after="0" w:line="240" w:lineRule="auto"/>
              <w:jc w:val="center"/>
              <w:rPr>
                <w:rFonts w:eastAsia="Symbol" w:cs="Times New Roman"/>
                <w:noProof/>
                <w:szCs w:val="18"/>
              </w:rPr>
            </w:pPr>
            <w:r>
              <w:rPr>
                <w:noProof/>
              </w:rPr>
              <w:t>Certificate de acceptare, declarații de conformitate sau alte documente echivalente care atestă executarea contractelor</w:t>
            </w:r>
          </w:p>
        </w:tc>
        <w:tc>
          <w:tcPr>
            <w:tcW w:w="993" w:type="dxa"/>
            <w:shd w:val="clear" w:color="auto" w:fill="C6EFCE"/>
            <w:noWrap/>
          </w:tcPr>
          <w:p w14:paraId="692C8AD1" w14:textId="5A48235E" w:rsidR="00D924EA" w:rsidRDefault="00D924EA">
            <w:pPr>
              <w:spacing w:after="0" w:line="240" w:lineRule="auto"/>
              <w:jc w:val="right"/>
              <w:rPr>
                <w:rFonts w:ascii="Times New Roman" w:eastAsia="Symbol" w:hAnsi="Times New Roman" w:cs="Times New Roman"/>
                <w:noProof/>
                <w:kern w:val="0"/>
                <w:sz w:val="18"/>
                <w:szCs w:val="18"/>
                <w14:ligatures w14:val="none"/>
              </w:rPr>
            </w:pPr>
          </w:p>
        </w:tc>
        <w:tc>
          <w:tcPr>
            <w:tcW w:w="992" w:type="dxa"/>
            <w:shd w:val="clear" w:color="auto" w:fill="C6EFCE"/>
            <w:noWrap/>
          </w:tcPr>
          <w:p w14:paraId="6CD6599A" w14:textId="1C81B860" w:rsidR="00D924EA" w:rsidRDefault="00D924EA">
            <w:pPr>
              <w:spacing w:after="0" w:line="240" w:lineRule="auto"/>
              <w:jc w:val="right"/>
              <w:rPr>
                <w:rFonts w:ascii="Times New Roman" w:eastAsia="Symbol" w:hAnsi="Times New Roman" w:cs="Times New Roman"/>
                <w:noProof/>
                <w:kern w:val="0"/>
                <w:sz w:val="18"/>
                <w:szCs w:val="18"/>
                <w14:ligatures w14:val="none"/>
              </w:rPr>
            </w:pPr>
          </w:p>
        </w:tc>
        <w:tc>
          <w:tcPr>
            <w:tcW w:w="894" w:type="dxa"/>
            <w:shd w:val="clear" w:color="auto" w:fill="C6EFCE"/>
            <w:noWrap/>
          </w:tcPr>
          <w:p w14:paraId="76385570" w14:textId="378AEB94" w:rsidR="00D924EA" w:rsidRDefault="00D924EA">
            <w:pPr>
              <w:spacing w:after="0" w:line="240" w:lineRule="auto"/>
              <w:jc w:val="right"/>
              <w:rPr>
                <w:rFonts w:ascii="Times New Roman" w:eastAsia="Symbol" w:hAnsi="Times New Roman" w:cs="Times New Roman"/>
                <w:noProof/>
                <w:kern w:val="0"/>
                <w:sz w:val="18"/>
                <w:szCs w:val="18"/>
                <w14:ligatures w14:val="none"/>
              </w:rPr>
            </w:pPr>
          </w:p>
        </w:tc>
        <w:tc>
          <w:tcPr>
            <w:tcW w:w="415" w:type="dxa"/>
            <w:shd w:val="clear" w:color="auto" w:fill="C6EFCE"/>
            <w:noWrap/>
          </w:tcPr>
          <w:p w14:paraId="6A32AA7D" w14:textId="794BC257" w:rsidR="00D924EA" w:rsidRDefault="005701C9">
            <w:pPr>
              <w:pStyle w:val="P68B1DB1-Normal18"/>
              <w:spacing w:after="0" w:line="240" w:lineRule="auto"/>
              <w:jc w:val="center"/>
              <w:rPr>
                <w:rFonts w:eastAsia="Symbol" w:cs="Times New Roman"/>
                <w:noProof/>
                <w:szCs w:val="18"/>
              </w:rPr>
            </w:pPr>
            <w:r>
              <w:rPr>
                <w:noProof/>
              </w:rPr>
              <w:t>T4</w:t>
            </w:r>
          </w:p>
        </w:tc>
        <w:tc>
          <w:tcPr>
            <w:tcW w:w="553" w:type="dxa"/>
            <w:shd w:val="clear" w:color="auto" w:fill="C6EFCE"/>
            <w:noWrap/>
          </w:tcPr>
          <w:p w14:paraId="34C3608B" w14:textId="77777777" w:rsidR="00D924EA" w:rsidRDefault="00011DE9">
            <w:pPr>
              <w:pStyle w:val="P68B1DB1-Normal18"/>
              <w:spacing w:after="0" w:line="240" w:lineRule="auto"/>
              <w:jc w:val="center"/>
              <w:rPr>
                <w:rFonts w:eastAsia="Symbol" w:cs="Times New Roman"/>
                <w:noProof/>
                <w:szCs w:val="18"/>
              </w:rPr>
            </w:pPr>
            <w:r>
              <w:rPr>
                <w:noProof/>
              </w:rPr>
              <w:t>2025</w:t>
            </w:r>
          </w:p>
        </w:tc>
        <w:tc>
          <w:tcPr>
            <w:tcW w:w="5373" w:type="dxa"/>
            <w:shd w:val="clear" w:color="auto" w:fill="C6EFCE"/>
            <w:noWrap/>
          </w:tcPr>
          <w:p w14:paraId="465B73E3" w14:textId="53636481" w:rsidR="00D924EA" w:rsidRDefault="00011DE9">
            <w:pPr>
              <w:pStyle w:val="P68B1DB1-Normal18"/>
              <w:spacing w:after="0" w:line="240" w:lineRule="auto"/>
              <w:rPr>
                <w:rFonts w:eastAsia="Symbol" w:cs="Times New Roman"/>
                <w:noProof/>
                <w:szCs w:val="18"/>
              </w:rPr>
            </w:pPr>
            <w:r>
              <w:rPr>
                <w:noProof/>
              </w:rPr>
              <w:t xml:space="preserve">Confirmarea de către administrație a executării contractelor referitoare la două proiecte de investiții pentru adaptarea instalației Ciudad de la Energia (CIUDEN) pentru dezvoltarea de tehnologii pentru producția de hidrogen verde și stocarea energiei. </w:t>
            </w:r>
          </w:p>
        </w:tc>
      </w:tr>
      <w:tr w:rsidR="00D924EA" w14:paraId="2E03B706" w14:textId="77777777" w:rsidTr="0042520D">
        <w:trPr>
          <w:trHeight w:val="309"/>
          <w:jc w:val="center"/>
        </w:trPr>
        <w:tc>
          <w:tcPr>
            <w:tcW w:w="833" w:type="dxa"/>
            <w:shd w:val="clear" w:color="auto" w:fill="C6EFCE"/>
            <w:noWrap/>
          </w:tcPr>
          <w:p w14:paraId="7CDEC8FD" w14:textId="77777777" w:rsidR="00D924EA" w:rsidRDefault="00011DE9">
            <w:pPr>
              <w:pStyle w:val="P68B1DB1-Normal18"/>
              <w:spacing w:after="0" w:line="240" w:lineRule="auto"/>
              <w:jc w:val="center"/>
              <w:rPr>
                <w:rFonts w:eastAsia="Symbol" w:cs="Times New Roman"/>
                <w:noProof/>
                <w:szCs w:val="18"/>
              </w:rPr>
            </w:pPr>
            <w:r>
              <w:rPr>
                <w:noProof/>
              </w:rPr>
              <w:t>143</w:t>
            </w:r>
          </w:p>
        </w:tc>
        <w:tc>
          <w:tcPr>
            <w:tcW w:w="829" w:type="dxa"/>
            <w:shd w:val="clear" w:color="auto" w:fill="C6EFCE"/>
            <w:noWrap/>
          </w:tcPr>
          <w:p w14:paraId="09D19BB5" w14:textId="77777777" w:rsidR="00D924EA" w:rsidRDefault="00011DE9">
            <w:pPr>
              <w:pStyle w:val="P68B1DB1-Normal18"/>
              <w:spacing w:after="0" w:line="240" w:lineRule="auto"/>
              <w:jc w:val="center"/>
              <w:rPr>
                <w:rFonts w:eastAsia="Symbol" w:cs="Times New Roman"/>
                <w:noProof/>
                <w:szCs w:val="18"/>
              </w:rPr>
            </w:pPr>
            <w:r>
              <w:rPr>
                <w:noProof/>
              </w:rPr>
              <w:t>C10.I1</w:t>
            </w:r>
          </w:p>
        </w:tc>
        <w:tc>
          <w:tcPr>
            <w:tcW w:w="828" w:type="dxa"/>
            <w:shd w:val="clear" w:color="auto" w:fill="C6EFCE"/>
            <w:noWrap/>
          </w:tcPr>
          <w:p w14:paraId="494F23BA" w14:textId="27139908" w:rsidR="00D924EA" w:rsidRDefault="00011DE9">
            <w:pPr>
              <w:pStyle w:val="P68B1DB1-Normal18"/>
              <w:spacing w:after="0" w:line="240" w:lineRule="auto"/>
              <w:jc w:val="center"/>
              <w:rPr>
                <w:rFonts w:eastAsia="Symbol" w:cs="Times New Roman"/>
                <w:noProof/>
                <w:szCs w:val="18"/>
              </w:rPr>
            </w:pPr>
            <w:r>
              <w:rPr>
                <w:noProof/>
              </w:rPr>
              <w:t>M</w:t>
            </w:r>
          </w:p>
        </w:tc>
        <w:tc>
          <w:tcPr>
            <w:tcW w:w="2183" w:type="dxa"/>
            <w:shd w:val="clear" w:color="auto" w:fill="C6EFCE"/>
            <w:noWrap/>
          </w:tcPr>
          <w:p w14:paraId="7C1A8084" w14:textId="58DCC58A" w:rsidR="00D924EA" w:rsidRDefault="00011DE9">
            <w:pPr>
              <w:pStyle w:val="P68B1DB1-Normal18"/>
              <w:spacing w:after="0" w:line="240" w:lineRule="auto"/>
              <w:rPr>
                <w:rFonts w:eastAsia="Symbol" w:cs="Times New Roman"/>
                <w:noProof/>
                <w:szCs w:val="18"/>
              </w:rPr>
            </w:pPr>
            <w:r>
              <w:rPr>
                <w:noProof/>
              </w:rPr>
              <w:t>Terenuri reabilitate în fostele exploatări miniere de cărbune sau în zone declarate zone de tranziție justă.</w:t>
            </w:r>
          </w:p>
        </w:tc>
        <w:tc>
          <w:tcPr>
            <w:tcW w:w="1559" w:type="dxa"/>
            <w:shd w:val="clear" w:color="auto" w:fill="C6EFCE"/>
            <w:noWrap/>
          </w:tcPr>
          <w:p w14:paraId="1FC14203" w14:textId="2893239D" w:rsidR="00D924EA" w:rsidRDefault="00011DE9">
            <w:pPr>
              <w:pStyle w:val="P68B1DB1-Normal18"/>
              <w:spacing w:after="0" w:line="240" w:lineRule="auto"/>
              <w:jc w:val="center"/>
              <w:rPr>
                <w:rFonts w:eastAsia="Symbol" w:cs="Times New Roman"/>
                <w:noProof/>
                <w:szCs w:val="18"/>
              </w:rPr>
            </w:pPr>
            <w:r>
              <w:rPr>
                <w:noProof/>
              </w:rPr>
              <w:t xml:space="preserve">Certificate de acceptare, declarații de conformitate sau alte documente echivalente care atestă executarea contractelor </w:t>
            </w:r>
          </w:p>
        </w:tc>
        <w:tc>
          <w:tcPr>
            <w:tcW w:w="993" w:type="dxa"/>
            <w:shd w:val="clear" w:color="auto" w:fill="C6EFCE"/>
            <w:noWrap/>
          </w:tcPr>
          <w:p w14:paraId="540E42E2" w14:textId="7498B9D9" w:rsidR="00D924EA" w:rsidRDefault="00D924EA">
            <w:pPr>
              <w:spacing w:after="0" w:line="240" w:lineRule="auto"/>
              <w:jc w:val="right"/>
              <w:rPr>
                <w:rFonts w:ascii="Times New Roman" w:eastAsia="Symbol" w:hAnsi="Times New Roman" w:cs="Times New Roman"/>
                <w:noProof/>
                <w:kern w:val="0"/>
                <w:sz w:val="18"/>
                <w:szCs w:val="18"/>
                <w14:ligatures w14:val="none"/>
              </w:rPr>
            </w:pPr>
          </w:p>
        </w:tc>
        <w:tc>
          <w:tcPr>
            <w:tcW w:w="992" w:type="dxa"/>
            <w:shd w:val="clear" w:color="auto" w:fill="C6EFCE"/>
            <w:noWrap/>
          </w:tcPr>
          <w:p w14:paraId="4228B11E" w14:textId="221EBD42" w:rsidR="00D924EA" w:rsidRDefault="00D924EA">
            <w:pPr>
              <w:spacing w:after="0" w:line="240" w:lineRule="auto"/>
              <w:jc w:val="right"/>
              <w:rPr>
                <w:rFonts w:ascii="Times New Roman" w:eastAsia="Symbol" w:hAnsi="Times New Roman" w:cs="Times New Roman"/>
                <w:noProof/>
                <w:kern w:val="0"/>
                <w:sz w:val="18"/>
                <w:szCs w:val="18"/>
                <w14:ligatures w14:val="none"/>
              </w:rPr>
            </w:pPr>
          </w:p>
        </w:tc>
        <w:tc>
          <w:tcPr>
            <w:tcW w:w="894" w:type="dxa"/>
            <w:shd w:val="clear" w:color="auto" w:fill="C6EFCE"/>
            <w:noWrap/>
          </w:tcPr>
          <w:p w14:paraId="2E1F9DA6" w14:textId="104F5789" w:rsidR="00D924EA" w:rsidRDefault="00D924EA">
            <w:pPr>
              <w:spacing w:after="0" w:line="240" w:lineRule="auto"/>
              <w:jc w:val="right"/>
              <w:rPr>
                <w:rFonts w:ascii="Times New Roman" w:eastAsia="Symbol" w:hAnsi="Times New Roman" w:cs="Times New Roman"/>
                <w:noProof/>
                <w:kern w:val="0"/>
                <w:sz w:val="18"/>
                <w:szCs w:val="18"/>
                <w14:ligatures w14:val="none"/>
              </w:rPr>
            </w:pPr>
          </w:p>
        </w:tc>
        <w:tc>
          <w:tcPr>
            <w:tcW w:w="415" w:type="dxa"/>
            <w:shd w:val="clear" w:color="auto" w:fill="C6EFCE"/>
            <w:noWrap/>
          </w:tcPr>
          <w:p w14:paraId="0DEFA34D" w14:textId="29360AF5" w:rsidR="00D924EA" w:rsidRDefault="005701C9">
            <w:pPr>
              <w:pStyle w:val="P68B1DB1-Normal18"/>
              <w:spacing w:after="0" w:line="240" w:lineRule="auto"/>
              <w:jc w:val="center"/>
              <w:rPr>
                <w:rFonts w:eastAsia="Symbol" w:cs="Times New Roman"/>
                <w:noProof/>
                <w:szCs w:val="18"/>
              </w:rPr>
            </w:pPr>
            <w:r>
              <w:rPr>
                <w:noProof/>
              </w:rPr>
              <w:t>T2</w:t>
            </w:r>
          </w:p>
        </w:tc>
        <w:tc>
          <w:tcPr>
            <w:tcW w:w="553" w:type="dxa"/>
            <w:shd w:val="clear" w:color="auto" w:fill="C6EFCE"/>
            <w:noWrap/>
          </w:tcPr>
          <w:p w14:paraId="3D588B14" w14:textId="2DE73247" w:rsidR="00D924EA" w:rsidRDefault="00011DE9">
            <w:pPr>
              <w:pStyle w:val="P68B1DB1-Normal18"/>
              <w:spacing w:after="0" w:line="240" w:lineRule="auto"/>
              <w:jc w:val="center"/>
              <w:rPr>
                <w:rFonts w:eastAsia="Symbol" w:cs="Times New Roman"/>
                <w:noProof/>
                <w:szCs w:val="18"/>
              </w:rPr>
            </w:pPr>
            <w:r>
              <w:rPr>
                <w:noProof/>
              </w:rPr>
              <w:t>2026</w:t>
            </w:r>
          </w:p>
        </w:tc>
        <w:tc>
          <w:tcPr>
            <w:tcW w:w="5373" w:type="dxa"/>
            <w:shd w:val="clear" w:color="auto" w:fill="C6EFCE"/>
            <w:noWrap/>
          </w:tcPr>
          <w:p w14:paraId="061ECD27" w14:textId="77777777" w:rsidR="00D924EA" w:rsidRDefault="00011DE9">
            <w:pPr>
              <w:pStyle w:val="P68B1DB1-Normal20"/>
              <w:spacing w:after="0" w:line="240" w:lineRule="auto"/>
              <w:rPr>
                <w:noProof/>
                <w:kern w:val="0"/>
                <w14:ligatures w14:val="none"/>
              </w:rPr>
            </w:pPr>
            <w:r>
              <w:rPr>
                <w:noProof/>
              </w:rPr>
              <w:t>Confirmarea de către administrație a executării contractelor referitoare la reabilitarea a 2000 hectare de teren din fostele exploatări miniere de cărbune sau din zonele declarate zone de tranziție justă. </w:t>
            </w:r>
          </w:p>
          <w:p w14:paraId="66B0F714" w14:textId="77777777" w:rsidR="00D924EA" w:rsidRDefault="00D924EA">
            <w:pPr>
              <w:spacing w:after="0" w:line="240" w:lineRule="auto"/>
              <w:rPr>
                <w:rFonts w:ascii="Times New Roman" w:eastAsia="Symbol" w:hAnsi="Times New Roman" w:cs="Times New Roman"/>
                <w:noProof/>
                <w:kern w:val="0"/>
                <w:sz w:val="18"/>
                <w:szCs w:val="18"/>
                <w14:ligatures w14:val="none"/>
              </w:rPr>
            </w:pPr>
          </w:p>
        </w:tc>
      </w:tr>
    </w:tbl>
    <w:p w14:paraId="5F912537" w14:textId="77777777" w:rsidR="00D924EA" w:rsidRDefault="00D924EA">
      <w:pPr>
        <w:rPr>
          <w:noProof/>
        </w:rPr>
      </w:pPr>
    </w:p>
    <w:p w14:paraId="37FBEA05" w14:textId="77777777" w:rsidR="00D924EA" w:rsidRDefault="00D924EA">
      <w:pPr>
        <w:rPr>
          <w:rFonts w:ascii="Times New Roman" w:hAnsi="Times New Roman"/>
          <w:noProof/>
        </w:rPr>
        <w:sectPr w:rsidR="00D924EA" w:rsidSect="00757FE8">
          <w:headerReference w:type="even" r:id="rId138"/>
          <w:headerReference w:type="default" r:id="rId139"/>
          <w:footerReference w:type="even" r:id="rId140"/>
          <w:footerReference w:type="default" r:id="rId141"/>
          <w:headerReference w:type="first" r:id="rId142"/>
          <w:footerReference w:type="first" r:id="rId143"/>
          <w:pgSz w:w="16839" w:h="11907" w:orient="landscape"/>
          <w:pgMar w:top="1134" w:right="1134" w:bottom="1134" w:left="1134" w:header="567" w:footer="567" w:gutter="0"/>
          <w:cols w:space="720"/>
          <w:docGrid w:linePitch="360"/>
        </w:sectPr>
      </w:pPr>
    </w:p>
    <w:p w14:paraId="2C707BDF" w14:textId="77777777" w:rsidR="00D924EA" w:rsidRDefault="00011DE9">
      <w:pPr>
        <w:pStyle w:val="P68B1DB1-Normal52"/>
        <w:keepNext/>
        <w:spacing w:before="360" w:after="360" w:line="240" w:lineRule="auto"/>
        <w:jc w:val="center"/>
        <w:outlineLvl w:val="0"/>
        <w:rPr>
          <w:noProof/>
          <w:szCs w:val="22"/>
        </w:rPr>
      </w:pPr>
      <w:r>
        <w:rPr>
          <w:noProof/>
        </w:rPr>
        <w:t>K. COMPONENTA 11: Modernizarea administrațiilor publice</w:t>
      </w:r>
    </w:p>
    <w:p w14:paraId="6C3D3296" w14:textId="77777777" w:rsidR="00D924EA" w:rsidRDefault="00011DE9">
      <w:pPr>
        <w:pStyle w:val="P68B1DB1-Normal29"/>
        <w:spacing w:before="120" w:after="120" w:line="240" w:lineRule="auto"/>
        <w:jc w:val="both"/>
        <w:rPr>
          <w:rFonts w:cs="Times New Roman"/>
          <w:noProof/>
        </w:rPr>
      </w:pPr>
      <w:r>
        <w:rPr>
          <w:noProof/>
        </w:rPr>
        <w:t>Această componentă a planului spaniol de redresare și reziliență va aborda provocările cu care se confruntă administrația publică, inclusiv eficiența sistemului de justiție, capacitatea administrativă și cooperarea dintre diferitele niveluri de guvernare. Scopul său este de a moderniza administrațiile publice din Spania, prin reformarea proceselor administrative, a achizițiilor publice, a justiției, a ocupării forței de muncă în sectorul public, inclusiv a politicilor în materie de resurse umane; să sporească accesibilitatea și eficiența serviciilor publice prin digitalizarea în continuare a acestora; să promoveze economiile de energie, utilizarea energiei din surse regenerabile în clădirile și infrastructurile publice, să stimuleze mobilitatea durabilă a funcționarilor publici; și consolidarea capacității administrative a administrațiilor publice de a monitoriza, controla și pune în aplicare politicile publice. Măsurile-cheie pentru atingerea acestor obiective sunt următoarele:</w:t>
      </w:r>
    </w:p>
    <w:p w14:paraId="02CA9D5B" w14:textId="77777777" w:rsidR="00D924EA" w:rsidRDefault="00011DE9">
      <w:pPr>
        <w:pStyle w:val="P68B1DB1-Normal29"/>
        <w:numPr>
          <w:ilvl w:val="0"/>
          <w:numId w:val="68"/>
        </w:numPr>
        <w:spacing w:before="120" w:after="120" w:line="240" w:lineRule="auto"/>
        <w:ind w:left="714" w:hanging="357"/>
        <w:contextualSpacing/>
        <w:jc w:val="both"/>
        <w:rPr>
          <w:rFonts w:cs="Times New Roman"/>
          <w:noProof/>
        </w:rPr>
      </w:pPr>
      <w:r>
        <w:rPr>
          <w:noProof/>
        </w:rPr>
        <w:t>Reformarea administrațiilor publice centrale, regionale și locale prin îmbunătățirea cooperării dintre acestea, consolidarea cadrului privind achizițiile publice, evaluarea politicilor publice și promovarea tranziției către contracte de muncă pe durată nedeterminată;</w:t>
      </w:r>
    </w:p>
    <w:p w14:paraId="32035F16" w14:textId="77777777" w:rsidR="00D924EA" w:rsidRDefault="00011DE9">
      <w:pPr>
        <w:pStyle w:val="P68B1DB1-Normal29"/>
        <w:numPr>
          <w:ilvl w:val="0"/>
          <w:numId w:val="68"/>
        </w:numPr>
        <w:spacing w:before="120" w:after="120" w:line="240" w:lineRule="auto"/>
        <w:ind w:left="714" w:hanging="357"/>
        <w:contextualSpacing/>
        <w:jc w:val="both"/>
        <w:rPr>
          <w:rFonts w:cs="Times New Roman"/>
          <w:noProof/>
        </w:rPr>
      </w:pPr>
      <w:r>
        <w:rPr>
          <w:noProof/>
        </w:rPr>
        <w:t>Digitalizarea administrațiilor și a proceselor, cu cinci proiecte prioritare în domenii strategice: Justiție, servicii publice de ocupare a forței de muncă, date privind sănătatea publică, gestionarea consulatelor și administrația teritorială;</w:t>
      </w:r>
    </w:p>
    <w:p w14:paraId="46639D38" w14:textId="77777777" w:rsidR="00D924EA" w:rsidRDefault="00011DE9">
      <w:pPr>
        <w:pStyle w:val="P68B1DB1-Normal29"/>
        <w:numPr>
          <w:ilvl w:val="0"/>
          <w:numId w:val="68"/>
        </w:numPr>
        <w:spacing w:before="120" w:after="120" w:line="240" w:lineRule="auto"/>
        <w:ind w:left="714" w:hanging="357"/>
        <w:contextualSpacing/>
        <w:jc w:val="both"/>
        <w:rPr>
          <w:rFonts w:cs="Times New Roman"/>
          <w:noProof/>
        </w:rPr>
      </w:pPr>
      <w:r>
        <w:rPr>
          <w:noProof/>
        </w:rPr>
        <w:t>Planul de tranziție energetică al administrației centrale;</w:t>
      </w:r>
    </w:p>
    <w:p w14:paraId="76935019" w14:textId="77777777" w:rsidR="00D924EA" w:rsidRDefault="00011DE9">
      <w:pPr>
        <w:pStyle w:val="P68B1DB1-Normal29"/>
        <w:numPr>
          <w:ilvl w:val="0"/>
          <w:numId w:val="68"/>
        </w:numPr>
        <w:spacing w:before="120" w:after="120" w:line="240" w:lineRule="auto"/>
        <w:ind w:left="714" w:hanging="357"/>
        <w:contextualSpacing/>
        <w:jc w:val="both"/>
        <w:rPr>
          <w:rFonts w:cs="Times New Roman"/>
          <w:noProof/>
        </w:rPr>
      </w:pPr>
      <w:r>
        <w:rPr>
          <w:noProof/>
        </w:rPr>
        <w:t>Consolidarea capacităților administrative.</w:t>
      </w:r>
    </w:p>
    <w:p w14:paraId="3D86E5A2" w14:textId="77777777" w:rsidR="00D924EA" w:rsidRDefault="00D924EA">
      <w:pPr>
        <w:spacing w:before="120" w:after="120" w:line="240" w:lineRule="auto"/>
        <w:jc w:val="both"/>
        <w:rPr>
          <w:rFonts w:ascii="Times New Roman" w:hAnsi="Times New Roman"/>
          <w:noProof/>
        </w:rPr>
      </w:pPr>
    </w:p>
    <w:p w14:paraId="0C74B85C" w14:textId="44850112" w:rsidR="00D924EA" w:rsidRDefault="00011DE9">
      <w:pPr>
        <w:pStyle w:val="P68B1DB1-Normal29"/>
        <w:spacing w:before="120" w:after="120" w:line="240" w:lineRule="auto"/>
        <w:jc w:val="both"/>
        <w:rPr>
          <w:rFonts w:cs="Times New Roman"/>
          <w:noProof/>
        </w:rPr>
      </w:pPr>
      <w:r>
        <w:rPr>
          <w:noProof/>
        </w:rPr>
        <w:t>Această componentă a planului spaniol de redresare și reziliență abordează recomandările specifice fiecărei țări privind consolidarea cadrului de achiziții publice (recomandările specifice fiecărei țări 1 2019 și 4 2020), promovarea tranziției către contracte pe durată nedeterminată (Recomandarea specifică fiecărei țări 2 2019), concentrarea la începutul perioadei a proiectelor de investiții publice și concentrarea investițiilor pe tranziția verde și digitală (recomandările specifice fiecărei țări 3 2019, 3 2020, 1 2022 și 1 2023) și îmbunătățirea cooperării dintre administrații (recomandările specifice fiecărei țări 4 2019 și 2020).</w:t>
      </w:r>
    </w:p>
    <w:p w14:paraId="74D15CD6" w14:textId="77777777" w:rsidR="00D924EA" w:rsidRDefault="00011DE9">
      <w:pPr>
        <w:pStyle w:val="P68B1DB1-Normal29"/>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EE37F85" w14:textId="53790B6F" w:rsidR="00D924EA" w:rsidRDefault="00011DE9">
      <w:pPr>
        <w:spacing w:before="120" w:after="120" w:line="240" w:lineRule="auto"/>
        <w:jc w:val="both"/>
        <w:rPr>
          <w:rFonts w:ascii="Times New Roman" w:hAnsi="Times New Roman" w:cs="Times New Roman"/>
          <w:b/>
          <w:i/>
          <w:noProof/>
        </w:rPr>
      </w:pPr>
      <w:r>
        <w:rPr>
          <w:rFonts w:ascii="Times New Roman" w:hAnsi="Times New Roman"/>
          <w:b/>
          <w:noProof/>
          <w:u w:val="single"/>
        </w:rPr>
        <w:t>K.1.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189FDBDF" w14:textId="77777777" w:rsidR="00D924EA" w:rsidRDefault="00011DE9">
      <w:pPr>
        <w:pStyle w:val="P68B1DB1-Normal30"/>
        <w:spacing w:before="120" w:after="120" w:line="240" w:lineRule="auto"/>
        <w:jc w:val="both"/>
        <w:rPr>
          <w:rFonts w:cs="Times New Roman"/>
          <w:noProof/>
        </w:rPr>
      </w:pPr>
      <w:r>
        <w:rPr>
          <w:noProof/>
        </w:rPr>
        <w:t xml:space="preserve">Reforma 1 (C11.R1) – Reforma pentru modernizarea și digitalizarea administrației </w:t>
      </w:r>
    </w:p>
    <w:p w14:paraId="5F5ABEEC" w14:textId="74E35A31" w:rsidR="00D924EA" w:rsidRDefault="00011DE9">
      <w:pPr>
        <w:pStyle w:val="P68B1DB1-Normal29"/>
        <w:keepNext/>
        <w:spacing w:before="120" w:after="120" w:line="240" w:lineRule="auto"/>
        <w:jc w:val="both"/>
        <w:rPr>
          <w:noProof/>
        </w:rPr>
      </w:pPr>
      <w:r>
        <w:rPr>
          <w:noProof/>
        </w:rPr>
        <w:t>Obiectivul acestei măsuri este de a aborda deficiențele politicilor de ocupare a forței de muncă ale administrațiilor publice, de a consolida cooperarea și coordonarea între diferitele niveluri de guvernare și de a îmbunătăți modul în care administrația centrală pune în aplicare politicile publice. Această măsură constă în intrarea în vigoare a legislației privind reducerea ratei angajaților temporari din sectorul public și aspectele legate de resursele umane din administrația publică, privind dezvoltarea în continuare a evaluării ex ante a politicilor și creșterea transparenței și a participării cetățenilor la elaborarea politicilor publice, privind transparența și integritatea în activitățile grupurilor de interese, privind consolidarea cooperării dintre diferitele niveluri de guvernare și interconectarea și interoperabilitatea platformelor lor informatice, precum și privind actualizarea cadrului de securitate națională.</w:t>
      </w:r>
      <w:r w:rsidR="00971820">
        <w:rPr>
          <w:noProof/>
        </w:rPr>
        <w:t xml:space="preserve"> </w:t>
      </w:r>
      <w:r>
        <w:rPr>
          <w:noProof/>
        </w:rPr>
        <w:t xml:space="preserve"> </w:t>
      </w:r>
    </w:p>
    <w:p w14:paraId="522C2A04" w14:textId="7FB1B431" w:rsidR="00D924EA" w:rsidRDefault="00011DE9">
      <w:pPr>
        <w:pStyle w:val="P68B1DB1-Normal30"/>
        <w:keepNext/>
        <w:spacing w:before="120" w:after="120" w:line="240" w:lineRule="auto"/>
        <w:jc w:val="both"/>
        <w:rPr>
          <w:rFonts w:cs="Times New Roman"/>
          <w:noProof/>
        </w:rPr>
      </w:pPr>
      <w:r>
        <w:rPr>
          <w:noProof/>
        </w:rPr>
        <w:t>Reforma 2 (C11.R2) – Reforma menită să stimuleze statul de drept și eficiența sistemului de justiție</w:t>
      </w:r>
    </w:p>
    <w:p w14:paraId="0354C315" w14:textId="7B244660" w:rsidR="00D924EA" w:rsidRDefault="00011DE9">
      <w:pPr>
        <w:pStyle w:val="P68B1DB1-Normal29"/>
        <w:keepNext/>
        <w:spacing w:before="120" w:after="120" w:line="240" w:lineRule="auto"/>
        <w:jc w:val="both"/>
        <w:rPr>
          <w:rFonts w:cs="Times New Roman"/>
          <w:noProof/>
        </w:rPr>
      </w:pPr>
      <w:r>
        <w:rPr>
          <w:noProof/>
        </w:rPr>
        <w:t>Legea nr. 3/2020 din 18 septembrie și programul „Justiție 2030” stabilesc o foaie de parcurs pentru reformarea administrării justiției în Spania. În acest context, această măsură modernizează sistemul judiciar până la intrarea în vigoare (ținând seama de „</w:t>
      </w:r>
      <w:r>
        <w:rPr>
          <w:i/>
          <w:noProof/>
        </w:rPr>
        <w:t>vacatio legis</w:t>
      </w:r>
      <w:r>
        <w:rPr>
          <w:noProof/>
        </w:rPr>
        <w:t xml:space="preserve">” stabilit în fiecare lege), </w:t>
      </w:r>
    </w:p>
    <w:p w14:paraId="65CCB81F" w14:textId="77777777" w:rsidR="00D924EA" w:rsidRDefault="00011DE9">
      <w:pPr>
        <w:pStyle w:val="P68B1DB1-Normal29"/>
        <w:spacing w:before="120" w:after="120" w:line="240" w:lineRule="auto"/>
        <w:jc w:val="both"/>
        <w:rPr>
          <w:rFonts w:cs="Times New Roman"/>
          <w:noProof/>
        </w:rPr>
      </w:pPr>
      <w:r>
        <w:rPr>
          <w:noProof/>
        </w:rPr>
        <w:t>până la 31 decembrie 2022:</w:t>
      </w:r>
    </w:p>
    <w:p w14:paraId="79C05FA4" w14:textId="77777777" w:rsidR="00D924EA" w:rsidRDefault="00011DE9">
      <w:pPr>
        <w:pStyle w:val="P68B1DB1-Normal29"/>
        <w:numPr>
          <w:ilvl w:val="0"/>
          <w:numId w:val="70"/>
        </w:numPr>
        <w:spacing w:before="120" w:after="120" w:line="240" w:lineRule="auto"/>
        <w:jc w:val="both"/>
        <w:rPr>
          <w:rFonts w:cs="Times New Roman"/>
          <w:noProof/>
        </w:rPr>
      </w:pPr>
      <w:r>
        <w:rPr>
          <w:noProof/>
        </w:rPr>
        <w:t>Decretul-lege regal privind eficiența procedurală, care reduce durata procedurilor în toate jurisdicțiile, menținând în același timp garanțiile procedurale ale cetățenilor;</w:t>
      </w:r>
    </w:p>
    <w:p w14:paraId="64221A60" w14:textId="77777777" w:rsidR="00D924EA" w:rsidRDefault="00011DE9">
      <w:pPr>
        <w:pStyle w:val="P68B1DB1-Normal29"/>
        <w:numPr>
          <w:ilvl w:val="0"/>
          <w:numId w:val="70"/>
        </w:numPr>
        <w:spacing w:before="120" w:after="120" w:line="240" w:lineRule="auto"/>
        <w:jc w:val="both"/>
        <w:rPr>
          <w:rFonts w:cs="Times New Roman"/>
          <w:noProof/>
        </w:rPr>
      </w:pPr>
      <w:r>
        <w:rPr>
          <w:noProof/>
        </w:rPr>
        <w:t>Decretul-lege privind eficiența digitală, care promovează o arhitectură bazată pe date pentru gestionarea informațiilor.</w:t>
      </w:r>
    </w:p>
    <w:p w14:paraId="0B5AC233" w14:textId="77777777" w:rsidR="00D924EA" w:rsidRDefault="00011DE9">
      <w:pPr>
        <w:pStyle w:val="P68B1DB1-Normal29"/>
        <w:spacing w:before="120" w:after="120" w:line="240" w:lineRule="auto"/>
        <w:jc w:val="both"/>
        <w:rPr>
          <w:rFonts w:cs="Times New Roman"/>
          <w:noProof/>
        </w:rPr>
      </w:pPr>
      <w:r>
        <w:rPr>
          <w:noProof/>
        </w:rPr>
        <w:t>până la 31 decembrie 2024:</w:t>
      </w:r>
    </w:p>
    <w:p w14:paraId="33D8D287" w14:textId="77777777" w:rsidR="00D924EA" w:rsidRDefault="00011DE9">
      <w:pPr>
        <w:pStyle w:val="P68B1DB1-Normal29"/>
        <w:numPr>
          <w:ilvl w:val="0"/>
          <w:numId w:val="70"/>
        </w:numPr>
        <w:spacing w:before="120" w:after="120" w:line="240" w:lineRule="auto"/>
        <w:jc w:val="both"/>
        <w:rPr>
          <w:rFonts w:cs="Times New Roman"/>
          <w:noProof/>
        </w:rPr>
      </w:pPr>
      <w:r>
        <w:rPr>
          <w:noProof/>
        </w:rPr>
        <w:t>Legea privind eficiența organizațională și procedurală a sistemului de justiție, care modifică organizarea hărții judiciare și stabilește mijloace alternative de soluționare a litigiilor. Această lege înlocuiește numărul mare de instanțe unipersonale de prim grad de jurisdicție cu 431 organe colegiale (</w:t>
      </w:r>
      <w:r>
        <w:rPr>
          <w:i/>
          <w:noProof/>
        </w:rPr>
        <w:t>Tribunales de Instancia</w:t>
      </w:r>
      <w:r>
        <w:rPr>
          <w:noProof/>
        </w:rPr>
        <w:t>) și pune în aplicare Biroul Judiciar.</w:t>
      </w:r>
    </w:p>
    <w:p w14:paraId="20116122" w14:textId="77777777" w:rsidR="00D924EA" w:rsidRDefault="00011DE9">
      <w:pPr>
        <w:pStyle w:val="P68B1DB1-Normal29"/>
        <w:numPr>
          <w:ilvl w:val="0"/>
          <w:numId w:val="70"/>
        </w:numPr>
        <w:spacing w:before="120" w:after="120" w:line="240" w:lineRule="auto"/>
        <w:jc w:val="both"/>
        <w:rPr>
          <w:rFonts w:cs="Times New Roman"/>
          <w:noProof/>
        </w:rPr>
      </w:pPr>
      <w:r>
        <w:rPr>
          <w:noProof/>
        </w:rPr>
        <w:t>Legea privind dreptul la apărare, care dezvoltă și consolidează dreptul fundamental la un proces echitabil și, în cele din urmă, contribuie la consolidarea statului de drept.</w:t>
      </w:r>
    </w:p>
    <w:p w14:paraId="55C811E5" w14:textId="77777777" w:rsidR="00D924EA" w:rsidRDefault="00011DE9">
      <w:pPr>
        <w:pStyle w:val="P68B1DB1-Normal29"/>
        <w:spacing w:before="120" w:after="120" w:line="240" w:lineRule="auto"/>
        <w:jc w:val="both"/>
        <w:rPr>
          <w:rFonts w:cs="Times New Roman"/>
          <w:noProof/>
          <w:u w:val="single"/>
        </w:rPr>
      </w:pPr>
      <w:r>
        <w:rPr>
          <w:noProof/>
        </w:rPr>
        <w:t>Punerea în aplicare a măsurii se finalizează până la 30 iunie 2023.</w:t>
      </w:r>
    </w:p>
    <w:p w14:paraId="77634F09" w14:textId="77777777" w:rsidR="00D924EA" w:rsidRDefault="00011DE9">
      <w:pPr>
        <w:pStyle w:val="P68B1DB1-Normal30"/>
        <w:spacing w:before="120" w:after="120" w:line="240" w:lineRule="auto"/>
        <w:jc w:val="both"/>
        <w:rPr>
          <w:rFonts w:cs="Times New Roman"/>
          <w:noProof/>
        </w:rPr>
      </w:pPr>
      <w:r>
        <w:rPr>
          <w:noProof/>
        </w:rPr>
        <w:t>Reforma 3 (C11.R3) – Reforma de modernizare a arhitecturii instituționale a guvernanței economice</w:t>
      </w:r>
    </w:p>
    <w:p w14:paraId="37DC0C19" w14:textId="6636B72D" w:rsidR="00D924EA" w:rsidRDefault="00011DE9">
      <w:pPr>
        <w:pStyle w:val="P68B1DB1-Normal29"/>
        <w:shd w:val="clear" w:color="auto" w:fill="FFFFFF" w:themeFill="background1"/>
        <w:spacing w:before="120" w:after="120" w:line="240" w:lineRule="auto"/>
        <w:jc w:val="both"/>
        <w:rPr>
          <w:rFonts w:cs="Times New Roman"/>
          <w:noProof/>
        </w:rPr>
      </w:pPr>
      <w:r>
        <w:rPr>
          <w:noProof/>
        </w:rPr>
        <w:t xml:space="preserve">Această măsură reformează aspecte ale cadrului instituțional de guvernanță economică, inclusiv prin accelerarea și promovarea digitalizării proceselor. Acestea cuprind: a) reforma modului în care </w:t>
      </w:r>
      <w:r>
        <w:rPr>
          <w:i/>
          <w:noProof/>
        </w:rPr>
        <w:t>Caja General de Depósitos</w:t>
      </w:r>
      <w:r>
        <w:rPr>
          <w:noProof/>
        </w:rPr>
        <w:t xml:space="preserve"> gestionează garanțiile, pentru a le face electronice; b) modernizarea supravegherii domeniilor financiar și de audit, prin reforma planului general de contabilitate și a Regulamentului privind auditul; și c) publicarea unei cărți verzi pentru promovarea finanțelor durabile în Spania.</w:t>
      </w:r>
    </w:p>
    <w:p w14:paraId="170244BC" w14:textId="77777777" w:rsidR="00D924EA" w:rsidRDefault="00011DE9">
      <w:pPr>
        <w:pStyle w:val="P68B1DB1-Normal30"/>
        <w:spacing w:before="120" w:after="120" w:line="240" w:lineRule="auto"/>
        <w:jc w:val="both"/>
        <w:rPr>
          <w:rFonts w:cs="Times New Roman"/>
          <w:noProof/>
        </w:rPr>
      </w:pPr>
      <w:r>
        <w:rPr>
          <w:noProof/>
        </w:rPr>
        <w:t xml:space="preserve">Reforma 4 (C11.R4) – Strategia națională privind achizițiile publice </w:t>
      </w:r>
    </w:p>
    <w:p w14:paraId="4D13980B" w14:textId="77777777" w:rsidR="00D924EA" w:rsidRDefault="00011DE9">
      <w:pPr>
        <w:pStyle w:val="P68B1DB1-Normal29"/>
        <w:spacing w:before="120" w:after="120" w:line="240" w:lineRule="auto"/>
        <w:jc w:val="both"/>
        <w:rPr>
          <w:rFonts w:cs="Times New Roman"/>
          <w:noProof/>
        </w:rPr>
      </w:pPr>
      <w:r>
        <w:rPr>
          <w:noProof/>
        </w:rPr>
        <w:t xml:space="preserve">Această reformă va finaliza punerea în aplicare a reformei achizițiilor publice prevăzute în Legea nr. 9/2017 privind contractele din sectorul public (ca principal act de transpunere a Directivei 2014/24/UE a Parlamentului European și a Consiliului din 26 februarie 2014 privind achizițiile publice și de abrogare a Directivei 2004/18/CE Text cu relevanță pentru SEE). Acest lucru va institui o structură de guvernanță pentru a răspunde necesității unui cadru coerent privind achizițiile publice, care să asigure transparența, mecanisme eficace de control, interconectarea bazelor de date privind achizițiile publice între toate nivelurile de guvernare și coordonarea între nivelurile de guvernare, pentru: I) să facă Biroul Național de Evaluare pe deplin operațional și ii) să adopte Strategia națională privind achizițiile publice. </w:t>
      </w:r>
    </w:p>
    <w:p w14:paraId="03BCBD3C" w14:textId="50E7FBCB" w:rsidR="00D924EA" w:rsidRDefault="00011DE9">
      <w:pPr>
        <w:pStyle w:val="P68B1DB1-Normal29"/>
        <w:spacing w:before="120" w:after="120" w:line="240" w:lineRule="auto"/>
        <w:jc w:val="both"/>
        <w:rPr>
          <w:rFonts w:cs="Times New Roman"/>
          <w:noProof/>
        </w:rPr>
      </w:pPr>
      <w:r>
        <w:rPr>
          <w:noProof/>
        </w:rPr>
        <w:t>Spania a creat deja Biroul independent pentru reglementarea și supravegherea achizițiilor publice și Biroul național de evaluare. Această reformă abordează, de asemenea, problemele legate de furnizarea limitată de informații și baze de date privind achizițiile publice, precum și deficiențele din structura contractelor de achiziții publice. În acest scop, reforma: a) îmbunătățirea eficienței achizițiilor publice (procese, rezultate, date și informații); b) promovarea profesionalizării actorilor (în conformitate cu recomandarea Comisiei din octombrie 2017); (c) îmbunătățirea accesului IMM-urilor; și d)</w:t>
      </w:r>
      <w:r w:rsidR="0042520D">
        <w:rPr>
          <w:noProof/>
        </w:rPr>
        <w:t> </w:t>
      </w:r>
      <w:r>
        <w:rPr>
          <w:noProof/>
        </w:rPr>
        <w:t>consolidarea cadrului juridic al achizițiilor publice digitale.</w:t>
      </w:r>
    </w:p>
    <w:p w14:paraId="7AB45519" w14:textId="77777777" w:rsidR="00D924EA" w:rsidRDefault="00011DE9">
      <w:pPr>
        <w:pStyle w:val="P68B1DB1-Normal29"/>
        <w:spacing w:before="120" w:after="120" w:line="240" w:lineRule="auto"/>
        <w:jc w:val="both"/>
        <w:rPr>
          <w:rFonts w:cs="Times New Roman"/>
          <w:noProof/>
        </w:rPr>
      </w:pPr>
      <w:r>
        <w:rPr>
          <w:noProof/>
        </w:rPr>
        <w:t>Punerea în aplicare a măsurii se finalizează până la 31 decembrie 2022.</w:t>
      </w:r>
    </w:p>
    <w:p w14:paraId="7331AA06" w14:textId="77777777" w:rsidR="00D924EA" w:rsidRDefault="00011DE9">
      <w:pPr>
        <w:pStyle w:val="P68B1DB1-Normal30"/>
        <w:keepNext/>
        <w:spacing w:before="120" w:after="120" w:line="240" w:lineRule="auto"/>
        <w:jc w:val="both"/>
        <w:rPr>
          <w:rFonts w:cs="Times New Roman"/>
          <w:noProof/>
        </w:rPr>
      </w:pPr>
      <w:r>
        <w:rPr>
          <w:noProof/>
        </w:rPr>
        <w:t xml:space="preserve">Reforma 5 (C11.R5) – Capacitatea administrativă </w:t>
      </w:r>
    </w:p>
    <w:p w14:paraId="53549174" w14:textId="5F987BDE" w:rsidR="00D924EA" w:rsidRDefault="00011DE9">
      <w:pPr>
        <w:pStyle w:val="P68B1DB1-Normal29"/>
        <w:spacing w:before="120" w:after="120" w:line="240" w:lineRule="auto"/>
        <w:jc w:val="both"/>
        <w:rPr>
          <w:noProof/>
        </w:rPr>
      </w:pPr>
      <w:r>
        <w:rPr>
          <w:noProof/>
        </w:rPr>
        <w:t xml:space="preserve">Această reformă modernizează funcționarea internă a administrațiilor publice pentru a îmbunătăți punerea în aplicare a planului spaniol de redresare și reziliență, cu scopul de a avea un impact de lungă durată asupra punerii în aplicare a reformelor și a investițiilor viitoare de către administrația publică spaniolă. În ansamblu, aceasta, împreună cu investiția 5, reformează capacitatea administrațiilor publice de a asigura punerea în aplicare corespunzătoare a planului de redresare și reziliență. </w:t>
      </w:r>
    </w:p>
    <w:p w14:paraId="6E5CF0EB" w14:textId="77777777" w:rsidR="00D924EA" w:rsidRDefault="00011DE9">
      <w:pPr>
        <w:pStyle w:val="P68B1DB1-Normal29"/>
        <w:spacing w:before="120" w:after="120" w:line="240" w:lineRule="auto"/>
        <w:jc w:val="both"/>
        <w:rPr>
          <w:rFonts w:cs="Times New Roman"/>
          <w:noProof/>
        </w:rPr>
      </w:pPr>
      <w:r>
        <w:rPr>
          <w:noProof/>
        </w:rPr>
        <w:t>Guvernanța, raportarea și monitorizarea acțiunilor incluse în planul de redresare și reziliență sunt implementate prin intermediul unui nou model de gestiune administrativă și financiară pentru a se asigura că acțiunile prevăzute în planul de redresare și reziliență sunt puse în aplicare în mod corespunzător. Acest model uniform urmează să fie centralizat în cadrul Secretariatului General pentru Fonduri Europene și va fi pus la dispoziția ministerelor de raportare, a unităților TIC corespunzătoare și, eventual, a administrațiilor omoloage din regiuni (comunități autonome). În acest scop, guvernul central a adoptat Decretul-lege regal nr. 36/2020.</w:t>
      </w:r>
    </w:p>
    <w:p w14:paraId="7E936925" w14:textId="77777777" w:rsidR="00D924EA" w:rsidRDefault="00011DE9">
      <w:pPr>
        <w:pStyle w:val="P68B1DB1-Normal29"/>
        <w:spacing w:before="120" w:after="120" w:line="240" w:lineRule="auto"/>
        <w:jc w:val="both"/>
        <w:rPr>
          <w:rFonts w:cs="Times New Roman"/>
          <w:noProof/>
        </w:rPr>
      </w:pPr>
      <w:r>
        <w:rPr>
          <w:noProof/>
        </w:rPr>
        <w:t>Punerea în aplicare a măsurii se finalizează până la 30 septembrie 2021.</w:t>
      </w:r>
    </w:p>
    <w:p w14:paraId="7835A15B" w14:textId="77777777" w:rsidR="00D924EA" w:rsidRDefault="00011DE9">
      <w:pPr>
        <w:pStyle w:val="P68B1DB1-Normal30"/>
        <w:spacing w:before="120" w:after="120" w:line="240" w:lineRule="auto"/>
        <w:jc w:val="both"/>
        <w:rPr>
          <w:rFonts w:cs="Times New Roman"/>
          <w:noProof/>
        </w:rPr>
      </w:pPr>
      <w:r>
        <w:rPr>
          <w:noProof/>
        </w:rPr>
        <w:t>Investiția 1 (C11.I1) – Modernizarea Administrației Generale de Stat</w:t>
      </w:r>
    </w:p>
    <w:p w14:paraId="615B26E8" w14:textId="4E5F4F33" w:rsidR="00D924EA" w:rsidRDefault="00011DE9">
      <w:pPr>
        <w:spacing w:before="120" w:after="120" w:line="240" w:lineRule="auto"/>
        <w:jc w:val="both"/>
        <w:rPr>
          <w:rFonts w:ascii="Times New Roman" w:hAnsi="Times New Roman"/>
          <w:noProof/>
        </w:rPr>
      </w:pPr>
      <w:bookmarkStart w:id="2" w:name="_Hlk207884208"/>
      <w:r>
        <w:rPr>
          <w:rFonts w:ascii="Times New Roman" w:hAnsi="Times New Roman"/>
          <w:noProof/>
        </w:rPr>
        <w:t xml:space="preserve">Obiectivul acestei măsuri este de a moderniza Administrația Generală a Statului prin transformare digitală. Aceasta constă </w:t>
      </w:r>
      <w:r>
        <w:rPr>
          <w:rFonts w:ascii="Times New Roman" w:eastAsia="Calibri" w:hAnsi="Times New Roman" w:cs="Arial"/>
          <w:noProof/>
          <w:kern w:val="0"/>
          <w14:ligatures w14:val="none"/>
        </w:rPr>
        <w:t xml:space="preserve">în interconectarea în </w:t>
      </w:r>
      <w:r>
        <w:rPr>
          <w:rFonts w:ascii="Times New Roman" w:hAnsi="Times New Roman"/>
          <w:noProof/>
        </w:rPr>
        <w:t>continuare a tuturor platformelor de achiziții publice existente (administrația centrală și regională</w:t>
      </w:r>
      <w:r>
        <w:rPr>
          <w:rFonts w:ascii="Times New Roman" w:eastAsia="Calibri" w:hAnsi="Times New Roman" w:cs="Arial"/>
          <w:noProof/>
          <w:kern w:val="0"/>
          <w14:ligatures w14:val="none"/>
        </w:rPr>
        <w:t>)</w:t>
      </w:r>
      <w:r>
        <w:rPr>
          <w:rFonts w:ascii="Times New Roman" w:hAnsi="Times New Roman"/>
          <w:noProof/>
        </w:rPr>
        <w:t xml:space="preserve"> și în executarea contractelor în următoarele domenii:</w:t>
      </w:r>
      <w:bookmarkEnd w:id="2"/>
      <w:r w:rsidR="00971820">
        <w:rPr>
          <w:rFonts w:ascii="Times New Roman" w:hAnsi="Times New Roman"/>
          <w:noProof/>
        </w:rPr>
        <w:t xml:space="preserve"> </w:t>
      </w:r>
      <w:r>
        <w:rPr>
          <w:rFonts w:ascii="Times New Roman" w:hAnsi="Times New Roman"/>
          <w:noProof/>
        </w:rPr>
        <w:t>1.</w:t>
      </w:r>
      <w:r w:rsidR="00C202D2">
        <w:rPr>
          <w:rFonts w:ascii="Times New Roman" w:hAnsi="Times New Roman"/>
          <w:noProof/>
        </w:rPr>
        <w:t> </w:t>
      </w:r>
      <w:r>
        <w:rPr>
          <w:rFonts w:ascii="Times New Roman" w:hAnsi="Times New Roman"/>
          <w:noProof/>
        </w:rPr>
        <w:t>Administrație orientată către cetățeni, 2. Operațiuni inteligente, 3. O administrație publică de date, 4. Infrastructurile digitale și 5. Securitatea cibernetică (inclusiv înființarea Centrului de operațiuni pentru securitate cibernetică).</w:t>
      </w:r>
    </w:p>
    <w:p w14:paraId="00F06D19" w14:textId="77777777" w:rsidR="00D924EA" w:rsidRDefault="00011DE9">
      <w:pPr>
        <w:pStyle w:val="P68B1DB1-Normal30"/>
        <w:spacing w:before="120" w:after="120" w:line="240" w:lineRule="auto"/>
        <w:jc w:val="both"/>
        <w:rPr>
          <w:rFonts w:cs="Times New Roman"/>
          <w:noProof/>
        </w:rPr>
      </w:pPr>
      <w:r>
        <w:rPr>
          <w:noProof/>
        </w:rPr>
        <w:t>Investiția 2 (C11.I2) – Proiecte specifice de digitalizare a administrației centrale</w:t>
      </w:r>
    </w:p>
    <w:p w14:paraId="40397BE6" w14:textId="449A46D5" w:rsidR="00D924EA" w:rsidRDefault="00011DE9">
      <w:pPr>
        <w:pStyle w:val="P68B1DB1-Normal12"/>
        <w:spacing w:before="120" w:after="0" w:line="240" w:lineRule="auto"/>
        <w:contextualSpacing/>
        <w:jc w:val="both"/>
        <w:rPr>
          <w:noProof/>
        </w:rPr>
      </w:pPr>
      <w:r>
        <w:rPr>
          <w:noProof/>
        </w:rPr>
        <w:t>Obiectivul acestei măsuri este de a accelera transformarea digitală a administrației centrale. Aceasta constă în executarea contractelor legate de digitalizarea administrației publice centrale sau a sectorului public instituțional sau în cursuri de formare sau alte acțiuni de sprijinire a administrației publice centrale sau a sectorului public instituțional în ceea ce privește digitalizarea sa.</w:t>
      </w:r>
    </w:p>
    <w:p w14:paraId="7852F381" w14:textId="37CD81A1" w:rsidR="00D924EA" w:rsidRDefault="00011DE9">
      <w:pPr>
        <w:pStyle w:val="P68B1DB1-Normal30"/>
        <w:spacing w:before="120" w:after="120" w:line="240" w:lineRule="auto"/>
        <w:jc w:val="both"/>
        <w:rPr>
          <w:rFonts w:cs="Times New Roman"/>
          <w:noProof/>
        </w:rPr>
      </w:pPr>
      <w:r>
        <w:rPr>
          <w:noProof/>
        </w:rPr>
        <w:t>Investiția 3 (C11.I3) – Transformarea digitală și modernizarea Ministerului Politicii Teritoriale și Memoriei Democratice, a Ministerului Transformării Digitale și Serviciului Public, a administrațiilor regionale și locale, precum și a Serviciului Național de Sănătate.</w:t>
      </w:r>
    </w:p>
    <w:p w14:paraId="43564821" w14:textId="56DE0CFD" w:rsidR="00D924EA" w:rsidRDefault="00011DE9">
      <w:pPr>
        <w:pStyle w:val="P68B1DB1-Normal29"/>
        <w:spacing w:before="120" w:after="120" w:line="240" w:lineRule="auto"/>
        <w:jc w:val="both"/>
        <w:rPr>
          <w:noProof/>
        </w:rPr>
      </w:pPr>
      <w:r>
        <w:rPr>
          <w:noProof/>
        </w:rPr>
        <w:t>Obiectivul acestei măsuri este de a moderniza Ministerul Politicii Teritoriale și Memoriei Democratice, Ministerul Transformării Digitale și al Serviciilor Publice, administrațiile regionale și locale, precum și Serviciul Național de Sănătate. Aceasta constă în publicarea unui raport privind 17</w:t>
      </w:r>
      <w:r w:rsidR="00C202D2">
        <w:rPr>
          <w:noProof/>
        </w:rPr>
        <w:t> </w:t>
      </w:r>
      <w:r>
        <w:rPr>
          <w:noProof/>
        </w:rPr>
        <w:t xml:space="preserve">proiecte-pilot din cadrul Planului de îngrijire digitală a persoanelor și în executarea contractelor sau a granturilor în următoarele linii strategice: 1. O administrație orientată către cetățeni; 2. Operațiuni inteligente; 3. O administrație publică de date; 4. Infrastructuri digitale; și 5. Securitate cibernetică. </w:t>
      </w:r>
    </w:p>
    <w:p w14:paraId="365BAFFB" w14:textId="77777777" w:rsidR="00D924EA" w:rsidRDefault="00011DE9">
      <w:pPr>
        <w:pStyle w:val="P68B1DB1-Normal30"/>
        <w:spacing w:before="120" w:after="120" w:line="240" w:lineRule="auto"/>
        <w:jc w:val="both"/>
        <w:rPr>
          <w:rFonts w:cs="Times New Roman"/>
          <w:noProof/>
        </w:rPr>
      </w:pPr>
      <w:r>
        <w:rPr>
          <w:noProof/>
        </w:rPr>
        <w:t>Investiția 4 (C11.I4) – Planul de tranziție energetică în cadrul Administrației Generale de Stat</w:t>
      </w:r>
    </w:p>
    <w:p w14:paraId="715C7D05" w14:textId="3D5B31A7" w:rsidR="00D924EA" w:rsidRDefault="00011DE9">
      <w:pPr>
        <w:pStyle w:val="P68B1DB1-Normal29"/>
        <w:spacing w:before="120" w:after="120" w:line="240" w:lineRule="auto"/>
        <w:jc w:val="both"/>
        <w:rPr>
          <w:rFonts w:cs="Times New Roman"/>
          <w:noProof/>
        </w:rPr>
      </w:pPr>
      <w:r>
        <w:rPr>
          <w:noProof/>
        </w:rPr>
        <w:t>Obiectivul acestei măsuri este de a îmbunătăți economiile de energie și de a reduce emisiile în clădirile, infrastructura și parcul de vehicule ale administrației centrale. Această investiție constă în reducerea consumului de energie primară din surse neregenerabile cu cel puțin o medie de 30 % din suprafața locuibilă cumulată în clădirile publice, instalarea de sisteme de energie din surse regenerabile, punerea în aplicare a unor măsuri de îmbunătățire a economiilor de energie, instalarea de puncte de încărcare pentru vehiculele electrice și înlocuirea vehiculelor publice cu modele cu emisii zero sau cu emisii scăzute</w:t>
      </w:r>
      <w:r>
        <w:rPr>
          <w:noProof/>
        </w:rPr>
        <w:footnoteReference w:id="21"/>
      </w:r>
      <w:r>
        <w:rPr>
          <w:noProof/>
        </w:rPr>
        <w:t>.</w:t>
      </w:r>
    </w:p>
    <w:p w14:paraId="043526DA" w14:textId="77777777" w:rsidR="00D924EA" w:rsidRDefault="00011DE9">
      <w:pPr>
        <w:pStyle w:val="P68B1DB1-Normal30"/>
        <w:spacing w:before="120" w:after="120" w:line="240" w:lineRule="auto"/>
        <w:jc w:val="both"/>
        <w:rPr>
          <w:rFonts w:cs="Times New Roman"/>
          <w:noProof/>
        </w:rPr>
      </w:pPr>
      <w:r>
        <w:rPr>
          <w:noProof/>
        </w:rPr>
        <w:t>Investiția 5 (C11.I5) – Transformarea administrației pentru punerea în aplicare a planului spaniol de redresare și reziliență</w:t>
      </w:r>
    </w:p>
    <w:p w14:paraId="062025C8" w14:textId="15A7B1A1" w:rsidR="00D924EA" w:rsidRDefault="00011DE9">
      <w:pPr>
        <w:pStyle w:val="P68B1DB1-Normal29"/>
        <w:keepNext/>
        <w:spacing w:before="120" w:after="120" w:line="240" w:lineRule="auto"/>
        <w:jc w:val="both"/>
        <w:rPr>
          <w:noProof/>
        </w:rPr>
      </w:pPr>
      <w:r>
        <w:rPr>
          <w:noProof/>
        </w:rPr>
        <w:t xml:space="preserve">Obiectivul acestei măsuri este de a adapta funcționarea administrației publice pentru a face față provocărilor generate de punerea în aplicare și monitorizarea planului de redresare și reziliență. Acesta constă în crearea unui sistem integrat de informare și gestionare, a unei platforme de formare, a unor cursuri de formare privind planul de redresare și reziliență și în desfășurarea de activități de comunicare pentru a informa administrațiile, cetățenii și întreprinderile cu privire la oportunitățile pe care le oferă planul de redresare și reziliență. </w:t>
      </w:r>
    </w:p>
    <w:p w14:paraId="53FB4A2D" w14:textId="77777777" w:rsidR="00D924EA" w:rsidRDefault="00011DE9">
      <w:pPr>
        <w:pStyle w:val="P68B1DB1-Normal30"/>
        <w:keepNext/>
        <w:spacing w:before="120" w:after="120" w:line="240" w:lineRule="auto"/>
        <w:jc w:val="both"/>
        <w:rPr>
          <w:noProof/>
        </w:rPr>
      </w:pPr>
      <w:r>
        <w:rPr>
          <w:noProof/>
        </w:rPr>
        <w:t>Investiția 6 (C11.I6) – Securitatea cibernetică</w:t>
      </w:r>
    </w:p>
    <w:p w14:paraId="6A599143" w14:textId="67719247" w:rsidR="00D924EA" w:rsidRDefault="00011DE9">
      <w:pPr>
        <w:pStyle w:val="P68B1DB1-Normal29"/>
        <w:keepNext/>
        <w:spacing w:before="120" w:after="120" w:line="240" w:lineRule="auto"/>
        <w:jc w:val="both"/>
        <w:rPr>
          <w:noProof/>
        </w:rPr>
      </w:pPr>
      <w:r>
        <w:rPr>
          <w:noProof/>
        </w:rPr>
        <w:t>Obiectivul acestei măsuri este de a consolida capacitățile în materie de securitate cibernetică ale administrației publice. Această măsură constă în executarea contractelor de consolidare a capacităților în materie de securitate cibernetică ale administrației publice în următoarele domenii: I) consolidarea capacităților de răspuns la amenințările cibernetice; asigurarea securității și rezilienței activelor strategice; (III) consolidarea capacităților de investigare și urmărire penală a criminalității informatice; (IV) stimularea securității cibernetice pentru cetățeni și întreprinderi; V) stimularea sectorului securității cibernetice; și vi) dezvoltarea unei culturi a securității cibernetice.</w:t>
      </w:r>
    </w:p>
    <w:p w14:paraId="30BAC697" w14:textId="5B21D696" w:rsidR="00D924EA" w:rsidRDefault="00011DE9">
      <w:pPr>
        <w:keepNext/>
        <w:spacing w:before="120" w:after="120" w:line="240" w:lineRule="auto"/>
        <w:jc w:val="both"/>
        <w:rPr>
          <w:rFonts w:ascii="Times New Roman" w:hAnsi="Times New Roman" w:cs="Times New Roman"/>
          <w:b/>
          <w:noProof/>
          <w:u w:val="single"/>
        </w:rPr>
      </w:pPr>
      <w:r>
        <w:rPr>
          <w:rFonts w:ascii="Times New Roman" w:hAnsi="Times New Roman"/>
          <w:b/>
          <w:noProof/>
          <w:u w:val="single"/>
        </w:rPr>
        <w:t>K.2.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08616733" w14:textId="77777777" w:rsidR="00D924EA" w:rsidRDefault="00011DE9">
      <w:pPr>
        <w:pStyle w:val="P68B1DB1-Normal29"/>
        <w:keepNext/>
        <w:spacing w:before="120" w:after="120" w:line="240" w:lineRule="auto"/>
        <w:rPr>
          <w:rFonts w:cs="Times New Roman"/>
          <w:i/>
          <w:noProof/>
        </w:rPr>
        <w:sectPr w:rsidR="00D924EA" w:rsidSect="00B528FB">
          <w:headerReference w:type="even" r:id="rId144"/>
          <w:headerReference w:type="default" r:id="rId145"/>
          <w:footerReference w:type="even" r:id="rId146"/>
          <w:footerReference w:type="default" r:id="rId147"/>
          <w:headerReference w:type="first" r:id="rId148"/>
          <w:footerReference w:type="first" r:id="rId149"/>
          <w:pgSz w:w="11907" w:h="16839"/>
          <w:pgMar w:top="1134" w:right="1134" w:bottom="1134" w:left="1134" w:header="567" w:footer="567" w:gutter="0"/>
          <w:cols w:space="720"/>
          <w:docGrid w:linePitch="360"/>
        </w:sect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5"/>
        <w:gridCol w:w="1415"/>
        <w:gridCol w:w="999"/>
        <w:gridCol w:w="1593"/>
        <w:gridCol w:w="1409"/>
        <w:gridCol w:w="897"/>
        <w:gridCol w:w="1133"/>
        <w:gridCol w:w="965"/>
        <w:gridCol w:w="708"/>
        <w:gridCol w:w="709"/>
        <w:gridCol w:w="3573"/>
      </w:tblGrid>
      <w:tr w:rsidR="00D924EA" w14:paraId="3ACAE215" w14:textId="77777777">
        <w:trPr>
          <w:trHeight w:val="624"/>
          <w:tblHeader/>
          <w:jc w:val="center"/>
        </w:trPr>
        <w:tc>
          <w:tcPr>
            <w:tcW w:w="1195" w:type="dxa"/>
            <w:vMerge w:val="restart"/>
            <w:shd w:val="clear" w:color="auto" w:fill="B7D4EF"/>
            <w:vAlign w:val="center"/>
          </w:tcPr>
          <w:p w14:paraId="3EC29CFD" w14:textId="77777777" w:rsidR="00D924EA" w:rsidRDefault="00011DE9">
            <w:pPr>
              <w:pStyle w:val="P68B1DB1-Normal28"/>
              <w:jc w:val="center"/>
              <w:rPr>
                <w:rFonts w:cs="Times New Roman"/>
                <w:bCs/>
                <w:noProof/>
                <w:szCs w:val="18"/>
              </w:rPr>
            </w:pPr>
            <w:r>
              <w:rPr>
                <w:noProof/>
              </w:rPr>
              <w:t>Număr</w:t>
            </w:r>
          </w:p>
        </w:tc>
        <w:tc>
          <w:tcPr>
            <w:tcW w:w="1415" w:type="dxa"/>
            <w:vMerge w:val="restart"/>
            <w:shd w:val="clear" w:color="auto" w:fill="B7D4EF"/>
            <w:vAlign w:val="center"/>
          </w:tcPr>
          <w:p w14:paraId="4B0D7D89" w14:textId="77777777" w:rsidR="00D924EA" w:rsidRDefault="00011DE9">
            <w:pPr>
              <w:pStyle w:val="P68B1DB1-Normal28"/>
              <w:jc w:val="center"/>
              <w:rPr>
                <w:rFonts w:cs="Times New Roman"/>
                <w:bCs/>
                <w:noProof/>
                <w:szCs w:val="18"/>
              </w:rPr>
            </w:pPr>
            <w:r>
              <w:rPr>
                <w:noProof/>
              </w:rPr>
              <w:t>Măsură</w:t>
            </w:r>
          </w:p>
        </w:tc>
        <w:tc>
          <w:tcPr>
            <w:tcW w:w="999" w:type="dxa"/>
            <w:vMerge w:val="restart"/>
            <w:shd w:val="clear" w:color="auto" w:fill="B7D4EF"/>
            <w:vAlign w:val="center"/>
          </w:tcPr>
          <w:p w14:paraId="5F95D2A0" w14:textId="6BE42B49" w:rsidR="00D924EA" w:rsidRDefault="00011DE9">
            <w:pPr>
              <w:jc w:val="center"/>
              <w:rPr>
                <w:rFonts w:ascii="Times New Roman" w:hAnsi="Times New Roman" w:cs="Times New Roman"/>
                <w:b/>
                <w:bCs/>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1593" w:type="dxa"/>
            <w:vMerge w:val="restart"/>
            <w:shd w:val="clear" w:color="auto" w:fill="B7D4EF"/>
            <w:vAlign w:val="center"/>
          </w:tcPr>
          <w:p w14:paraId="11BE2682" w14:textId="77777777" w:rsidR="00D924EA" w:rsidRDefault="00011DE9">
            <w:pPr>
              <w:pStyle w:val="P68B1DB1-Normal28"/>
              <w:jc w:val="center"/>
              <w:rPr>
                <w:rFonts w:cs="Times New Roman"/>
                <w:bCs/>
                <w:noProof/>
                <w:szCs w:val="18"/>
              </w:rPr>
            </w:pPr>
            <w:r>
              <w:rPr>
                <w:noProof/>
              </w:rPr>
              <w:t>Nume</w:t>
            </w:r>
          </w:p>
        </w:tc>
        <w:tc>
          <w:tcPr>
            <w:tcW w:w="1409" w:type="dxa"/>
            <w:vMerge w:val="restart"/>
            <w:shd w:val="clear" w:color="auto" w:fill="B7D4EF"/>
            <w:vAlign w:val="center"/>
          </w:tcPr>
          <w:p w14:paraId="46D80FA9" w14:textId="77777777" w:rsidR="00D924EA" w:rsidRDefault="00011DE9">
            <w:pPr>
              <w:pStyle w:val="P68B1DB1-Normal28"/>
              <w:jc w:val="center"/>
              <w:rPr>
                <w:rFonts w:cs="Times New Roman"/>
                <w:bCs/>
                <w:noProof/>
                <w:szCs w:val="18"/>
              </w:rPr>
            </w:pPr>
            <w:r>
              <w:rPr>
                <w:noProof/>
              </w:rPr>
              <w:t>Indicator calitativ pentru jaloane</w:t>
            </w:r>
          </w:p>
        </w:tc>
        <w:tc>
          <w:tcPr>
            <w:tcW w:w="2995" w:type="dxa"/>
            <w:gridSpan w:val="3"/>
            <w:shd w:val="clear" w:color="auto" w:fill="B7D4EF"/>
            <w:vAlign w:val="center"/>
          </w:tcPr>
          <w:p w14:paraId="69DD9657" w14:textId="77777777" w:rsidR="00D924EA" w:rsidRDefault="00011DE9">
            <w:pPr>
              <w:pStyle w:val="P68B1DB1-Normal28"/>
              <w:jc w:val="center"/>
              <w:rPr>
                <w:rFonts w:cs="Times New Roman"/>
                <w:bCs/>
                <w:noProof/>
                <w:szCs w:val="18"/>
              </w:rPr>
            </w:pPr>
            <w:r>
              <w:rPr>
                <w:noProof/>
              </w:rPr>
              <w:t>Indicator cantitativ pentru ținte</w:t>
            </w:r>
          </w:p>
        </w:tc>
        <w:tc>
          <w:tcPr>
            <w:tcW w:w="1417" w:type="dxa"/>
            <w:gridSpan w:val="2"/>
            <w:shd w:val="clear" w:color="auto" w:fill="B7D4EF"/>
            <w:vAlign w:val="center"/>
          </w:tcPr>
          <w:p w14:paraId="74DD8089" w14:textId="77777777" w:rsidR="00D924EA" w:rsidRDefault="00011DE9">
            <w:pPr>
              <w:pStyle w:val="P68B1DB1-Normal28"/>
              <w:jc w:val="center"/>
              <w:rPr>
                <w:rFonts w:cs="Times New Roman"/>
                <w:bCs/>
                <w:noProof/>
                <w:szCs w:val="18"/>
              </w:rPr>
            </w:pPr>
            <w:r>
              <w:rPr>
                <w:noProof/>
              </w:rPr>
              <w:t>Timp</w:t>
            </w:r>
          </w:p>
        </w:tc>
        <w:tc>
          <w:tcPr>
            <w:tcW w:w="3573" w:type="dxa"/>
            <w:vMerge w:val="restart"/>
            <w:shd w:val="clear" w:color="auto" w:fill="B7D4EF"/>
            <w:vAlign w:val="center"/>
          </w:tcPr>
          <w:p w14:paraId="70990E6A" w14:textId="77777777" w:rsidR="00D924EA" w:rsidRDefault="00011DE9">
            <w:pPr>
              <w:pStyle w:val="P68B1DB1-Normal28"/>
              <w:jc w:val="center"/>
              <w:rPr>
                <w:rFonts w:cs="Times New Roman"/>
                <w:noProof/>
                <w:szCs w:val="18"/>
              </w:rPr>
            </w:pPr>
            <w:r>
              <w:rPr>
                <w:noProof/>
              </w:rPr>
              <w:t>Descrierea fiecărui jalon și a fiecărei ținte</w:t>
            </w:r>
          </w:p>
        </w:tc>
      </w:tr>
      <w:tr w:rsidR="00D924EA" w14:paraId="0A753CF0" w14:textId="77777777" w:rsidTr="00C202D2">
        <w:trPr>
          <w:trHeight w:val="272"/>
          <w:tblHeader/>
          <w:jc w:val="center"/>
        </w:trPr>
        <w:tc>
          <w:tcPr>
            <w:tcW w:w="1195" w:type="dxa"/>
            <w:vMerge/>
            <w:vAlign w:val="center"/>
          </w:tcPr>
          <w:p w14:paraId="145016EC" w14:textId="77777777" w:rsidR="00D924EA" w:rsidRDefault="00D924EA">
            <w:pPr>
              <w:jc w:val="center"/>
              <w:rPr>
                <w:rFonts w:ascii="Times New Roman" w:hAnsi="Times New Roman" w:cs="Times New Roman"/>
                <w:b/>
                <w:bCs/>
                <w:noProof/>
                <w:sz w:val="18"/>
                <w:szCs w:val="18"/>
              </w:rPr>
            </w:pPr>
          </w:p>
        </w:tc>
        <w:tc>
          <w:tcPr>
            <w:tcW w:w="1415" w:type="dxa"/>
            <w:vMerge/>
            <w:vAlign w:val="center"/>
          </w:tcPr>
          <w:p w14:paraId="5F8C26A9" w14:textId="77777777" w:rsidR="00D924EA" w:rsidRDefault="00D924EA">
            <w:pPr>
              <w:jc w:val="center"/>
              <w:rPr>
                <w:rFonts w:ascii="Times New Roman" w:hAnsi="Times New Roman" w:cs="Times New Roman"/>
                <w:b/>
                <w:bCs/>
                <w:noProof/>
                <w:sz w:val="18"/>
                <w:szCs w:val="18"/>
              </w:rPr>
            </w:pPr>
          </w:p>
        </w:tc>
        <w:tc>
          <w:tcPr>
            <w:tcW w:w="999" w:type="dxa"/>
            <w:vMerge/>
            <w:vAlign w:val="center"/>
          </w:tcPr>
          <w:p w14:paraId="1EB413D0" w14:textId="77777777" w:rsidR="00D924EA" w:rsidRDefault="00D924EA">
            <w:pPr>
              <w:jc w:val="center"/>
              <w:rPr>
                <w:rFonts w:ascii="Times New Roman" w:hAnsi="Times New Roman" w:cs="Times New Roman"/>
                <w:b/>
                <w:bCs/>
                <w:noProof/>
                <w:sz w:val="18"/>
                <w:szCs w:val="18"/>
              </w:rPr>
            </w:pPr>
          </w:p>
        </w:tc>
        <w:tc>
          <w:tcPr>
            <w:tcW w:w="1593" w:type="dxa"/>
            <w:vMerge/>
            <w:vAlign w:val="center"/>
          </w:tcPr>
          <w:p w14:paraId="7D68D40C" w14:textId="77777777" w:rsidR="00D924EA" w:rsidRDefault="00D924EA">
            <w:pPr>
              <w:rPr>
                <w:rFonts w:ascii="Times New Roman" w:hAnsi="Times New Roman" w:cs="Times New Roman"/>
                <w:b/>
                <w:bCs/>
                <w:noProof/>
                <w:sz w:val="18"/>
                <w:szCs w:val="18"/>
              </w:rPr>
            </w:pPr>
          </w:p>
        </w:tc>
        <w:tc>
          <w:tcPr>
            <w:tcW w:w="1409" w:type="dxa"/>
            <w:vMerge/>
            <w:vAlign w:val="center"/>
          </w:tcPr>
          <w:p w14:paraId="399BC71F" w14:textId="77777777" w:rsidR="00D924EA" w:rsidRDefault="00D924EA">
            <w:pPr>
              <w:jc w:val="center"/>
              <w:rPr>
                <w:rFonts w:ascii="Times New Roman" w:hAnsi="Times New Roman" w:cs="Times New Roman"/>
                <w:b/>
                <w:bCs/>
                <w:noProof/>
                <w:sz w:val="18"/>
                <w:szCs w:val="18"/>
              </w:rPr>
            </w:pPr>
          </w:p>
        </w:tc>
        <w:tc>
          <w:tcPr>
            <w:tcW w:w="897" w:type="dxa"/>
            <w:shd w:val="clear" w:color="auto" w:fill="B7D4EF"/>
            <w:vAlign w:val="bottom"/>
          </w:tcPr>
          <w:p w14:paraId="2832C65B" w14:textId="77777777" w:rsidR="00D924EA" w:rsidRDefault="00011DE9">
            <w:pPr>
              <w:pStyle w:val="P68B1DB1-Normal28"/>
              <w:jc w:val="center"/>
              <w:rPr>
                <w:rFonts w:cs="Times New Roman"/>
                <w:bCs/>
                <w:noProof/>
                <w:szCs w:val="18"/>
              </w:rPr>
            </w:pPr>
            <w:r>
              <w:rPr>
                <w:noProof/>
              </w:rPr>
              <w:t>Unitate</w:t>
            </w:r>
          </w:p>
        </w:tc>
        <w:tc>
          <w:tcPr>
            <w:tcW w:w="1133" w:type="dxa"/>
            <w:shd w:val="clear" w:color="auto" w:fill="B7D4EF"/>
            <w:vAlign w:val="center"/>
          </w:tcPr>
          <w:p w14:paraId="3EF05F95" w14:textId="77777777" w:rsidR="00D924EA" w:rsidRDefault="00011DE9">
            <w:pPr>
              <w:pStyle w:val="P68B1DB1-Normal28"/>
              <w:jc w:val="center"/>
              <w:rPr>
                <w:rFonts w:cs="Times New Roman"/>
                <w:bCs/>
                <w:noProof/>
                <w:szCs w:val="18"/>
              </w:rPr>
            </w:pPr>
            <w:r>
              <w:rPr>
                <w:noProof/>
              </w:rPr>
              <w:t>Situația de referință</w:t>
            </w:r>
          </w:p>
        </w:tc>
        <w:tc>
          <w:tcPr>
            <w:tcW w:w="965" w:type="dxa"/>
            <w:shd w:val="clear" w:color="auto" w:fill="B7D4EF"/>
            <w:vAlign w:val="center"/>
          </w:tcPr>
          <w:p w14:paraId="268FBEC2" w14:textId="77777777" w:rsidR="00D924EA" w:rsidRDefault="00011DE9">
            <w:pPr>
              <w:pStyle w:val="P68B1DB1-Normal28"/>
              <w:jc w:val="center"/>
              <w:rPr>
                <w:rFonts w:cs="Times New Roman"/>
                <w:bCs/>
                <w:noProof/>
                <w:szCs w:val="18"/>
              </w:rPr>
            </w:pPr>
            <w:r>
              <w:rPr>
                <w:noProof/>
              </w:rPr>
              <w:t>Obiectiv</w:t>
            </w:r>
          </w:p>
        </w:tc>
        <w:tc>
          <w:tcPr>
            <w:tcW w:w="708" w:type="dxa"/>
            <w:shd w:val="clear" w:color="auto" w:fill="B7D4EF"/>
            <w:vAlign w:val="center"/>
          </w:tcPr>
          <w:p w14:paraId="7395D3F8" w14:textId="3E014E00" w:rsidR="00D924EA" w:rsidRDefault="00C202D2">
            <w:pPr>
              <w:pStyle w:val="P68B1DB1-Normal28"/>
              <w:jc w:val="center"/>
              <w:rPr>
                <w:rFonts w:cs="Times New Roman"/>
                <w:bCs/>
                <w:noProof/>
                <w:szCs w:val="18"/>
              </w:rPr>
            </w:pPr>
            <w:r>
              <w:rPr>
                <w:noProof/>
              </w:rPr>
              <w:t>T</w:t>
            </w:r>
          </w:p>
        </w:tc>
        <w:tc>
          <w:tcPr>
            <w:tcW w:w="709" w:type="dxa"/>
            <w:shd w:val="clear" w:color="auto" w:fill="B7D4EF"/>
            <w:vAlign w:val="center"/>
          </w:tcPr>
          <w:p w14:paraId="55F1B379" w14:textId="77777777" w:rsidR="00D924EA" w:rsidRDefault="00011DE9">
            <w:pPr>
              <w:pStyle w:val="P68B1DB1-Normal28"/>
              <w:jc w:val="center"/>
              <w:rPr>
                <w:rFonts w:cs="Times New Roman"/>
                <w:bCs/>
                <w:noProof/>
                <w:szCs w:val="18"/>
              </w:rPr>
            </w:pPr>
            <w:r>
              <w:rPr>
                <w:noProof/>
              </w:rPr>
              <w:t>Anul</w:t>
            </w:r>
          </w:p>
        </w:tc>
        <w:tc>
          <w:tcPr>
            <w:tcW w:w="3573" w:type="dxa"/>
            <w:vMerge/>
            <w:vAlign w:val="center"/>
          </w:tcPr>
          <w:p w14:paraId="347F15D4" w14:textId="77777777" w:rsidR="00D924EA" w:rsidRDefault="00D924EA">
            <w:pPr>
              <w:jc w:val="center"/>
              <w:rPr>
                <w:rFonts w:ascii="Times New Roman" w:hAnsi="Times New Roman" w:cs="Times New Roman"/>
                <w:b/>
                <w:bCs/>
                <w:noProof/>
                <w:sz w:val="18"/>
                <w:szCs w:val="18"/>
              </w:rPr>
            </w:pPr>
          </w:p>
        </w:tc>
      </w:tr>
      <w:tr w:rsidR="00D924EA" w14:paraId="762719BC" w14:textId="77777777" w:rsidTr="00C202D2">
        <w:trPr>
          <w:trHeight w:val="309"/>
          <w:jc w:val="center"/>
        </w:trPr>
        <w:tc>
          <w:tcPr>
            <w:tcW w:w="1195" w:type="dxa"/>
            <w:shd w:val="clear" w:color="auto" w:fill="C6EFCE"/>
          </w:tcPr>
          <w:p w14:paraId="4EAF6B46" w14:textId="77777777" w:rsidR="00D924EA" w:rsidRDefault="00011DE9">
            <w:pPr>
              <w:pStyle w:val="P68B1DB1-Normal23"/>
              <w:jc w:val="center"/>
              <w:rPr>
                <w:rFonts w:eastAsia="Times New Roman" w:cs="Times New Roman"/>
                <w:noProof/>
                <w:szCs w:val="18"/>
              </w:rPr>
            </w:pPr>
            <w:r>
              <w:rPr>
                <w:noProof/>
              </w:rPr>
              <w:t>144</w:t>
            </w:r>
          </w:p>
        </w:tc>
        <w:tc>
          <w:tcPr>
            <w:tcW w:w="1415" w:type="dxa"/>
            <w:shd w:val="clear" w:color="auto" w:fill="C6EFCE"/>
          </w:tcPr>
          <w:p w14:paraId="3AB33D16" w14:textId="77777777" w:rsidR="00D924EA" w:rsidRDefault="00011DE9">
            <w:pPr>
              <w:pStyle w:val="P68B1DB1-Normal23"/>
              <w:jc w:val="center"/>
              <w:rPr>
                <w:rFonts w:eastAsia="Times New Roman" w:cs="Times New Roman"/>
                <w:noProof/>
                <w:szCs w:val="18"/>
              </w:rPr>
            </w:pPr>
            <w:r>
              <w:rPr>
                <w:noProof/>
              </w:rPr>
              <w:t>C11.R1</w:t>
            </w:r>
          </w:p>
        </w:tc>
        <w:tc>
          <w:tcPr>
            <w:tcW w:w="999" w:type="dxa"/>
            <w:shd w:val="clear" w:color="auto" w:fill="C6EFCE"/>
          </w:tcPr>
          <w:p w14:paraId="093B5AF9" w14:textId="77777777" w:rsidR="00D924EA" w:rsidRDefault="00011DE9">
            <w:pPr>
              <w:pStyle w:val="P68B1DB1-Normal23"/>
              <w:jc w:val="center"/>
              <w:rPr>
                <w:rFonts w:eastAsia="Times New Roman" w:cs="Times New Roman"/>
                <w:noProof/>
                <w:szCs w:val="18"/>
              </w:rPr>
            </w:pPr>
            <w:r>
              <w:rPr>
                <w:noProof/>
              </w:rPr>
              <w:t>M</w:t>
            </w:r>
          </w:p>
        </w:tc>
        <w:tc>
          <w:tcPr>
            <w:tcW w:w="1593" w:type="dxa"/>
            <w:shd w:val="clear" w:color="auto" w:fill="C6EFCE"/>
          </w:tcPr>
          <w:p w14:paraId="451DBE1A" w14:textId="77777777" w:rsidR="00D924EA" w:rsidRDefault="00011DE9">
            <w:pPr>
              <w:pStyle w:val="P68B1DB1-Normal23"/>
              <w:rPr>
                <w:rFonts w:eastAsia="Times New Roman" w:cs="Times New Roman"/>
                <w:noProof/>
                <w:szCs w:val="18"/>
              </w:rPr>
            </w:pPr>
            <w:r>
              <w:rPr>
                <w:noProof/>
              </w:rPr>
              <w:t>Intrarea în vigoare a actului legislativ de reducere a ocupării temporare a forței de muncă în administrațiile publice</w:t>
            </w:r>
          </w:p>
        </w:tc>
        <w:tc>
          <w:tcPr>
            <w:tcW w:w="1409" w:type="dxa"/>
            <w:shd w:val="clear" w:color="auto" w:fill="C6EFCE"/>
          </w:tcPr>
          <w:p w14:paraId="2112B567" w14:textId="77777777" w:rsidR="00D924EA" w:rsidRDefault="00011DE9">
            <w:pPr>
              <w:pStyle w:val="P68B1DB1-Normal23"/>
              <w:jc w:val="center"/>
              <w:rPr>
                <w:rFonts w:eastAsia="Times New Roman" w:cs="Times New Roman"/>
                <w:noProof/>
                <w:szCs w:val="18"/>
              </w:rPr>
            </w:pPr>
            <w:r>
              <w:rPr>
                <w:noProof/>
              </w:rPr>
              <w:t>Dispoziție din actul legislativ care indică data de intrare în vigoare a actului</w:t>
            </w:r>
          </w:p>
        </w:tc>
        <w:tc>
          <w:tcPr>
            <w:tcW w:w="897" w:type="dxa"/>
            <w:shd w:val="clear" w:color="auto" w:fill="C6EFCE"/>
          </w:tcPr>
          <w:p w14:paraId="65C5EE9B" w14:textId="77777777" w:rsidR="00D924EA" w:rsidRDefault="00011DE9">
            <w:pPr>
              <w:pStyle w:val="P68B1DB1-Normal23"/>
              <w:jc w:val="right"/>
              <w:rPr>
                <w:rFonts w:eastAsia="Times New Roman" w:cs="Times New Roman"/>
                <w:noProof/>
                <w:szCs w:val="18"/>
              </w:rPr>
            </w:pPr>
            <w:r>
              <w:rPr>
                <w:noProof/>
              </w:rPr>
              <w:t xml:space="preserve"> </w:t>
            </w:r>
          </w:p>
        </w:tc>
        <w:tc>
          <w:tcPr>
            <w:tcW w:w="1133" w:type="dxa"/>
            <w:shd w:val="clear" w:color="auto" w:fill="C6EFCE"/>
          </w:tcPr>
          <w:p w14:paraId="755FA75E" w14:textId="77777777" w:rsidR="00D924EA" w:rsidRDefault="00011DE9">
            <w:pPr>
              <w:pStyle w:val="P68B1DB1-Normal23"/>
              <w:jc w:val="right"/>
              <w:rPr>
                <w:rFonts w:eastAsia="Times New Roman" w:cs="Times New Roman"/>
                <w:noProof/>
                <w:szCs w:val="18"/>
              </w:rPr>
            </w:pPr>
            <w:r>
              <w:rPr>
                <w:noProof/>
              </w:rPr>
              <w:t xml:space="preserve"> </w:t>
            </w:r>
          </w:p>
        </w:tc>
        <w:tc>
          <w:tcPr>
            <w:tcW w:w="965" w:type="dxa"/>
            <w:shd w:val="clear" w:color="auto" w:fill="C6EFCE"/>
          </w:tcPr>
          <w:p w14:paraId="71A4B309" w14:textId="77777777" w:rsidR="00D924EA" w:rsidRDefault="00011DE9">
            <w:pPr>
              <w:pStyle w:val="P68B1DB1-Normal23"/>
              <w:jc w:val="right"/>
              <w:rPr>
                <w:rFonts w:eastAsia="Times New Roman" w:cs="Times New Roman"/>
                <w:noProof/>
                <w:szCs w:val="18"/>
              </w:rPr>
            </w:pPr>
            <w:r>
              <w:rPr>
                <w:noProof/>
              </w:rPr>
              <w:t xml:space="preserve"> </w:t>
            </w:r>
          </w:p>
        </w:tc>
        <w:tc>
          <w:tcPr>
            <w:tcW w:w="708" w:type="dxa"/>
            <w:shd w:val="clear" w:color="auto" w:fill="C6EFCE"/>
          </w:tcPr>
          <w:p w14:paraId="56756411" w14:textId="62D953AD" w:rsidR="00D924EA" w:rsidRDefault="005701C9">
            <w:pPr>
              <w:pStyle w:val="P68B1DB1-Normal23"/>
              <w:jc w:val="center"/>
              <w:rPr>
                <w:rFonts w:eastAsia="Times New Roman" w:cs="Times New Roman"/>
                <w:noProof/>
                <w:szCs w:val="18"/>
              </w:rPr>
            </w:pPr>
            <w:r>
              <w:rPr>
                <w:noProof/>
              </w:rPr>
              <w:t>T2</w:t>
            </w:r>
          </w:p>
        </w:tc>
        <w:tc>
          <w:tcPr>
            <w:tcW w:w="709" w:type="dxa"/>
            <w:shd w:val="clear" w:color="auto" w:fill="C6EFCE"/>
          </w:tcPr>
          <w:p w14:paraId="708CCD7E" w14:textId="77777777" w:rsidR="00D924EA" w:rsidRDefault="00011DE9">
            <w:pPr>
              <w:pStyle w:val="P68B1DB1-Normal23"/>
              <w:jc w:val="center"/>
              <w:rPr>
                <w:rFonts w:eastAsia="Times New Roman" w:cs="Times New Roman"/>
                <w:noProof/>
                <w:szCs w:val="18"/>
              </w:rPr>
            </w:pPr>
            <w:r>
              <w:rPr>
                <w:noProof/>
              </w:rPr>
              <w:t>2021</w:t>
            </w:r>
          </w:p>
        </w:tc>
        <w:tc>
          <w:tcPr>
            <w:tcW w:w="3573" w:type="dxa"/>
            <w:shd w:val="clear" w:color="auto" w:fill="C6EFCE"/>
          </w:tcPr>
          <w:p w14:paraId="64B45B80" w14:textId="77777777" w:rsidR="00D924EA" w:rsidRDefault="00011DE9">
            <w:pPr>
              <w:pStyle w:val="P68B1DB1-Normal23"/>
              <w:rPr>
                <w:rFonts w:eastAsia="Times New Roman" w:cs="Times New Roman"/>
                <w:noProof/>
                <w:szCs w:val="18"/>
              </w:rPr>
            </w:pPr>
            <w:r>
              <w:rPr>
                <w:noProof/>
              </w:rPr>
              <w:t>Intrarea în vigoare a unui act legislativ care să prevadă măsuri de reducere a angajării temporare în sectorul public și dispoziții eficace pentru prevenirea și sancționarea abuzurilor, inclusiv obligația de a publica toate cererile de proceduri de stabilizare a personalului temporar până la 31 decembrie 2022. Prezentul act legislativ se aplică administrațiilor publice de stat, regionale și locale.</w:t>
            </w:r>
          </w:p>
        </w:tc>
      </w:tr>
      <w:tr w:rsidR="00D924EA" w14:paraId="496761BB" w14:textId="77777777" w:rsidTr="00C202D2">
        <w:trPr>
          <w:trHeight w:val="309"/>
          <w:jc w:val="center"/>
        </w:trPr>
        <w:tc>
          <w:tcPr>
            <w:tcW w:w="1195" w:type="dxa"/>
            <w:shd w:val="clear" w:color="auto" w:fill="C6EFCE"/>
          </w:tcPr>
          <w:p w14:paraId="55133223" w14:textId="77777777" w:rsidR="00D924EA" w:rsidRDefault="00011DE9">
            <w:pPr>
              <w:pStyle w:val="P68B1DB1-Normal23"/>
              <w:jc w:val="center"/>
              <w:rPr>
                <w:rFonts w:cs="Times New Roman"/>
                <w:noProof/>
                <w:szCs w:val="18"/>
              </w:rPr>
            </w:pPr>
            <w:r>
              <w:rPr>
                <w:noProof/>
              </w:rPr>
              <w:t>145</w:t>
            </w:r>
          </w:p>
        </w:tc>
        <w:tc>
          <w:tcPr>
            <w:tcW w:w="1415" w:type="dxa"/>
            <w:shd w:val="clear" w:color="auto" w:fill="C6EFCE"/>
          </w:tcPr>
          <w:p w14:paraId="5C7757D5" w14:textId="77777777" w:rsidR="00D924EA" w:rsidRDefault="00011DE9">
            <w:pPr>
              <w:pStyle w:val="P68B1DB1-Normal23"/>
              <w:jc w:val="center"/>
              <w:rPr>
                <w:rFonts w:cs="Times New Roman"/>
                <w:noProof/>
                <w:szCs w:val="18"/>
              </w:rPr>
            </w:pPr>
            <w:r>
              <w:rPr>
                <w:noProof/>
              </w:rPr>
              <w:t>C11.R1</w:t>
            </w:r>
          </w:p>
        </w:tc>
        <w:tc>
          <w:tcPr>
            <w:tcW w:w="999" w:type="dxa"/>
            <w:shd w:val="clear" w:color="auto" w:fill="C6EFCE"/>
          </w:tcPr>
          <w:p w14:paraId="69716E87"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3FAA1D51" w14:textId="77777777" w:rsidR="00D924EA" w:rsidRDefault="00011DE9">
            <w:pPr>
              <w:pStyle w:val="P68B1DB1-Normal23"/>
              <w:rPr>
                <w:rFonts w:cs="Times New Roman"/>
                <w:noProof/>
                <w:szCs w:val="18"/>
              </w:rPr>
            </w:pPr>
            <w:r>
              <w:rPr>
                <w:noProof/>
              </w:rPr>
              <w:t>Intrarea în vigoare a modificării Legii nr. 40/2015 și a ordinelor ministeriale de consolidare a cooperării interteritoriale</w:t>
            </w:r>
          </w:p>
        </w:tc>
        <w:tc>
          <w:tcPr>
            <w:tcW w:w="1409" w:type="dxa"/>
            <w:shd w:val="clear" w:color="auto" w:fill="C6EFCE"/>
          </w:tcPr>
          <w:p w14:paraId="7C3371F5" w14:textId="77777777" w:rsidR="00D924EA" w:rsidRDefault="00011DE9">
            <w:pPr>
              <w:pStyle w:val="P68B1DB1-Normal23"/>
              <w:jc w:val="center"/>
              <w:rPr>
                <w:rFonts w:cs="Times New Roman"/>
                <w:noProof/>
                <w:szCs w:val="18"/>
              </w:rPr>
            </w:pPr>
            <w:r>
              <w:rPr>
                <w:noProof/>
              </w:rPr>
              <w:t xml:space="preserve">Dispoziție din actul juridic și din ordinele ministeriale care indică intrarea lor în vigoare </w:t>
            </w:r>
          </w:p>
        </w:tc>
        <w:tc>
          <w:tcPr>
            <w:tcW w:w="897" w:type="dxa"/>
            <w:shd w:val="clear" w:color="auto" w:fill="C6EFCE"/>
          </w:tcPr>
          <w:p w14:paraId="5CA7B36C"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289B13F9"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6059F3D9"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75ECB51A" w14:textId="7E5B8B17" w:rsidR="00D924EA" w:rsidRDefault="005701C9">
            <w:pPr>
              <w:pStyle w:val="P68B1DB1-Normal23"/>
              <w:jc w:val="center"/>
              <w:rPr>
                <w:rFonts w:cs="Times New Roman"/>
                <w:noProof/>
                <w:szCs w:val="18"/>
              </w:rPr>
            </w:pPr>
            <w:r>
              <w:rPr>
                <w:noProof/>
              </w:rPr>
              <w:t>T4</w:t>
            </w:r>
          </w:p>
        </w:tc>
        <w:tc>
          <w:tcPr>
            <w:tcW w:w="709" w:type="dxa"/>
            <w:shd w:val="clear" w:color="auto" w:fill="C6EFCE"/>
          </w:tcPr>
          <w:p w14:paraId="14ECAE85" w14:textId="77777777" w:rsidR="00D924EA" w:rsidRDefault="00011DE9">
            <w:pPr>
              <w:pStyle w:val="P68B1DB1-Normal23"/>
              <w:jc w:val="center"/>
              <w:rPr>
                <w:rFonts w:cs="Times New Roman"/>
                <w:noProof/>
                <w:szCs w:val="18"/>
              </w:rPr>
            </w:pPr>
            <w:r>
              <w:rPr>
                <w:noProof/>
              </w:rPr>
              <w:t>2022</w:t>
            </w:r>
          </w:p>
        </w:tc>
        <w:tc>
          <w:tcPr>
            <w:tcW w:w="3573" w:type="dxa"/>
            <w:shd w:val="clear" w:color="auto" w:fill="C6EFCE"/>
          </w:tcPr>
          <w:p w14:paraId="56EFD265" w14:textId="77777777" w:rsidR="00D924EA" w:rsidRDefault="00011DE9">
            <w:pPr>
              <w:pStyle w:val="P68B1DB1-Normal23"/>
              <w:rPr>
                <w:rFonts w:cs="Times New Roman"/>
                <w:noProof/>
                <w:szCs w:val="18"/>
              </w:rPr>
            </w:pPr>
            <w:r>
              <w:rPr>
                <w:noProof/>
              </w:rPr>
              <w:t xml:space="preserve">Intrarea în vigoare a modificării Legii nr. 40/2015 și a ordinelor ministeriale de consolidare a cooperării interteritoriale, care vizează următoarele elemente: permiterea creării de conferințe multisectoriale, ii) precizarea procedurilor decizionale în cadrul conferințelor sectoriale, inclusiv atunci când acestea generează acorduri de conformitate obligatorie; consolidarea Conferinței președinților prin crearea unui secretariat permanent; IV) prevederea obligației de elaborare, aprobare și publicare a obiectivelor de politică multianuale și a indicatorilor de rezultat, precum și a unor mecanisme transparente de monitorizare și evaluare; și v) instituirea interconectării și interoperabilității interadministrative digitale între platformele informatice ale administrației centrale și regionale. În ceea ce privește obiectivele i), ii) și iv), ordinele ministeriale sunt consultate cu comunitățile autonome în cadrul unui proces participativ, incluziv și transparent. </w:t>
            </w:r>
          </w:p>
        </w:tc>
      </w:tr>
      <w:tr w:rsidR="00D924EA" w14:paraId="13CBB2EB" w14:textId="77777777" w:rsidTr="00C202D2">
        <w:trPr>
          <w:trHeight w:val="309"/>
          <w:jc w:val="center"/>
        </w:trPr>
        <w:tc>
          <w:tcPr>
            <w:tcW w:w="1195" w:type="dxa"/>
            <w:shd w:val="clear" w:color="auto" w:fill="C6EFCE"/>
          </w:tcPr>
          <w:p w14:paraId="1E1D1223" w14:textId="77777777" w:rsidR="00D924EA" w:rsidRDefault="00011DE9">
            <w:pPr>
              <w:pStyle w:val="P68B1DB1-Normal23"/>
              <w:jc w:val="center"/>
              <w:rPr>
                <w:rFonts w:cs="Times New Roman"/>
                <w:noProof/>
                <w:szCs w:val="18"/>
              </w:rPr>
            </w:pPr>
            <w:r>
              <w:rPr>
                <w:noProof/>
              </w:rPr>
              <w:t>146</w:t>
            </w:r>
          </w:p>
        </w:tc>
        <w:tc>
          <w:tcPr>
            <w:tcW w:w="1415" w:type="dxa"/>
            <w:shd w:val="clear" w:color="auto" w:fill="C6EFCE"/>
          </w:tcPr>
          <w:p w14:paraId="5C4D7BF7" w14:textId="77777777" w:rsidR="00D924EA" w:rsidRDefault="00011DE9">
            <w:pPr>
              <w:pStyle w:val="P68B1DB1-Normal23"/>
              <w:jc w:val="center"/>
              <w:rPr>
                <w:rFonts w:cs="Times New Roman"/>
                <w:noProof/>
                <w:szCs w:val="18"/>
              </w:rPr>
            </w:pPr>
            <w:r>
              <w:rPr>
                <w:noProof/>
              </w:rPr>
              <w:t>C11.R1</w:t>
            </w:r>
          </w:p>
        </w:tc>
        <w:tc>
          <w:tcPr>
            <w:tcW w:w="999" w:type="dxa"/>
            <w:shd w:val="clear" w:color="auto" w:fill="C6EFCE"/>
          </w:tcPr>
          <w:p w14:paraId="239995DD"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5616FEAC" w14:textId="77777777" w:rsidR="00D924EA" w:rsidRDefault="00011DE9">
            <w:pPr>
              <w:pStyle w:val="P68B1DB1-Normal23"/>
              <w:rPr>
                <w:rFonts w:cs="Times New Roman"/>
                <w:noProof/>
                <w:szCs w:val="18"/>
              </w:rPr>
            </w:pPr>
            <w:r>
              <w:rPr>
                <w:noProof/>
              </w:rPr>
              <w:t>Intrarea în vigoare a legii de consolidare a evaluării politicilor publice</w:t>
            </w:r>
          </w:p>
        </w:tc>
        <w:tc>
          <w:tcPr>
            <w:tcW w:w="1409" w:type="dxa"/>
            <w:shd w:val="clear" w:color="auto" w:fill="C6EFCE"/>
          </w:tcPr>
          <w:p w14:paraId="4B34FFF3" w14:textId="77777777" w:rsidR="00D924EA" w:rsidRDefault="00011DE9">
            <w:pPr>
              <w:pStyle w:val="P68B1DB1-Normal23"/>
              <w:jc w:val="center"/>
              <w:rPr>
                <w:rFonts w:cs="Times New Roman"/>
                <w:noProof/>
                <w:szCs w:val="18"/>
              </w:rPr>
            </w:pPr>
            <w:r>
              <w:rPr>
                <w:noProof/>
              </w:rPr>
              <w:t>Dispoziție din legea care indică intrarea în vigoare a legii</w:t>
            </w:r>
          </w:p>
        </w:tc>
        <w:tc>
          <w:tcPr>
            <w:tcW w:w="897" w:type="dxa"/>
            <w:shd w:val="clear" w:color="auto" w:fill="C6EFCE"/>
          </w:tcPr>
          <w:p w14:paraId="4B4BE398"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396721A6"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4482B891"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65EF75A7" w14:textId="60813863" w:rsidR="00D924EA" w:rsidRDefault="005701C9">
            <w:pPr>
              <w:pStyle w:val="P68B1DB1-Normal23"/>
              <w:jc w:val="center"/>
              <w:rPr>
                <w:rFonts w:cs="Times New Roman"/>
                <w:noProof/>
                <w:szCs w:val="18"/>
              </w:rPr>
            </w:pPr>
            <w:r>
              <w:rPr>
                <w:noProof/>
              </w:rPr>
              <w:t>T4</w:t>
            </w:r>
          </w:p>
        </w:tc>
        <w:tc>
          <w:tcPr>
            <w:tcW w:w="709" w:type="dxa"/>
            <w:shd w:val="clear" w:color="auto" w:fill="C6EFCE"/>
          </w:tcPr>
          <w:p w14:paraId="2E8185D9" w14:textId="77777777" w:rsidR="00D924EA" w:rsidRDefault="00011DE9">
            <w:pPr>
              <w:pStyle w:val="P68B1DB1-Normal23"/>
              <w:jc w:val="center"/>
              <w:rPr>
                <w:rFonts w:cs="Times New Roman"/>
                <w:noProof/>
                <w:szCs w:val="18"/>
              </w:rPr>
            </w:pPr>
            <w:r>
              <w:rPr>
                <w:noProof/>
              </w:rPr>
              <w:t>2022</w:t>
            </w:r>
          </w:p>
        </w:tc>
        <w:tc>
          <w:tcPr>
            <w:tcW w:w="3573" w:type="dxa"/>
            <w:shd w:val="clear" w:color="auto" w:fill="C6EFCE"/>
          </w:tcPr>
          <w:p w14:paraId="39F8AB2D" w14:textId="77777777" w:rsidR="00D924EA" w:rsidRDefault="00011DE9">
            <w:pPr>
              <w:pStyle w:val="P68B1DB1-Normal23"/>
              <w:rPr>
                <w:rFonts w:cs="Times New Roman"/>
                <w:noProof/>
                <w:szCs w:val="18"/>
              </w:rPr>
            </w:pPr>
            <w:r>
              <w:rPr>
                <w:noProof/>
              </w:rPr>
              <w:t>Intrarea în vigoare a Legii privind evaluarea, cu un set de acțiuni de consolidare a politicilor publice bazate pe evaluarea ex ante. Obiectivele urmărite sunt: I) consolidarea regimului actualului Instituto Național de Evaluación de Políticas Públicas (Instituto de Evaluación de Políticas Públicas) pentru a-i acorda independență organizațională și funcțională; punerea la dispoziția institutului a capacității și a mijloacelor necesare pentru exercitarea funcțiilor sale; includerea principiului evaluării ex ante sistematice a politicilor; și iv) menținerea mandatului altor organisme și agenții, inclusiv al AIReF.</w:t>
            </w:r>
          </w:p>
        </w:tc>
      </w:tr>
      <w:tr w:rsidR="00D924EA" w14:paraId="0DBBE627" w14:textId="77777777" w:rsidTr="00C202D2">
        <w:trPr>
          <w:trHeight w:val="309"/>
          <w:jc w:val="center"/>
        </w:trPr>
        <w:tc>
          <w:tcPr>
            <w:tcW w:w="1195" w:type="dxa"/>
            <w:shd w:val="clear" w:color="auto" w:fill="C6EFCE"/>
          </w:tcPr>
          <w:p w14:paraId="089BA57C" w14:textId="77777777" w:rsidR="00D924EA" w:rsidRDefault="00011DE9">
            <w:pPr>
              <w:pStyle w:val="P68B1DB1-Normal23"/>
              <w:jc w:val="center"/>
              <w:rPr>
                <w:rFonts w:cs="Times New Roman"/>
                <w:noProof/>
                <w:szCs w:val="18"/>
              </w:rPr>
            </w:pPr>
            <w:r>
              <w:rPr>
                <w:noProof/>
              </w:rPr>
              <w:t>147</w:t>
            </w:r>
          </w:p>
        </w:tc>
        <w:tc>
          <w:tcPr>
            <w:tcW w:w="1415" w:type="dxa"/>
            <w:shd w:val="clear" w:color="auto" w:fill="C6EFCE"/>
          </w:tcPr>
          <w:p w14:paraId="56283DCB" w14:textId="77777777" w:rsidR="00D924EA" w:rsidRDefault="00011DE9">
            <w:pPr>
              <w:pStyle w:val="P68B1DB1-Normal23"/>
              <w:jc w:val="center"/>
              <w:rPr>
                <w:rFonts w:cs="Times New Roman"/>
                <w:noProof/>
                <w:szCs w:val="18"/>
              </w:rPr>
            </w:pPr>
            <w:r>
              <w:rPr>
                <w:noProof/>
              </w:rPr>
              <w:t>C11.R1</w:t>
            </w:r>
          </w:p>
        </w:tc>
        <w:tc>
          <w:tcPr>
            <w:tcW w:w="999" w:type="dxa"/>
            <w:shd w:val="clear" w:color="auto" w:fill="C6EFCE"/>
          </w:tcPr>
          <w:p w14:paraId="60D773FA"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448938DA" w14:textId="77777777" w:rsidR="00D924EA" w:rsidRDefault="00011DE9">
            <w:pPr>
              <w:pStyle w:val="P68B1DB1-Normal23"/>
              <w:rPr>
                <w:rFonts w:cs="Times New Roman"/>
                <w:noProof/>
                <w:szCs w:val="18"/>
              </w:rPr>
            </w:pPr>
            <w:r>
              <w:rPr>
                <w:noProof/>
              </w:rPr>
              <w:t>Intrarea în vigoare a reformei Legii nr. 7/1985 privind regimurile administrative locale și modificarea Decretului regal nr. 1690/1986 din 11 iulie de aprobare a Regulamentului privind populația și delimitarea teritorială a entităților locale</w:t>
            </w:r>
          </w:p>
        </w:tc>
        <w:tc>
          <w:tcPr>
            <w:tcW w:w="1409" w:type="dxa"/>
            <w:shd w:val="clear" w:color="auto" w:fill="C6EFCE"/>
          </w:tcPr>
          <w:p w14:paraId="5F56E6C6" w14:textId="77777777" w:rsidR="00D924EA" w:rsidRDefault="00011DE9">
            <w:pPr>
              <w:pStyle w:val="P68B1DB1-Normal23"/>
              <w:jc w:val="center"/>
              <w:rPr>
                <w:rFonts w:cs="Times New Roman"/>
                <w:noProof/>
                <w:szCs w:val="18"/>
              </w:rPr>
            </w:pPr>
            <w:r>
              <w:rPr>
                <w:noProof/>
              </w:rPr>
              <w:t xml:space="preserve">Dispoziție legală și decretul regal de punere în aplicare a reformelor care indică intrarea lor în vigoare </w:t>
            </w:r>
          </w:p>
        </w:tc>
        <w:tc>
          <w:tcPr>
            <w:tcW w:w="897" w:type="dxa"/>
            <w:shd w:val="clear" w:color="auto" w:fill="C6EFCE"/>
          </w:tcPr>
          <w:p w14:paraId="23E02322"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68B083B9"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56BA4F22"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447AC004" w14:textId="086528F2" w:rsidR="00D924EA" w:rsidRDefault="005701C9">
            <w:pPr>
              <w:pStyle w:val="P68B1DB1-Normal23"/>
              <w:jc w:val="center"/>
              <w:rPr>
                <w:rFonts w:cs="Times New Roman"/>
                <w:noProof/>
                <w:szCs w:val="18"/>
              </w:rPr>
            </w:pPr>
            <w:r>
              <w:rPr>
                <w:noProof/>
              </w:rPr>
              <w:t>T4</w:t>
            </w:r>
          </w:p>
        </w:tc>
        <w:tc>
          <w:tcPr>
            <w:tcW w:w="709" w:type="dxa"/>
            <w:shd w:val="clear" w:color="auto" w:fill="C6EFCE"/>
          </w:tcPr>
          <w:p w14:paraId="34252C2D" w14:textId="77777777" w:rsidR="00D924EA" w:rsidRDefault="00011DE9">
            <w:pPr>
              <w:pStyle w:val="P68B1DB1-Normal23"/>
              <w:jc w:val="center"/>
              <w:rPr>
                <w:rFonts w:cs="Times New Roman"/>
                <w:noProof/>
                <w:szCs w:val="18"/>
              </w:rPr>
            </w:pPr>
            <w:r>
              <w:rPr>
                <w:noProof/>
              </w:rPr>
              <w:t>2022</w:t>
            </w:r>
          </w:p>
        </w:tc>
        <w:tc>
          <w:tcPr>
            <w:tcW w:w="3573" w:type="dxa"/>
            <w:shd w:val="clear" w:color="auto" w:fill="C6EFCE"/>
          </w:tcPr>
          <w:p w14:paraId="111C8235" w14:textId="77777777" w:rsidR="00D924EA" w:rsidRDefault="00011DE9">
            <w:pPr>
              <w:pStyle w:val="P68B1DB1-Normal23"/>
              <w:rPr>
                <w:rFonts w:cs="Times New Roman"/>
                <w:noProof/>
                <w:szCs w:val="18"/>
              </w:rPr>
            </w:pPr>
            <w:r>
              <w:rPr>
                <w:noProof/>
              </w:rPr>
              <w:t>Intrarea în vigoare a modificării Legii nr. 7/1985 de reglementare a regimurilor administrative locale și a modificării Decretului regal nr. 1690/1986 din 11 iulie de aprobare a Regulamentului privind populația și delimitarea teritorială a entităților locale. Modificarea Legii nr. 7/1985 care reglementează regimurile administrative locale contribuie la: I) accelerarea și extinderea implementării serviciilor publice locale, inclusiv prin mijloace digitale, cum ar fi aplicațiile, și ii) sprijinirea orașelor mici în furnizarea de servicii publice. Modificarea Decretului regal 1690/1986 din iulie 11 de aprobare a Regulamentului privind populația și delimitarea teritorială a entităților locale actualizează și îmbunătățește recensământul municipal al locuitorilor gestionat de municipalități. Reformele sunt însoțite de o evaluare a impactului, care include aspecte legate de sustenabilitatea finanțelor publice.</w:t>
            </w:r>
          </w:p>
        </w:tc>
      </w:tr>
      <w:tr w:rsidR="00D924EA" w14:paraId="49A1ACFA" w14:textId="77777777" w:rsidTr="00C202D2">
        <w:trPr>
          <w:trHeight w:val="309"/>
          <w:jc w:val="center"/>
        </w:trPr>
        <w:tc>
          <w:tcPr>
            <w:tcW w:w="1195" w:type="dxa"/>
            <w:shd w:val="clear" w:color="auto" w:fill="C6EFCE"/>
          </w:tcPr>
          <w:p w14:paraId="7C7910CC" w14:textId="77777777" w:rsidR="00D924EA" w:rsidRDefault="00011DE9">
            <w:pPr>
              <w:pStyle w:val="P68B1DB1-Normal23"/>
              <w:jc w:val="center"/>
              <w:rPr>
                <w:rFonts w:cs="Times New Roman"/>
                <w:noProof/>
                <w:szCs w:val="18"/>
              </w:rPr>
            </w:pPr>
            <w:r>
              <w:rPr>
                <w:noProof/>
              </w:rPr>
              <w:t>148</w:t>
            </w:r>
          </w:p>
        </w:tc>
        <w:tc>
          <w:tcPr>
            <w:tcW w:w="1415" w:type="dxa"/>
            <w:shd w:val="clear" w:color="auto" w:fill="C6EFCE"/>
          </w:tcPr>
          <w:p w14:paraId="4B866FE0" w14:textId="77777777" w:rsidR="00D924EA" w:rsidRDefault="00011DE9">
            <w:pPr>
              <w:pStyle w:val="P68B1DB1-Normal23"/>
              <w:jc w:val="center"/>
              <w:rPr>
                <w:rFonts w:cs="Times New Roman"/>
                <w:noProof/>
                <w:szCs w:val="18"/>
              </w:rPr>
            </w:pPr>
            <w:r>
              <w:rPr>
                <w:noProof/>
              </w:rPr>
              <w:t>C11.R1</w:t>
            </w:r>
          </w:p>
        </w:tc>
        <w:tc>
          <w:tcPr>
            <w:tcW w:w="999" w:type="dxa"/>
            <w:shd w:val="clear" w:color="auto" w:fill="C6EFCE"/>
          </w:tcPr>
          <w:p w14:paraId="7F7EB153"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3A65ABE6" w14:textId="77777777" w:rsidR="00D924EA" w:rsidRDefault="00011DE9">
            <w:pPr>
              <w:pStyle w:val="P68B1DB1-Normal23"/>
              <w:rPr>
                <w:rFonts w:cs="Times New Roman"/>
                <w:noProof/>
                <w:szCs w:val="18"/>
              </w:rPr>
            </w:pPr>
            <w:r>
              <w:rPr>
                <w:noProof/>
              </w:rPr>
              <w:t>Intrarea în vigoare a măsurilor de reglementare privind funcția publică a administrației de stat</w:t>
            </w:r>
          </w:p>
        </w:tc>
        <w:tc>
          <w:tcPr>
            <w:tcW w:w="1409" w:type="dxa"/>
            <w:shd w:val="clear" w:color="auto" w:fill="C6EFCE"/>
          </w:tcPr>
          <w:p w14:paraId="69805C03" w14:textId="77777777" w:rsidR="00D924EA" w:rsidRDefault="00011DE9">
            <w:pPr>
              <w:pStyle w:val="P68B1DB1-Normal23"/>
              <w:jc w:val="center"/>
              <w:rPr>
                <w:rFonts w:cs="Times New Roman"/>
                <w:noProof/>
                <w:szCs w:val="18"/>
              </w:rPr>
            </w:pPr>
            <w:r>
              <w:rPr>
                <w:noProof/>
              </w:rPr>
              <w:t xml:space="preserve">Dispoziție din decretul (decretele) regal (e) – lege și ordin (e) ministerial (e) de punere în aplicare a elementelor reformei care indică intrarea lor în vigoare </w:t>
            </w:r>
          </w:p>
        </w:tc>
        <w:tc>
          <w:tcPr>
            <w:tcW w:w="897" w:type="dxa"/>
            <w:shd w:val="clear" w:color="auto" w:fill="C6EFCE"/>
          </w:tcPr>
          <w:p w14:paraId="7C56C789"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2831DAEB"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1BA81E7F"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1BA6BFA9" w14:textId="5E6FD1E7" w:rsidR="00D924EA" w:rsidRDefault="005701C9">
            <w:pPr>
              <w:pStyle w:val="P68B1DB1-Normal23"/>
              <w:jc w:val="center"/>
              <w:rPr>
                <w:rFonts w:cs="Times New Roman"/>
                <w:noProof/>
                <w:szCs w:val="18"/>
              </w:rPr>
            </w:pPr>
            <w:r>
              <w:rPr>
                <w:noProof/>
              </w:rPr>
              <w:t>T4</w:t>
            </w:r>
          </w:p>
        </w:tc>
        <w:tc>
          <w:tcPr>
            <w:tcW w:w="709" w:type="dxa"/>
            <w:shd w:val="clear" w:color="auto" w:fill="C6EFCE"/>
          </w:tcPr>
          <w:p w14:paraId="671381D8" w14:textId="77777777" w:rsidR="00D924EA" w:rsidRDefault="00011DE9">
            <w:pPr>
              <w:pStyle w:val="P68B1DB1-Normal23"/>
              <w:jc w:val="center"/>
              <w:rPr>
                <w:rFonts w:cs="Times New Roman"/>
                <w:noProof/>
                <w:szCs w:val="18"/>
              </w:rPr>
            </w:pPr>
            <w:r>
              <w:rPr>
                <w:noProof/>
              </w:rPr>
              <w:t>2022</w:t>
            </w:r>
          </w:p>
        </w:tc>
        <w:tc>
          <w:tcPr>
            <w:tcW w:w="3573" w:type="dxa"/>
            <w:shd w:val="clear" w:color="auto" w:fill="C6EFCE"/>
          </w:tcPr>
          <w:p w14:paraId="7269384C" w14:textId="77777777" w:rsidR="00D924EA" w:rsidRDefault="00011DE9">
            <w:pPr>
              <w:pStyle w:val="P68B1DB1-Normal23"/>
              <w:rPr>
                <w:rFonts w:cs="Times New Roman"/>
                <w:noProof/>
                <w:szCs w:val="18"/>
              </w:rPr>
            </w:pPr>
            <w:r>
              <w:rPr>
                <w:noProof/>
              </w:rPr>
              <w:t xml:space="preserve">Intrarea în vigoare a măsurilor de reglementare privind funcția publică a administrației de stat. Măsurile consolidează capacitatea administrației de a atrage și de a păstra talentele necesare pentru îndeplinirea sarcinilor sale actuale, inclusiv în domeniul informațiilor și al telecomunicațiilor. Măsurile includ următoarele elemente: I) revitalizarea instrumentelor de planificare, organizare și gestionare a resurselor umane; garantarea eficacității principiilor egalității, meritului și capacității de acces, precum și a transparenței și agilității proceselor de selecție; reglementarea evaluării și a performanței în conformitate cu un cadru bazat pe competențe, inclusiv pentru noi recrutări; și iv) accesul la posturi de înalți funcționari publici (și anume, </w:t>
            </w:r>
            <w:r>
              <w:rPr>
                <w:i/>
                <w:noProof/>
              </w:rPr>
              <w:t>subdirectori generali</w:t>
            </w:r>
            <w:r>
              <w:rPr>
                <w:noProof/>
              </w:rPr>
              <w:t xml:space="preserve"> și posturi similare) pe baza meritelor și a concurenței. Măsurile de reglementare iau forma unui decret-lege regal pentru elementele ii) și iii); și a ordinului (ordinelor) ministerial (e) pentru elementele i) și iv).</w:t>
            </w:r>
          </w:p>
        </w:tc>
      </w:tr>
      <w:tr w:rsidR="00D924EA" w14:paraId="0D2D823A" w14:textId="77777777" w:rsidTr="00C202D2">
        <w:trPr>
          <w:trHeight w:val="309"/>
          <w:jc w:val="center"/>
        </w:trPr>
        <w:tc>
          <w:tcPr>
            <w:tcW w:w="1195" w:type="dxa"/>
            <w:shd w:val="clear" w:color="auto" w:fill="C6EFCE"/>
          </w:tcPr>
          <w:p w14:paraId="5A75C5EA" w14:textId="77777777" w:rsidR="00D924EA" w:rsidRDefault="00011DE9">
            <w:pPr>
              <w:pStyle w:val="P68B1DB1-Normal24"/>
              <w:jc w:val="center"/>
              <w:rPr>
                <w:rFonts w:cs="Times New Roman"/>
                <w:noProof/>
              </w:rPr>
            </w:pPr>
            <w:r>
              <w:rPr>
                <w:noProof/>
              </w:rPr>
              <w:t>149</w:t>
            </w:r>
          </w:p>
        </w:tc>
        <w:tc>
          <w:tcPr>
            <w:tcW w:w="1415" w:type="dxa"/>
            <w:shd w:val="clear" w:color="auto" w:fill="C6EFCE"/>
          </w:tcPr>
          <w:p w14:paraId="73368CB4" w14:textId="77777777" w:rsidR="00D924EA" w:rsidRDefault="00011DE9">
            <w:pPr>
              <w:pStyle w:val="P68B1DB1-Normal23"/>
              <w:jc w:val="center"/>
              <w:rPr>
                <w:rFonts w:cs="Times New Roman"/>
                <w:noProof/>
                <w:szCs w:val="18"/>
              </w:rPr>
            </w:pPr>
            <w:r>
              <w:rPr>
                <w:noProof/>
              </w:rPr>
              <w:t>C11.R1</w:t>
            </w:r>
          </w:p>
        </w:tc>
        <w:tc>
          <w:tcPr>
            <w:tcW w:w="999" w:type="dxa"/>
            <w:shd w:val="clear" w:color="auto" w:fill="C6EFCE"/>
          </w:tcPr>
          <w:p w14:paraId="0EC0C869"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14D510BB" w14:textId="77777777" w:rsidR="00D924EA" w:rsidRDefault="00011DE9">
            <w:pPr>
              <w:pStyle w:val="P68B1DB1-Normal23"/>
              <w:rPr>
                <w:rFonts w:cs="Times New Roman"/>
                <w:noProof/>
                <w:szCs w:val="18"/>
              </w:rPr>
            </w:pPr>
            <w:r>
              <w:rPr>
                <w:noProof/>
              </w:rPr>
              <w:t>Statutul noului organism public de evaluare</w:t>
            </w:r>
          </w:p>
        </w:tc>
        <w:tc>
          <w:tcPr>
            <w:tcW w:w="1409" w:type="dxa"/>
            <w:shd w:val="clear" w:color="auto" w:fill="C6EFCE"/>
          </w:tcPr>
          <w:p w14:paraId="4CEF8C55" w14:textId="4386F607" w:rsidR="00D924EA" w:rsidRDefault="00011DE9">
            <w:pPr>
              <w:pStyle w:val="P68B1DB1-Normal24"/>
              <w:jc w:val="center"/>
              <w:rPr>
                <w:noProof/>
              </w:rPr>
            </w:pPr>
            <w:r>
              <w:rPr>
                <w:noProof/>
              </w:rPr>
              <w:t xml:space="preserve">Dispoziție din decretul regal care indică intrarea în vigoare a actului juridic </w:t>
            </w:r>
          </w:p>
        </w:tc>
        <w:tc>
          <w:tcPr>
            <w:tcW w:w="897" w:type="dxa"/>
            <w:shd w:val="clear" w:color="auto" w:fill="C6EFCE"/>
          </w:tcPr>
          <w:p w14:paraId="1CE76DC6"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756B170C"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28602A90"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0C4D8BE4" w14:textId="0A1A5F83" w:rsidR="00D924EA" w:rsidRDefault="005701C9">
            <w:pPr>
              <w:pStyle w:val="P68B1DB1-Normal23"/>
              <w:jc w:val="center"/>
              <w:rPr>
                <w:rFonts w:cs="Times New Roman"/>
                <w:noProof/>
                <w:szCs w:val="18"/>
              </w:rPr>
            </w:pPr>
            <w:r>
              <w:rPr>
                <w:noProof/>
              </w:rPr>
              <w:t>T3</w:t>
            </w:r>
          </w:p>
        </w:tc>
        <w:tc>
          <w:tcPr>
            <w:tcW w:w="709" w:type="dxa"/>
            <w:shd w:val="clear" w:color="auto" w:fill="C6EFCE"/>
          </w:tcPr>
          <w:p w14:paraId="15FC5870" w14:textId="77777777" w:rsidR="00D924EA" w:rsidRDefault="00011DE9">
            <w:pPr>
              <w:pStyle w:val="P68B1DB1-Normal23"/>
              <w:jc w:val="center"/>
              <w:rPr>
                <w:rFonts w:cs="Times New Roman"/>
                <w:noProof/>
                <w:szCs w:val="18"/>
              </w:rPr>
            </w:pPr>
            <w:r>
              <w:rPr>
                <w:noProof/>
              </w:rPr>
              <w:t>2023</w:t>
            </w:r>
          </w:p>
        </w:tc>
        <w:tc>
          <w:tcPr>
            <w:tcW w:w="3573" w:type="dxa"/>
            <w:shd w:val="clear" w:color="auto" w:fill="C6EFCE"/>
          </w:tcPr>
          <w:p w14:paraId="0CD9736B" w14:textId="3006EA9D" w:rsidR="00D924EA" w:rsidRDefault="00011DE9">
            <w:pPr>
              <w:pStyle w:val="P68B1DB1-Normal24"/>
              <w:rPr>
                <w:noProof/>
              </w:rPr>
            </w:pPr>
            <w:r>
              <w:rPr>
                <w:noProof/>
              </w:rPr>
              <w:t>Intrarea în vigoare a unui act juridic de aprobare a statutului Agenției Naționale pentru Evaluarea Politicilor Publice.</w:t>
            </w:r>
          </w:p>
        </w:tc>
      </w:tr>
      <w:tr w:rsidR="00D924EA" w14:paraId="16959F2D" w14:textId="77777777" w:rsidTr="00C202D2">
        <w:trPr>
          <w:trHeight w:val="309"/>
          <w:jc w:val="center"/>
        </w:trPr>
        <w:tc>
          <w:tcPr>
            <w:tcW w:w="1195" w:type="dxa"/>
            <w:shd w:val="clear" w:color="auto" w:fill="C6EFCE"/>
          </w:tcPr>
          <w:p w14:paraId="25E9A0F2" w14:textId="77777777" w:rsidR="00D924EA" w:rsidRDefault="00011DE9">
            <w:pPr>
              <w:pStyle w:val="P68B1DB1-Normal23"/>
              <w:jc w:val="center"/>
              <w:rPr>
                <w:rFonts w:cs="Times New Roman"/>
                <w:noProof/>
                <w:szCs w:val="18"/>
              </w:rPr>
            </w:pPr>
            <w:r>
              <w:rPr>
                <w:noProof/>
              </w:rPr>
              <w:t>150</w:t>
            </w:r>
          </w:p>
        </w:tc>
        <w:tc>
          <w:tcPr>
            <w:tcW w:w="1415" w:type="dxa"/>
            <w:shd w:val="clear" w:color="auto" w:fill="C6EFCE"/>
          </w:tcPr>
          <w:p w14:paraId="0ED02E65" w14:textId="77777777" w:rsidR="00D924EA" w:rsidRDefault="00011DE9">
            <w:pPr>
              <w:pStyle w:val="P68B1DB1-Normal23"/>
              <w:jc w:val="center"/>
              <w:rPr>
                <w:rFonts w:cs="Times New Roman"/>
                <w:noProof/>
                <w:szCs w:val="18"/>
              </w:rPr>
            </w:pPr>
            <w:r>
              <w:rPr>
                <w:noProof/>
              </w:rPr>
              <w:t>C11.R1</w:t>
            </w:r>
          </w:p>
        </w:tc>
        <w:tc>
          <w:tcPr>
            <w:tcW w:w="999" w:type="dxa"/>
            <w:shd w:val="clear" w:color="auto" w:fill="C6EFCE"/>
          </w:tcPr>
          <w:p w14:paraId="6390A14C" w14:textId="77777777" w:rsidR="00D924EA" w:rsidRDefault="00011DE9">
            <w:pPr>
              <w:pStyle w:val="P68B1DB1-Normal23"/>
              <w:jc w:val="center"/>
              <w:rPr>
                <w:rFonts w:cs="Times New Roman"/>
                <w:noProof/>
                <w:szCs w:val="18"/>
              </w:rPr>
            </w:pPr>
            <w:r>
              <w:rPr>
                <w:noProof/>
              </w:rPr>
              <w:t>T</w:t>
            </w:r>
          </w:p>
        </w:tc>
        <w:tc>
          <w:tcPr>
            <w:tcW w:w="1593" w:type="dxa"/>
            <w:shd w:val="clear" w:color="auto" w:fill="C6EFCE"/>
          </w:tcPr>
          <w:p w14:paraId="3E88BAD3" w14:textId="7B9BFE9F" w:rsidR="00D924EA" w:rsidRDefault="00011DE9">
            <w:pPr>
              <w:pStyle w:val="P68B1DB1-Normal24"/>
              <w:rPr>
                <w:rFonts w:cs="Times New Roman"/>
                <w:noProof/>
              </w:rPr>
            </w:pPr>
            <w:r>
              <w:rPr>
                <w:noProof/>
              </w:rPr>
              <w:t xml:space="preserve"> Stabilizarea ocupării forței de muncă în sectorul public</w:t>
            </w:r>
          </w:p>
        </w:tc>
        <w:tc>
          <w:tcPr>
            <w:tcW w:w="1409" w:type="dxa"/>
            <w:shd w:val="clear" w:color="auto" w:fill="C6EFCE"/>
          </w:tcPr>
          <w:p w14:paraId="1E73FECE" w14:textId="77777777" w:rsidR="00D924EA" w:rsidRDefault="00D924EA">
            <w:pPr>
              <w:jc w:val="center"/>
              <w:rPr>
                <w:rFonts w:ascii="Times New Roman" w:hAnsi="Times New Roman" w:cs="Times New Roman"/>
                <w:noProof/>
                <w:sz w:val="18"/>
                <w:szCs w:val="18"/>
              </w:rPr>
            </w:pPr>
          </w:p>
        </w:tc>
        <w:tc>
          <w:tcPr>
            <w:tcW w:w="897" w:type="dxa"/>
            <w:shd w:val="clear" w:color="auto" w:fill="C6EFCE"/>
          </w:tcPr>
          <w:p w14:paraId="6302E99E" w14:textId="77777777" w:rsidR="00D924EA" w:rsidRDefault="00011DE9">
            <w:pPr>
              <w:pStyle w:val="P68B1DB1-Normal23"/>
              <w:jc w:val="right"/>
              <w:rPr>
                <w:rFonts w:cs="Times New Roman"/>
                <w:noProof/>
                <w:szCs w:val="18"/>
              </w:rPr>
            </w:pPr>
            <w:r>
              <w:rPr>
                <w:noProof/>
              </w:rPr>
              <w:t>Număr</w:t>
            </w:r>
          </w:p>
        </w:tc>
        <w:tc>
          <w:tcPr>
            <w:tcW w:w="1133" w:type="dxa"/>
            <w:shd w:val="clear" w:color="auto" w:fill="C6EFCE"/>
          </w:tcPr>
          <w:p w14:paraId="01C948DD" w14:textId="77777777" w:rsidR="00D924EA" w:rsidRDefault="00011DE9">
            <w:pPr>
              <w:pStyle w:val="P68B1DB1-Normal43"/>
              <w:jc w:val="right"/>
              <w:rPr>
                <w:noProof/>
              </w:rPr>
            </w:pPr>
            <w:r>
              <w:rPr>
                <w:noProof/>
              </w:rPr>
              <w:t>0</w:t>
            </w:r>
          </w:p>
        </w:tc>
        <w:tc>
          <w:tcPr>
            <w:tcW w:w="965" w:type="dxa"/>
            <w:shd w:val="clear" w:color="auto" w:fill="C6EFCE"/>
          </w:tcPr>
          <w:p w14:paraId="21FD006F" w14:textId="347B61BC" w:rsidR="00D924EA" w:rsidRDefault="00011DE9">
            <w:pPr>
              <w:pStyle w:val="P68B1DB1-Normal23"/>
              <w:jc w:val="right"/>
              <w:rPr>
                <w:rFonts w:cs="Times New Roman"/>
                <w:noProof/>
                <w:szCs w:val="18"/>
              </w:rPr>
            </w:pPr>
            <w:r>
              <w:rPr>
                <w:noProof/>
              </w:rPr>
              <w:t>300 000</w:t>
            </w:r>
          </w:p>
        </w:tc>
        <w:tc>
          <w:tcPr>
            <w:tcW w:w="708" w:type="dxa"/>
            <w:shd w:val="clear" w:color="auto" w:fill="C6EFCE"/>
          </w:tcPr>
          <w:p w14:paraId="02065402" w14:textId="2D6BA723" w:rsidR="00D924EA" w:rsidRDefault="005701C9">
            <w:pPr>
              <w:pStyle w:val="P68B1DB1-Normal23"/>
              <w:jc w:val="center"/>
              <w:rPr>
                <w:rFonts w:cs="Times New Roman"/>
                <w:noProof/>
                <w:szCs w:val="18"/>
              </w:rPr>
            </w:pPr>
            <w:r>
              <w:rPr>
                <w:noProof/>
              </w:rPr>
              <w:t>T4</w:t>
            </w:r>
          </w:p>
        </w:tc>
        <w:tc>
          <w:tcPr>
            <w:tcW w:w="709" w:type="dxa"/>
            <w:shd w:val="clear" w:color="auto" w:fill="C6EFCE"/>
          </w:tcPr>
          <w:p w14:paraId="47D18540" w14:textId="77777777" w:rsidR="00D924EA" w:rsidRDefault="00011DE9">
            <w:pPr>
              <w:pStyle w:val="P68B1DB1-Normal23"/>
              <w:jc w:val="center"/>
              <w:rPr>
                <w:rFonts w:cs="Times New Roman"/>
                <w:noProof/>
                <w:szCs w:val="18"/>
              </w:rPr>
            </w:pPr>
            <w:r>
              <w:rPr>
                <w:noProof/>
              </w:rPr>
              <w:t>2024</w:t>
            </w:r>
          </w:p>
        </w:tc>
        <w:tc>
          <w:tcPr>
            <w:tcW w:w="3573" w:type="dxa"/>
            <w:shd w:val="clear" w:color="auto" w:fill="C6EFCE"/>
          </w:tcPr>
          <w:p w14:paraId="4BF1CEC1" w14:textId="19AF00FB" w:rsidR="00D924EA" w:rsidRDefault="00011DE9">
            <w:pPr>
              <w:pStyle w:val="P68B1DB1-Normal24"/>
              <w:rPr>
                <w:noProof/>
              </w:rPr>
            </w:pPr>
            <w:r>
              <w:rPr>
                <w:noProof/>
              </w:rPr>
              <w:t xml:space="preserve"> Publicarea în Jurnalul Oficial a rezoluțiilor privind procedurile de recrutare pentru stabilizarea contractelor de muncă pe durată determinată în sectorul public (Procesos de Estabilización de empleo temporal) care vizează 300 000 de persoane care au avut succes.</w:t>
            </w:r>
          </w:p>
        </w:tc>
      </w:tr>
      <w:tr w:rsidR="00D924EA" w14:paraId="4477E436" w14:textId="77777777" w:rsidTr="00C202D2">
        <w:trPr>
          <w:trHeight w:val="309"/>
          <w:jc w:val="center"/>
        </w:trPr>
        <w:tc>
          <w:tcPr>
            <w:tcW w:w="1195" w:type="dxa"/>
            <w:shd w:val="clear" w:color="auto" w:fill="C6EFCE"/>
          </w:tcPr>
          <w:p w14:paraId="05084BC1" w14:textId="77777777" w:rsidR="00D924EA" w:rsidRDefault="00011DE9">
            <w:pPr>
              <w:pStyle w:val="P68B1DB1-Normal24"/>
              <w:jc w:val="center"/>
              <w:rPr>
                <w:rFonts w:cs="Times New Roman"/>
                <w:noProof/>
              </w:rPr>
            </w:pPr>
            <w:r>
              <w:rPr>
                <w:noProof/>
              </w:rPr>
              <w:t>432</w:t>
            </w:r>
          </w:p>
        </w:tc>
        <w:tc>
          <w:tcPr>
            <w:tcW w:w="1415" w:type="dxa"/>
            <w:shd w:val="clear" w:color="auto" w:fill="C6EFCE"/>
          </w:tcPr>
          <w:p w14:paraId="2A4EECC1" w14:textId="77777777" w:rsidR="00D924EA" w:rsidRDefault="00011DE9">
            <w:pPr>
              <w:pStyle w:val="P68B1DB1-Normal23"/>
              <w:jc w:val="center"/>
              <w:rPr>
                <w:rFonts w:cs="Times New Roman"/>
                <w:noProof/>
                <w:szCs w:val="18"/>
              </w:rPr>
            </w:pPr>
            <w:r>
              <w:rPr>
                <w:noProof/>
              </w:rPr>
              <w:t>C11.R1</w:t>
            </w:r>
          </w:p>
        </w:tc>
        <w:tc>
          <w:tcPr>
            <w:tcW w:w="999" w:type="dxa"/>
            <w:shd w:val="clear" w:color="auto" w:fill="C6EFCE"/>
          </w:tcPr>
          <w:p w14:paraId="30DD6016"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37BBF9C5" w14:textId="77777777" w:rsidR="00D924EA" w:rsidRDefault="00011DE9">
            <w:pPr>
              <w:pStyle w:val="P68B1DB1-Normal24"/>
              <w:rPr>
                <w:rFonts w:cs="Times New Roman"/>
                <w:noProof/>
              </w:rPr>
            </w:pPr>
            <w:r>
              <w:rPr>
                <w:noProof/>
              </w:rPr>
              <w:t xml:space="preserve">Legea privind transparența și integritatea în activitățile grupurilor de interese </w:t>
            </w:r>
          </w:p>
        </w:tc>
        <w:tc>
          <w:tcPr>
            <w:tcW w:w="1409" w:type="dxa"/>
            <w:shd w:val="clear" w:color="auto" w:fill="C6EFCE"/>
          </w:tcPr>
          <w:p w14:paraId="4169C2DF" w14:textId="1E80FF05" w:rsidR="00D924EA" w:rsidRDefault="00011DE9">
            <w:pPr>
              <w:pStyle w:val="P68B1DB1-Normal24"/>
              <w:jc w:val="center"/>
              <w:rPr>
                <w:rFonts w:cs="Times New Roman"/>
                <w:noProof/>
              </w:rPr>
            </w:pPr>
            <w:r>
              <w:rPr>
                <w:noProof/>
              </w:rPr>
              <w:t xml:space="preserve">Dispoziție din legea care indică intrarea în vigoare a legii </w:t>
            </w:r>
          </w:p>
        </w:tc>
        <w:tc>
          <w:tcPr>
            <w:tcW w:w="897" w:type="dxa"/>
            <w:shd w:val="clear" w:color="auto" w:fill="C6EFCE"/>
          </w:tcPr>
          <w:p w14:paraId="1165C9B8" w14:textId="77777777" w:rsidR="00D924EA" w:rsidRDefault="00D924EA">
            <w:pPr>
              <w:jc w:val="right"/>
              <w:rPr>
                <w:rFonts w:ascii="Times New Roman" w:hAnsi="Times New Roman" w:cs="Times New Roman"/>
                <w:noProof/>
                <w:sz w:val="18"/>
                <w:szCs w:val="18"/>
              </w:rPr>
            </w:pPr>
          </w:p>
        </w:tc>
        <w:tc>
          <w:tcPr>
            <w:tcW w:w="1133" w:type="dxa"/>
            <w:shd w:val="clear" w:color="auto" w:fill="C6EFCE"/>
          </w:tcPr>
          <w:p w14:paraId="08F8501E" w14:textId="77777777" w:rsidR="00D924EA" w:rsidRDefault="00D924EA">
            <w:pPr>
              <w:jc w:val="right"/>
              <w:rPr>
                <w:rFonts w:ascii="Times New Roman" w:hAnsi="Times New Roman" w:cs="Times New Roman"/>
                <w:noProof/>
                <w:sz w:val="18"/>
                <w:szCs w:val="18"/>
              </w:rPr>
            </w:pPr>
          </w:p>
        </w:tc>
        <w:tc>
          <w:tcPr>
            <w:tcW w:w="965" w:type="dxa"/>
            <w:shd w:val="clear" w:color="auto" w:fill="C6EFCE"/>
          </w:tcPr>
          <w:p w14:paraId="3926522F" w14:textId="77777777" w:rsidR="00D924EA" w:rsidRDefault="00D924EA">
            <w:pPr>
              <w:jc w:val="right"/>
              <w:rPr>
                <w:rFonts w:ascii="Times New Roman" w:hAnsi="Times New Roman" w:cs="Times New Roman"/>
                <w:noProof/>
                <w:sz w:val="18"/>
                <w:szCs w:val="18"/>
              </w:rPr>
            </w:pPr>
          </w:p>
        </w:tc>
        <w:tc>
          <w:tcPr>
            <w:tcW w:w="708" w:type="dxa"/>
            <w:shd w:val="clear" w:color="auto" w:fill="C6EFCE"/>
          </w:tcPr>
          <w:p w14:paraId="0E2BB343" w14:textId="3872C91D" w:rsidR="00D924EA" w:rsidRDefault="005701C9">
            <w:pPr>
              <w:pStyle w:val="P68B1DB1-Normal24"/>
              <w:jc w:val="center"/>
              <w:rPr>
                <w:rFonts w:cs="Times New Roman"/>
                <w:noProof/>
              </w:rPr>
            </w:pPr>
            <w:r>
              <w:rPr>
                <w:noProof/>
              </w:rPr>
              <w:t>T2</w:t>
            </w:r>
          </w:p>
        </w:tc>
        <w:tc>
          <w:tcPr>
            <w:tcW w:w="709" w:type="dxa"/>
            <w:shd w:val="clear" w:color="auto" w:fill="C6EFCE"/>
          </w:tcPr>
          <w:p w14:paraId="3D88D12E" w14:textId="1EC474DF" w:rsidR="00D924EA" w:rsidRDefault="00011DE9">
            <w:pPr>
              <w:pStyle w:val="P68B1DB1-Normal24"/>
              <w:jc w:val="center"/>
              <w:rPr>
                <w:rFonts w:cs="Times New Roman"/>
                <w:noProof/>
              </w:rPr>
            </w:pPr>
            <w:r>
              <w:rPr>
                <w:noProof/>
              </w:rPr>
              <w:t>2026</w:t>
            </w:r>
          </w:p>
        </w:tc>
        <w:tc>
          <w:tcPr>
            <w:tcW w:w="3573" w:type="dxa"/>
            <w:shd w:val="clear" w:color="auto" w:fill="C6EFCE"/>
          </w:tcPr>
          <w:p w14:paraId="080F0D24" w14:textId="61BF5A71" w:rsidR="00D924EA" w:rsidRDefault="00011DE9">
            <w:pPr>
              <w:pStyle w:val="P68B1DB1-Normal41"/>
              <w:rPr>
                <w:noProof/>
              </w:rPr>
            </w:pPr>
            <w:r>
              <w:rPr>
                <w:noProof/>
              </w:rPr>
              <w:t>Intrarea în vigoare a legislației care reglementează relațiile dintre lobbyiști (inclusiv ONG-uri, grupuri de reflecție, asociații de întreprinderi și sindicate – cu excepția exercitării funcțiilor lor constituționale –, asociații cu scop lucrativ și non-profit, organizații de afaceri și avocați atunci când scopul lor este mai degrabă de a influența politicile decât de a oferi asistență juridică) și sectorul public. Legislația instituie un registru public și obligatoriu al grupurilor de interese, care este monitorizat de un organism independent cu competențe de supraveghere și de sancționare. Legea promovează măsuri de interconectare a noului registru cu registrele regionale existente ale grupurilor de interese.</w:t>
            </w:r>
          </w:p>
        </w:tc>
      </w:tr>
      <w:tr w:rsidR="00D924EA" w14:paraId="0B797CCE" w14:textId="77777777" w:rsidTr="00C202D2">
        <w:trPr>
          <w:trHeight w:val="309"/>
          <w:jc w:val="center"/>
        </w:trPr>
        <w:tc>
          <w:tcPr>
            <w:tcW w:w="1195" w:type="dxa"/>
            <w:shd w:val="clear" w:color="auto" w:fill="C6EFCE"/>
          </w:tcPr>
          <w:p w14:paraId="467AC60E" w14:textId="77777777" w:rsidR="00D924EA" w:rsidRDefault="00011DE9">
            <w:pPr>
              <w:pStyle w:val="P68B1DB1-Normal23"/>
              <w:jc w:val="center"/>
              <w:rPr>
                <w:rFonts w:cs="Times New Roman"/>
                <w:noProof/>
                <w:szCs w:val="18"/>
              </w:rPr>
            </w:pPr>
            <w:r>
              <w:rPr>
                <w:noProof/>
              </w:rPr>
              <w:t>433</w:t>
            </w:r>
          </w:p>
        </w:tc>
        <w:tc>
          <w:tcPr>
            <w:tcW w:w="1415" w:type="dxa"/>
            <w:shd w:val="clear" w:color="auto" w:fill="C6EFCE"/>
          </w:tcPr>
          <w:p w14:paraId="6F0CEA23" w14:textId="77777777" w:rsidR="00D924EA" w:rsidRDefault="00011DE9">
            <w:pPr>
              <w:pStyle w:val="P68B1DB1-Normal23"/>
              <w:jc w:val="center"/>
              <w:rPr>
                <w:rFonts w:cs="Times New Roman"/>
                <w:noProof/>
                <w:szCs w:val="18"/>
              </w:rPr>
            </w:pPr>
            <w:r>
              <w:rPr>
                <w:noProof/>
              </w:rPr>
              <w:t>C11.R1</w:t>
            </w:r>
          </w:p>
        </w:tc>
        <w:tc>
          <w:tcPr>
            <w:tcW w:w="999" w:type="dxa"/>
            <w:shd w:val="clear" w:color="auto" w:fill="C6EFCE"/>
          </w:tcPr>
          <w:p w14:paraId="5D7F45DC"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76A80094" w14:textId="77777777" w:rsidR="00D924EA" w:rsidRDefault="00011DE9">
            <w:pPr>
              <w:pStyle w:val="P68B1DB1-Normal23"/>
              <w:rPr>
                <w:rFonts w:cs="Times New Roman"/>
                <w:noProof/>
                <w:szCs w:val="18"/>
              </w:rPr>
            </w:pPr>
            <w:r>
              <w:rPr>
                <w:noProof/>
              </w:rPr>
              <w:t>Actualizarea cadrului național de securitate</w:t>
            </w:r>
          </w:p>
        </w:tc>
        <w:tc>
          <w:tcPr>
            <w:tcW w:w="1409" w:type="dxa"/>
            <w:shd w:val="clear" w:color="auto" w:fill="C6EFCE"/>
          </w:tcPr>
          <w:p w14:paraId="262B310B" w14:textId="77777777" w:rsidR="00D924EA" w:rsidRDefault="00011DE9">
            <w:pPr>
              <w:pStyle w:val="P68B1DB1-Normal23"/>
              <w:jc w:val="center"/>
              <w:rPr>
                <w:rFonts w:cs="Times New Roman"/>
                <w:noProof/>
                <w:szCs w:val="18"/>
              </w:rPr>
            </w:pPr>
            <w:r>
              <w:rPr>
                <w:noProof/>
              </w:rPr>
              <w:t>Dispoziție din decretul regal care indică intrarea sa în vigoare</w:t>
            </w:r>
          </w:p>
        </w:tc>
        <w:tc>
          <w:tcPr>
            <w:tcW w:w="897" w:type="dxa"/>
            <w:shd w:val="clear" w:color="auto" w:fill="C6EFCE"/>
          </w:tcPr>
          <w:p w14:paraId="62052F76" w14:textId="77777777" w:rsidR="00D924EA" w:rsidRDefault="00D924EA">
            <w:pPr>
              <w:jc w:val="right"/>
              <w:rPr>
                <w:rFonts w:ascii="Times New Roman" w:hAnsi="Times New Roman" w:cs="Times New Roman"/>
                <w:noProof/>
                <w:sz w:val="18"/>
                <w:szCs w:val="18"/>
              </w:rPr>
            </w:pPr>
          </w:p>
        </w:tc>
        <w:tc>
          <w:tcPr>
            <w:tcW w:w="1133" w:type="dxa"/>
            <w:shd w:val="clear" w:color="auto" w:fill="C6EFCE"/>
          </w:tcPr>
          <w:p w14:paraId="7BFAB21B" w14:textId="77777777" w:rsidR="00D924EA" w:rsidRDefault="00D924EA">
            <w:pPr>
              <w:jc w:val="right"/>
              <w:rPr>
                <w:rFonts w:ascii="Times New Roman" w:hAnsi="Times New Roman" w:cs="Times New Roman"/>
                <w:noProof/>
                <w:sz w:val="18"/>
                <w:szCs w:val="18"/>
              </w:rPr>
            </w:pPr>
          </w:p>
        </w:tc>
        <w:tc>
          <w:tcPr>
            <w:tcW w:w="965" w:type="dxa"/>
            <w:shd w:val="clear" w:color="auto" w:fill="C6EFCE"/>
          </w:tcPr>
          <w:p w14:paraId="5B8FB9C2" w14:textId="77777777" w:rsidR="00D924EA" w:rsidRDefault="00D924EA">
            <w:pPr>
              <w:jc w:val="right"/>
              <w:rPr>
                <w:rFonts w:ascii="Times New Roman" w:hAnsi="Times New Roman" w:cs="Times New Roman"/>
                <w:noProof/>
                <w:sz w:val="18"/>
                <w:szCs w:val="18"/>
              </w:rPr>
            </w:pPr>
          </w:p>
        </w:tc>
        <w:tc>
          <w:tcPr>
            <w:tcW w:w="708" w:type="dxa"/>
            <w:shd w:val="clear" w:color="auto" w:fill="C6EFCE"/>
          </w:tcPr>
          <w:p w14:paraId="33D61C5F" w14:textId="063F848F" w:rsidR="00D924EA" w:rsidRDefault="005701C9">
            <w:pPr>
              <w:pStyle w:val="P68B1DB1-Normal23"/>
              <w:jc w:val="center"/>
              <w:rPr>
                <w:rFonts w:cs="Times New Roman"/>
                <w:noProof/>
                <w:szCs w:val="18"/>
              </w:rPr>
            </w:pPr>
            <w:r>
              <w:rPr>
                <w:noProof/>
              </w:rPr>
              <w:t>T2</w:t>
            </w:r>
          </w:p>
        </w:tc>
        <w:tc>
          <w:tcPr>
            <w:tcW w:w="709" w:type="dxa"/>
            <w:shd w:val="clear" w:color="auto" w:fill="C6EFCE"/>
          </w:tcPr>
          <w:p w14:paraId="380B3AA2" w14:textId="77777777" w:rsidR="00D924EA" w:rsidRDefault="00011DE9">
            <w:pPr>
              <w:pStyle w:val="P68B1DB1-Normal23"/>
              <w:jc w:val="center"/>
              <w:rPr>
                <w:rFonts w:cs="Times New Roman"/>
                <w:noProof/>
                <w:szCs w:val="18"/>
              </w:rPr>
            </w:pPr>
            <w:r>
              <w:rPr>
                <w:noProof/>
              </w:rPr>
              <w:t>2023</w:t>
            </w:r>
          </w:p>
        </w:tc>
        <w:tc>
          <w:tcPr>
            <w:tcW w:w="3573" w:type="dxa"/>
            <w:shd w:val="clear" w:color="auto" w:fill="C6EFCE"/>
          </w:tcPr>
          <w:p w14:paraId="21D535B1" w14:textId="77777777" w:rsidR="00D924EA" w:rsidRDefault="00011DE9">
            <w:pPr>
              <w:pStyle w:val="P68B1DB1-Normal23"/>
              <w:rPr>
                <w:rFonts w:cs="Times New Roman"/>
                <w:noProof/>
                <w:szCs w:val="18"/>
              </w:rPr>
            </w:pPr>
            <w:r>
              <w:rPr>
                <w:noProof/>
              </w:rPr>
              <w:t xml:space="preserve">Intrarea în vigoare a unui decret regal de actualizare a cadrului național de securitate. Decretul regal: I) să adapteze cerințele cadrului național de securitate la realitatea anumitor grupuri sau tipuri de sisteme, introducând conceptul de „profil specific de conformitate”; să alinieze cadrul național de securitate la cadrul de reglementare și la contextul strategic pentru a garanta securitatea în administrația publică digitală, în conformitate cu Strategia națională de securitate cibernetică 2019 și cu Planul național de securitate cibernetică; și iii) să faciliteze un răspuns mai bun la tendințele în materie de securitate cibernetică, să reducă vulnerabilitățile și să promoveze vigilența continuă prin revizuirea principiilor de bază, a cerințelor minime și a măsurilor de securitate. </w:t>
            </w:r>
          </w:p>
        </w:tc>
      </w:tr>
      <w:tr w:rsidR="00D924EA" w14:paraId="101D6F09" w14:textId="77777777" w:rsidTr="00C202D2">
        <w:trPr>
          <w:trHeight w:val="309"/>
          <w:jc w:val="center"/>
        </w:trPr>
        <w:tc>
          <w:tcPr>
            <w:tcW w:w="1195" w:type="dxa"/>
            <w:shd w:val="clear" w:color="auto" w:fill="C6EFCE"/>
          </w:tcPr>
          <w:p w14:paraId="4EB59279" w14:textId="77777777" w:rsidR="00D924EA" w:rsidRDefault="00011DE9">
            <w:pPr>
              <w:pStyle w:val="P68B1DB1-Normal23"/>
              <w:jc w:val="center"/>
              <w:rPr>
                <w:rFonts w:cs="Times New Roman"/>
                <w:noProof/>
                <w:szCs w:val="18"/>
              </w:rPr>
            </w:pPr>
            <w:r>
              <w:rPr>
                <w:noProof/>
              </w:rPr>
              <w:t>151</w:t>
            </w:r>
          </w:p>
        </w:tc>
        <w:tc>
          <w:tcPr>
            <w:tcW w:w="1415" w:type="dxa"/>
            <w:shd w:val="clear" w:color="auto" w:fill="C6EFCE"/>
          </w:tcPr>
          <w:p w14:paraId="26C1092B" w14:textId="77777777" w:rsidR="00D924EA" w:rsidRDefault="00011DE9">
            <w:pPr>
              <w:pStyle w:val="P68B1DB1-Normal23"/>
              <w:jc w:val="center"/>
              <w:rPr>
                <w:rFonts w:cs="Times New Roman"/>
                <w:noProof/>
                <w:szCs w:val="18"/>
              </w:rPr>
            </w:pPr>
            <w:r>
              <w:rPr>
                <w:noProof/>
              </w:rPr>
              <w:t>C11.R2</w:t>
            </w:r>
          </w:p>
        </w:tc>
        <w:tc>
          <w:tcPr>
            <w:tcW w:w="999" w:type="dxa"/>
            <w:shd w:val="clear" w:color="auto" w:fill="C6EFCE"/>
          </w:tcPr>
          <w:p w14:paraId="56898EF6"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763E531F" w14:textId="77777777" w:rsidR="00D924EA" w:rsidRDefault="00011DE9">
            <w:pPr>
              <w:pStyle w:val="P68B1DB1-Normal23"/>
              <w:rPr>
                <w:rFonts w:cs="Times New Roman"/>
                <w:noProof/>
                <w:szCs w:val="18"/>
              </w:rPr>
            </w:pPr>
            <w:r>
              <w:rPr>
                <w:noProof/>
              </w:rPr>
              <w:t>Intrarea în vigoare a Legii nr. 3/2020 privind măsurile procedurale și organizatorice în domeniul justiției</w:t>
            </w:r>
          </w:p>
        </w:tc>
        <w:tc>
          <w:tcPr>
            <w:tcW w:w="1409" w:type="dxa"/>
            <w:shd w:val="clear" w:color="auto" w:fill="C6EFCE"/>
          </w:tcPr>
          <w:p w14:paraId="5007D1B5" w14:textId="77777777" w:rsidR="00D924EA" w:rsidRDefault="00011DE9">
            <w:pPr>
              <w:pStyle w:val="P68B1DB1-Normal23"/>
              <w:jc w:val="center"/>
              <w:rPr>
                <w:rFonts w:cs="Times New Roman"/>
                <w:noProof/>
                <w:szCs w:val="18"/>
              </w:rPr>
            </w:pPr>
            <w:r>
              <w:rPr>
                <w:noProof/>
              </w:rPr>
              <w:t>Dispoziție din legea care indică intrarea în vigoare a legii</w:t>
            </w:r>
          </w:p>
        </w:tc>
        <w:tc>
          <w:tcPr>
            <w:tcW w:w="897" w:type="dxa"/>
            <w:shd w:val="clear" w:color="auto" w:fill="C6EFCE"/>
          </w:tcPr>
          <w:p w14:paraId="5704F9EC"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74F4C586"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6D4A8A02"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5F9D50F5" w14:textId="0A8609DF" w:rsidR="00D924EA" w:rsidRDefault="005701C9">
            <w:pPr>
              <w:pStyle w:val="P68B1DB1-Normal23"/>
              <w:jc w:val="center"/>
              <w:rPr>
                <w:rFonts w:cs="Times New Roman"/>
                <w:noProof/>
                <w:szCs w:val="18"/>
              </w:rPr>
            </w:pPr>
            <w:r>
              <w:rPr>
                <w:noProof/>
              </w:rPr>
              <w:t>T3</w:t>
            </w:r>
          </w:p>
        </w:tc>
        <w:tc>
          <w:tcPr>
            <w:tcW w:w="709" w:type="dxa"/>
            <w:shd w:val="clear" w:color="auto" w:fill="C6EFCE"/>
          </w:tcPr>
          <w:p w14:paraId="3137A5F0" w14:textId="77777777" w:rsidR="00D924EA" w:rsidRDefault="00011DE9">
            <w:pPr>
              <w:pStyle w:val="P68B1DB1-Normal23"/>
              <w:jc w:val="center"/>
              <w:rPr>
                <w:rFonts w:cs="Times New Roman"/>
                <w:noProof/>
                <w:szCs w:val="18"/>
              </w:rPr>
            </w:pPr>
            <w:r>
              <w:rPr>
                <w:noProof/>
              </w:rPr>
              <w:t>2020</w:t>
            </w:r>
          </w:p>
        </w:tc>
        <w:tc>
          <w:tcPr>
            <w:tcW w:w="3573" w:type="dxa"/>
            <w:shd w:val="clear" w:color="auto" w:fill="C6EFCE"/>
          </w:tcPr>
          <w:p w14:paraId="3EE5C759" w14:textId="77777777" w:rsidR="00D924EA" w:rsidRDefault="00011DE9">
            <w:pPr>
              <w:pStyle w:val="P68B1DB1-Normal23"/>
              <w:rPr>
                <w:rFonts w:cs="Times New Roman"/>
                <w:noProof/>
                <w:szCs w:val="18"/>
              </w:rPr>
            </w:pPr>
            <w:r>
              <w:rPr>
                <w:noProof/>
              </w:rPr>
              <w:t xml:space="preserve">Intrarea în vigoare a Legii nr. 3/2020 din 18 septembrie privind măsurile procedurale și organizatorice de combatere a COVID-19 în domeniul administrării justiției. </w:t>
            </w:r>
          </w:p>
        </w:tc>
      </w:tr>
      <w:tr w:rsidR="00D924EA" w14:paraId="13B33103" w14:textId="77777777" w:rsidTr="00C202D2">
        <w:trPr>
          <w:trHeight w:val="309"/>
          <w:jc w:val="center"/>
        </w:trPr>
        <w:tc>
          <w:tcPr>
            <w:tcW w:w="1195" w:type="dxa"/>
            <w:shd w:val="clear" w:color="auto" w:fill="C6EFCE"/>
          </w:tcPr>
          <w:p w14:paraId="54396D9B" w14:textId="77777777" w:rsidR="00D924EA" w:rsidRDefault="00011DE9">
            <w:pPr>
              <w:pStyle w:val="P68B1DB1-Normal23"/>
              <w:jc w:val="center"/>
              <w:rPr>
                <w:rFonts w:cs="Times New Roman"/>
                <w:noProof/>
                <w:szCs w:val="18"/>
              </w:rPr>
            </w:pPr>
            <w:r>
              <w:rPr>
                <w:noProof/>
              </w:rPr>
              <w:t>152</w:t>
            </w:r>
          </w:p>
        </w:tc>
        <w:tc>
          <w:tcPr>
            <w:tcW w:w="1415" w:type="dxa"/>
            <w:shd w:val="clear" w:color="auto" w:fill="C6EFCE"/>
          </w:tcPr>
          <w:p w14:paraId="3A2EBC22" w14:textId="77777777" w:rsidR="00D924EA" w:rsidRDefault="00011DE9">
            <w:pPr>
              <w:pStyle w:val="P68B1DB1-Normal23"/>
              <w:jc w:val="center"/>
              <w:rPr>
                <w:rFonts w:cs="Times New Roman"/>
                <w:noProof/>
                <w:szCs w:val="18"/>
              </w:rPr>
            </w:pPr>
            <w:r>
              <w:rPr>
                <w:noProof/>
              </w:rPr>
              <w:t>C11.R2</w:t>
            </w:r>
          </w:p>
        </w:tc>
        <w:tc>
          <w:tcPr>
            <w:tcW w:w="999" w:type="dxa"/>
            <w:shd w:val="clear" w:color="auto" w:fill="C6EFCE"/>
          </w:tcPr>
          <w:p w14:paraId="2DF4429D"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0EAC47D9" w14:textId="77777777" w:rsidR="00D924EA" w:rsidRDefault="00011DE9">
            <w:pPr>
              <w:pStyle w:val="P68B1DB1-Normal23"/>
              <w:rPr>
                <w:rFonts w:cs="Times New Roman"/>
                <w:noProof/>
                <w:szCs w:val="18"/>
              </w:rPr>
            </w:pPr>
            <w:r>
              <w:rPr>
                <w:noProof/>
              </w:rPr>
              <w:t>Intrarea în vigoare a Decretului-lege regal privind îmbunătățirea eficienței procedurilor judiciare și a Decretului-lege regal privind eficiența digitală</w:t>
            </w:r>
          </w:p>
        </w:tc>
        <w:tc>
          <w:tcPr>
            <w:tcW w:w="1409" w:type="dxa"/>
            <w:shd w:val="clear" w:color="auto" w:fill="C6EFCE"/>
          </w:tcPr>
          <w:p w14:paraId="024CF5E6" w14:textId="77777777" w:rsidR="00D924EA" w:rsidRDefault="00011DE9">
            <w:pPr>
              <w:pStyle w:val="P68B1DB1-Normal23"/>
              <w:jc w:val="center"/>
              <w:rPr>
                <w:rFonts w:cs="Times New Roman"/>
                <w:noProof/>
                <w:szCs w:val="18"/>
              </w:rPr>
            </w:pPr>
            <w:r>
              <w:rPr>
                <w:noProof/>
              </w:rPr>
              <w:t xml:space="preserve">Dispoziție (dispoziții) din lege (legi) care indică intrarea lor în vigoare </w:t>
            </w:r>
          </w:p>
        </w:tc>
        <w:tc>
          <w:tcPr>
            <w:tcW w:w="897" w:type="dxa"/>
            <w:shd w:val="clear" w:color="auto" w:fill="C6EFCE"/>
          </w:tcPr>
          <w:p w14:paraId="5D823685"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67726E79"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2C0506DA"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57E4AC71" w14:textId="58EB973D" w:rsidR="00D924EA" w:rsidRDefault="005701C9">
            <w:pPr>
              <w:pStyle w:val="P68B1DB1-Normal23"/>
              <w:jc w:val="center"/>
              <w:rPr>
                <w:rFonts w:cs="Times New Roman"/>
                <w:noProof/>
                <w:szCs w:val="18"/>
              </w:rPr>
            </w:pPr>
            <w:r>
              <w:rPr>
                <w:noProof/>
              </w:rPr>
              <w:t>T4</w:t>
            </w:r>
          </w:p>
        </w:tc>
        <w:tc>
          <w:tcPr>
            <w:tcW w:w="709" w:type="dxa"/>
            <w:shd w:val="clear" w:color="auto" w:fill="C6EFCE"/>
          </w:tcPr>
          <w:p w14:paraId="7AB83D52" w14:textId="77777777" w:rsidR="00D924EA" w:rsidRDefault="00011DE9">
            <w:pPr>
              <w:pStyle w:val="P68B1DB1-Normal23"/>
              <w:jc w:val="center"/>
              <w:rPr>
                <w:rFonts w:cs="Times New Roman"/>
                <w:noProof/>
                <w:szCs w:val="18"/>
              </w:rPr>
            </w:pPr>
            <w:r>
              <w:rPr>
                <w:noProof/>
              </w:rPr>
              <w:t>2022</w:t>
            </w:r>
          </w:p>
        </w:tc>
        <w:tc>
          <w:tcPr>
            <w:tcW w:w="3573" w:type="dxa"/>
            <w:shd w:val="clear" w:color="auto" w:fill="C6EFCE"/>
          </w:tcPr>
          <w:p w14:paraId="09155D91" w14:textId="3BDEA64E" w:rsidR="00D924EA" w:rsidRDefault="00011DE9">
            <w:pPr>
              <w:pStyle w:val="P68B1DB1-Normal23"/>
              <w:rPr>
                <w:rFonts w:cs="Times New Roman"/>
                <w:noProof/>
                <w:szCs w:val="18"/>
              </w:rPr>
            </w:pPr>
            <w:r>
              <w:rPr>
                <w:noProof/>
              </w:rPr>
              <w:t>Intrarea în vigoare a Decretului-lege regal de îmbunătățire a eficienței procedurilor din sistemul național de justiție și a Decretului-lege regal privind eficiența digitală, care:</w:t>
            </w:r>
            <w:r w:rsidR="00971820">
              <w:rPr>
                <w:noProof/>
              </w:rPr>
              <w:t xml:space="preserve"> </w:t>
            </w:r>
            <w:r>
              <w:rPr>
                <w:noProof/>
              </w:rPr>
              <w:t>(I) să utilizeze mai intens tehnologia pentru a furniza un serviciu public eficient și de înaltă calitate; (II) să introducă reforme ale dreptului procedural pentru a spori rapiditatea procedurilor în jurisdicțiile administrative și sociale; și (iiii) să modifice procedurile de recurs („</w:t>
            </w:r>
            <w:r>
              <w:rPr>
                <w:i/>
                <w:noProof/>
              </w:rPr>
              <w:t>procesos de casación”</w:t>
            </w:r>
            <w:r>
              <w:rPr>
                <w:noProof/>
              </w:rPr>
              <w:t xml:space="preserve">) pentru a evita întârzierile nejustificate. </w:t>
            </w:r>
          </w:p>
        </w:tc>
      </w:tr>
      <w:tr w:rsidR="00D924EA" w14:paraId="1DCFCF30" w14:textId="77777777" w:rsidTr="00C202D2">
        <w:trPr>
          <w:trHeight w:val="309"/>
          <w:jc w:val="center"/>
        </w:trPr>
        <w:tc>
          <w:tcPr>
            <w:tcW w:w="1195" w:type="dxa"/>
            <w:shd w:val="clear" w:color="auto" w:fill="C6EFCE"/>
          </w:tcPr>
          <w:p w14:paraId="5C6BEF71" w14:textId="77777777" w:rsidR="00D924EA" w:rsidRDefault="00011DE9">
            <w:pPr>
              <w:pStyle w:val="P68B1DB1-Normal23"/>
              <w:jc w:val="center"/>
              <w:rPr>
                <w:rFonts w:cs="Times New Roman"/>
                <w:noProof/>
                <w:szCs w:val="18"/>
              </w:rPr>
            </w:pPr>
            <w:r>
              <w:rPr>
                <w:noProof/>
              </w:rPr>
              <w:t>434</w:t>
            </w:r>
          </w:p>
        </w:tc>
        <w:tc>
          <w:tcPr>
            <w:tcW w:w="1415" w:type="dxa"/>
            <w:shd w:val="clear" w:color="auto" w:fill="C6EFCE"/>
          </w:tcPr>
          <w:p w14:paraId="33CDBA76" w14:textId="77777777" w:rsidR="00D924EA" w:rsidRDefault="00011DE9">
            <w:pPr>
              <w:pStyle w:val="P68B1DB1-Normal23"/>
              <w:jc w:val="center"/>
              <w:rPr>
                <w:rFonts w:cs="Times New Roman"/>
                <w:noProof/>
                <w:szCs w:val="18"/>
              </w:rPr>
            </w:pPr>
            <w:r>
              <w:rPr>
                <w:noProof/>
              </w:rPr>
              <w:t>C11.R2</w:t>
            </w:r>
          </w:p>
        </w:tc>
        <w:tc>
          <w:tcPr>
            <w:tcW w:w="999" w:type="dxa"/>
            <w:shd w:val="clear" w:color="auto" w:fill="C6EFCE"/>
          </w:tcPr>
          <w:p w14:paraId="767716BB"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51B00A47" w14:textId="77777777" w:rsidR="00D924EA" w:rsidRDefault="00011DE9">
            <w:pPr>
              <w:pStyle w:val="P68B1DB1-Normal23"/>
              <w:rPr>
                <w:rFonts w:cs="Times New Roman"/>
                <w:noProof/>
                <w:szCs w:val="18"/>
              </w:rPr>
            </w:pPr>
            <w:r>
              <w:rPr>
                <w:noProof/>
              </w:rPr>
              <w:t>Intrarea în vigoare a Legii privind eficiența organizațională și procedurală</w:t>
            </w:r>
          </w:p>
        </w:tc>
        <w:tc>
          <w:tcPr>
            <w:tcW w:w="1409" w:type="dxa"/>
            <w:shd w:val="clear" w:color="auto" w:fill="C6EFCE"/>
          </w:tcPr>
          <w:p w14:paraId="698739DB" w14:textId="77777777" w:rsidR="00D924EA" w:rsidRDefault="00011DE9">
            <w:pPr>
              <w:pStyle w:val="P68B1DB1-Normal23"/>
              <w:jc w:val="center"/>
              <w:rPr>
                <w:rFonts w:cs="Times New Roman"/>
                <w:noProof/>
                <w:szCs w:val="18"/>
              </w:rPr>
            </w:pPr>
            <w:r>
              <w:rPr>
                <w:noProof/>
              </w:rPr>
              <w:t>Dispoziție legală care indică intrarea sa în vigoare</w:t>
            </w:r>
          </w:p>
        </w:tc>
        <w:tc>
          <w:tcPr>
            <w:tcW w:w="897" w:type="dxa"/>
            <w:shd w:val="clear" w:color="auto" w:fill="C6EFCE"/>
          </w:tcPr>
          <w:p w14:paraId="03C36E43" w14:textId="77777777" w:rsidR="00D924EA" w:rsidRDefault="00D924EA">
            <w:pPr>
              <w:jc w:val="right"/>
              <w:rPr>
                <w:rFonts w:ascii="Times New Roman" w:hAnsi="Times New Roman" w:cs="Times New Roman"/>
                <w:noProof/>
                <w:sz w:val="18"/>
                <w:szCs w:val="18"/>
              </w:rPr>
            </w:pPr>
          </w:p>
        </w:tc>
        <w:tc>
          <w:tcPr>
            <w:tcW w:w="1133" w:type="dxa"/>
            <w:shd w:val="clear" w:color="auto" w:fill="C6EFCE"/>
          </w:tcPr>
          <w:p w14:paraId="7B69C2CC" w14:textId="77777777" w:rsidR="00D924EA" w:rsidRDefault="00D924EA">
            <w:pPr>
              <w:jc w:val="right"/>
              <w:rPr>
                <w:rFonts w:ascii="Times New Roman" w:hAnsi="Times New Roman" w:cs="Times New Roman"/>
                <w:noProof/>
                <w:sz w:val="18"/>
                <w:szCs w:val="18"/>
              </w:rPr>
            </w:pPr>
          </w:p>
        </w:tc>
        <w:tc>
          <w:tcPr>
            <w:tcW w:w="965" w:type="dxa"/>
            <w:shd w:val="clear" w:color="auto" w:fill="C6EFCE"/>
          </w:tcPr>
          <w:p w14:paraId="236310BC" w14:textId="77777777" w:rsidR="00D924EA" w:rsidRDefault="00D924EA">
            <w:pPr>
              <w:jc w:val="right"/>
              <w:rPr>
                <w:rFonts w:ascii="Times New Roman" w:hAnsi="Times New Roman" w:cs="Times New Roman"/>
                <w:noProof/>
                <w:sz w:val="18"/>
                <w:szCs w:val="18"/>
              </w:rPr>
            </w:pPr>
          </w:p>
        </w:tc>
        <w:tc>
          <w:tcPr>
            <w:tcW w:w="708" w:type="dxa"/>
            <w:shd w:val="clear" w:color="auto" w:fill="C6EFCE"/>
          </w:tcPr>
          <w:p w14:paraId="2A85C341" w14:textId="4EE9F1B6" w:rsidR="00D924EA" w:rsidRDefault="005701C9">
            <w:pPr>
              <w:pStyle w:val="P68B1DB1-Normal23"/>
              <w:jc w:val="center"/>
              <w:rPr>
                <w:rFonts w:cs="Times New Roman"/>
                <w:noProof/>
                <w:szCs w:val="18"/>
              </w:rPr>
            </w:pPr>
            <w:r>
              <w:rPr>
                <w:noProof/>
              </w:rPr>
              <w:t>T2</w:t>
            </w:r>
          </w:p>
        </w:tc>
        <w:tc>
          <w:tcPr>
            <w:tcW w:w="709" w:type="dxa"/>
            <w:shd w:val="clear" w:color="auto" w:fill="C6EFCE"/>
          </w:tcPr>
          <w:p w14:paraId="68A06EFA" w14:textId="77777777" w:rsidR="00D924EA" w:rsidRDefault="00011DE9">
            <w:pPr>
              <w:pStyle w:val="P68B1DB1-Normal23"/>
              <w:jc w:val="center"/>
              <w:rPr>
                <w:rFonts w:cs="Times New Roman"/>
                <w:noProof/>
                <w:szCs w:val="18"/>
              </w:rPr>
            </w:pPr>
            <w:r>
              <w:rPr>
                <w:noProof/>
              </w:rPr>
              <w:t>2023</w:t>
            </w:r>
          </w:p>
        </w:tc>
        <w:tc>
          <w:tcPr>
            <w:tcW w:w="3573" w:type="dxa"/>
            <w:shd w:val="clear" w:color="auto" w:fill="C6EFCE"/>
          </w:tcPr>
          <w:p w14:paraId="6DCE48E8" w14:textId="77777777" w:rsidR="00D924EA" w:rsidRDefault="00011DE9">
            <w:pPr>
              <w:pStyle w:val="P68B1DB1-Normal23"/>
              <w:rPr>
                <w:rFonts w:cs="Times New Roman"/>
                <w:noProof/>
                <w:szCs w:val="18"/>
              </w:rPr>
            </w:pPr>
            <w:r>
              <w:rPr>
                <w:noProof/>
              </w:rPr>
              <w:t>Intrarea în vigoare a Legii privind eficiența organizațională și procedurală pentru a modifica organizarea hărții judiciare în conformitate cu descrierea măsurii și pentru a îmbunătăți în continuare eficiența procedurală a sistemului de justiție prin: (I) introducerea unor reforme ale dreptului procedural pentru a spori viteza procedurilor în jurisdicțiile care nu sunt acoperite de jalonul 152 (ii) introducerea unor mijloace alternative de soluționare a litigiilor; (III) introducerea unor reforme ale dreptului procedural care să soluționeze litigiile înainte de a ajunge în instanță; (IV) realizarea în continuare a unei gestionări mai eficiente și a unui răspuns mai rapid la cererile cetățenilor și ale întreprinderilor; și (v) în general, realizarea unei administrări a justiției mai flexibile, mai eficiente, mai accesibile cetățenilor, mai durabile și mai transparente.</w:t>
            </w:r>
          </w:p>
        </w:tc>
      </w:tr>
      <w:tr w:rsidR="00D924EA" w14:paraId="651D9AE5" w14:textId="77777777" w:rsidTr="00C202D2">
        <w:trPr>
          <w:trHeight w:val="309"/>
          <w:jc w:val="center"/>
        </w:trPr>
        <w:tc>
          <w:tcPr>
            <w:tcW w:w="1195" w:type="dxa"/>
            <w:shd w:val="clear" w:color="auto" w:fill="C6EFCE"/>
          </w:tcPr>
          <w:p w14:paraId="484C3549" w14:textId="77777777" w:rsidR="00D924EA" w:rsidRDefault="00011DE9">
            <w:pPr>
              <w:pStyle w:val="P68B1DB1-Normal23"/>
              <w:jc w:val="center"/>
              <w:rPr>
                <w:rFonts w:cs="Times New Roman"/>
                <w:noProof/>
                <w:szCs w:val="18"/>
              </w:rPr>
            </w:pPr>
            <w:r>
              <w:rPr>
                <w:noProof/>
              </w:rPr>
              <w:t>435</w:t>
            </w:r>
          </w:p>
        </w:tc>
        <w:tc>
          <w:tcPr>
            <w:tcW w:w="1415" w:type="dxa"/>
            <w:shd w:val="clear" w:color="auto" w:fill="C6EFCE"/>
          </w:tcPr>
          <w:p w14:paraId="2EA50AFC" w14:textId="77777777" w:rsidR="00D924EA" w:rsidRDefault="00011DE9">
            <w:pPr>
              <w:pStyle w:val="P68B1DB1-Normal23"/>
              <w:jc w:val="center"/>
              <w:rPr>
                <w:rFonts w:cs="Times New Roman"/>
                <w:noProof/>
                <w:szCs w:val="18"/>
              </w:rPr>
            </w:pPr>
            <w:r>
              <w:rPr>
                <w:noProof/>
              </w:rPr>
              <w:t>C11.R2</w:t>
            </w:r>
          </w:p>
        </w:tc>
        <w:tc>
          <w:tcPr>
            <w:tcW w:w="999" w:type="dxa"/>
            <w:shd w:val="clear" w:color="auto" w:fill="C6EFCE"/>
          </w:tcPr>
          <w:p w14:paraId="0CA33ABE"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6D1152A7" w14:textId="77777777" w:rsidR="00D924EA" w:rsidRDefault="00011DE9">
            <w:pPr>
              <w:pStyle w:val="P68B1DB1-Normal23"/>
              <w:rPr>
                <w:rFonts w:cs="Times New Roman"/>
                <w:noProof/>
                <w:szCs w:val="18"/>
              </w:rPr>
            </w:pPr>
            <w:r>
              <w:rPr>
                <w:noProof/>
              </w:rPr>
              <w:t>Intrarea în vigoare a Legii privind dreptul la apărare</w:t>
            </w:r>
          </w:p>
        </w:tc>
        <w:tc>
          <w:tcPr>
            <w:tcW w:w="1409" w:type="dxa"/>
            <w:shd w:val="clear" w:color="auto" w:fill="C6EFCE"/>
          </w:tcPr>
          <w:p w14:paraId="4C9CC362" w14:textId="77777777" w:rsidR="00D924EA" w:rsidRDefault="00011DE9">
            <w:pPr>
              <w:pStyle w:val="P68B1DB1-Normal23"/>
              <w:jc w:val="center"/>
              <w:rPr>
                <w:rFonts w:cs="Times New Roman"/>
                <w:noProof/>
                <w:szCs w:val="18"/>
              </w:rPr>
            </w:pPr>
            <w:r>
              <w:rPr>
                <w:noProof/>
              </w:rPr>
              <w:t>Dispoziție legală care indică intrarea sa în vigoare</w:t>
            </w:r>
          </w:p>
        </w:tc>
        <w:tc>
          <w:tcPr>
            <w:tcW w:w="897" w:type="dxa"/>
            <w:shd w:val="clear" w:color="auto" w:fill="C6EFCE"/>
          </w:tcPr>
          <w:p w14:paraId="3500640A" w14:textId="77777777" w:rsidR="00D924EA" w:rsidRDefault="00D924EA">
            <w:pPr>
              <w:jc w:val="right"/>
              <w:rPr>
                <w:rFonts w:ascii="Times New Roman" w:hAnsi="Times New Roman" w:cs="Times New Roman"/>
                <w:noProof/>
                <w:sz w:val="18"/>
                <w:szCs w:val="18"/>
              </w:rPr>
            </w:pPr>
          </w:p>
        </w:tc>
        <w:tc>
          <w:tcPr>
            <w:tcW w:w="1133" w:type="dxa"/>
            <w:shd w:val="clear" w:color="auto" w:fill="C6EFCE"/>
          </w:tcPr>
          <w:p w14:paraId="6B0A9A83" w14:textId="77777777" w:rsidR="00D924EA" w:rsidRDefault="00D924EA">
            <w:pPr>
              <w:jc w:val="right"/>
              <w:rPr>
                <w:rFonts w:ascii="Times New Roman" w:hAnsi="Times New Roman" w:cs="Times New Roman"/>
                <w:noProof/>
                <w:sz w:val="18"/>
                <w:szCs w:val="18"/>
              </w:rPr>
            </w:pPr>
          </w:p>
        </w:tc>
        <w:tc>
          <w:tcPr>
            <w:tcW w:w="965" w:type="dxa"/>
            <w:shd w:val="clear" w:color="auto" w:fill="C6EFCE"/>
          </w:tcPr>
          <w:p w14:paraId="10D68D5A" w14:textId="77777777" w:rsidR="00D924EA" w:rsidRDefault="00D924EA">
            <w:pPr>
              <w:jc w:val="right"/>
              <w:rPr>
                <w:rFonts w:ascii="Times New Roman" w:hAnsi="Times New Roman" w:cs="Times New Roman"/>
                <w:noProof/>
                <w:sz w:val="18"/>
                <w:szCs w:val="18"/>
              </w:rPr>
            </w:pPr>
          </w:p>
        </w:tc>
        <w:tc>
          <w:tcPr>
            <w:tcW w:w="708" w:type="dxa"/>
            <w:shd w:val="clear" w:color="auto" w:fill="C6EFCE"/>
          </w:tcPr>
          <w:p w14:paraId="11F96F9E" w14:textId="67FFEFED" w:rsidR="00D924EA" w:rsidRDefault="005701C9">
            <w:pPr>
              <w:pStyle w:val="P68B1DB1-Normal23"/>
              <w:jc w:val="center"/>
              <w:rPr>
                <w:rFonts w:cs="Times New Roman"/>
                <w:noProof/>
                <w:szCs w:val="18"/>
              </w:rPr>
            </w:pPr>
            <w:r>
              <w:rPr>
                <w:noProof/>
              </w:rPr>
              <w:t>T2</w:t>
            </w:r>
          </w:p>
        </w:tc>
        <w:tc>
          <w:tcPr>
            <w:tcW w:w="709" w:type="dxa"/>
            <w:shd w:val="clear" w:color="auto" w:fill="C6EFCE"/>
          </w:tcPr>
          <w:p w14:paraId="293BC389" w14:textId="77777777" w:rsidR="00D924EA" w:rsidRDefault="00011DE9">
            <w:pPr>
              <w:pStyle w:val="P68B1DB1-Normal23"/>
              <w:jc w:val="center"/>
              <w:rPr>
                <w:rFonts w:cs="Times New Roman"/>
                <w:noProof/>
                <w:szCs w:val="18"/>
              </w:rPr>
            </w:pPr>
            <w:r>
              <w:rPr>
                <w:noProof/>
              </w:rPr>
              <w:t>2023</w:t>
            </w:r>
          </w:p>
        </w:tc>
        <w:tc>
          <w:tcPr>
            <w:tcW w:w="3573" w:type="dxa"/>
            <w:shd w:val="clear" w:color="auto" w:fill="C6EFCE"/>
          </w:tcPr>
          <w:p w14:paraId="74C92F04" w14:textId="77777777" w:rsidR="00D924EA" w:rsidRDefault="00011DE9">
            <w:pPr>
              <w:pStyle w:val="P68B1DB1-Normal23"/>
              <w:rPr>
                <w:rFonts w:cs="Times New Roman"/>
                <w:noProof/>
                <w:szCs w:val="18"/>
              </w:rPr>
            </w:pPr>
            <w:r>
              <w:rPr>
                <w:noProof/>
              </w:rPr>
              <w:t>Intrarea în vigoare a Legii privind dreptul la apărare pentru a dezvolta și a consolida dreptul fundamental la un proces echitabil.</w:t>
            </w:r>
          </w:p>
        </w:tc>
      </w:tr>
      <w:tr w:rsidR="00D924EA" w14:paraId="7F39AE5F" w14:textId="77777777" w:rsidTr="00C202D2">
        <w:trPr>
          <w:trHeight w:val="309"/>
          <w:jc w:val="center"/>
        </w:trPr>
        <w:tc>
          <w:tcPr>
            <w:tcW w:w="1195" w:type="dxa"/>
            <w:shd w:val="clear" w:color="auto" w:fill="C6EFCE"/>
          </w:tcPr>
          <w:p w14:paraId="3BCC3981" w14:textId="77777777" w:rsidR="00D924EA" w:rsidRDefault="00011DE9">
            <w:pPr>
              <w:pStyle w:val="P68B1DB1-Normal23"/>
              <w:jc w:val="center"/>
              <w:rPr>
                <w:rFonts w:cs="Times New Roman"/>
                <w:noProof/>
                <w:szCs w:val="18"/>
              </w:rPr>
            </w:pPr>
            <w:r>
              <w:rPr>
                <w:noProof/>
              </w:rPr>
              <w:t>153</w:t>
            </w:r>
          </w:p>
        </w:tc>
        <w:tc>
          <w:tcPr>
            <w:tcW w:w="1415" w:type="dxa"/>
            <w:shd w:val="clear" w:color="auto" w:fill="C6EFCE"/>
          </w:tcPr>
          <w:p w14:paraId="24C6DC70" w14:textId="77777777" w:rsidR="00D924EA" w:rsidRDefault="00011DE9">
            <w:pPr>
              <w:pStyle w:val="P68B1DB1-Normal23"/>
              <w:jc w:val="center"/>
              <w:rPr>
                <w:rFonts w:cs="Times New Roman"/>
                <w:noProof/>
                <w:szCs w:val="18"/>
              </w:rPr>
            </w:pPr>
            <w:r>
              <w:rPr>
                <w:noProof/>
              </w:rPr>
              <w:t>C11.R3</w:t>
            </w:r>
          </w:p>
        </w:tc>
        <w:tc>
          <w:tcPr>
            <w:tcW w:w="999" w:type="dxa"/>
            <w:shd w:val="clear" w:color="auto" w:fill="C6EFCE"/>
          </w:tcPr>
          <w:p w14:paraId="7C036E9B"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2AB719CF" w14:textId="77777777" w:rsidR="00D924EA" w:rsidRDefault="00011DE9">
            <w:pPr>
              <w:pStyle w:val="P68B1DB1-Normal23"/>
              <w:rPr>
                <w:rFonts w:cs="Times New Roman"/>
                <w:noProof/>
                <w:szCs w:val="18"/>
              </w:rPr>
            </w:pPr>
            <w:r>
              <w:rPr>
                <w:noProof/>
              </w:rPr>
              <w:t>Intrarea în vigoare a Decretului regal nr. 937/2020 privind reglementarea Caja General de Depósitos</w:t>
            </w:r>
          </w:p>
        </w:tc>
        <w:tc>
          <w:tcPr>
            <w:tcW w:w="1409" w:type="dxa"/>
            <w:shd w:val="clear" w:color="auto" w:fill="C6EFCE"/>
          </w:tcPr>
          <w:p w14:paraId="4D65EA72" w14:textId="77777777" w:rsidR="00D924EA" w:rsidRDefault="00011DE9">
            <w:pPr>
              <w:pStyle w:val="P68B1DB1-Normal23"/>
              <w:jc w:val="center"/>
              <w:rPr>
                <w:rFonts w:cs="Times New Roman"/>
                <w:noProof/>
                <w:szCs w:val="18"/>
              </w:rPr>
            </w:pPr>
            <w:r>
              <w:rPr>
                <w:noProof/>
              </w:rPr>
              <w:t>Dispoziție din decret care indică intrarea în vigoare a decretului</w:t>
            </w:r>
          </w:p>
        </w:tc>
        <w:tc>
          <w:tcPr>
            <w:tcW w:w="897" w:type="dxa"/>
            <w:shd w:val="clear" w:color="auto" w:fill="C6EFCE"/>
          </w:tcPr>
          <w:p w14:paraId="59E005DB"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024D98B9"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75E8B5D7"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7B94E1A1" w14:textId="21ADBE95" w:rsidR="00D924EA" w:rsidRDefault="005701C9">
            <w:pPr>
              <w:pStyle w:val="P68B1DB1-Normal23"/>
              <w:jc w:val="center"/>
              <w:rPr>
                <w:rFonts w:cs="Times New Roman"/>
                <w:noProof/>
                <w:szCs w:val="18"/>
              </w:rPr>
            </w:pPr>
            <w:r>
              <w:rPr>
                <w:noProof/>
              </w:rPr>
              <w:t>T4</w:t>
            </w:r>
          </w:p>
        </w:tc>
        <w:tc>
          <w:tcPr>
            <w:tcW w:w="709" w:type="dxa"/>
            <w:shd w:val="clear" w:color="auto" w:fill="C6EFCE"/>
          </w:tcPr>
          <w:p w14:paraId="19A0DD3E" w14:textId="77777777" w:rsidR="00D924EA" w:rsidRDefault="00011DE9">
            <w:pPr>
              <w:pStyle w:val="P68B1DB1-Normal23"/>
              <w:jc w:val="center"/>
              <w:rPr>
                <w:rFonts w:cs="Times New Roman"/>
                <w:noProof/>
                <w:szCs w:val="18"/>
              </w:rPr>
            </w:pPr>
            <w:r>
              <w:rPr>
                <w:noProof/>
              </w:rPr>
              <w:t>2020</w:t>
            </w:r>
          </w:p>
        </w:tc>
        <w:tc>
          <w:tcPr>
            <w:tcW w:w="3573" w:type="dxa"/>
            <w:shd w:val="clear" w:color="auto" w:fill="C6EFCE"/>
          </w:tcPr>
          <w:p w14:paraId="4B5461D3" w14:textId="77777777" w:rsidR="00D924EA" w:rsidRDefault="00011DE9">
            <w:pPr>
              <w:pStyle w:val="P68B1DB1-Normal23"/>
              <w:rPr>
                <w:rFonts w:cs="Times New Roman"/>
                <w:noProof/>
                <w:szCs w:val="18"/>
              </w:rPr>
            </w:pPr>
            <w:r>
              <w:rPr>
                <w:noProof/>
              </w:rPr>
              <w:t>Intrarea în vigoare a Decretului regal 937/2020 din 27 octombrie de aprobare a Regulamentului Caja General de Depósitos de punere în aplicare a gestionării digitale a garanțiilor și depozitelor oferite Caja, eliminând documentația fizică. Decretul regal actualizează procedura de constituire, anulare și executare a garanțiilor și a ratelor în numerar depuse la Caja. Aceasta promovează, de asemenea, punerea în aplicare a procedurilor electronice în Caja, prin definirea normelor și a canalelor de depunere a documentelor electronice, și oferă cadrul juridic necesar pentru digitalizarea procedurii.</w:t>
            </w:r>
          </w:p>
        </w:tc>
      </w:tr>
      <w:tr w:rsidR="00D924EA" w14:paraId="2AFE63C2" w14:textId="77777777" w:rsidTr="00C202D2">
        <w:trPr>
          <w:trHeight w:val="309"/>
          <w:jc w:val="center"/>
        </w:trPr>
        <w:tc>
          <w:tcPr>
            <w:tcW w:w="1195" w:type="dxa"/>
            <w:shd w:val="clear" w:color="auto" w:fill="C6EFCE"/>
          </w:tcPr>
          <w:p w14:paraId="62E360BB" w14:textId="77777777" w:rsidR="00D924EA" w:rsidRDefault="00011DE9">
            <w:pPr>
              <w:pStyle w:val="P68B1DB1-Normal23"/>
              <w:jc w:val="center"/>
              <w:rPr>
                <w:rFonts w:cs="Times New Roman"/>
                <w:noProof/>
                <w:szCs w:val="18"/>
              </w:rPr>
            </w:pPr>
            <w:r>
              <w:rPr>
                <w:noProof/>
              </w:rPr>
              <w:t>154</w:t>
            </w:r>
          </w:p>
        </w:tc>
        <w:tc>
          <w:tcPr>
            <w:tcW w:w="1415" w:type="dxa"/>
            <w:shd w:val="clear" w:color="auto" w:fill="C6EFCE"/>
          </w:tcPr>
          <w:p w14:paraId="4802C744" w14:textId="77777777" w:rsidR="00D924EA" w:rsidRDefault="00011DE9">
            <w:pPr>
              <w:pStyle w:val="P68B1DB1-Normal23"/>
              <w:jc w:val="center"/>
              <w:rPr>
                <w:rFonts w:cs="Times New Roman"/>
                <w:noProof/>
                <w:szCs w:val="18"/>
              </w:rPr>
            </w:pPr>
            <w:r>
              <w:rPr>
                <w:noProof/>
              </w:rPr>
              <w:t>C11.R3</w:t>
            </w:r>
          </w:p>
        </w:tc>
        <w:tc>
          <w:tcPr>
            <w:tcW w:w="999" w:type="dxa"/>
            <w:shd w:val="clear" w:color="auto" w:fill="C6EFCE"/>
          </w:tcPr>
          <w:p w14:paraId="2DA353AC"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6DCDAA66" w14:textId="77777777" w:rsidR="00D924EA" w:rsidRDefault="00011DE9">
            <w:pPr>
              <w:pStyle w:val="P68B1DB1-Normal23"/>
              <w:rPr>
                <w:rFonts w:cs="Times New Roman"/>
                <w:noProof/>
                <w:szCs w:val="18"/>
              </w:rPr>
            </w:pPr>
            <w:r>
              <w:rPr>
                <w:noProof/>
              </w:rPr>
              <w:t>Intrarea în vigoare a Decretului regal de aprobare a Regulamentului de punere în aplicare a Legii nr. 22/2015 din 20 iulie privind auditul conturilor</w:t>
            </w:r>
          </w:p>
        </w:tc>
        <w:tc>
          <w:tcPr>
            <w:tcW w:w="1409" w:type="dxa"/>
            <w:shd w:val="clear" w:color="auto" w:fill="C6EFCE"/>
          </w:tcPr>
          <w:p w14:paraId="060EFEBF" w14:textId="77777777" w:rsidR="00D924EA" w:rsidRDefault="00011DE9">
            <w:pPr>
              <w:pStyle w:val="P68B1DB1-Normal23"/>
              <w:jc w:val="center"/>
              <w:rPr>
                <w:rFonts w:cs="Times New Roman"/>
                <w:noProof/>
                <w:szCs w:val="18"/>
              </w:rPr>
            </w:pPr>
            <w:r>
              <w:rPr>
                <w:noProof/>
              </w:rPr>
              <w:t>Dispoziție din decretul regal care indică intrarea în vigoare a decretului regal</w:t>
            </w:r>
          </w:p>
        </w:tc>
        <w:tc>
          <w:tcPr>
            <w:tcW w:w="897" w:type="dxa"/>
            <w:shd w:val="clear" w:color="auto" w:fill="C6EFCE"/>
          </w:tcPr>
          <w:p w14:paraId="084FAA40"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734309F3"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6DE1B206"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06778F0A" w14:textId="6C27B77C" w:rsidR="00D924EA" w:rsidRDefault="003010A3">
            <w:pPr>
              <w:pStyle w:val="P68B1DB1-Normal23"/>
              <w:jc w:val="center"/>
              <w:rPr>
                <w:rFonts w:cs="Times New Roman"/>
                <w:noProof/>
                <w:szCs w:val="18"/>
              </w:rPr>
            </w:pPr>
            <w:r>
              <w:rPr>
                <w:noProof/>
              </w:rPr>
              <w:t>T1</w:t>
            </w:r>
          </w:p>
        </w:tc>
        <w:tc>
          <w:tcPr>
            <w:tcW w:w="709" w:type="dxa"/>
            <w:shd w:val="clear" w:color="auto" w:fill="C6EFCE"/>
          </w:tcPr>
          <w:p w14:paraId="33B713AD" w14:textId="77777777" w:rsidR="00D924EA" w:rsidRDefault="00011DE9">
            <w:pPr>
              <w:pStyle w:val="P68B1DB1-Normal23"/>
              <w:jc w:val="center"/>
              <w:rPr>
                <w:rFonts w:cs="Times New Roman"/>
                <w:noProof/>
                <w:szCs w:val="18"/>
              </w:rPr>
            </w:pPr>
            <w:r>
              <w:rPr>
                <w:noProof/>
              </w:rPr>
              <w:t>2021</w:t>
            </w:r>
          </w:p>
        </w:tc>
        <w:tc>
          <w:tcPr>
            <w:tcW w:w="3573" w:type="dxa"/>
            <w:shd w:val="clear" w:color="auto" w:fill="C6EFCE"/>
          </w:tcPr>
          <w:p w14:paraId="117AB1A9" w14:textId="77777777" w:rsidR="00D924EA" w:rsidRDefault="00011DE9">
            <w:pPr>
              <w:pStyle w:val="P68B1DB1-Normal23"/>
              <w:rPr>
                <w:rFonts w:cs="Times New Roman"/>
                <w:noProof/>
                <w:szCs w:val="18"/>
              </w:rPr>
            </w:pPr>
            <w:r>
              <w:rPr>
                <w:noProof/>
              </w:rPr>
              <w:t>Intrarea în vigoare a Decretului regal de aprobare a Regulamentului de punere în aplicare a Legii nr. 22/2015 din 20 iulie 2015 privind auditul conturilor. Această reformă are obiectivul de a oferi cadrului juridic pentru activitatea de audit o mai mare securitate juridică, astfel încât să se atingă un nivel adecvat de calitate a activității de audit. Auditorii, firmele de audit și toate subiectele vizate de prezentul regulament beneficiază, prin urmare, de o mai mare garanție și securitate atunci când interpretează și aplică dispozițiile incluse în Legea privind auditul, ceea ce conduce, în același timp, la o mai bună efectuare a auditurilor, precum și la îndeplinirea obligațiilor prevăzute în legislație.</w:t>
            </w:r>
          </w:p>
        </w:tc>
      </w:tr>
      <w:tr w:rsidR="00D924EA" w14:paraId="5BC707D0" w14:textId="77777777" w:rsidTr="00C202D2">
        <w:trPr>
          <w:trHeight w:val="309"/>
          <w:jc w:val="center"/>
        </w:trPr>
        <w:tc>
          <w:tcPr>
            <w:tcW w:w="1195" w:type="dxa"/>
            <w:shd w:val="clear" w:color="auto" w:fill="C6EFCE"/>
          </w:tcPr>
          <w:p w14:paraId="7C45C843" w14:textId="77777777" w:rsidR="00D924EA" w:rsidRDefault="00011DE9">
            <w:pPr>
              <w:pStyle w:val="P68B1DB1-Normal23"/>
              <w:jc w:val="center"/>
              <w:rPr>
                <w:rFonts w:cs="Times New Roman"/>
                <w:noProof/>
                <w:szCs w:val="18"/>
              </w:rPr>
            </w:pPr>
            <w:r>
              <w:rPr>
                <w:noProof/>
              </w:rPr>
              <w:t>437</w:t>
            </w:r>
          </w:p>
        </w:tc>
        <w:tc>
          <w:tcPr>
            <w:tcW w:w="1415" w:type="dxa"/>
            <w:shd w:val="clear" w:color="auto" w:fill="C6EFCE"/>
          </w:tcPr>
          <w:p w14:paraId="1C20BAC9" w14:textId="77777777" w:rsidR="00D924EA" w:rsidRDefault="00011DE9">
            <w:pPr>
              <w:pStyle w:val="P68B1DB1-Normal23"/>
              <w:jc w:val="center"/>
              <w:rPr>
                <w:rFonts w:cs="Times New Roman"/>
                <w:noProof/>
                <w:szCs w:val="18"/>
              </w:rPr>
            </w:pPr>
            <w:r>
              <w:rPr>
                <w:noProof/>
              </w:rPr>
              <w:t>C11.R3</w:t>
            </w:r>
          </w:p>
        </w:tc>
        <w:tc>
          <w:tcPr>
            <w:tcW w:w="999" w:type="dxa"/>
            <w:shd w:val="clear" w:color="auto" w:fill="C6EFCE"/>
          </w:tcPr>
          <w:p w14:paraId="2EAA8205"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5E4ABADA" w14:textId="77777777" w:rsidR="00D924EA" w:rsidRDefault="00011DE9">
            <w:pPr>
              <w:pStyle w:val="P68B1DB1-Normal23"/>
              <w:rPr>
                <w:rFonts w:cs="Times New Roman"/>
                <w:noProof/>
                <w:szCs w:val="18"/>
              </w:rPr>
            </w:pPr>
            <w:r>
              <w:rPr>
                <w:noProof/>
              </w:rPr>
              <w:t>Publicarea Raportului bienal privind riscurile legate de schimbările climatice pentru sistemul financiar și crearea Consiliului pentru finanțarea durabilă</w:t>
            </w:r>
          </w:p>
        </w:tc>
        <w:tc>
          <w:tcPr>
            <w:tcW w:w="1409" w:type="dxa"/>
            <w:shd w:val="clear" w:color="auto" w:fill="C6EFCE"/>
          </w:tcPr>
          <w:p w14:paraId="73EF3082" w14:textId="77777777" w:rsidR="00D924EA" w:rsidRDefault="00011DE9">
            <w:pPr>
              <w:pStyle w:val="P68B1DB1-Normal23"/>
              <w:jc w:val="center"/>
              <w:rPr>
                <w:rFonts w:cs="Times New Roman"/>
                <w:noProof/>
                <w:szCs w:val="18"/>
              </w:rPr>
            </w:pPr>
            <w:r>
              <w:rPr>
                <w:noProof/>
              </w:rPr>
              <w:t>Publicarea raportului și a planului de acțiune pentru Consiliu</w:t>
            </w:r>
          </w:p>
        </w:tc>
        <w:tc>
          <w:tcPr>
            <w:tcW w:w="897" w:type="dxa"/>
            <w:shd w:val="clear" w:color="auto" w:fill="C6EFCE"/>
          </w:tcPr>
          <w:p w14:paraId="3A24D9F9" w14:textId="77777777" w:rsidR="00D924EA" w:rsidRDefault="00D924EA">
            <w:pPr>
              <w:jc w:val="right"/>
              <w:rPr>
                <w:rFonts w:ascii="Times New Roman" w:hAnsi="Times New Roman" w:cs="Times New Roman"/>
                <w:noProof/>
                <w:sz w:val="18"/>
                <w:szCs w:val="18"/>
              </w:rPr>
            </w:pPr>
          </w:p>
        </w:tc>
        <w:tc>
          <w:tcPr>
            <w:tcW w:w="1133" w:type="dxa"/>
            <w:shd w:val="clear" w:color="auto" w:fill="C6EFCE"/>
          </w:tcPr>
          <w:p w14:paraId="32CAEAEB" w14:textId="77777777" w:rsidR="00D924EA" w:rsidRDefault="00D924EA">
            <w:pPr>
              <w:jc w:val="right"/>
              <w:rPr>
                <w:rFonts w:ascii="Times New Roman" w:hAnsi="Times New Roman" w:cs="Times New Roman"/>
                <w:noProof/>
                <w:sz w:val="18"/>
                <w:szCs w:val="18"/>
              </w:rPr>
            </w:pPr>
          </w:p>
        </w:tc>
        <w:tc>
          <w:tcPr>
            <w:tcW w:w="965" w:type="dxa"/>
            <w:shd w:val="clear" w:color="auto" w:fill="C6EFCE"/>
          </w:tcPr>
          <w:p w14:paraId="2DA2FB76" w14:textId="77777777" w:rsidR="00D924EA" w:rsidRDefault="00D924EA">
            <w:pPr>
              <w:jc w:val="right"/>
              <w:rPr>
                <w:rFonts w:ascii="Times New Roman" w:hAnsi="Times New Roman" w:cs="Times New Roman"/>
                <w:noProof/>
                <w:sz w:val="18"/>
                <w:szCs w:val="18"/>
              </w:rPr>
            </w:pPr>
          </w:p>
        </w:tc>
        <w:tc>
          <w:tcPr>
            <w:tcW w:w="708" w:type="dxa"/>
            <w:shd w:val="clear" w:color="auto" w:fill="C6EFCE"/>
          </w:tcPr>
          <w:p w14:paraId="60959949" w14:textId="17E4A29E" w:rsidR="00D924EA" w:rsidRDefault="005701C9">
            <w:pPr>
              <w:pStyle w:val="P68B1DB1-Normal23"/>
              <w:jc w:val="center"/>
              <w:rPr>
                <w:rFonts w:cs="Times New Roman"/>
                <w:noProof/>
                <w:szCs w:val="18"/>
              </w:rPr>
            </w:pPr>
            <w:r>
              <w:rPr>
                <w:noProof/>
              </w:rPr>
              <w:t>T2</w:t>
            </w:r>
          </w:p>
        </w:tc>
        <w:tc>
          <w:tcPr>
            <w:tcW w:w="709" w:type="dxa"/>
            <w:shd w:val="clear" w:color="auto" w:fill="C6EFCE"/>
          </w:tcPr>
          <w:p w14:paraId="662660EE" w14:textId="77777777" w:rsidR="00D924EA" w:rsidRDefault="00011DE9">
            <w:pPr>
              <w:pStyle w:val="P68B1DB1-Normal23"/>
              <w:jc w:val="center"/>
              <w:rPr>
                <w:rFonts w:cs="Times New Roman"/>
                <w:noProof/>
                <w:szCs w:val="18"/>
              </w:rPr>
            </w:pPr>
            <w:r>
              <w:rPr>
                <w:noProof/>
              </w:rPr>
              <w:t>2023</w:t>
            </w:r>
          </w:p>
        </w:tc>
        <w:tc>
          <w:tcPr>
            <w:tcW w:w="3573" w:type="dxa"/>
            <w:shd w:val="clear" w:color="auto" w:fill="C6EFCE"/>
          </w:tcPr>
          <w:p w14:paraId="69617B60" w14:textId="77777777" w:rsidR="00D924EA" w:rsidRDefault="00011DE9">
            <w:pPr>
              <w:pStyle w:val="P68B1DB1-Normal23"/>
              <w:rPr>
                <w:rFonts w:cs="Times New Roman"/>
                <w:noProof/>
                <w:szCs w:val="18"/>
              </w:rPr>
            </w:pPr>
            <w:r>
              <w:rPr>
                <w:noProof/>
              </w:rPr>
              <w:t>Autoritățile publică o carte verde pentru promovarea finanțării durabile. În plus, trebuie finalizate următoarele două măsuri: I) publicarea pe site-ul web al Consiliului pentru Stabilitate Financiară al Autorității macroprudențiale (AMCESFI) a primei ediții a Raportului bienal privind riscurile legate de schimbările climatice pentru sistemul financiar, în conformitate cu articolul 33 din Legea nr. 7/2021 din 20 mai privind schimbările climatice și tranziția energetică; și ii) crearea și intrarea în funcțiune a unui Consiliu pentru finanțe sustenabile (care să includă reprezentanți ai administrației publice, ai autorităților de supraveghere financiară și ai sectorului privat) ca forum de promovare a colaborării dintre sectorul public și cel privat în domeniul finanțării durabile. În cadrul primei sale reuniuni, Consiliul aprobă un plan de acțiune, cu un calendar și rezultate preconizate.</w:t>
            </w:r>
          </w:p>
        </w:tc>
      </w:tr>
      <w:tr w:rsidR="00D924EA" w14:paraId="2A2AAB67" w14:textId="77777777" w:rsidTr="00C202D2">
        <w:trPr>
          <w:trHeight w:val="309"/>
          <w:jc w:val="center"/>
        </w:trPr>
        <w:tc>
          <w:tcPr>
            <w:tcW w:w="1195" w:type="dxa"/>
            <w:shd w:val="clear" w:color="auto" w:fill="C6EFCE"/>
          </w:tcPr>
          <w:p w14:paraId="761483D2" w14:textId="77777777" w:rsidR="00D924EA" w:rsidRDefault="00011DE9">
            <w:pPr>
              <w:pStyle w:val="P68B1DB1-Normal23"/>
              <w:jc w:val="center"/>
              <w:rPr>
                <w:rFonts w:cs="Times New Roman"/>
                <w:noProof/>
                <w:szCs w:val="18"/>
              </w:rPr>
            </w:pPr>
            <w:r>
              <w:rPr>
                <w:noProof/>
              </w:rPr>
              <w:t>155</w:t>
            </w:r>
          </w:p>
        </w:tc>
        <w:tc>
          <w:tcPr>
            <w:tcW w:w="1415" w:type="dxa"/>
            <w:shd w:val="clear" w:color="auto" w:fill="C6EFCE"/>
          </w:tcPr>
          <w:p w14:paraId="0C12084D" w14:textId="77777777" w:rsidR="00D924EA" w:rsidRDefault="00011DE9">
            <w:pPr>
              <w:pStyle w:val="P68B1DB1-Normal23"/>
              <w:jc w:val="center"/>
              <w:rPr>
                <w:rFonts w:cs="Times New Roman"/>
                <w:noProof/>
                <w:szCs w:val="18"/>
              </w:rPr>
            </w:pPr>
            <w:r>
              <w:rPr>
                <w:noProof/>
              </w:rPr>
              <w:t>C11.R4</w:t>
            </w:r>
          </w:p>
        </w:tc>
        <w:tc>
          <w:tcPr>
            <w:tcW w:w="999" w:type="dxa"/>
            <w:shd w:val="clear" w:color="auto" w:fill="C6EFCE"/>
          </w:tcPr>
          <w:p w14:paraId="2AD532F0"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500FE72B" w14:textId="77777777" w:rsidR="00D924EA" w:rsidRDefault="00011DE9">
            <w:pPr>
              <w:pStyle w:val="P68B1DB1-Normal23"/>
              <w:rPr>
                <w:rFonts w:cs="Times New Roman"/>
                <w:noProof/>
                <w:szCs w:val="18"/>
              </w:rPr>
            </w:pPr>
            <w:r>
              <w:rPr>
                <w:noProof/>
              </w:rPr>
              <w:t xml:space="preserve">Intrarea în vigoare a ordinului ministerial de înființare a Oficiului Național de Evaluare </w:t>
            </w:r>
          </w:p>
        </w:tc>
        <w:tc>
          <w:tcPr>
            <w:tcW w:w="1409" w:type="dxa"/>
            <w:shd w:val="clear" w:color="auto" w:fill="C6EFCE"/>
          </w:tcPr>
          <w:p w14:paraId="0D244F7D" w14:textId="77777777" w:rsidR="00D924EA" w:rsidRDefault="00011DE9">
            <w:pPr>
              <w:pStyle w:val="P68B1DB1-Normal23"/>
              <w:jc w:val="center"/>
              <w:rPr>
                <w:rFonts w:cs="Times New Roman"/>
                <w:noProof/>
                <w:szCs w:val="18"/>
              </w:rPr>
            </w:pPr>
            <w:r>
              <w:rPr>
                <w:noProof/>
              </w:rPr>
              <w:t xml:space="preserve">Dispoziție din ordinul ministerial care indică intrarea în vigoare a ordinului </w:t>
            </w:r>
          </w:p>
        </w:tc>
        <w:tc>
          <w:tcPr>
            <w:tcW w:w="897" w:type="dxa"/>
            <w:shd w:val="clear" w:color="auto" w:fill="C6EFCE"/>
          </w:tcPr>
          <w:p w14:paraId="450A3358"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33609501"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1B411FA2"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2C673C48" w14:textId="268B9776" w:rsidR="00D924EA" w:rsidRDefault="005701C9">
            <w:pPr>
              <w:pStyle w:val="P68B1DB1-Normal23"/>
              <w:jc w:val="center"/>
              <w:rPr>
                <w:rFonts w:cs="Times New Roman"/>
                <w:noProof/>
                <w:szCs w:val="18"/>
              </w:rPr>
            </w:pPr>
            <w:r>
              <w:rPr>
                <w:noProof/>
              </w:rPr>
              <w:t>T4</w:t>
            </w:r>
          </w:p>
        </w:tc>
        <w:tc>
          <w:tcPr>
            <w:tcW w:w="709" w:type="dxa"/>
            <w:shd w:val="clear" w:color="auto" w:fill="C6EFCE"/>
          </w:tcPr>
          <w:p w14:paraId="0F805300" w14:textId="77777777" w:rsidR="00D924EA" w:rsidRDefault="00011DE9">
            <w:pPr>
              <w:pStyle w:val="P68B1DB1-Normal23"/>
              <w:jc w:val="center"/>
              <w:rPr>
                <w:rFonts w:cs="Times New Roman"/>
                <w:noProof/>
                <w:szCs w:val="18"/>
              </w:rPr>
            </w:pPr>
            <w:r>
              <w:rPr>
                <w:noProof/>
              </w:rPr>
              <w:t>2021</w:t>
            </w:r>
          </w:p>
        </w:tc>
        <w:tc>
          <w:tcPr>
            <w:tcW w:w="3573" w:type="dxa"/>
            <w:shd w:val="clear" w:color="auto" w:fill="C6EFCE"/>
          </w:tcPr>
          <w:p w14:paraId="48FCED5C" w14:textId="77777777" w:rsidR="00D924EA" w:rsidRDefault="00011DE9">
            <w:pPr>
              <w:pStyle w:val="P68B1DB1-Normal23"/>
              <w:rPr>
                <w:rFonts w:cs="Times New Roman"/>
                <w:noProof/>
                <w:szCs w:val="18"/>
              </w:rPr>
            </w:pPr>
            <w:r>
              <w:rPr>
                <w:noProof/>
              </w:rPr>
              <w:t>Intrarea în vigoare a ordinului ministerial de instituire a Oficiului Național de Evaluare (</w:t>
            </w:r>
            <w:r>
              <w:rPr>
                <w:i/>
                <w:noProof/>
              </w:rPr>
              <w:t>Oficina Nacional de Evaluación</w:t>
            </w:r>
            <w:r>
              <w:rPr>
                <w:noProof/>
              </w:rPr>
              <w:t>) în cadrul Oficiului Independent pentru Reglementarea și Supravegherea Achizițiilor Publice (OIReScon). În conformitate cu articolul 333 din Legea nr. 9/2017 privind achizițiile publice, acest oficiu evaluează sustenabilitatea financiară a contractelor de concesiune, astfel cum este definită la articolele 14 și 15 din Legea nr. 9/2017 privind achizițiile publice. Ordinul ministerial conferă Oficiului capacitatea și mijloacele necesare pentru a-și exercita funcțiile.</w:t>
            </w:r>
          </w:p>
        </w:tc>
      </w:tr>
      <w:tr w:rsidR="00D924EA" w14:paraId="28222D6A" w14:textId="77777777" w:rsidTr="00C202D2">
        <w:trPr>
          <w:trHeight w:val="309"/>
          <w:jc w:val="center"/>
        </w:trPr>
        <w:tc>
          <w:tcPr>
            <w:tcW w:w="1195" w:type="dxa"/>
            <w:shd w:val="clear" w:color="auto" w:fill="C6EFCE"/>
          </w:tcPr>
          <w:p w14:paraId="41FE651C" w14:textId="77777777" w:rsidR="00D924EA" w:rsidRDefault="00011DE9">
            <w:pPr>
              <w:pStyle w:val="P68B1DB1-Normal23"/>
              <w:jc w:val="center"/>
              <w:rPr>
                <w:rFonts w:cs="Times New Roman"/>
                <w:noProof/>
                <w:szCs w:val="18"/>
              </w:rPr>
            </w:pPr>
            <w:r>
              <w:rPr>
                <w:noProof/>
              </w:rPr>
              <w:t>156</w:t>
            </w:r>
          </w:p>
        </w:tc>
        <w:tc>
          <w:tcPr>
            <w:tcW w:w="1415" w:type="dxa"/>
            <w:shd w:val="clear" w:color="auto" w:fill="C6EFCE"/>
          </w:tcPr>
          <w:p w14:paraId="5779C314" w14:textId="77777777" w:rsidR="00D924EA" w:rsidRDefault="00011DE9">
            <w:pPr>
              <w:pStyle w:val="P68B1DB1-Normal23"/>
              <w:jc w:val="center"/>
              <w:rPr>
                <w:rFonts w:cs="Times New Roman"/>
                <w:noProof/>
                <w:szCs w:val="18"/>
              </w:rPr>
            </w:pPr>
            <w:r>
              <w:rPr>
                <w:noProof/>
              </w:rPr>
              <w:t>C11.R4</w:t>
            </w:r>
          </w:p>
        </w:tc>
        <w:tc>
          <w:tcPr>
            <w:tcW w:w="999" w:type="dxa"/>
            <w:shd w:val="clear" w:color="auto" w:fill="C6EFCE"/>
          </w:tcPr>
          <w:p w14:paraId="753DC349"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5D79AC5F" w14:textId="77777777" w:rsidR="00D924EA" w:rsidRDefault="00011DE9">
            <w:pPr>
              <w:pStyle w:val="P68B1DB1-Normal23"/>
              <w:rPr>
                <w:rFonts w:cs="Times New Roman"/>
                <w:noProof/>
                <w:szCs w:val="18"/>
              </w:rPr>
            </w:pPr>
            <w:r>
              <w:rPr>
                <w:noProof/>
              </w:rPr>
              <w:t>Strategia națională privind achizițiile publice</w:t>
            </w:r>
          </w:p>
        </w:tc>
        <w:tc>
          <w:tcPr>
            <w:tcW w:w="1409" w:type="dxa"/>
            <w:shd w:val="clear" w:color="auto" w:fill="C6EFCE"/>
          </w:tcPr>
          <w:p w14:paraId="1FD6A53C" w14:textId="77777777" w:rsidR="00D924EA" w:rsidRDefault="00011DE9">
            <w:pPr>
              <w:pStyle w:val="P68B1DB1-Normal23"/>
              <w:jc w:val="center"/>
              <w:rPr>
                <w:rFonts w:cs="Times New Roman"/>
                <w:noProof/>
                <w:szCs w:val="18"/>
              </w:rPr>
            </w:pPr>
            <w:r>
              <w:rPr>
                <w:noProof/>
              </w:rPr>
              <w:t>Adoptarea de către Biroul independent pentru reglementarea și supravegherea achizițiilor publice a strategiei naționale de achiziții publice</w:t>
            </w:r>
          </w:p>
        </w:tc>
        <w:tc>
          <w:tcPr>
            <w:tcW w:w="897" w:type="dxa"/>
            <w:shd w:val="clear" w:color="auto" w:fill="C6EFCE"/>
          </w:tcPr>
          <w:p w14:paraId="088DB7C8"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3FD023FC"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2F015A75"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61F80129" w14:textId="73C6DF00" w:rsidR="00D924EA" w:rsidRDefault="005701C9">
            <w:pPr>
              <w:pStyle w:val="P68B1DB1-Normal23"/>
              <w:jc w:val="center"/>
              <w:rPr>
                <w:rFonts w:cs="Times New Roman"/>
                <w:noProof/>
                <w:szCs w:val="18"/>
              </w:rPr>
            </w:pPr>
            <w:r>
              <w:rPr>
                <w:noProof/>
              </w:rPr>
              <w:t>T4</w:t>
            </w:r>
          </w:p>
        </w:tc>
        <w:tc>
          <w:tcPr>
            <w:tcW w:w="709" w:type="dxa"/>
            <w:shd w:val="clear" w:color="auto" w:fill="C6EFCE"/>
          </w:tcPr>
          <w:p w14:paraId="025166C1" w14:textId="77777777" w:rsidR="00D924EA" w:rsidRDefault="00011DE9">
            <w:pPr>
              <w:pStyle w:val="P68B1DB1-Normal23"/>
              <w:jc w:val="center"/>
              <w:rPr>
                <w:rFonts w:cs="Times New Roman"/>
                <w:noProof/>
                <w:szCs w:val="18"/>
              </w:rPr>
            </w:pPr>
            <w:r>
              <w:rPr>
                <w:noProof/>
              </w:rPr>
              <w:t>2022</w:t>
            </w:r>
          </w:p>
        </w:tc>
        <w:tc>
          <w:tcPr>
            <w:tcW w:w="3573" w:type="dxa"/>
            <w:shd w:val="clear" w:color="auto" w:fill="C6EFCE"/>
          </w:tcPr>
          <w:p w14:paraId="07DF99F6" w14:textId="77777777" w:rsidR="00D924EA" w:rsidRDefault="00011DE9">
            <w:pPr>
              <w:pStyle w:val="P68B1DB1-Normal23"/>
              <w:rPr>
                <w:rFonts w:cs="Times New Roman"/>
                <w:noProof/>
                <w:szCs w:val="18"/>
              </w:rPr>
            </w:pPr>
            <w:r>
              <w:rPr>
                <w:noProof/>
              </w:rPr>
              <w:t xml:space="preserve">În conformitate cu cerințele prevăzute la articolul 334 din Legea nr. 9/2017, strategia națională de achiziții publice are ca obiective îmbunătățirea eficienței și sustenabilității achizițiilor publice. Strategia include următoarele elemente: (I) promovarea achizițiilor publice strategice; (II) profesionalizarea; (III) facilitarea accesului IMM-urilor la achizițiile publice; (IV) îmbunătățirea datelor disponibile; (V) promovarea eficienței în achizițiile publice; (VI) transformarea digitală deplină a achizițiilor publice; (VII) consolidarea securității juridice; (VIII) îmbunătățirea supravegherii și a controlului achizițiilor publice, inclusiv prevenirea corupției, pe baza unei hărți a riscurilor identificate. </w:t>
            </w:r>
          </w:p>
        </w:tc>
      </w:tr>
      <w:tr w:rsidR="00D924EA" w14:paraId="1054B136" w14:textId="77777777" w:rsidTr="00C202D2">
        <w:trPr>
          <w:trHeight w:val="309"/>
          <w:jc w:val="center"/>
        </w:trPr>
        <w:tc>
          <w:tcPr>
            <w:tcW w:w="1195" w:type="dxa"/>
            <w:shd w:val="clear" w:color="auto" w:fill="C6EFCE"/>
          </w:tcPr>
          <w:p w14:paraId="42350B13" w14:textId="77777777" w:rsidR="00D924EA" w:rsidRDefault="00011DE9">
            <w:pPr>
              <w:pStyle w:val="P68B1DB1-Normal23"/>
              <w:jc w:val="center"/>
              <w:rPr>
                <w:rFonts w:cs="Times New Roman"/>
                <w:noProof/>
                <w:szCs w:val="18"/>
              </w:rPr>
            </w:pPr>
            <w:r>
              <w:rPr>
                <w:noProof/>
              </w:rPr>
              <w:t>157</w:t>
            </w:r>
          </w:p>
        </w:tc>
        <w:tc>
          <w:tcPr>
            <w:tcW w:w="1415" w:type="dxa"/>
            <w:shd w:val="clear" w:color="auto" w:fill="C6EFCE"/>
          </w:tcPr>
          <w:p w14:paraId="07F69EC0" w14:textId="77777777" w:rsidR="00D924EA" w:rsidRDefault="00011DE9">
            <w:pPr>
              <w:pStyle w:val="P68B1DB1-Normal23"/>
              <w:jc w:val="center"/>
              <w:rPr>
                <w:rFonts w:cs="Times New Roman"/>
                <w:noProof/>
                <w:szCs w:val="18"/>
              </w:rPr>
            </w:pPr>
            <w:r>
              <w:rPr>
                <w:noProof/>
              </w:rPr>
              <w:t>C11.R5</w:t>
            </w:r>
          </w:p>
        </w:tc>
        <w:tc>
          <w:tcPr>
            <w:tcW w:w="999" w:type="dxa"/>
            <w:shd w:val="clear" w:color="auto" w:fill="C6EFCE"/>
          </w:tcPr>
          <w:p w14:paraId="1B34E872"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57C615D5" w14:textId="77777777" w:rsidR="00D924EA" w:rsidRDefault="00011DE9">
            <w:pPr>
              <w:pStyle w:val="P68B1DB1-Normal23"/>
              <w:rPr>
                <w:rFonts w:cs="Times New Roman"/>
                <w:noProof/>
                <w:szCs w:val="18"/>
              </w:rPr>
            </w:pPr>
            <w:r>
              <w:rPr>
                <w:noProof/>
              </w:rPr>
              <w:t>Intrarea în vigoare a Decretului-lege regal nr. 36/2020 privind punerea în aplicare a planului de redresare, transformare și reziliență</w:t>
            </w:r>
          </w:p>
        </w:tc>
        <w:tc>
          <w:tcPr>
            <w:tcW w:w="1409" w:type="dxa"/>
            <w:shd w:val="clear" w:color="auto" w:fill="C6EFCE"/>
          </w:tcPr>
          <w:p w14:paraId="654083F6" w14:textId="77777777" w:rsidR="00D924EA" w:rsidRDefault="00011DE9">
            <w:pPr>
              <w:pStyle w:val="P68B1DB1-Normal23"/>
              <w:jc w:val="center"/>
              <w:rPr>
                <w:rFonts w:cs="Times New Roman"/>
                <w:noProof/>
                <w:szCs w:val="18"/>
              </w:rPr>
            </w:pPr>
            <w:r>
              <w:rPr>
                <w:noProof/>
              </w:rPr>
              <w:t>Dispoziție din decretul regal care indică intrarea în vigoare a decretului regal</w:t>
            </w:r>
          </w:p>
        </w:tc>
        <w:tc>
          <w:tcPr>
            <w:tcW w:w="897" w:type="dxa"/>
            <w:shd w:val="clear" w:color="auto" w:fill="C6EFCE"/>
          </w:tcPr>
          <w:p w14:paraId="771370AC"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3FD65D70"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1DCB5B58"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1D7C07A7" w14:textId="68FD7B57" w:rsidR="00D924EA" w:rsidRDefault="003010A3">
            <w:pPr>
              <w:pStyle w:val="P68B1DB1-Normal23"/>
              <w:jc w:val="center"/>
              <w:rPr>
                <w:rFonts w:cs="Times New Roman"/>
                <w:noProof/>
                <w:szCs w:val="18"/>
              </w:rPr>
            </w:pPr>
            <w:r>
              <w:rPr>
                <w:noProof/>
              </w:rPr>
              <w:t>T1</w:t>
            </w:r>
          </w:p>
        </w:tc>
        <w:tc>
          <w:tcPr>
            <w:tcW w:w="709" w:type="dxa"/>
            <w:shd w:val="clear" w:color="auto" w:fill="C6EFCE"/>
          </w:tcPr>
          <w:p w14:paraId="3A3E4C7D" w14:textId="77777777" w:rsidR="00D924EA" w:rsidRDefault="00011DE9">
            <w:pPr>
              <w:pStyle w:val="P68B1DB1-Normal23"/>
              <w:jc w:val="center"/>
              <w:rPr>
                <w:rFonts w:cs="Times New Roman"/>
                <w:noProof/>
                <w:szCs w:val="18"/>
              </w:rPr>
            </w:pPr>
            <w:r>
              <w:rPr>
                <w:noProof/>
              </w:rPr>
              <w:t>2021</w:t>
            </w:r>
          </w:p>
        </w:tc>
        <w:tc>
          <w:tcPr>
            <w:tcW w:w="3573" w:type="dxa"/>
            <w:shd w:val="clear" w:color="auto" w:fill="C6EFCE"/>
          </w:tcPr>
          <w:p w14:paraId="03092171" w14:textId="77777777" w:rsidR="00D924EA" w:rsidRDefault="00011DE9">
            <w:pPr>
              <w:pStyle w:val="P68B1DB1-Normal23"/>
              <w:rPr>
                <w:rFonts w:cs="Times New Roman"/>
                <w:noProof/>
                <w:szCs w:val="18"/>
              </w:rPr>
            </w:pPr>
            <w:r>
              <w:rPr>
                <w:noProof/>
              </w:rPr>
              <w:t>Intrarea în vigoare a Decretului-lege regal nr. 36/2020 din 30 decembrie de aprobare a unor măsuri urgente pentru modernizarea administrației publice și pentru punerea în aplicare a planului de redresare și reziliență al Spaniei, dotând administrațiile publice din Spania cu mijloacele, inclusiv cu instrumentele juridice, necesare pentru a pune în aplicare planul de redresare și reziliență, în timp util și în conformitate cu dreptul UE, inclusiv cu Regulamentul privind MRR. Decretul-lege regal introduce reforme în materie de reglementare care accelerează punerea în aplicare a proiectelor și permit o mai mare eficiență a cheltuielilor publice, menținând în permanență garanțiile și controalele impuse de cadrul de reglementare al UE.</w:t>
            </w:r>
          </w:p>
        </w:tc>
      </w:tr>
      <w:tr w:rsidR="00D924EA" w14:paraId="3B6036B8" w14:textId="77777777" w:rsidTr="00C202D2">
        <w:trPr>
          <w:trHeight w:val="309"/>
          <w:jc w:val="center"/>
        </w:trPr>
        <w:tc>
          <w:tcPr>
            <w:tcW w:w="1195" w:type="dxa"/>
            <w:shd w:val="clear" w:color="auto" w:fill="C6EFCE"/>
          </w:tcPr>
          <w:p w14:paraId="1C1F3133" w14:textId="77777777" w:rsidR="00D924EA" w:rsidRDefault="00011DE9">
            <w:pPr>
              <w:pStyle w:val="P68B1DB1-Normal23"/>
              <w:jc w:val="center"/>
              <w:rPr>
                <w:rFonts w:cs="Times New Roman"/>
                <w:noProof/>
                <w:szCs w:val="18"/>
              </w:rPr>
            </w:pPr>
            <w:r>
              <w:rPr>
                <w:noProof/>
              </w:rPr>
              <w:t>158</w:t>
            </w:r>
          </w:p>
        </w:tc>
        <w:tc>
          <w:tcPr>
            <w:tcW w:w="1415" w:type="dxa"/>
            <w:shd w:val="clear" w:color="auto" w:fill="C6EFCE"/>
          </w:tcPr>
          <w:p w14:paraId="73AF2E11" w14:textId="77777777" w:rsidR="00D924EA" w:rsidRDefault="00011DE9">
            <w:pPr>
              <w:pStyle w:val="P68B1DB1-Normal23"/>
              <w:jc w:val="center"/>
              <w:rPr>
                <w:rFonts w:cs="Times New Roman"/>
                <w:noProof/>
                <w:szCs w:val="18"/>
              </w:rPr>
            </w:pPr>
            <w:r>
              <w:rPr>
                <w:noProof/>
              </w:rPr>
              <w:t>C11.R5</w:t>
            </w:r>
          </w:p>
        </w:tc>
        <w:tc>
          <w:tcPr>
            <w:tcW w:w="999" w:type="dxa"/>
            <w:shd w:val="clear" w:color="auto" w:fill="C6EFCE"/>
          </w:tcPr>
          <w:p w14:paraId="22873964"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38B16481" w14:textId="77777777" w:rsidR="00D924EA" w:rsidRDefault="00011DE9">
            <w:pPr>
              <w:pStyle w:val="P68B1DB1-Normal23"/>
              <w:rPr>
                <w:rFonts w:cs="Times New Roman"/>
                <w:noProof/>
                <w:szCs w:val="18"/>
              </w:rPr>
            </w:pPr>
            <w:r>
              <w:rPr>
                <w:noProof/>
              </w:rPr>
              <w:t>Crearea de noi organisme în cadrul administrației centrale pentru a monitoriza punerea în aplicare, controlul și auditul planului.</w:t>
            </w:r>
          </w:p>
        </w:tc>
        <w:tc>
          <w:tcPr>
            <w:tcW w:w="1409" w:type="dxa"/>
            <w:shd w:val="clear" w:color="auto" w:fill="C6EFCE"/>
          </w:tcPr>
          <w:p w14:paraId="08698507" w14:textId="77777777" w:rsidR="00D924EA" w:rsidRDefault="00011DE9">
            <w:pPr>
              <w:pStyle w:val="P68B1DB1-Normal23"/>
              <w:jc w:val="center"/>
              <w:rPr>
                <w:rFonts w:cs="Times New Roman"/>
                <w:noProof/>
                <w:szCs w:val="18"/>
              </w:rPr>
            </w:pPr>
            <w:r>
              <w:rPr>
                <w:noProof/>
              </w:rPr>
              <w:t>Publicarea în JO</w:t>
            </w:r>
          </w:p>
        </w:tc>
        <w:tc>
          <w:tcPr>
            <w:tcW w:w="897" w:type="dxa"/>
            <w:shd w:val="clear" w:color="auto" w:fill="C6EFCE"/>
          </w:tcPr>
          <w:p w14:paraId="5321210D"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38FDE2D0"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7EF31F66"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50088417" w14:textId="4CB3932A" w:rsidR="00D924EA" w:rsidRDefault="005701C9">
            <w:pPr>
              <w:pStyle w:val="P68B1DB1-Normal23"/>
              <w:jc w:val="center"/>
              <w:rPr>
                <w:rFonts w:cs="Times New Roman"/>
                <w:noProof/>
                <w:szCs w:val="18"/>
              </w:rPr>
            </w:pPr>
            <w:r>
              <w:rPr>
                <w:noProof/>
              </w:rPr>
              <w:t>T2</w:t>
            </w:r>
          </w:p>
        </w:tc>
        <w:tc>
          <w:tcPr>
            <w:tcW w:w="709" w:type="dxa"/>
            <w:shd w:val="clear" w:color="auto" w:fill="C6EFCE"/>
          </w:tcPr>
          <w:p w14:paraId="71C03FE4" w14:textId="77777777" w:rsidR="00D924EA" w:rsidRDefault="00011DE9">
            <w:pPr>
              <w:pStyle w:val="P68B1DB1-Normal23"/>
              <w:jc w:val="center"/>
              <w:rPr>
                <w:rFonts w:cs="Times New Roman"/>
                <w:noProof/>
                <w:szCs w:val="18"/>
              </w:rPr>
            </w:pPr>
            <w:r>
              <w:rPr>
                <w:noProof/>
              </w:rPr>
              <w:t>2021</w:t>
            </w:r>
          </w:p>
        </w:tc>
        <w:tc>
          <w:tcPr>
            <w:tcW w:w="3573" w:type="dxa"/>
            <w:shd w:val="clear" w:color="auto" w:fill="C6EFCE"/>
          </w:tcPr>
          <w:p w14:paraId="7760105A" w14:textId="77777777" w:rsidR="00D924EA" w:rsidRDefault="00011DE9">
            <w:pPr>
              <w:pStyle w:val="P68B1DB1-Normal23"/>
              <w:rPr>
                <w:rFonts w:cs="Times New Roman"/>
                <w:noProof/>
                <w:szCs w:val="18"/>
              </w:rPr>
            </w:pPr>
            <w:r>
              <w:rPr>
                <w:noProof/>
              </w:rPr>
              <w:t>Crearea secretarului general pentru fondurile europene (Secretaría General de Fondos Europeos) și a unor noi divizii în cadrul Biroului informatic pentru buget (Oficina de Informática Presupuestaria) și al Biroului național de audit (Oficina Nacional de Auditoría) din cadrul organismului general de control al administrației de stat (Intervención General de la Administración del Estado), pentru a promova o cultură administrativă de lungă durată bazată pe planificare și control, prin experiența în gestionarea și controlul planului și în conformitate cu dispozițiile Decretului regal nr. 1182/2020.</w:t>
            </w:r>
          </w:p>
        </w:tc>
      </w:tr>
      <w:tr w:rsidR="00D924EA" w14:paraId="417542C3" w14:textId="77777777" w:rsidTr="00C202D2">
        <w:trPr>
          <w:trHeight w:val="309"/>
          <w:jc w:val="center"/>
        </w:trPr>
        <w:tc>
          <w:tcPr>
            <w:tcW w:w="1195" w:type="dxa"/>
            <w:shd w:val="clear" w:color="auto" w:fill="C6EFCE"/>
          </w:tcPr>
          <w:p w14:paraId="75200B94" w14:textId="77777777" w:rsidR="00D924EA" w:rsidRDefault="00011DE9">
            <w:pPr>
              <w:pStyle w:val="P68B1DB1-Normal23"/>
              <w:jc w:val="center"/>
              <w:rPr>
                <w:rFonts w:cs="Times New Roman"/>
                <w:noProof/>
                <w:szCs w:val="18"/>
              </w:rPr>
            </w:pPr>
            <w:r>
              <w:rPr>
                <w:noProof/>
              </w:rPr>
              <w:t>159</w:t>
            </w:r>
          </w:p>
        </w:tc>
        <w:tc>
          <w:tcPr>
            <w:tcW w:w="1415" w:type="dxa"/>
            <w:shd w:val="clear" w:color="auto" w:fill="C6EFCE"/>
          </w:tcPr>
          <w:p w14:paraId="69692BB1" w14:textId="77777777" w:rsidR="00D924EA" w:rsidRDefault="00011DE9">
            <w:pPr>
              <w:pStyle w:val="P68B1DB1-Normal23"/>
              <w:jc w:val="center"/>
              <w:rPr>
                <w:rFonts w:cs="Times New Roman"/>
                <w:noProof/>
                <w:szCs w:val="18"/>
              </w:rPr>
            </w:pPr>
            <w:r>
              <w:rPr>
                <w:noProof/>
              </w:rPr>
              <w:t>C11.R5</w:t>
            </w:r>
          </w:p>
        </w:tc>
        <w:tc>
          <w:tcPr>
            <w:tcW w:w="999" w:type="dxa"/>
            <w:shd w:val="clear" w:color="auto" w:fill="C6EFCE"/>
          </w:tcPr>
          <w:p w14:paraId="02BE1A1E"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51FCAB31" w14:textId="77777777" w:rsidR="00D924EA" w:rsidRDefault="00011DE9">
            <w:pPr>
              <w:pStyle w:val="P68B1DB1-Normal23"/>
              <w:rPr>
                <w:rFonts w:cs="Times New Roman"/>
                <w:noProof/>
                <w:szCs w:val="18"/>
              </w:rPr>
            </w:pPr>
            <w:r>
              <w:rPr>
                <w:noProof/>
              </w:rPr>
              <w:t>Ordin de definire a procedurilor și a formatului informațiilor care urmează să fie partajate pentru monitorizarea planului de redresare și reziliență și pentru execuția contabilă a cheltuielilor</w:t>
            </w:r>
          </w:p>
        </w:tc>
        <w:tc>
          <w:tcPr>
            <w:tcW w:w="1409" w:type="dxa"/>
            <w:shd w:val="clear" w:color="auto" w:fill="C6EFCE"/>
          </w:tcPr>
          <w:p w14:paraId="65405CC7" w14:textId="77777777" w:rsidR="00D924EA" w:rsidRDefault="00011DE9">
            <w:pPr>
              <w:pStyle w:val="P68B1DB1-Normal23"/>
              <w:jc w:val="center"/>
              <w:rPr>
                <w:rFonts w:cs="Times New Roman"/>
                <w:noProof/>
                <w:szCs w:val="18"/>
              </w:rPr>
            </w:pPr>
            <w:r>
              <w:rPr>
                <w:noProof/>
              </w:rPr>
              <w:t>Dispoziție din ordonanță care indică data de intrare în vigoare a ordonanței</w:t>
            </w:r>
          </w:p>
        </w:tc>
        <w:tc>
          <w:tcPr>
            <w:tcW w:w="897" w:type="dxa"/>
            <w:shd w:val="clear" w:color="auto" w:fill="C6EFCE"/>
          </w:tcPr>
          <w:p w14:paraId="7134374D"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7B3A6C38"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0B56AC3D"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171A586F" w14:textId="418B7BC7" w:rsidR="00D924EA" w:rsidRDefault="005701C9">
            <w:pPr>
              <w:pStyle w:val="P68B1DB1-Normal23"/>
              <w:jc w:val="center"/>
              <w:rPr>
                <w:rFonts w:cs="Times New Roman"/>
                <w:noProof/>
                <w:szCs w:val="18"/>
              </w:rPr>
            </w:pPr>
            <w:r>
              <w:rPr>
                <w:noProof/>
              </w:rPr>
              <w:t>T3</w:t>
            </w:r>
          </w:p>
        </w:tc>
        <w:tc>
          <w:tcPr>
            <w:tcW w:w="709" w:type="dxa"/>
            <w:shd w:val="clear" w:color="auto" w:fill="C6EFCE"/>
          </w:tcPr>
          <w:p w14:paraId="68BF5D9C" w14:textId="77777777" w:rsidR="00D924EA" w:rsidRDefault="00011DE9">
            <w:pPr>
              <w:pStyle w:val="P68B1DB1-Normal23"/>
              <w:jc w:val="center"/>
              <w:rPr>
                <w:rFonts w:cs="Times New Roman"/>
                <w:noProof/>
                <w:szCs w:val="18"/>
              </w:rPr>
            </w:pPr>
            <w:r>
              <w:rPr>
                <w:noProof/>
              </w:rPr>
              <w:t>2021</w:t>
            </w:r>
          </w:p>
        </w:tc>
        <w:tc>
          <w:tcPr>
            <w:tcW w:w="3573" w:type="dxa"/>
            <w:shd w:val="clear" w:color="auto" w:fill="C6EFCE"/>
          </w:tcPr>
          <w:p w14:paraId="107707DC" w14:textId="77777777" w:rsidR="00D924EA" w:rsidRDefault="00011DE9">
            <w:pPr>
              <w:pStyle w:val="P68B1DB1-Normal23"/>
              <w:rPr>
                <w:rFonts w:cs="Times New Roman"/>
                <w:noProof/>
                <w:szCs w:val="18"/>
              </w:rPr>
            </w:pPr>
            <w:r>
              <w:rPr>
                <w:noProof/>
              </w:rPr>
              <w:t>Intrarea în vigoare a ordinului de definire a procedurilor și a formatului informațiilor care trebuie partajate pentru monitorizarea planului de redresare și reziliență și pentru execuția contabilă a cheltuielilor</w:t>
            </w:r>
          </w:p>
        </w:tc>
      </w:tr>
      <w:tr w:rsidR="00D924EA" w14:paraId="0D1822D9" w14:textId="77777777" w:rsidTr="00C202D2">
        <w:trPr>
          <w:trHeight w:val="309"/>
          <w:jc w:val="center"/>
        </w:trPr>
        <w:tc>
          <w:tcPr>
            <w:tcW w:w="1195" w:type="dxa"/>
            <w:shd w:val="clear" w:color="auto" w:fill="C6EFCE"/>
          </w:tcPr>
          <w:p w14:paraId="4A8F0363" w14:textId="77777777" w:rsidR="00D924EA" w:rsidRDefault="00011DE9">
            <w:pPr>
              <w:pStyle w:val="P68B1DB1-Normal23"/>
              <w:jc w:val="center"/>
              <w:rPr>
                <w:rFonts w:cs="Times New Roman"/>
                <w:noProof/>
                <w:szCs w:val="18"/>
              </w:rPr>
            </w:pPr>
            <w:r>
              <w:rPr>
                <w:noProof/>
              </w:rPr>
              <w:t>160</w:t>
            </w:r>
          </w:p>
        </w:tc>
        <w:tc>
          <w:tcPr>
            <w:tcW w:w="1415" w:type="dxa"/>
            <w:shd w:val="clear" w:color="auto" w:fill="C6EFCE"/>
          </w:tcPr>
          <w:p w14:paraId="6B81D0EB" w14:textId="77777777" w:rsidR="00D924EA" w:rsidRDefault="00011DE9">
            <w:pPr>
              <w:pStyle w:val="P68B1DB1-Normal23"/>
              <w:jc w:val="center"/>
              <w:rPr>
                <w:rFonts w:cs="Times New Roman"/>
                <w:noProof/>
                <w:szCs w:val="18"/>
              </w:rPr>
            </w:pPr>
            <w:r>
              <w:rPr>
                <w:noProof/>
              </w:rPr>
              <w:t>C11.I1</w:t>
            </w:r>
          </w:p>
        </w:tc>
        <w:tc>
          <w:tcPr>
            <w:tcW w:w="999" w:type="dxa"/>
            <w:shd w:val="clear" w:color="auto" w:fill="C6EFCE"/>
          </w:tcPr>
          <w:p w14:paraId="6E38AD0C"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0F5391EF" w14:textId="77777777" w:rsidR="00D924EA" w:rsidRDefault="00011DE9">
            <w:pPr>
              <w:pStyle w:val="P68B1DB1-Normal23"/>
              <w:rPr>
                <w:rFonts w:cs="Times New Roman"/>
                <w:noProof/>
                <w:szCs w:val="18"/>
              </w:rPr>
            </w:pPr>
            <w:r>
              <w:rPr>
                <w:noProof/>
              </w:rPr>
              <w:t>Interconectarea platformelor naționale de achiziții publice</w:t>
            </w:r>
          </w:p>
        </w:tc>
        <w:tc>
          <w:tcPr>
            <w:tcW w:w="1409" w:type="dxa"/>
            <w:shd w:val="clear" w:color="auto" w:fill="C6EFCE"/>
          </w:tcPr>
          <w:p w14:paraId="40044C2E" w14:textId="6AD2C0C1" w:rsidR="00D924EA" w:rsidRDefault="00011DE9">
            <w:pPr>
              <w:pStyle w:val="P68B1DB1-Normal23"/>
              <w:jc w:val="center"/>
              <w:rPr>
                <w:noProof/>
                <w:szCs w:val="18"/>
              </w:rPr>
            </w:pPr>
            <w:r>
              <w:rPr>
                <w:noProof/>
              </w:rPr>
              <w:t>Se pune la dispoziție un set de fișiere de date accesibile publicului și generate automat de pe platforma de achiziții publice, care să permită extragerea atât a câmpurilor de date deschise, cât și a celor agregate.</w:t>
            </w:r>
          </w:p>
        </w:tc>
        <w:tc>
          <w:tcPr>
            <w:tcW w:w="897" w:type="dxa"/>
            <w:shd w:val="clear" w:color="auto" w:fill="C6EFCE"/>
          </w:tcPr>
          <w:p w14:paraId="7FEB4EC8"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013A5934"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367CCDD3"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6CF0D864" w14:textId="4122771A" w:rsidR="00D924EA" w:rsidRDefault="005701C9">
            <w:pPr>
              <w:pStyle w:val="P68B1DB1-Normal23"/>
              <w:jc w:val="center"/>
              <w:rPr>
                <w:rFonts w:cs="Times New Roman"/>
                <w:noProof/>
                <w:szCs w:val="18"/>
              </w:rPr>
            </w:pPr>
            <w:r>
              <w:rPr>
                <w:noProof/>
              </w:rPr>
              <w:t>T2</w:t>
            </w:r>
          </w:p>
        </w:tc>
        <w:tc>
          <w:tcPr>
            <w:tcW w:w="709" w:type="dxa"/>
            <w:shd w:val="clear" w:color="auto" w:fill="C6EFCE"/>
          </w:tcPr>
          <w:p w14:paraId="6EAA573B" w14:textId="77777777" w:rsidR="00D924EA" w:rsidRDefault="00011DE9">
            <w:pPr>
              <w:pStyle w:val="P68B1DB1-Normal23"/>
              <w:jc w:val="center"/>
              <w:rPr>
                <w:noProof/>
                <w:szCs w:val="18"/>
              </w:rPr>
            </w:pPr>
            <w:r>
              <w:rPr>
                <w:noProof/>
              </w:rPr>
              <w:t>2023</w:t>
            </w:r>
          </w:p>
        </w:tc>
        <w:tc>
          <w:tcPr>
            <w:tcW w:w="3573" w:type="dxa"/>
            <w:shd w:val="clear" w:color="auto" w:fill="C6EFCE"/>
          </w:tcPr>
          <w:p w14:paraId="17E169A6" w14:textId="52093CD7" w:rsidR="00D924EA" w:rsidRDefault="00011DE9">
            <w:pPr>
              <w:rPr>
                <w:rFonts w:ascii="Times New Roman" w:hAnsi="Times New Roman" w:cs="Times New Roman"/>
                <w:noProof/>
                <w:sz w:val="18"/>
                <w:szCs w:val="18"/>
              </w:rPr>
            </w:pPr>
            <w:r>
              <w:rPr>
                <w:rFonts w:ascii="Times New Roman" w:hAnsi="Times New Roman"/>
                <w:noProof/>
                <w:sz w:val="18"/>
              </w:rPr>
              <w:t>Continuarea interconectării (schimbul de date) între toate platformele de achiziții publice existente (administrația centrală și regională): cel puțin 142 câmpuri de date deschise și 52 câmpuri de date agregate în cadrul platformei administrației centrale.</w:t>
            </w:r>
            <w:r w:rsidR="00971820">
              <w:rPr>
                <w:rFonts w:ascii="Times New Roman" w:hAnsi="Times New Roman"/>
                <w:noProof/>
                <w:sz w:val="18"/>
              </w:rPr>
              <w:t xml:space="preserve"> </w:t>
            </w:r>
            <w:r>
              <w:rPr>
                <w:noProof/>
              </w:rPr>
              <w:t xml:space="preserve"> </w:t>
            </w:r>
            <w:r>
              <w:rPr>
                <w:noProof/>
              </w:rPr>
              <w:br/>
            </w:r>
            <w:r>
              <w:rPr>
                <w:rFonts w:ascii="Times New Roman" w:hAnsi="Times New Roman"/>
                <w:noProof/>
                <w:sz w:val="18"/>
              </w:rPr>
              <w:t>Situație de referință:</w:t>
            </w:r>
            <w:r>
              <w:rPr>
                <w:noProof/>
              </w:rPr>
              <w:t xml:space="preserve"> </w:t>
            </w:r>
            <w:r>
              <w:rPr>
                <w:rFonts w:ascii="Times New Roman" w:hAnsi="Times New Roman"/>
                <w:noProof/>
                <w:sz w:val="18"/>
              </w:rPr>
              <w:t>Numărul de câmpuri de date deschise din cadrul platformei administrației centrale în ianuarie 2021: 119</w:t>
            </w:r>
            <w:r>
              <w:rPr>
                <w:noProof/>
              </w:rPr>
              <w:t xml:space="preserve"> </w:t>
            </w:r>
            <w:r>
              <w:rPr>
                <w:noProof/>
              </w:rPr>
              <w:br/>
            </w:r>
            <w:r>
              <w:rPr>
                <w:rFonts w:ascii="Times New Roman" w:hAnsi="Times New Roman"/>
                <w:noProof/>
                <w:sz w:val="18"/>
              </w:rPr>
              <w:t>Numărul de câmpuri de date agregate din cadrul platformei administrației centrale în ianuarie 2021: 42</w:t>
            </w:r>
          </w:p>
          <w:p w14:paraId="3D9EB87B" w14:textId="77777777" w:rsidR="00D924EA" w:rsidRDefault="00011DE9">
            <w:pPr>
              <w:pStyle w:val="P68B1DB1-Normal23"/>
              <w:rPr>
                <w:noProof/>
                <w:szCs w:val="18"/>
              </w:rPr>
            </w:pPr>
            <w:r>
              <w:rPr>
                <w:noProof/>
              </w:rPr>
              <w:t>Câmpurile de date agregate și deschise sunt definite exclusiv ca fiind cele pentru care a avut loc un schimb de date în ianuarie 2021 (nivel de referință) și în ianuarie 2025 (obiectiv).</w:t>
            </w:r>
          </w:p>
        </w:tc>
      </w:tr>
      <w:tr w:rsidR="00D924EA" w14:paraId="2E2B3489" w14:textId="77777777" w:rsidTr="00C202D2">
        <w:trPr>
          <w:trHeight w:val="309"/>
          <w:jc w:val="center"/>
        </w:trPr>
        <w:tc>
          <w:tcPr>
            <w:tcW w:w="1195" w:type="dxa"/>
            <w:shd w:val="clear" w:color="auto" w:fill="C6EFCE"/>
          </w:tcPr>
          <w:p w14:paraId="71FDA257" w14:textId="7B5EF6E1" w:rsidR="00D924EA" w:rsidRDefault="00011DE9">
            <w:pPr>
              <w:pStyle w:val="P68B1DB1-Normal23"/>
              <w:jc w:val="center"/>
              <w:rPr>
                <w:rFonts w:cs="Times New Roman"/>
                <w:noProof/>
                <w:szCs w:val="18"/>
              </w:rPr>
            </w:pPr>
            <w:r>
              <w:rPr>
                <w:noProof/>
              </w:rPr>
              <w:t>162</w:t>
            </w:r>
          </w:p>
        </w:tc>
        <w:tc>
          <w:tcPr>
            <w:tcW w:w="1415" w:type="dxa"/>
            <w:shd w:val="clear" w:color="auto" w:fill="C6EFCE"/>
          </w:tcPr>
          <w:p w14:paraId="2A49D6B2" w14:textId="77777777" w:rsidR="00D924EA" w:rsidRDefault="00011DE9">
            <w:pPr>
              <w:pStyle w:val="P68B1DB1-Normal23"/>
              <w:jc w:val="center"/>
              <w:rPr>
                <w:rFonts w:cs="Times New Roman"/>
                <w:noProof/>
                <w:szCs w:val="18"/>
              </w:rPr>
            </w:pPr>
            <w:r>
              <w:rPr>
                <w:noProof/>
              </w:rPr>
              <w:t>C11.I1</w:t>
            </w:r>
          </w:p>
        </w:tc>
        <w:tc>
          <w:tcPr>
            <w:tcW w:w="999" w:type="dxa"/>
            <w:shd w:val="clear" w:color="auto" w:fill="C6EFCE"/>
          </w:tcPr>
          <w:p w14:paraId="6DBE4480" w14:textId="0532174B" w:rsidR="00D924EA" w:rsidRDefault="00011DE9">
            <w:pPr>
              <w:pStyle w:val="P68B1DB1-Normal23"/>
              <w:jc w:val="center"/>
              <w:rPr>
                <w:rFonts w:cs="Times New Roman"/>
                <w:noProof/>
                <w:szCs w:val="18"/>
              </w:rPr>
            </w:pPr>
            <w:r>
              <w:rPr>
                <w:noProof/>
              </w:rPr>
              <w:t>M</w:t>
            </w:r>
          </w:p>
        </w:tc>
        <w:tc>
          <w:tcPr>
            <w:tcW w:w="1593" w:type="dxa"/>
            <w:shd w:val="clear" w:color="auto" w:fill="C6EFCE"/>
          </w:tcPr>
          <w:p w14:paraId="3756DA89" w14:textId="6DB44DF8" w:rsidR="00D924EA" w:rsidRDefault="00011DE9">
            <w:pPr>
              <w:pStyle w:val="P68B1DB1-Normal24"/>
              <w:rPr>
                <w:rFonts w:cs="Times New Roman"/>
                <w:noProof/>
              </w:rPr>
            </w:pPr>
            <w:r>
              <w:rPr>
                <w:noProof/>
              </w:rPr>
              <w:t>Transformarea digitală a administrației publice centrale</w:t>
            </w:r>
          </w:p>
        </w:tc>
        <w:tc>
          <w:tcPr>
            <w:tcW w:w="1409" w:type="dxa"/>
            <w:shd w:val="clear" w:color="auto" w:fill="C6EFCE"/>
          </w:tcPr>
          <w:p w14:paraId="1A0A9350" w14:textId="39200600" w:rsidR="00D924EA" w:rsidRDefault="00011DE9">
            <w:pPr>
              <w:pStyle w:val="P68B1DB1-Normal24"/>
              <w:jc w:val="center"/>
              <w:rPr>
                <w:noProof/>
              </w:rPr>
            </w:pPr>
            <w:r>
              <w:rPr>
                <w:noProof/>
              </w:rPr>
              <w:t>Certificate de acceptare, declarații de conformitate sau documente echivalente care atestă executarea contractelor (sau a unor părți ale acestora).</w:t>
            </w:r>
          </w:p>
          <w:p w14:paraId="0B66F6CD" w14:textId="77777777" w:rsidR="00D924EA" w:rsidRDefault="00D924EA">
            <w:pPr>
              <w:jc w:val="center"/>
              <w:rPr>
                <w:rFonts w:ascii="Times New Roman" w:hAnsi="Times New Roman" w:cs="Times New Roman"/>
                <w:noProof/>
                <w:sz w:val="18"/>
                <w:szCs w:val="18"/>
              </w:rPr>
            </w:pPr>
          </w:p>
        </w:tc>
        <w:tc>
          <w:tcPr>
            <w:tcW w:w="897" w:type="dxa"/>
            <w:shd w:val="clear" w:color="auto" w:fill="C6EFCE"/>
          </w:tcPr>
          <w:p w14:paraId="0816BCD7" w14:textId="1C92FEDA"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6B573794" w14:textId="4E47A44C"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0BFC20CE" w14:textId="2D76CCCE"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62833203" w14:textId="73AD60A4" w:rsidR="00D924EA" w:rsidRDefault="005701C9">
            <w:pPr>
              <w:pStyle w:val="P68B1DB1-Normal23"/>
              <w:jc w:val="center"/>
              <w:rPr>
                <w:rFonts w:cs="Times New Roman"/>
                <w:noProof/>
                <w:szCs w:val="18"/>
              </w:rPr>
            </w:pPr>
            <w:r>
              <w:rPr>
                <w:noProof/>
              </w:rPr>
              <w:t>T4</w:t>
            </w:r>
          </w:p>
        </w:tc>
        <w:tc>
          <w:tcPr>
            <w:tcW w:w="709" w:type="dxa"/>
            <w:shd w:val="clear" w:color="auto" w:fill="C6EFCE"/>
          </w:tcPr>
          <w:p w14:paraId="5E227940" w14:textId="419BC278" w:rsidR="00D924EA" w:rsidRDefault="00011DE9">
            <w:pPr>
              <w:pStyle w:val="P68B1DB1-Normal23"/>
              <w:jc w:val="center"/>
              <w:rPr>
                <w:rFonts w:cs="Times New Roman"/>
                <w:noProof/>
                <w:szCs w:val="18"/>
              </w:rPr>
            </w:pPr>
            <w:r>
              <w:rPr>
                <w:noProof/>
              </w:rPr>
              <w:t>2025</w:t>
            </w:r>
          </w:p>
        </w:tc>
        <w:tc>
          <w:tcPr>
            <w:tcW w:w="3573" w:type="dxa"/>
            <w:shd w:val="clear" w:color="auto" w:fill="C6EFCE"/>
          </w:tcPr>
          <w:p w14:paraId="6B92761F" w14:textId="1DF8DE49" w:rsidR="00D924EA" w:rsidRDefault="00011DE9">
            <w:pPr>
              <w:pStyle w:val="P68B1DB1-Normal24"/>
              <w:rPr>
                <w:noProof/>
              </w:rPr>
            </w:pPr>
            <w:bookmarkStart w:id="3" w:name="_Hlk207810832"/>
            <w:bookmarkStart w:id="4" w:name="_Hlk207884188"/>
            <w:r>
              <w:rPr>
                <w:noProof/>
              </w:rPr>
              <w:t>Confirmarea de către administrație a executării contractelor (inclusiv a modificărilor) sau a părților corespunzătoare ale acestora referitoare la transformarea digitală a administrației publice centrale, în valoare totală de 737 881 472 EUR.</w:t>
            </w:r>
          </w:p>
          <w:p w14:paraId="6CCA7659" w14:textId="2B432BD6" w:rsidR="00D924EA" w:rsidRDefault="00011DE9">
            <w:pPr>
              <w:pStyle w:val="P68B1DB1-Normal24"/>
              <w:rPr>
                <w:noProof/>
              </w:rPr>
            </w:pPr>
            <w:r>
              <w:rPr>
                <w:noProof/>
              </w:rPr>
              <w:t>Contractele acoperă următoarele domenii:</w:t>
            </w:r>
            <w:bookmarkEnd w:id="3"/>
            <w:bookmarkEnd w:id="4"/>
            <w:r w:rsidR="00971820">
              <w:rPr>
                <w:noProof/>
              </w:rPr>
              <w:t xml:space="preserve"> </w:t>
            </w:r>
            <w:r>
              <w:rPr>
                <w:noProof/>
              </w:rPr>
              <w:t>1. Administrație orientată către cetățeni, 2. Operațiuni inteligente, 3. O administrație publică de date, 4. Infrastructurile digitale și 5. Securitatea cibernetică (inclusiv înființarea Centrului de operațiuni pentru securitate cibernetică).</w:t>
            </w:r>
          </w:p>
        </w:tc>
      </w:tr>
      <w:tr w:rsidR="00D924EA" w14:paraId="3FD35DC8" w14:textId="77777777" w:rsidTr="00C202D2">
        <w:trPr>
          <w:trHeight w:val="309"/>
          <w:jc w:val="center"/>
        </w:trPr>
        <w:tc>
          <w:tcPr>
            <w:tcW w:w="1195" w:type="dxa"/>
            <w:shd w:val="clear" w:color="auto" w:fill="C6EFCE"/>
          </w:tcPr>
          <w:p w14:paraId="5B99E64B" w14:textId="77777777" w:rsidR="00D924EA" w:rsidRDefault="00011DE9">
            <w:pPr>
              <w:pStyle w:val="P68B1DB1-Normal23"/>
              <w:jc w:val="center"/>
              <w:rPr>
                <w:rFonts w:cs="Times New Roman"/>
                <w:noProof/>
                <w:szCs w:val="18"/>
              </w:rPr>
            </w:pPr>
            <w:r>
              <w:rPr>
                <w:noProof/>
              </w:rPr>
              <w:t>163</w:t>
            </w:r>
          </w:p>
        </w:tc>
        <w:tc>
          <w:tcPr>
            <w:tcW w:w="1415" w:type="dxa"/>
            <w:shd w:val="clear" w:color="auto" w:fill="C6EFCE"/>
          </w:tcPr>
          <w:p w14:paraId="3A24A41D" w14:textId="77777777" w:rsidR="00D924EA" w:rsidRDefault="00011DE9">
            <w:pPr>
              <w:pStyle w:val="P68B1DB1-Normal23"/>
              <w:jc w:val="center"/>
              <w:rPr>
                <w:rFonts w:cs="Times New Roman"/>
                <w:noProof/>
                <w:szCs w:val="18"/>
              </w:rPr>
            </w:pPr>
            <w:r>
              <w:rPr>
                <w:noProof/>
              </w:rPr>
              <w:t>C11.I2</w:t>
            </w:r>
          </w:p>
        </w:tc>
        <w:tc>
          <w:tcPr>
            <w:tcW w:w="999" w:type="dxa"/>
            <w:shd w:val="clear" w:color="auto" w:fill="C6EFCE"/>
          </w:tcPr>
          <w:p w14:paraId="2AB8B059"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0A520892" w14:textId="77777777" w:rsidR="00D924EA" w:rsidRDefault="00011DE9">
            <w:pPr>
              <w:pStyle w:val="P68B1DB1-Normal23"/>
              <w:rPr>
                <w:rFonts w:cs="Times New Roman"/>
                <w:noProof/>
                <w:szCs w:val="18"/>
              </w:rPr>
            </w:pPr>
            <w:r>
              <w:rPr>
                <w:noProof/>
              </w:rPr>
              <w:t>Dezvoltarea în continuare a sistemelor de informații în domeniul sănătății</w:t>
            </w:r>
          </w:p>
        </w:tc>
        <w:tc>
          <w:tcPr>
            <w:tcW w:w="1409" w:type="dxa"/>
            <w:shd w:val="clear" w:color="auto" w:fill="C6EFCE"/>
          </w:tcPr>
          <w:p w14:paraId="081F9266" w14:textId="77777777" w:rsidR="00D924EA" w:rsidRDefault="00011DE9">
            <w:pPr>
              <w:pStyle w:val="P68B1DB1-Normal23"/>
              <w:jc w:val="center"/>
              <w:rPr>
                <w:rFonts w:cs="Times New Roman"/>
                <w:noProof/>
                <w:szCs w:val="18"/>
              </w:rPr>
            </w:pPr>
            <w:r>
              <w:rPr>
                <w:noProof/>
              </w:rPr>
              <w:t>Notificarea oficială privind finalizarea lucrărilor</w:t>
            </w:r>
          </w:p>
        </w:tc>
        <w:tc>
          <w:tcPr>
            <w:tcW w:w="897" w:type="dxa"/>
            <w:shd w:val="clear" w:color="auto" w:fill="C6EFCE"/>
          </w:tcPr>
          <w:p w14:paraId="3E3FFFDD"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38478C97"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2BE94563"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2F17BA36" w14:textId="490A6FDE" w:rsidR="00D924EA" w:rsidRDefault="005701C9">
            <w:pPr>
              <w:pStyle w:val="P68B1DB1-Normal23"/>
              <w:jc w:val="center"/>
              <w:rPr>
                <w:rFonts w:cs="Times New Roman"/>
                <w:noProof/>
                <w:szCs w:val="18"/>
              </w:rPr>
            </w:pPr>
            <w:r>
              <w:rPr>
                <w:noProof/>
              </w:rPr>
              <w:t>T2</w:t>
            </w:r>
          </w:p>
        </w:tc>
        <w:tc>
          <w:tcPr>
            <w:tcW w:w="709" w:type="dxa"/>
            <w:shd w:val="clear" w:color="auto" w:fill="C6EFCE"/>
          </w:tcPr>
          <w:p w14:paraId="3C4F7BE4" w14:textId="77777777" w:rsidR="00D924EA" w:rsidRDefault="00011DE9">
            <w:pPr>
              <w:pStyle w:val="P68B1DB1-Normal23"/>
              <w:jc w:val="center"/>
              <w:rPr>
                <w:rFonts w:cs="Times New Roman"/>
                <w:noProof/>
                <w:szCs w:val="18"/>
              </w:rPr>
            </w:pPr>
            <w:r>
              <w:rPr>
                <w:noProof/>
              </w:rPr>
              <w:t>2023</w:t>
            </w:r>
          </w:p>
        </w:tc>
        <w:tc>
          <w:tcPr>
            <w:tcW w:w="3573" w:type="dxa"/>
            <w:shd w:val="clear" w:color="auto" w:fill="C6EFCE"/>
          </w:tcPr>
          <w:p w14:paraId="50509E3D" w14:textId="77777777" w:rsidR="00D924EA" w:rsidRDefault="00011DE9">
            <w:pPr>
              <w:pStyle w:val="P68B1DB1-Normal23"/>
              <w:rPr>
                <w:rFonts w:cs="Times New Roman"/>
                <w:noProof/>
                <w:szCs w:val="18"/>
              </w:rPr>
            </w:pPr>
            <w:r>
              <w:rPr>
                <w:noProof/>
              </w:rPr>
              <w:t>Administrația centrală dezvoltă în continuare funcționalitățile următoarelor aplicații de bază și sisteme de informații privind sănătatea: 1) „</w:t>
            </w:r>
            <w:r>
              <w:rPr>
                <w:i/>
                <w:noProof/>
              </w:rPr>
              <w:t>Historia Clínica Digital del Sistema Nacional de Salud” (HCDSNS)</w:t>
            </w:r>
            <w:r>
              <w:rPr>
                <w:noProof/>
              </w:rPr>
              <w:t>; 2. „</w:t>
            </w:r>
            <w:r>
              <w:rPr>
                <w:i/>
                <w:noProof/>
              </w:rPr>
              <w:t>receta Electrónica” (RESNS);</w:t>
            </w:r>
            <w:r>
              <w:rPr>
                <w:noProof/>
              </w:rPr>
              <w:t xml:space="preserve"> și 3) </w:t>
            </w:r>
            <w:r>
              <w:rPr>
                <w:i/>
                <w:noProof/>
              </w:rPr>
              <w:t>„Registro de Profesionales Sanitarios (REPS)</w:t>
            </w:r>
            <w:r>
              <w:rPr>
                <w:noProof/>
              </w:rPr>
              <w:t>”.</w:t>
            </w:r>
          </w:p>
        </w:tc>
      </w:tr>
      <w:tr w:rsidR="00D924EA" w14:paraId="7A7EC6BF" w14:textId="77777777" w:rsidTr="00C202D2">
        <w:trPr>
          <w:trHeight w:val="309"/>
          <w:jc w:val="center"/>
        </w:trPr>
        <w:tc>
          <w:tcPr>
            <w:tcW w:w="1195" w:type="dxa"/>
            <w:shd w:val="clear" w:color="auto" w:fill="C6EFCE"/>
          </w:tcPr>
          <w:p w14:paraId="2AC19068" w14:textId="77777777" w:rsidR="00D924EA" w:rsidRDefault="00011DE9">
            <w:pPr>
              <w:pStyle w:val="P68B1DB1-Normal23"/>
              <w:jc w:val="center"/>
              <w:rPr>
                <w:rFonts w:cs="Times New Roman"/>
                <w:noProof/>
                <w:szCs w:val="18"/>
              </w:rPr>
            </w:pPr>
            <w:r>
              <w:rPr>
                <w:noProof/>
              </w:rPr>
              <w:t>164</w:t>
            </w:r>
          </w:p>
        </w:tc>
        <w:tc>
          <w:tcPr>
            <w:tcW w:w="1415" w:type="dxa"/>
            <w:shd w:val="clear" w:color="auto" w:fill="C6EFCE"/>
          </w:tcPr>
          <w:p w14:paraId="5ECDBBF2" w14:textId="77777777" w:rsidR="00D924EA" w:rsidRDefault="00011DE9">
            <w:pPr>
              <w:pStyle w:val="P68B1DB1-Normal23"/>
              <w:jc w:val="center"/>
              <w:rPr>
                <w:rFonts w:cs="Times New Roman"/>
                <w:noProof/>
                <w:szCs w:val="18"/>
              </w:rPr>
            </w:pPr>
            <w:r>
              <w:rPr>
                <w:noProof/>
              </w:rPr>
              <w:t>C11.I2</w:t>
            </w:r>
          </w:p>
        </w:tc>
        <w:tc>
          <w:tcPr>
            <w:tcW w:w="999" w:type="dxa"/>
            <w:shd w:val="clear" w:color="auto" w:fill="C6EFCE"/>
          </w:tcPr>
          <w:p w14:paraId="15B02EC6" w14:textId="77777777" w:rsidR="00D924EA" w:rsidRDefault="00011DE9">
            <w:pPr>
              <w:pStyle w:val="P68B1DB1-Normal23"/>
              <w:jc w:val="center"/>
              <w:rPr>
                <w:rFonts w:cs="Times New Roman"/>
                <w:noProof/>
                <w:szCs w:val="18"/>
              </w:rPr>
            </w:pPr>
            <w:r>
              <w:rPr>
                <w:noProof/>
              </w:rPr>
              <w:t>T</w:t>
            </w:r>
          </w:p>
        </w:tc>
        <w:tc>
          <w:tcPr>
            <w:tcW w:w="1593" w:type="dxa"/>
            <w:shd w:val="clear" w:color="auto" w:fill="C6EFCE"/>
          </w:tcPr>
          <w:p w14:paraId="22FF1F13" w14:textId="77777777" w:rsidR="00D924EA" w:rsidRDefault="00011DE9">
            <w:pPr>
              <w:pStyle w:val="P68B1DB1-Normal23"/>
              <w:rPr>
                <w:rFonts w:cs="Times New Roman"/>
                <w:noProof/>
                <w:szCs w:val="18"/>
              </w:rPr>
            </w:pPr>
            <w:r>
              <w:rPr>
                <w:noProof/>
              </w:rPr>
              <w:t>Procedura judiciară trebuie să se desfășoare pe cale electronică</w:t>
            </w:r>
          </w:p>
        </w:tc>
        <w:tc>
          <w:tcPr>
            <w:tcW w:w="1409" w:type="dxa"/>
            <w:shd w:val="clear" w:color="auto" w:fill="C6EFCE"/>
          </w:tcPr>
          <w:p w14:paraId="3057D7C5" w14:textId="77777777" w:rsidR="00D924EA" w:rsidRDefault="00011DE9">
            <w:pPr>
              <w:pStyle w:val="P68B1DB1-Normal23"/>
              <w:jc w:val="center"/>
              <w:rPr>
                <w:rFonts w:cs="Times New Roman"/>
                <w:noProof/>
                <w:szCs w:val="18"/>
              </w:rPr>
            </w:pPr>
            <w:r>
              <w:rPr>
                <w:noProof/>
              </w:rPr>
              <w:t xml:space="preserve"> </w:t>
            </w:r>
          </w:p>
        </w:tc>
        <w:tc>
          <w:tcPr>
            <w:tcW w:w="897" w:type="dxa"/>
            <w:shd w:val="clear" w:color="auto" w:fill="C6EFCE"/>
          </w:tcPr>
          <w:p w14:paraId="34FD7F6D" w14:textId="77777777" w:rsidR="00D924EA" w:rsidRDefault="00011DE9">
            <w:pPr>
              <w:pStyle w:val="P68B1DB1-Normal23"/>
              <w:rPr>
                <w:rFonts w:cs="Times New Roman"/>
                <w:noProof/>
                <w:szCs w:val="18"/>
              </w:rPr>
            </w:pPr>
            <w:r>
              <w:rPr>
                <w:noProof/>
              </w:rPr>
              <w:t xml:space="preserve">Număr </w:t>
            </w:r>
          </w:p>
        </w:tc>
        <w:tc>
          <w:tcPr>
            <w:tcW w:w="1133" w:type="dxa"/>
            <w:shd w:val="clear" w:color="auto" w:fill="C6EFCE"/>
          </w:tcPr>
          <w:p w14:paraId="7C0E50C9" w14:textId="77777777" w:rsidR="00D924EA" w:rsidRDefault="00011DE9">
            <w:pPr>
              <w:pStyle w:val="P68B1DB1-Normal23"/>
              <w:jc w:val="right"/>
              <w:rPr>
                <w:rFonts w:cs="Times New Roman"/>
                <w:noProof/>
                <w:szCs w:val="18"/>
              </w:rPr>
            </w:pPr>
            <w:r>
              <w:rPr>
                <w:noProof/>
              </w:rPr>
              <w:t>0</w:t>
            </w:r>
          </w:p>
        </w:tc>
        <w:tc>
          <w:tcPr>
            <w:tcW w:w="965" w:type="dxa"/>
            <w:shd w:val="clear" w:color="auto" w:fill="C6EFCE"/>
          </w:tcPr>
          <w:p w14:paraId="4C3E2734" w14:textId="36570D6F" w:rsidR="00D924EA" w:rsidRDefault="00011DE9">
            <w:pPr>
              <w:pStyle w:val="P68B1DB1-Normal23"/>
              <w:jc w:val="right"/>
              <w:rPr>
                <w:rFonts w:cs="Times New Roman"/>
                <w:noProof/>
                <w:szCs w:val="18"/>
              </w:rPr>
            </w:pPr>
            <w:r>
              <w:rPr>
                <w:noProof/>
              </w:rPr>
              <w:t>2 839</w:t>
            </w:r>
          </w:p>
        </w:tc>
        <w:tc>
          <w:tcPr>
            <w:tcW w:w="708" w:type="dxa"/>
            <w:shd w:val="clear" w:color="auto" w:fill="C6EFCE"/>
          </w:tcPr>
          <w:p w14:paraId="0772DD38" w14:textId="7C114F17" w:rsidR="00D924EA" w:rsidRDefault="005701C9">
            <w:pPr>
              <w:pStyle w:val="P68B1DB1-Normal23"/>
              <w:jc w:val="center"/>
              <w:rPr>
                <w:rFonts w:cs="Times New Roman"/>
                <w:noProof/>
                <w:szCs w:val="18"/>
              </w:rPr>
            </w:pPr>
            <w:r>
              <w:rPr>
                <w:noProof/>
              </w:rPr>
              <w:t>T4</w:t>
            </w:r>
          </w:p>
        </w:tc>
        <w:tc>
          <w:tcPr>
            <w:tcW w:w="709" w:type="dxa"/>
            <w:shd w:val="clear" w:color="auto" w:fill="C6EFCE"/>
          </w:tcPr>
          <w:p w14:paraId="5C9D7353" w14:textId="77777777" w:rsidR="00D924EA" w:rsidRDefault="00011DE9">
            <w:pPr>
              <w:pStyle w:val="P68B1DB1-Normal23"/>
              <w:jc w:val="center"/>
              <w:rPr>
                <w:rFonts w:cs="Times New Roman"/>
                <w:noProof/>
                <w:szCs w:val="18"/>
              </w:rPr>
            </w:pPr>
            <w:r>
              <w:rPr>
                <w:noProof/>
              </w:rPr>
              <w:t>2022</w:t>
            </w:r>
          </w:p>
        </w:tc>
        <w:tc>
          <w:tcPr>
            <w:tcW w:w="3573" w:type="dxa"/>
            <w:shd w:val="clear" w:color="auto" w:fill="C6EFCE"/>
          </w:tcPr>
          <w:p w14:paraId="1F5E2A05" w14:textId="662A987C" w:rsidR="00D924EA" w:rsidRDefault="00011DE9">
            <w:pPr>
              <w:pStyle w:val="P68B1DB1-Normal23"/>
              <w:rPr>
                <w:rFonts w:cs="Times New Roman"/>
                <w:noProof/>
                <w:szCs w:val="18"/>
              </w:rPr>
            </w:pPr>
            <w:r>
              <w:rPr>
                <w:noProof/>
              </w:rPr>
              <w:t>Cel puțin alte 2 839 organe judiciare trebuie să dispună de infrastructura necesară pentru a permite desfășurarea a cel puțin 30 % din proceduri pe cale electronică. Acest lucru implică desfășurarea de acțiuni judiciare telematice în cadrul diferitelor organe jurisdicționale, în deplină securitate juridică. Pentru a îndeplini acest obiectiv, toți participanții trebuie să poată avea acces la sălile de judecată prin videoconferință. În plus, aceasta permite crearea unor săli de judecată complet virtuale, la care toți participanții pot avea acces prin videoconferință. Se creează o platformă de comunicare imediată pentru a stabili noi modele de relații și prelucrare fără prezență fizică. Acest lucru va îmbunătăți accesul de la distanță al cetățenilor la serviciile furnizate de administrația publică.</w:t>
            </w:r>
          </w:p>
        </w:tc>
      </w:tr>
      <w:tr w:rsidR="00D924EA" w14:paraId="62B6D9C8" w14:textId="77777777" w:rsidTr="00C202D2">
        <w:trPr>
          <w:trHeight w:val="309"/>
          <w:jc w:val="center"/>
        </w:trPr>
        <w:tc>
          <w:tcPr>
            <w:tcW w:w="1195" w:type="dxa"/>
            <w:shd w:val="clear" w:color="auto" w:fill="C6EFCE"/>
          </w:tcPr>
          <w:p w14:paraId="6C9B91C8" w14:textId="635CDB5E" w:rsidR="00D924EA" w:rsidRDefault="00011DE9">
            <w:pPr>
              <w:pStyle w:val="P68B1DB1-Normal23"/>
              <w:jc w:val="center"/>
              <w:rPr>
                <w:rFonts w:cs="Times New Roman"/>
                <w:noProof/>
                <w:szCs w:val="18"/>
              </w:rPr>
            </w:pPr>
            <w:r>
              <w:rPr>
                <w:noProof/>
              </w:rPr>
              <w:t>166</w:t>
            </w:r>
          </w:p>
        </w:tc>
        <w:tc>
          <w:tcPr>
            <w:tcW w:w="1415" w:type="dxa"/>
            <w:shd w:val="clear" w:color="auto" w:fill="C6EFCE"/>
          </w:tcPr>
          <w:p w14:paraId="2734A45D" w14:textId="77777777" w:rsidR="00D924EA" w:rsidRDefault="00011DE9">
            <w:pPr>
              <w:pStyle w:val="P68B1DB1-Normal23"/>
              <w:jc w:val="center"/>
              <w:rPr>
                <w:rFonts w:cs="Times New Roman"/>
                <w:noProof/>
                <w:szCs w:val="18"/>
              </w:rPr>
            </w:pPr>
            <w:r>
              <w:rPr>
                <w:noProof/>
              </w:rPr>
              <w:t>C11.I2</w:t>
            </w:r>
          </w:p>
        </w:tc>
        <w:tc>
          <w:tcPr>
            <w:tcW w:w="999" w:type="dxa"/>
            <w:shd w:val="clear" w:color="auto" w:fill="C6EFCE"/>
          </w:tcPr>
          <w:p w14:paraId="29923D42" w14:textId="7C588940" w:rsidR="00D924EA" w:rsidRDefault="00011DE9">
            <w:pPr>
              <w:pStyle w:val="P68B1DB1-Normal23"/>
              <w:jc w:val="center"/>
              <w:rPr>
                <w:rFonts w:cs="Times New Roman"/>
                <w:noProof/>
                <w:szCs w:val="18"/>
              </w:rPr>
            </w:pPr>
            <w:r>
              <w:rPr>
                <w:noProof/>
              </w:rPr>
              <w:t>M</w:t>
            </w:r>
          </w:p>
        </w:tc>
        <w:tc>
          <w:tcPr>
            <w:tcW w:w="1593" w:type="dxa"/>
            <w:shd w:val="clear" w:color="auto" w:fill="C6EFCE"/>
          </w:tcPr>
          <w:p w14:paraId="6A44CCAA" w14:textId="6B964FDD" w:rsidR="00D924EA" w:rsidRDefault="00011DE9">
            <w:pPr>
              <w:pStyle w:val="P68B1DB1-Normal24"/>
              <w:rPr>
                <w:noProof/>
              </w:rPr>
            </w:pPr>
            <w:r>
              <w:rPr>
                <w:noProof/>
              </w:rPr>
              <w:t>Digitalizarea administrației publice centrale (cu excepția celor vizate de jalonul 163 și de ținta 164)</w:t>
            </w:r>
          </w:p>
        </w:tc>
        <w:tc>
          <w:tcPr>
            <w:tcW w:w="1409" w:type="dxa"/>
            <w:shd w:val="clear" w:color="auto" w:fill="C6EFCE"/>
          </w:tcPr>
          <w:p w14:paraId="6C6C7EBB" w14:textId="77777777" w:rsidR="00D924EA" w:rsidRDefault="00011DE9">
            <w:pPr>
              <w:pStyle w:val="P68B1DB1-Normal24"/>
              <w:jc w:val="center"/>
              <w:rPr>
                <w:noProof/>
              </w:rPr>
            </w:pPr>
            <w:r>
              <w:rPr>
                <w:noProof/>
              </w:rPr>
              <w:t>Certificate de acceptare, declarații de conformitate sau documente echivalente care atestă executarea contractelor (sau a unor părți ale acestora).</w:t>
            </w:r>
          </w:p>
          <w:p w14:paraId="1946B822" w14:textId="77777777" w:rsidR="00D924EA" w:rsidRDefault="00011DE9">
            <w:pPr>
              <w:pStyle w:val="P68B1DB1-Normal24"/>
              <w:jc w:val="center"/>
              <w:rPr>
                <w:rFonts w:cs="Times New Roman"/>
                <w:noProof/>
              </w:rPr>
            </w:pPr>
            <w:r>
              <w:rPr>
                <w:noProof/>
              </w:rPr>
              <w:t xml:space="preserve"> </w:t>
            </w:r>
          </w:p>
        </w:tc>
        <w:tc>
          <w:tcPr>
            <w:tcW w:w="897" w:type="dxa"/>
            <w:shd w:val="clear" w:color="auto" w:fill="C6EFCE"/>
          </w:tcPr>
          <w:p w14:paraId="4912AEEB" w14:textId="0082B59E"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6CCD3A8B" w14:textId="317E2A44"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184BEA26" w14:textId="50285190"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33626CD4" w14:textId="02A9D402" w:rsidR="00D924EA" w:rsidRDefault="005701C9">
            <w:pPr>
              <w:pStyle w:val="P68B1DB1-Normal23"/>
              <w:jc w:val="center"/>
              <w:rPr>
                <w:rFonts w:cs="Times New Roman"/>
                <w:noProof/>
                <w:szCs w:val="18"/>
              </w:rPr>
            </w:pPr>
            <w:r>
              <w:rPr>
                <w:noProof/>
              </w:rPr>
              <w:t>T4</w:t>
            </w:r>
          </w:p>
        </w:tc>
        <w:tc>
          <w:tcPr>
            <w:tcW w:w="709" w:type="dxa"/>
            <w:shd w:val="clear" w:color="auto" w:fill="C6EFCE"/>
          </w:tcPr>
          <w:p w14:paraId="61F5BD42" w14:textId="35CDE501" w:rsidR="00D924EA" w:rsidRDefault="00011DE9">
            <w:pPr>
              <w:pStyle w:val="P68B1DB1-Normal23"/>
              <w:jc w:val="center"/>
              <w:rPr>
                <w:rFonts w:cs="Times New Roman"/>
                <w:noProof/>
                <w:szCs w:val="18"/>
              </w:rPr>
            </w:pPr>
            <w:r>
              <w:rPr>
                <w:noProof/>
              </w:rPr>
              <w:t>2025</w:t>
            </w:r>
          </w:p>
        </w:tc>
        <w:tc>
          <w:tcPr>
            <w:tcW w:w="3573" w:type="dxa"/>
            <w:shd w:val="clear" w:color="auto" w:fill="C6EFCE"/>
          </w:tcPr>
          <w:p w14:paraId="2B6A6851" w14:textId="45710EBA" w:rsidR="00D924EA" w:rsidRDefault="00011DE9">
            <w:pPr>
              <w:pStyle w:val="P68B1DB1-Normal24"/>
              <w:rPr>
                <w:noProof/>
              </w:rPr>
            </w:pPr>
            <w:r>
              <w:rPr>
                <w:noProof/>
              </w:rPr>
              <w:t>Confirmarea de către administrație a executării contractelor (inclusiv a modificărilor) sau a părților corespunzătoare ale acestora referitoare la digitalizarea administrației publice centrale sau a sectorului public instituțional sau la cursuri de formare sau la alte acțiuni de sprijinire a administrației publice centrale sau a sectorului public instituțional în ceea ce privește digitalizarea acesteia, în valoare totală de 1 078 000 000 EUR.</w:t>
            </w:r>
            <w:r w:rsidR="00971820">
              <w:rPr>
                <w:noProof/>
              </w:rPr>
              <w:t xml:space="preserve"> </w:t>
            </w:r>
          </w:p>
          <w:p w14:paraId="2C30AF03" w14:textId="77777777" w:rsidR="00D924EA" w:rsidRDefault="00011DE9">
            <w:pPr>
              <w:pStyle w:val="P68B1DB1-Normal24"/>
              <w:rPr>
                <w:rFonts w:cs="Times New Roman"/>
                <w:noProof/>
              </w:rPr>
            </w:pPr>
            <w:bookmarkStart w:id="5" w:name="_Hlk211699241"/>
            <w:bookmarkStart w:id="6" w:name="_Hlk207883869"/>
            <w:bookmarkEnd w:id="5"/>
            <w:r>
              <w:rPr>
                <w:noProof/>
              </w:rPr>
              <w:t>Acestea exclud contractele care au fost luate în considerare pentru îndeplinirea jalonului 163 și a țintei 164</w:t>
            </w:r>
            <w:bookmarkEnd w:id="6"/>
            <w:r>
              <w:rPr>
                <w:noProof/>
              </w:rPr>
              <w:t>.</w:t>
            </w:r>
          </w:p>
        </w:tc>
      </w:tr>
      <w:tr w:rsidR="00D924EA" w14:paraId="5ECB6F23" w14:textId="77777777" w:rsidTr="00C202D2">
        <w:trPr>
          <w:trHeight w:val="309"/>
          <w:jc w:val="center"/>
        </w:trPr>
        <w:tc>
          <w:tcPr>
            <w:tcW w:w="1195" w:type="dxa"/>
            <w:shd w:val="clear" w:color="auto" w:fill="C6EFCE"/>
          </w:tcPr>
          <w:p w14:paraId="76A12010" w14:textId="77777777" w:rsidR="00D924EA" w:rsidRDefault="00011DE9">
            <w:pPr>
              <w:pStyle w:val="P68B1DB1-Normal23"/>
              <w:jc w:val="center"/>
              <w:rPr>
                <w:rFonts w:cs="Times New Roman"/>
                <w:noProof/>
                <w:szCs w:val="18"/>
              </w:rPr>
            </w:pPr>
            <w:r>
              <w:rPr>
                <w:noProof/>
              </w:rPr>
              <w:t>167</w:t>
            </w:r>
          </w:p>
        </w:tc>
        <w:tc>
          <w:tcPr>
            <w:tcW w:w="1415" w:type="dxa"/>
            <w:shd w:val="clear" w:color="auto" w:fill="C6EFCE"/>
          </w:tcPr>
          <w:p w14:paraId="1E5801E5" w14:textId="77777777" w:rsidR="00D924EA" w:rsidRDefault="00011DE9">
            <w:pPr>
              <w:pStyle w:val="P68B1DB1-Normal23"/>
              <w:jc w:val="center"/>
              <w:rPr>
                <w:rFonts w:cs="Times New Roman"/>
                <w:noProof/>
                <w:szCs w:val="18"/>
              </w:rPr>
            </w:pPr>
            <w:r>
              <w:rPr>
                <w:noProof/>
              </w:rPr>
              <w:t>C11.I3</w:t>
            </w:r>
          </w:p>
        </w:tc>
        <w:tc>
          <w:tcPr>
            <w:tcW w:w="999" w:type="dxa"/>
            <w:shd w:val="clear" w:color="auto" w:fill="C6EFCE"/>
          </w:tcPr>
          <w:p w14:paraId="314D803D"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053D7A08" w14:textId="77777777" w:rsidR="00D924EA" w:rsidRDefault="00011DE9">
            <w:pPr>
              <w:pStyle w:val="P68B1DB1-Normal23"/>
              <w:rPr>
                <w:rFonts w:cs="Times New Roman"/>
                <w:noProof/>
                <w:szCs w:val="18"/>
              </w:rPr>
            </w:pPr>
            <w:r>
              <w:rPr>
                <w:noProof/>
              </w:rPr>
              <w:t>Digitalizarea entităților regionale și locale</w:t>
            </w:r>
          </w:p>
        </w:tc>
        <w:tc>
          <w:tcPr>
            <w:tcW w:w="1409" w:type="dxa"/>
            <w:shd w:val="clear" w:color="auto" w:fill="C6EFCE"/>
          </w:tcPr>
          <w:p w14:paraId="227F3E87" w14:textId="77777777" w:rsidR="00D924EA" w:rsidRDefault="00011DE9">
            <w:pPr>
              <w:pStyle w:val="P68B1DB1-Normal23"/>
              <w:jc w:val="center"/>
              <w:rPr>
                <w:rFonts w:cs="Times New Roman"/>
                <w:noProof/>
                <w:szCs w:val="18"/>
              </w:rPr>
            </w:pPr>
            <w:r>
              <w:rPr>
                <w:noProof/>
              </w:rPr>
              <w:t>Ministerul Politicii Teritoriale și Funcției Publice furnizează un certificat semnat care confirmă că obiectivul a fost atins</w:t>
            </w:r>
          </w:p>
        </w:tc>
        <w:tc>
          <w:tcPr>
            <w:tcW w:w="897" w:type="dxa"/>
            <w:shd w:val="clear" w:color="auto" w:fill="C6EFCE"/>
          </w:tcPr>
          <w:p w14:paraId="068E8EAC"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260416DB"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05ED9625"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06A5C0F8" w14:textId="31561BA3" w:rsidR="00D924EA" w:rsidRDefault="005701C9">
            <w:pPr>
              <w:pStyle w:val="P68B1DB1-Normal23"/>
              <w:jc w:val="center"/>
              <w:rPr>
                <w:rFonts w:cs="Times New Roman"/>
                <w:noProof/>
                <w:szCs w:val="18"/>
              </w:rPr>
            </w:pPr>
            <w:r>
              <w:rPr>
                <w:noProof/>
              </w:rPr>
              <w:t>T2</w:t>
            </w:r>
          </w:p>
        </w:tc>
        <w:tc>
          <w:tcPr>
            <w:tcW w:w="709" w:type="dxa"/>
            <w:shd w:val="clear" w:color="auto" w:fill="C6EFCE"/>
          </w:tcPr>
          <w:p w14:paraId="1FE88E10" w14:textId="77777777" w:rsidR="00D924EA" w:rsidRDefault="00011DE9">
            <w:pPr>
              <w:pStyle w:val="P68B1DB1-Normal23"/>
              <w:jc w:val="center"/>
              <w:rPr>
                <w:rFonts w:cs="Times New Roman"/>
                <w:noProof/>
                <w:szCs w:val="18"/>
              </w:rPr>
            </w:pPr>
            <w:r>
              <w:rPr>
                <w:noProof/>
              </w:rPr>
              <w:t>2023</w:t>
            </w:r>
          </w:p>
        </w:tc>
        <w:tc>
          <w:tcPr>
            <w:tcW w:w="3573" w:type="dxa"/>
            <w:shd w:val="clear" w:color="auto" w:fill="C6EFCE"/>
          </w:tcPr>
          <w:p w14:paraId="379EB67B" w14:textId="77777777" w:rsidR="00D924EA" w:rsidRDefault="00011DE9">
            <w:pPr>
              <w:pStyle w:val="P68B1DB1-Normal23"/>
              <w:rPr>
                <w:rFonts w:cs="Times New Roman"/>
                <w:noProof/>
                <w:szCs w:val="18"/>
              </w:rPr>
            </w:pPr>
            <w:r>
              <w:rPr>
                <w:noProof/>
              </w:rPr>
              <w:t>Comunitățile autonome și administrațiile locale au finalizat proiecte în cadrul următoarelor linii strategice ale Strategiei digitale pentru 2025, ale Planului de digitalizare a administrațiilor publice și ale restului acțiunii de modernizare planificate pentru sectorul public: I) o administrație orientată către cetățeni; II) operațiuni inteligente; III) o administrație publică de date; infrastructurile digitale și v) securitatea cibernetică. În special: a) Fiecare comunitate autonomă a finalizat cel puțin un proiect în una dintre cele cinci linii strategice menționate mai sus; b) 60 % din procedurile digitale analizate în raportul CAE al administrațiilor regionale (</w:t>
            </w:r>
            <w:r>
              <w:rPr>
                <w:i/>
                <w:noProof/>
              </w:rPr>
              <w:t>Comunidades Autónomas</w:t>
            </w:r>
            <w:r>
              <w:rPr>
                <w:noProof/>
              </w:rPr>
              <w:t xml:space="preserve">) permit utilizarea lor de către dispozitivele mobile (în prezent: 48 %). </w:t>
            </w:r>
          </w:p>
        </w:tc>
      </w:tr>
      <w:tr w:rsidR="00D924EA" w14:paraId="65EB4C0F" w14:textId="77777777" w:rsidTr="00C202D2">
        <w:trPr>
          <w:trHeight w:val="945"/>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tcPr>
          <w:p w14:paraId="3D73857B" w14:textId="40DD9BA7" w:rsidR="00D924EA" w:rsidRDefault="00011DE9">
            <w:pPr>
              <w:pStyle w:val="P68B1DB1-Normal23"/>
              <w:jc w:val="center"/>
              <w:rPr>
                <w:rFonts w:cs="Times New Roman"/>
                <w:noProof/>
                <w:szCs w:val="18"/>
              </w:rPr>
            </w:pPr>
            <w:r>
              <w:rPr>
                <w:noProof/>
              </w:rPr>
              <w:t>169</w:t>
            </w:r>
          </w:p>
        </w:tc>
        <w:tc>
          <w:tcPr>
            <w:tcW w:w="1415" w:type="dxa"/>
            <w:tcBorders>
              <w:top w:val="single" w:sz="4" w:space="0" w:color="auto"/>
              <w:left w:val="single" w:sz="4" w:space="0" w:color="auto"/>
              <w:bottom w:val="single" w:sz="4" w:space="0" w:color="auto"/>
              <w:right w:val="single" w:sz="4" w:space="0" w:color="auto"/>
            </w:tcBorders>
            <w:shd w:val="clear" w:color="auto" w:fill="C6EFCE"/>
          </w:tcPr>
          <w:p w14:paraId="13D48B84" w14:textId="77777777" w:rsidR="00D924EA" w:rsidRDefault="00011DE9">
            <w:pPr>
              <w:pStyle w:val="P68B1DB1-Normal23"/>
              <w:jc w:val="center"/>
              <w:rPr>
                <w:rFonts w:cs="Times New Roman"/>
                <w:noProof/>
                <w:szCs w:val="18"/>
              </w:rPr>
            </w:pPr>
            <w:r>
              <w:rPr>
                <w:noProof/>
              </w:rPr>
              <w:t>C11.I3</w:t>
            </w:r>
          </w:p>
        </w:tc>
        <w:tc>
          <w:tcPr>
            <w:tcW w:w="999" w:type="dxa"/>
            <w:tcBorders>
              <w:top w:val="single" w:sz="4" w:space="0" w:color="auto"/>
              <w:left w:val="single" w:sz="4" w:space="0" w:color="auto"/>
              <w:bottom w:val="single" w:sz="4" w:space="0" w:color="auto"/>
              <w:right w:val="single" w:sz="4" w:space="0" w:color="auto"/>
            </w:tcBorders>
            <w:shd w:val="clear" w:color="auto" w:fill="C6EFCE"/>
          </w:tcPr>
          <w:p w14:paraId="5BF8F389" w14:textId="10A91C2E" w:rsidR="00D924EA" w:rsidRDefault="00011DE9">
            <w:pPr>
              <w:pStyle w:val="P68B1DB1-Normal23"/>
              <w:jc w:val="center"/>
              <w:rPr>
                <w:rFonts w:cs="Times New Roman"/>
                <w:noProof/>
                <w:szCs w:val="18"/>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6EFCE"/>
          </w:tcPr>
          <w:p w14:paraId="78A3AB87" w14:textId="5E2CFA7E" w:rsidR="00D924EA" w:rsidRDefault="00011DE9">
            <w:pPr>
              <w:pStyle w:val="P68B1DB1-Normal29"/>
              <w:rPr>
                <w:rFonts w:cs="Times New Roman"/>
                <w:noProof/>
                <w:sz w:val="18"/>
                <w:szCs w:val="18"/>
              </w:rPr>
            </w:pPr>
            <w:r>
              <w:rPr>
                <w:noProof/>
                <w:sz w:val="18"/>
                <w:szCs w:val="18"/>
              </w:rPr>
              <w:t>Transformarea digitală a administrațiilor publice regionale și locale, precum și Ministerul Transformării Digitale și Serviciilor Publice</w:t>
            </w:r>
            <w:r>
              <w:rPr>
                <w:noProof/>
              </w:rPr>
              <w:t xml:space="preserve"> </w:t>
            </w:r>
            <w:r>
              <w:rPr>
                <w:noProof/>
                <w:sz w:val="18"/>
                <w:szCs w:val="18"/>
              </w:rPr>
              <w:t>și Ministerul Politicii Teritoriale și Memoriei Democratice</w:t>
            </w:r>
          </w:p>
        </w:tc>
        <w:tc>
          <w:tcPr>
            <w:tcW w:w="1409" w:type="dxa"/>
            <w:tcBorders>
              <w:top w:val="single" w:sz="4" w:space="0" w:color="auto"/>
              <w:left w:val="single" w:sz="4" w:space="0" w:color="auto"/>
              <w:bottom w:val="single" w:sz="4" w:space="0" w:color="auto"/>
              <w:right w:val="single" w:sz="4" w:space="0" w:color="auto"/>
            </w:tcBorders>
            <w:shd w:val="clear" w:color="auto" w:fill="C6EFCE"/>
          </w:tcPr>
          <w:p w14:paraId="39F8554D" w14:textId="3AAA99A4" w:rsidR="00D924EA" w:rsidRDefault="00011DE9">
            <w:pPr>
              <w:pStyle w:val="P68B1DB1-Normal24"/>
              <w:jc w:val="center"/>
              <w:rPr>
                <w:noProof/>
              </w:rPr>
            </w:pPr>
            <w:r>
              <w:rPr>
                <w:noProof/>
              </w:rPr>
              <w:t>Rapoarte de verificare și certificate de acceptare, declarații de conformitate sau documente echivalente care atestă executarea contractelor (sau a unor părți ale acestora)</w:t>
            </w:r>
          </w:p>
          <w:p w14:paraId="06ED3D2C" w14:textId="77777777" w:rsidR="00D924EA" w:rsidRDefault="00D924EA">
            <w:pPr>
              <w:jc w:val="center"/>
              <w:rPr>
                <w:rFonts w:ascii="Times New Roman" w:hAnsi="Times New Roman"/>
                <w:noProof/>
                <w:sz w:val="18"/>
                <w:szCs w:val="18"/>
              </w:rPr>
            </w:pPr>
          </w:p>
        </w:tc>
        <w:tc>
          <w:tcPr>
            <w:tcW w:w="897" w:type="dxa"/>
            <w:tcBorders>
              <w:top w:val="single" w:sz="4" w:space="0" w:color="auto"/>
              <w:left w:val="single" w:sz="4" w:space="0" w:color="auto"/>
              <w:bottom w:val="single" w:sz="4" w:space="0" w:color="auto"/>
              <w:right w:val="single" w:sz="4" w:space="0" w:color="auto"/>
            </w:tcBorders>
            <w:shd w:val="clear" w:color="auto" w:fill="C6EFCE"/>
          </w:tcPr>
          <w:p w14:paraId="56507E6D" w14:textId="5AADEAE8" w:rsidR="00D924EA" w:rsidRDefault="00011DE9">
            <w:pPr>
              <w:pStyle w:val="P68B1DB1-Normal23"/>
              <w:jc w:val="right"/>
              <w:rPr>
                <w:rFonts w:cs="Times New Roman"/>
                <w:noProof/>
                <w:szCs w:val="18"/>
              </w:rPr>
            </w:pPr>
            <w:r>
              <w:rPr>
                <w:noProof/>
              </w:rPr>
              <w:t xml:space="preserve"> </w:t>
            </w:r>
          </w:p>
        </w:tc>
        <w:tc>
          <w:tcPr>
            <w:tcW w:w="1133" w:type="dxa"/>
            <w:tcBorders>
              <w:top w:val="single" w:sz="4" w:space="0" w:color="auto"/>
              <w:left w:val="single" w:sz="4" w:space="0" w:color="auto"/>
              <w:bottom w:val="single" w:sz="4" w:space="0" w:color="auto"/>
              <w:right w:val="single" w:sz="4" w:space="0" w:color="auto"/>
            </w:tcBorders>
            <w:shd w:val="clear" w:color="auto" w:fill="C6EFCE"/>
          </w:tcPr>
          <w:p w14:paraId="690EF356" w14:textId="77777777" w:rsidR="00D924EA" w:rsidRDefault="00011DE9">
            <w:pPr>
              <w:pStyle w:val="P68B1DB1-Normal23"/>
              <w:jc w:val="right"/>
              <w:rPr>
                <w:rFonts w:cs="Times New Roman"/>
                <w:noProof/>
                <w:szCs w:val="18"/>
              </w:rPr>
            </w:pPr>
            <w:r>
              <w:rPr>
                <w:noProof/>
              </w:rPr>
              <w:t xml:space="preserve"> </w:t>
            </w:r>
          </w:p>
        </w:tc>
        <w:tc>
          <w:tcPr>
            <w:tcW w:w="965" w:type="dxa"/>
            <w:tcBorders>
              <w:top w:val="single" w:sz="4" w:space="0" w:color="auto"/>
              <w:left w:val="single" w:sz="4" w:space="0" w:color="auto"/>
              <w:bottom w:val="single" w:sz="4" w:space="0" w:color="auto"/>
              <w:right w:val="single" w:sz="4" w:space="0" w:color="auto"/>
            </w:tcBorders>
            <w:shd w:val="clear" w:color="auto" w:fill="C6EFCE"/>
          </w:tcPr>
          <w:p w14:paraId="7D9A1EFA" w14:textId="5D19BD7E" w:rsidR="00D924EA" w:rsidRDefault="00011DE9">
            <w:pPr>
              <w:pStyle w:val="P68B1DB1-Normal23"/>
              <w:jc w:val="right"/>
              <w:rPr>
                <w:rFonts w:cs="Times New Roman"/>
                <w:noProof/>
                <w:szCs w:val="18"/>
              </w:rPr>
            </w:pPr>
            <w:r>
              <w:rPr>
                <w:noProof/>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CA35CE0" w14:textId="6F86589B" w:rsidR="00D924EA" w:rsidRDefault="005701C9">
            <w:pPr>
              <w:pStyle w:val="P68B1DB1-Normal23"/>
              <w:jc w:val="center"/>
              <w:rPr>
                <w:rFonts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22EC12F" w14:textId="3F87643D" w:rsidR="00D924EA" w:rsidRDefault="00011DE9">
            <w:pPr>
              <w:pStyle w:val="P68B1DB1-Normal23"/>
              <w:jc w:val="center"/>
              <w:rPr>
                <w:rFonts w:cs="Times New Roman"/>
                <w:noProof/>
                <w:szCs w:val="18"/>
              </w:rPr>
            </w:pPr>
            <w:r>
              <w:rPr>
                <w:noProof/>
              </w:rPr>
              <w:t>2026</w:t>
            </w:r>
          </w:p>
        </w:tc>
        <w:tc>
          <w:tcPr>
            <w:tcW w:w="3573" w:type="dxa"/>
            <w:tcBorders>
              <w:top w:val="single" w:sz="4" w:space="0" w:color="auto"/>
              <w:left w:val="single" w:sz="4" w:space="0" w:color="auto"/>
              <w:bottom w:val="single" w:sz="4" w:space="0" w:color="auto"/>
              <w:right w:val="single" w:sz="4" w:space="0" w:color="auto"/>
            </w:tcBorders>
            <w:shd w:val="clear" w:color="auto" w:fill="C6EFCE"/>
          </w:tcPr>
          <w:p w14:paraId="38DDFC42" w14:textId="75520B7A" w:rsidR="00D924EA" w:rsidRDefault="00971820">
            <w:pPr>
              <w:rPr>
                <w:rFonts w:ascii="Times New Roman" w:hAnsi="Times New Roman"/>
                <w:noProof/>
                <w:sz w:val="18"/>
                <w:szCs w:val="18"/>
              </w:rPr>
            </w:pPr>
            <w:r>
              <w:rPr>
                <w:rFonts w:ascii="Times New Roman" w:hAnsi="Times New Roman"/>
                <w:noProof/>
                <w:sz w:val="18"/>
                <w:szCs w:val="18"/>
              </w:rPr>
              <w:t xml:space="preserve"> </w:t>
            </w:r>
            <w:r w:rsidR="00011DE9">
              <w:rPr>
                <w:rFonts w:ascii="Times New Roman" w:hAnsi="Times New Roman"/>
                <w:noProof/>
                <w:sz w:val="18"/>
                <w:szCs w:val="18"/>
              </w:rPr>
              <w:t>În domeniul digitalizării administrațiilor publice regionale și locale, precum și Ministerul Transformării Digitale și Serviciului Public și Ministerul Politicii Teritoriale și Memoriei Democratice, pentru o sumă totală cumulată de 693</w:t>
            </w:r>
            <w:r w:rsidR="00011DE9">
              <w:rPr>
                <w:rFonts w:ascii="Times New Roman" w:hAnsi="Times New Roman" w:cs="Times New Roman"/>
                <w:noProof/>
                <w:sz w:val="20"/>
                <w:szCs w:val="20"/>
              </w:rPr>
              <w:t xml:space="preserve"> </w:t>
            </w:r>
            <w:r w:rsidR="00011DE9">
              <w:rPr>
                <w:rFonts w:ascii="Times New Roman" w:hAnsi="Times New Roman"/>
                <w:noProof/>
                <w:sz w:val="18"/>
                <w:szCs w:val="18"/>
              </w:rPr>
              <w:t>420</w:t>
            </w:r>
            <w:r w:rsidR="00011DE9">
              <w:rPr>
                <w:rFonts w:ascii="Times New Roman" w:hAnsi="Times New Roman" w:cs="Times New Roman"/>
                <w:noProof/>
                <w:sz w:val="20"/>
                <w:szCs w:val="20"/>
              </w:rPr>
              <w:t xml:space="preserve"> </w:t>
            </w:r>
            <w:r w:rsidR="00011DE9">
              <w:rPr>
                <w:rFonts w:ascii="Times New Roman" w:hAnsi="Times New Roman"/>
                <w:noProof/>
                <w:sz w:val="18"/>
                <w:szCs w:val="18"/>
              </w:rPr>
              <w:t xml:space="preserve">000 EUR: </w:t>
            </w:r>
          </w:p>
          <w:p w14:paraId="0DE8BCD3" w14:textId="3D5C2A06" w:rsidR="00D924EA" w:rsidRDefault="00011DE9">
            <w:pPr>
              <w:pStyle w:val="P68B1DB1-ListParagraph53"/>
              <w:numPr>
                <w:ilvl w:val="0"/>
                <w:numId w:val="286"/>
              </w:numPr>
              <w:rPr>
                <w:noProof/>
              </w:rPr>
            </w:pPr>
            <w:r>
              <w:rPr>
                <w:noProof/>
              </w:rPr>
              <w:t xml:space="preserve">Confirmarea de către administrație a executării contractelor (inclusiv a modificărilor) sau a părților corespunzătoare ale acestora. Contribuția la suma totală cumulată este suma realizată, astfel cum este definită în certificatele de acceptare, declarațiile de conformitate, certificatele de plată sau documentele echivalente. </w:t>
            </w:r>
          </w:p>
          <w:p w14:paraId="4D35BAD5" w14:textId="7A7C0241" w:rsidR="00D924EA" w:rsidRDefault="00011DE9">
            <w:pPr>
              <w:pStyle w:val="P68B1DB1-ListParagraph53"/>
              <w:numPr>
                <w:ilvl w:val="0"/>
                <w:numId w:val="285"/>
              </w:numPr>
              <w:rPr>
                <w:noProof/>
              </w:rPr>
            </w:pPr>
            <w:r>
              <w:rPr>
                <w:noProof/>
              </w:rPr>
              <w:t>Verificarea de către administrație a justificării documentare a plăților aferente granturilor. Contribuția la suma totală cumulată este suma care urmează să fie subvenționată în cadrul acestei verificări.</w:t>
            </w:r>
            <w:r w:rsidR="00971820">
              <w:rPr>
                <w:noProof/>
              </w:rPr>
              <w:t xml:space="preserve"> </w:t>
            </w:r>
          </w:p>
          <w:p w14:paraId="16B610AD" w14:textId="4871B67B" w:rsidR="00D924EA" w:rsidRDefault="00011DE9">
            <w:pPr>
              <w:pStyle w:val="P68B1DB1-Normal24"/>
              <w:rPr>
                <w:noProof/>
              </w:rPr>
            </w:pPr>
            <w:r>
              <w:rPr>
                <w:noProof/>
              </w:rPr>
              <w:t>Aceste contracte acoperă una sau mai multe dintre următoarele linii strategice: 1. Administrație orientată către cetățeni, 2. Operațiuni inteligente, 3. A governments of data („Un guvern al datelor”), 4. Infrastructurile digitale și 5. Securitate cibernetică.</w:t>
            </w:r>
          </w:p>
          <w:p w14:paraId="61AA8633" w14:textId="77777777" w:rsidR="00D924EA" w:rsidRDefault="00011DE9">
            <w:pPr>
              <w:rPr>
                <w:rFonts w:ascii="Times New Roman" w:hAnsi="Times New Roman"/>
                <w:noProof/>
                <w:sz w:val="18"/>
                <w:szCs w:val="18"/>
              </w:rPr>
            </w:pPr>
            <w:r>
              <w:rPr>
                <w:rFonts w:ascii="Times New Roman" w:hAnsi="Times New Roman"/>
                <w:noProof/>
                <w:sz w:val="18"/>
                <w:szCs w:val="18"/>
              </w:rPr>
              <w:t>Acestea exclud contractele care au fost luate în considerare pentru îndeplinirea jaloanelor 167 și 438.</w:t>
            </w:r>
            <w:r>
              <w:rPr>
                <w:noProof/>
              </w:rPr>
              <w:br/>
            </w:r>
          </w:p>
        </w:tc>
      </w:tr>
      <w:tr w:rsidR="00D924EA" w14:paraId="5DADCD13" w14:textId="77777777" w:rsidTr="00C202D2">
        <w:trPr>
          <w:trHeight w:val="309"/>
          <w:jc w:val="center"/>
        </w:trPr>
        <w:tc>
          <w:tcPr>
            <w:tcW w:w="1195" w:type="dxa"/>
            <w:shd w:val="clear" w:color="auto" w:fill="C6EFCE"/>
          </w:tcPr>
          <w:p w14:paraId="58597F42" w14:textId="77777777" w:rsidR="00D924EA" w:rsidRDefault="00011DE9">
            <w:pPr>
              <w:pStyle w:val="P68B1DB1-Normal23"/>
              <w:jc w:val="center"/>
              <w:rPr>
                <w:rFonts w:cs="Times New Roman"/>
                <w:noProof/>
                <w:szCs w:val="18"/>
              </w:rPr>
            </w:pPr>
            <w:r>
              <w:rPr>
                <w:noProof/>
              </w:rPr>
              <w:t>438</w:t>
            </w:r>
          </w:p>
        </w:tc>
        <w:tc>
          <w:tcPr>
            <w:tcW w:w="1415" w:type="dxa"/>
            <w:shd w:val="clear" w:color="auto" w:fill="C6EFCE"/>
          </w:tcPr>
          <w:p w14:paraId="7C73F4D1" w14:textId="77777777" w:rsidR="00D924EA" w:rsidRDefault="00011DE9">
            <w:pPr>
              <w:pStyle w:val="P68B1DB1-Normal23"/>
              <w:jc w:val="center"/>
              <w:rPr>
                <w:rFonts w:cs="Times New Roman"/>
                <w:noProof/>
                <w:szCs w:val="18"/>
              </w:rPr>
            </w:pPr>
            <w:r>
              <w:rPr>
                <w:noProof/>
              </w:rPr>
              <w:t>C11.I3</w:t>
            </w:r>
          </w:p>
        </w:tc>
        <w:tc>
          <w:tcPr>
            <w:tcW w:w="999" w:type="dxa"/>
            <w:shd w:val="clear" w:color="auto" w:fill="C6EFCE"/>
          </w:tcPr>
          <w:p w14:paraId="07840112" w14:textId="0D7F7EBF" w:rsidR="00D924EA" w:rsidRDefault="00011DE9">
            <w:pPr>
              <w:pStyle w:val="P68B1DB1-Normal24"/>
              <w:jc w:val="center"/>
              <w:rPr>
                <w:rFonts w:cs="Times New Roman"/>
                <w:noProof/>
              </w:rPr>
            </w:pPr>
            <w:r>
              <w:rPr>
                <w:noProof/>
              </w:rPr>
              <w:t>M</w:t>
            </w:r>
          </w:p>
        </w:tc>
        <w:tc>
          <w:tcPr>
            <w:tcW w:w="1593" w:type="dxa"/>
            <w:shd w:val="clear" w:color="auto" w:fill="C6EFCE"/>
          </w:tcPr>
          <w:p w14:paraId="6E29CEDA" w14:textId="6F2E0C92" w:rsidR="00D924EA" w:rsidRDefault="00011DE9">
            <w:pPr>
              <w:pStyle w:val="P68B1DB1-Normal24"/>
              <w:rPr>
                <w:noProof/>
              </w:rPr>
            </w:pPr>
            <w:r>
              <w:rPr>
                <w:noProof/>
              </w:rPr>
              <w:t>Proiecte-pilot puse în aplicare în cadrul Planului de îngrijire digitală personală</w:t>
            </w:r>
          </w:p>
        </w:tc>
        <w:tc>
          <w:tcPr>
            <w:tcW w:w="1409" w:type="dxa"/>
            <w:shd w:val="clear" w:color="auto" w:fill="C6EFCE"/>
          </w:tcPr>
          <w:p w14:paraId="54F16DB1" w14:textId="54A53D2A" w:rsidR="00D924EA" w:rsidRDefault="00011DE9">
            <w:pPr>
              <w:pStyle w:val="P68B1DB1-Normal24"/>
              <w:rPr>
                <w:noProof/>
              </w:rPr>
            </w:pPr>
            <w:r>
              <w:rPr>
                <w:noProof/>
              </w:rPr>
              <w:t>Link către publicarea raportului pe site-ul Departamentului de Sănătate</w:t>
            </w:r>
          </w:p>
        </w:tc>
        <w:tc>
          <w:tcPr>
            <w:tcW w:w="897" w:type="dxa"/>
            <w:shd w:val="clear" w:color="auto" w:fill="C6EFCE"/>
          </w:tcPr>
          <w:p w14:paraId="4D09F9BD" w14:textId="62286579" w:rsidR="00D924EA" w:rsidRDefault="00D924EA">
            <w:pPr>
              <w:rPr>
                <w:rFonts w:ascii="Times New Roman" w:hAnsi="Times New Roman" w:cs="Times New Roman"/>
                <w:noProof/>
                <w:sz w:val="18"/>
                <w:szCs w:val="18"/>
              </w:rPr>
            </w:pPr>
          </w:p>
        </w:tc>
        <w:tc>
          <w:tcPr>
            <w:tcW w:w="1133" w:type="dxa"/>
            <w:shd w:val="clear" w:color="auto" w:fill="C6EFCE"/>
          </w:tcPr>
          <w:p w14:paraId="12BEAAB8" w14:textId="42C9BE68" w:rsidR="00D924EA" w:rsidRDefault="00D924EA">
            <w:pPr>
              <w:jc w:val="right"/>
              <w:rPr>
                <w:rFonts w:ascii="Times New Roman" w:hAnsi="Times New Roman" w:cs="Times New Roman"/>
                <w:noProof/>
                <w:sz w:val="18"/>
                <w:szCs w:val="18"/>
              </w:rPr>
            </w:pPr>
          </w:p>
        </w:tc>
        <w:tc>
          <w:tcPr>
            <w:tcW w:w="965" w:type="dxa"/>
            <w:shd w:val="clear" w:color="auto" w:fill="C6EFCE"/>
          </w:tcPr>
          <w:p w14:paraId="37A80D44" w14:textId="509A6164" w:rsidR="00D924EA" w:rsidRDefault="00D924EA">
            <w:pPr>
              <w:jc w:val="right"/>
              <w:rPr>
                <w:rFonts w:ascii="Times New Roman" w:hAnsi="Times New Roman" w:cs="Times New Roman"/>
                <w:noProof/>
                <w:sz w:val="18"/>
                <w:szCs w:val="18"/>
              </w:rPr>
            </w:pPr>
          </w:p>
        </w:tc>
        <w:tc>
          <w:tcPr>
            <w:tcW w:w="708" w:type="dxa"/>
            <w:shd w:val="clear" w:color="auto" w:fill="C6EFCE"/>
          </w:tcPr>
          <w:p w14:paraId="4511BAED" w14:textId="3DD1AEED" w:rsidR="00D924EA" w:rsidRDefault="005701C9">
            <w:pPr>
              <w:pStyle w:val="P68B1DB1-Normal23"/>
              <w:jc w:val="center"/>
              <w:rPr>
                <w:rFonts w:cs="Times New Roman"/>
                <w:noProof/>
                <w:szCs w:val="18"/>
              </w:rPr>
            </w:pPr>
            <w:r>
              <w:rPr>
                <w:noProof/>
              </w:rPr>
              <w:t>T2</w:t>
            </w:r>
          </w:p>
        </w:tc>
        <w:tc>
          <w:tcPr>
            <w:tcW w:w="709" w:type="dxa"/>
            <w:shd w:val="clear" w:color="auto" w:fill="C6EFCE"/>
          </w:tcPr>
          <w:p w14:paraId="543CEC0A" w14:textId="77777777" w:rsidR="00D924EA" w:rsidRDefault="00011DE9">
            <w:pPr>
              <w:pStyle w:val="P68B1DB1-Normal23"/>
              <w:jc w:val="center"/>
              <w:rPr>
                <w:rFonts w:cs="Times New Roman"/>
                <w:noProof/>
                <w:szCs w:val="18"/>
              </w:rPr>
            </w:pPr>
            <w:r>
              <w:rPr>
                <w:noProof/>
              </w:rPr>
              <w:t>2026</w:t>
            </w:r>
          </w:p>
        </w:tc>
        <w:tc>
          <w:tcPr>
            <w:tcW w:w="3573" w:type="dxa"/>
            <w:shd w:val="clear" w:color="auto" w:fill="C6EFCE"/>
          </w:tcPr>
          <w:p w14:paraId="281235FC" w14:textId="1434E524" w:rsidR="00D924EA" w:rsidRDefault="00011DE9">
            <w:pPr>
              <w:pStyle w:val="P68B1DB1-Normal24"/>
              <w:rPr>
                <w:noProof/>
              </w:rPr>
            </w:pPr>
            <w:r>
              <w:rPr>
                <w:noProof/>
              </w:rPr>
              <w:t>Pe site-ul web al Departamentului de Sănătate se publică un raport privind 17 proiecte-pilot din cadrul Planului de îngrijire digitală a persoanelor. Raportul cuprinde: a) o descriere a proiectelor-pilot, b) o descriere a oricăror bune practici sau domenii de îmbunătățire identificate în fiecare proiect-pilot și c) recomandări de politică.</w:t>
            </w:r>
          </w:p>
        </w:tc>
      </w:tr>
      <w:tr w:rsidR="00D924EA" w14:paraId="3B7DBF20" w14:textId="77777777" w:rsidTr="00C202D2">
        <w:trPr>
          <w:trHeight w:val="309"/>
          <w:jc w:val="center"/>
        </w:trPr>
        <w:tc>
          <w:tcPr>
            <w:tcW w:w="1195" w:type="dxa"/>
            <w:shd w:val="clear" w:color="auto" w:fill="C6EFCE"/>
          </w:tcPr>
          <w:p w14:paraId="6FA14B82" w14:textId="77777777" w:rsidR="00D924EA" w:rsidRDefault="00011DE9">
            <w:pPr>
              <w:pStyle w:val="P68B1DB1-Normal23"/>
              <w:jc w:val="center"/>
              <w:rPr>
                <w:rFonts w:cs="Times New Roman"/>
                <w:noProof/>
                <w:szCs w:val="18"/>
              </w:rPr>
            </w:pPr>
            <w:r>
              <w:rPr>
                <w:noProof/>
              </w:rPr>
              <w:t>170</w:t>
            </w:r>
          </w:p>
        </w:tc>
        <w:tc>
          <w:tcPr>
            <w:tcW w:w="1415" w:type="dxa"/>
            <w:shd w:val="clear" w:color="auto" w:fill="C6EFCE"/>
          </w:tcPr>
          <w:p w14:paraId="19DAB2DD" w14:textId="77777777" w:rsidR="00D924EA" w:rsidRDefault="00011DE9">
            <w:pPr>
              <w:pStyle w:val="P68B1DB1-Normal23"/>
              <w:jc w:val="center"/>
              <w:rPr>
                <w:rFonts w:cs="Times New Roman"/>
                <w:noProof/>
                <w:szCs w:val="18"/>
              </w:rPr>
            </w:pPr>
            <w:r>
              <w:rPr>
                <w:noProof/>
              </w:rPr>
              <w:t>C11.I4</w:t>
            </w:r>
          </w:p>
        </w:tc>
        <w:tc>
          <w:tcPr>
            <w:tcW w:w="999" w:type="dxa"/>
            <w:shd w:val="clear" w:color="auto" w:fill="C6EFCE"/>
          </w:tcPr>
          <w:p w14:paraId="760C8CD7" w14:textId="77777777" w:rsidR="00D924EA" w:rsidRDefault="00011DE9">
            <w:pPr>
              <w:pStyle w:val="P68B1DB1-Normal23"/>
              <w:jc w:val="center"/>
              <w:rPr>
                <w:rFonts w:cs="Times New Roman"/>
                <w:noProof/>
                <w:szCs w:val="18"/>
              </w:rPr>
            </w:pPr>
            <w:r>
              <w:rPr>
                <w:noProof/>
              </w:rPr>
              <w:t>T</w:t>
            </w:r>
          </w:p>
        </w:tc>
        <w:tc>
          <w:tcPr>
            <w:tcW w:w="1593" w:type="dxa"/>
            <w:shd w:val="clear" w:color="auto" w:fill="C6EFCE"/>
          </w:tcPr>
          <w:p w14:paraId="5A841C06" w14:textId="2FC9B209" w:rsidR="00D924EA" w:rsidRDefault="00011DE9">
            <w:pPr>
              <w:pStyle w:val="P68B1DB1-Normal24"/>
              <w:rPr>
                <w:rFonts w:cs="Times New Roman"/>
                <w:noProof/>
              </w:rPr>
            </w:pPr>
            <w:r>
              <w:rPr>
                <w:noProof/>
              </w:rPr>
              <w:t xml:space="preserve">Casarea și achiziționarea de vehicule </w:t>
            </w:r>
          </w:p>
          <w:p w14:paraId="1933FF34" w14:textId="77777777" w:rsidR="00D924EA" w:rsidRDefault="00D924EA">
            <w:pPr>
              <w:rPr>
                <w:rFonts w:ascii="Times New Roman" w:hAnsi="Times New Roman"/>
                <w:noProof/>
                <w:sz w:val="18"/>
                <w:szCs w:val="18"/>
              </w:rPr>
            </w:pPr>
          </w:p>
        </w:tc>
        <w:tc>
          <w:tcPr>
            <w:tcW w:w="1409" w:type="dxa"/>
            <w:shd w:val="clear" w:color="auto" w:fill="C6EFCE"/>
          </w:tcPr>
          <w:p w14:paraId="7AD22C61" w14:textId="77777777" w:rsidR="00D924EA" w:rsidRDefault="00011DE9">
            <w:pPr>
              <w:pStyle w:val="P68B1DB1-Normal23"/>
              <w:jc w:val="center"/>
              <w:rPr>
                <w:rFonts w:cs="Times New Roman"/>
                <w:noProof/>
                <w:szCs w:val="18"/>
              </w:rPr>
            </w:pPr>
            <w:r>
              <w:rPr>
                <w:noProof/>
              </w:rPr>
              <w:t xml:space="preserve"> </w:t>
            </w:r>
          </w:p>
        </w:tc>
        <w:tc>
          <w:tcPr>
            <w:tcW w:w="897" w:type="dxa"/>
            <w:shd w:val="clear" w:color="auto" w:fill="C6EFCE"/>
          </w:tcPr>
          <w:p w14:paraId="6BFD71CF" w14:textId="77777777" w:rsidR="00D924EA" w:rsidRDefault="00011DE9">
            <w:pPr>
              <w:pStyle w:val="P68B1DB1-Normal23"/>
              <w:rPr>
                <w:rFonts w:cs="Times New Roman"/>
                <w:noProof/>
                <w:szCs w:val="18"/>
              </w:rPr>
            </w:pPr>
            <w:r>
              <w:rPr>
                <w:noProof/>
              </w:rPr>
              <w:t>Număr</w:t>
            </w:r>
          </w:p>
        </w:tc>
        <w:tc>
          <w:tcPr>
            <w:tcW w:w="1133" w:type="dxa"/>
            <w:shd w:val="clear" w:color="auto" w:fill="C6EFCE"/>
          </w:tcPr>
          <w:p w14:paraId="7503F3AE" w14:textId="77777777" w:rsidR="00D924EA" w:rsidRDefault="00011DE9">
            <w:pPr>
              <w:pStyle w:val="P68B1DB1-Normal23"/>
              <w:jc w:val="right"/>
              <w:rPr>
                <w:rFonts w:cs="Times New Roman"/>
                <w:noProof/>
                <w:szCs w:val="18"/>
              </w:rPr>
            </w:pPr>
            <w:r>
              <w:rPr>
                <w:noProof/>
              </w:rPr>
              <w:t>0</w:t>
            </w:r>
          </w:p>
        </w:tc>
        <w:tc>
          <w:tcPr>
            <w:tcW w:w="965" w:type="dxa"/>
            <w:shd w:val="clear" w:color="auto" w:fill="C6EFCE"/>
          </w:tcPr>
          <w:p w14:paraId="33A84030" w14:textId="51D39A13" w:rsidR="00D924EA" w:rsidRDefault="00011DE9">
            <w:pPr>
              <w:pStyle w:val="P68B1DB1-Normal23"/>
              <w:jc w:val="right"/>
              <w:rPr>
                <w:rFonts w:cs="Times New Roman"/>
                <w:noProof/>
                <w:szCs w:val="18"/>
              </w:rPr>
            </w:pPr>
            <w:r>
              <w:rPr>
                <w:noProof/>
              </w:rPr>
              <w:t>5 500</w:t>
            </w:r>
          </w:p>
        </w:tc>
        <w:tc>
          <w:tcPr>
            <w:tcW w:w="708" w:type="dxa"/>
            <w:shd w:val="clear" w:color="auto" w:fill="C6EFCE"/>
          </w:tcPr>
          <w:p w14:paraId="58B35384" w14:textId="01DFAE1D" w:rsidR="00D924EA" w:rsidRDefault="005701C9">
            <w:pPr>
              <w:pStyle w:val="P68B1DB1-Normal23"/>
              <w:jc w:val="center"/>
              <w:rPr>
                <w:rFonts w:cs="Times New Roman"/>
                <w:noProof/>
                <w:szCs w:val="18"/>
              </w:rPr>
            </w:pPr>
            <w:r>
              <w:rPr>
                <w:noProof/>
              </w:rPr>
              <w:t>T4</w:t>
            </w:r>
          </w:p>
        </w:tc>
        <w:tc>
          <w:tcPr>
            <w:tcW w:w="709" w:type="dxa"/>
            <w:shd w:val="clear" w:color="auto" w:fill="C6EFCE"/>
          </w:tcPr>
          <w:p w14:paraId="7297E63C" w14:textId="77777777" w:rsidR="00D924EA" w:rsidRDefault="00011DE9">
            <w:pPr>
              <w:pStyle w:val="P68B1DB1-Normal23"/>
              <w:jc w:val="center"/>
              <w:rPr>
                <w:rFonts w:cs="Times New Roman"/>
                <w:noProof/>
                <w:szCs w:val="18"/>
              </w:rPr>
            </w:pPr>
            <w:r>
              <w:rPr>
                <w:noProof/>
              </w:rPr>
              <w:t>2024</w:t>
            </w:r>
          </w:p>
        </w:tc>
        <w:tc>
          <w:tcPr>
            <w:tcW w:w="3573" w:type="dxa"/>
            <w:shd w:val="clear" w:color="auto" w:fill="C6EFCE"/>
          </w:tcPr>
          <w:p w14:paraId="6ECCA25D" w14:textId="05EAE218" w:rsidR="00D924EA" w:rsidRDefault="00011DE9">
            <w:pPr>
              <w:spacing w:after="200" w:line="276" w:lineRule="auto"/>
              <w:rPr>
                <w:rFonts w:ascii="Times New Roman" w:hAnsi="Times New Roman" w:cs="Times New Roman"/>
                <w:noProof/>
                <w:sz w:val="18"/>
                <w:szCs w:val="18"/>
              </w:rPr>
            </w:pPr>
            <w:r>
              <w:rPr>
                <w:rFonts w:ascii="Times New Roman" w:eastAsia="Calibri" w:hAnsi="Times New Roman" w:cs="Arial"/>
                <w:noProof/>
                <w:kern w:val="0"/>
                <w:sz w:val="18"/>
                <w:szCs w:val="18"/>
                <w14:ligatures w14:val="none"/>
              </w:rPr>
              <w:t xml:space="preserve">(I) </w:t>
            </w:r>
            <w:r>
              <w:rPr>
                <w:rFonts w:ascii="Times New Roman" w:hAnsi="Times New Roman"/>
                <w:noProof/>
                <w:sz w:val="18"/>
                <w:szCs w:val="18"/>
              </w:rPr>
              <w:t>Certificate de casare a 5 500 de vehicule pe bază de combustibili fosili eliberate. (ii) Confirmarea de către administrație a faptului că au fost achiziționate 5 500 de vehicule cu</w:t>
            </w:r>
            <w:r>
              <w:rPr>
                <w:rFonts w:ascii="Times New Roman" w:hAnsi="Times New Roman" w:hint="eastAsia"/>
                <w:noProof/>
                <w:sz w:val="20"/>
                <w:szCs w:val="20"/>
              </w:rPr>
              <w:t xml:space="preserve"> </w:t>
            </w:r>
            <w:r>
              <w:rPr>
                <w:rFonts w:ascii="Times New Roman" w:hAnsi="Times New Roman"/>
                <w:noProof/>
                <w:sz w:val="18"/>
                <w:szCs w:val="18"/>
              </w:rPr>
              <w:t>emisii zero sau scăzute de CO2 (BEV, REEV, PHEV, FCEV).</w:t>
            </w:r>
          </w:p>
        </w:tc>
      </w:tr>
      <w:tr w:rsidR="00D924EA" w14:paraId="06615C64" w14:textId="77777777" w:rsidTr="00C202D2">
        <w:trPr>
          <w:trHeight w:val="309"/>
          <w:jc w:val="center"/>
        </w:trPr>
        <w:tc>
          <w:tcPr>
            <w:tcW w:w="1195" w:type="dxa"/>
            <w:shd w:val="clear" w:color="auto" w:fill="C6EFCE"/>
          </w:tcPr>
          <w:p w14:paraId="5CE0F3AB" w14:textId="77777777" w:rsidR="00D924EA" w:rsidRDefault="00011DE9">
            <w:pPr>
              <w:pStyle w:val="P68B1DB1-Normal23"/>
              <w:jc w:val="center"/>
              <w:rPr>
                <w:rFonts w:cs="Times New Roman"/>
                <w:noProof/>
                <w:szCs w:val="18"/>
              </w:rPr>
            </w:pPr>
            <w:r>
              <w:rPr>
                <w:noProof/>
              </w:rPr>
              <w:t>172</w:t>
            </w:r>
          </w:p>
        </w:tc>
        <w:tc>
          <w:tcPr>
            <w:tcW w:w="1415" w:type="dxa"/>
            <w:shd w:val="clear" w:color="auto" w:fill="C6EFCE"/>
          </w:tcPr>
          <w:p w14:paraId="3CF0D172" w14:textId="77777777" w:rsidR="00D924EA" w:rsidRDefault="00011DE9">
            <w:pPr>
              <w:pStyle w:val="P68B1DB1-Normal23"/>
              <w:jc w:val="center"/>
              <w:rPr>
                <w:rFonts w:cs="Times New Roman"/>
                <w:noProof/>
                <w:szCs w:val="18"/>
              </w:rPr>
            </w:pPr>
            <w:r>
              <w:rPr>
                <w:noProof/>
              </w:rPr>
              <w:t>C11.I4</w:t>
            </w:r>
          </w:p>
        </w:tc>
        <w:tc>
          <w:tcPr>
            <w:tcW w:w="999" w:type="dxa"/>
            <w:shd w:val="clear" w:color="auto" w:fill="C6EFCE"/>
          </w:tcPr>
          <w:p w14:paraId="7D9FD295" w14:textId="77777777" w:rsidR="00D924EA" w:rsidRDefault="00011DE9">
            <w:pPr>
              <w:pStyle w:val="P68B1DB1-Normal23"/>
              <w:jc w:val="center"/>
              <w:rPr>
                <w:rFonts w:cs="Times New Roman"/>
                <w:noProof/>
                <w:szCs w:val="18"/>
              </w:rPr>
            </w:pPr>
            <w:r>
              <w:rPr>
                <w:noProof/>
              </w:rPr>
              <w:t>T</w:t>
            </w:r>
          </w:p>
        </w:tc>
        <w:tc>
          <w:tcPr>
            <w:tcW w:w="1593" w:type="dxa"/>
            <w:shd w:val="clear" w:color="auto" w:fill="C6EFCE"/>
          </w:tcPr>
          <w:p w14:paraId="775EABF7" w14:textId="12C8DBC5" w:rsidR="00D924EA" w:rsidRDefault="00011DE9">
            <w:pPr>
              <w:pStyle w:val="P68B1DB1-Normal24"/>
              <w:rPr>
                <w:rFonts w:cs="Times New Roman"/>
                <w:noProof/>
              </w:rPr>
            </w:pPr>
            <w:r>
              <w:rPr>
                <w:noProof/>
              </w:rPr>
              <w:t>Reducerea consumului de energie primară din surse neregenerabile în clădirile publice</w:t>
            </w:r>
          </w:p>
          <w:p w14:paraId="05F81D18" w14:textId="77777777" w:rsidR="00D924EA" w:rsidRDefault="00D924EA">
            <w:pPr>
              <w:rPr>
                <w:rFonts w:ascii="Times New Roman" w:hAnsi="Times New Roman"/>
                <w:noProof/>
                <w:sz w:val="18"/>
                <w:szCs w:val="18"/>
              </w:rPr>
            </w:pPr>
          </w:p>
        </w:tc>
        <w:tc>
          <w:tcPr>
            <w:tcW w:w="1409" w:type="dxa"/>
            <w:shd w:val="clear" w:color="auto" w:fill="C6EFCE"/>
          </w:tcPr>
          <w:p w14:paraId="1A80C6A9" w14:textId="77777777" w:rsidR="00D924EA" w:rsidRDefault="00011DE9">
            <w:pPr>
              <w:pStyle w:val="P68B1DB1-Normal23"/>
              <w:jc w:val="center"/>
              <w:rPr>
                <w:rFonts w:cs="Times New Roman"/>
                <w:noProof/>
                <w:szCs w:val="18"/>
              </w:rPr>
            </w:pPr>
            <w:r>
              <w:rPr>
                <w:noProof/>
              </w:rPr>
              <w:t xml:space="preserve"> </w:t>
            </w:r>
          </w:p>
        </w:tc>
        <w:tc>
          <w:tcPr>
            <w:tcW w:w="897" w:type="dxa"/>
            <w:shd w:val="clear" w:color="auto" w:fill="C6EFCE"/>
          </w:tcPr>
          <w:p w14:paraId="595209ED" w14:textId="77777777" w:rsidR="00D924EA" w:rsidRDefault="00011DE9">
            <w:pPr>
              <w:pStyle w:val="P68B1DB1-Normal23"/>
              <w:rPr>
                <w:rFonts w:cs="Times New Roman"/>
                <w:noProof/>
                <w:szCs w:val="18"/>
              </w:rPr>
            </w:pPr>
            <w:r>
              <w:rPr>
                <w:noProof/>
              </w:rPr>
              <w:t>Număr (m</w:t>
            </w:r>
            <w:r>
              <w:rPr>
                <w:noProof/>
                <w:vertAlign w:val="superscript"/>
              </w:rPr>
              <w:t xml:space="preserve"> 2</w:t>
            </w:r>
            <w:r>
              <w:rPr>
                <w:noProof/>
              </w:rPr>
              <w:t>)</w:t>
            </w:r>
          </w:p>
        </w:tc>
        <w:tc>
          <w:tcPr>
            <w:tcW w:w="1133" w:type="dxa"/>
            <w:shd w:val="clear" w:color="auto" w:fill="C6EFCE"/>
          </w:tcPr>
          <w:p w14:paraId="3B539C58" w14:textId="58A428BE" w:rsidR="00D924EA" w:rsidRDefault="00011DE9">
            <w:pPr>
              <w:pStyle w:val="P68B1DB1-Normal23"/>
              <w:jc w:val="right"/>
              <w:rPr>
                <w:rFonts w:cs="Times New Roman"/>
                <w:noProof/>
                <w:szCs w:val="18"/>
              </w:rPr>
            </w:pPr>
            <w:r>
              <w:rPr>
                <w:noProof/>
              </w:rPr>
              <w:t>0</w:t>
            </w:r>
          </w:p>
        </w:tc>
        <w:tc>
          <w:tcPr>
            <w:tcW w:w="965" w:type="dxa"/>
            <w:shd w:val="clear" w:color="auto" w:fill="C6EFCE"/>
          </w:tcPr>
          <w:p w14:paraId="11A1AE3E" w14:textId="77777777" w:rsidR="00D924EA" w:rsidRDefault="00011DE9">
            <w:pPr>
              <w:pStyle w:val="P68B1DB1-Normal29"/>
              <w:jc w:val="right"/>
              <w:rPr>
                <w:rFonts w:cs="Times New Roman"/>
                <w:noProof/>
                <w:sz w:val="18"/>
                <w:szCs w:val="18"/>
              </w:rPr>
            </w:pPr>
            <w:r>
              <w:rPr>
                <w:noProof/>
                <w:sz w:val="18"/>
              </w:rPr>
              <w:t>1</w:t>
            </w:r>
            <w:r>
              <w:rPr>
                <w:noProof/>
                <w:sz w:val="20"/>
              </w:rPr>
              <w:t xml:space="preserve"> </w:t>
            </w:r>
            <w:r>
              <w:rPr>
                <w:noProof/>
                <w:sz w:val="18"/>
              </w:rPr>
              <w:t>050</w:t>
            </w:r>
            <w:r>
              <w:rPr>
                <w:noProof/>
                <w:sz w:val="20"/>
              </w:rPr>
              <w:t xml:space="preserve"> </w:t>
            </w:r>
            <w:r>
              <w:rPr>
                <w:noProof/>
                <w:sz w:val="18"/>
              </w:rPr>
              <w:t>000</w:t>
            </w:r>
          </w:p>
        </w:tc>
        <w:tc>
          <w:tcPr>
            <w:tcW w:w="708" w:type="dxa"/>
            <w:shd w:val="clear" w:color="auto" w:fill="C6EFCE"/>
          </w:tcPr>
          <w:p w14:paraId="02A644F0" w14:textId="51635E79" w:rsidR="00D924EA" w:rsidRDefault="005701C9">
            <w:pPr>
              <w:pStyle w:val="P68B1DB1-Normal23"/>
              <w:jc w:val="center"/>
              <w:rPr>
                <w:rFonts w:cs="Times New Roman"/>
                <w:noProof/>
                <w:szCs w:val="18"/>
              </w:rPr>
            </w:pPr>
            <w:r>
              <w:rPr>
                <w:noProof/>
              </w:rPr>
              <w:t>T2</w:t>
            </w:r>
          </w:p>
        </w:tc>
        <w:tc>
          <w:tcPr>
            <w:tcW w:w="709" w:type="dxa"/>
            <w:shd w:val="clear" w:color="auto" w:fill="C6EFCE"/>
          </w:tcPr>
          <w:p w14:paraId="3FAF5872" w14:textId="77777777" w:rsidR="00D924EA" w:rsidRDefault="00011DE9">
            <w:pPr>
              <w:pStyle w:val="P68B1DB1-Normal23"/>
              <w:jc w:val="center"/>
              <w:rPr>
                <w:rFonts w:cs="Times New Roman"/>
                <w:noProof/>
                <w:szCs w:val="18"/>
              </w:rPr>
            </w:pPr>
            <w:r>
              <w:rPr>
                <w:noProof/>
              </w:rPr>
              <w:t>2026</w:t>
            </w:r>
          </w:p>
        </w:tc>
        <w:tc>
          <w:tcPr>
            <w:tcW w:w="3573" w:type="dxa"/>
            <w:shd w:val="clear" w:color="auto" w:fill="C6EFCE"/>
          </w:tcPr>
          <w:p w14:paraId="016B246F" w14:textId="087708B6" w:rsidR="00D924EA" w:rsidRDefault="00011DE9">
            <w:pPr>
              <w:pStyle w:val="P68B1DB1-Normal24"/>
              <w:rPr>
                <w:noProof/>
              </w:rPr>
            </w:pPr>
            <w:r>
              <w:rPr>
                <w:noProof/>
              </w:rPr>
              <w:t>Certificate de performanță energetică în clădirile publice cu o suprafață locuibilă cumulată de 1 050 000 m</w:t>
            </w:r>
            <w:r>
              <w:rPr>
                <w:noProof/>
                <w:vertAlign w:val="superscript"/>
              </w:rPr>
              <w:t xml:space="preserve"> 2,</w:t>
            </w:r>
            <w:r>
              <w:rPr>
                <w:noProof/>
              </w:rPr>
              <w:t xml:space="preserve"> care indică, în medie, o reducere cu 30 % a consumului de energie primară din surse neregenerabile, ponderată în funcție de suprafața locuibilă, astfel cum se indică în certificatul de performanță energetică.</w:t>
            </w:r>
            <w:r w:rsidR="00971820">
              <w:rPr>
                <w:noProof/>
              </w:rPr>
              <w:t xml:space="preserve"> </w:t>
            </w:r>
          </w:p>
        </w:tc>
      </w:tr>
      <w:tr w:rsidR="00D924EA" w14:paraId="5E3E95B9" w14:textId="77777777" w:rsidTr="00C202D2">
        <w:trPr>
          <w:trHeight w:val="309"/>
          <w:jc w:val="center"/>
        </w:trPr>
        <w:tc>
          <w:tcPr>
            <w:tcW w:w="1195" w:type="dxa"/>
            <w:shd w:val="clear" w:color="auto" w:fill="C6EFCE"/>
          </w:tcPr>
          <w:p w14:paraId="6022264B" w14:textId="77777777" w:rsidR="00D924EA" w:rsidRDefault="00011DE9">
            <w:pPr>
              <w:pStyle w:val="P68B1DB1-Normal23"/>
              <w:jc w:val="center"/>
              <w:rPr>
                <w:rFonts w:cs="Times New Roman"/>
                <w:noProof/>
                <w:szCs w:val="18"/>
              </w:rPr>
            </w:pPr>
            <w:r>
              <w:rPr>
                <w:noProof/>
              </w:rPr>
              <w:t>439</w:t>
            </w:r>
          </w:p>
        </w:tc>
        <w:tc>
          <w:tcPr>
            <w:tcW w:w="1415" w:type="dxa"/>
            <w:shd w:val="clear" w:color="auto" w:fill="C6EFCE"/>
          </w:tcPr>
          <w:p w14:paraId="1923F8E7" w14:textId="77777777" w:rsidR="00D924EA" w:rsidRDefault="00011DE9">
            <w:pPr>
              <w:pStyle w:val="P68B1DB1-Normal23"/>
              <w:jc w:val="center"/>
              <w:rPr>
                <w:rFonts w:cs="Times New Roman"/>
                <w:noProof/>
                <w:szCs w:val="18"/>
              </w:rPr>
            </w:pPr>
            <w:r>
              <w:rPr>
                <w:noProof/>
              </w:rPr>
              <w:t>C11.I4</w:t>
            </w:r>
          </w:p>
        </w:tc>
        <w:tc>
          <w:tcPr>
            <w:tcW w:w="999" w:type="dxa"/>
            <w:shd w:val="clear" w:color="auto" w:fill="C6EFCE"/>
          </w:tcPr>
          <w:p w14:paraId="14106E7E" w14:textId="0ACDC282" w:rsidR="00D924EA" w:rsidRDefault="00011DE9">
            <w:pPr>
              <w:pStyle w:val="P68B1DB1-Normal24"/>
              <w:jc w:val="center"/>
              <w:rPr>
                <w:rFonts w:cs="Times New Roman"/>
                <w:noProof/>
              </w:rPr>
            </w:pPr>
            <w:r>
              <w:rPr>
                <w:noProof/>
              </w:rPr>
              <w:t>M</w:t>
            </w:r>
          </w:p>
        </w:tc>
        <w:tc>
          <w:tcPr>
            <w:tcW w:w="1593" w:type="dxa"/>
            <w:shd w:val="clear" w:color="auto" w:fill="C6EFCE"/>
          </w:tcPr>
          <w:p w14:paraId="1A95FEBE" w14:textId="39502556" w:rsidR="00D924EA" w:rsidRDefault="00011DE9">
            <w:pPr>
              <w:pStyle w:val="P68B1DB1-Normal24"/>
              <w:rPr>
                <w:noProof/>
              </w:rPr>
            </w:pPr>
            <w:r>
              <w:rPr>
                <w:noProof/>
              </w:rPr>
              <w:t xml:space="preserve">Punerea în aplicare a sistemelor solare fotovoltaice și a altor tipuri de energie din surse regenerabile, instalarea de puncte de încărcare pentru vehiculele electrice și punerea în aplicare a altor măsuri de îmbunătățire a economiilor de energie în instalațiile administrației publice centrale </w:t>
            </w:r>
          </w:p>
        </w:tc>
        <w:tc>
          <w:tcPr>
            <w:tcW w:w="1409" w:type="dxa"/>
            <w:shd w:val="clear" w:color="auto" w:fill="C6EFCE"/>
          </w:tcPr>
          <w:p w14:paraId="075A805D" w14:textId="3BE07BA8" w:rsidR="00D924EA" w:rsidRDefault="00011DE9">
            <w:pPr>
              <w:pStyle w:val="P68B1DB1-Normal24"/>
              <w:jc w:val="center"/>
              <w:rPr>
                <w:noProof/>
              </w:rPr>
            </w:pPr>
            <w:r>
              <w:rPr>
                <w:noProof/>
              </w:rPr>
              <w:t>Certificate de lucru finale sau certificate de acceptare, declarații de conformitate sau documente echivalente care atestă executarea contractelor (sau a unor părți ale acestora)</w:t>
            </w:r>
          </w:p>
          <w:p w14:paraId="35FB323F" w14:textId="77777777" w:rsidR="00D924EA" w:rsidRDefault="00D924EA">
            <w:pPr>
              <w:jc w:val="center"/>
              <w:rPr>
                <w:rFonts w:ascii="Times New Roman" w:hAnsi="Times New Roman"/>
                <w:noProof/>
                <w:sz w:val="18"/>
                <w:szCs w:val="18"/>
              </w:rPr>
            </w:pPr>
          </w:p>
          <w:p w14:paraId="00C37927" w14:textId="77777777" w:rsidR="00D924EA" w:rsidRDefault="00D924EA">
            <w:pPr>
              <w:jc w:val="center"/>
              <w:rPr>
                <w:rFonts w:ascii="Times New Roman" w:hAnsi="Times New Roman"/>
                <w:noProof/>
                <w:sz w:val="18"/>
                <w:szCs w:val="18"/>
              </w:rPr>
            </w:pPr>
          </w:p>
        </w:tc>
        <w:tc>
          <w:tcPr>
            <w:tcW w:w="897" w:type="dxa"/>
            <w:shd w:val="clear" w:color="auto" w:fill="C6EFCE"/>
          </w:tcPr>
          <w:p w14:paraId="660B6D9C" w14:textId="0A9C32FD" w:rsidR="00D924EA" w:rsidRDefault="00D924EA">
            <w:pPr>
              <w:rPr>
                <w:rFonts w:ascii="Times New Roman" w:hAnsi="Times New Roman" w:cs="Times New Roman"/>
                <w:noProof/>
                <w:sz w:val="18"/>
                <w:szCs w:val="18"/>
              </w:rPr>
            </w:pPr>
          </w:p>
        </w:tc>
        <w:tc>
          <w:tcPr>
            <w:tcW w:w="1133" w:type="dxa"/>
            <w:shd w:val="clear" w:color="auto" w:fill="C6EFCE"/>
          </w:tcPr>
          <w:p w14:paraId="5F78EC76" w14:textId="255CD480" w:rsidR="00D924EA" w:rsidRDefault="00D924EA">
            <w:pPr>
              <w:jc w:val="right"/>
              <w:rPr>
                <w:rFonts w:ascii="Times New Roman" w:hAnsi="Times New Roman" w:cs="Times New Roman"/>
                <w:noProof/>
                <w:sz w:val="18"/>
                <w:szCs w:val="18"/>
              </w:rPr>
            </w:pPr>
          </w:p>
        </w:tc>
        <w:tc>
          <w:tcPr>
            <w:tcW w:w="965" w:type="dxa"/>
            <w:shd w:val="clear" w:color="auto" w:fill="C6EFCE"/>
          </w:tcPr>
          <w:p w14:paraId="3D145AA9" w14:textId="7550FC00" w:rsidR="00D924EA" w:rsidRDefault="00D924EA">
            <w:pPr>
              <w:jc w:val="right"/>
              <w:rPr>
                <w:rFonts w:ascii="Times New Roman" w:hAnsi="Times New Roman" w:cs="Times New Roman"/>
                <w:noProof/>
                <w:sz w:val="18"/>
                <w:szCs w:val="18"/>
              </w:rPr>
            </w:pPr>
          </w:p>
        </w:tc>
        <w:tc>
          <w:tcPr>
            <w:tcW w:w="708" w:type="dxa"/>
            <w:shd w:val="clear" w:color="auto" w:fill="C6EFCE"/>
          </w:tcPr>
          <w:p w14:paraId="50E6DF88" w14:textId="74D4385F" w:rsidR="00D924EA" w:rsidRDefault="005701C9">
            <w:pPr>
              <w:pStyle w:val="P68B1DB1-Normal23"/>
              <w:jc w:val="center"/>
              <w:rPr>
                <w:rFonts w:cs="Times New Roman"/>
                <w:noProof/>
                <w:szCs w:val="18"/>
              </w:rPr>
            </w:pPr>
            <w:r>
              <w:rPr>
                <w:noProof/>
              </w:rPr>
              <w:t>T2</w:t>
            </w:r>
          </w:p>
        </w:tc>
        <w:tc>
          <w:tcPr>
            <w:tcW w:w="709" w:type="dxa"/>
            <w:shd w:val="clear" w:color="auto" w:fill="C6EFCE"/>
          </w:tcPr>
          <w:p w14:paraId="441A51F4" w14:textId="77777777" w:rsidR="00D924EA" w:rsidRDefault="00011DE9">
            <w:pPr>
              <w:pStyle w:val="P68B1DB1-Normal23"/>
              <w:jc w:val="center"/>
              <w:rPr>
                <w:rFonts w:cs="Times New Roman"/>
                <w:noProof/>
                <w:szCs w:val="18"/>
              </w:rPr>
            </w:pPr>
            <w:r>
              <w:rPr>
                <w:noProof/>
              </w:rPr>
              <w:t>2026</w:t>
            </w:r>
          </w:p>
        </w:tc>
        <w:tc>
          <w:tcPr>
            <w:tcW w:w="3573" w:type="dxa"/>
            <w:shd w:val="clear" w:color="auto" w:fill="C6EFCE"/>
          </w:tcPr>
          <w:p w14:paraId="40C6C68C" w14:textId="5B146AC0" w:rsidR="00D924EA" w:rsidRDefault="00011DE9">
            <w:pPr>
              <w:pStyle w:val="P68B1DB1-Normal24"/>
              <w:rPr>
                <w:noProof/>
              </w:rPr>
            </w:pPr>
            <w:r>
              <w:rPr>
                <w:noProof/>
              </w:rPr>
              <w:t>Confirmarea din partea administrației sau a administratorului sitului (</w:t>
            </w:r>
            <w:r>
              <w:rPr>
                <w:i/>
                <w:noProof/>
              </w:rPr>
              <w:t>director de obra</w:t>
            </w:r>
            <w:r>
              <w:rPr>
                <w:noProof/>
              </w:rPr>
              <w:t>) că au fost executate contracte (inclusiv modificări) sau părți corespunzătoare ale acestora, în valoare totală de 80 000 000 EUR, privind punerea în aplicare a sistemelor solare fotovoltaice și a altor tipuri de energie din surse regenerabile, instalarea de puncte de încărcare pentru vehiculele electrice și punerea în aplicare a altor măsuri de îmbunătățire a economiilor de energie în instalațiile administrației publice centrale.</w:t>
            </w:r>
          </w:p>
          <w:p w14:paraId="24BBB896" w14:textId="77777777" w:rsidR="00D924EA" w:rsidRDefault="00D924EA">
            <w:pPr>
              <w:rPr>
                <w:rFonts w:ascii="Times New Roman" w:hAnsi="Times New Roman"/>
                <w:noProof/>
                <w:sz w:val="18"/>
                <w:szCs w:val="18"/>
              </w:rPr>
            </w:pPr>
          </w:p>
          <w:p w14:paraId="6769BB2D" w14:textId="77777777" w:rsidR="00D924EA" w:rsidRDefault="00D924EA">
            <w:pPr>
              <w:rPr>
                <w:rFonts w:ascii="Times New Roman" w:hAnsi="Times New Roman"/>
                <w:noProof/>
                <w:sz w:val="18"/>
              </w:rPr>
            </w:pPr>
          </w:p>
        </w:tc>
      </w:tr>
      <w:tr w:rsidR="00D924EA" w14:paraId="709A787B" w14:textId="77777777" w:rsidTr="00C202D2">
        <w:trPr>
          <w:trHeight w:val="309"/>
          <w:jc w:val="center"/>
        </w:trPr>
        <w:tc>
          <w:tcPr>
            <w:tcW w:w="1195" w:type="dxa"/>
            <w:shd w:val="clear" w:color="auto" w:fill="C6EFCE"/>
          </w:tcPr>
          <w:p w14:paraId="2202B506" w14:textId="77777777" w:rsidR="00D924EA" w:rsidRDefault="00011DE9">
            <w:pPr>
              <w:pStyle w:val="P68B1DB1-Normal23"/>
              <w:jc w:val="center"/>
              <w:rPr>
                <w:rFonts w:cs="Times New Roman"/>
                <w:noProof/>
                <w:szCs w:val="18"/>
              </w:rPr>
            </w:pPr>
            <w:r>
              <w:rPr>
                <w:noProof/>
              </w:rPr>
              <w:t>173</w:t>
            </w:r>
          </w:p>
        </w:tc>
        <w:tc>
          <w:tcPr>
            <w:tcW w:w="1415" w:type="dxa"/>
            <w:shd w:val="clear" w:color="auto" w:fill="C6EFCE"/>
          </w:tcPr>
          <w:p w14:paraId="5CE76059" w14:textId="77777777" w:rsidR="00D924EA" w:rsidRDefault="00011DE9">
            <w:pPr>
              <w:pStyle w:val="P68B1DB1-Normal23"/>
              <w:jc w:val="center"/>
              <w:rPr>
                <w:rFonts w:cs="Times New Roman"/>
                <w:noProof/>
                <w:szCs w:val="18"/>
              </w:rPr>
            </w:pPr>
            <w:r>
              <w:rPr>
                <w:noProof/>
              </w:rPr>
              <w:t>C11.I5</w:t>
            </w:r>
          </w:p>
        </w:tc>
        <w:tc>
          <w:tcPr>
            <w:tcW w:w="999" w:type="dxa"/>
            <w:shd w:val="clear" w:color="auto" w:fill="C6EFCE"/>
          </w:tcPr>
          <w:p w14:paraId="336826E0" w14:textId="77777777" w:rsidR="00D924EA" w:rsidRDefault="00011DE9">
            <w:pPr>
              <w:pStyle w:val="P68B1DB1-Normal23"/>
              <w:jc w:val="center"/>
              <w:rPr>
                <w:rFonts w:cs="Times New Roman"/>
                <w:noProof/>
                <w:szCs w:val="18"/>
              </w:rPr>
            </w:pPr>
            <w:r>
              <w:rPr>
                <w:noProof/>
              </w:rPr>
              <w:t>M</w:t>
            </w:r>
          </w:p>
        </w:tc>
        <w:tc>
          <w:tcPr>
            <w:tcW w:w="1593" w:type="dxa"/>
            <w:shd w:val="clear" w:color="auto" w:fill="C6EFCE"/>
          </w:tcPr>
          <w:p w14:paraId="3DA83279" w14:textId="77777777" w:rsidR="00D924EA" w:rsidRDefault="00011DE9">
            <w:pPr>
              <w:pStyle w:val="P68B1DB1-Normal23"/>
              <w:rPr>
                <w:rFonts w:cs="Times New Roman"/>
                <w:noProof/>
                <w:szCs w:val="18"/>
              </w:rPr>
            </w:pPr>
            <w:r>
              <w:rPr>
                <w:noProof/>
              </w:rPr>
              <w:t>Sistemul integrat de informații al Mecanismului de redresare și reziliență</w:t>
            </w:r>
          </w:p>
        </w:tc>
        <w:tc>
          <w:tcPr>
            <w:tcW w:w="1409" w:type="dxa"/>
            <w:shd w:val="clear" w:color="auto" w:fill="C6EFCE"/>
          </w:tcPr>
          <w:p w14:paraId="78A5104A" w14:textId="77777777" w:rsidR="00D924EA" w:rsidRDefault="00011DE9">
            <w:pPr>
              <w:pStyle w:val="P68B1DB1-Normal23"/>
              <w:jc w:val="center"/>
              <w:rPr>
                <w:rFonts w:cs="Times New Roman"/>
                <w:noProof/>
                <w:szCs w:val="18"/>
              </w:rPr>
            </w:pPr>
            <w:r>
              <w:rPr>
                <w:noProof/>
              </w:rPr>
              <w:t>Raportul de audit</w:t>
            </w:r>
          </w:p>
        </w:tc>
        <w:tc>
          <w:tcPr>
            <w:tcW w:w="897" w:type="dxa"/>
            <w:shd w:val="clear" w:color="auto" w:fill="C6EFCE"/>
          </w:tcPr>
          <w:p w14:paraId="6F6ED9E5" w14:textId="77777777" w:rsidR="00D924EA" w:rsidRDefault="00011DE9">
            <w:pPr>
              <w:pStyle w:val="P68B1DB1-Normal23"/>
              <w:jc w:val="right"/>
              <w:rPr>
                <w:rFonts w:cs="Times New Roman"/>
                <w:noProof/>
                <w:szCs w:val="18"/>
              </w:rPr>
            </w:pPr>
            <w:r>
              <w:rPr>
                <w:noProof/>
              </w:rPr>
              <w:t xml:space="preserve"> </w:t>
            </w:r>
          </w:p>
        </w:tc>
        <w:tc>
          <w:tcPr>
            <w:tcW w:w="1133" w:type="dxa"/>
            <w:shd w:val="clear" w:color="auto" w:fill="C6EFCE"/>
          </w:tcPr>
          <w:p w14:paraId="0AAA1F81" w14:textId="77777777" w:rsidR="00D924EA" w:rsidRDefault="00011DE9">
            <w:pPr>
              <w:pStyle w:val="P68B1DB1-Normal23"/>
              <w:jc w:val="right"/>
              <w:rPr>
                <w:rFonts w:cs="Times New Roman"/>
                <w:noProof/>
                <w:szCs w:val="18"/>
              </w:rPr>
            </w:pPr>
            <w:r>
              <w:rPr>
                <w:noProof/>
              </w:rPr>
              <w:t xml:space="preserve"> </w:t>
            </w:r>
          </w:p>
        </w:tc>
        <w:tc>
          <w:tcPr>
            <w:tcW w:w="965" w:type="dxa"/>
            <w:shd w:val="clear" w:color="auto" w:fill="C6EFCE"/>
          </w:tcPr>
          <w:p w14:paraId="3B874E56" w14:textId="77777777" w:rsidR="00D924EA" w:rsidRDefault="00011DE9">
            <w:pPr>
              <w:pStyle w:val="P68B1DB1-Normal23"/>
              <w:jc w:val="right"/>
              <w:rPr>
                <w:rFonts w:cs="Times New Roman"/>
                <w:noProof/>
                <w:szCs w:val="18"/>
              </w:rPr>
            </w:pPr>
            <w:r>
              <w:rPr>
                <w:noProof/>
              </w:rPr>
              <w:t xml:space="preserve"> </w:t>
            </w:r>
          </w:p>
        </w:tc>
        <w:tc>
          <w:tcPr>
            <w:tcW w:w="708" w:type="dxa"/>
            <w:shd w:val="clear" w:color="auto" w:fill="C6EFCE"/>
          </w:tcPr>
          <w:p w14:paraId="50D5151B" w14:textId="03BDA0EB" w:rsidR="00D924EA" w:rsidRDefault="005701C9">
            <w:pPr>
              <w:pStyle w:val="P68B1DB1-Normal23"/>
              <w:jc w:val="center"/>
              <w:rPr>
                <w:rFonts w:cs="Times New Roman"/>
                <w:noProof/>
                <w:szCs w:val="18"/>
              </w:rPr>
            </w:pPr>
            <w:r>
              <w:rPr>
                <w:noProof/>
              </w:rPr>
              <w:t>T3</w:t>
            </w:r>
          </w:p>
        </w:tc>
        <w:tc>
          <w:tcPr>
            <w:tcW w:w="709" w:type="dxa"/>
            <w:shd w:val="clear" w:color="auto" w:fill="C6EFCE"/>
          </w:tcPr>
          <w:p w14:paraId="19977AD0" w14:textId="77777777" w:rsidR="00D924EA" w:rsidRDefault="00011DE9">
            <w:pPr>
              <w:pStyle w:val="P68B1DB1-Normal23"/>
              <w:jc w:val="center"/>
              <w:rPr>
                <w:rFonts w:cs="Times New Roman"/>
                <w:noProof/>
                <w:szCs w:val="18"/>
              </w:rPr>
            </w:pPr>
            <w:r>
              <w:rPr>
                <w:noProof/>
              </w:rPr>
              <w:t>2021</w:t>
            </w:r>
          </w:p>
        </w:tc>
        <w:tc>
          <w:tcPr>
            <w:tcW w:w="3573" w:type="dxa"/>
            <w:shd w:val="clear" w:color="auto" w:fill="C6EFCE"/>
          </w:tcPr>
          <w:p w14:paraId="634F3468" w14:textId="77777777" w:rsidR="00D924EA" w:rsidRDefault="00011DE9">
            <w:pPr>
              <w:pStyle w:val="P68B1DB1-Normal23"/>
              <w:rPr>
                <w:rFonts w:cs="Times New Roman"/>
                <w:noProof/>
                <w:szCs w:val="18"/>
              </w:rPr>
            </w:pPr>
            <w:r>
              <w:rPr>
                <w:noProof/>
              </w:rPr>
              <w:t>Implementarea unui sistem care să permită (a) încărcarea planului de redresare și reziliență și a informațiilor privind implementarea și monitorizarea îndeplinirii obiectivelor de etapă și a țintelor; (b) pentru pregătirea declarațiilor de gestiune și a rezumatului auditului, precum și a cererilor de plată și (c) pentru colectarea și stocarea datelor privind beneficiarii, contractanții, subcontractanții și beneficiarii reali în conformitate cu articolul 22 din Regulamentul privind Mecanismul de redresare și reziliență. Se întocmește un raport de audit specific privind sistemul utilizat. Dacă raportul identifică eventuale deficiențe, raportul de audit recomandă acțiuni corective.</w:t>
            </w:r>
          </w:p>
        </w:tc>
      </w:tr>
      <w:tr w:rsidR="00D924EA" w14:paraId="4EFEA040" w14:textId="77777777" w:rsidTr="00C202D2">
        <w:trPr>
          <w:trHeight w:val="309"/>
          <w:jc w:val="center"/>
        </w:trPr>
        <w:tc>
          <w:tcPr>
            <w:tcW w:w="1195" w:type="dxa"/>
            <w:shd w:val="clear" w:color="auto" w:fill="C6EFCE"/>
          </w:tcPr>
          <w:p w14:paraId="710D0CCD" w14:textId="77777777" w:rsidR="00D924EA" w:rsidRDefault="00011DE9">
            <w:pPr>
              <w:pStyle w:val="P68B1DB1-Normal23"/>
              <w:jc w:val="center"/>
              <w:rPr>
                <w:rFonts w:cs="Times New Roman"/>
                <w:noProof/>
                <w:szCs w:val="18"/>
              </w:rPr>
            </w:pPr>
            <w:r>
              <w:rPr>
                <w:noProof/>
              </w:rPr>
              <w:t>174</w:t>
            </w:r>
          </w:p>
        </w:tc>
        <w:tc>
          <w:tcPr>
            <w:tcW w:w="1415" w:type="dxa"/>
            <w:shd w:val="clear" w:color="auto" w:fill="C6EFCE"/>
          </w:tcPr>
          <w:p w14:paraId="1CB11A13" w14:textId="77777777" w:rsidR="00D924EA" w:rsidRDefault="00011DE9">
            <w:pPr>
              <w:pStyle w:val="P68B1DB1-Normal23"/>
              <w:jc w:val="center"/>
              <w:rPr>
                <w:rFonts w:cs="Times New Roman"/>
                <w:noProof/>
                <w:szCs w:val="18"/>
              </w:rPr>
            </w:pPr>
            <w:r>
              <w:rPr>
                <w:noProof/>
              </w:rPr>
              <w:t>C11.I5</w:t>
            </w:r>
          </w:p>
        </w:tc>
        <w:tc>
          <w:tcPr>
            <w:tcW w:w="999" w:type="dxa"/>
            <w:shd w:val="clear" w:color="auto" w:fill="C6EFCE"/>
          </w:tcPr>
          <w:p w14:paraId="5141F948" w14:textId="77777777" w:rsidR="00D924EA" w:rsidRDefault="00011DE9">
            <w:pPr>
              <w:pStyle w:val="P68B1DB1-Normal23"/>
              <w:jc w:val="center"/>
              <w:rPr>
                <w:rFonts w:cs="Times New Roman"/>
                <w:noProof/>
                <w:szCs w:val="18"/>
              </w:rPr>
            </w:pPr>
            <w:r>
              <w:rPr>
                <w:noProof/>
              </w:rPr>
              <w:t>T</w:t>
            </w:r>
          </w:p>
        </w:tc>
        <w:tc>
          <w:tcPr>
            <w:tcW w:w="1593" w:type="dxa"/>
            <w:shd w:val="clear" w:color="auto" w:fill="C6EFCE"/>
          </w:tcPr>
          <w:p w14:paraId="6B0529B4" w14:textId="77777777" w:rsidR="00D924EA" w:rsidRDefault="00011DE9">
            <w:pPr>
              <w:pStyle w:val="P68B1DB1-Normal23"/>
              <w:rPr>
                <w:rFonts w:cs="Times New Roman"/>
                <w:noProof/>
                <w:szCs w:val="18"/>
              </w:rPr>
            </w:pPr>
            <w:r>
              <w:rPr>
                <w:noProof/>
              </w:rPr>
              <w:t>Noi instrumente și activități de comunicare</w:t>
            </w:r>
          </w:p>
        </w:tc>
        <w:tc>
          <w:tcPr>
            <w:tcW w:w="1409" w:type="dxa"/>
            <w:shd w:val="clear" w:color="auto" w:fill="C6EFCE"/>
          </w:tcPr>
          <w:p w14:paraId="401DC378" w14:textId="77777777" w:rsidR="00D924EA" w:rsidRDefault="00011DE9">
            <w:pPr>
              <w:pStyle w:val="P68B1DB1-Normal23"/>
              <w:jc w:val="center"/>
              <w:rPr>
                <w:rFonts w:cs="Times New Roman"/>
                <w:noProof/>
                <w:szCs w:val="18"/>
              </w:rPr>
            </w:pPr>
            <w:r>
              <w:rPr>
                <w:noProof/>
              </w:rPr>
              <w:t xml:space="preserve"> </w:t>
            </w:r>
          </w:p>
        </w:tc>
        <w:tc>
          <w:tcPr>
            <w:tcW w:w="897" w:type="dxa"/>
            <w:shd w:val="clear" w:color="auto" w:fill="C6EFCE"/>
          </w:tcPr>
          <w:p w14:paraId="50E0ADC8" w14:textId="77777777" w:rsidR="00D924EA" w:rsidRDefault="00011DE9">
            <w:pPr>
              <w:pStyle w:val="P68B1DB1-Normal23"/>
              <w:rPr>
                <w:rFonts w:cs="Times New Roman"/>
                <w:noProof/>
                <w:szCs w:val="18"/>
              </w:rPr>
            </w:pPr>
            <w:r>
              <w:rPr>
                <w:noProof/>
              </w:rPr>
              <w:t>Număr</w:t>
            </w:r>
          </w:p>
        </w:tc>
        <w:tc>
          <w:tcPr>
            <w:tcW w:w="1133" w:type="dxa"/>
            <w:shd w:val="clear" w:color="auto" w:fill="C6EFCE"/>
          </w:tcPr>
          <w:p w14:paraId="5677ADAB" w14:textId="77777777" w:rsidR="00D924EA" w:rsidRDefault="00011DE9">
            <w:pPr>
              <w:pStyle w:val="P68B1DB1-Normal23"/>
              <w:jc w:val="right"/>
              <w:rPr>
                <w:rFonts w:cs="Times New Roman"/>
                <w:noProof/>
                <w:szCs w:val="18"/>
              </w:rPr>
            </w:pPr>
            <w:r>
              <w:rPr>
                <w:noProof/>
              </w:rPr>
              <w:t>0</w:t>
            </w:r>
          </w:p>
        </w:tc>
        <w:tc>
          <w:tcPr>
            <w:tcW w:w="965" w:type="dxa"/>
            <w:shd w:val="clear" w:color="auto" w:fill="C6EFCE"/>
          </w:tcPr>
          <w:p w14:paraId="484E550F" w14:textId="77777777" w:rsidR="00D924EA" w:rsidRDefault="00011DE9">
            <w:pPr>
              <w:pStyle w:val="P68B1DB1-Normal23"/>
              <w:jc w:val="right"/>
              <w:rPr>
                <w:rFonts w:cs="Times New Roman"/>
                <w:noProof/>
                <w:szCs w:val="18"/>
              </w:rPr>
            </w:pPr>
            <w:r>
              <w:rPr>
                <w:noProof/>
              </w:rPr>
              <w:t>4</w:t>
            </w:r>
          </w:p>
        </w:tc>
        <w:tc>
          <w:tcPr>
            <w:tcW w:w="708" w:type="dxa"/>
            <w:shd w:val="clear" w:color="auto" w:fill="C6EFCE"/>
          </w:tcPr>
          <w:p w14:paraId="0021F56C" w14:textId="63815CC4" w:rsidR="00D924EA" w:rsidRDefault="005701C9">
            <w:pPr>
              <w:pStyle w:val="P68B1DB1-Normal23"/>
              <w:jc w:val="center"/>
              <w:rPr>
                <w:rFonts w:cs="Times New Roman"/>
                <w:noProof/>
                <w:szCs w:val="18"/>
              </w:rPr>
            </w:pPr>
            <w:r>
              <w:rPr>
                <w:noProof/>
              </w:rPr>
              <w:t>T4</w:t>
            </w:r>
          </w:p>
        </w:tc>
        <w:tc>
          <w:tcPr>
            <w:tcW w:w="709" w:type="dxa"/>
            <w:shd w:val="clear" w:color="auto" w:fill="C6EFCE"/>
          </w:tcPr>
          <w:p w14:paraId="31D0E2F6" w14:textId="77777777" w:rsidR="00D924EA" w:rsidRDefault="00011DE9">
            <w:pPr>
              <w:pStyle w:val="P68B1DB1-Normal23"/>
              <w:jc w:val="center"/>
              <w:rPr>
                <w:rFonts w:cs="Times New Roman"/>
                <w:noProof/>
                <w:szCs w:val="18"/>
              </w:rPr>
            </w:pPr>
            <w:r>
              <w:rPr>
                <w:noProof/>
              </w:rPr>
              <w:t>2022</w:t>
            </w:r>
          </w:p>
        </w:tc>
        <w:tc>
          <w:tcPr>
            <w:tcW w:w="3573" w:type="dxa"/>
            <w:shd w:val="clear" w:color="auto" w:fill="C6EFCE"/>
          </w:tcPr>
          <w:p w14:paraId="359FD016" w14:textId="77777777" w:rsidR="00D924EA" w:rsidRDefault="00011DE9">
            <w:pPr>
              <w:pStyle w:val="P68B1DB1-Normal23"/>
              <w:rPr>
                <w:rFonts w:cs="Times New Roman"/>
                <w:noProof/>
                <w:szCs w:val="18"/>
              </w:rPr>
            </w:pPr>
            <w:r>
              <w:rPr>
                <w:noProof/>
              </w:rPr>
              <w:t>Cel puțin 2 de manageri de comunitate angajați pentru a spori prezența pe platformele de comunicare socială, sporind numărul potențialilor participanți și beneficiari ai planului pentru a deveni conștienți de posibilitățile oferite de plan; iar 2 de site-uri web sunt operaționale pentru a contribui la maximizarea absorbției resurselor.</w:t>
            </w:r>
          </w:p>
        </w:tc>
      </w:tr>
      <w:tr w:rsidR="00D924EA" w14:paraId="5CEDEFAE" w14:textId="77777777" w:rsidTr="00C202D2">
        <w:trPr>
          <w:trHeight w:val="1747"/>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tcPr>
          <w:p w14:paraId="1956A34D" w14:textId="77777777" w:rsidR="00D924EA" w:rsidRDefault="00011DE9">
            <w:pPr>
              <w:pStyle w:val="P68B1DB1-Normal23"/>
              <w:jc w:val="center"/>
              <w:rPr>
                <w:rFonts w:cs="Times New Roman"/>
                <w:noProof/>
                <w:szCs w:val="18"/>
              </w:rPr>
            </w:pPr>
            <w:r>
              <w:rPr>
                <w:noProof/>
              </w:rPr>
              <w:t>175</w:t>
            </w:r>
          </w:p>
        </w:tc>
        <w:tc>
          <w:tcPr>
            <w:tcW w:w="1415" w:type="dxa"/>
            <w:tcBorders>
              <w:top w:val="single" w:sz="4" w:space="0" w:color="auto"/>
              <w:left w:val="single" w:sz="4" w:space="0" w:color="auto"/>
              <w:bottom w:val="single" w:sz="4" w:space="0" w:color="auto"/>
              <w:right w:val="single" w:sz="4" w:space="0" w:color="auto"/>
            </w:tcBorders>
            <w:shd w:val="clear" w:color="auto" w:fill="C6EFCE"/>
          </w:tcPr>
          <w:p w14:paraId="2BC3719A" w14:textId="77777777" w:rsidR="00D924EA" w:rsidRDefault="00011DE9">
            <w:pPr>
              <w:pStyle w:val="P68B1DB1-Normal23"/>
              <w:jc w:val="center"/>
              <w:rPr>
                <w:rFonts w:cs="Times New Roman"/>
                <w:noProof/>
                <w:szCs w:val="18"/>
              </w:rPr>
            </w:pPr>
            <w:r>
              <w:rPr>
                <w:noProof/>
              </w:rPr>
              <w:t>C11.I5</w:t>
            </w:r>
          </w:p>
        </w:tc>
        <w:tc>
          <w:tcPr>
            <w:tcW w:w="999" w:type="dxa"/>
            <w:tcBorders>
              <w:top w:val="single" w:sz="4" w:space="0" w:color="auto"/>
              <w:left w:val="single" w:sz="4" w:space="0" w:color="auto"/>
              <w:bottom w:val="single" w:sz="4" w:space="0" w:color="auto"/>
              <w:right w:val="single" w:sz="4" w:space="0" w:color="auto"/>
            </w:tcBorders>
            <w:shd w:val="clear" w:color="auto" w:fill="C6EFCE"/>
          </w:tcPr>
          <w:p w14:paraId="03E9F65E" w14:textId="77777777" w:rsidR="00D924EA" w:rsidRDefault="00011DE9">
            <w:pPr>
              <w:pStyle w:val="P68B1DB1-Normal24"/>
              <w:jc w:val="center"/>
              <w:rPr>
                <w:noProof/>
              </w:rPr>
            </w:pPr>
            <w:r>
              <w:rPr>
                <w:noProof/>
              </w:rPr>
              <w:t>T</w:t>
            </w:r>
          </w:p>
        </w:tc>
        <w:tc>
          <w:tcPr>
            <w:tcW w:w="1593" w:type="dxa"/>
            <w:tcBorders>
              <w:top w:val="single" w:sz="4" w:space="0" w:color="auto"/>
              <w:left w:val="single" w:sz="4" w:space="0" w:color="auto"/>
              <w:bottom w:val="single" w:sz="4" w:space="0" w:color="auto"/>
              <w:right w:val="single" w:sz="4" w:space="0" w:color="auto"/>
            </w:tcBorders>
            <w:shd w:val="clear" w:color="auto" w:fill="C6EFCE"/>
          </w:tcPr>
          <w:p w14:paraId="419D2A52" w14:textId="77777777" w:rsidR="00D924EA" w:rsidRDefault="00011DE9">
            <w:pPr>
              <w:pStyle w:val="P68B1DB1-Normal24"/>
              <w:rPr>
                <w:noProof/>
              </w:rPr>
            </w:pPr>
            <w:r>
              <w:rPr>
                <w:noProof/>
              </w:rPr>
              <w:t>Cursuri de formare privind planul de redresare și reziliență</w:t>
            </w:r>
          </w:p>
        </w:tc>
        <w:tc>
          <w:tcPr>
            <w:tcW w:w="1409" w:type="dxa"/>
            <w:tcBorders>
              <w:top w:val="single" w:sz="4" w:space="0" w:color="auto"/>
              <w:left w:val="single" w:sz="4" w:space="0" w:color="auto"/>
              <w:bottom w:val="single" w:sz="4" w:space="0" w:color="auto"/>
              <w:right w:val="single" w:sz="4" w:space="0" w:color="auto"/>
            </w:tcBorders>
            <w:shd w:val="clear" w:color="auto" w:fill="C6EFCE"/>
          </w:tcPr>
          <w:p w14:paraId="456D7224" w14:textId="77777777" w:rsidR="00D924EA" w:rsidRDefault="00011DE9">
            <w:pPr>
              <w:pStyle w:val="P68B1DB1-Normal23"/>
              <w:jc w:val="center"/>
              <w:rPr>
                <w:rFonts w:cs="Times New Roman"/>
                <w:noProof/>
                <w:szCs w:val="18"/>
              </w:rPr>
            </w:pPr>
            <w:r>
              <w:rPr>
                <w:noProof/>
              </w:rPr>
              <w:t xml:space="preserve"> </w:t>
            </w:r>
          </w:p>
        </w:tc>
        <w:tc>
          <w:tcPr>
            <w:tcW w:w="897" w:type="dxa"/>
            <w:tcBorders>
              <w:top w:val="single" w:sz="4" w:space="0" w:color="auto"/>
              <w:left w:val="single" w:sz="4" w:space="0" w:color="auto"/>
              <w:bottom w:val="single" w:sz="4" w:space="0" w:color="auto"/>
              <w:right w:val="single" w:sz="4" w:space="0" w:color="auto"/>
            </w:tcBorders>
            <w:shd w:val="clear" w:color="auto" w:fill="C6EFCE"/>
          </w:tcPr>
          <w:p w14:paraId="12C0AD91" w14:textId="77777777" w:rsidR="00D924EA" w:rsidRDefault="00011DE9">
            <w:pPr>
              <w:pStyle w:val="P68B1DB1-Normal24"/>
              <w:rPr>
                <w:rFonts w:cs="Times New Roman"/>
                <w:noProof/>
              </w:rPr>
            </w:pPr>
            <w:r>
              <w:rPr>
                <w:noProof/>
              </w:rPr>
              <w:t>Număr</w:t>
            </w:r>
          </w:p>
        </w:tc>
        <w:tc>
          <w:tcPr>
            <w:tcW w:w="1133" w:type="dxa"/>
            <w:tcBorders>
              <w:top w:val="single" w:sz="4" w:space="0" w:color="auto"/>
              <w:left w:val="single" w:sz="4" w:space="0" w:color="auto"/>
              <w:bottom w:val="single" w:sz="4" w:space="0" w:color="auto"/>
              <w:right w:val="single" w:sz="4" w:space="0" w:color="auto"/>
            </w:tcBorders>
            <w:shd w:val="clear" w:color="auto" w:fill="C6EFCE"/>
          </w:tcPr>
          <w:p w14:paraId="04CF4907" w14:textId="77777777" w:rsidR="00D924EA" w:rsidRDefault="00011DE9">
            <w:pPr>
              <w:pStyle w:val="P68B1DB1-Normal24"/>
              <w:jc w:val="right"/>
              <w:rPr>
                <w:rFonts w:cs="Times New Roman"/>
                <w:noProof/>
              </w:rPr>
            </w:pPr>
            <w:r>
              <w:rPr>
                <w:noProof/>
              </w:rPr>
              <w:t>0</w:t>
            </w:r>
          </w:p>
        </w:tc>
        <w:tc>
          <w:tcPr>
            <w:tcW w:w="965" w:type="dxa"/>
            <w:tcBorders>
              <w:top w:val="single" w:sz="4" w:space="0" w:color="auto"/>
              <w:left w:val="single" w:sz="4" w:space="0" w:color="auto"/>
              <w:bottom w:val="single" w:sz="4" w:space="0" w:color="auto"/>
              <w:right w:val="single" w:sz="4" w:space="0" w:color="auto"/>
            </w:tcBorders>
            <w:shd w:val="clear" w:color="auto" w:fill="C6EFCE"/>
          </w:tcPr>
          <w:p w14:paraId="1F31519C" w14:textId="6C26166D" w:rsidR="00D924EA" w:rsidRDefault="00011DE9">
            <w:pPr>
              <w:pStyle w:val="P68B1DB1-Normal24"/>
              <w:jc w:val="right"/>
              <w:rPr>
                <w:noProof/>
              </w:rPr>
            </w:pPr>
            <w:r>
              <w:rPr>
                <w:noProof/>
              </w:rPr>
              <w:t>3 150</w:t>
            </w:r>
          </w:p>
          <w:p w14:paraId="42148CC3" w14:textId="77777777" w:rsidR="00D924EA" w:rsidRDefault="00D924EA">
            <w:pPr>
              <w:jc w:val="right"/>
              <w:rPr>
                <w:rFonts w:ascii="Times New Roman" w:hAnsi="Times New Roman"/>
                <w:noProof/>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2968EC6F" w14:textId="064986CA" w:rsidR="00D924EA" w:rsidRDefault="005701C9">
            <w:pPr>
              <w:pStyle w:val="P68B1DB1-Normal23"/>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9431EC3" w14:textId="26F984DE" w:rsidR="00D924EA" w:rsidRDefault="00011DE9">
            <w:pPr>
              <w:pStyle w:val="P68B1DB1-Normal23"/>
              <w:jc w:val="center"/>
              <w:rPr>
                <w:rFonts w:cs="Times New Roman"/>
                <w:noProof/>
                <w:szCs w:val="18"/>
              </w:rPr>
            </w:pPr>
            <w:r>
              <w:rPr>
                <w:noProof/>
              </w:rPr>
              <w:t>2025</w:t>
            </w:r>
          </w:p>
        </w:tc>
        <w:tc>
          <w:tcPr>
            <w:tcW w:w="3573" w:type="dxa"/>
            <w:tcBorders>
              <w:top w:val="single" w:sz="4" w:space="0" w:color="auto"/>
              <w:left w:val="single" w:sz="4" w:space="0" w:color="auto"/>
              <w:bottom w:val="single" w:sz="4" w:space="0" w:color="auto"/>
              <w:right w:val="single" w:sz="4" w:space="0" w:color="auto"/>
            </w:tcBorders>
            <w:shd w:val="clear" w:color="auto" w:fill="C6EFCE"/>
          </w:tcPr>
          <w:p w14:paraId="1E2A6EEB" w14:textId="3D2184A3" w:rsidR="00D924EA" w:rsidRDefault="00011DE9">
            <w:pPr>
              <w:pStyle w:val="P68B1DB1-Normal24"/>
              <w:rPr>
                <w:noProof/>
              </w:rPr>
            </w:pPr>
            <w:r>
              <w:rPr>
                <w:noProof/>
              </w:rPr>
              <w:t>O platformă de formare este online. Certificatele de participare la formare sau rezoluția oficială care certifică participarea la formare emise pentru 3 150 de participanți la cursuri de formare privind planul de redresare și reziliență. O persoană care participă la mai multe cursuri de formare este luată în calcul separat pentru fiecare curs de formare la care a participat.</w:t>
            </w:r>
          </w:p>
        </w:tc>
      </w:tr>
      <w:tr w:rsidR="00D924EA" w14:paraId="767E2773" w14:textId="77777777" w:rsidTr="00C202D2">
        <w:trPr>
          <w:trHeight w:val="309"/>
          <w:jc w:val="center"/>
        </w:trPr>
        <w:tc>
          <w:tcPr>
            <w:tcW w:w="1195" w:type="dxa"/>
            <w:shd w:val="clear" w:color="auto" w:fill="C6EFCE"/>
          </w:tcPr>
          <w:p w14:paraId="2F10DCE6" w14:textId="5167B6B7" w:rsidR="00D924EA" w:rsidRDefault="00011DE9">
            <w:pPr>
              <w:pStyle w:val="P68B1DB1-Normal24"/>
              <w:jc w:val="center"/>
              <w:rPr>
                <w:noProof/>
              </w:rPr>
            </w:pPr>
            <w:r>
              <w:rPr>
                <w:noProof/>
              </w:rPr>
              <w:t>175b</w:t>
            </w:r>
          </w:p>
        </w:tc>
        <w:tc>
          <w:tcPr>
            <w:tcW w:w="1415" w:type="dxa"/>
            <w:shd w:val="clear" w:color="auto" w:fill="C6EFCE"/>
          </w:tcPr>
          <w:p w14:paraId="34F7329B" w14:textId="12D97B8D" w:rsidR="00D924EA" w:rsidRDefault="00011DE9">
            <w:pPr>
              <w:pStyle w:val="P68B1DB1-Normal23"/>
              <w:jc w:val="center"/>
              <w:rPr>
                <w:noProof/>
              </w:rPr>
            </w:pPr>
            <w:r>
              <w:rPr>
                <w:noProof/>
              </w:rPr>
              <w:t>C11.I6</w:t>
            </w:r>
          </w:p>
        </w:tc>
        <w:tc>
          <w:tcPr>
            <w:tcW w:w="999" w:type="dxa"/>
            <w:shd w:val="clear" w:color="auto" w:fill="C6EFCE"/>
          </w:tcPr>
          <w:p w14:paraId="0A5D2FFD" w14:textId="3C65875F" w:rsidR="00D924EA" w:rsidRDefault="00011DE9">
            <w:pPr>
              <w:pStyle w:val="P68B1DB1-Normal24"/>
              <w:jc w:val="center"/>
              <w:rPr>
                <w:noProof/>
              </w:rPr>
            </w:pPr>
            <w:r>
              <w:rPr>
                <w:noProof/>
              </w:rPr>
              <w:t>M</w:t>
            </w:r>
          </w:p>
        </w:tc>
        <w:tc>
          <w:tcPr>
            <w:tcW w:w="1593" w:type="dxa"/>
            <w:shd w:val="clear" w:color="auto" w:fill="C6EFCE"/>
          </w:tcPr>
          <w:p w14:paraId="3406C1EC" w14:textId="63D1A5D8" w:rsidR="00D924EA" w:rsidRDefault="00011DE9">
            <w:pPr>
              <w:pStyle w:val="P68B1DB1-Normal24"/>
              <w:rPr>
                <w:noProof/>
              </w:rPr>
            </w:pPr>
            <w:r>
              <w:rPr>
                <w:noProof/>
              </w:rPr>
              <w:t>Capacitățile în materie de securitate cibernetică ale administrației publice</w:t>
            </w:r>
            <w:r w:rsidR="00971820">
              <w:rPr>
                <w:noProof/>
              </w:rPr>
              <w:t xml:space="preserve"> </w:t>
            </w:r>
          </w:p>
        </w:tc>
        <w:tc>
          <w:tcPr>
            <w:tcW w:w="1409" w:type="dxa"/>
            <w:shd w:val="clear" w:color="auto" w:fill="C6EFCE"/>
          </w:tcPr>
          <w:p w14:paraId="024A3961" w14:textId="10CB6010" w:rsidR="00D924EA" w:rsidRDefault="00011DE9">
            <w:pPr>
              <w:pStyle w:val="P68B1DB1-Normal23"/>
              <w:jc w:val="center"/>
              <w:rPr>
                <w:noProof/>
              </w:rPr>
            </w:pPr>
            <w:r>
              <w:rPr>
                <w:noProof/>
              </w:rPr>
              <w:t>Certificate de acceptare, declarații de conformitate sau documente echivalente care certifică executarea contractelor (sau a unor părți ale acestora)</w:t>
            </w:r>
          </w:p>
        </w:tc>
        <w:tc>
          <w:tcPr>
            <w:tcW w:w="897" w:type="dxa"/>
            <w:shd w:val="clear" w:color="auto" w:fill="C6EFCE"/>
          </w:tcPr>
          <w:p w14:paraId="7487EC04" w14:textId="65310008" w:rsidR="00D924EA" w:rsidRDefault="00D924EA">
            <w:pPr>
              <w:rPr>
                <w:rFonts w:ascii="Times New Roman" w:eastAsia="Aptos" w:hAnsi="Times New Roman"/>
                <w:noProof/>
                <w:sz w:val="18"/>
                <w:szCs w:val="18"/>
              </w:rPr>
            </w:pPr>
          </w:p>
          <w:p w14:paraId="1D7654FC" w14:textId="77777777" w:rsidR="00D924EA" w:rsidRDefault="00D924EA">
            <w:pPr>
              <w:rPr>
                <w:rFonts w:ascii="Times New Roman" w:hAnsi="Times New Roman"/>
                <w:noProof/>
                <w:sz w:val="18"/>
                <w:szCs w:val="18"/>
              </w:rPr>
            </w:pPr>
          </w:p>
        </w:tc>
        <w:tc>
          <w:tcPr>
            <w:tcW w:w="1133" w:type="dxa"/>
            <w:shd w:val="clear" w:color="auto" w:fill="C6EFCE"/>
          </w:tcPr>
          <w:p w14:paraId="5FA717F1" w14:textId="23DB11EB" w:rsidR="00D924EA" w:rsidRDefault="00D924EA">
            <w:pPr>
              <w:jc w:val="right"/>
              <w:rPr>
                <w:rFonts w:ascii="Times New Roman" w:hAnsi="Times New Roman"/>
                <w:noProof/>
                <w:sz w:val="18"/>
                <w:szCs w:val="18"/>
              </w:rPr>
            </w:pPr>
          </w:p>
        </w:tc>
        <w:tc>
          <w:tcPr>
            <w:tcW w:w="965" w:type="dxa"/>
            <w:shd w:val="clear" w:color="auto" w:fill="C6EFCE"/>
          </w:tcPr>
          <w:p w14:paraId="284E74EF" w14:textId="264B2423" w:rsidR="00D924EA" w:rsidRDefault="00011DE9">
            <w:pPr>
              <w:pStyle w:val="P68B1DB1-Normal24"/>
              <w:jc w:val="right"/>
              <w:rPr>
                <w:noProof/>
              </w:rPr>
            </w:pPr>
            <w:r>
              <w:rPr>
                <w:noProof/>
              </w:rPr>
              <w:t xml:space="preserve"> </w:t>
            </w:r>
          </w:p>
        </w:tc>
        <w:tc>
          <w:tcPr>
            <w:tcW w:w="708" w:type="dxa"/>
            <w:shd w:val="clear" w:color="auto" w:fill="C6EFCE"/>
          </w:tcPr>
          <w:p w14:paraId="64E8BC61" w14:textId="2EF881B6" w:rsidR="00D924EA" w:rsidRDefault="005701C9">
            <w:pPr>
              <w:pStyle w:val="P68B1DB1-Normal24"/>
              <w:jc w:val="center"/>
              <w:rPr>
                <w:noProof/>
              </w:rPr>
            </w:pPr>
            <w:r>
              <w:rPr>
                <w:noProof/>
              </w:rPr>
              <w:t>T2</w:t>
            </w:r>
          </w:p>
        </w:tc>
        <w:tc>
          <w:tcPr>
            <w:tcW w:w="709" w:type="dxa"/>
            <w:shd w:val="clear" w:color="auto" w:fill="C6EFCE"/>
          </w:tcPr>
          <w:p w14:paraId="4F8FC0FC" w14:textId="77777777" w:rsidR="00D924EA" w:rsidRDefault="00011DE9">
            <w:pPr>
              <w:pStyle w:val="P68B1DB1-Normal23"/>
              <w:jc w:val="center"/>
              <w:rPr>
                <w:noProof/>
              </w:rPr>
            </w:pPr>
            <w:r>
              <w:rPr>
                <w:noProof/>
              </w:rPr>
              <w:t>2026</w:t>
            </w:r>
          </w:p>
        </w:tc>
        <w:tc>
          <w:tcPr>
            <w:tcW w:w="3573" w:type="dxa"/>
            <w:shd w:val="clear" w:color="auto" w:fill="C6EFCE"/>
          </w:tcPr>
          <w:p w14:paraId="58EB6507" w14:textId="0770DE02" w:rsidR="00D924EA" w:rsidRDefault="00011DE9">
            <w:pPr>
              <w:pStyle w:val="P68B1DB1-Normal24"/>
              <w:rPr>
                <w:noProof/>
              </w:rPr>
            </w:pPr>
            <w:r>
              <w:rPr>
                <w:noProof/>
              </w:rPr>
              <w:t>Confirmarea de către administrație a executării contractelor (inclusiv a oricăror modificări) sau a părților corespunzătoare ale acestora, în valoare totală de 850 000 000 EUR, pentru consolidarea capacităților în materie de securitate cibernetică ale administrației publice.</w:t>
            </w:r>
          </w:p>
          <w:p w14:paraId="598FA372" w14:textId="1651FAB0" w:rsidR="00D924EA" w:rsidRDefault="00011DE9">
            <w:pPr>
              <w:pStyle w:val="P68B1DB1-Normal24"/>
              <w:rPr>
                <w:noProof/>
              </w:rPr>
            </w:pPr>
            <w:r>
              <w:rPr>
                <w:noProof/>
              </w:rPr>
              <w:t>Contractele acoperă unul sau mai multe dintre următoarele domenii: I) consolidarea capacităților de răspuns la amenințările cibernetice; asigurarea securității și rezilienței activelor strategice; (III) consolidarea capacităților de investigare și urmărire penală a criminalității informatice; (IV) stimularea securității cibernetice pentru cetățeni și întreprinderi; V) stimularea sectorului securității cibernetice; și vi) dezvoltarea unei culturi a securității cibernetice.</w:t>
            </w:r>
          </w:p>
        </w:tc>
      </w:tr>
    </w:tbl>
    <w:p w14:paraId="60BC5B37" w14:textId="77777777" w:rsidR="00D924EA" w:rsidRDefault="00D924EA">
      <w:pPr>
        <w:spacing w:before="120" w:after="120" w:line="240" w:lineRule="auto"/>
        <w:jc w:val="both"/>
        <w:rPr>
          <w:rFonts w:ascii="Times New Roman" w:hAnsi="Times New Roman" w:cs="Times New Roman"/>
          <w:noProof/>
        </w:rPr>
        <w:sectPr w:rsidR="00D924EA" w:rsidSect="00CD3B71">
          <w:headerReference w:type="even" r:id="rId150"/>
          <w:headerReference w:type="default" r:id="rId151"/>
          <w:footerReference w:type="even" r:id="rId152"/>
          <w:footerReference w:type="default" r:id="rId153"/>
          <w:headerReference w:type="first" r:id="rId154"/>
          <w:footerReference w:type="first" r:id="rId155"/>
          <w:pgSz w:w="16839" w:h="11907" w:orient="landscape"/>
          <w:pgMar w:top="1134" w:right="1134" w:bottom="1134" w:left="1134" w:header="567" w:footer="567" w:gutter="0"/>
          <w:cols w:space="720"/>
          <w:docGrid w:linePitch="360"/>
        </w:sectPr>
      </w:pPr>
    </w:p>
    <w:p w14:paraId="7083102B" w14:textId="77777777" w:rsidR="00D924EA" w:rsidRDefault="00011DE9">
      <w:pPr>
        <w:pStyle w:val="Heading1"/>
        <w:rPr>
          <w:noProof/>
        </w:rPr>
      </w:pPr>
      <w:r>
        <w:rPr>
          <w:noProof/>
        </w:rPr>
        <w:t>L. COMPONENTA 12: Politica industrială</w:t>
      </w:r>
    </w:p>
    <w:p w14:paraId="6F1027E5" w14:textId="77777777" w:rsidR="00D924EA" w:rsidRDefault="00011DE9">
      <w:pPr>
        <w:pStyle w:val="P68B1DB1-Normal29"/>
        <w:spacing w:before="120" w:after="120" w:line="240" w:lineRule="auto"/>
        <w:jc w:val="both"/>
        <w:rPr>
          <w:rFonts w:cs="Times New Roman"/>
          <w:noProof/>
        </w:rPr>
      </w:pPr>
      <w:r>
        <w:rPr>
          <w:noProof/>
        </w:rPr>
        <w:t>Obiectivul componentei 12 a planului spaniol de redresare și reziliență este de a stimula modernizarea și productivitatea ecosistemului spaniol de servicii industriale printr-o adoptare mai rapidă a tranziției digitale și verzi.</w:t>
      </w:r>
    </w:p>
    <w:p w14:paraId="59D77A25" w14:textId="77777777" w:rsidR="00D924EA" w:rsidRDefault="00011DE9">
      <w:pPr>
        <w:spacing w:before="120" w:after="120" w:line="240" w:lineRule="auto"/>
        <w:jc w:val="both"/>
        <w:rPr>
          <w:rFonts w:ascii="Times New Roman" w:hAnsi="Times New Roman" w:cs="Times New Roman"/>
          <w:noProof/>
        </w:rPr>
      </w:pPr>
      <w:r>
        <w:rPr>
          <w:rFonts w:ascii="Times New Roman" w:hAnsi="Times New Roman"/>
          <w:noProof/>
        </w:rPr>
        <w:t>Această componentă a planului spaniol de redresare și reziliență contribuie la punerea în aplicare a Recomandării specifice fiecărei țări 3 2019 privind promovarea investițiilor în inovare și în eficiența energetică. Aceasta este, de asemenea, aliniată la Recomandarea specifică fiecărei țări 3 2020 (prin promovarea investițiilor publice și private și prin încurajarea tranziției verzi). Componenta contribuie, de asemenea, la abordarea Recomandării specifice fiecărei țări 2 2019 privind promovarea cooperării dintre întreprinderi și educație pentru furnizarea de competențe relevante pentru piața forței de muncă și a Recomandării specifice fiecărei țări 1 2020 privind consolidarea rezilienței sistemului de sănătate. Componenta contribuie, de asemenea, la abordarea Recomandării specifice fiecărei țări 3 2022 privind creșterea ratelor de reciclare pentru a îndeplini obiectivele UE și a promova economia circulară prin îmbunătățirea coordonării între toate nivelurile de guvernare și prin realizarea de investiții suplimentare pentru a îndeplini obligațiile de colectare separată a deșeurilor și de reciclare.</w:t>
      </w:r>
      <w:r>
        <w:rPr>
          <w:noProof/>
        </w:rPr>
        <w:t xml:space="preserve"> </w:t>
      </w:r>
      <w:r>
        <w:rPr>
          <w:rFonts w:ascii="Times New Roman" w:hAnsi="Times New Roman"/>
          <w:noProof/>
        </w:rPr>
        <w:t>Componenta contribuie, de asemenea, la abordarea Recomandării specifice fiecărei țări 3 2023 de a reduce dependența de combustibilii fosili, de a accelera utilizarea energiei din surse regenerabile și pătrunderea electromobilității.</w:t>
      </w:r>
    </w:p>
    <w:p w14:paraId="3A75C452" w14:textId="77777777" w:rsidR="00D924EA" w:rsidRDefault="00011DE9">
      <w:pPr>
        <w:pStyle w:val="P68B1DB1-Normal29"/>
        <w:spacing w:before="120" w:after="120" w:line="240" w:lineRule="auto"/>
        <w:jc w:val="both"/>
        <w:rPr>
          <w:rFonts w:cs="Times New Roman"/>
          <w:noProof/>
        </w:rPr>
      </w:pPr>
      <w:r>
        <w:rPr>
          <w:noProof/>
        </w:rPr>
        <w:t>Unul dintre obiectivele măsurilor incluse în componentă este de a facilita participarea întreprinderilor spaniole la un proiect important de interes european comun (PIIEC) planificat.</w:t>
      </w:r>
    </w:p>
    <w:p w14:paraId="52F94053" w14:textId="77777777" w:rsidR="00D924EA" w:rsidRDefault="00011DE9">
      <w:pPr>
        <w:pStyle w:val="P68B1DB1-Normal29"/>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F259561" w14:textId="72C007AE" w:rsidR="00D924EA" w:rsidRDefault="00011DE9">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L.1.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46BF0927" w14:textId="77777777" w:rsidR="00D924EA" w:rsidRDefault="00011DE9">
      <w:pPr>
        <w:pStyle w:val="P68B1DB1-Normal30"/>
        <w:spacing w:before="120" w:after="120" w:line="240" w:lineRule="auto"/>
        <w:jc w:val="both"/>
        <w:rPr>
          <w:rFonts w:cs="Times New Roman"/>
          <w:noProof/>
        </w:rPr>
      </w:pPr>
      <w:r>
        <w:rPr>
          <w:noProof/>
        </w:rPr>
        <w:t>Reforma 2 (C12.R2) – Politica privind deșeurile și stimularea economiei circulare</w:t>
      </w:r>
    </w:p>
    <w:p w14:paraId="29CEF702" w14:textId="57F784CE" w:rsidR="00D924EA" w:rsidRDefault="00011DE9">
      <w:pPr>
        <w:pStyle w:val="P68B1DB1-Normal29"/>
        <w:spacing w:before="120" w:after="120" w:line="240" w:lineRule="auto"/>
        <w:jc w:val="both"/>
        <w:rPr>
          <w:noProof/>
        </w:rPr>
      </w:pPr>
      <w:r>
        <w:rPr>
          <w:noProof/>
        </w:rPr>
        <w:t xml:space="preserve">Scopul măsurii este de a promova modele de producție și consum care să păstreze produsele, materialele și resursele naturale în economie cât mai mult timp posibil. Această reformă constă în acțiuni legislative și nelegislative în domeniul politicii privind deșeurile și economia circulară. </w:t>
      </w:r>
    </w:p>
    <w:p w14:paraId="6D351108" w14:textId="0CD77BAC" w:rsidR="00D924EA" w:rsidRDefault="00011DE9">
      <w:pPr>
        <w:pStyle w:val="P68B1DB1-Normal30"/>
        <w:spacing w:before="120" w:after="120" w:line="240" w:lineRule="auto"/>
        <w:jc w:val="both"/>
        <w:rPr>
          <w:rFonts w:cs="Times New Roman"/>
          <w:noProof/>
        </w:rPr>
      </w:pPr>
      <w:r>
        <w:rPr>
          <w:noProof/>
        </w:rPr>
        <w:t>Investiții (C12.I1) – Spații sectoriale ale datelor pentru digitalizarea sectoarelor și acțiuni de C &amp; D &amp; I</w:t>
      </w:r>
    </w:p>
    <w:p w14:paraId="27DB4BA8" w14:textId="41B01A93" w:rsidR="00D924EA" w:rsidRDefault="00011DE9">
      <w:pPr>
        <w:pStyle w:val="P68B1DB1-Normal29"/>
        <w:spacing w:before="120" w:after="120" w:line="240" w:lineRule="auto"/>
        <w:jc w:val="both"/>
        <w:rPr>
          <w:rFonts w:cs="Times New Roman"/>
          <w:noProof/>
        </w:rPr>
      </w:pPr>
      <w:r>
        <w:rPr>
          <w:noProof/>
        </w:rPr>
        <w:t xml:space="preserve">Obiectivul acestei măsuri este de a încuraja digitalizarea a patru sectoare. Acesta constă în dezvoltarea spațiilor de date și în finanțarea acțiunilor legate de C &amp; D &amp; I. </w:t>
      </w:r>
    </w:p>
    <w:p w14:paraId="14ABFE3B" w14:textId="77777777" w:rsidR="00D924EA" w:rsidRDefault="00011DE9">
      <w:pPr>
        <w:pStyle w:val="P68B1DB1-Normal30"/>
        <w:keepNext/>
        <w:spacing w:before="120" w:after="120" w:line="240" w:lineRule="auto"/>
        <w:jc w:val="both"/>
        <w:rPr>
          <w:rFonts w:cs="Times New Roman"/>
          <w:noProof/>
        </w:rPr>
      </w:pPr>
      <w:r>
        <w:rPr>
          <w:noProof/>
        </w:rPr>
        <w:t xml:space="preserve">Investiția 2 (C12.I2) – Program de stimulare a competitivității și a sustenabilității industriale </w:t>
      </w:r>
    </w:p>
    <w:p w14:paraId="2544D435" w14:textId="045E8F53" w:rsidR="00D924EA" w:rsidRDefault="00011DE9">
      <w:pPr>
        <w:pStyle w:val="P68B1DB1-Normal29"/>
        <w:keepNext/>
        <w:spacing w:before="120" w:after="120" w:line="240" w:lineRule="auto"/>
        <w:jc w:val="both"/>
        <w:rPr>
          <w:noProof/>
        </w:rPr>
      </w:pPr>
      <w:r>
        <w:rPr>
          <w:noProof/>
        </w:rPr>
        <w:t xml:space="preserve">Obiectivul acestei măsuri este de a promova transformarea sectoarelor strategice care sunt esențiale pentru tranziția industrială a Spaniei. Acesta constă în finanțarea de proiecte în domeniul eficienței energetice, al durabilității și al transformării digitale, printre altele, inclusiv în trei proiecte strategice majore (așa-numitele „PERTE-uri”). </w:t>
      </w:r>
    </w:p>
    <w:p w14:paraId="5EA492D6" w14:textId="77777777" w:rsidR="00D924EA" w:rsidRDefault="00011DE9">
      <w:pPr>
        <w:pStyle w:val="P68B1DB1-Normal30"/>
        <w:keepNext/>
        <w:spacing w:before="120" w:after="120" w:line="240" w:lineRule="auto"/>
        <w:jc w:val="both"/>
        <w:rPr>
          <w:rFonts w:cs="Times New Roman"/>
          <w:noProof/>
        </w:rPr>
      </w:pPr>
      <w:r>
        <w:rPr>
          <w:noProof/>
        </w:rPr>
        <w:t>Investiția 3 (C12.I3) – Plan de sprijinire a punerii în aplicare a legislației privind deșeurile și a promovării economiei circulare</w:t>
      </w:r>
    </w:p>
    <w:p w14:paraId="6AA1FE7F" w14:textId="51906608" w:rsidR="00D924EA" w:rsidRDefault="00011DE9">
      <w:pPr>
        <w:pStyle w:val="P68B1DB1-Normal29"/>
        <w:keepNext/>
        <w:spacing w:before="120" w:after="120" w:line="240" w:lineRule="auto"/>
        <w:jc w:val="both"/>
        <w:rPr>
          <w:rFonts w:cs="Times New Roman"/>
          <w:noProof/>
        </w:rPr>
      </w:pPr>
      <w:r>
        <w:rPr>
          <w:noProof/>
        </w:rPr>
        <w:t>Obiectivul acestei măsuri este de a promova economia circulară în Spania. Aceasta constă în desfășurarea de acțiuni legate de deșeuri și de economia circulară.</w:t>
      </w:r>
    </w:p>
    <w:p w14:paraId="59FA0F84" w14:textId="77777777" w:rsidR="00D924EA" w:rsidRDefault="00011DE9">
      <w:pPr>
        <w:pStyle w:val="P68B1DB1-Normal30"/>
        <w:rPr>
          <w:noProof/>
        </w:rPr>
      </w:pPr>
      <w:r>
        <w:rPr>
          <w:noProof/>
        </w:rPr>
        <w:br w:type="page"/>
      </w:r>
    </w:p>
    <w:p w14:paraId="6D74D5CF" w14:textId="1A020156" w:rsidR="00D924EA" w:rsidRDefault="00011DE9">
      <w:pPr>
        <w:pStyle w:val="P68B1DB1-Normal30"/>
        <w:spacing w:before="120" w:after="120" w:line="240" w:lineRule="auto"/>
        <w:jc w:val="both"/>
        <w:rPr>
          <w:rFonts w:cs="Times New Roman"/>
          <w:noProof/>
        </w:rPr>
      </w:pPr>
      <w:r>
        <w:rPr>
          <w:noProof/>
        </w:rPr>
        <w:t>Investiția 4 (C12.I4) – Consolidarea industriei lanțului valoric al semiconductorilor</w:t>
      </w:r>
    </w:p>
    <w:p w14:paraId="363B662D" w14:textId="474B54A2" w:rsidR="00D924EA" w:rsidRDefault="00011DE9">
      <w:pPr>
        <w:spacing w:before="120" w:after="120" w:line="240" w:lineRule="auto"/>
        <w:jc w:val="both"/>
        <w:rPr>
          <w:rFonts w:ascii="Times New Roman" w:hAnsi="Times New Roman"/>
          <w:noProof/>
        </w:rPr>
      </w:pPr>
      <w:r>
        <w:rPr>
          <w:rFonts w:ascii="Times New Roman" w:hAnsi="Times New Roman"/>
          <w:noProof/>
        </w:rPr>
        <w:t>Obiectivul măsurii este de a oferi sprijin industriei lanțului valoric al semiconductorilor pentru a consolida ecosistemul național al microelectronicii și pentru a extinde impactul participării întreprinderilor spaniole la PIIEC privind microelectronica și tehnologiile comunicațiilor (PIIEC ME</w:t>
      </w:r>
      <w:r w:rsidR="00C202D2">
        <w:rPr>
          <w:rFonts w:ascii="Times New Roman" w:hAnsi="Times New Roman" w:cs="Times New Roman"/>
          <w:noProof/>
        </w:rPr>
        <w:t>­</w:t>
      </w:r>
      <w:r>
        <w:rPr>
          <w:rFonts w:ascii="Times New Roman" w:hAnsi="Times New Roman"/>
          <w:noProof/>
        </w:rPr>
        <w:t>TC). Acesta constă în finanțare pentru a participa la PIIEC ME-TC și pentru a dezvolta proiecte în lanțul valoric al industriei semiconductorilor din Spania în etapa de C &amp; D &amp; I.</w:t>
      </w:r>
      <w:r>
        <w:rPr>
          <w:rFonts w:eastAsiaTheme="minorEastAsia"/>
          <w:noProof/>
        </w:rPr>
        <w:t xml:space="preserve"> </w:t>
      </w:r>
    </w:p>
    <w:p w14:paraId="111877D8" w14:textId="77777777" w:rsidR="00D924EA" w:rsidRDefault="00011DE9">
      <w:pPr>
        <w:pStyle w:val="P68B1DB1-Normal30"/>
        <w:spacing w:before="120" w:after="120" w:line="240" w:lineRule="auto"/>
        <w:jc w:val="both"/>
        <w:rPr>
          <w:rFonts w:cs="Times New Roman"/>
          <w:noProof/>
        </w:rPr>
      </w:pPr>
      <w:r>
        <w:rPr>
          <w:noProof/>
        </w:rPr>
        <w:t>Investiția 5 (C12.I5) – Schemă de subvenții pentru sprijinirea economiei circulare</w:t>
      </w:r>
    </w:p>
    <w:p w14:paraId="72BA5615" w14:textId="53919202" w:rsidR="00D924EA" w:rsidRDefault="00011DE9">
      <w:pPr>
        <w:spacing w:before="120" w:after="120" w:line="240" w:lineRule="auto"/>
        <w:jc w:val="both"/>
        <w:textAlignment w:val="baseline"/>
        <w:rPr>
          <w:rFonts w:ascii="Times New Roman" w:hAnsi="Times New Roman" w:cs="Times New Roman"/>
          <w:noProof/>
        </w:rPr>
      </w:pPr>
      <w:r>
        <w:rPr>
          <w:rStyle w:val="normaltextrun"/>
          <w:rFonts w:ascii="Times New Roman" w:hAnsi="Times New Roman"/>
          <w:noProof/>
        </w:rPr>
        <w:t xml:space="preserve">Această măsură constă într-o investiție publică într-o schemă de subvenții pentru a stimula investițiile private și a sprijini promovarea economiei circulare la nivel de întreprindere, în trei sectoare-cheie pentru economia spaniolă: textilele și moda, materialele plastice și echipamentele pentru generarea de energie din surse regenerabile. Sistemul funcționează prin acordarea de stimulente financiare sectorului privat prin acordarea de granturi sau de investiții de capital, inclusiv de fonduri cu capital de risc și de capital propriu. </w:t>
      </w:r>
    </w:p>
    <w:p w14:paraId="718561CE" w14:textId="75558A5D" w:rsidR="00D924EA" w:rsidRDefault="00011DE9">
      <w:pPr>
        <w:pStyle w:val="paragraph"/>
        <w:spacing w:before="0" w:beforeAutospacing="0" w:after="0" w:afterAutospacing="0"/>
        <w:jc w:val="both"/>
        <w:textAlignment w:val="baseline"/>
        <w:rPr>
          <w:rFonts w:ascii="Times New Roman" w:hAnsi="Times New Roman" w:cs="Times New Roman"/>
          <w:noProof/>
        </w:rPr>
      </w:pPr>
      <w:r>
        <w:rPr>
          <w:rStyle w:val="normaltextrun"/>
          <w:rFonts w:ascii="Times New Roman" w:hAnsi="Times New Roman"/>
          <w:noProof/>
        </w:rPr>
        <w:t>Schema este gestionată de Instituto de Diversificación y Ahorro de la Energía (IDAE) și Fundacion Biodiversidad în calitate de parteneri de implementare. Pentru a pune în aplicare investiția în sistem, guvernul adoptă unul sau mai multe instrumente juridice (în cazul investițiilor de capital, acest instrument ar fi o politică de investiții care urmează să fie aprobată de IDAE), instituind sistemul care include următoarele elemente:</w:t>
      </w:r>
    </w:p>
    <w:p w14:paraId="2506178B" w14:textId="77777777" w:rsidR="00D924EA" w:rsidRDefault="00D924EA">
      <w:pPr>
        <w:pStyle w:val="paragraph"/>
        <w:spacing w:before="0" w:beforeAutospacing="0" w:after="0" w:afterAutospacing="0"/>
        <w:jc w:val="both"/>
        <w:textAlignment w:val="baseline"/>
        <w:rPr>
          <w:rStyle w:val="normaltextrun"/>
          <w:rFonts w:ascii="Times New Roman" w:eastAsiaTheme="majorEastAsia" w:hAnsi="Times New Roman" w:cs="Times New Roman"/>
          <w:noProof/>
        </w:rPr>
      </w:pPr>
    </w:p>
    <w:p w14:paraId="75C20523" w14:textId="70FA7910" w:rsidR="00D924EA" w:rsidRDefault="00011DE9">
      <w:pPr>
        <w:pStyle w:val="P68B1DB1-paragraph54"/>
        <w:numPr>
          <w:ilvl w:val="0"/>
          <w:numId w:val="80"/>
        </w:numPr>
        <w:spacing w:before="0" w:beforeAutospacing="0" w:after="0" w:afterAutospacing="0"/>
        <w:jc w:val="both"/>
        <w:textAlignment w:val="baseline"/>
        <w:rPr>
          <w:rFonts w:cs="Times New Roman"/>
          <w:noProof/>
        </w:rPr>
      </w:pPr>
      <w:r>
        <w:rPr>
          <w:noProof/>
        </w:rPr>
        <w:t>Descrierea procesului decizional al sistemului. Evaluarea cererilor și selectarea beneficiarilor care urmează să fie incluși în deciziile finale de atribuire sau în deciziile de investiții din cadrul schemei se iau de către un organism de evaluare și se aprobă cu majoritatea voturilor membrilor independenți de guvernul spaniol, ceea ce înseamnă că aceștia trebuie să fie membri ai personalului angajat de partenerii de implementare și/sau alți experți independenți. Decizia finală de investiție a schemei se limitează la aprobarea (fără modificări) sau la exercitarea unui drept de veto cu privire la o decizie de investiții propusă de comitetul pentru investiții sau de organul de conducere echivalent relevant. În cazul în care IDAE participă la oricare dintre cereri, iar bugetul pentru cererea respectivă este insuficient pentru a acoperi toate cererile primite, procesul de evaluare face obiectul unui audit extern, astfel cum se prevede în „Plan de Mitigación de Potenciales Confictos de Interés en Sociedades Participadas” al IDAE.</w:t>
      </w:r>
    </w:p>
    <w:p w14:paraId="2F4C0128" w14:textId="77777777" w:rsidR="00D924EA" w:rsidRDefault="00011DE9">
      <w:pPr>
        <w:pStyle w:val="P68B1DB1-paragraph54"/>
        <w:numPr>
          <w:ilvl w:val="0"/>
          <w:numId w:val="80"/>
        </w:numPr>
        <w:spacing w:before="0" w:beforeAutospacing="0" w:after="0" w:afterAutospacing="0"/>
        <w:jc w:val="both"/>
        <w:textAlignment w:val="baseline"/>
        <w:rPr>
          <w:rFonts w:cs="Times New Roman"/>
          <w:noProof/>
        </w:rPr>
      </w:pPr>
      <w:r>
        <w:rPr>
          <w:noProof/>
        </w:rPr>
        <w:t xml:space="preserve">Lista activităților eligibile pentru sprijin, care sunt următoarele: </w:t>
      </w:r>
    </w:p>
    <w:p w14:paraId="11D535AC" w14:textId="2C2F1519" w:rsidR="00D924EA" w:rsidRDefault="00011DE9">
      <w:pPr>
        <w:pStyle w:val="paragraph"/>
        <w:numPr>
          <w:ilvl w:val="1"/>
          <w:numId w:val="80"/>
        </w:numPr>
        <w:spacing w:before="0" w:beforeAutospacing="0" w:after="0" w:afterAutospacing="0"/>
        <w:jc w:val="both"/>
        <w:textAlignment w:val="baseline"/>
        <w:rPr>
          <w:rStyle w:val="normaltextrun"/>
          <w:rFonts w:ascii="Times New Roman" w:eastAsiaTheme="minorHAnsi" w:hAnsi="Times New Roman" w:cs="Times New Roman"/>
          <w:noProof/>
          <w:sz w:val="22"/>
          <w:szCs w:val="22"/>
        </w:rPr>
      </w:pPr>
      <w:r>
        <w:rPr>
          <w:rStyle w:val="normaltextrun"/>
          <w:rFonts w:ascii="Times New Roman" w:hAnsi="Times New Roman"/>
          <w:noProof/>
        </w:rPr>
        <w:t>Textile, modă și materiale plastice (cel puțin</w:t>
      </w:r>
      <w:r>
        <w:rPr>
          <w:rFonts w:ascii="Times New Roman" w:hAnsi="Times New Roman"/>
          <w:noProof/>
          <w:sz w:val="20"/>
        </w:rPr>
        <w:t xml:space="preserve"> </w:t>
      </w:r>
      <w:r>
        <w:rPr>
          <w:rStyle w:val="normaltextrun"/>
          <w:rFonts w:ascii="Times New Roman" w:hAnsi="Times New Roman"/>
          <w:noProof/>
        </w:rPr>
        <w:t>195</w:t>
      </w:r>
      <w:r>
        <w:rPr>
          <w:rFonts w:ascii="Times New Roman" w:hAnsi="Times New Roman"/>
          <w:noProof/>
          <w:sz w:val="20"/>
        </w:rPr>
        <w:t xml:space="preserve"> </w:t>
      </w:r>
      <w:r>
        <w:rPr>
          <w:rStyle w:val="normaltextrun"/>
          <w:rFonts w:ascii="Times New Roman" w:hAnsi="Times New Roman"/>
          <w:noProof/>
        </w:rPr>
        <w:t>000</w:t>
      </w:r>
      <w:r>
        <w:rPr>
          <w:rFonts w:ascii="Times New Roman" w:hAnsi="Times New Roman"/>
          <w:noProof/>
          <w:sz w:val="20"/>
        </w:rPr>
        <w:t xml:space="preserve"> </w:t>
      </w:r>
      <w:r>
        <w:rPr>
          <w:rStyle w:val="normaltextrun"/>
          <w:rFonts w:ascii="Times New Roman" w:hAnsi="Times New Roman"/>
          <w:noProof/>
        </w:rPr>
        <w:t>000 EUR gestionate de Fundación Biodiversidad): investiții în infrastructură, tehnologii și C &amp; D &amp; I pentru a facilita reducerea, reutilizarea și reciclarea și/sau revalorizarea materialelor.</w:t>
      </w:r>
    </w:p>
    <w:p w14:paraId="3B78CEAB" w14:textId="4BA9C8DD" w:rsidR="00D924EA" w:rsidRDefault="00011DE9">
      <w:pPr>
        <w:pStyle w:val="paragraph"/>
        <w:numPr>
          <w:ilvl w:val="1"/>
          <w:numId w:val="80"/>
        </w:numPr>
        <w:spacing w:before="0" w:beforeAutospacing="0" w:after="0" w:afterAutospacing="0"/>
        <w:jc w:val="both"/>
        <w:textAlignment w:val="baseline"/>
        <w:rPr>
          <w:rStyle w:val="normaltextrun"/>
          <w:rFonts w:ascii="Times New Roman" w:hAnsi="Times New Roman"/>
          <w:noProof/>
        </w:rPr>
      </w:pPr>
      <w:r>
        <w:rPr>
          <w:rStyle w:val="normaltextrun"/>
          <w:rFonts w:ascii="Times New Roman" w:hAnsi="Times New Roman"/>
          <w:noProof/>
        </w:rPr>
        <w:t>Echipamente pentru energie din surse regenerabile (cel puțin</w:t>
      </w:r>
      <w:r>
        <w:rPr>
          <w:rFonts w:ascii="Times New Roman" w:hAnsi="Times New Roman"/>
          <w:noProof/>
          <w:sz w:val="20"/>
        </w:rPr>
        <w:t xml:space="preserve"> </w:t>
      </w:r>
      <w:r>
        <w:rPr>
          <w:rStyle w:val="normaltextrun"/>
          <w:rFonts w:ascii="Times New Roman" w:hAnsi="Times New Roman"/>
          <w:noProof/>
        </w:rPr>
        <w:t>100</w:t>
      </w:r>
      <w:r>
        <w:rPr>
          <w:rFonts w:ascii="Times New Roman" w:hAnsi="Times New Roman"/>
          <w:noProof/>
          <w:sz w:val="20"/>
        </w:rPr>
        <w:t xml:space="preserve"> </w:t>
      </w:r>
      <w:r>
        <w:rPr>
          <w:rStyle w:val="normaltextrun"/>
          <w:rFonts w:ascii="Times New Roman" w:hAnsi="Times New Roman"/>
          <w:noProof/>
        </w:rPr>
        <w:t>000</w:t>
      </w:r>
      <w:r>
        <w:rPr>
          <w:rFonts w:ascii="Times New Roman" w:hAnsi="Times New Roman"/>
          <w:noProof/>
          <w:sz w:val="20"/>
        </w:rPr>
        <w:t xml:space="preserve"> </w:t>
      </w:r>
      <w:r>
        <w:rPr>
          <w:rStyle w:val="normaltextrun"/>
          <w:rFonts w:ascii="Times New Roman" w:hAnsi="Times New Roman"/>
          <w:noProof/>
        </w:rPr>
        <w:t>000 EUR gestionate de IDAE): investiții în proiectarea ecologică, infrastructură, tehnologii, C</w:t>
      </w:r>
      <w:r w:rsidR="00C202D2">
        <w:rPr>
          <w:rStyle w:val="normaltextrun"/>
          <w:rFonts w:ascii="Times New Roman" w:hAnsi="Times New Roman"/>
          <w:noProof/>
        </w:rPr>
        <w:t> </w:t>
      </w:r>
      <w:r>
        <w:rPr>
          <w:rStyle w:val="normaltextrun"/>
          <w:rFonts w:ascii="Times New Roman" w:hAnsi="Times New Roman"/>
          <w:noProof/>
        </w:rPr>
        <w:t>&amp;</w:t>
      </w:r>
      <w:r w:rsidR="00C202D2">
        <w:rPr>
          <w:rStyle w:val="normaltextrun"/>
          <w:rFonts w:ascii="Times New Roman" w:hAnsi="Times New Roman"/>
          <w:noProof/>
        </w:rPr>
        <w:t> </w:t>
      </w:r>
      <w:r>
        <w:rPr>
          <w:rStyle w:val="normaltextrun"/>
          <w:rFonts w:ascii="Times New Roman" w:hAnsi="Times New Roman"/>
          <w:noProof/>
        </w:rPr>
        <w:t>D &amp; I și/sau dezvoltarea de instalații și sisteme pentru a facilita reducerea, reutilizarea și reciclarea și/sau revalorizarea materialelor.</w:t>
      </w:r>
    </w:p>
    <w:p w14:paraId="548B6DD0" w14:textId="77777777" w:rsidR="00D924EA" w:rsidRDefault="00011DE9">
      <w:pPr>
        <w:rPr>
          <w:rStyle w:val="normaltextrun"/>
          <w:rFonts w:ascii="Times New Roman" w:eastAsia="Symbol" w:hAnsi="Times New Roman" w:cs="Symbol"/>
          <w:noProof/>
          <w:kern w:val="0"/>
          <w14:ligatures w14:val="none"/>
        </w:rPr>
      </w:pPr>
      <w:r>
        <w:rPr>
          <w:rStyle w:val="normaltextrun"/>
          <w:rFonts w:ascii="Times New Roman" w:hAnsi="Times New Roman"/>
          <w:noProof/>
        </w:rPr>
        <w:br w:type="page"/>
      </w:r>
    </w:p>
    <w:p w14:paraId="425735C7" w14:textId="77777777" w:rsidR="00D924EA" w:rsidRDefault="00D924EA">
      <w:pPr>
        <w:pStyle w:val="paragraph"/>
        <w:spacing w:before="0" w:beforeAutospacing="0" w:after="0" w:afterAutospacing="0"/>
        <w:ind w:left="1440"/>
        <w:jc w:val="both"/>
        <w:textAlignment w:val="baseline"/>
        <w:rPr>
          <w:rStyle w:val="normaltextrun"/>
          <w:rFonts w:ascii="Times New Roman" w:hAnsi="Times New Roman" w:cs="Times New Roman"/>
          <w:noProof/>
        </w:rPr>
      </w:pPr>
    </w:p>
    <w:p w14:paraId="249D3F07" w14:textId="3FBA355D" w:rsidR="00D924EA" w:rsidRDefault="00011DE9">
      <w:pPr>
        <w:pStyle w:val="P68B1DB1-paragraph55"/>
        <w:numPr>
          <w:ilvl w:val="0"/>
          <w:numId w:val="80"/>
        </w:numPr>
        <w:spacing w:before="0" w:beforeAutospacing="0" w:after="0" w:afterAutospacing="0"/>
        <w:jc w:val="both"/>
        <w:textAlignment w:val="baseline"/>
        <w:rPr>
          <w:noProof/>
        </w:rPr>
      </w:pPr>
      <w:r>
        <w:rPr>
          <w:noProof/>
        </w:rPr>
        <w:t>Cerința de a respecta principiul de „a nu prejudicia în mod semnificativ”. În special, instrumentul (instrumentele) juridic (e) exclude (exclud) următoarea listă de activități: (I)</w:t>
      </w:r>
      <w:r w:rsidR="00C202D2">
        <w:rPr>
          <w:noProof/>
        </w:rPr>
        <w:t> </w:t>
      </w:r>
      <w:r>
        <w:rPr>
          <w:noProof/>
        </w:rPr>
        <w:t>activități legate de depozitele de deșeuri, incineratoare</w:t>
      </w:r>
      <w:r>
        <w:rPr>
          <w:noProof/>
        </w:rPr>
        <w:footnoteReference w:id="22"/>
      </w:r>
      <w:r>
        <w:rPr>
          <w:noProof/>
        </w:rPr>
        <w:t xml:space="preserve"> și stații de tratare mecano</w:t>
      </w:r>
      <w:r w:rsidR="00C202D2">
        <w:rPr>
          <w:noProof/>
        </w:rPr>
        <w:t>­</w:t>
      </w:r>
      <w:r>
        <w:rPr>
          <w:noProof/>
        </w:rPr>
        <w:t>biologică</w:t>
      </w:r>
      <w:r>
        <w:rPr>
          <w:noProof/>
        </w:rPr>
        <w:footnoteReference w:id="23"/>
      </w:r>
      <w:r>
        <w:rPr>
          <w:noProof/>
        </w:rPr>
        <w:t>. Pentru utilajele de prelucrare a deșeurilor și echipamentele complementare, se utilizează cele mai bune tehnologii disponibile cu cel mai mic impact asupra mediului din sector. În cazul sprijinului general pentru întreprinderi (inclusiv capital propriu și capital de risc), instrumentul (instrumentele) juridic (e) exclude (exclud) întreprinderile care acordă o atenție deosebită</w:t>
      </w:r>
      <w:r>
        <w:rPr>
          <w:noProof/>
        </w:rPr>
        <w:footnoteReference w:id="24"/>
      </w:r>
      <w:r>
        <w:rPr>
          <w:noProof/>
        </w:rPr>
        <w:t xml:space="preserve"> următoarelor sectoare: (I) producția de energie pe bază de combustibili fosili și activitățile conexe</w:t>
      </w:r>
      <w:r>
        <w:rPr>
          <w:noProof/>
        </w:rPr>
        <w:footnoteReference w:id="25"/>
      </w:r>
      <w:r>
        <w:rPr>
          <w:noProof/>
        </w:rPr>
        <w:t>; (II) industriile mari consumatoare de energie și/sau cu emisii ridicate de CO2</w:t>
      </w:r>
      <w:r>
        <w:rPr>
          <w:noProof/>
        </w:rPr>
        <w:footnoteReference w:id="26"/>
      </w:r>
      <w:r>
        <w:rPr>
          <w:noProof/>
        </w:rPr>
        <w:t>; (III) producția, închirierea sau vânzarea de vehicule poluante</w:t>
      </w:r>
      <w:r>
        <w:rPr>
          <w:noProof/>
        </w:rPr>
        <w:footnoteReference w:id="27"/>
      </w:r>
      <w:r>
        <w:rPr>
          <w:noProof/>
        </w:rPr>
        <w:t>; (IV) colectarea deșeurilor, tratarea și eliminarea deșeurilor</w:t>
      </w:r>
      <w:r>
        <w:rPr>
          <w:noProof/>
        </w:rPr>
        <w:footnoteReference w:id="28"/>
      </w:r>
      <w:r>
        <w:rPr>
          <w:noProof/>
        </w:rPr>
        <w:t xml:space="preserve">, (v) prelucrarea combustibilului nuclear, producția de energie nucleară. </w:t>
      </w:r>
    </w:p>
    <w:p w14:paraId="3F87BF44" w14:textId="77777777" w:rsidR="00D924EA" w:rsidRDefault="00011DE9">
      <w:pPr>
        <w:pStyle w:val="P68B1DB1-paragraph54"/>
        <w:numPr>
          <w:ilvl w:val="0"/>
          <w:numId w:val="80"/>
        </w:numPr>
        <w:spacing w:before="0" w:beforeAutospacing="0" w:after="0" w:afterAutospacing="0"/>
        <w:jc w:val="both"/>
        <w:textAlignment w:val="baseline"/>
        <w:rPr>
          <w:rStyle w:val="normaltextrun"/>
          <w:rFonts w:eastAsiaTheme="majorEastAsia" w:cs="Times New Roman"/>
          <w:noProof/>
          <w:sz w:val="22"/>
          <w:szCs w:val="22"/>
        </w:rPr>
      </w:pPr>
      <w:r>
        <w:rPr>
          <w:noProof/>
        </w:rPr>
        <w:t>Cerința ca beneficiarii finali ai schemelor de subvenții să nu primească sprijin din partea altor instrumente ale Uniunii pentru a acoperi aceleași costuri.</w:t>
      </w:r>
    </w:p>
    <w:p w14:paraId="55C177BB" w14:textId="77777777" w:rsidR="00D924EA" w:rsidRDefault="00011DE9">
      <w:pPr>
        <w:pStyle w:val="ListParagraph"/>
        <w:numPr>
          <w:ilvl w:val="0"/>
          <w:numId w:val="80"/>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Suma acoperită de sistem și cerința de a reinvesti orice venituri neutilizate din sistemul de subvenții în activitățile enumerate mai sus, inclusiv după 2026.</w:t>
      </w:r>
    </w:p>
    <w:p w14:paraId="7A1B2D94" w14:textId="77777777" w:rsidR="00D924EA" w:rsidRDefault="00011DE9">
      <w:pPr>
        <w:pStyle w:val="ListParagraph"/>
        <w:numPr>
          <w:ilvl w:val="0"/>
          <w:numId w:val="80"/>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Cerințe de raportare pentru investițiile în domeniul climei pentru schemele de subvenții</w:t>
      </w:r>
      <w:r>
        <w:rPr>
          <w:rStyle w:val="FootnoteReference"/>
          <w:rFonts w:ascii="Times New Roman" w:eastAsiaTheme="majorEastAsia" w:hAnsi="Times New Roman" w:cs="Times New Roman"/>
          <w:noProof/>
        </w:rPr>
        <w:footnoteReference w:id="29"/>
      </w:r>
      <w:r>
        <w:rPr>
          <w:rStyle w:val="normaltextrun"/>
          <w:rFonts w:ascii="Times New Roman" w:hAnsi="Times New Roman"/>
          <w:noProof/>
        </w:rPr>
        <w:t>.</w:t>
      </w:r>
    </w:p>
    <w:p w14:paraId="7FB06F23" w14:textId="57D84AE1" w:rsidR="00D924EA" w:rsidRDefault="00011DE9">
      <w:pPr>
        <w:pStyle w:val="ListParagraph"/>
        <w:numPr>
          <w:ilvl w:val="0"/>
          <w:numId w:val="80"/>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Pentru investițiile de capital, inclusiv capitalul de risc, cerințele-cheie ale politicii de investiții în ceea ce privește posibila acordare de fonduri includ:</w:t>
      </w:r>
      <w:r w:rsidR="00971820">
        <w:rPr>
          <w:rStyle w:val="normaltextrun"/>
          <w:rFonts w:ascii="Times New Roman" w:hAnsi="Times New Roman"/>
          <w:noProof/>
        </w:rPr>
        <w:t xml:space="preserve"> </w:t>
      </w:r>
    </w:p>
    <w:p w14:paraId="2EA492F8" w14:textId="77777777" w:rsidR="00D924EA" w:rsidRDefault="00011DE9">
      <w:pPr>
        <w:pStyle w:val="ListParagraph"/>
        <w:numPr>
          <w:ilvl w:val="1"/>
          <w:numId w:val="80"/>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 xml:space="preserve">Descrierea liniilor de produse financiare și a beneficiarilor finali eligibili </w:t>
      </w:r>
    </w:p>
    <w:p w14:paraId="7AA6F44E" w14:textId="4540C152" w:rsidR="00D924EA" w:rsidRDefault="00011DE9">
      <w:pPr>
        <w:pStyle w:val="ListParagraph"/>
        <w:numPr>
          <w:ilvl w:val="1"/>
          <w:numId w:val="80"/>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Cerința ca toate investițiile care beneficiază de sprijin să fie viabile din punct de vedere economic.</w:t>
      </w:r>
      <w:r w:rsidR="00971820">
        <w:rPr>
          <w:rStyle w:val="normaltextrun"/>
          <w:rFonts w:ascii="Times New Roman" w:hAnsi="Times New Roman"/>
          <w:noProof/>
        </w:rPr>
        <w:t xml:space="preserve"> </w:t>
      </w:r>
    </w:p>
    <w:p w14:paraId="71F747B9" w14:textId="3B88BB0F" w:rsidR="00D924EA" w:rsidRDefault="00011DE9">
      <w:pPr>
        <w:pStyle w:val="ListParagraph"/>
        <w:numPr>
          <w:ilvl w:val="0"/>
          <w:numId w:val="80"/>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 xml:space="preserve">Pentru investițiile de capital, inclusiv capitalul de risc, următoarele cerințe de monitorizare, audit și control, inclusiv: </w:t>
      </w:r>
    </w:p>
    <w:p w14:paraId="368779EC" w14:textId="77777777" w:rsidR="00D924EA" w:rsidRDefault="00011DE9">
      <w:pPr>
        <w:pStyle w:val="P68B1DB1-Normal29"/>
        <w:numPr>
          <w:ilvl w:val="1"/>
          <w:numId w:val="80"/>
        </w:numPr>
        <w:spacing w:after="0" w:line="240" w:lineRule="auto"/>
        <w:jc w:val="both"/>
        <w:rPr>
          <w:rFonts w:cs="Times New Roman"/>
          <w:noProof/>
        </w:rPr>
      </w:pPr>
      <w:r>
        <w:rPr>
          <w:noProof/>
        </w:rPr>
        <w:t>Descrierea sistemului de monitorizare al IDAE pentru raportarea cu privire la investițiile mobilizate.</w:t>
      </w:r>
    </w:p>
    <w:p w14:paraId="065D1400" w14:textId="77777777" w:rsidR="00D924EA" w:rsidRDefault="00011DE9">
      <w:pPr>
        <w:pStyle w:val="P68B1DB1-paragraph54"/>
        <w:numPr>
          <w:ilvl w:val="1"/>
          <w:numId w:val="80"/>
        </w:numPr>
        <w:spacing w:before="0" w:beforeAutospacing="0" w:after="0" w:afterAutospacing="0"/>
        <w:jc w:val="both"/>
        <w:textAlignment w:val="baseline"/>
        <w:rPr>
          <w:rFonts w:eastAsiaTheme="majorEastAsia" w:cs="Times New Roman"/>
          <w:noProof/>
        </w:rPr>
      </w:pPr>
      <w:r>
        <w:rPr>
          <w:noProof/>
        </w:rPr>
        <w:t>Descrierea procedurilor IDAE care vor asigura prevenirea, detectarea și corectarea fraudei, a corupției și a conflictelor de interese.</w:t>
      </w:r>
    </w:p>
    <w:p w14:paraId="3BD4FF7E" w14:textId="60A8A817" w:rsidR="00D924EA" w:rsidRDefault="00011DE9">
      <w:pPr>
        <w:pStyle w:val="ListParagraph"/>
        <w:numPr>
          <w:ilvl w:val="1"/>
          <w:numId w:val="80"/>
        </w:numPr>
        <w:spacing w:line="259" w:lineRule="auto"/>
        <w:rPr>
          <w:rStyle w:val="normaltextrun"/>
          <w:rFonts w:ascii="Times New Roman" w:eastAsiaTheme="majorEastAsia" w:hAnsi="Times New Roman" w:cs="Times New Roman"/>
          <w:noProof/>
        </w:rPr>
      </w:pPr>
      <w:r>
        <w:rPr>
          <w:rStyle w:val="normaltextrun"/>
          <w:rFonts w:ascii="Times New Roman" w:hAnsi="Times New Roman"/>
          <w:noProof/>
        </w:rPr>
        <w:t>Obligația de a verifica eligibilitatea fiecărei operațiuni în conformitate cu cerințele prevăzute în acordul de punere în aplicare înainte de a se angaja să finanțeze o operațiune.</w:t>
      </w:r>
    </w:p>
    <w:p w14:paraId="755A6727" w14:textId="118C9C47" w:rsidR="00D924EA" w:rsidRDefault="00011DE9">
      <w:pPr>
        <w:pStyle w:val="ListParagraph"/>
        <w:numPr>
          <w:ilvl w:val="1"/>
          <w:numId w:val="80"/>
        </w:numPr>
        <w:spacing w:line="259" w:lineRule="auto"/>
        <w:jc w:val="both"/>
        <w:rPr>
          <w:rFonts w:ascii="Times New Roman" w:eastAsiaTheme="majorEastAsia" w:hAnsi="Times New Roman" w:cs="Times New Roman"/>
          <w:noProof/>
        </w:rPr>
      </w:pPr>
      <w:r>
        <w:rPr>
          <w:rStyle w:val="normaltextrun"/>
          <w:rFonts w:ascii="Times New Roman" w:hAnsi="Times New Roman"/>
          <w:noProof/>
        </w:rPr>
        <w:t>Obligația de a efectua audituri ex post bazate pe riscuri, în conformitate cu un plan de audit al IDAE.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IDEA să verifice dacă beneficiarul final prezintă o declarație responsabilă pentru a verifica dacă același cost este acoperit de un alt instrument al Uniunii. Auditurile verifică, de asemenea, legalitatea tranzacțiilor și respectarea condițiilor instrumentului (instrumentelor) juridic (e) aplicabil (e) sau ale politicii de investiții de instituire a sistemului.</w:t>
      </w:r>
    </w:p>
    <w:p w14:paraId="28342FF7" w14:textId="77777777" w:rsidR="00D924EA" w:rsidRDefault="00011DE9">
      <w:pPr>
        <w:pStyle w:val="P68B1DB1-paragraph56"/>
        <w:spacing w:before="120" w:after="120"/>
        <w:jc w:val="both"/>
        <w:textAlignment w:val="baseline"/>
        <w:rPr>
          <w:rFonts w:cs="Times New Roman"/>
          <w:noProof/>
        </w:rPr>
      </w:pPr>
      <w:r>
        <w:rPr>
          <w:noProof/>
        </w:rPr>
        <w:t>Investiția 6 (C12.I6) – Schemă de subvenții pentru sprijinirea proiectelor strategice din lanțul valoric al automobilelor electrice și din alte sectoare industriale (granturi)</w:t>
      </w:r>
    </w:p>
    <w:p w14:paraId="7520E6AD" w14:textId="2B7F2B5A" w:rsidR="00D924EA" w:rsidRDefault="00011DE9">
      <w:pPr>
        <w:pStyle w:val="P68B1DB1-paragraph54"/>
        <w:spacing w:before="120" w:after="120"/>
        <w:jc w:val="both"/>
        <w:textAlignment w:val="baseline"/>
        <w:rPr>
          <w:noProof/>
        </w:rPr>
      </w:pPr>
      <w:r>
        <w:rPr>
          <w:noProof/>
        </w:rPr>
        <w:t>Această măsură constă într-o investiție publică într-o schemă de subvenții pentru a stimula investițiile private în lanțul valoric al automobilelor electrice și în alte sectoare industriale prin granturi. Sistemul funcționează prin acordarea de subvenții direct sectorului privat, precum și entităților din sectorul public care desfășoară activități similare.</w:t>
      </w:r>
    </w:p>
    <w:p w14:paraId="0A3E73C9" w14:textId="77777777" w:rsidR="00D924EA" w:rsidRDefault="00011DE9">
      <w:pPr>
        <w:pStyle w:val="P68B1DB1-paragraph54"/>
        <w:spacing w:before="120" w:after="120"/>
        <w:jc w:val="both"/>
        <w:textAlignment w:val="baseline"/>
        <w:rPr>
          <w:rFonts w:cs="Times New Roman"/>
          <w:noProof/>
        </w:rPr>
      </w:pPr>
      <w:r>
        <w:rPr>
          <w:noProof/>
        </w:rPr>
        <w:t>Sistemul este gestionat de SEPIDES în calitate de partener de implementare. Un act juridic relevant transformă SEPIDES într-o întreprindere publică pentru a pune în aplicare această investiție (acesta este un jalon din cadrul investiției 6 din componenta 31 a planului de redresare și reziliență al Spaniei).</w:t>
      </w:r>
    </w:p>
    <w:p w14:paraId="18ECA017" w14:textId="5CB607AF" w:rsidR="00D924EA" w:rsidRDefault="00011DE9">
      <w:pPr>
        <w:pStyle w:val="P68B1DB1-paragraph55"/>
        <w:spacing w:before="120" w:after="120"/>
        <w:jc w:val="both"/>
        <w:textAlignment w:val="baseline"/>
        <w:rPr>
          <w:noProof/>
        </w:rPr>
      </w:pPr>
      <w:r>
        <w:rPr>
          <w:noProof/>
        </w:rPr>
        <w:t>Pentru a pune în aplicare investiția în sistem, guvernul adoptă unul sau mai multe instrumente juridice de instituire a sistemului, care includ următoarele elemente:</w:t>
      </w:r>
      <w:r w:rsidR="00971820">
        <w:rPr>
          <w:noProof/>
        </w:rPr>
        <w:t xml:space="preserve"> </w:t>
      </w:r>
    </w:p>
    <w:p w14:paraId="48C6636D" w14:textId="77777777" w:rsidR="00D924EA" w:rsidRDefault="00011DE9">
      <w:pPr>
        <w:pStyle w:val="P68B1DB1-paragraph54"/>
        <w:numPr>
          <w:ilvl w:val="0"/>
          <w:numId w:val="81"/>
        </w:numPr>
        <w:spacing w:before="120" w:after="120"/>
        <w:jc w:val="both"/>
        <w:textAlignment w:val="baseline"/>
        <w:rPr>
          <w:rFonts w:cs="Times New Roman"/>
          <w:noProof/>
        </w:rPr>
      </w:pPr>
      <w:r>
        <w:rPr>
          <w:noProof/>
        </w:rPr>
        <w:t>Descrierea procesului decizional pentru schemă: Evaluarea cererilor și selectarea beneficiarilor care urmează să fie incluși în deciziile finale de atribuire sau în deciziile de investiții din cadrul schemei sunt luate de un comitet de evaluare sau de un alt organism de conducere echivalent relevant și sunt aprobate cu majoritatea voturilor membrilor independenți de guvernul spaniol, ceea ce înseamnă că aceștia trebuie să fie membri ai personalului angajat de SEPIDES și/sau alți experți independenți. Decizia finală de investiție a schemei se limitează la aprobarea (fără modificări) sau la exercitarea unui drept de veto cu privire la o decizie de investiții propusă de comitetul de evaluare sau de organul de conducere echivalent relevant.</w:t>
      </w:r>
    </w:p>
    <w:p w14:paraId="72B8B08C" w14:textId="48AEE414" w:rsidR="00D924EA" w:rsidRDefault="00011DE9">
      <w:pPr>
        <w:pStyle w:val="P68B1DB1-paragraph54"/>
        <w:numPr>
          <w:ilvl w:val="0"/>
          <w:numId w:val="81"/>
        </w:numPr>
        <w:spacing w:before="120" w:after="120"/>
        <w:jc w:val="both"/>
        <w:rPr>
          <w:noProof/>
        </w:rPr>
      </w:pPr>
      <w:r>
        <w:rPr>
          <w:noProof/>
        </w:rPr>
        <w:t>Descrierea subvențiilor acordate și a beneficiarilor finali eligibili.</w:t>
      </w:r>
    </w:p>
    <w:p w14:paraId="44A004ED" w14:textId="2DDDA72C" w:rsidR="00D924EA" w:rsidRDefault="00011DE9">
      <w:pPr>
        <w:pStyle w:val="P68B1DB1-paragraph55"/>
        <w:numPr>
          <w:ilvl w:val="0"/>
          <w:numId w:val="81"/>
        </w:numPr>
        <w:spacing w:before="120" w:after="120"/>
        <w:jc w:val="both"/>
        <w:textAlignment w:val="baseline"/>
        <w:rPr>
          <w:noProof/>
        </w:rPr>
      </w:pPr>
      <w:r>
        <w:rPr>
          <w:noProof/>
        </w:rPr>
        <w:t>Cerința de a respecta principiul de „a nu prejudicia în mod semnificativ”. În special, instrumentul (instrumentele) juridic (e) exclude (exclud) următoarea listă de activități: (I) activități legate de combustibilii fosili, inclusiv utilizarea în aval</w:t>
      </w:r>
      <w:r>
        <w:rPr>
          <w:noProof/>
        </w:rPr>
        <w:footnoteReference w:id="30"/>
      </w:r>
      <w:r>
        <w:rPr>
          <w:noProof/>
        </w:rPr>
        <w:t>; (II) activitățile din cadrul schemei UE de comercializare a certificatelor de emisii (ETS) care realizează emisii preconizate de gaze cu efect de seră care nu sunt mai mici decât valorile de referință relevante</w:t>
      </w:r>
      <w:r>
        <w:rPr>
          <w:noProof/>
        </w:rPr>
        <w:footnoteReference w:id="31"/>
      </w:r>
      <w:r>
        <w:rPr>
          <w:noProof/>
        </w:rPr>
        <w:t>; și (iii) activități legate de depozitele de deșeuri, incineratoare</w:t>
      </w:r>
      <w:r>
        <w:rPr>
          <w:noProof/>
        </w:rPr>
        <w:footnoteReference w:id="32"/>
      </w:r>
      <w:r>
        <w:rPr>
          <w:noProof/>
        </w:rPr>
        <w:t xml:space="preserve"> și stații de tratare mecano-biologică</w:t>
      </w:r>
      <w:r>
        <w:rPr>
          <w:noProof/>
        </w:rPr>
        <w:footnoteReference w:id="33"/>
      </w:r>
      <w:r>
        <w:rPr>
          <w:noProof/>
        </w:rPr>
        <w:t>. Următoarele acțiuni de C &amp; D &amp; I din cadrul acestei investiții sunt considerate conforme cu Orientările tehnice de „a nu prejudicia în mod semnificativ” (2021/C58/01): Acțiunile de C &amp; D &amp; I din cadrul acestei investiții dedicate creșterii substanțiale a sustenabilității întreprinderilor din punctul de vedere al mediului (cum ar fi decarbonizarea, reducerea poluării și economia circulară), dacă acțiunile de C &amp; D &amp; I din cadrul acestei investiții se axează în principal pe dezvoltarea sau adaptarea unor alternative cu cel mai mic impact posibil asupra mediului în acest sector.</w:t>
      </w:r>
      <w:r w:rsidR="00971820">
        <w:rPr>
          <w:noProof/>
        </w:rPr>
        <w:t xml:space="preserve"> </w:t>
      </w:r>
      <w:r>
        <w:rPr>
          <w:noProof/>
        </w:rPr>
        <w:t xml:space="preserve"> </w:t>
      </w:r>
    </w:p>
    <w:p w14:paraId="49E9C0DA" w14:textId="6F02A72E" w:rsidR="00D924EA" w:rsidRDefault="00011DE9">
      <w:pPr>
        <w:pStyle w:val="paragraph"/>
        <w:numPr>
          <w:ilvl w:val="0"/>
          <w:numId w:val="81"/>
        </w:numPr>
        <w:spacing w:before="120" w:after="120"/>
        <w:jc w:val="both"/>
        <w:textAlignment w:val="baseline"/>
        <w:rPr>
          <w:rFonts w:ascii="Times New Roman" w:hAnsi="Times New Roman" w:cs="Times New Roman"/>
          <w:noProof/>
        </w:rPr>
      </w:pPr>
      <w:r>
        <w:rPr>
          <w:rFonts w:ascii="Times New Roman" w:hAnsi="Times New Roman"/>
          <w:noProof/>
        </w:rPr>
        <w:t>Cerințe pentru investițiile în domeniul climei efectuate de SEPIDES: cel puțin 206 000 000 EUR din investițiile MRR în schemă contribuie la obiectivele legate de schimbările climatice, în conformitate cu anexa VI la Regulamentul privind MRR.</w:t>
      </w:r>
      <w:r>
        <w:rPr>
          <w:rStyle w:val="FootnoteReference"/>
          <w:rFonts w:ascii="Times New Roman" w:hAnsi="Times New Roman" w:cs="Times New Roman"/>
          <w:noProof/>
        </w:rPr>
        <w:footnoteReference w:id="34"/>
      </w:r>
      <w:r>
        <w:rPr>
          <w:rFonts w:ascii="Times New Roman" w:hAnsi="Times New Roman"/>
          <w:noProof/>
        </w:rPr>
        <w:t xml:space="preserve"> </w:t>
      </w:r>
    </w:p>
    <w:p w14:paraId="27985359" w14:textId="77777777" w:rsidR="00D924EA" w:rsidRDefault="00011DE9">
      <w:pPr>
        <w:pStyle w:val="P68B1DB1-paragraph54"/>
        <w:numPr>
          <w:ilvl w:val="0"/>
          <w:numId w:val="81"/>
        </w:numPr>
        <w:spacing w:before="120" w:after="120"/>
        <w:jc w:val="both"/>
        <w:textAlignment w:val="baseline"/>
        <w:rPr>
          <w:rFonts w:cs="Times New Roman"/>
          <w:noProof/>
        </w:rPr>
      </w:pPr>
      <w:r>
        <w:rPr>
          <w:noProof/>
        </w:rPr>
        <w:t>Cerința ca beneficiarii finali ai sistemului de subvenții să nu primească sprijin din partea altor instrumente ale Uniunii pentru a acoperi aceleași costuri.</w:t>
      </w:r>
    </w:p>
    <w:p w14:paraId="19C2433E" w14:textId="77777777" w:rsidR="00D924EA" w:rsidRDefault="00011DE9">
      <w:pPr>
        <w:pStyle w:val="P68B1DB1-paragraph54"/>
        <w:numPr>
          <w:ilvl w:val="0"/>
          <w:numId w:val="81"/>
        </w:numPr>
        <w:spacing w:before="120" w:after="120"/>
        <w:jc w:val="both"/>
        <w:textAlignment w:val="baseline"/>
        <w:rPr>
          <w:rFonts w:cs="Times New Roman"/>
          <w:noProof/>
        </w:rPr>
      </w:pPr>
      <w:r>
        <w:rPr>
          <w:noProof/>
        </w:rPr>
        <w:t>Suma acoperită de sistem și cerința de a reinvesti orice venituri neutilizate din sistemul de subvenții în activitățile enumerate mai sus, inclusiv după 2026.</w:t>
      </w:r>
    </w:p>
    <w:p w14:paraId="5A707381" w14:textId="77777777" w:rsidR="00D924EA" w:rsidRDefault="00D924EA">
      <w:pPr>
        <w:spacing w:before="120" w:after="120" w:line="240" w:lineRule="auto"/>
        <w:jc w:val="both"/>
        <w:rPr>
          <w:rFonts w:ascii="Times New Roman" w:hAnsi="Times New Roman" w:cs="Times New Roman"/>
          <w:noProof/>
        </w:rPr>
      </w:pPr>
    </w:p>
    <w:p w14:paraId="270BF987" w14:textId="0FB8317B" w:rsidR="00D924EA" w:rsidRDefault="00011DE9" w:rsidP="00C202D2">
      <w:pPr>
        <w:keepNext/>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L.2.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11706578" w14:textId="77777777" w:rsidR="00D924EA" w:rsidRDefault="00011DE9">
      <w:pPr>
        <w:pStyle w:val="P68B1DB1-Normal29"/>
        <w:spacing w:before="120" w:after="120" w:line="240" w:lineRule="auto"/>
        <w:jc w:val="both"/>
        <w:rPr>
          <w:rFonts w:cs="Times New Roman"/>
          <w:noProof/>
          <w:u w:val="single"/>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1FF173A1" w14:textId="77777777" w:rsidR="00D924EA" w:rsidRDefault="00D924EA">
      <w:pPr>
        <w:spacing w:before="120" w:after="120" w:line="240" w:lineRule="auto"/>
        <w:ind w:left="709"/>
        <w:jc w:val="both"/>
        <w:rPr>
          <w:rFonts w:ascii="Times New Roman" w:hAnsi="Times New Roman" w:cs="Times New Roman"/>
          <w:noProof/>
        </w:rPr>
      </w:pPr>
    </w:p>
    <w:p w14:paraId="0CEDA276" w14:textId="77777777" w:rsidR="00D924EA" w:rsidRDefault="00D924EA">
      <w:pPr>
        <w:spacing w:after="0" w:line="240" w:lineRule="auto"/>
        <w:jc w:val="both"/>
        <w:rPr>
          <w:rFonts w:ascii="Times New Roman" w:hAnsi="Times New Roman" w:cs="Times New Roman"/>
          <w:noProof/>
        </w:rPr>
        <w:sectPr w:rsidR="00D924EA" w:rsidSect="00B528FB">
          <w:headerReference w:type="even" r:id="rId156"/>
          <w:headerReference w:type="default" r:id="rId157"/>
          <w:footerReference w:type="even" r:id="rId158"/>
          <w:footerReference w:type="default" r:id="rId159"/>
          <w:headerReference w:type="first" r:id="rId160"/>
          <w:footerReference w:type="first" r:id="rId161"/>
          <w:pgSz w:w="11907" w:h="16839"/>
          <w:pgMar w:top="1134" w:right="1134" w:bottom="1134" w:left="1134" w:header="567" w:footer="567" w:gutter="0"/>
          <w:cols w:space="720"/>
          <w:docGrid w:linePitch="360"/>
        </w:sectPr>
      </w:pPr>
    </w:p>
    <w:tbl>
      <w:tblPr>
        <w:tblW w:w="15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52"/>
        <w:gridCol w:w="850"/>
        <w:gridCol w:w="942"/>
        <w:gridCol w:w="1462"/>
        <w:gridCol w:w="1559"/>
        <w:gridCol w:w="993"/>
        <w:gridCol w:w="992"/>
        <w:gridCol w:w="850"/>
        <w:gridCol w:w="709"/>
        <w:gridCol w:w="851"/>
        <w:gridCol w:w="5359"/>
      </w:tblGrid>
      <w:tr w:rsidR="00D924EA" w14:paraId="16EDE1DB" w14:textId="77777777">
        <w:trPr>
          <w:trHeight w:val="309"/>
          <w:tblHeader/>
          <w:jc w:val="center"/>
        </w:trPr>
        <w:tc>
          <w:tcPr>
            <w:tcW w:w="852" w:type="dxa"/>
            <w:vMerge w:val="restart"/>
            <w:tcBorders>
              <w:top w:val="single" w:sz="4" w:space="0" w:color="auto"/>
              <w:left w:val="single" w:sz="4" w:space="0" w:color="auto"/>
              <w:right w:val="single" w:sz="4" w:space="0" w:color="auto"/>
            </w:tcBorders>
            <w:shd w:val="clear" w:color="auto" w:fill="B7D4EF"/>
            <w:noWrap/>
            <w:vAlign w:val="center"/>
          </w:tcPr>
          <w:p w14:paraId="137E3A79" w14:textId="77777777" w:rsidR="00D924EA" w:rsidRDefault="00011DE9">
            <w:pPr>
              <w:pStyle w:val="P68B1DB1-Normal28"/>
              <w:spacing w:after="0" w:line="240" w:lineRule="auto"/>
              <w:jc w:val="both"/>
              <w:rPr>
                <w:rFonts w:cs="Times New Roman"/>
                <w:noProof/>
                <w:szCs w:val="18"/>
              </w:rPr>
            </w:pPr>
            <w:r>
              <w:rPr>
                <w:noProof/>
              </w:rPr>
              <w:t>Număr</w:t>
            </w:r>
          </w:p>
        </w:tc>
        <w:tc>
          <w:tcPr>
            <w:tcW w:w="850" w:type="dxa"/>
            <w:vMerge w:val="restart"/>
            <w:tcBorders>
              <w:top w:val="single" w:sz="4" w:space="0" w:color="auto"/>
              <w:left w:val="single" w:sz="4" w:space="0" w:color="auto"/>
              <w:right w:val="single" w:sz="4" w:space="0" w:color="auto"/>
            </w:tcBorders>
            <w:shd w:val="clear" w:color="auto" w:fill="B7D4EF"/>
            <w:noWrap/>
            <w:vAlign w:val="center"/>
          </w:tcPr>
          <w:p w14:paraId="6C95F0DF" w14:textId="77777777" w:rsidR="00D924EA" w:rsidRDefault="00011DE9">
            <w:pPr>
              <w:pStyle w:val="P68B1DB1-Normal28"/>
              <w:spacing w:after="0" w:line="240" w:lineRule="auto"/>
              <w:jc w:val="center"/>
              <w:rPr>
                <w:rFonts w:cs="Times New Roman"/>
                <w:noProof/>
                <w:szCs w:val="18"/>
              </w:rPr>
            </w:pPr>
            <w:r>
              <w:rPr>
                <w:noProof/>
              </w:rPr>
              <w:t>Măsură</w:t>
            </w:r>
          </w:p>
        </w:tc>
        <w:tc>
          <w:tcPr>
            <w:tcW w:w="942" w:type="dxa"/>
            <w:vMerge w:val="restart"/>
            <w:tcBorders>
              <w:top w:val="single" w:sz="4" w:space="0" w:color="auto"/>
              <w:left w:val="single" w:sz="4" w:space="0" w:color="auto"/>
              <w:right w:val="single" w:sz="4" w:space="0" w:color="auto"/>
            </w:tcBorders>
            <w:shd w:val="clear" w:color="auto" w:fill="B7D4EF"/>
            <w:noWrap/>
            <w:vAlign w:val="center"/>
          </w:tcPr>
          <w:p w14:paraId="4F468EB3" w14:textId="7805E062" w:rsidR="00D924EA" w:rsidRDefault="00011DE9">
            <w:pPr>
              <w:spacing w:after="0" w:line="240" w:lineRule="auto"/>
              <w:jc w:val="center"/>
              <w:rPr>
                <w:rFonts w:ascii="Times New Roman" w:hAnsi="Times New Roman" w:cs="Times New Roman"/>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1462" w:type="dxa"/>
            <w:vMerge w:val="restart"/>
            <w:tcBorders>
              <w:top w:val="single" w:sz="4" w:space="0" w:color="auto"/>
              <w:left w:val="single" w:sz="4" w:space="0" w:color="auto"/>
              <w:right w:val="single" w:sz="4" w:space="0" w:color="auto"/>
            </w:tcBorders>
            <w:shd w:val="clear" w:color="auto" w:fill="B7D4EF"/>
            <w:noWrap/>
            <w:vAlign w:val="center"/>
          </w:tcPr>
          <w:p w14:paraId="60DD5440" w14:textId="77777777" w:rsidR="00D924EA" w:rsidRDefault="00011DE9">
            <w:pPr>
              <w:pStyle w:val="P68B1DB1-Normal28"/>
              <w:spacing w:after="0" w:line="240" w:lineRule="auto"/>
              <w:jc w:val="center"/>
              <w:rPr>
                <w:rFonts w:cs="Times New Roman"/>
                <w:noProof/>
                <w:szCs w:val="18"/>
              </w:rPr>
            </w:pPr>
            <w:r>
              <w:rPr>
                <w:noProof/>
              </w:rPr>
              <w:t>Nume</w:t>
            </w:r>
          </w:p>
        </w:tc>
        <w:tc>
          <w:tcPr>
            <w:tcW w:w="1559" w:type="dxa"/>
            <w:vMerge w:val="restart"/>
            <w:tcBorders>
              <w:top w:val="single" w:sz="4" w:space="0" w:color="auto"/>
              <w:left w:val="single" w:sz="4" w:space="0" w:color="auto"/>
              <w:right w:val="single" w:sz="4" w:space="0" w:color="auto"/>
            </w:tcBorders>
            <w:shd w:val="clear" w:color="auto" w:fill="B7D4EF"/>
            <w:noWrap/>
            <w:vAlign w:val="center"/>
          </w:tcPr>
          <w:p w14:paraId="25F5F252" w14:textId="77777777" w:rsidR="00D924EA" w:rsidRDefault="00011DE9">
            <w:pPr>
              <w:pStyle w:val="P68B1DB1-Normal28"/>
              <w:spacing w:after="0" w:line="240" w:lineRule="auto"/>
              <w:jc w:val="center"/>
              <w:rPr>
                <w:rFonts w:cs="Times New Roman"/>
                <w:noProof/>
                <w:szCs w:val="18"/>
              </w:rPr>
            </w:pPr>
            <w:r>
              <w:rPr>
                <w:noProof/>
              </w:rPr>
              <w:t>Indicator calitativ pentru jaloane</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7D4EF"/>
            <w:noWrap/>
            <w:vAlign w:val="center"/>
          </w:tcPr>
          <w:p w14:paraId="675DE9CF" w14:textId="77777777" w:rsidR="00D924EA" w:rsidRDefault="00011DE9">
            <w:pPr>
              <w:pStyle w:val="P68B1DB1-Normal28"/>
              <w:spacing w:after="0" w:line="240" w:lineRule="auto"/>
              <w:jc w:val="center"/>
              <w:rPr>
                <w:rFonts w:cs="Times New Roman"/>
                <w:noProof/>
                <w:szCs w:val="18"/>
              </w:rPr>
            </w:pPr>
            <w:r>
              <w:rPr>
                <w:noProof/>
              </w:rPr>
              <w:t>Indicator cantitativ pentru ținte</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7D4EF"/>
            <w:noWrap/>
            <w:vAlign w:val="center"/>
          </w:tcPr>
          <w:p w14:paraId="18DFA8FB" w14:textId="77777777" w:rsidR="00D924EA" w:rsidRDefault="00011DE9">
            <w:pPr>
              <w:pStyle w:val="P68B1DB1-Normal28"/>
              <w:spacing w:after="0" w:line="240" w:lineRule="auto"/>
              <w:jc w:val="center"/>
              <w:rPr>
                <w:rFonts w:cs="Times New Roman"/>
                <w:noProof/>
                <w:szCs w:val="18"/>
              </w:rPr>
            </w:pPr>
            <w:r>
              <w:rPr>
                <w:noProof/>
              </w:rPr>
              <w:t>Timp</w:t>
            </w:r>
          </w:p>
        </w:tc>
        <w:tc>
          <w:tcPr>
            <w:tcW w:w="5359" w:type="dxa"/>
            <w:vMerge w:val="restart"/>
            <w:tcBorders>
              <w:top w:val="single" w:sz="4" w:space="0" w:color="auto"/>
              <w:left w:val="single" w:sz="4" w:space="0" w:color="auto"/>
              <w:right w:val="single" w:sz="4" w:space="0" w:color="auto"/>
            </w:tcBorders>
            <w:shd w:val="clear" w:color="auto" w:fill="B7D4EF"/>
            <w:noWrap/>
            <w:vAlign w:val="center"/>
          </w:tcPr>
          <w:p w14:paraId="5762658C" w14:textId="77777777" w:rsidR="00D924EA" w:rsidRDefault="00D924EA">
            <w:pPr>
              <w:spacing w:after="0" w:line="240" w:lineRule="auto"/>
              <w:jc w:val="center"/>
              <w:rPr>
                <w:rFonts w:ascii="Times New Roman" w:hAnsi="Times New Roman" w:cs="Times New Roman"/>
                <w:noProof/>
                <w:sz w:val="18"/>
                <w:szCs w:val="18"/>
              </w:rPr>
            </w:pPr>
          </w:p>
          <w:p w14:paraId="74DE86D2" w14:textId="77777777" w:rsidR="00D924EA" w:rsidRDefault="00011DE9">
            <w:pPr>
              <w:pStyle w:val="P68B1DB1-Normal28"/>
              <w:spacing w:after="0" w:line="240" w:lineRule="auto"/>
              <w:jc w:val="center"/>
              <w:rPr>
                <w:rFonts w:cs="Times New Roman"/>
                <w:noProof/>
                <w:szCs w:val="18"/>
              </w:rPr>
            </w:pPr>
            <w:r>
              <w:rPr>
                <w:noProof/>
              </w:rPr>
              <w:t>Descrierea fiecărui jalon și a fiecărei ținte</w:t>
            </w:r>
          </w:p>
          <w:p w14:paraId="17E713C3" w14:textId="77777777" w:rsidR="00D924EA" w:rsidRDefault="00011DE9">
            <w:pPr>
              <w:tabs>
                <w:tab w:val="left" w:pos="737"/>
              </w:tabs>
              <w:spacing w:after="0" w:line="240" w:lineRule="auto"/>
              <w:rPr>
                <w:rFonts w:ascii="Times New Roman" w:hAnsi="Times New Roman" w:cs="Times New Roman"/>
                <w:noProof/>
                <w:sz w:val="18"/>
                <w:szCs w:val="18"/>
              </w:rPr>
            </w:pPr>
            <w:r>
              <w:rPr>
                <w:noProof/>
              </w:rPr>
              <w:tab/>
            </w:r>
          </w:p>
        </w:tc>
      </w:tr>
      <w:tr w:rsidR="00D924EA" w14:paraId="4C82DAC7" w14:textId="77777777">
        <w:trPr>
          <w:trHeight w:val="309"/>
          <w:tblHeader/>
          <w:jc w:val="center"/>
        </w:trPr>
        <w:tc>
          <w:tcPr>
            <w:tcW w:w="852" w:type="dxa"/>
            <w:vMerge/>
            <w:noWrap/>
          </w:tcPr>
          <w:p w14:paraId="3EFE4302" w14:textId="77777777" w:rsidR="00D924EA" w:rsidRDefault="00D924EA">
            <w:pPr>
              <w:spacing w:after="0" w:line="240" w:lineRule="auto"/>
              <w:jc w:val="center"/>
              <w:rPr>
                <w:rFonts w:ascii="Times New Roman" w:hAnsi="Times New Roman" w:cs="Times New Roman"/>
                <w:noProof/>
                <w:sz w:val="18"/>
                <w:szCs w:val="18"/>
              </w:rPr>
            </w:pPr>
          </w:p>
        </w:tc>
        <w:tc>
          <w:tcPr>
            <w:tcW w:w="850" w:type="dxa"/>
            <w:vMerge/>
            <w:noWrap/>
          </w:tcPr>
          <w:p w14:paraId="3B5D8343" w14:textId="77777777" w:rsidR="00D924EA" w:rsidRDefault="00D924EA">
            <w:pPr>
              <w:spacing w:after="0" w:line="240" w:lineRule="auto"/>
              <w:jc w:val="center"/>
              <w:rPr>
                <w:rFonts w:ascii="Times New Roman" w:hAnsi="Times New Roman" w:cs="Times New Roman"/>
                <w:noProof/>
                <w:sz w:val="18"/>
                <w:szCs w:val="18"/>
              </w:rPr>
            </w:pPr>
          </w:p>
        </w:tc>
        <w:tc>
          <w:tcPr>
            <w:tcW w:w="942" w:type="dxa"/>
            <w:vMerge/>
            <w:noWrap/>
          </w:tcPr>
          <w:p w14:paraId="0D816B86" w14:textId="77777777" w:rsidR="00D924EA" w:rsidRDefault="00D924EA">
            <w:pPr>
              <w:spacing w:after="0" w:line="240" w:lineRule="auto"/>
              <w:jc w:val="center"/>
              <w:rPr>
                <w:rFonts w:ascii="Times New Roman" w:hAnsi="Times New Roman" w:cs="Times New Roman"/>
                <w:noProof/>
                <w:sz w:val="18"/>
                <w:szCs w:val="18"/>
              </w:rPr>
            </w:pPr>
          </w:p>
        </w:tc>
        <w:tc>
          <w:tcPr>
            <w:tcW w:w="1462" w:type="dxa"/>
            <w:vMerge/>
            <w:noWrap/>
          </w:tcPr>
          <w:p w14:paraId="3906A06A" w14:textId="77777777" w:rsidR="00D924EA" w:rsidRDefault="00D924EA">
            <w:pPr>
              <w:spacing w:after="0" w:line="240" w:lineRule="auto"/>
              <w:jc w:val="center"/>
              <w:rPr>
                <w:rFonts w:ascii="Times New Roman" w:hAnsi="Times New Roman" w:cs="Times New Roman"/>
                <w:noProof/>
                <w:sz w:val="18"/>
                <w:szCs w:val="18"/>
              </w:rPr>
            </w:pPr>
          </w:p>
        </w:tc>
        <w:tc>
          <w:tcPr>
            <w:tcW w:w="1559" w:type="dxa"/>
            <w:vMerge/>
            <w:noWrap/>
            <w:vAlign w:val="center"/>
          </w:tcPr>
          <w:p w14:paraId="4E44C6D8" w14:textId="77777777" w:rsidR="00D924EA" w:rsidRDefault="00D924EA">
            <w:pPr>
              <w:spacing w:after="0" w:line="240" w:lineRule="auto"/>
              <w:jc w:val="center"/>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3F8D191F" w14:textId="77777777" w:rsidR="00D924EA" w:rsidRDefault="00011DE9">
            <w:pPr>
              <w:pStyle w:val="P68B1DB1-Normal28"/>
              <w:spacing w:after="0" w:line="240" w:lineRule="auto"/>
              <w:jc w:val="center"/>
              <w:rPr>
                <w:rFonts w:cs="Times New Roman"/>
                <w:noProof/>
                <w:szCs w:val="18"/>
              </w:rPr>
            </w:pPr>
            <w:r>
              <w:rPr>
                <w:noProof/>
              </w:rPr>
              <w:t>Unitate</w:t>
            </w:r>
          </w:p>
        </w:tc>
        <w:tc>
          <w:tcPr>
            <w:tcW w:w="992"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23098D22" w14:textId="77777777" w:rsidR="00D924EA" w:rsidRDefault="00011DE9">
            <w:pPr>
              <w:pStyle w:val="P68B1DB1-Normal28"/>
              <w:spacing w:after="0" w:line="240" w:lineRule="auto"/>
              <w:jc w:val="center"/>
              <w:rPr>
                <w:rFonts w:cs="Times New Roman"/>
                <w:noProof/>
                <w:szCs w:val="18"/>
              </w:rPr>
            </w:pPr>
            <w:r>
              <w:rPr>
                <w:noProof/>
              </w:rPr>
              <w:t>Situația de referință</w:t>
            </w:r>
          </w:p>
        </w:tc>
        <w:tc>
          <w:tcPr>
            <w:tcW w:w="850"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0782725" w14:textId="77777777" w:rsidR="00D924EA" w:rsidRDefault="00011DE9">
            <w:pPr>
              <w:pStyle w:val="P68B1DB1-Normal28"/>
              <w:spacing w:after="0" w:line="240" w:lineRule="auto"/>
              <w:jc w:val="center"/>
              <w:rPr>
                <w:rFonts w:cs="Times New Roman"/>
                <w:noProof/>
                <w:szCs w:val="18"/>
              </w:rPr>
            </w:pPr>
            <w:r>
              <w:rPr>
                <w:noProof/>
              </w:rPr>
              <w:t>Obiectiv</w:t>
            </w:r>
          </w:p>
        </w:tc>
        <w:tc>
          <w:tcPr>
            <w:tcW w:w="709"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5C828F74" w14:textId="4A2C3274" w:rsidR="00D924EA" w:rsidRDefault="00C202D2">
            <w:pPr>
              <w:pStyle w:val="P68B1DB1-Normal28"/>
              <w:spacing w:after="0" w:line="240" w:lineRule="auto"/>
              <w:jc w:val="center"/>
              <w:rPr>
                <w:rFonts w:cs="Times New Roman"/>
                <w:noProof/>
                <w:szCs w:val="18"/>
              </w:rPr>
            </w:pPr>
            <w:r>
              <w:rPr>
                <w:noProof/>
              </w:rPr>
              <w:t>T</w:t>
            </w:r>
          </w:p>
        </w:tc>
        <w:tc>
          <w:tcPr>
            <w:tcW w:w="851"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17C64D41" w14:textId="77777777" w:rsidR="00D924EA" w:rsidRDefault="00011DE9">
            <w:pPr>
              <w:pStyle w:val="P68B1DB1-Normal28"/>
              <w:spacing w:after="0" w:line="240" w:lineRule="auto"/>
              <w:jc w:val="center"/>
              <w:rPr>
                <w:rFonts w:cs="Times New Roman"/>
                <w:noProof/>
                <w:szCs w:val="18"/>
              </w:rPr>
            </w:pPr>
            <w:r>
              <w:rPr>
                <w:noProof/>
              </w:rPr>
              <w:t>Anul</w:t>
            </w:r>
          </w:p>
        </w:tc>
        <w:tc>
          <w:tcPr>
            <w:tcW w:w="5359" w:type="dxa"/>
            <w:vMerge/>
            <w:noWrap/>
          </w:tcPr>
          <w:p w14:paraId="2D8E709C" w14:textId="77777777" w:rsidR="00D924EA" w:rsidRDefault="00D924EA">
            <w:pPr>
              <w:tabs>
                <w:tab w:val="left" w:pos="737"/>
              </w:tabs>
              <w:spacing w:after="0" w:line="240" w:lineRule="auto"/>
              <w:rPr>
                <w:rFonts w:ascii="Times New Roman" w:hAnsi="Times New Roman" w:cs="Times New Roman"/>
                <w:noProof/>
                <w:sz w:val="18"/>
                <w:szCs w:val="18"/>
              </w:rPr>
            </w:pPr>
          </w:p>
        </w:tc>
      </w:tr>
      <w:tr w:rsidR="00D924EA" w14:paraId="7748E687"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3413E462" w14:textId="77777777" w:rsidR="00D924EA" w:rsidRDefault="00011DE9">
            <w:pPr>
              <w:pStyle w:val="P68B1DB1-Normal23"/>
              <w:spacing w:after="0" w:line="240" w:lineRule="auto"/>
              <w:jc w:val="center"/>
              <w:rPr>
                <w:rFonts w:eastAsia="Times New Roman" w:cs="Times New Roman"/>
                <w:noProof/>
                <w:szCs w:val="18"/>
              </w:rPr>
            </w:pPr>
            <w:r>
              <w:rPr>
                <w:noProof/>
              </w:rPr>
              <w:t>177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A2D4D54" w14:textId="77777777" w:rsidR="00D924EA" w:rsidRDefault="00011DE9">
            <w:pPr>
              <w:pStyle w:val="P68B1DB1-Normal23"/>
              <w:spacing w:after="0" w:line="240" w:lineRule="auto"/>
              <w:jc w:val="center"/>
              <w:rPr>
                <w:rFonts w:eastAsia="Times New Roman" w:cs="Times New Roman"/>
                <w:noProof/>
                <w:szCs w:val="18"/>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36FC8587" w14:textId="77777777" w:rsidR="00D924EA" w:rsidRDefault="00011DE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109B692F" w14:textId="77777777" w:rsidR="00D924EA" w:rsidRDefault="00011DE9">
            <w:pPr>
              <w:pStyle w:val="P68B1DB1-Normal23"/>
              <w:spacing w:after="0" w:line="240" w:lineRule="auto"/>
              <w:rPr>
                <w:rFonts w:eastAsia="Times New Roman" w:cs="Times New Roman"/>
                <w:noProof/>
                <w:szCs w:val="18"/>
              </w:rPr>
            </w:pPr>
            <w:r>
              <w:rPr>
                <w:noProof/>
              </w:rPr>
              <w:t>Strategia spaniolă privind economia circulară (EEEC)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51EDB16" w14:textId="77777777" w:rsidR="00D924EA" w:rsidRDefault="00011DE9">
            <w:pPr>
              <w:pStyle w:val="P68B1DB1-Normal23"/>
              <w:spacing w:after="0" w:line="240" w:lineRule="auto"/>
              <w:jc w:val="center"/>
              <w:rPr>
                <w:rFonts w:eastAsia="Times New Roman" w:cs="Times New Roman"/>
                <w:noProof/>
                <w:szCs w:val="18"/>
              </w:rPr>
            </w:pPr>
            <w:r>
              <w:rPr>
                <w:noProof/>
              </w:rPr>
              <w:t>Aprobarea de către Consiliul de Miniștri</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BC79881" w14:textId="77777777" w:rsidR="00D924EA" w:rsidRDefault="00011DE9">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33291F0" w14:textId="77777777" w:rsidR="00D924EA" w:rsidRDefault="00011DE9">
            <w:pPr>
              <w:pStyle w:val="P68B1DB1-Normal23"/>
              <w:spacing w:after="0" w:line="240" w:lineRule="auto"/>
              <w:jc w:val="right"/>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6156E71" w14:textId="77777777" w:rsidR="00D924EA" w:rsidRDefault="00011DE9">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F3ABF1D" w14:textId="50E58C17" w:rsidR="00D924EA" w:rsidRDefault="005701C9">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BC2A21D" w14:textId="77777777" w:rsidR="00D924EA" w:rsidRDefault="00011DE9">
            <w:pPr>
              <w:pStyle w:val="P68B1DB1-Normal23"/>
              <w:spacing w:after="0" w:line="240" w:lineRule="auto"/>
              <w:jc w:val="center"/>
              <w:rPr>
                <w:rFonts w:eastAsia="Times New Roman" w:cs="Times New Roman"/>
                <w:noProof/>
                <w:szCs w:val="18"/>
              </w:rPr>
            </w:pPr>
            <w:r>
              <w:rPr>
                <w:noProof/>
              </w:rPr>
              <w:t>2020</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34D1FFA3" w14:textId="77777777" w:rsidR="00D924EA" w:rsidRDefault="00011DE9">
            <w:pPr>
              <w:pStyle w:val="P68B1DB1-Normal23"/>
              <w:spacing w:after="0" w:line="240" w:lineRule="auto"/>
              <w:jc w:val="both"/>
              <w:rPr>
                <w:rFonts w:eastAsia="Times New Roman" w:cs="Times New Roman"/>
                <w:noProof/>
                <w:szCs w:val="18"/>
              </w:rPr>
            </w:pPr>
            <w:r>
              <w:rPr>
                <w:noProof/>
              </w:rPr>
              <w:t>Aprobarea Strategiei spaniole privind economia circulară (EEEC). Aceasta stabilește baza pentru promovarea unui nou model de producție și consum în care valoarea produselor, a materialelor și a resurselor să fie menținută cât mai mult timp posibil, în care generarea de deșeuri să fie redusă la minimum, iar deșeurile care nu pot fi evitate să fie exploatate pe deplin.</w:t>
            </w:r>
          </w:p>
        </w:tc>
      </w:tr>
      <w:tr w:rsidR="00D924EA" w14:paraId="3983C3DF"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2C0D2D6" w14:textId="77777777" w:rsidR="00D924EA" w:rsidRDefault="00011DE9">
            <w:pPr>
              <w:pStyle w:val="P68B1DB1-Normal23"/>
              <w:spacing w:after="0" w:line="240" w:lineRule="auto"/>
              <w:jc w:val="center"/>
              <w:rPr>
                <w:rFonts w:eastAsia="Times New Roman" w:cs="Times New Roman"/>
                <w:noProof/>
                <w:szCs w:val="18"/>
              </w:rPr>
            </w:pPr>
            <w:r>
              <w:rPr>
                <w:noProof/>
              </w:rPr>
              <w:t>178</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A653714" w14:textId="77777777" w:rsidR="00D924EA" w:rsidRDefault="00011DE9">
            <w:pPr>
              <w:pStyle w:val="P68B1DB1-Normal23"/>
              <w:spacing w:after="0" w:line="240" w:lineRule="auto"/>
              <w:jc w:val="center"/>
              <w:rPr>
                <w:rFonts w:eastAsia="Times New Roman" w:cs="Times New Roman"/>
                <w:noProof/>
                <w:szCs w:val="18"/>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17FEE438" w14:textId="77777777" w:rsidR="00D924EA" w:rsidRDefault="00011DE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2885E5D4" w14:textId="77777777" w:rsidR="00D924EA" w:rsidRDefault="00011DE9">
            <w:pPr>
              <w:pStyle w:val="P68B1DB1-Normal23"/>
              <w:spacing w:after="0" w:line="240" w:lineRule="auto"/>
              <w:rPr>
                <w:rFonts w:eastAsia="Times New Roman" w:cs="Times New Roman"/>
                <w:noProof/>
                <w:szCs w:val="18"/>
              </w:rPr>
            </w:pPr>
            <w:r>
              <w:rPr>
                <w:noProof/>
              </w:rPr>
              <w:t>Intrarea în vigoare a actelor care fac parte din pachetul de politici privind economia circulară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3CEB34F" w14:textId="77777777" w:rsidR="00D924EA" w:rsidRDefault="00011DE9">
            <w:pPr>
              <w:pStyle w:val="P68B1DB1-Normal23"/>
              <w:spacing w:after="0" w:line="240" w:lineRule="auto"/>
              <w:jc w:val="center"/>
              <w:rPr>
                <w:rFonts w:eastAsia="Times New Roman" w:cs="Times New Roman"/>
                <w:noProof/>
                <w:szCs w:val="18"/>
              </w:rPr>
            </w:pPr>
            <w:r>
              <w:rPr>
                <w:noProof/>
              </w:rPr>
              <w:t>Dispoziții din decretele regale care indică intrarea în vigoare a legilor</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BC1A782" w14:textId="77777777" w:rsidR="00D924EA" w:rsidRDefault="00011DE9">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F43D67A" w14:textId="77777777" w:rsidR="00D924EA" w:rsidRDefault="00011DE9">
            <w:pPr>
              <w:pStyle w:val="P68B1DB1-Normal23"/>
              <w:spacing w:after="0" w:line="240" w:lineRule="auto"/>
              <w:jc w:val="right"/>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88805A0" w14:textId="77777777" w:rsidR="00D924EA" w:rsidRDefault="00011DE9">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54C95FB" w14:textId="6C871629" w:rsidR="00D924EA" w:rsidRDefault="005701C9">
            <w:pPr>
              <w:pStyle w:val="P68B1DB1-Normal23"/>
              <w:spacing w:after="0" w:line="240" w:lineRule="auto"/>
              <w:jc w:val="center"/>
              <w:rPr>
                <w:rFonts w:eastAsia="Times New Roman"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56228344" w14:textId="77777777" w:rsidR="00D924EA" w:rsidRDefault="00011DE9">
            <w:pPr>
              <w:pStyle w:val="P68B1DB1-Normal23"/>
              <w:spacing w:after="0" w:line="240" w:lineRule="auto"/>
              <w:jc w:val="center"/>
              <w:rPr>
                <w:rFonts w:eastAsia="Times New Roman" w:cs="Times New Roman"/>
                <w:noProof/>
                <w:szCs w:val="18"/>
              </w:rPr>
            </w:pPr>
            <w:r>
              <w:rPr>
                <w:noProof/>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0512B3AE" w14:textId="5852D9C0" w:rsidR="00D924EA" w:rsidRDefault="00011DE9">
            <w:pPr>
              <w:spacing w:after="0" w:line="240" w:lineRule="auto"/>
              <w:rPr>
                <w:rFonts w:ascii="Times New Roman" w:eastAsia="Times New Roman" w:hAnsi="Times New Roman" w:cs="Times New Roman"/>
                <w:noProof/>
                <w:sz w:val="18"/>
                <w:szCs w:val="18"/>
              </w:rPr>
            </w:pPr>
            <w:r>
              <w:rPr>
                <w:rFonts w:ascii="Times New Roman" w:hAnsi="Times New Roman"/>
                <w:noProof/>
                <w:sz w:val="18"/>
              </w:rPr>
              <w:t>Pachetul de politici privind economia circulară include:</w:t>
            </w:r>
            <w:r w:rsidR="00971820">
              <w:rPr>
                <w:noProof/>
              </w:rPr>
              <w:t xml:space="preserve"> </w:t>
            </w:r>
            <w:r>
              <w:rPr>
                <w:noProof/>
              </w:rPr>
              <w:br/>
            </w:r>
            <w:r>
              <w:rPr>
                <w:rFonts w:ascii="Times New Roman" w:hAnsi="Times New Roman"/>
                <w:noProof/>
                <w:sz w:val="18"/>
              </w:rPr>
              <w:t>Decretul regal nr. 731/2020 din 4 august de modificare a Decretului regal nr. 1619/2005 din 30 decembrie privind gestionarea anvelopelor scoase din uz.</w:t>
            </w:r>
            <w:r w:rsidR="00971820">
              <w:rPr>
                <w:noProof/>
              </w:rPr>
              <w:t xml:space="preserve"> </w:t>
            </w:r>
            <w:r>
              <w:rPr>
                <w:noProof/>
              </w:rPr>
              <w:br/>
            </w:r>
            <w:r>
              <w:rPr>
                <w:rFonts w:ascii="Times New Roman" w:hAnsi="Times New Roman"/>
                <w:noProof/>
                <w:sz w:val="18"/>
              </w:rPr>
              <w:t>Decretul regal nr. 646/2020 din 7 iulie de reglementare a eliminării deșeurilor prin depozitare.</w:t>
            </w:r>
            <w:r w:rsidR="00971820">
              <w:rPr>
                <w:noProof/>
              </w:rPr>
              <w:t xml:space="preserve"> </w:t>
            </w:r>
            <w:r>
              <w:rPr>
                <w:noProof/>
              </w:rPr>
              <w:br/>
            </w:r>
            <w:r>
              <w:rPr>
                <w:rFonts w:ascii="Times New Roman" w:hAnsi="Times New Roman"/>
                <w:noProof/>
                <w:sz w:val="18"/>
              </w:rPr>
              <w:t>Decretul regal 553/2020 din 2 iunie de reglementare a transferului de deșeuri pe teritoriul statului.</w:t>
            </w:r>
            <w:r w:rsidR="00971820">
              <w:rPr>
                <w:noProof/>
              </w:rPr>
              <w:t xml:space="preserve"> </w:t>
            </w:r>
            <w:r>
              <w:rPr>
                <w:noProof/>
              </w:rPr>
              <w:br/>
            </w:r>
            <w:r>
              <w:rPr>
                <w:rFonts w:ascii="Times New Roman" w:hAnsi="Times New Roman"/>
                <w:noProof/>
                <w:sz w:val="18"/>
              </w:rPr>
              <w:t>Decretele regale 27/2021 din 19 ianuarie și 265/2021 din 13 aprilie.</w:t>
            </w:r>
            <w:r w:rsidR="00971820">
              <w:rPr>
                <w:noProof/>
              </w:rPr>
              <w:t xml:space="preserve"> </w:t>
            </w:r>
            <w:r>
              <w:rPr>
                <w:noProof/>
              </w:rPr>
              <w:br/>
            </w:r>
            <w:r>
              <w:rPr>
                <w:rFonts w:ascii="Times New Roman" w:hAnsi="Times New Roman"/>
                <w:noProof/>
                <w:sz w:val="18"/>
              </w:rPr>
              <w:t>Viitoarea aprobare a măsurilor de reglementare privind ambalajele și deșeurile de ambalaje de către Consiliul de Miniștri în cursul anului 2022.</w:t>
            </w:r>
          </w:p>
        </w:tc>
      </w:tr>
      <w:tr w:rsidR="00D924EA" w14:paraId="6344F18E"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0EFE1B8E" w14:textId="77777777" w:rsidR="00D924EA" w:rsidRDefault="00011DE9">
            <w:pPr>
              <w:pStyle w:val="P68B1DB1-Normal23"/>
              <w:spacing w:after="0" w:line="240" w:lineRule="auto"/>
              <w:jc w:val="center"/>
              <w:rPr>
                <w:rFonts w:eastAsia="Times New Roman" w:cs="Times New Roman"/>
                <w:noProof/>
                <w:szCs w:val="18"/>
              </w:rPr>
            </w:pPr>
            <w:r>
              <w:rPr>
                <w:noProof/>
              </w:rPr>
              <w:t>179</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573CC62" w14:textId="77777777" w:rsidR="00D924EA" w:rsidRDefault="00011DE9">
            <w:pPr>
              <w:pStyle w:val="P68B1DB1-Normal23"/>
              <w:spacing w:after="0" w:line="240" w:lineRule="auto"/>
              <w:jc w:val="center"/>
              <w:rPr>
                <w:rFonts w:eastAsia="Times New Roman" w:cs="Times New Roman"/>
                <w:noProof/>
                <w:szCs w:val="18"/>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0674B57B" w14:textId="77777777" w:rsidR="00D924EA" w:rsidRDefault="00011DE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662D60C" w14:textId="77777777" w:rsidR="00D924EA" w:rsidRDefault="00011DE9">
            <w:pPr>
              <w:pStyle w:val="P68B1DB1-Normal23"/>
              <w:spacing w:after="0" w:line="240" w:lineRule="auto"/>
              <w:rPr>
                <w:rFonts w:eastAsia="Times New Roman" w:cs="Times New Roman"/>
                <w:noProof/>
                <w:szCs w:val="18"/>
              </w:rPr>
            </w:pPr>
            <w:r>
              <w:rPr>
                <w:noProof/>
              </w:rPr>
              <w:t xml:space="preserve">Intrarea în vigoare a Legii privind deșeurile și solul contaminat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58BA6432" w14:textId="77777777" w:rsidR="00D924EA" w:rsidRDefault="00011DE9">
            <w:pPr>
              <w:pStyle w:val="P68B1DB1-Normal23"/>
              <w:spacing w:after="0" w:line="240" w:lineRule="auto"/>
              <w:jc w:val="center"/>
              <w:rPr>
                <w:rFonts w:eastAsia="Times New Roman" w:cs="Times New Roman"/>
                <w:noProof/>
                <w:szCs w:val="18"/>
              </w:rPr>
            </w:pPr>
            <w:r>
              <w:rPr>
                <w:noProof/>
              </w:rPr>
              <w:t xml:space="preserve"> Dispoziție din legea care indică intrarea în vigoare a legii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1A2CA34" w14:textId="77777777" w:rsidR="00D924EA" w:rsidRDefault="00011DE9">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D33DFEA" w14:textId="77777777" w:rsidR="00D924EA" w:rsidRDefault="00011DE9">
            <w:pPr>
              <w:pStyle w:val="P68B1DB1-Normal23"/>
              <w:spacing w:after="0" w:line="240" w:lineRule="auto"/>
              <w:jc w:val="right"/>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A220899" w14:textId="77777777" w:rsidR="00D924EA" w:rsidRDefault="00011DE9">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6B0ACCC" w14:textId="1FA9B7AF" w:rsidR="00D924EA" w:rsidRDefault="005701C9">
            <w:pPr>
              <w:pStyle w:val="P68B1DB1-Normal23"/>
              <w:spacing w:after="0" w:line="240" w:lineRule="auto"/>
              <w:jc w:val="center"/>
              <w:rPr>
                <w:rFonts w:eastAsia="Times New Roman"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2E1F86E" w14:textId="77777777" w:rsidR="00D924EA" w:rsidRDefault="00011DE9">
            <w:pPr>
              <w:pStyle w:val="P68B1DB1-Normal23"/>
              <w:spacing w:after="0" w:line="240" w:lineRule="auto"/>
              <w:jc w:val="center"/>
              <w:rPr>
                <w:rFonts w:eastAsia="Times New Roman" w:cs="Times New Roman"/>
                <w:noProof/>
                <w:szCs w:val="18"/>
              </w:rPr>
            </w:pPr>
            <w:r>
              <w:rPr>
                <w:noProof/>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62048A92" w14:textId="2AB77A87" w:rsidR="00D924EA" w:rsidRDefault="00011DE9">
            <w:pPr>
              <w:spacing w:after="0" w:line="240" w:lineRule="auto"/>
              <w:rPr>
                <w:rFonts w:ascii="Times New Roman" w:hAnsi="Times New Roman" w:cs="Times New Roman"/>
                <w:noProof/>
                <w:sz w:val="18"/>
                <w:szCs w:val="18"/>
              </w:rPr>
            </w:pPr>
            <w:r>
              <w:rPr>
                <w:rFonts w:ascii="Times New Roman" w:hAnsi="Times New Roman"/>
                <w:noProof/>
                <w:sz w:val="18"/>
              </w:rPr>
              <w:t>Legea include:</w:t>
            </w:r>
            <w:r w:rsidR="00971820">
              <w:rPr>
                <w:rFonts w:ascii="Times New Roman" w:hAnsi="Times New Roman"/>
                <w:noProof/>
                <w:sz w:val="18"/>
              </w:rPr>
              <w:t xml:space="preserve"> </w:t>
            </w:r>
            <w:r>
              <w:rPr>
                <w:noProof/>
              </w:rPr>
              <w:t xml:space="preserve"> </w:t>
            </w:r>
            <w:r>
              <w:rPr>
                <w:noProof/>
              </w:rPr>
              <w:br/>
            </w:r>
            <w:r>
              <w:rPr>
                <w:rFonts w:ascii="Times New Roman" w:hAnsi="Times New Roman"/>
                <w:noProof/>
                <w:sz w:val="18"/>
              </w:rPr>
              <w:t>(I) punerea în aplicare a Directivei-cadru privind deșeurile și a Directivei privind materialele plastice de unică folosință și, de asemenea, actualizează reglementările spaniole în lumina experienței din ultimii zece ani;</w:t>
            </w:r>
            <w:r w:rsidR="00971820">
              <w:rPr>
                <w:rFonts w:ascii="Times New Roman" w:hAnsi="Times New Roman"/>
                <w:noProof/>
                <w:sz w:val="18"/>
              </w:rPr>
              <w:t xml:space="preserve"> </w:t>
            </w:r>
            <w:r>
              <w:rPr>
                <w:noProof/>
              </w:rPr>
              <w:br/>
            </w:r>
            <w:r>
              <w:rPr>
                <w:rFonts w:ascii="Times New Roman" w:hAnsi="Times New Roman"/>
                <w:noProof/>
                <w:sz w:val="18"/>
              </w:rPr>
              <w:t>(II) introducerea obiectivelor UE privind deșeurile și a obligațiilor privind colectarea separată care decurg din reglementările UE, anticipând punerea lor în aplicare în ceea ce privește deșeurile biologice în municipalitățile cu peste 5 000 de locuitori.</w:t>
            </w:r>
            <w:r w:rsidR="00971820">
              <w:rPr>
                <w:rFonts w:ascii="Times New Roman" w:hAnsi="Times New Roman"/>
                <w:noProof/>
                <w:sz w:val="18"/>
              </w:rPr>
              <w:t xml:space="preserve"> </w:t>
            </w:r>
            <w:r>
              <w:rPr>
                <w:rFonts w:ascii="Times New Roman" w:hAnsi="Times New Roman"/>
                <w:noProof/>
                <w:sz w:val="18"/>
              </w:rPr>
              <w:t>În plus, măsura introduce obligații de colectare separată care depășesc cerințele stabilite de dreptul Uniunii;</w:t>
            </w:r>
            <w:r w:rsidR="00971820">
              <w:rPr>
                <w:noProof/>
              </w:rPr>
              <w:t xml:space="preserve"> </w:t>
            </w:r>
            <w:r>
              <w:rPr>
                <w:noProof/>
              </w:rPr>
              <w:br/>
            </w:r>
            <w:r>
              <w:rPr>
                <w:rFonts w:ascii="Times New Roman" w:hAnsi="Times New Roman"/>
                <w:noProof/>
                <w:sz w:val="18"/>
              </w:rPr>
              <w:t>(III) revizuirea regulamentului privind răspunderea extinsă a producătorilor, stabilind altele noi care depășesc ceea ce este impus de dreptul Uniunii;</w:t>
            </w:r>
            <w:r w:rsidR="00971820">
              <w:rPr>
                <w:noProof/>
              </w:rPr>
              <w:t xml:space="preserve"> </w:t>
            </w:r>
            <w:r>
              <w:rPr>
                <w:noProof/>
              </w:rPr>
              <w:br/>
            </w:r>
            <w:r>
              <w:rPr>
                <w:rFonts w:ascii="Times New Roman" w:hAnsi="Times New Roman"/>
                <w:noProof/>
                <w:sz w:val="18"/>
              </w:rPr>
              <w:t>(IV) Introducerea impozitării de stat a deșeurilor (inclusiv a depozitelor de deșeuri, a incinerării și a coincinerării și a recipientelor din plastic de unică folosință).</w:t>
            </w:r>
          </w:p>
        </w:tc>
      </w:tr>
      <w:tr w:rsidR="00D924EA" w14:paraId="1A79263B"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32ACE312" w14:textId="3FA430C0" w:rsidR="00D924EA" w:rsidRDefault="00011DE9">
            <w:pPr>
              <w:pStyle w:val="P68B1DB1-Normal23"/>
              <w:spacing w:after="0" w:line="240" w:lineRule="auto"/>
              <w:jc w:val="center"/>
              <w:rPr>
                <w:noProof/>
              </w:rPr>
            </w:pPr>
            <w:r>
              <w:rPr>
                <w:noProof/>
              </w:rPr>
              <w:t>440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D8FE6C2" w14:textId="18EF1596" w:rsidR="00D924EA" w:rsidRDefault="00011DE9">
            <w:pPr>
              <w:pStyle w:val="P68B1DB1-Normal23"/>
              <w:spacing w:after="0" w:line="240" w:lineRule="auto"/>
              <w:jc w:val="center"/>
              <w:rPr>
                <w:noProof/>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04947A52" w14:textId="271BDB2F" w:rsidR="00D924EA" w:rsidRDefault="00011DE9">
            <w:pPr>
              <w:pStyle w:val="P68B1DB1-Normal23"/>
              <w:spacing w:after="0" w:line="240" w:lineRule="auto"/>
              <w:jc w:val="center"/>
              <w:rPr>
                <w:noProof/>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F254719" w14:textId="72B45CAF" w:rsidR="00D924EA" w:rsidRDefault="00011DE9">
            <w:pPr>
              <w:pStyle w:val="P68B1DB1-Normal23"/>
              <w:spacing w:after="0" w:line="240" w:lineRule="auto"/>
              <w:rPr>
                <w:noProof/>
              </w:rPr>
            </w:pPr>
            <w:r>
              <w:rPr>
                <w:noProof/>
              </w:rPr>
              <w:t>Grupul de lucru al Comisiei de coordonare a deșeurilor pentru monitorizarea conformității cu legislația privind deșeurile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4256378" w14:textId="491298E9" w:rsidR="00D924EA" w:rsidRDefault="00011DE9">
            <w:pPr>
              <w:pStyle w:val="P68B1DB1-Normal23"/>
              <w:spacing w:after="0" w:line="240" w:lineRule="auto"/>
              <w:jc w:val="center"/>
              <w:rPr>
                <w:noProof/>
              </w:rPr>
            </w:pPr>
            <w:r>
              <w:rPr>
                <w:noProof/>
              </w:rPr>
              <w:t>Aprobarea Comitetului de coordonare a deșeurilor</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965E730" w14:textId="2369177F" w:rsidR="00D924EA" w:rsidRDefault="00011DE9">
            <w:pPr>
              <w:pStyle w:val="P68B1DB1-Normal23"/>
              <w:spacing w:after="0" w:line="240" w:lineRule="auto"/>
              <w:jc w:val="right"/>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562C1D4" w14:textId="11B73051" w:rsidR="00D924EA" w:rsidRDefault="00011DE9">
            <w:pPr>
              <w:pStyle w:val="P68B1DB1-Normal23"/>
              <w:spacing w:after="0" w:line="240" w:lineRule="auto"/>
              <w:jc w:val="right"/>
              <w:rPr>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58B2ADFE" w14:textId="3BC54A59" w:rsidR="00D924EA" w:rsidRDefault="00011DE9">
            <w:pPr>
              <w:pStyle w:val="P68B1DB1-Normal23"/>
              <w:spacing w:after="0" w:line="240" w:lineRule="auto"/>
              <w:jc w:val="right"/>
              <w:rPr>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9C9CA28" w14:textId="7040F1F4" w:rsidR="00D924EA" w:rsidRDefault="005701C9">
            <w:pPr>
              <w:pStyle w:val="P68B1DB1-Normal23"/>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D5D350D" w14:textId="2311CA38" w:rsidR="00D924EA" w:rsidRDefault="00011DE9">
            <w:pPr>
              <w:pStyle w:val="P68B1DB1-Normal23"/>
              <w:spacing w:after="0" w:line="240" w:lineRule="auto"/>
              <w:jc w:val="center"/>
              <w:rPr>
                <w:noProof/>
              </w:rPr>
            </w:pPr>
            <w:r>
              <w:rPr>
                <w:noProof/>
              </w:rPr>
              <w:t>2025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6BC9095D" w14:textId="160C9237" w:rsidR="00D924EA" w:rsidRDefault="00011DE9">
            <w:pPr>
              <w:pStyle w:val="P68B1DB1-Normal57"/>
              <w:spacing w:after="0" w:line="240" w:lineRule="auto"/>
              <w:rPr>
                <w:noProof/>
              </w:rPr>
            </w:pPr>
            <w:r>
              <w:rPr>
                <w:noProof/>
              </w:rPr>
              <w:t>Înființarea unui grup de lucru în cadrul Comitetului de coordonare a deșeurilor pentru a monitoriza respectarea legislației privind deșeurile și aprobarea măsurilor de facilitare a respectării legislației naționale armonizate privind gestionarea deșeurilor. Măsurile convenite se publică pe site-ul ministerului.</w:t>
            </w:r>
          </w:p>
        </w:tc>
      </w:tr>
      <w:tr w:rsidR="00D924EA" w14:paraId="4A084867"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0003331D" w14:textId="7530D542" w:rsidR="00D924EA" w:rsidRDefault="00011DE9">
            <w:pPr>
              <w:pStyle w:val="P68B1DB1-Normal23"/>
              <w:spacing w:after="0" w:line="240" w:lineRule="auto"/>
              <w:jc w:val="center"/>
              <w:rPr>
                <w:noProof/>
              </w:rPr>
            </w:pPr>
            <w:r>
              <w:rPr>
                <w:noProof/>
              </w:rPr>
              <w:t>441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5CC8993" w14:textId="6D7242A1" w:rsidR="00D924EA" w:rsidRDefault="00011DE9">
            <w:pPr>
              <w:pStyle w:val="P68B1DB1-Normal23"/>
              <w:spacing w:after="0" w:line="240" w:lineRule="auto"/>
              <w:jc w:val="center"/>
              <w:rPr>
                <w:noProof/>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62C67C0E" w14:textId="53730BDB" w:rsidR="00D924EA" w:rsidRDefault="00011DE9">
            <w:pPr>
              <w:pStyle w:val="P68B1DB1-Normal23"/>
              <w:spacing w:after="0" w:line="240" w:lineRule="auto"/>
              <w:jc w:val="center"/>
              <w:rPr>
                <w:noProof/>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739220D4" w14:textId="7F9AA3A7" w:rsidR="00D924EA" w:rsidRDefault="00011DE9">
            <w:pPr>
              <w:pStyle w:val="P68B1DB1-Normal23"/>
              <w:spacing w:after="0" w:line="240" w:lineRule="auto"/>
              <w:rPr>
                <w:noProof/>
              </w:rPr>
            </w:pPr>
            <w:r>
              <w:rPr>
                <w:noProof/>
              </w:rPr>
              <w:t xml:space="preserve">Intrarea în vigoare a actelor juridice în domeniul economiei circulare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8025136" w14:textId="6A85285D" w:rsidR="00D924EA" w:rsidRDefault="00011DE9">
            <w:pPr>
              <w:pStyle w:val="P68B1DB1-Normal23"/>
              <w:spacing w:after="0" w:line="240" w:lineRule="auto"/>
              <w:jc w:val="center"/>
              <w:rPr>
                <w:noProof/>
              </w:rPr>
            </w:pPr>
            <w:r>
              <w:rPr>
                <w:noProof/>
              </w:rPr>
              <w:t>Dispoziții din actele juridice de stabilire a intrării în vigoare a actelor</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BF2698C" w14:textId="116A6ACE" w:rsidR="00D924EA" w:rsidRDefault="00011DE9">
            <w:pPr>
              <w:pStyle w:val="P68B1DB1-Normal23"/>
              <w:spacing w:after="0" w:line="240" w:lineRule="auto"/>
              <w:jc w:val="right"/>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DC7ED09" w14:textId="3A900D58" w:rsidR="00D924EA" w:rsidRDefault="00011DE9">
            <w:pPr>
              <w:pStyle w:val="P68B1DB1-Normal23"/>
              <w:spacing w:after="0" w:line="240" w:lineRule="auto"/>
              <w:jc w:val="right"/>
              <w:rPr>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9DD4F8E" w14:textId="435CBEC3" w:rsidR="00D924EA" w:rsidRDefault="00011DE9">
            <w:pPr>
              <w:pStyle w:val="P68B1DB1-Normal23"/>
              <w:spacing w:after="0" w:line="240" w:lineRule="auto"/>
              <w:jc w:val="right"/>
              <w:rPr>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A41D9E4" w14:textId="3936F349" w:rsidR="00D924EA" w:rsidRDefault="005701C9">
            <w:pPr>
              <w:pStyle w:val="P68B1DB1-Normal23"/>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B5101D4" w14:textId="5612FE4E" w:rsidR="00D924EA" w:rsidRDefault="00011DE9">
            <w:pPr>
              <w:pStyle w:val="P68B1DB1-Normal23"/>
              <w:spacing w:after="0" w:line="240" w:lineRule="auto"/>
              <w:jc w:val="center"/>
              <w:rPr>
                <w:noProof/>
              </w:rPr>
            </w:pPr>
            <w:r>
              <w:rPr>
                <w:noProof/>
              </w:rPr>
              <w:t>2025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31B2D6B2" w14:textId="77777777" w:rsidR="00D924EA" w:rsidRDefault="00011DE9">
            <w:pPr>
              <w:pStyle w:val="P68B1DB1-Normal24"/>
              <w:spacing w:after="0"/>
              <w:rPr>
                <w:rFonts w:eastAsia="Times New Roman" w:cs="Times New Roman"/>
                <w:noProof/>
              </w:rPr>
            </w:pPr>
            <w:r>
              <w:rPr>
                <w:noProof/>
              </w:rPr>
              <w:t xml:space="preserve">Intrarea în vigoare a actelor juridice în domeniul economiei circulare. Aceste acte sunt: </w:t>
            </w:r>
          </w:p>
          <w:p w14:paraId="34E334C5" w14:textId="77777777" w:rsidR="00D924EA" w:rsidRDefault="00011DE9">
            <w:pPr>
              <w:pStyle w:val="P68B1DB1-ListParagraph44"/>
              <w:numPr>
                <w:ilvl w:val="0"/>
                <w:numId w:val="78"/>
              </w:numPr>
              <w:spacing w:after="0" w:line="259" w:lineRule="auto"/>
              <w:rPr>
                <w:rFonts w:eastAsia="Times New Roman" w:cs="Times New Roman"/>
                <w:noProof/>
                <w:szCs w:val="18"/>
              </w:rPr>
            </w:pPr>
            <w:r>
              <w:rPr>
                <w:noProof/>
              </w:rPr>
              <w:t xml:space="preserve">Act juridic privind garanțiile financiare în legătură cu deșeurile </w:t>
            </w:r>
          </w:p>
          <w:p w14:paraId="0CA8F3FC" w14:textId="78A6BADB" w:rsidR="00D924EA" w:rsidRDefault="00011DE9">
            <w:pPr>
              <w:pStyle w:val="P68B1DB1-ListParagraph53"/>
              <w:numPr>
                <w:ilvl w:val="0"/>
                <w:numId w:val="78"/>
              </w:numPr>
              <w:spacing w:line="259" w:lineRule="auto"/>
              <w:rPr>
                <w:rFonts w:eastAsia="Times New Roman" w:cs="Times New Roman"/>
                <w:noProof/>
              </w:rPr>
            </w:pPr>
            <w:r>
              <w:rPr>
                <w:noProof/>
              </w:rPr>
              <w:t xml:space="preserve">Act juridic privind pneurile scoase din uz. </w:t>
            </w:r>
          </w:p>
          <w:p w14:paraId="7DC0018C" w14:textId="6E2B42A7" w:rsidR="00D924EA" w:rsidRDefault="00011DE9">
            <w:pPr>
              <w:pStyle w:val="P68B1DB1-ListParagraph53"/>
              <w:numPr>
                <w:ilvl w:val="0"/>
                <w:numId w:val="78"/>
              </w:numPr>
              <w:spacing w:line="259" w:lineRule="auto"/>
              <w:rPr>
                <w:rFonts w:eastAsia="Times New Roman" w:cs="Times New Roman"/>
                <w:noProof/>
              </w:rPr>
            </w:pPr>
            <w:r>
              <w:rPr>
                <w:noProof/>
              </w:rPr>
              <w:t>Act juridic de stabilire a cerințelor minime de tratare înainte de depozitarea deșeurilor municipale</w:t>
            </w:r>
          </w:p>
        </w:tc>
      </w:tr>
      <w:tr w:rsidR="00D924EA" w14:paraId="00E4634E" w14:textId="77777777">
        <w:trPr>
          <w:trHeight w:val="1260"/>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66F3D1B7" w14:textId="77777777" w:rsidR="00D924EA" w:rsidRDefault="00011DE9">
            <w:pPr>
              <w:pStyle w:val="P68B1DB1-Normal23"/>
              <w:spacing w:after="0" w:line="240" w:lineRule="auto"/>
              <w:jc w:val="center"/>
              <w:rPr>
                <w:rFonts w:eastAsia="Times New Roman" w:cs="Times New Roman"/>
                <w:noProof/>
                <w:szCs w:val="18"/>
              </w:rPr>
            </w:pPr>
            <w:r>
              <w:rPr>
                <w:noProof/>
              </w:rPr>
              <w:t>180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2C1405C" w14:textId="77777777" w:rsidR="00D924EA" w:rsidRDefault="00011DE9">
            <w:pPr>
              <w:pStyle w:val="P68B1DB1-Normal23"/>
              <w:spacing w:after="0" w:line="240" w:lineRule="auto"/>
              <w:jc w:val="center"/>
              <w:rPr>
                <w:rFonts w:eastAsia="Times New Roman" w:cs="Times New Roman"/>
                <w:noProof/>
                <w:szCs w:val="18"/>
              </w:rPr>
            </w:pPr>
            <w:r>
              <w:rPr>
                <w:noProof/>
              </w:rPr>
              <w:t>C12.I1</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3ACECBF5" w14:textId="77777777" w:rsidR="00D924EA" w:rsidRDefault="00011DE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2A735B3C" w14:textId="1B2C2692" w:rsidR="00D924EA" w:rsidRDefault="00011DE9">
            <w:pPr>
              <w:pStyle w:val="P68B1DB1-Normal23"/>
              <w:spacing w:after="0" w:line="240" w:lineRule="auto"/>
              <w:rPr>
                <w:rFonts w:eastAsia="Times New Roman" w:cs="Times New Roman"/>
                <w:noProof/>
                <w:szCs w:val="18"/>
              </w:rPr>
            </w:pPr>
            <w:r>
              <w:rPr>
                <w:noProof/>
              </w:rPr>
              <w:t>Spații sectoriale ale datelor și acțiuni legate de C &amp; 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67FCF7C" w14:textId="7AD07072" w:rsidR="00D924EA" w:rsidRDefault="00011DE9">
            <w:pPr>
              <w:pStyle w:val="P68B1DB1-Normal25"/>
              <w:spacing w:after="0" w:line="240" w:lineRule="auto"/>
              <w:jc w:val="center"/>
              <w:rPr>
                <w:rFonts w:ascii="Times New Roman" w:eastAsia="Times New Roman" w:hAnsi="Times New Roman" w:cs="Times New Roman"/>
                <w:noProof/>
              </w:rPr>
            </w:pPr>
            <w:r>
              <w:rPr>
                <w:rFonts w:ascii="Times New Roman" w:hAnsi="Times New Roman"/>
                <w:noProof/>
              </w:rPr>
              <w:t>Rapoartele finale privind plățile aferente granturilor; sau certificate de acceptare, declarații de conformitate sau documente echivalente care atestă executarea contractelor și a acordurilor (</w:t>
            </w:r>
            <w:r>
              <w:rPr>
                <w:rFonts w:ascii="Times New Roman" w:eastAsiaTheme="minorEastAsia" w:hAnsi="Times New Roman"/>
                <w:i/>
                <w:noProof/>
              </w:rPr>
              <w:t>convenios</w:t>
            </w:r>
            <w:r>
              <w:rPr>
                <w:rFonts w:ascii="Times New Roman" w:hAnsi="Times New Roman"/>
                <w:noProof/>
              </w:rPr>
              <w:t>). Rezoluția de atribuire și documentul de plată pentru proiectele de C &amp; D &amp; I</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04794DA" w14:textId="61268AB3" w:rsidR="00D924EA" w:rsidRDefault="00D924EA">
            <w:pPr>
              <w:spacing w:after="0" w:line="240" w:lineRule="auto"/>
              <w:jc w:val="righ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52629A4" w14:textId="1EA3E4F9" w:rsidR="00D924EA" w:rsidRDefault="00D924EA">
            <w:pPr>
              <w:spacing w:after="0" w:line="240" w:lineRule="auto"/>
              <w:jc w:val="right"/>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4184621" w14:textId="77777777" w:rsidR="00D924EA" w:rsidRDefault="00D924EA">
            <w:pPr>
              <w:spacing w:after="0" w:line="240" w:lineRule="auto"/>
              <w:jc w:val="right"/>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24739C0" w14:textId="4E209DD7" w:rsidR="00D924EA" w:rsidRDefault="005701C9">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17F6BD1" w14:textId="77777777" w:rsidR="00D924EA" w:rsidRDefault="00011DE9">
            <w:pPr>
              <w:pStyle w:val="P68B1DB1-Normal23"/>
              <w:spacing w:after="0" w:line="240" w:lineRule="auto"/>
              <w:jc w:val="center"/>
              <w:rPr>
                <w:rFonts w:eastAsia="Times New Roman" w:cs="Times New Roman"/>
                <w:noProof/>
                <w:szCs w:val="18"/>
              </w:rPr>
            </w:pPr>
            <w:r>
              <w:rPr>
                <w:noProof/>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00580E84" w14:textId="13D95E5C" w:rsidR="00D924EA" w:rsidRDefault="00011DE9">
            <w:pPr>
              <w:pStyle w:val="P68B1DB1-Normal23"/>
              <w:spacing w:after="0" w:line="240" w:lineRule="auto"/>
              <w:jc w:val="both"/>
              <w:rPr>
                <w:noProof/>
              </w:rPr>
            </w:pPr>
            <w:r>
              <w:rPr>
                <w:noProof/>
              </w:rPr>
              <w:t>Entitățile sau persoanele beneficiare au prezentat rapoarte finale care confirmă finalizarea activităților atribuite pentru granturi legate de dezvoltarea spațiilor de date, inclusiv acțiuni de facilitare, sau au confirmat de către administrație și comitetul de monitorizare corespunzător că au fost executate contracte și, respectiv, acorduri (</w:t>
            </w:r>
            <w:r>
              <w:rPr>
                <w:i/>
                <w:noProof/>
              </w:rPr>
              <w:t>convenios</w:t>
            </w:r>
            <w:r>
              <w:rPr>
                <w:noProof/>
              </w:rPr>
              <w:t>), pentru o sumă totală cumulată de 74 000 000 EUR sub formă de granturi și contracte atribuite (inclusiv eventualele modificări). Plata fondurilor pentru acțiuni legate de C &amp; D &amp; I, care acoperă o sumă totală de 158 000 000 EUR.</w:t>
            </w:r>
          </w:p>
          <w:p w14:paraId="4D318C68" w14:textId="1EE821C1" w:rsidR="00D924EA" w:rsidRDefault="00D924EA">
            <w:pPr>
              <w:spacing w:after="0" w:line="240" w:lineRule="auto"/>
              <w:rPr>
                <w:rFonts w:ascii="Times New Roman" w:hAnsi="Times New Roman"/>
                <w:noProof/>
                <w:sz w:val="18"/>
              </w:rPr>
            </w:pPr>
          </w:p>
        </w:tc>
      </w:tr>
      <w:tr w:rsidR="00D924EA" w14:paraId="15157EA7"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54C249F4" w14:textId="77777777" w:rsidR="00D924EA" w:rsidRDefault="00011DE9">
            <w:pPr>
              <w:pStyle w:val="P68B1DB1-Normal23"/>
              <w:spacing w:after="0" w:line="240" w:lineRule="auto"/>
              <w:jc w:val="center"/>
              <w:rPr>
                <w:rFonts w:eastAsia="Times New Roman" w:cs="Times New Roman"/>
                <w:noProof/>
                <w:szCs w:val="18"/>
              </w:rPr>
            </w:pPr>
            <w:r>
              <w:rPr>
                <w:noProof/>
              </w:rPr>
              <w:t>181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C9BEC56" w14:textId="77777777" w:rsidR="00D924EA" w:rsidRDefault="00011DE9">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4C66440" w14:textId="77777777" w:rsidR="00D924EA" w:rsidRDefault="00011DE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0A00D042" w14:textId="77777777" w:rsidR="00D924EA" w:rsidRDefault="00011DE9">
            <w:pPr>
              <w:pStyle w:val="P68B1DB1-Normal23"/>
              <w:spacing w:after="0" w:line="240" w:lineRule="auto"/>
              <w:rPr>
                <w:rFonts w:eastAsia="Times New Roman" w:cs="Times New Roman"/>
                <w:noProof/>
                <w:szCs w:val="18"/>
              </w:rPr>
            </w:pPr>
            <w:r>
              <w:rPr>
                <w:noProof/>
              </w:rPr>
              <w:t>Plan de stimulare a lanțului valoric al industriei autovehiculelor către o mobilitate durabilă și conectată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5C4221C2" w14:textId="77777777" w:rsidR="00D924EA" w:rsidRDefault="00011DE9">
            <w:pPr>
              <w:pStyle w:val="P68B1DB1-Normal23"/>
              <w:spacing w:after="0" w:line="240" w:lineRule="auto"/>
              <w:jc w:val="center"/>
              <w:rPr>
                <w:rFonts w:eastAsia="Times New Roman" w:cs="Times New Roman"/>
                <w:noProof/>
                <w:szCs w:val="18"/>
              </w:rPr>
            </w:pPr>
            <w:r>
              <w:rPr>
                <w:noProof/>
              </w:rPr>
              <w:t>Aprobarea de către Consiliul de Miniștri</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015E8A3" w14:textId="77777777" w:rsidR="00D924EA" w:rsidRDefault="00011DE9">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38ABB44" w14:textId="77777777" w:rsidR="00D924EA" w:rsidRDefault="00011DE9">
            <w:pPr>
              <w:pStyle w:val="P68B1DB1-Normal23"/>
              <w:spacing w:after="0" w:line="240" w:lineRule="auto"/>
              <w:jc w:val="right"/>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C3ED188" w14:textId="77777777" w:rsidR="00D924EA" w:rsidRDefault="00011DE9">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0F9203B" w14:textId="3BE20D55" w:rsidR="00D924EA" w:rsidRDefault="005701C9">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0563866" w14:textId="77777777" w:rsidR="00D924EA" w:rsidRDefault="00011DE9">
            <w:pPr>
              <w:pStyle w:val="P68B1DB1-Normal23"/>
              <w:spacing w:after="0" w:line="240" w:lineRule="auto"/>
              <w:jc w:val="center"/>
              <w:rPr>
                <w:rFonts w:eastAsia="Times New Roman" w:cs="Times New Roman"/>
                <w:noProof/>
                <w:szCs w:val="18"/>
              </w:rPr>
            </w:pPr>
            <w:r>
              <w:rPr>
                <w:noProof/>
              </w:rPr>
              <w:t>2020</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56BE6709" w14:textId="77777777" w:rsidR="00D924EA" w:rsidRDefault="00011DE9">
            <w:pPr>
              <w:pStyle w:val="P68B1DB1-Normal23"/>
              <w:spacing w:after="0" w:line="240" w:lineRule="auto"/>
              <w:jc w:val="both"/>
              <w:rPr>
                <w:noProof/>
              </w:rPr>
            </w:pPr>
            <w:r>
              <w:rPr>
                <w:noProof/>
              </w:rPr>
              <w:t xml:space="preserve">Aprobarea de către Consiliul de Miniștri a Planului de stimulare a lanțului valoric al industriei autovehiculelor în vederea unei mobilități durabile și conectate. </w:t>
            </w:r>
          </w:p>
          <w:p w14:paraId="6183B722" w14:textId="712DB13B" w:rsidR="00D924EA" w:rsidRDefault="00011DE9">
            <w:pPr>
              <w:spacing w:after="0" w:line="240" w:lineRule="auto"/>
              <w:jc w:val="both"/>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Aprobarea de către Consiliul de Miniștri poate avea loc sub forma unui acord formal sau sub forma unui raport către Consiliul de Miniștri. În cazul în care, printr-un acord formal, Spania furnizează un astfel de acord. În cazul în care Consiliul de Miniștri a fost informat printr-un raport,</w:t>
            </w:r>
            <w:r>
              <w:rPr>
                <w:noProof/>
              </w:rPr>
              <w:t xml:space="preserve"> </w:t>
            </w:r>
            <w:r>
              <w:rPr>
                <w:rFonts w:ascii="Times New Roman" w:eastAsia="Times New Roman" w:hAnsi="Times New Roman" w:cs="Times New Roman"/>
                <w:noProof/>
                <w:sz w:val="18"/>
                <w:szCs w:val="18"/>
              </w:rPr>
              <w:t>Spania furnizează documente referitoare la (i) data reuniunii, (ii) punctul de pe ordinea de zi și (iii) o certificare care să ateste că punctul a fost raportat Consiliului de Miniștri.</w:t>
            </w:r>
          </w:p>
        </w:tc>
      </w:tr>
      <w:tr w:rsidR="00D924EA" w14:paraId="3A28E425"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74A88456" w14:textId="77777777" w:rsidR="00D924EA" w:rsidRDefault="00011DE9">
            <w:pPr>
              <w:pStyle w:val="P68B1DB1-Normal23"/>
              <w:spacing w:after="0" w:line="240" w:lineRule="auto"/>
              <w:jc w:val="center"/>
              <w:rPr>
                <w:rFonts w:eastAsia="Times New Roman" w:cs="Times New Roman"/>
                <w:noProof/>
                <w:szCs w:val="18"/>
              </w:rPr>
            </w:pPr>
            <w:r>
              <w:rPr>
                <w:noProof/>
              </w:rPr>
              <w:t>182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FE9D5DE" w14:textId="77777777" w:rsidR="00D924EA" w:rsidRDefault="00011DE9">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8BEA4F4" w14:textId="77777777" w:rsidR="00D924EA" w:rsidRDefault="00011DE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54CAEF7E" w14:textId="77777777" w:rsidR="00D924EA" w:rsidRDefault="00011DE9">
            <w:pPr>
              <w:pStyle w:val="P68B1DB1-Normal23"/>
              <w:spacing w:after="0" w:line="240" w:lineRule="auto"/>
              <w:rPr>
                <w:rFonts w:eastAsia="Times New Roman" w:cs="Times New Roman"/>
                <w:noProof/>
                <w:szCs w:val="18"/>
              </w:rPr>
            </w:pPr>
            <w:r>
              <w:rPr>
                <w:noProof/>
              </w:rPr>
              <w:t>PERTE în domeniul vehiculelor electrice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0852A039" w14:textId="77777777" w:rsidR="00D924EA" w:rsidRDefault="00011DE9">
            <w:pPr>
              <w:pStyle w:val="P68B1DB1-Normal23"/>
              <w:spacing w:after="0" w:line="240" w:lineRule="auto"/>
              <w:jc w:val="center"/>
              <w:rPr>
                <w:rFonts w:eastAsia="Times New Roman" w:cs="Times New Roman"/>
                <w:noProof/>
                <w:szCs w:val="18"/>
              </w:rPr>
            </w:pPr>
            <w:r>
              <w:rPr>
                <w:noProof/>
              </w:rPr>
              <w:t>Aprobarea de către Consiliul de Miniștri</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64D97050" w14:textId="77777777" w:rsidR="00D924EA" w:rsidRDefault="00011DE9">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4B6A374" w14:textId="77777777" w:rsidR="00D924EA" w:rsidRDefault="00D924EA">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DA94C50" w14:textId="77777777" w:rsidR="00D924EA" w:rsidRDefault="00D924EA">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2E19B97" w14:textId="0B52F0E4" w:rsidR="00D924EA" w:rsidRDefault="005701C9">
            <w:pPr>
              <w:pStyle w:val="P68B1DB1-Normal23"/>
              <w:spacing w:after="0" w:line="240" w:lineRule="auto"/>
              <w:jc w:val="center"/>
              <w:rPr>
                <w:rFonts w:eastAsia="Times New Roman" w:cs="Times New Roman"/>
                <w:noProof/>
                <w:szCs w:val="18"/>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41AB383" w14:textId="77777777" w:rsidR="00D924EA" w:rsidRDefault="00011DE9">
            <w:pPr>
              <w:pStyle w:val="P68B1DB1-Normal23"/>
              <w:spacing w:after="0" w:line="240" w:lineRule="auto"/>
              <w:jc w:val="center"/>
              <w:rPr>
                <w:rFonts w:eastAsia="Times New Roman" w:cs="Times New Roman"/>
                <w:noProof/>
                <w:szCs w:val="18"/>
              </w:rPr>
            </w:pPr>
            <w:r>
              <w:rPr>
                <w:noProof/>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3F65A99E" w14:textId="72F8CA60" w:rsidR="00D924EA" w:rsidRDefault="00011DE9">
            <w:pPr>
              <w:pStyle w:val="P68B1DB1-Normal23"/>
              <w:spacing w:after="0" w:line="240" w:lineRule="auto"/>
              <w:jc w:val="both"/>
              <w:rPr>
                <w:rFonts w:eastAsia="Times New Roman" w:cs="Times New Roman"/>
                <w:noProof/>
                <w:szCs w:val="18"/>
              </w:rPr>
            </w:pPr>
            <w:r>
              <w:rPr>
                <w:noProof/>
              </w:rPr>
              <w:t>Aprobarea de către Consiliul de Miniștri a unui proiect strategic pentru redresare și transformare economică (PERTE) în domeniul strategic al vehiculelor electrice și alocarea unui buget de cel puțin 400 000 000 EUR sub formă de ajutor. Decizia de aprobare a PERTE conține criterii de selecție detaliate pentru a asigura conformitatea cu Orientările tehnice de „a nu prejudicia în mod semnificativ” (2021/C58/01) prin utilizarea unei liste de excludere și a cerinței de conformitate cu legislația UE și națională relevantă în materie de mediu. Criteriile de selecție reflectă, în plus, cerințele domeniilor de intervenție aplicabile pentru obiectivele legate de schimbările climatice, în conformitate cu anexa VI la Regulamentul (UE) 2021/241 al Parlamentului European și al Consiliului din 12 februarie 2021 de instituire a Mecanismului de redresare și reziliență.</w:t>
            </w:r>
          </w:p>
        </w:tc>
      </w:tr>
      <w:tr w:rsidR="00D924EA" w14:paraId="2350A590"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DC53FCC" w14:textId="77777777" w:rsidR="00D924EA" w:rsidRDefault="00011DE9">
            <w:pPr>
              <w:pStyle w:val="P68B1DB1-Normal23"/>
              <w:spacing w:after="0" w:line="240" w:lineRule="auto"/>
              <w:jc w:val="center"/>
              <w:rPr>
                <w:rFonts w:eastAsia="Times New Roman" w:cs="Times New Roman"/>
                <w:noProof/>
                <w:szCs w:val="18"/>
              </w:rPr>
            </w:pPr>
            <w:r>
              <w:rPr>
                <w:noProof/>
              </w:rPr>
              <w:t>183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32D6594" w14:textId="77777777" w:rsidR="00D924EA" w:rsidRDefault="00011DE9">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1F9EAAE5" w14:textId="77777777" w:rsidR="00D924EA" w:rsidRDefault="00011DE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250EDBA6" w14:textId="77777777" w:rsidR="00D924EA" w:rsidRDefault="00011DE9">
            <w:pPr>
              <w:pStyle w:val="P68B1DB1-Normal23"/>
              <w:spacing w:after="0" w:line="240" w:lineRule="auto"/>
              <w:rPr>
                <w:rFonts w:eastAsia="Times New Roman" w:cs="Times New Roman"/>
                <w:noProof/>
                <w:szCs w:val="18"/>
              </w:rPr>
            </w:pPr>
            <w:r>
              <w:rPr>
                <w:noProof/>
              </w:rPr>
              <w:t xml:space="preserve">PERTE-uri în domenii strategice definite în plan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60D3B95" w14:textId="77777777" w:rsidR="00D924EA" w:rsidRDefault="00011DE9">
            <w:pPr>
              <w:pStyle w:val="P68B1DB1-Normal23"/>
              <w:spacing w:after="0" w:line="240" w:lineRule="auto"/>
              <w:jc w:val="center"/>
              <w:rPr>
                <w:rFonts w:eastAsia="Times New Roman" w:cs="Times New Roman"/>
                <w:noProof/>
                <w:szCs w:val="18"/>
              </w:rPr>
            </w:pPr>
            <w:r>
              <w:rPr>
                <w:noProof/>
              </w:rPr>
              <w:t>Aprobarea de către Consiliul de Miniștri</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4B39986" w14:textId="77777777" w:rsidR="00D924EA" w:rsidRDefault="00011DE9">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9156DB6" w14:textId="77777777" w:rsidR="00D924EA" w:rsidRDefault="00D924EA">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61EDC9F" w14:textId="77777777" w:rsidR="00D924EA" w:rsidRDefault="00D924EA">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902A331" w14:textId="44F36BD8" w:rsidR="00D924EA" w:rsidRDefault="005701C9">
            <w:pPr>
              <w:pStyle w:val="P68B1DB1-Normal23"/>
              <w:spacing w:after="0" w:line="240" w:lineRule="auto"/>
              <w:jc w:val="center"/>
              <w:rPr>
                <w:rFonts w:eastAsia="Times New Roman"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53B6A10" w14:textId="77777777" w:rsidR="00D924EA" w:rsidRDefault="00011DE9">
            <w:pPr>
              <w:pStyle w:val="P68B1DB1-Normal23"/>
              <w:spacing w:after="0" w:line="240" w:lineRule="auto"/>
              <w:jc w:val="center"/>
              <w:rPr>
                <w:rFonts w:eastAsia="Times New Roman" w:cs="Times New Roman"/>
                <w:noProof/>
                <w:szCs w:val="18"/>
              </w:rPr>
            </w:pPr>
            <w:r>
              <w:rPr>
                <w:noProof/>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3360CACB" w14:textId="77777777" w:rsidR="00D924EA" w:rsidRDefault="00011DE9">
            <w:pPr>
              <w:pStyle w:val="P68B1DB1-Normal23"/>
              <w:spacing w:after="0" w:line="240" w:lineRule="auto"/>
              <w:jc w:val="both"/>
              <w:rPr>
                <w:rFonts w:eastAsia="Times New Roman" w:cs="Times New Roman"/>
                <w:noProof/>
                <w:szCs w:val="18"/>
              </w:rPr>
            </w:pPr>
            <w:r>
              <w:rPr>
                <w:noProof/>
              </w:rPr>
              <w:t xml:space="preserve">Aprobarea de către Consiliul de Miniștri a cel puțin două PERTE-uri și alocarea unui buget total de cel puțin 800 000 000 EUR sub formă de ajutor, în alte domenii strategice, cum ar fi sectorul agroalimentar, sănătatea, sectorul aeronautic și naval și sectoarele industriale legate de energia din surse regenerabile, precum și în ceea ce privește capacitățile de proiectare și producție de procesoare și tehnologii ale semiconductorilor. Decizia de aprobare a PERTE conține criterii de selecție detaliate pentru a asigura conformitatea cu Orientările tehnice de „a nu prejudicia în mod semnificativ” (2021/C58/01) prin utilizarea unei liste de excludere și a cerinței de conformitate cu legislația UE și națională relevantă în materie de mediu. Criteriile de selecție reflectă, în plus, cerințele domeniilor de intervenție aplicabile pentru obiectivele legate de schimbările climatice, în conformitate cu anexa VI la Regulamentul (UE) 2021/241 al Parlamentului European și al Consiliului din 12 februarie 2021 de instituire a Mecanismului de redresare și reziliență. </w:t>
            </w:r>
          </w:p>
        </w:tc>
      </w:tr>
      <w:tr w:rsidR="00D924EA" w14:paraId="514EDFE6"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67EC5AA7" w14:textId="77777777" w:rsidR="00D924EA" w:rsidRDefault="00011DE9">
            <w:pPr>
              <w:pStyle w:val="P68B1DB1-Normal23"/>
              <w:spacing w:after="0" w:line="240" w:lineRule="auto"/>
              <w:jc w:val="center"/>
              <w:rPr>
                <w:rFonts w:eastAsia="Times New Roman" w:cs="Times New Roman"/>
                <w:noProof/>
                <w:szCs w:val="18"/>
              </w:rPr>
            </w:pPr>
            <w:r>
              <w:rPr>
                <w:noProof/>
              </w:rPr>
              <w:t>184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5EB499" w14:textId="77777777" w:rsidR="00D924EA" w:rsidRDefault="00011DE9">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59433C0E" w14:textId="77777777" w:rsidR="00D924EA" w:rsidRDefault="00011DE9">
            <w:pPr>
              <w:pStyle w:val="P68B1DB1-Normal23"/>
              <w:spacing w:after="0" w:line="240" w:lineRule="auto"/>
              <w:jc w:val="center"/>
              <w:rPr>
                <w:rFonts w:eastAsia="Times New Roman" w:cs="Times New Roman"/>
                <w:noProof/>
                <w:szCs w:val="18"/>
              </w:rPr>
            </w:pPr>
            <w:r>
              <w:rPr>
                <w:noProof/>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0363C346" w14:textId="77777777" w:rsidR="00D924EA" w:rsidRDefault="00011DE9">
            <w:pPr>
              <w:pStyle w:val="P68B1DB1-Normal23"/>
              <w:spacing w:after="0" w:line="240" w:lineRule="auto"/>
              <w:rPr>
                <w:rFonts w:eastAsia="Times New Roman" w:cs="Times New Roman"/>
                <w:noProof/>
                <w:szCs w:val="18"/>
              </w:rPr>
            </w:pPr>
            <w:r>
              <w:rPr>
                <w:noProof/>
              </w:rPr>
              <w:t xml:space="preserve">Proiecte inovatoare pentru transformarea industriei în ceea ce privește eficiența energetică, durabilitatea și digitalizarea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5471445" w14:textId="77777777" w:rsidR="00D924EA" w:rsidRDefault="00011DE9">
            <w:pPr>
              <w:pStyle w:val="P68B1DB1-Normal23"/>
              <w:spacing w:after="0" w:line="240" w:lineRule="auto"/>
              <w:jc w:val="center"/>
              <w:rPr>
                <w:rFonts w:eastAsia="Times New Roman" w:cs="Times New Roman"/>
                <w:noProof/>
                <w:szCs w:val="18"/>
              </w:rPr>
            </w:pPr>
            <w:r>
              <w:rPr>
                <w:noProof/>
              </w:rPr>
              <w:t>—</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32E16B9E" w14:textId="77777777" w:rsidR="00D924EA" w:rsidRDefault="00011DE9">
            <w:pPr>
              <w:pStyle w:val="P68B1DB1-Normal23"/>
              <w:spacing w:after="0" w:line="240" w:lineRule="auto"/>
              <w:jc w:val="right"/>
              <w:rPr>
                <w:rFonts w:eastAsia="Times New Roman" w:cs="Times New Roman"/>
                <w:noProof/>
                <w:szCs w:val="18"/>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CEA49FE" w14:textId="77777777" w:rsidR="00D924EA" w:rsidRDefault="00011DE9">
            <w:pPr>
              <w:pStyle w:val="P68B1DB1-Normal23"/>
              <w:spacing w:after="0" w:line="240" w:lineRule="auto"/>
              <w:jc w:val="center"/>
              <w:rPr>
                <w:rFonts w:eastAsia="Times New Roman" w:cs="Times New Roman"/>
                <w:noProof/>
                <w:szCs w:val="18"/>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3255497" w14:textId="77777777" w:rsidR="00D924EA" w:rsidRDefault="00011DE9">
            <w:pPr>
              <w:pStyle w:val="P68B1DB1-Normal23"/>
              <w:spacing w:after="0" w:line="240" w:lineRule="auto"/>
              <w:jc w:val="center"/>
              <w:rPr>
                <w:rFonts w:eastAsia="Times New Roman" w:cs="Times New Roman"/>
                <w:noProof/>
                <w:szCs w:val="18"/>
              </w:rPr>
            </w:pPr>
            <w:r>
              <w:rPr>
                <w:noProof/>
              </w:rPr>
              <w:t>78</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A2AEAFE" w14:textId="5F8C5C84" w:rsidR="00D924EA" w:rsidRDefault="005701C9">
            <w:pPr>
              <w:pStyle w:val="P68B1DB1-Normal23"/>
              <w:spacing w:after="0" w:line="240" w:lineRule="auto"/>
              <w:jc w:val="center"/>
              <w:rPr>
                <w:rFonts w:eastAsia="Times New Roman"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B85C658" w14:textId="77777777" w:rsidR="00D924EA" w:rsidRDefault="00011DE9">
            <w:pPr>
              <w:pStyle w:val="P68B1DB1-Normal23"/>
              <w:spacing w:after="0" w:line="240" w:lineRule="auto"/>
              <w:jc w:val="center"/>
              <w:rPr>
                <w:rFonts w:eastAsia="Times New Roman" w:cs="Times New Roman"/>
                <w:noProof/>
                <w:szCs w:val="18"/>
              </w:rPr>
            </w:pPr>
            <w:r>
              <w:rPr>
                <w:noProof/>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56172763" w14:textId="77777777" w:rsidR="00D924EA" w:rsidRDefault="00011DE9">
            <w:pPr>
              <w:pStyle w:val="P68B1DB1-Normal23"/>
              <w:spacing w:after="0" w:line="240" w:lineRule="auto"/>
              <w:jc w:val="both"/>
              <w:rPr>
                <w:rFonts w:eastAsia="Times New Roman" w:cs="Times New Roman"/>
                <w:noProof/>
                <w:szCs w:val="18"/>
              </w:rPr>
            </w:pPr>
            <w:r>
              <w:rPr>
                <w:noProof/>
              </w:rPr>
              <w:t xml:space="preserve">Acordarea de către ministrul industriei a cel puțin 1 200 000 000 EUR pentru cel puțin 78 proiecte inovatoare, inclusiv cele legate de PERTE-uri aprobate (cel puțin 3), care implică o transformare substanțială a industriei în ceea ce privește eficiența energetică, durabilitatea și transformarea digitală. Selectarea proiectelor în urma unei cereri de propuneri publicate în JO și pe baza criteriilor de selecție pentru conformitatea cu Orientările tehnice de „a nu prejudicia în mod semnificativ” (2021/C58/01) prin utilizarea unei liste de excludere și a cerinței de conformitate cu legislația UE și națională relevantă în materie de mediu. Criteriile de selecție reflectă, în plus, cerințele domeniilor de intervenție aplicabile pentru obiectivele legate de schimbările climatice, în conformitate cu anexa VI la Regulamentul (UE) 2021/241 al Parlamentului European și al Consiliului din 12 februarie 2021 de instituire a Mecanismului de redresare și reziliență. </w:t>
            </w:r>
          </w:p>
        </w:tc>
      </w:tr>
      <w:tr w:rsidR="00D924EA" w14:paraId="7DE18279"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59F059B6" w14:textId="77777777" w:rsidR="00D924EA" w:rsidRDefault="00011DE9">
            <w:pPr>
              <w:pStyle w:val="P68B1DB1-Normal23"/>
              <w:spacing w:after="0" w:line="240" w:lineRule="auto"/>
              <w:jc w:val="center"/>
              <w:rPr>
                <w:rFonts w:eastAsia="Times New Roman" w:cs="Times New Roman"/>
                <w:noProof/>
                <w:szCs w:val="18"/>
              </w:rPr>
            </w:pPr>
            <w:r>
              <w:rPr>
                <w:noProof/>
              </w:rPr>
              <w:t>185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4AE8F2E" w14:textId="77777777" w:rsidR="00D924EA" w:rsidRDefault="00011DE9">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67B7BF69" w14:textId="4A63B1CB" w:rsidR="00D924EA" w:rsidRDefault="00011DE9">
            <w:pPr>
              <w:pStyle w:val="P68B1DB1-Normal24"/>
              <w:spacing w:after="0" w:line="240" w:lineRule="auto"/>
              <w:jc w:val="center"/>
              <w:rPr>
                <w:rFonts w:eastAsia="Times New Roman" w:cs="Times New Roman"/>
                <w:noProof/>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0F3707F9" w14:textId="7826097D" w:rsidR="00D924EA" w:rsidRDefault="00011DE9">
            <w:pPr>
              <w:pStyle w:val="P68B1DB1-Normal23"/>
              <w:spacing w:after="0" w:line="240" w:lineRule="auto"/>
              <w:rPr>
                <w:rFonts w:eastAsia="Times New Roman" w:cs="Times New Roman"/>
                <w:noProof/>
                <w:szCs w:val="18"/>
              </w:rPr>
            </w:pPr>
            <w:r>
              <w:rPr>
                <w:noProof/>
              </w:rPr>
              <w:t xml:space="preserve">PERTE-uri și alte proiecte: plata fondurilor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D39935A" w14:textId="6646EBEE" w:rsidR="00D924EA" w:rsidRDefault="00011DE9">
            <w:pPr>
              <w:pStyle w:val="P68B1DB1-Normal24"/>
              <w:spacing w:after="0" w:line="240" w:lineRule="auto"/>
              <w:jc w:val="center"/>
              <w:rPr>
                <w:rFonts w:eastAsia="Times New Roman" w:cs="Times New Roman"/>
                <w:noProof/>
              </w:rPr>
            </w:pPr>
            <w:r>
              <w:rPr>
                <w:noProof/>
              </w:rPr>
              <w:t>Confirmarea plății</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34D6D0DE" w14:textId="626313C2" w:rsidR="00D924EA" w:rsidRDefault="00971820">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017A114" w14:textId="3143A731" w:rsidR="00D924EA" w:rsidRDefault="00D924EA">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58B3A3C" w14:textId="3C17C998" w:rsidR="00D924EA" w:rsidRDefault="00D924EA">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945CB98" w14:textId="18BE02E4" w:rsidR="00D924EA" w:rsidRDefault="005701C9">
            <w:pPr>
              <w:pStyle w:val="P68B1DB1-Normal23"/>
              <w:spacing w:after="0" w:line="240" w:lineRule="auto"/>
              <w:jc w:val="center"/>
              <w:rPr>
                <w:rFonts w:eastAsia="Times New Roman"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5A037C0" w14:textId="779DB364" w:rsidR="00D924EA" w:rsidRDefault="00011DE9">
            <w:pPr>
              <w:pStyle w:val="P68B1DB1-Normal23"/>
              <w:spacing w:after="0" w:line="240" w:lineRule="auto"/>
              <w:jc w:val="center"/>
              <w:rPr>
                <w:rFonts w:eastAsia="Times New Roman" w:cs="Times New Roman"/>
                <w:noProof/>
                <w:szCs w:val="18"/>
              </w:rPr>
            </w:pPr>
            <w:r>
              <w:rPr>
                <w:noProof/>
              </w:rPr>
              <w:t>2025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0E8776B4" w14:textId="11BCE26B" w:rsidR="00D924EA" w:rsidRDefault="00011DE9">
            <w:pPr>
              <w:pStyle w:val="P68B1DB1-Normal29"/>
              <w:spacing w:after="0" w:line="240" w:lineRule="auto"/>
              <w:jc w:val="both"/>
              <w:rPr>
                <w:rFonts w:eastAsia="Times New Roman" w:cs="Times New Roman"/>
                <w:noProof/>
                <w:sz w:val="18"/>
                <w:szCs w:val="18"/>
              </w:rPr>
            </w:pPr>
            <w:r>
              <w:rPr>
                <w:noProof/>
                <w:sz w:val="18"/>
                <w:szCs w:val="18"/>
              </w:rPr>
              <w:t>Plata unor fonduri în valoare de</w:t>
            </w:r>
            <w:r>
              <w:rPr>
                <w:noProof/>
                <w:sz w:val="20"/>
                <w:szCs w:val="20"/>
              </w:rPr>
              <w:t xml:space="preserve"> </w:t>
            </w:r>
            <w:r>
              <w:rPr>
                <w:noProof/>
                <w:sz w:val="18"/>
                <w:szCs w:val="18"/>
              </w:rPr>
              <w:t>2 242 693</w:t>
            </w:r>
            <w:r>
              <w:rPr>
                <w:noProof/>
                <w:sz w:val="20"/>
                <w:szCs w:val="20"/>
              </w:rPr>
              <w:t xml:space="preserve"> </w:t>
            </w:r>
            <w:r>
              <w:rPr>
                <w:noProof/>
                <w:sz w:val="18"/>
                <w:szCs w:val="18"/>
              </w:rPr>
              <w:t xml:space="preserve">082 EUR în domeniul eficienței energetice, al durabilității și al transformării digitale, printre altele, inclusiv pentru trei ERTE aprobate. </w:t>
            </w:r>
          </w:p>
        </w:tc>
      </w:tr>
      <w:tr w:rsidR="00D924EA" w14:paraId="286A5F70"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F5746CE" w14:textId="77777777" w:rsidR="00D924EA" w:rsidRDefault="00011DE9">
            <w:pPr>
              <w:pStyle w:val="P68B1DB1-Normal23"/>
              <w:spacing w:after="0" w:line="240" w:lineRule="auto"/>
              <w:jc w:val="center"/>
              <w:rPr>
                <w:rFonts w:eastAsia="Times New Roman" w:cs="Times New Roman"/>
                <w:noProof/>
                <w:szCs w:val="18"/>
              </w:rPr>
            </w:pPr>
            <w:r>
              <w:rPr>
                <w:noProof/>
              </w:rPr>
              <w:t>186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2442793" w14:textId="77777777" w:rsidR="00D924EA" w:rsidRDefault="00011DE9">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6BAF0AF7" w14:textId="78E4E7B6" w:rsidR="00D924EA" w:rsidRDefault="00011DE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35449A65" w14:textId="3283353B" w:rsidR="00D924EA" w:rsidRDefault="00011DE9">
            <w:pPr>
              <w:pStyle w:val="P68B1DB1-Normal24"/>
              <w:spacing w:after="0" w:line="240" w:lineRule="auto"/>
              <w:rPr>
                <w:rFonts w:eastAsia="Times New Roman" w:cs="Times New Roman"/>
                <w:noProof/>
              </w:rPr>
            </w:pPr>
            <w:r>
              <w:rPr>
                <w:noProof/>
              </w:rPr>
              <w:t xml:space="preserve">PERTE-uri și alte proiecte: Rapoarte finale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3E3E77D" w14:textId="6E9DDBB8" w:rsidR="00D924EA" w:rsidRDefault="00011DE9">
            <w:pPr>
              <w:pStyle w:val="P68B1DB1-Normal24"/>
              <w:spacing w:after="0" w:line="240" w:lineRule="auto"/>
              <w:jc w:val="center"/>
              <w:rPr>
                <w:rFonts w:eastAsia="Times New Roman" w:cs="Times New Roman"/>
                <w:noProof/>
              </w:rPr>
            </w:pPr>
            <w:r>
              <w:rPr>
                <w:noProof/>
              </w:rPr>
              <w:t xml:space="preserve">Rapoarte finale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934753B" w14:textId="39030B88" w:rsidR="00D924EA" w:rsidRDefault="00D924EA">
            <w:pPr>
              <w:spacing w:after="0" w:line="240" w:lineRule="auto"/>
              <w:jc w:val="righ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C825BEE" w14:textId="44DE2F02" w:rsidR="00D924EA" w:rsidRDefault="00D924EA">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00DB145" w14:textId="1ABE27F6" w:rsidR="00D924EA" w:rsidRDefault="00D924EA">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8568EFE" w14:textId="5BD86B7D" w:rsidR="00D924EA" w:rsidRDefault="005701C9">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BB86177" w14:textId="77777777" w:rsidR="00D924EA" w:rsidRDefault="00011DE9">
            <w:pPr>
              <w:pStyle w:val="P68B1DB1-Normal23"/>
              <w:spacing w:after="0" w:line="240" w:lineRule="auto"/>
              <w:jc w:val="center"/>
              <w:rPr>
                <w:rFonts w:eastAsia="Times New Roman" w:cs="Times New Roman"/>
                <w:noProof/>
                <w:szCs w:val="18"/>
              </w:rPr>
            </w:pPr>
            <w:r>
              <w:rPr>
                <w:noProof/>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6B7FFF19" w14:textId="533B986A" w:rsidR="00D924EA" w:rsidRDefault="00011DE9">
            <w:pPr>
              <w:pStyle w:val="P68B1DB1-Normal24"/>
              <w:spacing w:after="0" w:line="240" w:lineRule="auto"/>
              <w:jc w:val="both"/>
              <w:rPr>
                <w:rFonts w:eastAsia="Times New Roman" w:cs="Times New Roman"/>
                <w:noProof/>
              </w:rPr>
            </w:pPr>
            <w:r>
              <w:rPr>
                <w:noProof/>
              </w:rPr>
              <w:t>210 entitățile sau persoanele beneficiare prezintă rapoarte finale care confirmă finalizarea activităților atribuite pentru granturi legate de domenii precum eficiența energetică, durabilitatea și transformarea digitală, printre altele, inclusiv cele legate de trei PERTE-uri aprobate.</w:t>
            </w:r>
          </w:p>
        </w:tc>
      </w:tr>
      <w:tr w:rsidR="00D924EA" w14:paraId="4E45A6E3"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13DC212F" w14:textId="68CD0781" w:rsidR="00D924EA" w:rsidRDefault="00011DE9">
            <w:pPr>
              <w:pStyle w:val="P68B1DB1-Normal23"/>
              <w:spacing w:after="0" w:line="240" w:lineRule="auto"/>
              <w:jc w:val="center"/>
              <w:rPr>
                <w:rFonts w:eastAsia="Times New Roman" w:cs="Times New Roman"/>
                <w:noProof/>
                <w:szCs w:val="18"/>
              </w:rPr>
            </w:pPr>
            <w:r>
              <w:rPr>
                <w:noProof/>
              </w:rPr>
              <w:t>187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EF1C536" w14:textId="77777777" w:rsidR="00D924EA" w:rsidRDefault="00011DE9">
            <w:pPr>
              <w:pStyle w:val="P68B1DB1-Normal23"/>
              <w:spacing w:after="0" w:line="240" w:lineRule="auto"/>
              <w:jc w:val="center"/>
              <w:rPr>
                <w:rFonts w:eastAsia="Times New Roman" w:cs="Times New Roman"/>
                <w:noProof/>
                <w:szCs w:val="18"/>
              </w:rPr>
            </w:pPr>
            <w:r>
              <w:rPr>
                <w:noProof/>
              </w:rPr>
              <w:t>C12.I3</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1C27B137" w14:textId="77777777" w:rsidR="00D924EA" w:rsidRDefault="00011DE9">
            <w:pPr>
              <w:pStyle w:val="P68B1DB1-Normal23"/>
              <w:spacing w:after="0" w:line="240" w:lineRule="auto"/>
              <w:jc w:val="center"/>
              <w:rPr>
                <w:rFonts w:eastAsia="Times New Roman" w:cs="Times New Roman"/>
                <w:noProof/>
                <w:szCs w:val="18"/>
              </w:rPr>
            </w:pPr>
            <w:r>
              <w:rPr>
                <w:noProof/>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39C6438D" w14:textId="7BC4F15C" w:rsidR="00D924EA" w:rsidRDefault="00011DE9">
            <w:pPr>
              <w:pStyle w:val="P68B1DB1-Normal24"/>
              <w:spacing w:after="0" w:line="240" w:lineRule="auto"/>
              <w:rPr>
                <w:rFonts w:eastAsia="Times New Roman" w:cs="Times New Roman"/>
                <w:noProof/>
              </w:rPr>
            </w:pPr>
            <w:r>
              <w:rPr>
                <w:noProof/>
              </w:rPr>
              <w:t>Acțiuni privind economia circulară și gestionarea deșeurilor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061A5763" w14:textId="4F75132F" w:rsidR="00D924EA" w:rsidRDefault="00D924EA">
            <w:pPr>
              <w:spacing w:after="0" w:line="240" w:lineRule="auto"/>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3B97184E" w14:textId="77777777" w:rsidR="00D924EA" w:rsidRDefault="00011DE9">
            <w:pPr>
              <w:pStyle w:val="P68B1DB1-Normal23"/>
              <w:spacing w:after="0" w:line="240" w:lineRule="auto"/>
              <w:jc w:val="right"/>
              <w:rPr>
                <w:rFonts w:eastAsia="Times New Roman" w:cs="Times New Roman"/>
                <w:noProof/>
                <w:szCs w:val="18"/>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E8C29AD" w14:textId="596DC83E" w:rsidR="00D924EA" w:rsidRDefault="00011DE9">
            <w:pPr>
              <w:pStyle w:val="P68B1DB1-Normal23"/>
              <w:spacing w:after="0" w:line="240" w:lineRule="auto"/>
              <w:jc w:val="center"/>
              <w:rPr>
                <w:rFonts w:eastAsia="Times New Roman" w:cs="Times New Roman"/>
                <w:noProof/>
                <w:szCs w:val="18"/>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5227944F" w14:textId="2568C131" w:rsidR="00D924EA" w:rsidRDefault="00011DE9">
            <w:pPr>
              <w:pStyle w:val="P68B1DB1-Normal23"/>
              <w:spacing w:after="0" w:line="240" w:lineRule="auto"/>
              <w:jc w:val="center"/>
              <w:rPr>
                <w:rFonts w:eastAsia="Times New Roman" w:cs="Times New Roman"/>
                <w:noProof/>
                <w:szCs w:val="18"/>
              </w:rPr>
            </w:pPr>
            <w:r>
              <w:rPr>
                <w:noProof/>
              </w:rPr>
              <w:t>1 450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37178F5" w14:textId="5E95AD0D" w:rsidR="00D924EA" w:rsidRDefault="005701C9">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33A3C2D" w14:textId="44E3AD3C" w:rsidR="00D924EA" w:rsidRDefault="00011DE9">
            <w:pPr>
              <w:pStyle w:val="P68B1DB1-Normal23"/>
              <w:spacing w:after="0" w:line="240" w:lineRule="auto"/>
              <w:jc w:val="center"/>
              <w:rPr>
                <w:rFonts w:eastAsia="Times New Roman" w:cs="Times New Roman"/>
                <w:noProof/>
                <w:szCs w:val="18"/>
              </w:rPr>
            </w:pPr>
            <w:r>
              <w:rPr>
                <w:noProof/>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2C2356C7" w14:textId="76D34A9A" w:rsidR="00D924EA" w:rsidRDefault="00011DE9">
            <w:pPr>
              <w:pStyle w:val="P68B1DB1-Normal43"/>
              <w:spacing w:after="0" w:line="240" w:lineRule="auto"/>
              <w:rPr>
                <w:noProof/>
              </w:rPr>
            </w:pPr>
            <w:r>
              <w:rPr>
                <w:noProof/>
              </w:rPr>
              <w:t>1 450 acțiuni desfășurate în următoarele domenii:</w:t>
            </w:r>
          </w:p>
          <w:p w14:paraId="62C4CE42" w14:textId="77777777" w:rsidR="00D924EA" w:rsidRDefault="00011DE9">
            <w:pPr>
              <w:pStyle w:val="P68B1DB1-ListParagraph58"/>
              <w:numPr>
                <w:ilvl w:val="0"/>
                <w:numId w:val="83"/>
              </w:numPr>
              <w:spacing w:line="259" w:lineRule="auto"/>
              <w:ind w:hanging="507"/>
              <w:rPr>
                <w:noProof/>
              </w:rPr>
            </w:pPr>
            <w:r>
              <w:rPr>
                <w:noProof/>
              </w:rPr>
              <w:t>Implementarea legislației privind deșeurile</w:t>
            </w:r>
          </w:p>
          <w:p w14:paraId="33299C22" w14:textId="77777777" w:rsidR="00D924EA" w:rsidRDefault="00011DE9">
            <w:pPr>
              <w:pStyle w:val="P68B1DB1-ListParagraph58"/>
              <w:numPr>
                <w:ilvl w:val="0"/>
                <w:numId w:val="83"/>
              </w:numPr>
              <w:spacing w:line="259" w:lineRule="auto"/>
              <w:ind w:hanging="507"/>
              <w:rPr>
                <w:noProof/>
              </w:rPr>
            </w:pPr>
            <w:r>
              <w:rPr>
                <w:noProof/>
              </w:rPr>
              <w:t>Soluții digitale pentru managementul de mediu</w:t>
            </w:r>
          </w:p>
          <w:p w14:paraId="5E579C3E" w14:textId="77777777" w:rsidR="00D924EA" w:rsidRDefault="00011DE9">
            <w:pPr>
              <w:pStyle w:val="P68B1DB1-ListParagraph58"/>
              <w:numPr>
                <w:ilvl w:val="0"/>
                <w:numId w:val="83"/>
              </w:numPr>
              <w:spacing w:after="0" w:line="240" w:lineRule="auto"/>
              <w:ind w:hanging="507"/>
              <w:rPr>
                <w:noProof/>
              </w:rPr>
            </w:pPr>
            <w:r>
              <w:rPr>
                <w:noProof/>
              </w:rPr>
              <w:t xml:space="preserve">Economia circulară în întreprinderi </w:t>
            </w:r>
          </w:p>
          <w:p w14:paraId="6211D2D5" w14:textId="77777777" w:rsidR="00D924EA" w:rsidRDefault="00011DE9">
            <w:pPr>
              <w:pStyle w:val="P68B1DB1-ListParagraph58"/>
              <w:numPr>
                <w:ilvl w:val="0"/>
                <w:numId w:val="83"/>
              </w:numPr>
              <w:spacing w:line="259" w:lineRule="auto"/>
              <w:ind w:hanging="507"/>
              <w:rPr>
                <w:noProof/>
              </w:rPr>
            </w:pPr>
            <w:r>
              <w:rPr>
                <w:noProof/>
              </w:rPr>
              <w:t>Noua capacitate de tratare a deșeurilor colectate separat</w:t>
            </w:r>
          </w:p>
          <w:p w14:paraId="60D22D30" w14:textId="77777777" w:rsidR="00D924EA" w:rsidRDefault="00011DE9">
            <w:pPr>
              <w:pStyle w:val="P68B1DB1-ListParagraph58"/>
              <w:numPr>
                <w:ilvl w:val="0"/>
                <w:numId w:val="83"/>
              </w:numPr>
              <w:spacing w:line="259" w:lineRule="auto"/>
              <w:ind w:hanging="507"/>
              <w:rPr>
                <w:noProof/>
              </w:rPr>
            </w:pPr>
            <w:r>
              <w:rPr>
                <w:noProof/>
              </w:rPr>
              <w:t>Utilizarea eficientă a resurselor în stațiile de epurare existente</w:t>
            </w:r>
          </w:p>
          <w:p w14:paraId="7A1C7548" w14:textId="77777777" w:rsidR="00D924EA" w:rsidRDefault="00011DE9">
            <w:pPr>
              <w:pStyle w:val="P68B1DB1-ListParagraph53"/>
              <w:numPr>
                <w:ilvl w:val="0"/>
                <w:numId w:val="83"/>
              </w:numPr>
              <w:spacing w:line="259" w:lineRule="auto"/>
              <w:ind w:hanging="507"/>
              <w:rPr>
                <w:rFonts w:cs="Times New Roman"/>
                <w:noProof/>
              </w:rPr>
            </w:pPr>
            <w:r>
              <w:rPr>
                <w:noProof/>
              </w:rPr>
              <w:t>Sisteme de colectare separată a deșeurilor</w:t>
            </w:r>
          </w:p>
          <w:p w14:paraId="30CC4C1C" w14:textId="77777777" w:rsidR="00D924EA" w:rsidRDefault="00011DE9">
            <w:pPr>
              <w:pStyle w:val="P68B1DB1-ListParagraph53"/>
              <w:numPr>
                <w:ilvl w:val="0"/>
                <w:numId w:val="83"/>
              </w:numPr>
              <w:spacing w:line="259" w:lineRule="auto"/>
              <w:ind w:hanging="507"/>
              <w:rPr>
                <w:rFonts w:cs="Times New Roman"/>
                <w:noProof/>
              </w:rPr>
            </w:pPr>
            <w:r>
              <w:rPr>
                <w:noProof/>
              </w:rPr>
              <w:t>Puncte de colectare pentru îmbunătățirea reciclării</w:t>
            </w:r>
          </w:p>
          <w:p w14:paraId="289098E1" w14:textId="4F00C055" w:rsidR="00D924EA" w:rsidRDefault="00011DE9">
            <w:pPr>
              <w:spacing w:after="0" w:line="240" w:lineRule="auto"/>
              <w:rPr>
                <w:rFonts w:ascii="Times New Roman" w:eastAsia="Times New Roman" w:hAnsi="Times New Roman" w:cs="Times New Roman"/>
                <w:noProof/>
                <w:sz w:val="18"/>
                <w:szCs w:val="18"/>
              </w:rPr>
            </w:pPr>
            <w:r>
              <w:rPr>
                <w:rFonts w:ascii="Times New Roman" w:hAnsi="Times New Roman"/>
                <w:noProof/>
                <w:sz w:val="18"/>
                <w:szCs w:val="18"/>
              </w:rPr>
              <w:t>Criteriile de eligibilitate cuprinse în termenii de referință pentru cererile de proiecte exclud următoarea listă de activități: (I) activități legate de depozitele de deșeuri, incineratoare</w:t>
            </w:r>
            <w:r>
              <w:rPr>
                <w:rStyle w:val="FootnoteReference"/>
                <w:rFonts w:ascii="Times New Roman" w:hAnsi="Times New Roman" w:cs="Times New Roman"/>
                <w:noProof/>
                <w:sz w:val="18"/>
                <w:szCs w:val="18"/>
              </w:rPr>
              <w:footnoteReference w:id="35"/>
            </w:r>
            <w:r>
              <w:rPr>
                <w:rFonts w:ascii="Times New Roman" w:hAnsi="Times New Roman"/>
                <w:noProof/>
                <w:sz w:val="18"/>
                <w:szCs w:val="18"/>
              </w:rPr>
              <w:t xml:space="preserve"> și stații de tratare mecano-biologică</w:t>
            </w:r>
            <w:r>
              <w:rPr>
                <w:rStyle w:val="FootnoteReference"/>
                <w:rFonts w:ascii="Times New Roman" w:hAnsi="Times New Roman"/>
                <w:noProof/>
                <w:sz w:val="18"/>
                <w:szCs w:val="18"/>
              </w:rPr>
              <w:footnoteReference w:id="36"/>
            </w:r>
            <w:r>
              <w:rPr>
                <w:rFonts w:ascii="Times New Roman" w:hAnsi="Times New Roman"/>
                <w:noProof/>
                <w:sz w:val="18"/>
                <w:szCs w:val="18"/>
              </w:rPr>
              <w:t xml:space="preserve">; și (ii) activitățile în cazul cărora eliminarea pe termen lung a deșeurilor poate dăuna mediului. Pentru vehiculele de colectare a deșeurilor, utilajele de prelucrare a deșeurilor și echipamentele complementare, se utilizează cea mai bună tehnologie disponibilă cu cel mai mic impact asupra mediului din sector. </w:t>
            </w:r>
          </w:p>
        </w:tc>
      </w:tr>
      <w:tr w:rsidR="00D924EA" w14:paraId="6F5C3EFB"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5EC3F9" w14:textId="77777777" w:rsidR="00D924EA" w:rsidRDefault="00011DE9">
            <w:pPr>
              <w:pStyle w:val="P68B1DB1-Normal23"/>
              <w:spacing w:after="0" w:line="240" w:lineRule="auto"/>
              <w:jc w:val="center"/>
              <w:rPr>
                <w:rFonts w:eastAsia="Times New Roman" w:cs="Times New Roman"/>
                <w:noProof/>
                <w:szCs w:val="18"/>
              </w:rPr>
            </w:pPr>
            <w:r>
              <w:rPr>
                <w:noProof/>
              </w:rPr>
              <w:t>442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9910D36" w14:textId="77777777" w:rsidR="00D924EA" w:rsidRDefault="00011DE9">
            <w:pPr>
              <w:pStyle w:val="P68B1DB1-Normal23"/>
              <w:spacing w:after="0" w:line="240" w:lineRule="auto"/>
              <w:jc w:val="center"/>
              <w:rPr>
                <w:rFonts w:eastAsia="Times New Roman" w:cs="Times New Roman"/>
                <w:noProof/>
                <w:szCs w:val="18"/>
              </w:rPr>
            </w:pPr>
            <w:r>
              <w:rPr>
                <w:noProof/>
              </w:rPr>
              <w:t>C12.I3</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6CB49DB7" w14:textId="77777777" w:rsidR="00D924EA" w:rsidRDefault="00011DE9">
            <w:pPr>
              <w:pStyle w:val="P68B1DB1-Normal23"/>
              <w:spacing w:after="0" w:line="240" w:lineRule="auto"/>
              <w:jc w:val="center"/>
              <w:rPr>
                <w:rFonts w:eastAsia="Times New Roman" w:cs="Times New Roman"/>
                <w:noProof/>
                <w:szCs w:val="18"/>
              </w:rPr>
            </w:pPr>
            <w:r>
              <w:rPr>
                <w:noProof/>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68137229" w14:textId="77777777" w:rsidR="00D924EA" w:rsidRDefault="00011DE9">
            <w:pPr>
              <w:pStyle w:val="P68B1DB1-Normal23"/>
              <w:spacing w:after="0" w:line="240" w:lineRule="auto"/>
              <w:rPr>
                <w:rFonts w:eastAsia="Times New Roman" w:cs="Times New Roman"/>
                <w:noProof/>
                <w:szCs w:val="18"/>
              </w:rPr>
            </w:pPr>
            <w:r>
              <w:rPr>
                <w:noProof/>
              </w:rPr>
              <w:t>Distribuirea granturilor pentru punerea în aplicare a proiectelor de implementare a deșeurilor.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D0F7253" w14:textId="77777777" w:rsidR="00D924EA" w:rsidRDefault="00D924EA">
            <w:pPr>
              <w:spacing w:after="0" w:line="240" w:lineRule="auto"/>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64A1B56A" w14:textId="77777777" w:rsidR="00D924EA" w:rsidRDefault="00011DE9">
            <w:pPr>
              <w:pStyle w:val="P68B1DB1-Normal23"/>
              <w:spacing w:after="0" w:line="240" w:lineRule="auto"/>
              <w:jc w:val="center"/>
              <w:rPr>
                <w:rFonts w:eastAsia="Times New Roman" w:cs="Times New Roman"/>
                <w:noProof/>
                <w:szCs w:val="18"/>
              </w:rPr>
            </w:pPr>
            <w:r>
              <w:rPr>
                <w:noProof/>
              </w:rPr>
              <w:t>Milioane EUR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AB9867D" w14:textId="77777777" w:rsidR="00D924EA" w:rsidRDefault="00011DE9">
            <w:pPr>
              <w:pStyle w:val="P68B1DB1-Normal23"/>
              <w:spacing w:after="0" w:line="240" w:lineRule="auto"/>
              <w:jc w:val="center"/>
              <w:rPr>
                <w:rFonts w:eastAsia="Times New Roman" w:cs="Times New Roman"/>
                <w:noProof/>
                <w:szCs w:val="18"/>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A69413A" w14:textId="77777777" w:rsidR="00D924EA" w:rsidRDefault="00011DE9">
            <w:pPr>
              <w:pStyle w:val="P68B1DB1-Normal23"/>
              <w:spacing w:after="0" w:line="240" w:lineRule="auto"/>
              <w:jc w:val="center"/>
              <w:rPr>
                <w:rFonts w:eastAsia="Times New Roman" w:cs="Times New Roman"/>
                <w:noProof/>
                <w:szCs w:val="18"/>
              </w:rPr>
            </w:pPr>
            <w:r>
              <w:rPr>
                <w:noProof/>
              </w:rPr>
              <w:t>300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2F8236A" w14:textId="799530A5" w:rsidR="00D924EA" w:rsidRDefault="005701C9">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4736F14" w14:textId="77777777" w:rsidR="00D924EA" w:rsidRDefault="00011DE9">
            <w:pPr>
              <w:pStyle w:val="P68B1DB1-Normal23"/>
              <w:spacing w:after="0" w:line="240" w:lineRule="auto"/>
              <w:jc w:val="center"/>
              <w:rPr>
                <w:rFonts w:eastAsia="Times New Roman" w:cs="Times New Roman"/>
                <w:noProof/>
                <w:szCs w:val="18"/>
              </w:rPr>
            </w:pPr>
            <w:r>
              <w:rPr>
                <w:noProof/>
              </w:rPr>
              <w:t>2023</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7B79165F" w14:textId="459C8B8B" w:rsidR="00D924EA" w:rsidRDefault="00011DE9">
            <w:pPr>
              <w:pStyle w:val="P68B1DB1-Normal23"/>
              <w:spacing w:after="0" w:line="240" w:lineRule="auto"/>
              <w:rPr>
                <w:rFonts w:eastAsia="Times New Roman" w:cs="Times New Roman"/>
                <w:noProof/>
                <w:szCs w:val="18"/>
              </w:rPr>
            </w:pPr>
            <w:r>
              <w:rPr>
                <w:noProof/>
              </w:rPr>
              <w:t>Aprobarea Acordului Conferinței sectoriale privind mediul de aprobare a criteriilor de alocare și a repartizării teritoriale a granturilor sau aprobarea granturilor directe în conformitate cu Legea generală privind subvențiile 38/2003, referitor la Planul de sprijinire a punerii în aplicare a legislației din domeniul deșeurilor 2024 pentru finanțarea proiectelor care vizează punerea în aplicare a cadrului național de reglementare a deșeurilor și atingerea obiectivelor UE.</w:t>
            </w:r>
            <w:r w:rsidR="00971820">
              <w:rPr>
                <w:noProof/>
              </w:rPr>
              <w:t xml:space="preserve"> </w:t>
            </w:r>
            <w:r>
              <w:rPr>
                <w:noProof/>
              </w:rPr>
              <w:t>Proiectele constau în acțiuni de punere în aplicare și îmbunătățire a sistemelor de colectare separată a deșeurilor, investiții în puncte de colectare pentru a îmbunătăți reciclarea și construirea de noi stații de tratare a deșeurilor colectate separat.</w:t>
            </w:r>
          </w:p>
        </w:tc>
      </w:tr>
      <w:tr w:rsidR="00D924EA" w14:paraId="5B58E76F"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57767D4F" w14:textId="77777777" w:rsidR="00D924EA" w:rsidRDefault="00011DE9">
            <w:pPr>
              <w:pStyle w:val="P68B1DB1-Normal23"/>
              <w:spacing w:after="0" w:line="240" w:lineRule="auto"/>
              <w:jc w:val="center"/>
              <w:rPr>
                <w:rFonts w:eastAsia="Times New Roman" w:cs="Times New Roman"/>
                <w:noProof/>
                <w:szCs w:val="18"/>
              </w:rPr>
            </w:pPr>
            <w:r>
              <w:rPr>
                <w:noProof/>
              </w:rPr>
              <w:t>445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7B2345C" w14:textId="77777777" w:rsidR="00D924EA" w:rsidRDefault="00011DE9">
            <w:pPr>
              <w:pStyle w:val="P68B1DB1-Normal23"/>
              <w:spacing w:after="0" w:line="240" w:lineRule="auto"/>
              <w:jc w:val="center"/>
              <w:rPr>
                <w:rFonts w:eastAsia="Times New Roman" w:cs="Times New Roman"/>
                <w:noProof/>
                <w:szCs w:val="18"/>
              </w:rPr>
            </w:pPr>
            <w:r>
              <w:rPr>
                <w:noProof/>
              </w:rPr>
              <w:t>C12.I4</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0A8FA682" w14:textId="4C29A6E1" w:rsidR="00D924EA" w:rsidRDefault="00011DE9">
            <w:pPr>
              <w:pStyle w:val="P68B1DB1-Normal24"/>
              <w:spacing w:after="0" w:line="240" w:lineRule="auto"/>
              <w:jc w:val="center"/>
              <w:rPr>
                <w:rFonts w:eastAsia="Times New Roman" w:cs="Times New Roman"/>
                <w:noProof/>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3F39115" w14:textId="1646D0CE" w:rsidR="00D924EA" w:rsidRDefault="00011DE9">
            <w:pPr>
              <w:pStyle w:val="P68B1DB1-Normal24"/>
              <w:spacing w:after="0" w:line="240" w:lineRule="auto"/>
              <w:rPr>
                <w:rFonts w:eastAsia="Times New Roman" w:cs="Times New Roman"/>
                <w:noProof/>
              </w:rPr>
            </w:pPr>
            <w:r>
              <w:rPr>
                <w:noProof/>
              </w:rPr>
              <w:t xml:space="preserve"> Consolidarea lanțului valoric al semiconductorilor: plata fondurilor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211B3E2" w14:textId="30F84064" w:rsidR="00D924EA" w:rsidRDefault="00011DE9">
            <w:pPr>
              <w:pStyle w:val="P68B1DB1-Normal24"/>
              <w:spacing w:after="0" w:line="240" w:lineRule="auto"/>
              <w:jc w:val="center"/>
              <w:rPr>
                <w:rFonts w:eastAsia="Times New Roman" w:cs="Times New Roman"/>
                <w:noProof/>
              </w:rPr>
            </w:pPr>
            <w:r>
              <w:rPr>
                <w:noProof/>
              </w:rPr>
              <w:t xml:space="preserve">Confirmarea plății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2C2EDC77" w14:textId="0E82C3C2" w:rsidR="00D924EA" w:rsidRDefault="00D924EA">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CC8258" w14:textId="77777777" w:rsidR="00D924EA" w:rsidRDefault="00D924EA">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CB13DE3" w14:textId="40E6DD49" w:rsidR="00D924EA" w:rsidRDefault="00D924EA">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6A01816" w14:textId="7A60517F" w:rsidR="00D924EA" w:rsidRDefault="005701C9">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6C8F01E" w14:textId="77777777" w:rsidR="00D924EA" w:rsidRDefault="00011DE9">
            <w:pPr>
              <w:pStyle w:val="P68B1DB1-Normal23"/>
              <w:spacing w:after="0" w:line="240" w:lineRule="auto"/>
              <w:jc w:val="center"/>
              <w:rPr>
                <w:rFonts w:eastAsia="Times New Roman" w:cs="Times New Roman"/>
                <w:noProof/>
                <w:szCs w:val="18"/>
              </w:rPr>
            </w:pPr>
            <w:r>
              <w:rPr>
                <w:noProof/>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05B06680" w14:textId="4ED56659" w:rsidR="00D924EA" w:rsidRDefault="00011DE9">
            <w:pPr>
              <w:pStyle w:val="P68B1DB1-Normal29"/>
              <w:spacing w:after="0" w:line="240" w:lineRule="auto"/>
              <w:rPr>
                <w:rFonts w:eastAsia="Times New Roman" w:cs="Times New Roman"/>
                <w:noProof/>
                <w:sz w:val="18"/>
                <w:szCs w:val="18"/>
              </w:rPr>
            </w:pPr>
            <w:r>
              <w:rPr>
                <w:noProof/>
                <w:sz w:val="18"/>
                <w:szCs w:val="18"/>
              </w:rPr>
              <w:t>Plata sumei de 153</w:t>
            </w:r>
            <w:r>
              <w:rPr>
                <w:noProof/>
                <w:sz w:val="20"/>
                <w:szCs w:val="20"/>
              </w:rPr>
              <w:t xml:space="preserve"> </w:t>
            </w:r>
            <w:r>
              <w:rPr>
                <w:noProof/>
                <w:sz w:val="18"/>
                <w:szCs w:val="18"/>
              </w:rPr>
              <w:t>000</w:t>
            </w:r>
            <w:r>
              <w:rPr>
                <w:noProof/>
                <w:sz w:val="20"/>
                <w:szCs w:val="20"/>
              </w:rPr>
              <w:t xml:space="preserve"> </w:t>
            </w:r>
            <w:r>
              <w:rPr>
                <w:noProof/>
                <w:sz w:val="18"/>
                <w:szCs w:val="18"/>
              </w:rPr>
              <w:t>000 EUR către beneficiarii finali care primesc sprijin financiar: (1) participarea la PIIEC – Microelectronică și conectivitate și (2) dezvoltarea de proiecte în lanțul valoric al industriei semiconductorilor din Spania în etapa de C &amp; D &amp; I.</w:t>
            </w:r>
          </w:p>
        </w:tc>
      </w:tr>
      <w:tr w:rsidR="00D924EA" w14:paraId="09DD1CE4"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38D1FC7C" w14:textId="77777777" w:rsidR="00D924EA" w:rsidRDefault="00011DE9">
            <w:pPr>
              <w:pStyle w:val="P68B1DB1-Normal23"/>
              <w:spacing w:after="0" w:line="240" w:lineRule="auto"/>
              <w:jc w:val="center"/>
              <w:rPr>
                <w:rFonts w:eastAsia="Times New Roman" w:cs="Times New Roman"/>
                <w:noProof/>
                <w:szCs w:val="18"/>
              </w:rPr>
            </w:pPr>
            <w:r>
              <w:rPr>
                <w:noProof/>
              </w:rPr>
              <w:t>446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ACFE84D" w14:textId="77777777" w:rsidR="00D924EA" w:rsidRDefault="00011DE9">
            <w:pPr>
              <w:pStyle w:val="P68B1DB1-Normal23"/>
              <w:spacing w:after="0" w:line="240" w:lineRule="auto"/>
              <w:jc w:val="center"/>
              <w:rPr>
                <w:rFonts w:eastAsia="Times New Roman" w:cs="Times New Roman"/>
                <w:noProof/>
                <w:szCs w:val="18"/>
              </w:rPr>
            </w:pPr>
            <w:r>
              <w:rPr>
                <w:noProof/>
              </w:rPr>
              <w:t>C12.I5</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50FC836" w14:textId="77777777" w:rsidR="00D924EA" w:rsidRDefault="00011DE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09808B60" w14:textId="77777777" w:rsidR="00D924EA" w:rsidRDefault="00011DE9">
            <w:pPr>
              <w:pStyle w:val="P68B1DB1-Normal23"/>
              <w:spacing w:after="0" w:line="240" w:lineRule="auto"/>
              <w:rPr>
                <w:rFonts w:eastAsia="Times New Roman" w:cs="Times New Roman"/>
                <w:noProof/>
                <w:szCs w:val="18"/>
              </w:rPr>
            </w:pPr>
            <w:r>
              <w:rPr>
                <w:noProof/>
              </w:rPr>
              <w:t>Schemă de subvenții pentru sprijinirea economiei circulare: Instituirea sistemului de subvenții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36F877E" w14:textId="77777777" w:rsidR="00D924EA" w:rsidRDefault="00011DE9">
            <w:pPr>
              <w:pStyle w:val="P68B1DB1-Normal23"/>
              <w:spacing w:after="0" w:line="240" w:lineRule="auto"/>
              <w:jc w:val="center"/>
              <w:rPr>
                <w:rFonts w:eastAsia="Times New Roman" w:cs="Times New Roman"/>
                <w:noProof/>
                <w:szCs w:val="18"/>
              </w:rPr>
            </w:pPr>
            <w:r>
              <w:rPr>
                <w:noProof/>
              </w:rPr>
              <w:t>Intrarea în vigoare a instrumentului (instrumentelor) juridic (e) relevant (e)</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8ADA74C" w14:textId="77777777" w:rsidR="00D924EA" w:rsidRDefault="00D924EA">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8F7BCC5" w14:textId="77777777" w:rsidR="00D924EA" w:rsidRDefault="00D924EA">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31180D9" w14:textId="77777777" w:rsidR="00D924EA" w:rsidRDefault="00D924EA">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88CFE8" w14:textId="2726672F" w:rsidR="00D924EA" w:rsidRDefault="005701C9">
            <w:pPr>
              <w:pStyle w:val="P68B1DB1-Normal23"/>
              <w:spacing w:after="0" w:line="240" w:lineRule="auto"/>
              <w:jc w:val="center"/>
              <w:rPr>
                <w:rFonts w:eastAsia="Times New Roman" w:cs="Times New Roman"/>
                <w:noProof/>
                <w:szCs w:val="18"/>
              </w:rPr>
            </w:pPr>
            <w:r>
              <w:rPr>
                <w:noProof/>
              </w:rPr>
              <w:t>T4</w:t>
            </w:r>
            <w:r w:rsidR="00011DE9">
              <w:rPr>
                <w:noProof/>
              </w:rPr>
              <w:t>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89CF7A3" w14:textId="6BC44822" w:rsidR="00D924EA" w:rsidRDefault="00011DE9">
            <w:pPr>
              <w:pStyle w:val="P68B1DB1-Normal23"/>
              <w:spacing w:after="0" w:line="240" w:lineRule="auto"/>
              <w:jc w:val="center"/>
              <w:rPr>
                <w:rFonts w:eastAsia="Times New Roman" w:cs="Times New Roman"/>
                <w:noProof/>
                <w:szCs w:val="18"/>
              </w:rPr>
            </w:pPr>
            <w:r>
              <w:rPr>
                <w:noProof/>
              </w:rPr>
              <w:t>2025 </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28D4E189" w14:textId="77777777" w:rsidR="00D924EA" w:rsidRDefault="00011DE9">
            <w:pPr>
              <w:pStyle w:val="P68B1DB1-Normal23"/>
              <w:spacing w:after="0" w:line="240" w:lineRule="auto"/>
              <w:rPr>
                <w:rFonts w:eastAsia="Times New Roman" w:cs="Times New Roman"/>
                <w:noProof/>
                <w:szCs w:val="18"/>
              </w:rPr>
            </w:pPr>
            <w:r>
              <w:rPr>
                <w:noProof/>
              </w:rPr>
              <w:t>Intrarea în vigoare a instrumentului (instrumentelor) juridic (e) de instituire a schemei în conformitate cu cerințele specificate în descrierea măsurii.</w:t>
            </w:r>
          </w:p>
        </w:tc>
      </w:tr>
      <w:tr w:rsidR="00D924EA" w14:paraId="40C84118"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02A9FB53" w14:textId="77777777" w:rsidR="00D924EA" w:rsidRDefault="00011DE9">
            <w:pPr>
              <w:pStyle w:val="P68B1DB1-Normal23"/>
              <w:spacing w:after="0" w:line="240" w:lineRule="auto"/>
              <w:jc w:val="center"/>
              <w:rPr>
                <w:rFonts w:eastAsia="Times New Roman" w:cs="Times New Roman"/>
                <w:noProof/>
                <w:szCs w:val="18"/>
              </w:rPr>
            </w:pPr>
            <w:r>
              <w:rPr>
                <w:noProof/>
              </w:rPr>
              <w:t>447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E1B3DDF" w14:textId="77777777" w:rsidR="00D924EA" w:rsidRDefault="00011DE9">
            <w:pPr>
              <w:pStyle w:val="P68B1DB1-Normal23"/>
              <w:spacing w:after="0" w:line="240" w:lineRule="auto"/>
              <w:jc w:val="center"/>
              <w:rPr>
                <w:rFonts w:eastAsia="Times New Roman" w:cs="Times New Roman"/>
                <w:noProof/>
                <w:szCs w:val="18"/>
              </w:rPr>
            </w:pPr>
            <w:r>
              <w:rPr>
                <w:noProof/>
              </w:rPr>
              <w:t>C12.I5</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06217FFD" w14:textId="77777777" w:rsidR="00D924EA" w:rsidRDefault="00011DE9">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T </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E37CD93" w14:textId="4DDC0009" w:rsidR="00D924EA" w:rsidRDefault="00011DE9">
            <w:pPr>
              <w:pStyle w:val="P68B1DB1-Normal23"/>
              <w:spacing w:after="0" w:line="240" w:lineRule="auto"/>
              <w:rPr>
                <w:rFonts w:eastAsia="Times New Roman" w:cs="Times New Roman"/>
                <w:noProof/>
                <w:szCs w:val="18"/>
              </w:rPr>
            </w:pPr>
            <w:r>
              <w:rPr>
                <w:noProof/>
              </w:rPr>
              <w:t>Schemă de subvenții pentru sprijinirea economiei circulare: Acorduri juridice semnate cu beneficiarii finali sau rezoluții finale de atribuire publicate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DD650E0" w14:textId="62BB1090" w:rsidR="00D924EA" w:rsidRDefault="00011DE9">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Intrarea în vigoare a acordurilor </w:t>
            </w:r>
            <w:r>
              <w:rPr>
                <w:rStyle w:val="normaltextrun"/>
                <w:rFonts w:ascii="Times New Roman" w:hAnsi="Times New Roman"/>
                <w:noProof/>
                <w:sz w:val="18"/>
                <w:szCs w:val="18"/>
              </w:rPr>
              <w:t>juridice</w:t>
            </w:r>
            <w:r>
              <w:rPr>
                <w:rStyle w:val="normaltextrun"/>
                <w:rFonts w:ascii="Times New Roman" w:hAnsi="Times New Roman"/>
                <w:noProof/>
                <w:sz w:val="18"/>
              </w:rPr>
              <w:t xml:space="preserve"> de finanțare sau a rezoluțiilor finale de atribuire publicate și certificatul de plată către IDAE și Fundación Biodiversidad</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31E97E5D" w14:textId="77777777" w:rsidR="00D924EA" w:rsidRDefault="00011DE9">
            <w:pPr>
              <w:spacing w:after="0" w:line="240" w:lineRule="auto"/>
              <w:jc w:val="center"/>
              <w:rPr>
                <w:rFonts w:ascii="Times New Roman" w:eastAsia="Times New Roman" w:hAnsi="Times New Roman" w:cs="Times New Roman"/>
                <w:noProof/>
                <w:sz w:val="18"/>
                <w:szCs w:val="18"/>
              </w:rPr>
            </w:pPr>
            <w:r>
              <w:rPr>
                <w:rStyle w:val="eop"/>
                <w:rFonts w:ascii="Times New Roman" w:hAnsi="Times New Roman"/>
                <w:noProof/>
                <w:sz w:val="18"/>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5A17938" w14:textId="77777777" w:rsidR="00D924EA" w:rsidRDefault="00011DE9">
            <w:pPr>
              <w:spacing w:after="0" w:line="240" w:lineRule="auto"/>
              <w:jc w:val="center"/>
              <w:rPr>
                <w:rFonts w:ascii="Times New Roman" w:eastAsia="Times New Roman" w:hAnsi="Times New Roman" w:cs="Times New Roman"/>
                <w:noProof/>
                <w:sz w:val="18"/>
                <w:szCs w:val="18"/>
              </w:rPr>
            </w:pPr>
            <w:r>
              <w:rPr>
                <w:rStyle w:val="eop"/>
                <w:rFonts w:ascii="Times New Roman" w:hAnsi="Times New Roman"/>
                <w:noProof/>
                <w:sz w:val="18"/>
              </w:rPr>
              <w:t>0 %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EB44576" w14:textId="77777777" w:rsidR="00D924EA" w:rsidRDefault="00011DE9">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100 %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4D9C430" w14:textId="542344CF" w:rsidR="00D924EA" w:rsidRDefault="005701C9">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T4</w:t>
            </w:r>
            <w:r w:rsidR="00011DE9">
              <w:rPr>
                <w:rStyle w:val="normaltextrun"/>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1485D40" w14:textId="77777777" w:rsidR="00D924EA" w:rsidRDefault="00011DE9">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2025 </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202E24BD" w14:textId="35C52F93" w:rsidR="00D924EA" w:rsidRDefault="00011DE9">
            <w:pPr>
              <w:spacing w:after="0" w:line="240" w:lineRule="auto"/>
              <w:rPr>
                <w:rStyle w:val="normaltextrun"/>
                <w:rFonts w:ascii="Times New Roman" w:hAnsi="Times New Roman"/>
                <w:noProof/>
                <w:sz w:val="18"/>
              </w:rPr>
            </w:pPr>
            <w:r>
              <w:rPr>
                <w:rStyle w:val="normaltextrun"/>
                <w:rFonts w:ascii="Times New Roman" w:hAnsi="Times New Roman"/>
                <w:noProof/>
                <w:sz w:val="18"/>
              </w:rPr>
              <w:t xml:space="preserve">IDAE și Fundación Biodiversidad trebuie să fi publicat rezoluțiile finale de atribuire sau să fi încheiat acorduri juridice de finanțare cu beneficiarii </w:t>
            </w:r>
            <w:r>
              <w:rPr>
                <w:rStyle w:val="normaltextrun"/>
                <w:rFonts w:ascii="Times New Roman" w:hAnsi="Times New Roman"/>
                <w:noProof/>
                <w:sz w:val="18"/>
                <w:szCs w:val="18"/>
              </w:rPr>
              <w:t>finali</w:t>
            </w:r>
            <w:r>
              <w:rPr>
                <w:rStyle w:val="normaltextrun"/>
                <w:rFonts w:ascii="Times New Roman" w:hAnsi="Times New Roman"/>
                <w:noProof/>
                <w:sz w:val="18"/>
              </w:rPr>
              <w:t xml:space="preserve"> pentru o sumă necesară pentru a utiliza în cadrul schemei 100 % din investițiile MRR.</w:t>
            </w:r>
          </w:p>
          <w:p w14:paraId="25441AE3" w14:textId="0050C457" w:rsidR="00D924EA" w:rsidRDefault="00011DE9">
            <w:pPr>
              <w:pStyle w:val="P68B1DB1-Normal59"/>
              <w:spacing w:after="0" w:line="240" w:lineRule="auto"/>
              <w:rPr>
                <w:noProof/>
              </w:rPr>
            </w:pPr>
            <w:r>
              <w:rPr>
                <w:noProof/>
              </w:rPr>
              <w:t>Spania transferă 100 000 000 EUR către IDAE și 195 000 000 EUR către Fundación Biodiversidad pentru schemă.</w:t>
            </w:r>
          </w:p>
        </w:tc>
      </w:tr>
      <w:tr w:rsidR="00D924EA" w14:paraId="41DD7829"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167169DE" w14:textId="77777777" w:rsidR="00D924EA" w:rsidRDefault="00011DE9">
            <w:pPr>
              <w:pStyle w:val="P68B1DB1-Normal23"/>
              <w:spacing w:after="0" w:line="240" w:lineRule="auto"/>
              <w:jc w:val="center"/>
              <w:rPr>
                <w:rFonts w:eastAsia="Times New Roman" w:cs="Times New Roman"/>
                <w:noProof/>
                <w:szCs w:val="18"/>
              </w:rPr>
            </w:pPr>
            <w:r>
              <w:rPr>
                <w:noProof/>
              </w:rPr>
              <w:t>448b</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7F73328" w14:textId="77777777" w:rsidR="00D924EA" w:rsidRDefault="00011DE9">
            <w:pPr>
              <w:pStyle w:val="P68B1DB1-Normal23"/>
              <w:spacing w:after="0" w:line="240" w:lineRule="auto"/>
              <w:jc w:val="center"/>
              <w:rPr>
                <w:rFonts w:eastAsia="Times New Roman" w:cs="Times New Roman"/>
                <w:noProof/>
                <w:szCs w:val="18"/>
              </w:rPr>
            </w:pPr>
            <w:r>
              <w:rPr>
                <w:noProof/>
              </w:rPr>
              <w:t>C12.I6</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01724047" w14:textId="77777777" w:rsidR="00D924EA" w:rsidRDefault="00011DE9">
            <w:pPr>
              <w:pStyle w:val="P68B1DB1-Normal23"/>
              <w:spacing w:after="0" w:line="240" w:lineRule="auto"/>
              <w:jc w:val="center"/>
              <w:rPr>
                <w:rStyle w:val="normaltextrun"/>
                <w:rFonts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1718A6DB" w14:textId="718B9C5A" w:rsidR="00D924EA" w:rsidRDefault="00011DE9">
            <w:pPr>
              <w:pStyle w:val="P68B1DB1-Normal24"/>
              <w:spacing w:after="0" w:line="240" w:lineRule="auto"/>
              <w:rPr>
                <w:rStyle w:val="normaltextrun"/>
                <w:rFonts w:cs="Times New Roman"/>
                <w:noProof/>
              </w:rPr>
            </w:pPr>
            <w:r>
              <w:rPr>
                <w:noProof/>
              </w:rPr>
              <w:t>Schema de subvenții pentru sectorul vehiculelor electrice și pentru alte sectoare industriale (granturi); Instituirea sistemului de subvenții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7C5E8D7" w14:textId="77777777" w:rsidR="00D924EA" w:rsidRDefault="00011DE9">
            <w:pPr>
              <w:pStyle w:val="P68B1DB1-Normal23"/>
              <w:spacing w:after="0" w:line="240" w:lineRule="auto"/>
              <w:jc w:val="center"/>
              <w:rPr>
                <w:rStyle w:val="normaltextrun"/>
                <w:rFonts w:cs="Times New Roman"/>
                <w:noProof/>
                <w:szCs w:val="18"/>
              </w:rPr>
            </w:pPr>
            <w:r>
              <w:rPr>
                <w:noProof/>
              </w:rPr>
              <w:t>Intrarea în vigoare a instrumentului (instrumentelor) juridic (e) relevant (e)</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6E8257CE" w14:textId="77777777" w:rsidR="00D924EA" w:rsidRDefault="00D924EA">
            <w:pPr>
              <w:spacing w:after="0" w:line="240" w:lineRule="auto"/>
              <w:jc w:val="center"/>
              <w:rPr>
                <w:rStyle w:val="eop"/>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96F7E46" w14:textId="77777777" w:rsidR="00D924EA" w:rsidRDefault="00D924EA">
            <w:pPr>
              <w:spacing w:after="0" w:line="240" w:lineRule="auto"/>
              <w:jc w:val="center"/>
              <w:rPr>
                <w:rStyle w:val="eop"/>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54C0C09" w14:textId="77777777" w:rsidR="00D924EA" w:rsidRDefault="00D924EA">
            <w:pPr>
              <w:spacing w:after="0" w:line="240" w:lineRule="auto"/>
              <w:jc w:val="center"/>
              <w:rPr>
                <w:rStyle w:val="eop"/>
                <w:rFonts w:ascii="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1768F7C" w14:textId="552FF372" w:rsidR="00D924EA" w:rsidRDefault="005701C9">
            <w:pPr>
              <w:pStyle w:val="P68B1DB1-Normal23"/>
              <w:spacing w:after="0" w:line="240" w:lineRule="auto"/>
              <w:jc w:val="center"/>
              <w:rPr>
                <w:rStyle w:val="normaltextrun"/>
                <w:rFonts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C6B5633" w14:textId="46815D4C" w:rsidR="00D924EA" w:rsidRDefault="00011DE9">
            <w:pPr>
              <w:pStyle w:val="P68B1DB1-Normal23"/>
              <w:spacing w:after="0" w:line="240" w:lineRule="auto"/>
              <w:jc w:val="center"/>
              <w:rPr>
                <w:rStyle w:val="normaltextrun"/>
                <w:rFonts w:cs="Times New Roman"/>
                <w:noProof/>
                <w:szCs w:val="18"/>
              </w:rPr>
            </w:pPr>
            <w:r>
              <w:rPr>
                <w:noProof/>
              </w:rPr>
              <w:t>2025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2CD6A750" w14:textId="77777777" w:rsidR="00D924EA" w:rsidRDefault="00011DE9">
            <w:pPr>
              <w:pStyle w:val="P68B1DB1-Normal23"/>
              <w:spacing w:after="0" w:line="240" w:lineRule="auto"/>
              <w:rPr>
                <w:rStyle w:val="normaltextrun"/>
                <w:rFonts w:cs="Times New Roman"/>
                <w:noProof/>
                <w:szCs w:val="18"/>
              </w:rPr>
            </w:pPr>
            <w:r>
              <w:rPr>
                <w:noProof/>
              </w:rPr>
              <w:t>Intrarea în vigoare a instrumentului (instrumentelor) juridic (e) de instituire a schemei de subvenții în conformitate cu cerințele specificate în descrierea măsurii.</w:t>
            </w:r>
          </w:p>
        </w:tc>
      </w:tr>
      <w:tr w:rsidR="00D924EA" w14:paraId="76C5B22B"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68579D66" w14:textId="77777777" w:rsidR="00D924EA" w:rsidRDefault="00011DE9">
            <w:pPr>
              <w:pStyle w:val="P68B1DB1-Normal23"/>
              <w:spacing w:after="0" w:line="240" w:lineRule="auto"/>
              <w:jc w:val="center"/>
              <w:rPr>
                <w:rFonts w:eastAsia="Times New Roman" w:cs="Times New Roman"/>
                <w:noProof/>
                <w:szCs w:val="18"/>
              </w:rPr>
            </w:pPr>
            <w:r>
              <w:rPr>
                <w:noProof/>
              </w:rPr>
              <w:t>448c</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43E5076" w14:textId="77777777" w:rsidR="00D924EA" w:rsidRDefault="00011DE9">
            <w:pPr>
              <w:pStyle w:val="P68B1DB1-Normal23"/>
              <w:spacing w:after="0" w:line="240" w:lineRule="auto"/>
              <w:jc w:val="center"/>
              <w:rPr>
                <w:rFonts w:eastAsia="Times New Roman" w:cs="Times New Roman"/>
                <w:noProof/>
                <w:szCs w:val="18"/>
              </w:rPr>
            </w:pPr>
            <w:r>
              <w:rPr>
                <w:noProof/>
              </w:rPr>
              <w:t>C12.I6</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65A182C0" w14:textId="77777777" w:rsidR="00D924EA" w:rsidRDefault="00011DE9">
            <w:pPr>
              <w:pStyle w:val="P68B1DB1-Normal23"/>
              <w:spacing w:after="0" w:line="240" w:lineRule="auto"/>
              <w:jc w:val="center"/>
              <w:rPr>
                <w:rStyle w:val="normaltextrun"/>
                <w:rFonts w:cs="Times New Roman"/>
                <w:noProof/>
                <w:szCs w:val="18"/>
              </w:rPr>
            </w:pPr>
            <w:r>
              <w:rPr>
                <w:noProof/>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0021EF53" w14:textId="77777777" w:rsidR="00D924EA" w:rsidRDefault="00011DE9">
            <w:pPr>
              <w:pStyle w:val="P68B1DB1-Normal23"/>
              <w:spacing w:after="0" w:line="240" w:lineRule="auto"/>
              <w:rPr>
                <w:rStyle w:val="normaltextrun"/>
                <w:rFonts w:cs="Times New Roman"/>
                <w:noProof/>
                <w:szCs w:val="18"/>
              </w:rPr>
            </w:pPr>
            <w:r>
              <w:rPr>
                <w:noProof/>
              </w:rPr>
              <w:t>Schemă de subvenții pentru sectorul vehiculelor electrice și pentru alte sectoare industriale (granturi): Sunt publicate acordurile juridice semnate cu beneficiarii finali sau rezoluțiile finale de atribuire. Ministerul a finalizat investiția.</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0E6E206" w14:textId="77777777" w:rsidR="00D924EA" w:rsidRDefault="00011DE9">
            <w:pPr>
              <w:spacing w:after="0" w:line="240" w:lineRule="auto"/>
              <w:jc w:val="center"/>
              <w:rPr>
                <w:rStyle w:val="normaltextrun"/>
                <w:rFonts w:ascii="Times New Roman" w:hAnsi="Times New Roman" w:cs="Times New Roman"/>
                <w:noProof/>
                <w:sz w:val="18"/>
                <w:szCs w:val="18"/>
              </w:rPr>
            </w:pPr>
            <w:r>
              <w:rPr>
                <w:rStyle w:val="normaltextrun"/>
                <w:rFonts w:ascii="Times New Roman" w:hAnsi="Times New Roman"/>
                <w:noProof/>
                <w:sz w:val="18"/>
              </w:rPr>
              <w:t>Intrarea în vigoare a acordurilor juridice de finanțare sau a rezoluțiilor finale de atribuire publicate și certificatul de plată către SEPIDES.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2479D3BA" w14:textId="77777777" w:rsidR="00D924EA" w:rsidRDefault="00D924EA">
            <w:pPr>
              <w:spacing w:after="0" w:line="240" w:lineRule="auto"/>
              <w:jc w:val="center"/>
              <w:rPr>
                <w:rStyle w:val="eop"/>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0BC5CBC" w14:textId="77777777" w:rsidR="00D924EA" w:rsidRDefault="00011DE9">
            <w:pPr>
              <w:pStyle w:val="P68B1DB1-Normal23"/>
              <w:spacing w:after="0" w:line="240" w:lineRule="auto"/>
              <w:jc w:val="center"/>
              <w:rPr>
                <w:rStyle w:val="eop"/>
                <w:rFonts w:cs="Times New Roman"/>
                <w:noProof/>
                <w:szCs w:val="18"/>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53E9428" w14:textId="77777777" w:rsidR="00D924EA" w:rsidRDefault="00011DE9">
            <w:pPr>
              <w:pStyle w:val="P68B1DB1-Normal23"/>
              <w:spacing w:after="0" w:line="240" w:lineRule="auto"/>
              <w:jc w:val="center"/>
              <w:rPr>
                <w:rStyle w:val="eop"/>
                <w:rFonts w:cs="Times New Roman"/>
                <w:noProof/>
                <w:szCs w:val="18"/>
              </w:rPr>
            </w:pPr>
            <w:r>
              <w:rPr>
                <w:noProof/>
              </w:rPr>
              <w:t>100 %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CC67FBF" w14:textId="54797D75" w:rsidR="00D924EA" w:rsidRDefault="005701C9">
            <w:pPr>
              <w:pStyle w:val="P68B1DB1-Normal23"/>
              <w:spacing w:after="0" w:line="240" w:lineRule="auto"/>
              <w:jc w:val="center"/>
              <w:rPr>
                <w:rStyle w:val="normaltextrun"/>
                <w:rFonts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61FAB95" w14:textId="77777777" w:rsidR="00D924EA" w:rsidRDefault="00011DE9">
            <w:pPr>
              <w:pStyle w:val="P68B1DB1-Normal23"/>
              <w:spacing w:after="0" w:line="240" w:lineRule="auto"/>
              <w:jc w:val="center"/>
              <w:rPr>
                <w:rStyle w:val="normaltextrun"/>
                <w:rFonts w:cs="Times New Roman"/>
                <w:noProof/>
                <w:szCs w:val="18"/>
              </w:rPr>
            </w:pPr>
            <w:r>
              <w:rPr>
                <w:noProof/>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3806743B" w14:textId="6710BE22" w:rsidR="00D924EA" w:rsidRDefault="00011DE9">
            <w:pPr>
              <w:pStyle w:val="P68B1DB1-Normal23"/>
              <w:spacing w:after="0" w:line="240" w:lineRule="auto"/>
              <w:rPr>
                <w:noProof/>
              </w:rPr>
            </w:pPr>
            <w:r>
              <w:rPr>
                <w:noProof/>
              </w:rPr>
              <w:t>SEPIDES trebuie să fi publicat rezoluțiile finale de atribuire sau să fi încheiat acorduri juridice de finanțare cu beneficiarii finali pentru o sumă necesară pentru a utiliza 100 % din investițiile MRR în schemă. SEPIDES trebuie să se fi asigurat că cel puțin 40 % din această finanțare contribuie la obiectivele climatice utilizând metodologia din anexa VI la Regulamentul privind MRR.</w:t>
            </w:r>
            <w:r w:rsidR="00971820">
              <w:rPr>
                <w:noProof/>
              </w:rPr>
              <w:t xml:space="preserve"> </w:t>
            </w:r>
          </w:p>
          <w:p w14:paraId="6AA5D412" w14:textId="47052491" w:rsidR="00D924EA" w:rsidRDefault="00011DE9">
            <w:pPr>
              <w:pStyle w:val="P68B1DB1-Normal29"/>
              <w:spacing w:after="0" w:line="240" w:lineRule="auto"/>
              <w:rPr>
                <w:rStyle w:val="normaltextrun"/>
                <w:rFonts w:cs="Times New Roman"/>
                <w:noProof/>
                <w:sz w:val="18"/>
                <w:szCs w:val="18"/>
              </w:rPr>
            </w:pPr>
            <w:r>
              <w:rPr>
                <w:noProof/>
                <w:sz w:val="18"/>
                <w:szCs w:val="18"/>
              </w:rPr>
              <w:t>Spania</w:t>
            </w:r>
            <w:r>
              <w:rPr>
                <w:noProof/>
                <w:sz w:val="18"/>
              </w:rPr>
              <w:t xml:space="preserve"> transferă</w:t>
            </w:r>
            <w:r>
              <w:rPr>
                <w:noProof/>
                <w:sz w:val="20"/>
              </w:rPr>
              <w:t xml:space="preserve"> </w:t>
            </w:r>
            <w:r>
              <w:rPr>
                <w:noProof/>
                <w:sz w:val="18"/>
              </w:rPr>
              <w:t>513</w:t>
            </w:r>
            <w:r>
              <w:rPr>
                <w:noProof/>
                <w:sz w:val="20"/>
              </w:rPr>
              <w:t xml:space="preserve"> </w:t>
            </w:r>
            <w:r>
              <w:rPr>
                <w:noProof/>
                <w:sz w:val="18"/>
              </w:rPr>
              <w:t>970</w:t>
            </w:r>
            <w:r>
              <w:rPr>
                <w:noProof/>
                <w:sz w:val="20"/>
              </w:rPr>
              <w:t xml:space="preserve"> </w:t>
            </w:r>
            <w:r>
              <w:rPr>
                <w:noProof/>
                <w:sz w:val="18"/>
              </w:rPr>
              <w:t>000 EUR către SEPIDES pentru schemă.</w:t>
            </w:r>
          </w:p>
        </w:tc>
      </w:tr>
    </w:tbl>
    <w:p w14:paraId="04F80A33" w14:textId="77777777" w:rsidR="00D924EA" w:rsidRDefault="00011DE9">
      <w:pPr>
        <w:tabs>
          <w:tab w:val="left" w:pos="2310"/>
        </w:tabs>
        <w:rPr>
          <w:rFonts w:ascii="Times New Roman" w:hAnsi="Times New Roman" w:cs="Times New Roman"/>
          <w:noProof/>
        </w:rPr>
        <w:sectPr w:rsidR="00D924EA" w:rsidSect="00B528FB">
          <w:headerReference w:type="even" r:id="rId162"/>
          <w:headerReference w:type="default" r:id="rId163"/>
          <w:footerReference w:type="even" r:id="rId164"/>
          <w:footerReference w:type="default" r:id="rId165"/>
          <w:headerReference w:type="first" r:id="rId166"/>
          <w:footerReference w:type="first" r:id="rId167"/>
          <w:pgSz w:w="16839" w:h="11907" w:orient="landscape"/>
          <w:pgMar w:top="1134" w:right="1134" w:bottom="1134" w:left="1134" w:header="567" w:footer="567" w:gutter="0"/>
          <w:cols w:space="720"/>
          <w:docGrid w:linePitch="360"/>
        </w:sectPr>
      </w:pPr>
      <w:r>
        <w:rPr>
          <w:noProof/>
        </w:rPr>
        <w:tab/>
      </w:r>
    </w:p>
    <w:p w14:paraId="3AAC09D0" w14:textId="2A038705" w:rsidR="00D924EA" w:rsidRDefault="00011DE9">
      <w:pPr>
        <w:tabs>
          <w:tab w:val="left" w:pos="1155"/>
        </w:tabs>
        <w:rPr>
          <w:rFonts w:ascii="Times New Roman" w:hAnsi="Times New Roman" w:cs="Times New Roman"/>
          <w:b/>
          <w:noProof/>
          <w:u w:val="single"/>
        </w:rPr>
      </w:pPr>
      <w:r>
        <w:rPr>
          <w:rFonts w:ascii="Times New Roman" w:hAnsi="Times New Roman"/>
          <w:b/>
          <w:noProof/>
          <w:u w:val="single"/>
        </w:rPr>
        <w:t>I.3.</w:t>
      </w:r>
      <w:r w:rsidR="00971820">
        <w:rPr>
          <w:rFonts w:ascii="Times New Roman" w:hAnsi="Times New Roman"/>
          <w:b/>
          <w:noProof/>
          <w:u w:val="single"/>
        </w:rPr>
        <w:t xml:space="preserve"> </w:t>
      </w:r>
      <w:r>
        <w:rPr>
          <w:rFonts w:ascii="Times New Roman" w:hAnsi="Times New Roman"/>
          <w:b/>
          <w:noProof/>
          <w:u w:val="single"/>
        </w:rPr>
        <w:t xml:space="preserve">Descrierea reformelor și a investițiilor pentru sprijinul sub formă de împrumut </w:t>
      </w:r>
    </w:p>
    <w:p w14:paraId="75014EBF" w14:textId="40FAF835" w:rsidR="00D924EA" w:rsidRDefault="00011DE9">
      <w:pPr>
        <w:spacing w:before="120" w:after="120" w:line="240" w:lineRule="auto"/>
        <w:jc w:val="both"/>
        <w:rPr>
          <w:rStyle w:val="normaltextrun"/>
          <w:rFonts w:ascii="Times New Roman" w:hAnsi="Times New Roman" w:cs="Times New Roman"/>
          <w:noProof/>
          <w:u w:val="single"/>
        </w:rPr>
      </w:pPr>
      <w:r>
        <w:rPr>
          <w:rStyle w:val="normaltextrun"/>
          <w:rFonts w:ascii="Times New Roman" w:hAnsi="Times New Roman"/>
          <w:noProof/>
          <w:u w:val="single"/>
        </w:rPr>
        <w:t>Investiția 7 (C12.I7) – Schemă de sprijin pentru proiecte strategice în lanțul valoric al automobilelor electrice (împrumuturi)</w:t>
      </w:r>
      <w:r w:rsidR="00971820">
        <w:rPr>
          <w:rStyle w:val="normaltextrun"/>
          <w:rFonts w:ascii="Times New Roman" w:hAnsi="Times New Roman"/>
          <w:noProof/>
          <w:u w:val="single"/>
        </w:rPr>
        <w:t xml:space="preserve"> </w:t>
      </w:r>
    </w:p>
    <w:p w14:paraId="67102A4B" w14:textId="2B58A85E" w:rsidR="00D924EA" w:rsidRDefault="00011DE9">
      <w:pPr>
        <w:spacing w:before="120" w:after="120" w:line="240" w:lineRule="auto"/>
        <w:jc w:val="both"/>
        <w:rPr>
          <w:rStyle w:val="normaltextrun"/>
          <w:rFonts w:ascii="Times New Roman" w:hAnsi="Times New Roman"/>
          <w:noProof/>
        </w:rPr>
      </w:pPr>
      <w:r>
        <w:rPr>
          <w:rStyle w:val="normaltextrun"/>
          <w:rFonts w:ascii="Times New Roman" w:hAnsi="Times New Roman"/>
          <w:noProof/>
        </w:rPr>
        <w:t>Această măsură constă într-o investiție publică într-o schemă de sprijin pentru a stimula investițiile private în lanțul valoric al automobilelor electrice, prin împrumuturi. Schema funcționează prin acordarea de împrumuturi direct sectorului privat.</w:t>
      </w:r>
    </w:p>
    <w:p w14:paraId="29930068" w14:textId="55C06C5A" w:rsidR="00D924EA" w:rsidRDefault="00011DE9">
      <w:p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 xml:space="preserve">Sistemul este gestionat de SEPIDES în calitate de partener de implementare. </w:t>
      </w:r>
    </w:p>
    <w:p w14:paraId="07835360" w14:textId="5EB3D814" w:rsidR="00D924EA" w:rsidRDefault="00011DE9">
      <w:p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Pentru a pune în aplicare investiția în schemă, guvernul adoptă unul sau mai multe instrumente juridice de instituire a schemei de împrumut, care includ următoarele elemente:</w:t>
      </w:r>
      <w:r w:rsidR="00971820">
        <w:rPr>
          <w:rStyle w:val="normaltextrun"/>
          <w:rFonts w:ascii="Times New Roman" w:hAnsi="Times New Roman"/>
          <w:noProof/>
        </w:rPr>
        <w:t xml:space="preserve"> </w:t>
      </w:r>
    </w:p>
    <w:p w14:paraId="54224930" w14:textId="77777777" w:rsidR="00D924EA" w:rsidRDefault="00011DE9">
      <w:pPr>
        <w:pStyle w:val="ListParagraph"/>
        <w:numPr>
          <w:ilvl w:val="0"/>
          <w:numId w:val="82"/>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Descrierea procesului decizional pentru schemă: Evaluarea cererilor și selectarea beneficiarilor care urmează să fie incluși în deciziile finale de atribuire sau în deciziile de investiții din cadrul schemei sunt luate de un comitet pentru investiții sau de un alt organ de conducere echivalent relevant și sunt aprobate cu majoritate de voturi de către membri independenți de guvernul spaniol, ceea ce înseamnă că aceștia trebuie să fie personal angajat de SEPIDES și/sau alți experți independenți. Decizia finală de investiție a schemei se limitează la aprobarea (fără modificări) sau la exercitarea unui drept de veto cu privire la o decizie de investiții propusă de comitetul pentru investiții sau de organul de conducere echivalent relevant.</w:t>
      </w:r>
    </w:p>
    <w:p w14:paraId="6CB607D1" w14:textId="3B1DE38C" w:rsidR="00D924EA" w:rsidRDefault="00011DE9">
      <w:pPr>
        <w:pStyle w:val="ListParagraph"/>
        <w:numPr>
          <w:ilvl w:val="0"/>
          <w:numId w:val="82"/>
        </w:numPr>
        <w:spacing w:before="120" w:after="120" w:line="240" w:lineRule="auto"/>
        <w:jc w:val="both"/>
        <w:rPr>
          <w:rStyle w:val="normaltextrun"/>
          <w:rFonts w:ascii="Times New Roman" w:hAnsi="Times New Roman"/>
          <w:noProof/>
        </w:rPr>
      </w:pPr>
      <w:r>
        <w:rPr>
          <w:rStyle w:val="normaltextrun"/>
          <w:rFonts w:ascii="Times New Roman" w:hAnsi="Times New Roman"/>
          <w:noProof/>
        </w:rPr>
        <w:t>Descrierea împrumuturilor acordate și a beneficiarilor finali eligibili.</w:t>
      </w:r>
    </w:p>
    <w:p w14:paraId="439D8543" w14:textId="26267DAA" w:rsidR="00D924EA" w:rsidRDefault="00011DE9">
      <w:pPr>
        <w:pStyle w:val="ListParagraph"/>
        <w:numPr>
          <w:ilvl w:val="0"/>
          <w:numId w:val="82"/>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Cerința de a respecta principiul de „a nu prejudicia în mod semnificativ”: (I) activitățile și activele legate de combustibilii fosili, inclusiv utilizarea în aval</w:t>
      </w:r>
      <w:r>
        <w:rPr>
          <w:rStyle w:val="FootnoteReference"/>
          <w:rFonts w:ascii="Times New Roman" w:hAnsi="Times New Roman" w:cs="Times New Roman"/>
          <w:noProof/>
        </w:rPr>
        <w:footnoteReference w:id="37"/>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38"/>
      </w:r>
      <w:r>
        <w:rPr>
          <w:rFonts w:ascii="Times New Roman" w:hAnsi="Times New Roman"/>
          <w:noProof/>
        </w:rPr>
        <w:t>, (iii) activitățile și activele legate de depozitele de deșeuri, incineratoare</w:t>
      </w:r>
      <w:r>
        <w:rPr>
          <w:rStyle w:val="FootnoteReference"/>
          <w:rFonts w:ascii="Times New Roman" w:hAnsi="Times New Roman" w:cs="Times New Roman"/>
          <w:noProof/>
        </w:rPr>
        <w:footnoteReference w:id="39"/>
      </w:r>
      <w:r>
        <w:rPr>
          <w:rFonts w:ascii="Times New Roman" w:hAnsi="Times New Roman"/>
          <w:noProof/>
        </w:rPr>
        <w:t xml:space="preserve"> și stațiile de tratare mecano-biologică</w:t>
      </w:r>
      <w:r>
        <w:rPr>
          <w:rStyle w:val="FootnoteReference"/>
          <w:rFonts w:ascii="Times New Roman" w:hAnsi="Times New Roman" w:cs="Times New Roman"/>
          <w:noProof/>
        </w:rPr>
        <w:footnoteReference w:id="40"/>
      </w:r>
      <w:r>
        <w:rPr>
          <w:rFonts w:ascii="Times New Roman" w:hAnsi="Times New Roman"/>
          <w:noProof/>
        </w:rPr>
        <w:t xml:space="preserve">. Următoarele acțiuni de C &amp; D &amp; I din cadrul acestei investiții sunt considerate conforme cu Orientările tehnice de „a nu prejudicia în mod semnificativ” (2021/C58/01): Acțiunile de C &amp; D &amp; I din cadrul acestei investiții dedicate creșterii substanțiale a sustenabilității întreprinderilor din punctul de vedere al mediului (cum ar fi decarbonizarea, reducerea poluării și economia circulară), dacă acțiunile de C &amp; D &amp; I din cadrul acestei investiții se axează în principal pe dezvoltarea sau adaptarea unor alternative cu cel mai mic impact posibil asupra mediului în acest sector. </w:t>
      </w:r>
    </w:p>
    <w:p w14:paraId="0D0E3E66" w14:textId="4A00A1B4" w:rsidR="00D924EA" w:rsidRDefault="00011DE9">
      <w:pPr>
        <w:pStyle w:val="ListParagraph"/>
        <w:numPr>
          <w:ilvl w:val="0"/>
          <w:numId w:val="82"/>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Cerințe pentru investițiile în domeniul climei efectuate de SEPIDES: cel puțin</w:t>
      </w:r>
      <w:r>
        <w:rPr>
          <w:rFonts w:ascii="Times New Roman" w:hAnsi="Times New Roman"/>
          <w:noProof/>
        </w:rPr>
        <w:t xml:space="preserve"> </w:t>
      </w:r>
      <w:r>
        <w:rPr>
          <w:rStyle w:val="normaltextrun"/>
          <w:rFonts w:ascii="Times New Roman" w:hAnsi="Times New Roman"/>
          <w:noProof/>
        </w:rPr>
        <w:t>48</w:t>
      </w:r>
      <w:r w:rsidR="00C202D2">
        <w:rPr>
          <w:rFonts w:ascii="Times New Roman" w:hAnsi="Times New Roman"/>
          <w:noProof/>
        </w:rPr>
        <w:t> </w:t>
      </w:r>
      <w:r>
        <w:rPr>
          <w:rStyle w:val="normaltextrun"/>
          <w:rFonts w:ascii="Times New Roman" w:hAnsi="Times New Roman"/>
          <w:noProof/>
        </w:rPr>
        <w:t>000 000</w:t>
      </w:r>
      <w:r w:rsidR="00C202D2">
        <w:rPr>
          <w:rFonts w:ascii="Times New Roman" w:hAnsi="Times New Roman"/>
          <w:noProof/>
        </w:rPr>
        <w:t> </w:t>
      </w:r>
      <w:r>
        <w:rPr>
          <w:rStyle w:val="normaltextrun"/>
          <w:rFonts w:ascii="Times New Roman" w:hAnsi="Times New Roman"/>
          <w:noProof/>
        </w:rPr>
        <w:t>EUR din investițiile MRR în schemă contribuie la obiectivele legate de schimbările climatice, în conformitate cu anexa VI la Regulamentul privind MRR</w:t>
      </w:r>
      <w:r>
        <w:rPr>
          <w:rStyle w:val="FootnoteReference"/>
          <w:rFonts w:ascii="Times New Roman" w:hAnsi="Times New Roman" w:cs="Times New Roman"/>
          <w:noProof/>
        </w:rPr>
        <w:footnoteReference w:id="41"/>
      </w:r>
      <w:r>
        <w:rPr>
          <w:rFonts w:ascii="Times New Roman" w:hAnsi="Times New Roman"/>
          <w:noProof/>
        </w:rPr>
        <w:t>.</w:t>
      </w:r>
    </w:p>
    <w:p w14:paraId="767C8779" w14:textId="77777777" w:rsidR="00D924EA" w:rsidRDefault="00011DE9">
      <w:pPr>
        <w:pStyle w:val="ListParagraph"/>
        <w:numPr>
          <w:ilvl w:val="0"/>
          <w:numId w:val="82"/>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Cerința ca beneficiarii finali ai schemei de împrumut să nu primească sprijin din partea altor instrumente ale Uniunii pentru a acoperi aceleași costuri.</w:t>
      </w:r>
    </w:p>
    <w:p w14:paraId="2266248B" w14:textId="77777777" w:rsidR="00D924EA" w:rsidRDefault="00011DE9">
      <w:pPr>
        <w:pStyle w:val="ListParagraph"/>
        <w:numPr>
          <w:ilvl w:val="0"/>
          <w:numId w:val="82"/>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Suma acoperită de schemă și cerința de a reinvesti orice venituri neutilizate din schema de împrumut în activitățile enumerate mai sus, inclusiv după 2026.</w:t>
      </w:r>
    </w:p>
    <w:p w14:paraId="3C5AB5A4" w14:textId="1530B96A" w:rsidR="00D924EA" w:rsidRDefault="00011DE9">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L.4.</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pentru sprijinul sub formă de împrumut</w:t>
      </w:r>
    </w:p>
    <w:p w14:paraId="7EF71E14" w14:textId="77777777" w:rsidR="00D924EA" w:rsidRDefault="00011DE9">
      <w:pPr>
        <w:pStyle w:val="P68B1DB1-Normal29"/>
        <w:rPr>
          <w:i/>
          <w:noProof/>
        </w:rPr>
        <w:sectPr w:rsidR="00D924EA" w:rsidSect="00B528FB">
          <w:headerReference w:type="even" r:id="rId168"/>
          <w:headerReference w:type="default" r:id="rId169"/>
          <w:footerReference w:type="even" r:id="rId170"/>
          <w:footerReference w:type="default" r:id="rId171"/>
          <w:headerReference w:type="first" r:id="rId172"/>
          <w:footerReference w:type="first" r:id="rId173"/>
          <w:pgSz w:w="11907" w:h="16839"/>
          <w:pgMar w:top="1134" w:right="1134" w:bottom="1134" w:left="1134" w:header="567" w:footer="567" w:gutter="0"/>
          <w:cols w:space="720"/>
          <w:docGrid w:linePitch="360"/>
        </w:sect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4"/>
        <w:gridCol w:w="828"/>
        <w:gridCol w:w="827"/>
        <w:gridCol w:w="1241"/>
        <w:gridCol w:w="1103"/>
        <w:gridCol w:w="691"/>
        <w:gridCol w:w="966"/>
        <w:gridCol w:w="876"/>
        <w:gridCol w:w="567"/>
        <w:gridCol w:w="588"/>
        <w:gridCol w:w="6930"/>
      </w:tblGrid>
      <w:tr w:rsidR="00D924EA" w14:paraId="7755B11E" w14:textId="77777777" w:rsidTr="00C202D2">
        <w:trPr>
          <w:trHeight w:val="309"/>
          <w:tblHeader/>
          <w:jc w:val="center"/>
        </w:trPr>
        <w:tc>
          <w:tcPr>
            <w:tcW w:w="834"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6949ECBC" w14:textId="77777777" w:rsidR="00D924EA" w:rsidRDefault="00011DE9">
            <w:pPr>
              <w:pStyle w:val="P68B1DB1-Normal28"/>
              <w:spacing w:after="0" w:line="240" w:lineRule="auto"/>
              <w:jc w:val="both"/>
              <w:rPr>
                <w:rFonts w:cs="Times New Roman"/>
                <w:noProof/>
                <w:szCs w:val="18"/>
              </w:rPr>
            </w:pPr>
            <w:r>
              <w:rPr>
                <w:noProof/>
              </w:rPr>
              <w:t>Număr</w:t>
            </w:r>
          </w:p>
        </w:tc>
        <w:tc>
          <w:tcPr>
            <w:tcW w:w="828"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540BD1B8" w14:textId="77777777" w:rsidR="00D924EA" w:rsidRDefault="00011DE9">
            <w:pPr>
              <w:pStyle w:val="P68B1DB1-Normal28"/>
              <w:spacing w:after="0" w:line="240" w:lineRule="auto"/>
              <w:jc w:val="center"/>
              <w:rPr>
                <w:rFonts w:cs="Times New Roman"/>
                <w:noProof/>
                <w:szCs w:val="18"/>
              </w:rPr>
            </w:pPr>
            <w:r>
              <w:rPr>
                <w:noProof/>
              </w:rPr>
              <w:t>Măsură</w:t>
            </w:r>
          </w:p>
        </w:tc>
        <w:tc>
          <w:tcPr>
            <w:tcW w:w="827"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64796F7C" w14:textId="546F43E4" w:rsidR="00D924EA" w:rsidRDefault="00011DE9">
            <w:pPr>
              <w:spacing w:after="0" w:line="240" w:lineRule="auto"/>
              <w:jc w:val="center"/>
              <w:rPr>
                <w:rFonts w:ascii="Times New Roman" w:hAnsi="Times New Roman" w:cs="Times New Roman"/>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1241"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21B6DA9D" w14:textId="77777777" w:rsidR="00D924EA" w:rsidRDefault="00011DE9">
            <w:pPr>
              <w:pStyle w:val="P68B1DB1-Normal28"/>
              <w:spacing w:after="0" w:line="240" w:lineRule="auto"/>
              <w:jc w:val="center"/>
              <w:rPr>
                <w:rFonts w:cs="Times New Roman"/>
                <w:noProof/>
                <w:szCs w:val="18"/>
              </w:rPr>
            </w:pPr>
            <w:r>
              <w:rPr>
                <w:noProof/>
              </w:rPr>
              <w:t>Nume</w:t>
            </w:r>
          </w:p>
        </w:tc>
        <w:tc>
          <w:tcPr>
            <w:tcW w:w="1103"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7EED8875" w14:textId="77777777" w:rsidR="00D924EA" w:rsidRDefault="00011DE9">
            <w:pPr>
              <w:pStyle w:val="P68B1DB1-Normal28"/>
              <w:spacing w:after="0" w:line="240" w:lineRule="auto"/>
              <w:jc w:val="center"/>
              <w:rPr>
                <w:rFonts w:cs="Times New Roman"/>
                <w:noProof/>
                <w:szCs w:val="18"/>
              </w:rPr>
            </w:pPr>
            <w:r>
              <w:rPr>
                <w:noProof/>
              </w:rPr>
              <w:t>Indicator calitativ pentru jaloane</w:t>
            </w:r>
          </w:p>
        </w:tc>
        <w:tc>
          <w:tcPr>
            <w:tcW w:w="2533" w:type="dxa"/>
            <w:gridSpan w:val="3"/>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7998DF05" w14:textId="77777777" w:rsidR="00D924EA" w:rsidRDefault="00011DE9">
            <w:pPr>
              <w:pStyle w:val="P68B1DB1-Normal28"/>
              <w:spacing w:after="0" w:line="240" w:lineRule="auto"/>
              <w:jc w:val="center"/>
              <w:rPr>
                <w:rFonts w:cs="Times New Roman"/>
                <w:noProof/>
                <w:szCs w:val="18"/>
              </w:rPr>
            </w:pPr>
            <w:r>
              <w:rPr>
                <w:noProof/>
              </w:rPr>
              <w:t>Indicator cantitativ pentru ținte</w:t>
            </w:r>
          </w:p>
        </w:tc>
        <w:tc>
          <w:tcPr>
            <w:tcW w:w="1155" w:type="dxa"/>
            <w:gridSpan w:val="2"/>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78B0C005" w14:textId="77777777" w:rsidR="00D924EA" w:rsidRDefault="00011DE9">
            <w:pPr>
              <w:pStyle w:val="P68B1DB1-Normal28"/>
              <w:spacing w:after="0" w:line="240" w:lineRule="auto"/>
              <w:jc w:val="center"/>
              <w:rPr>
                <w:rFonts w:cs="Times New Roman"/>
                <w:noProof/>
                <w:szCs w:val="18"/>
              </w:rPr>
            </w:pPr>
            <w:r>
              <w:rPr>
                <w:noProof/>
              </w:rPr>
              <w:t>Timp</w:t>
            </w:r>
          </w:p>
        </w:tc>
        <w:tc>
          <w:tcPr>
            <w:tcW w:w="6930"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2FC36DBD" w14:textId="77777777" w:rsidR="00D924EA" w:rsidRDefault="00011DE9">
            <w:pPr>
              <w:pStyle w:val="P68B1DB1-Normal28"/>
              <w:spacing w:after="0" w:line="240" w:lineRule="auto"/>
              <w:jc w:val="center"/>
              <w:rPr>
                <w:rFonts w:cs="Times New Roman"/>
                <w:noProof/>
                <w:szCs w:val="18"/>
              </w:rPr>
            </w:pPr>
            <w:r>
              <w:rPr>
                <w:noProof/>
              </w:rPr>
              <w:t>Descrierea fiecărui jalon și a fiecărei ținte</w:t>
            </w:r>
          </w:p>
        </w:tc>
      </w:tr>
      <w:tr w:rsidR="00D924EA" w14:paraId="5D820E78" w14:textId="77777777" w:rsidTr="00C202D2">
        <w:trPr>
          <w:trHeight w:val="309"/>
          <w:tblHeader/>
          <w:jc w:val="center"/>
        </w:trPr>
        <w:tc>
          <w:tcPr>
            <w:tcW w:w="834" w:type="dxa"/>
            <w:vMerge/>
            <w:noWrap/>
          </w:tcPr>
          <w:p w14:paraId="2D78B45A" w14:textId="77777777" w:rsidR="00D924EA" w:rsidRDefault="00D924EA">
            <w:pPr>
              <w:spacing w:after="0" w:line="240" w:lineRule="auto"/>
              <w:jc w:val="center"/>
              <w:rPr>
                <w:rFonts w:ascii="Times New Roman" w:hAnsi="Times New Roman" w:cs="Times New Roman"/>
                <w:noProof/>
                <w:sz w:val="18"/>
                <w:szCs w:val="18"/>
              </w:rPr>
            </w:pPr>
          </w:p>
        </w:tc>
        <w:tc>
          <w:tcPr>
            <w:tcW w:w="828" w:type="dxa"/>
            <w:vMerge/>
            <w:noWrap/>
          </w:tcPr>
          <w:p w14:paraId="0AAB9C44" w14:textId="77777777" w:rsidR="00D924EA" w:rsidRDefault="00D924EA">
            <w:pPr>
              <w:spacing w:after="0" w:line="240" w:lineRule="auto"/>
              <w:jc w:val="center"/>
              <w:rPr>
                <w:rFonts w:ascii="Times New Roman" w:hAnsi="Times New Roman" w:cs="Times New Roman"/>
                <w:noProof/>
                <w:sz w:val="18"/>
                <w:szCs w:val="18"/>
              </w:rPr>
            </w:pPr>
          </w:p>
        </w:tc>
        <w:tc>
          <w:tcPr>
            <w:tcW w:w="827" w:type="dxa"/>
            <w:vMerge/>
            <w:noWrap/>
          </w:tcPr>
          <w:p w14:paraId="74969FB0" w14:textId="77777777" w:rsidR="00D924EA" w:rsidRDefault="00D924EA">
            <w:pPr>
              <w:spacing w:after="0" w:line="240" w:lineRule="auto"/>
              <w:jc w:val="center"/>
              <w:rPr>
                <w:rFonts w:ascii="Times New Roman" w:hAnsi="Times New Roman" w:cs="Times New Roman"/>
                <w:noProof/>
                <w:sz w:val="18"/>
                <w:szCs w:val="18"/>
              </w:rPr>
            </w:pPr>
          </w:p>
        </w:tc>
        <w:tc>
          <w:tcPr>
            <w:tcW w:w="1241" w:type="dxa"/>
            <w:vMerge/>
            <w:noWrap/>
          </w:tcPr>
          <w:p w14:paraId="51790B9D" w14:textId="77777777" w:rsidR="00D924EA" w:rsidRDefault="00D924EA">
            <w:pPr>
              <w:spacing w:after="0" w:line="240" w:lineRule="auto"/>
              <w:jc w:val="center"/>
              <w:rPr>
                <w:rFonts w:ascii="Times New Roman" w:hAnsi="Times New Roman" w:cs="Times New Roman"/>
                <w:noProof/>
                <w:sz w:val="18"/>
                <w:szCs w:val="18"/>
              </w:rPr>
            </w:pPr>
          </w:p>
        </w:tc>
        <w:tc>
          <w:tcPr>
            <w:tcW w:w="1103" w:type="dxa"/>
            <w:vMerge/>
            <w:noWrap/>
            <w:vAlign w:val="center"/>
          </w:tcPr>
          <w:p w14:paraId="2BBF566F" w14:textId="77777777" w:rsidR="00D924EA" w:rsidRDefault="00D924EA">
            <w:pPr>
              <w:spacing w:after="0" w:line="240" w:lineRule="auto"/>
              <w:jc w:val="center"/>
              <w:rPr>
                <w:rFonts w:ascii="Times New Roman" w:hAnsi="Times New Roman" w:cs="Times New Roman"/>
                <w:noProof/>
                <w:sz w:val="18"/>
                <w:szCs w:val="18"/>
              </w:rPr>
            </w:pPr>
          </w:p>
        </w:tc>
        <w:tc>
          <w:tcPr>
            <w:tcW w:w="691"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6663B657" w14:textId="77777777" w:rsidR="00D924EA" w:rsidRDefault="00011DE9">
            <w:pPr>
              <w:pStyle w:val="P68B1DB1-Normal28"/>
              <w:spacing w:after="0" w:line="240" w:lineRule="auto"/>
              <w:jc w:val="center"/>
              <w:rPr>
                <w:rFonts w:cs="Times New Roman"/>
                <w:noProof/>
                <w:szCs w:val="18"/>
              </w:rPr>
            </w:pPr>
            <w:r>
              <w:rPr>
                <w:noProof/>
              </w:rPr>
              <w:t>Unitate</w:t>
            </w:r>
          </w:p>
        </w:tc>
        <w:tc>
          <w:tcPr>
            <w:tcW w:w="966"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1A571587" w14:textId="77777777" w:rsidR="00D924EA" w:rsidRDefault="00011DE9">
            <w:pPr>
              <w:pStyle w:val="P68B1DB1-Normal28"/>
              <w:spacing w:after="0" w:line="240" w:lineRule="auto"/>
              <w:jc w:val="center"/>
              <w:rPr>
                <w:rFonts w:cs="Times New Roman"/>
                <w:noProof/>
                <w:szCs w:val="18"/>
              </w:rPr>
            </w:pPr>
            <w:r>
              <w:rPr>
                <w:noProof/>
              </w:rPr>
              <w:t>Situația de referință</w:t>
            </w:r>
          </w:p>
        </w:tc>
        <w:tc>
          <w:tcPr>
            <w:tcW w:w="876"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19E1A16E" w14:textId="77777777" w:rsidR="00D924EA" w:rsidRDefault="00011DE9">
            <w:pPr>
              <w:pStyle w:val="P68B1DB1-Normal28"/>
              <w:spacing w:after="0" w:line="240" w:lineRule="auto"/>
              <w:jc w:val="center"/>
              <w:rPr>
                <w:rFonts w:cs="Times New Roman"/>
                <w:noProof/>
                <w:szCs w:val="18"/>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7FFAB413" w14:textId="0CC0C35C" w:rsidR="00D924EA" w:rsidRDefault="00C202D2">
            <w:pPr>
              <w:pStyle w:val="P68B1DB1-Normal28"/>
              <w:spacing w:after="0" w:line="240" w:lineRule="auto"/>
              <w:jc w:val="center"/>
              <w:rPr>
                <w:rFonts w:cs="Times New Roman"/>
                <w:noProof/>
                <w:szCs w:val="18"/>
              </w:rPr>
            </w:pPr>
            <w:r>
              <w:rPr>
                <w:noProof/>
              </w:rPr>
              <w:t>T</w:t>
            </w:r>
          </w:p>
        </w:tc>
        <w:tc>
          <w:tcPr>
            <w:tcW w:w="588"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4FDB492B" w14:textId="77777777" w:rsidR="00D924EA" w:rsidRDefault="00011DE9">
            <w:pPr>
              <w:pStyle w:val="P68B1DB1-Normal28"/>
              <w:spacing w:after="0" w:line="240" w:lineRule="auto"/>
              <w:jc w:val="center"/>
              <w:rPr>
                <w:rFonts w:cs="Times New Roman"/>
                <w:noProof/>
                <w:szCs w:val="18"/>
              </w:rPr>
            </w:pPr>
            <w:r>
              <w:rPr>
                <w:noProof/>
              </w:rPr>
              <w:t>Anul</w:t>
            </w:r>
          </w:p>
        </w:tc>
        <w:tc>
          <w:tcPr>
            <w:tcW w:w="6930" w:type="dxa"/>
            <w:vMerge/>
            <w:noWrap/>
          </w:tcPr>
          <w:p w14:paraId="2A92D1A9" w14:textId="77777777" w:rsidR="00D924EA" w:rsidRDefault="00D924EA">
            <w:pPr>
              <w:spacing w:after="0" w:line="240" w:lineRule="auto"/>
              <w:jc w:val="center"/>
              <w:rPr>
                <w:rFonts w:ascii="Times New Roman" w:hAnsi="Times New Roman" w:cs="Times New Roman"/>
                <w:noProof/>
                <w:sz w:val="18"/>
                <w:szCs w:val="18"/>
              </w:rPr>
            </w:pPr>
          </w:p>
        </w:tc>
      </w:tr>
      <w:tr w:rsidR="00D924EA" w14:paraId="0936BEE4" w14:textId="77777777" w:rsidTr="00C202D2">
        <w:trPr>
          <w:trHeight w:val="309"/>
          <w:jc w:val="center"/>
        </w:trPr>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0D0D76EA" w14:textId="77777777" w:rsidR="00D924EA" w:rsidRDefault="00011DE9">
            <w:pPr>
              <w:pStyle w:val="P68B1DB1-Normal23"/>
              <w:spacing w:line="240" w:lineRule="auto"/>
              <w:jc w:val="center"/>
              <w:rPr>
                <w:rFonts w:cs="Times New Roman"/>
                <w:noProof/>
                <w:szCs w:val="18"/>
              </w:rPr>
            </w:pPr>
            <w:r>
              <w:rPr>
                <w:noProof/>
              </w:rPr>
              <w:t>L23</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58979898" w14:textId="77777777" w:rsidR="00D924EA" w:rsidRDefault="00011DE9">
            <w:pPr>
              <w:pStyle w:val="P68B1DB1-Normal23"/>
              <w:spacing w:line="240" w:lineRule="auto"/>
              <w:jc w:val="center"/>
              <w:rPr>
                <w:rFonts w:cs="Times New Roman"/>
                <w:noProof/>
                <w:szCs w:val="18"/>
              </w:rPr>
            </w:pPr>
            <w:r>
              <w:rPr>
                <w:noProof/>
              </w:rPr>
              <w:t>C12.I7</w:t>
            </w:r>
          </w:p>
        </w:tc>
        <w:tc>
          <w:tcPr>
            <w:tcW w:w="827" w:type="dxa"/>
            <w:tcBorders>
              <w:top w:val="single" w:sz="4" w:space="0" w:color="auto"/>
              <w:left w:val="single" w:sz="4" w:space="0" w:color="auto"/>
              <w:bottom w:val="single" w:sz="4" w:space="0" w:color="auto"/>
              <w:right w:val="single" w:sz="4" w:space="0" w:color="auto"/>
            </w:tcBorders>
            <w:shd w:val="clear" w:color="auto" w:fill="C6EFCE"/>
            <w:noWrap/>
          </w:tcPr>
          <w:p w14:paraId="4AC5D1CA" w14:textId="77777777" w:rsidR="00D924EA" w:rsidRDefault="00011DE9">
            <w:pPr>
              <w:pStyle w:val="P68B1DB1-Normal23"/>
              <w:spacing w:line="240" w:lineRule="auto"/>
              <w:jc w:val="center"/>
              <w:rPr>
                <w:rFonts w:cs="Times New Roman"/>
                <w:noProof/>
                <w:szCs w:val="18"/>
              </w:rPr>
            </w:pPr>
            <w:r>
              <w:rPr>
                <w:noProof/>
              </w:rPr>
              <w:t>M</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220E12AB" w14:textId="0322EE5F" w:rsidR="00D924EA" w:rsidRDefault="00011DE9">
            <w:pPr>
              <w:pStyle w:val="P68B1DB1-Normal23"/>
              <w:spacing w:line="240" w:lineRule="auto"/>
              <w:rPr>
                <w:rFonts w:cs="Times New Roman"/>
                <w:noProof/>
                <w:szCs w:val="18"/>
              </w:rPr>
            </w:pPr>
            <w:r>
              <w:rPr>
                <w:noProof/>
              </w:rPr>
              <w:t>Schemă de sprijin pentru proiecte strategice în lanțul valoric al automobilelor electrice (împrumuturi): Instituirea sistemului</w:t>
            </w:r>
          </w:p>
        </w:tc>
        <w:tc>
          <w:tcPr>
            <w:tcW w:w="1103" w:type="dxa"/>
            <w:tcBorders>
              <w:top w:val="single" w:sz="4" w:space="0" w:color="auto"/>
              <w:left w:val="single" w:sz="4" w:space="0" w:color="auto"/>
              <w:bottom w:val="single" w:sz="4" w:space="0" w:color="auto"/>
              <w:right w:val="single" w:sz="4" w:space="0" w:color="auto"/>
            </w:tcBorders>
            <w:shd w:val="clear" w:color="auto" w:fill="C6EFCE"/>
            <w:noWrap/>
          </w:tcPr>
          <w:p w14:paraId="10EEED43" w14:textId="77777777" w:rsidR="00D924EA" w:rsidRDefault="00011DE9">
            <w:pPr>
              <w:pStyle w:val="P68B1DB1-Normal23"/>
              <w:spacing w:line="240" w:lineRule="auto"/>
              <w:jc w:val="center"/>
              <w:rPr>
                <w:rFonts w:cs="Times New Roman"/>
                <w:noProof/>
                <w:szCs w:val="18"/>
              </w:rPr>
            </w:pPr>
            <w:r>
              <w:rPr>
                <w:noProof/>
              </w:rPr>
              <w:t>Intrarea în vigoare a instrumentului (instrumentelor) juridic (e) relevant (e)</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3910CD3A" w14:textId="77777777" w:rsidR="00D924EA" w:rsidRDefault="00D924EA">
            <w:pPr>
              <w:spacing w:line="240" w:lineRule="auto"/>
              <w:jc w:val="right"/>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49DF227" w14:textId="77777777" w:rsidR="00D924EA" w:rsidRDefault="00D924EA">
            <w:pPr>
              <w:spacing w:line="240" w:lineRule="auto"/>
              <w:jc w:val="right"/>
              <w:rPr>
                <w:rFonts w:ascii="Times New Roman" w:hAnsi="Times New Roman" w:cs="Times New Roman"/>
                <w:noProof/>
                <w:sz w:val="18"/>
                <w:szCs w:val="18"/>
              </w:rPr>
            </w:pPr>
          </w:p>
        </w:tc>
        <w:tc>
          <w:tcPr>
            <w:tcW w:w="876" w:type="dxa"/>
            <w:tcBorders>
              <w:top w:val="single" w:sz="4" w:space="0" w:color="auto"/>
              <w:left w:val="single" w:sz="4" w:space="0" w:color="auto"/>
              <w:bottom w:val="single" w:sz="4" w:space="0" w:color="auto"/>
              <w:right w:val="single" w:sz="4" w:space="0" w:color="auto"/>
            </w:tcBorders>
            <w:shd w:val="clear" w:color="auto" w:fill="C6EFCE"/>
            <w:noWrap/>
          </w:tcPr>
          <w:p w14:paraId="4A5F91F7" w14:textId="77777777" w:rsidR="00D924EA" w:rsidRDefault="00D924EA">
            <w:pPr>
              <w:spacing w:line="240" w:lineRule="auto"/>
              <w:jc w:val="right"/>
              <w:rPr>
                <w:rFonts w:ascii="Times New Roman" w:hAnsi="Times New Roman" w:cs="Times New Roman"/>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F6F9BBA" w14:textId="1D5ED650" w:rsidR="00D924EA" w:rsidRDefault="005701C9">
            <w:pPr>
              <w:pStyle w:val="P68B1DB1-Normal23"/>
              <w:spacing w:line="240" w:lineRule="auto"/>
              <w:jc w:val="center"/>
              <w:rPr>
                <w:rFonts w:cs="Times New Roman"/>
                <w:noProof/>
                <w:szCs w:val="18"/>
              </w:rPr>
            </w:pPr>
            <w:r>
              <w:rPr>
                <w:noProof/>
              </w:rPr>
              <w:t>T4</w:t>
            </w:r>
          </w:p>
        </w:tc>
        <w:tc>
          <w:tcPr>
            <w:tcW w:w="588" w:type="dxa"/>
            <w:tcBorders>
              <w:top w:val="single" w:sz="4" w:space="0" w:color="auto"/>
              <w:left w:val="single" w:sz="4" w:space="0" w:color="auto"/>
              <w:bottom w:val="single" w:sz="4" w:space="0" w:color="auto"/>
              <w:right w:val="single" w:sz="4" w:space="0" w:color="auto"/>
            </w:tcBorders>
            <w:shd w:val="clear" w:color="auto" w:fill="C6EFCE"/>
            <w:noWrap/>
          </w:tcPr>
          <w:p w14:paraId="07B61719" w14:textId="439E8359" w:rsidR="00D924EA" w:rsidRDefault="00011DE9">
            <w:pPr>
              <w:pStyle w:val="P68B1DB1-Normal23"/>
              <w:spacing w:line="240" w:lineRule="auto"/>
              <w:jc w:val="center"/>
              <w:rPr>
                <w:rFonts w:cs="Times New Roman"/>
                <w:noProof/>
                <w:szCs w:val="18"/>
              </w:rPr>
            </w:pPr>
            <w:r>
              <w:rPr>
                <w:noProof/>
              </w:rPr>
              <w:t>2025</w:t>
            </w:r>
          </w:p>
        </w:tc>
        <w:tc>
          <w:tcPr>
            <w:tcW w:w="6930" w:type="dxa"/>
            <w:tcBorders>
              <w:top w:val="single" w:sz="4" w:space="0" w:color="auto"/>
              <w:left w:val="single" w:sz="4" w:space="0" w:color="auto"/>
              <w:bottom w:val="single" w:sz="4" w:space="0" w:color="auto"/>
              <w:right w:val="single" w:sz="4" w:space="0" w:color="auto"/>
            </w:tcBorders>
            <w:shd w:val="clear" w:color="auto" w:fill="C6EFCE"/>
            <w:noWrap/>
          </w:tcPr>
          <w:p w14:paraId="6FA0DC77" w14:textId="77777777" w:rsidR="00D924EA" w:rsidRDefault="00011DE9">
            <w:pPr>
              <w:pStyle w:val="P68B1DB1-Normal23"/>
              <w:spacing w:line="240" w:lineRule="auto"/>
              <w:rPr>
                <w:rFonts w:cs="Times New Roman"/>
                <w:noProof/>
                <w:szCs w:val="18"/>
              </w:rPr>
            </w:pPr>
            <w:r>
              <w:rPr>
                <w:noProof/>
              </w:rPr>
              <w:t>Intrarea în vigoare a instrumentului (instrumentelor) juridic (e) de instituire a schemei de împrumut în conformitate cu cerințele specificate în descrierea măsurii</w:t>
            </w:r>
          </w:p>
        </w:tc>
      </w:tr>
      <w:tr w:rsidR="00D924EA" w14:paraId="4C986519" w14:textId="77777777" w:rsidTr="00C202D2">
        <w:trPr>
          <w:trHeight w:val="309"/>
          <w:jc w:val="center"/>
        </w:trPr>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1445D579" w14:textId="77777777" w:rsidR="00D924EA" w:rsidRDefault="00011DE9">
            <w:pPr>
              <w:pStyle w:val="P68B1DB1-Normal23"/>
              <w:spacing w:line="240" w:lineRule="auto"/>
              <w:jc w:val="center"/>
              <w:rPr>
                <w:rFonts w:cs="Times New Roman"/>
                <w:noProof/>
                <w:szCs w:val="18"/>
              </w:rPr>
            </w:pPr>
            <w:r>
              <w:rPr>
                <w:noProof/>
              </w:rPr>
              <w:t>L24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561B2F9D" w14:textId="77777777" w:rsidR="00D924EA" w:rsidRDefault="00011DE9">
            <w:pPr>
              <w:pStyle w:val="P68B1DB1-Normal23"/>
              <w:spacing w:line="240" w:lineRule="auto"/>
              <w:jc w:val="center"/>
              <w:rPr>
                <w:rFonts w:cs="Times New Roman"/>
                <w:noProof/>
                <w:szCs w:val="18"/>
              </w:rPr>
            </w:pPr>
            <w:r>
              <w:rPr>
                <w:noProof/>
              </w:rPr>
              <w:t>C12.I7</w:t>
            </w:r>
          </w:p>
        </w:tc>
        <w:tc>
          <w:tcPr>
            <w:tcW w:w="827" w:type="dxa"/>
            <w:tcBorders>
              <w:top w:val="single" w:sz="4" w:space="0" w:color="auto"/>
              <w:left w:val="single" w:sz="4" w:space="0" w:color="auto"/>
              <w:bottom w:val="single" w:sz="4" w:space="0" w:color="auto"/>
              <w:right w:val="single" w:sz="4" w:space="0" w:color="auto"/>
            </w:tcBorders>
            <w:shd w:val="clear" w:color="auto" w:fill="C6EFCE"/>
            <w:noWrap/>
          </w:tcPr>
          <w:p w14:paraId="6BFE7DC3" w14:textId="77777777" w:rsidR="00D924EA" w:rsidRDefault="00011DE9">
            <w:pPr>
              <w:pStyle w:val="P68B1DB1-Normal23"/>
              <w:spacing w:line="240" w:lineRule="auto"/>
              <w:jc w:val="center"/>
              <w:rPr>
                <w:rFonts w:cs="Times New Roman"/>
                <w:noProof/>
                <w:szCs w:val="18"/>
              </w:rPr>
            </w:pPr>
            <w:r>
              <w:rPr>
                <w:noProof/>
              </w:rPr>
              <w:t>T</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1D2B98FA" w14:textId="3321B3D7" w:rsidR="00D924EA" w:rsidRDefault="00011DE9">
            <w:pPr>
              <w:spacing w:line="240" w:lineRule="auto"/>
              <w:rPr>
                <w:rFonts w:ascii="Times New Roman" w:hAnsi="Times New Roman" w:cs="Times New Roman"/>
                <w:noProof/>
                <w:sz w:val="18"/>
                <w:szCs w:val="18"/>
              </w:rPr>
            </w:pPr>
            <w:r>
              <w:rPr>
                <w:rStyle w:val="normaltextrun"/>
                <w:rFonts w:ascii="Times New Roman" w:hAnsi="Times New Roman"/>
                <w:noProof/>
                <w:sz w:val="18"/>
              </w:rPr>
              <w:t xml:space="preserve">Schemă de sprijin pentru proiecte strategice în lanțul valoric al automobilelor electrice (împrumuturi): Publicarea acordurilor juridice semnate cu beneficiarii finali sau a rezoluțiilor finale de atribuire și finalizarea investiției. </w:t>
            </w:r>
          </w:p>
        </w:tc>
        <w:tc>
          <w:tcPr>
            <w:tcW w:w="1103" w:type="dxa"/>
            <w:tcBorders>
              <w:top w:val="single" w:sz="4" w:space="0" w:color="auto"/>
              <w:left w:val="single" w:sz="4" w:space="0" w:color="auto"/>
              <w:bottom w:val="single" w:sz="4" w:space="0" w:color="auto"/>
              <w:right w:val="single" w:sz="4" w:space="0" w:color="auto"/>
            </w:tcBorders>
            <w:shd w:val="clear" w:color="auto" w:fill="C6EFCE"/>
            <w:noWrap/>
          </w:tcPr>
          <w:p w14:paraId="2C988178" w14:textId="77777777" w:rsidR="00D924EA" w:rsidRDefault="00011DE9">
            <w:pPr>
              <w:spacing w:line="240" w:lineRule="auto"/>
              <w:jc w:val="center"/>
              <w:rPr>
                <w:rFonts w:ascii="Times New Roman" w:hAnsi="Times New Roman" w:cs="Times New Roman"/>
                <w:noProof/>
                <w:sz w:val="18"/>
                <w:szCs w:val="18"/>
              </w:rPr>
            </w:pPr>
            <w:r>
              <w:rPr>
                <w:rStyle w:val="normaltextrun"/>
                <w:rFonts w:ascii="Times New Roman" w:hAnsi="Times New Roman"/>
                <w:noProof/>
                <w:sz w:val="18"/>
              </w:rPr>
              <w:t>Intrarea în vigoare a acordurilor juridice de finanțare sau a rezoluțiilor finale de atribuire publicate și certificatul de plată către SEPIDES.</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71AB997B" w14:textId="77777777" w:rsidR="00D924EA" w:rsidRDefault="00D924EA">
            <w:pPr>
              <w:spacing w:line="240" w:lineRule="auto"/>
              <w:jc w:val="right"/>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F2BE90F" w14:textId="77777777" w:rsidR="00D924EA" w:rsidRDefault="00011DE9">
            <w:pPr>
              <w:pStyle w:val="P68B1DB1-Normal23"/>
              <w:spacing w:line="240" w:lineRule="auto"/>
              <w:jc w:val="right"/>
              <w:rPr>
                <w:rFonts w:cs="Times New Roman"/>
                <w:noProof/>
                <w:szCs w:val="18"/>
              </w:rPr>
            </w:pPr>
            <w:r>
              <w:rPr>
                <w:noProof/>
              </w:rPr>
              <w:t>0</w:t>
            </w:r>
          </w:p>
        </w:tc>
        <w:tc>
          <w:tcPr>
            <w:tcW w:w="876" w:type="dxa"/>
            <w:tcBorders>
              <w:top w:val="single" w:sz="4" w:space="0" w:color="auto"/>
              <w:left w:val="single" w:sz="4" w:space="0" w:color="auto"/>
              <w:bottom w:val="single" w:sz="4" w:space="0" w:color="auto"/>
              <w:right w:val="single" w:sz="4" w:space="0" w:color="auto"/>
            </w:tcBorders>
            <w:shd w:val="clear" w:color="auto" w:fill="C6EFCE"/>
            <w:noWrap/>
          </w:tcPr>
          <w:p w14:paraId="3298DB83" w14:textId="77777777" w:rsidR="00D924EA" w:rsidRDefault="00011DE9">
            <w:pPr>
              <w:pStyle w:val="P68B1DB1-Normal23"/>
              <w:spacing w:line="240" w:lineRule="auto"/>
              <w:jc w:val="right"/>
              <w:rPr>
                <w:rFonts w:cs="Times New Roman"/>
                <w:noProof/>
                <w:szCs w:val="18"/>
              </w:rPr>
            </w:pPr>
            <w:r>
              <w:rPr>
                <w:noProof/>
              </w:rPr>
              <w:t>100 %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2D29FC1E" w14:textId="5FF95A40" w:rsidR="00D924EA" w:rsidRDefault="005701C9">
            <w:pPr>
              <w:pStyle w:val="P68B1DB1-Normal23"/>
              <w:spacing w:line="240" w:lineRule="auto"/>
              <w:jc w:val="center"/>
              <w:rPr>
                <w:rFonts w:cs="Times New Roman"/>
                <w:noProof/>
                <w:szCs w:val="18"/>
              </w:rPr>
            </w:pPr>
            <w:r>
              <w:rPr>
                <w:noProof/>
              </w:rPr>
              <w:t>T2</w:t>
            </w:r>
          </w:p>
        </w:tc>
        <w:tc>
          <w:tcPr>
            <w:tcW w:w="588" w:type="dxa"/>
            <w:tcBorders>
              <w:top w:val="single" w:sz="4" w:space="0" w:color="auto"/>
              <w:left w:val="single" w:sz="4" w:space="0" w:color="auto"/>
              <w:bottom w:val="single" w:sz="4" w:space="0" w:color="auto"/>
              <w:right w:val="single" w:sz="4" w:space="0" w:color="auto"/>
            </w:tcBorders>
            <w:shd w:val="clear" w:color="auto" w:fill="C6EFCE"/>
            <w:noWrap/>
          </w:tcPr>
          <w:p w14:paraId="3EB9E856" w14:textId="77777777" w:rsidR="00D924EA" w:rsidRDefault="00011DE9">
            <w:pPr>
              <w:pStyle w:val="P68B1DB1-Normal23"/>
              <w:spacing w:line="240" w:lineRule="auto"/>
              <w:jc w:val="center"/>
              <w:rPr>
                <w:rFonts w:cs="Times New Roman"/>
                <w:noProof/>
                <w:szCs w:val="18"/>
              </w:rPr>
            </w:pPr>
            <w:r>
              <w:rPr>
                <w:noProof/>
              </w:rPr>
              <w:t>2026</w:t>
            </w:r>
          </w:p>
        </w:tc>
        <w:tc>
          <w:tcPr>
            <w:tcW w:w="6930" w:type="dxa"/>
            <w:tcBorders>
              <w:top w:val="single" w:sz="4" w:space="0" w:color="auto"/>
              <w:left w:val="single" w:sz="4" w:space="0" w:color="auto"/>
              <w:bottom w:val="single" w:sz="4" w:space="0" w:color="auto"/>
              <w:right w:val="single" w:sz="4" w:space="0" w:color="auto"/>
            </w:tcBorders>
            <w:shd w:val="clear" w:color="auto" w:fill="C6EFCE"/>
            <w:noWrap/>
          </w:tcPr>
          <w:p w14:paraId="7D12F21F" w14:textId="04AF4F39" w:rsidR="00D924EA" w:rsidRDefault="00011DE9">
            <w:pPr>
              <w:pStyle w:val="P68B1DB1-Normal23"/>
              <w:spacing w:line="240" w:lineRule="auto"/>
              <w:rPr>
                <w:noProof/>
              </w:rPr>
            </w:pPr>
            <w:r>
              <w:rPr>
                <w:noProof/>
              </w:rPr>
              <w:t xml:space="preserve">SEPIDES trebuie să fi publicat rezoluțiile finale de atribuire sau să fi încheiat acorduri juridice de finanțare cu beneficiarii finali pentru o sumă necesară pentru a utiliza 100 % din investițiile MRR în schemă. SEPIDES trebuie să se fi asigurat că cel puțin 40 % din această finanțare contribuie la obiectivele climatice utilizând metodologia din anexa VI la Regulamentul privind MRR. </w:t>
            </w:r>
          </w:p>
          <w:p w14:paraId="5ADF8905" w14:textId="4A4DAB2D" w:rsidR="00D924EA" w:rsidRDefault="00011DE9">
            <w:pPr>
              <w:pStyle w:val="P68B1DB1-Normal23"/>
              <w:spacing w:line="240" w:lineRule="auto"/>
              <w:rPr>
                <w:rFonts w:cs="Times New Roman"/>
                <w:noProof/>
                <w:szCs w:val="18"/>
              </w:rPr>
            </w:pPr>
            <w:r>
              <w:rPr>
                <w:noProof/>
              </w:rPr>
              <w:t>Spania transferă 119 760 000 EUR către SEPIDES pentru schemă.</w:t>
            </w:r>
          </w:p>
        </w:tc>
      </w:tr>
    </w:tbl>
    <w:p w14:paraId="61693559" w14:textId="77777777" w:rsidR="00D924EA" w:rsidRDefault="00D924EA">
      <w:pPr>
        <w:rPr>
          <w:noProof/>
        </w:rPr>
        <w:sectPr w:rsidR="00D924EA" w:rsidSect="00757FE8">
          <w:headerReference w:type="even" r:id="rId174"/>
          <w:headerReference w:type="default" r:id="rId175"/>
          <w:footerReference w:type="even" r:id="rId176"/>
          <w:footerReference w:type="default" r:id="rId177"/>
          <w:headerReference w:type="first" r:id="rId178"/>
          <w:footerReference w:type="first" r:id="rId179"/>
          <w:pgSz w:w="16839" w:h="11907" w:orient="landscape"/>
          <w:pgMar w:top="1134" w:right="1134" w:bottom="1134" w:left="1134" w:header="567" w:footer="567" w:gutter="0"/>
          <w:cols w:space="720"/>
          <w:docGrid w:linePitch="360"/>
        </w:sectPr>
      </w:pPr>
    </w:p>
    <w:p w14:paraId="7C79707D" w14:textId="71F877D2" w:rsidR="00D924EA" w:rsidRDefault="00011DE9">
      <w:pPr>
        <w:pStyle w:val="P68B1DB1-Normal5"/>
        <w:keepNext/>
        <w:spacing w:before="360" w:after="360" w:line="240" w:lineRule="auto"/>
        <w:jc w:val="center"/>
        <w:outlineLvl w:val="0"/>
        <w:rPr>
          <w:rFonts w:cs="Times New Roman"/>
          <w:noProof/>
        </w:rPr>
      </w:pPr>
      <w:r>
        <w:rPr>
          <w:noProof/>
        </w:rPr>
        <w:t>M. COMPONENTA 13: Sprijin pentru IMM-uri</w:t>
      </w:r>
    </w:p>
    <w:p w14:paraId="59DD53EF" w14:textId="77777777" w:rsidR="00D924EA" w:rsidRDefault="00011DE9">
      <w:pPr>
        <w:pStyle w:val="P68B1DB1-Normal60"/>
        <w:spacing w:before="120" w:after="120" w:line="240" w:lineRule="auto"/>
        <w:jc w:val="both"/>
        <w:rPr>
          <w:rFonts w:cs="Times New Roman"/>
          <w:noProof/>
        </w:rPr>
      </w:pPr>
      <w:r>
        <w:rPr>
          <w:noProof/>
        </w:rPr>
        <w:t xml:space="preserve">Întreprinderile mici și mijlocii (IMM-urile) joacă un rol esențial în economia UE și a Spaniei, în special în cazul în care IMM-urile au o contribuție mai mare la PIB-ul național și în cazul în care dimensiunea medie a întreprinderilor este mai mică în comparație cu media UE. </w:t>
      </w:r>
    </w:p>
    <w:p w14:paraId="1AE9E0A7" w14:textId="77777777" w:rsidR="00D924EA" w:rsidRDefault="00011DE9">
      <w:pPr>
        <w:pStyle w:val="P68B1DB1-Normal60"/>
        <w:spacing w:before="120" w:after="120" w:line="240" w:lineRule="auto"/>
        <w:jc w:val="both"/>
        <w:rPr>
          <w:rFonts w:cs="Times New Roman"/>
          <w:noProof/>
        </w:rPr>
      </w:pPr>
      <w:r>
        <w:rPr>
          <w:noProof/>
        </w:rPr>
        <w:t>Această componentă a planului spaniol de redresare și reziliență</w:t>
      </w:r>
      <w:r>
        <w:rPr>
          <w:i/>
          <w:noProof/>
        </w:rPr>
        <w:t xml:space="preserve"> </w:t>
      </w:r>
      <w:r>
        <w:rPr>
          <w:noProof/>
        </w:rPr>
        <w:t>abordează provocările cu care se confruntă întreprinderile mici și mijlocii (IMM-urile) (inclusiv persoanele care desfășoară o activitate independentă), cu scopul de a stimula competitivitatea economiei spaniole și de a promova creșterea economică și ocuparea forței de muncă. Aceste provocări sunt: accesul dificil la finanțare pentru antreprenoriat, dezvoltarea întreprinderilor și inovare; lipsa competențelor digitale și neadoptarea tehnologiilor digitale care împiedică productivitatea și competitivitatea IMM-urilor; dimensiunea redusă a întreprinderilor, care împiedică exploatarea economiilor de scară și internaționalizarea; și vulnerabilitatea ridicată la șocurile externe și economiile de scară scăzute care împiedică investițiile și inovarea.</w:t>
      </w:r>
    </w:p>
    <w:p w14:paraId="195C1E91" w14:textId="77777777" w:rsidR="00D924EA" w:rsidRDefault="00011DE9">
      <w:pPr>
        <w:pStyle w:val="P68B1DB1-Normal60"/>
        <w:spacing w:before="120" w:after="120" w:line="240" w:lineRule="auto"/>
        <w:jc w:val="both"/>
        <w:rPr>
          <w:rFonts w:cs="Times New Roman"/>
          <w:noProof/>
        </w:rPr>
      </w:pPr>
      <w:r>
        <w:rPr>
          <w:noProof/>
        </w:rPr>
        <w:t>Obiectivele acestei componente sunt de a introduce reforme și investiții menite să faciliteze crearea de întreprinderi, creșterea și restructurarea întreprinderilor, îmbunătățirea climatului de afaceri (în special prin consolidarea funcționării pieței interne spaniole), precum și stimularea în continuare a proceselor importante de creștere a productivității prin digitalizare, inovare și internaționalizare. Această componentă se axează în mod semnificativ pe digitalizare, cu o abordare orizontală pentru a oferi un pachet de digitalizare de bază unui procent semnificativ de IMM-uri și o abordare verticală pentru a stimula digitalizarea proceselor și inovarea tehnologică în anumite IMM-uri.</w:t>
      </w:r>
    </w:p>
    <w:p w14:paraId="7E0D677B" w14:textId="77777777" w:rsidR="00D924EA" w:rsidRDefault="00011DE9">
      <w:pPr>
        <w:pStyle w:val="P68B1DB1-Normal60"/>
        <w:spacing w:before="120" w:after="120" w:line="240" w:lineRule="auto"/>
        <w:jc w:val="both"/>
        <w:rPr>
          <w:rFonts w:cs="Times New Roman"/>
          <w:noProof/>
        </w:rPr>
      </w:pPr>
      <w:r>
        <w:rPr>
          <w:noProof/>
        </w:rPr>
        <w:t xml:space="preserve">Această componentă abordează parțial recomandările specifice fiecărei țări privind progresele înregistrate în punerea în aplicare a Legii privind unitatea pieței (Recomandarea specifică fiecărei țări 4 2019) și privind asigurarea punerii în aplicare eficace a măsurilor menite să furnizeze lichidități IMM-urilor și persoanelor care desfășoară o activitate independentă, în special prin evitarea întârzierilor în efectuarea plăților (Recomandarea specifică fiecărei țări 3 2020). Acesta abordează, de asemenea, recomandările specifice fiecărei țări privind concentrarea investițiilor asupra tranziției digitale (Recomandarea specifică fiecărei țări 3 2020) și privind îmbunătățirea accesului la învățarea digitală (Recomandarea specifică fiecărei țări 2 2020). De asemenea, aceasta promovează investițiile în tranziția verde (recomandările specifice fiecărei țări 1 2023 și 1 2022). </w:t>
      </w:r>
    </w:p>
    <w:p w14:paraId="6347CC79" w14:textId="38F2873E" w:rsidR="00D924EA" w:rsidRDefault="00011DE9">
      <w:pPr>
        <w:pStyle w:val="P68B1DB1-Normal60"/>
        <w:spacing w:before="120" w:after="120" w:line="240" w:lineRule="auto"/>
        <w:jc w:val="both"/>
        <w:rPr>
          <w:rFonts w:cs="Times New Roman"/>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547C2249" w14:textId="659C5EA6" w:rsidR="00D924EA" w:rsidRDefault="00011DE9">
      <w:pPr>
        <w:pStyle w:val="P68B1DB1-Normal6"/>
        <w:spacing w:after="200" w:line="276" w:lineRule="auto"/>
        <w:ind w:left="720"/>
        <w:rPr>
          <w:rFonts w:ascii="Times New Roman" w:eastAsia="Calibri" w:hAnsi="Times New Roman" w:cs="Times New Roman"/>
          <w:noProof/>
        </w:rPr>
      </w:pPr>
      <w:r>
        <w:rPr>
          <w:rFonts w:ascii="Times New Roman" w:eastAsia="Calibri" w:hAnsi="Times New Roman" w:cs="Arial"/>
          <w:b/>
          <w:noProof/>
          <w:u w:val="single"/>
        </w:rPr>
        <w:t>M.1.</w:t>
      </w:r>
      <w:r w:rsidR="00971820">
        <w:rPr>
          <w:rFonts w:ascii="Times New Roman" w:eastAsia="Calibri" w:hAnsi="Times New Roman" w:cs="Arial"/>
          <w:b/>
          <w:noProof/>
          <w:u w:val="single"/>
        </w:rPr>
        <w:t xml:space="preserve"> </w:t>
      </w:r>
      <w:r>
        <w:rPr>
          <w:rFonts w:ascii="Times New Roman" w:eastAsia="Calibri" w:hAnsi="Times New Roman" w:cs="Arial"/>
          <w:b/>
          <w:noProof/>
          <w:u w:val="single"/>
        </w:rPr>
        <w:t>Descrierea reformelor și a investițiilor pentru sprijinul financiar nerambursabil</w:t>
      </w:r>
    </w:p>
    <w:p w14:paraId="393C2CAD" w14:textId="77777777" w:rsidR="00D924EA" w:rsidRDefault="00011DE9">
      <w:pPr>
        <w:pStyle w:val="P68B1DB1-Normal61"/>
        <w:spacing w:before="120" w:after="120" w:line="240" w:lineRule="auto"/>
        <w:jc w:val="both"/>
        <w:rPr>
          <w:noProof/>
        </w:rPr>
      </w:pPr>
      <w:r>
        <w:rPr>
          <w:noProof/>
        </w:rPr>
        <w:t>Reforma 1 (C13.R1) – Îmbunătățirea reglementării întreprinderilor și a climei</w:t>
      </w:r>
    </w:p>
    <w:p w14:paraId="548AC0BD" w14:textId="77777777" w:rsidR="00D924EA" w:rsidRDefault="00011DE9">
      <w:pPr>
        <w:pStyle w:val="P68B1DB1-Normal60"/>
        <w:spacing w:before="120" w:after="120" w:line="240" w:lineRule="auto"/>
        <w:jc w:val="both"/>
        <w:rPr>
          <w:noProof/>
        </w:rPr>
      </w:pPr>
      <w:r>
        <w:rPr>
          <w:noProof/>
        </w:rPr>
        <w:t>Obiectivele reformei sunt îmbunătățirea cadrului în care se desfășoară activitatea economică prin asigurarea unei mai bune reglementări și a unui climat de afaceri care să faciliteze crearea și dezvoltarea întreprinderilor, precum și restructurarea acestora, dacă este necesar, prin adoptarea unei serii de măsuri.</w:t>
      </w:r>
    </w:p>
    <w:p w14:paraId="6A10EEF8" w14:textId="77777777" w:rsidR="00D924EA" w:rsidRDefault="00011DE9">
      <w:pPr>
        <w:pStyle w:val="P68B1DB1-Normal60"/>
        <w:spacing w:before="120" w:after="120" w:line="240" w:lineRule="auto"/>
        <w:jc w:val="both"/>
        <w:rPr>
          <w:noProof/>
        </w:rPr>
      </w:pPr>
      <w:r>
        <w:rPr>
          <w:noProof/>
        </w:rPr>
        <w:t>Reforma constă în:</w:t>
      </w:r>
    </w:p>
    <w:p w14:paraId="26AC97E8" w14:textId="77777777" w:rsidR="00D924EA" w:rsidRDefault="00011DE9">
      <w:pPr>
        <w:pStyle w:val="P68B1DB1-Normal62"/>
        <w:numPr>
          <w:ilvl w:val="0"/>
          <w:numId w:val="85"/>
        </w:numPr>
        <w:spacing w:before="120" w:after="120" w:line="240" w:lineRule="auto"/>
        <w:jc w:val="both"/>
        <w:rPr>
          <w:rFonts w:cs="Times New Roman"/>
          <w:noProof/>
          <w:kern w:val="0"/>
          <w14:ligatures w14:val="none"/>
        </w:rPr>
      </w:pPr>
      <w:r>
        <w:rPr>
          <w:noProof/>
        </w:rPr>
        <w:t>Adoptarea Legii privind crearea</w:t>
      </w:r>
      <w:r>
        <w:rPr>
          <w:noProof/>
          <w:kern w:val="0"/>
          <w14:ligatures w14:val="none"/>
        </w:rPr>
        <w:t xml:space="preserve"> și creșterea întreprinderilor. Scopul acestei legislații este:</w:t>
      </w:r>
    </w:p>
    <w:p w14:paraId="464C63C4" w14:textId="77777777" w:rsidR="00D924EA" w:rsidRDefault="00011DE9">
      <w:pPr>
        <w:pStyle w:val="P68B1DB1-Normal60"/>
        <w:numPr>
          <w:ilvl w:val="1"/>
          <w:numId w:val="85"/>
        </w:numPr>
        <w:spacing w:before="120" w:after="120" w:line="240" w:lineRule="auto"/>
        <w:jc w:val="both"/>
        <w:rPr>
          <w:rFonts w:cs="Times New Roman"/>
          <w:noProof/>
        </w:rPr>
      </w:pPr>
      <w:r>
        <w:rPr>
          <w:noProof/>
        </w:rPr>
        <w:t xml:space="preserve">Simplificarea procedurilor de înființare a unei întreprinderi. Acest lucru se realizează prin reducerea cerinței de capital minim pentru înființarea unei firme și prin consolidarea platformelor de finanțare participativă și a altor instrumente de finanțare publică; </w:t>
      </w:r>
    </w:p>
    <w:p w14:paraId="7B9C30CA" w14:textId="77777777" w:rsidR="00D924EA" w:rsidRDefault="00011DE9">
      <w:pPr>
        <w:pStyle w:val="P68B1DB1-Normal60"/>
        <w:numPr>
          <w:ilvl w:val="1"/>
          <w:numId w:val="85"/>
        </w:numPr>
        <w:spacing w:before="120" w:after="120" w:line="240" w:lineRule="auto"/>
        <w:jc w:val="both"/>
        <w:rPr>
          <w:rFonts w:cs="Times New Roman"/>
          <w:noProof/>
        </w:rPr>
      </w:pPr>
      <w:r>
        <w:rPr>
          <w:noProof/>
        </w:rPr>
        <w:t>Măsuri juridice de promovare a unei culturi a plăților anticipate. Prezenta lege îmbunătățește eficacitatea punerii în aplicare a Directivei 2011/7/UE privind combaterea întârzierii în efectuarea plăților în tranzacțiile comerciale. Se preconizează că legea va reduce termenele medii de plată în tranzacțiile comerciale. Acest lucru ar contribui la abordarea provocărilor în materie de lichiditate cu care se confruntă IMM-urile creditoare care nu sunt plătite în timp util, cu efecte de propagare pozitive asupra activităților și creșterii lor. Printre exemplele de măsuri care trebuie puse în aplicare pentru a promova o cultură a plăților anticipate se numără orientările privind publicitatea și transparența termenelor de plată, cele mai bune practici comerciale și mecanismele pentru o mai bună aplicare, cum ar fi un sistem de soluționare extrajudiciară a litigiilor;</w:t>
      </w:r>
    </w:p>
    <w:p w14:paraId="3208A660" w14:textId="77777777" w:rsidR="00D924EA" w:rsidRDefault="00011DE9">
      <w:pPr>
        <w:pStyle w:val="P68B1DB1-Normal60"/>
        <w:numPr>
          <w:ilvl w:val="1"/>
          <w:numId w:val="85"/>
        </w:numPr>
        <w:spacing w:before="120" w:after="120" w:line="240" w:lineRule="auto"/>
        <w:jc w:val="both"/>
        <w:rPr>
          <w:rFonts w:cs="Times New Roman"/>
          <w:noProof/>
        </w:rPr>
      </w:pPr>
      <w:r>
        <w:rPr>
          <w:noProof/>
        </w:rPr>
        <w:t>Modificarea anumitor dispoziții ale Legii privind unitatea pieței pentru a oferi mai multă claritate în domeniile în care ambiguitățile au condus la probleme de punere în aplicare. Scopul Legii privind unitatea pieței este de a elimina barierele inutile, disproporționate sau discriminatorii din calea accesului la activitățile economice și a exercitării acestora, precum și din calea libertății de stabilire pe întreg teritoriul. Obiectivul acestei reforme este, de asemenea, de a spori eficiența și transparența mecanismelor prevăzute în Legea privind unitatea pieței pentru a proteja operatorii a căror activitate este afectată de barierele impuse de administrația publică. În plus, reforma consolidează cooperarea pentru a promova o mai bună legiferare în întreaga țară;</w:t>
      </w:r>
    </w:p>
    <w:p w14:paraId="10E3876C" w14:textId="77777777" w:rsidR="00D924EA" w:rsidRDefault="00011DE9">
      <w:pPr>
        <w:pStyle w:val="P68B1DB1-Normal60"/>
        <w:numPr>
          <w:ilvl w:val="0"/>
          <w:numId w:val="85"/>
        </w:numPr>
        <w:spacing w:before="120" w:after="120" w:line="240" w:lineRule="auto"/>
        <w:jc w:val="both"/>
        <w:rPr>
          <w:rFonts w:cs="Times New Roman"/>
          <w:noProof/>
        </w:rPr>
      </w:pPr>
      <w:r>
        <w:rPr>
          <w:noProof/>
        </w:rPr>
        <w:t>Se instituie o nouă conferință sectorială pentru îmbunătățirea reglementărilor și climatul de afaceri. Obiectivul său este de a facilita aplicarea corectă a principiilor bunei reglementări de către toate administrațiile publice și de a asigura o coordonare optimă a diferitelor administrații, inclusiv în ceea ce privește măsurile care însoțesc recuperarea. Conferința sectorială urmărește, de asemenea, lucrările din cadrul altor conferințe sectoriale, care permit o mai bună coordonare, monitorizare și promovare a unei mai bune legiferări, cu un accent atât orizontal, cât și sectorial;</w:t>
      </w:r>
    </w:p>
    <w:p w14:paraId="03CEE5D9" w14:textId="16BE3AE1" w:rsidR="00D924EA" w:rsidRDefault="00011DE9">
      <w:pPr>
        <w:pStyle w:val="P68B1DB1-Normal60"/>
        <w:numPr>
          <w:ilvl w:val="0"/>
          <w:numId w:val="85"/>
        </w:numPr>
        <w:spacing w:before="120" w:after="120" w:line="240" w:lineRule="auto"/>
        <w:jc w:val="both"/>
        <w:rPr>
          <w:rFonts w:cs="Times New Roman"/>
          <w:noProof/>
        </w:rPr>
      </w:pPr>
      <w:r>
        <w:rPr>
          <w:noProof/>
        </w:rPr>
        <w:t>Reforma legislației în materie de insolvență pentru transpunerea Directivei (UE) 2019/1023 privind cadrele de restructurare preventivă, remiterea de datorie și decăderile, precum și măsurile de sporire a eficienței procedurilor de insolvență și de modificare a Directivei (UE) 2017/1132 (Directiva privind restructurarea și insolvența). Reforma include instituirea unei proceduri mai eficiente privind a doua șansă pentru persoanele fizice, care să permită reducerea datoriilor fără lichidarea prealabilă a activelor părții insolvabile. În plus, planurile de restructurare impuse de Directiva (UE) 2019/1023 privind insolvența sunt introduse ca un nou instrument de preinsolvență care îmbunătățește eficacitatea instrumentelor de preinsolvență aplicabile în prezent pentru a preveni insolvența și falimentul ulterior. Se introduce, de asemenea, o procedură specială pentru microîntreprinderi, prelucrată integral prin mijloace electronice, astfel încât să se reducă durata și costurile procesului.</w:t>
      </w:r>
    </w:p>
    <w:p w14:paraId="33545E5F" w14:textId="77777777" w:rsidR="00D924EA" w:rsidRDefault="00011DE9">
      <w:pPr>
        <w:pStyle w:val="P68B1DB1-Normal60"/>
        <w:numPr>
          <w:ilvl w:val="0"/>
          <w:numId w:val="85"/>
        </w:numPr>
        <w:spacing w:before="120" w:after="120" w:line="240" w:lineRule="auto"/>
        <w:jc w:val="both"/>
        <w:rPr>
          <w:rFonts w:cs="Times New Roman"/>
          <w:noProof/>
        </w:rPr>
      </w:pPr>
      <w:r>
        <w:rPr>
          <w:noProof/>
        </w:rPr>
        <w:t xml:space="preserve">Această reformă constă, de asemenea, în adoptarea unei legi de modificare a trei texte legislative, în special a Legii nr. 34/2006, referitoare la exercitarea profesiei de avocat și de </w:t>
      </w:r>
      <w:r>
        <w:rPr>
          <w:i/>
          <w:noProof/>
        </w:rPr>
        <w:t>procuradores</w:t>
      </w:r>
      <w:r>
        <w:rPr>
          <w:noProof/>
        </w:rPr>
        <w:t xml:space="preserve">. Un nou sistem oferă un acces unic la profesiile de avocat și de </w:t>
      </w:r>
      <w:r>
        <w:rPr>
          <w:i/>
          <w:noProof/>
        </w:rPr>
        <w:t>procuradores</w:t>
      </w:r>
      <w:r>
        <w:rPr>
          <w:noProof/>
        </w:rPr>
        <w:t xml:space="preserve">, întrucât aceeași calificare oferă acces la exercitarea ambelor profesii. Societăților profesionale multidisciplinare li se permite să ofere în comun servicii de apărare și reprezentare juridică în instanță. Regimul tarifar aplicabil serviciilor </w:t>
      </w:r>
      <w:r>
        <w:rPr>
          <w:i/>
          <w:noProof/>
        </w:rPr>
        <w:t>procuradores</w:t>
      </w:r>
      <w:r>
        <w:rPr>
          <w:noProof/>
        </w:rPr>
        <w:t xml:space="preserve"> se modifică, de asemenea: se stabilesc taxe maxime, dar nu minime, pentru a se asigura că beneficiarii serviciilor pot avea acces la serviciile oferite la prețuri competitive. Prin această reformă, Spania se asigură că legislația din acest domeniu este aliniată la articolele 15, 16 și 25 din Directiva 2006/123/C a Parlamentului European și a Consiliului privind serviciile în cadrul pieței interne și la articolele 49 și 56 din Tratatul privind funcționarea Uniunii Europene. În ceea ce privește această reformă, Consiliul de Miniștri a aprobat proiectele de propuneri legislative menționate mai sus în septembrie 2020.</w:t>
      </w:r>
    </w:p>
    <w:p w14:paraId="46B52041" w14:textId="1F3B5949" w:rsidR="00D924EA" w:rsidRDefault="00D924EA">
      <w:pPr>
        <w:keepNext/>
        <w:spacing w:before="120" w:after="120" w:line="240" w:lineRule="auto"/>
        <w:jc w:val="both"/>
        <w:rPr>
          <w:rFonts w:ascii="Times New Roman" w:eastAsia="Calibri" w:hAnsi="Times New Roman" w:cs="Symbol"/>
          <w:noProof/>
          <w:u w:val="single"/>
        </w:rPr>
      </w:pPr>
    </w:p>
    <w:p w14:paraId="70423D51" w14:textId="77777777" w:rsidR="00D924EA" w:rsidRDefault="00011DE9">
      <w:pPr>
        <w:pStyle w:val="P68B1DB1-Normal61"/>
        <w:keepNext/>
        <w:spacing w:before="120" w:after="120" w:line="240" w:lineRule="auto"/>
        <w:jc w:val="both"/>
        <w:rPr>
          <w:rFonts w:cs="Times New Roman"/>
          <w:noProof/>
        </w:rPr>
      </w:pPr>
      <w:r>
        <w:rPr>
          <w:noProof/>
        </w:rPr>
        <w:t>Reforma 2 (C13.R2) – Strategia „Spania – națiune întreprinzătoare”</w:t>
      </w:r>
    </w:p>
    <w:p w14:paraId="38374ECD" w14:textId="77777777" w:rsidR="00D924EA" w:rsidRDefault="00011DE9">
      <w:pPr>
        <w:pStyle w:val="P68B1DB1-Normal60"/>
        <w:keepNext/>
        <w:spacing w:before="120" w:after="120" w:line="240" w:lineRule="auto"/>
        <w:jc w:val="both"/>
        <w:rPr>
          <w:rFonts w:cs="Times New Roman"/>
          <w:noProof/>
        </w:rPr>
      </w:pPr>
      <w:r>
        <w:rPr>
          <w:noProof/>
        </w:rPr>
        <w:t>Obiectivul măsurii este de a promova strategia spaniolă de antreprenoriat. Reforma constă în adoptarea unei legi privind întreprinderile nou-înființate, pentru a crea un cadru favorabil pentru crearea și dezvoltarea întreprinderilor nou-înființate extrem de inovatoare, în instituirea unui fond public-privat NEXT-TECH pentru extinderea întreprinderilor nou-înființate în domeniul tehnologiilor disruptive și în revizuirea regimului de migrație pentru ca lucrătorii să atragă talente și să abordeze deficitul de competențe.</w:t>
      </w:r>
    </w:p>
    <w:p w14:paraId="3CD6EA69" w14:textId="77777777" w:rsidR="00D924EA" w:rsidRDefault="00011DE9">
      <w:pPr>
        <w:pStyle w:val="P68B1DB1-Normal60"/>
        <w:spacing w:before="120" w:after="120" w:line="240" w:lineRule="auto"/>
        <w:jc w:val="both"/>
        <w:rPr>
          <w:rFonts w:cs="Times New Roman"/>
          <w:noProof/>
        </w:rPr>
      </w:pPr>
      <w:r>
        <w:rPr>
          <w:noProof/>
        </w:rPr>
        <w:t>Adoptarea unei legi privind întreprinderile nou-înființate, până la sfârșitul anului 2022: să ofere o definiție juridică a întreprinderilor nou-înființate; să identifice stimulente fiscale pentru a încuraja crearea acestora și pentru a atrage talente; să stabilească măsuri pentru a facilita atragerea investitorilor și a antreprenorilor străini; și să adopte mecanisme de facilitare a punerii în aplicare a legii și a relației acesteia cu măsurile legate de ecosistemul antreprenorilor digitali.</w:t>
      </w:r>
    </w:p>
    <w:p w14:paraId="1BEB931E" w14:textId="08C9ED1B" w:rsidR="00D924EA" w:rsidRDefault="00011DE9">
      <w:pPr>
        <w:pStyle w:val="P68B1DB1-Normal60"/>
        <w:spacing w:before="120" w:after="120" w:line="240" w:lineRule="auto"/>
        <w:jc w:val="both"/>
        <w:rPr>
          <w:rFonts w:cs="Times New Roman"/>
          <w:noProof/>
        </w:rPr>
      </w:pPr>
      <w:r>
        <w:rPr>
          <w:noProof/>
        </w:rPr>
        <w:t>Reforma constă, de asemenea, în modificarea Regulamentului Legii organice nr. 4/2000 din 11</w:t>
      </w:r>
      <w:r w:rsidR="00C202D2">
        <w:rPr>
          <w:noProof/>
        </w:rPr>
        <w:t> </w:t>
      </w:r>
      <w:r>
        <w:rPr>
          <w:noProof/>
        </w:rPr>
        <w:t>ianuarie privind drepturile și libertățile străinilor în Spania și integrarea lor socială și a Legii nr.</w:t>
      </w:r>
      <w:r w:rsidR="00C202D2">
        <w:rPr>
          <w:noProof/>
        </w:rPr>
        <w:t> </w:t>
      </w:r>
      <w:r>
        <w:rPr>
          <w:noProof/>
        </w:rPr>
        <w:t>14/2013 din 27 septembrie privind sprijinirea antreprenorilor și internaționalizarea acestora.</w:t>
      </w:r>
    </w:p>
    <w:p w14:paraId="377798A0" w14:textId="77777777" w:rsidR="00D924EA" w:rsidRDefault="00011DE9">
      <w:pPr>
        <w:pStyle w:val="P68B1DB1-Normal60"/>
        <w:spacing w:before="120" w:after="120" w:line="240" w:lineRule="auto"/>
        <w:jc w:val="both"/>
        <w:rPr>
          <w:rFonts w:cs="Times New Roman"/>
          <w:noProof/>
        </w:rPr>
      </w:pPr>
      <w:r>
        <w:rPr>
          <w:noProof/>
        </w:rPr>
        <w:t>Modificarea Regulamentului Legii organice nr. 4/2000 din 11 ianuarie privind drepturile și libertățile străinilor în Spania și integrarea lor socială simplifică procedurile administrative legate de migrație, inclusiv prin reducerea numărului de autorizații și prelungirea valabilității acestora, accelerarea procedurilor, facilitarea accesului la piața forței de muncă pentru resortisanții țărilor terțe și îmbunătățirea sistemului de angajare la sursă. În special, modificările introduc un acces mai flexibil al studenților la piața forței de muncă, un sistem multianual de migrație circulară pentru lucrătorii sezonieri, noi norme pentru evaluarea situației naționale a ocupării forței de muncă și înființarea unei noi unități administrative (UTEX) pentru a îmbunătăți prelucrarea dosarelor resortisanților străini.</w:t>
      </w:r>
    </w:p>
    <w:p w14:paraId="02270AD8" w14:textId="77777777" w:rsidR="00D924EA" w:rsidRDefault="00011DE9">
      <w:pPr>
        <w:pStyle w:val="P68B1DB1-Normal60"/>
        <w:spacing w:before="120" w:after="120" w:line="240" w:lineRule="auto"/>
        <w:jc w:val="both"/>
        <w:rPr>
          <w:rFonts w:cs="Times New Roman"/>
          <w:noProof/>
        </w:rPr>
      </w:pPr>
      <w:r>
        <w:rPr>
          <w:noProof/>
        </w:rPr>
        <w:t>Modificarea Legii nr. 14/2013 din 27 septembrie privind sprijinirea antreprenorilor și internaționalizarea acestora va facilita recrutarea cetățenilor străini cu aptitudini și competențe foarte specifice printr-o procedură mai simplă și mai flexibilă decât cea standard definită de Regulamentul Legii organice nr. 4/2000. Modificarea Legii nr. 14/2013 va introduce un nou sistem de migrație pentru nomazii digitali, noi criterii de inovare pentru permisele de ședere și de muncă pentru antreprenori, extinderea domeniului de aplicare al sistemului național de migrație pentru profesioniștii cu înaltă calificare la IMM-uri și la titularii de certificate EFP superioare, precum și perioade de valabilitate mai lungi și o simplificare a procedurilor pentru permisele de ședere și de muncă în ceea ce privește cele prevăzute în Legea nr. 14/2013 înainte de modificare.</w:t>
      </w:r>
    </w:p>
    <w:p w14:paraId="2ED7B658" w14:textId="77777777" w:rsidR="00D924EA" w:rsidRDefault="00011DE9">
      <w:pPr>
        <w:pStyle w:val="P68B1DB1-Normal60"/>
        <w:spacing w:before="120" w:after="120" w:line="240" w:lineRule="auto"/>
        <w:jc w:val="both"/>
        <w:rPr>
          <w:rFonts w:cs="Times New Roman"/>
          <w:noProof/>
        </w:rPr>
      </w:pPr>
      <w:r>
        <w:rPr>
          <w:noProof/>
        </w:rPr>
        <w:t>Punerea în aplicare a măsurii se finalizează până la 31 decembrie 2023.</w:t>
      </w:r>
    </w:p>
    <w:p w14:paraId="247B1874" w14:textId="4AD13452" w:rsidR="00D924EA" w:rsidRDefault="00011DE9">
      <w:pPr>
        <w:pStyle w:val="P68B1DB1-Normal63"/>
        <w:spacing w:before="120" w:after="120" w:line="276" w:lineRule="auto"/>
        <w:jc w:val="both"/>
        <w:rPr>
          <w:noProof/>
        </w:rPr>
      </w:pPr>
      <w:r>
        <w:rPr>
          <w:noProof/>
        </w:rPr>
        <w:t>Reforma 3 (C13.R3) – Revizuirea legislației privind piețele valorilor mobiliare și serviciile de investiții</w:t>
      </w:r>
    </w:p>
    <w:p w14:paraId="61184433" w14:textId="51F1EA62" w:rsidR="00D924EA" w:rsidRDefault="00011DE9">
      <w:pPr>
        <w:pStyle w:val="P68B1DB1-Normal12"/>
        <w:spacing w:before="120" w:after="200"/>
        <w:jc w:val="both"/>
        <w:rPr>
          <w:noProof/>
        </w:rPr>
      </w:pPr>
      <w:r>
        <w:rPr>
          <w:noProof/>
        </w:rPr>
        <w:t>Obiectivul acestei măsuri este de a îmbunătăți legislația privind piețele valorilor mobiliare și serviciile de investiții. Măsura constă în intrarea în vigoare a unei legislații menite să simplifice procesul de admitere la tranzacționare a titlurilor de valoare cu venit fix, să permită înregistrarea anumitor sisteme multilaterale de tranzacționare ca piețe de creștere pentru IMM-uri</w:t>
      </w:r>
      <w:r>
        <w:rPr>
          <w:i/>
          <w:noProof/>
        </w:rPr>
        <w:t xml:space="preserve"> </w:t>
      </w:r>
      <w:r>
        <w:rPr>
          <w:noProof/>
        </w:rPr>
        <w:t>și să elimine sistemul de informații pentru monitorizarea compensării, decontării și înregistrării valorilor mobiliare.</w:t>
      </w:r>
    </w:p>
    <w:p w14:paraId="3274D072" w14:textId="5442C368" w:rsidR="00D924EA" w:rsidRDefault="00D924EA">
      <w:pPr>
        <w:spacing w:before="120" w:after="120" w:line="276" w:lineRule="auto"/>
        <w:jc w:val="both"/>
        <w:rPr>
          <w:rFonts w:ascii="Times New Roman" w:eastAsia="Times New Roman" w:hAnsi="Times New Roman" w:cs="Times New Roman"/>
          <w:noProof/>
        </w:rPr>
      </w:pPr>
    </w:p>
    <w:p w14:paraId="466D8339" w14:textId="77777777" w:rsidR="00D924EA" w:rsidRDefault="00011DE9">
      <w:pPr>
        <w:pStyle w:val="P68B1DB1-Normal8"/>
        <w:spacing w:before="120" w:after="120" w:line="276" w:lineRule="auto"/>
        <w:jc w:val="both"/>
        <w:rPr>
          <w:noProof/>
        </w:rPr>
      </w:pPr>
      <w:r>
        <w:rPr>
          <w:noProof/>
        </w:rPr>
        <w:t xml:space="preserve">Investiția 1 (C13.I1) – Antreprenoriat </w:t>
      </w:r>
    </w:p>
    <w:p w14:paraId="72500B6E" w14:textId="20ACC653" w:rsidR="00D924EA" w:rsidRDefault="00011DE9">
      <w:pPr>
        <w:spacing w:before="120" w:after="120" w:line="276" w:lineRule="auto"/>
        <w:jc w:val="both"/>
        <w:rPr>
          <w:rFonts w:ascii="Times New Roman" w:eastAsia="Times New Roman" w:hAnsi="Times New Roman" w:cs="Times New Roman"/>
          <w:noProof/>
        </w:rPr>
      </w:pPr>
      <w:r>
        <w:rPr>
          <w:rFonts w:ascii="Times New Roman" w:hAnsi="Times New Roman" w:cs="Times New Roman"/>
          <w:noProof/>
        </w:rPr>
        <w:t xml:space="preserve">Obiectivul acestei măsuri este de a promova antreprenoriatul și inovarea digitală, precum și de a sprijini dezvoltarea competențelor și un acces mai bun la finanțare. Această măsură constă în acțiuni sprijinite de programul „Competențe antreprenoriale” („Emprende y Acelera”), programul „Accelerarea start-upurilor” („Acelera Startup”), programul „BREAK”, programul „Activa Crecimiento”, programul „Activa Industria”, programul „Activa Cybersecurity” </w:t>
      </w:r>
      <w:r>
        <w:rPr>
          <w:rFonts w:ascii="Times New Roman" w:eastAsia="Times New Roman" w:hAnsi="Times New Roman" w:cs="Times New Roman"/>
          <w:noProof/>
          <w:kern w:val="0"/>
          <w14:ligatures w14:val="none"/>
        </w:rPr>
        <w:t>și</w:t>
      </w:r>
      <w:r>
        <w:rPr>
          <w:rFonts w:ascii="Times New Roman" w:hAnsi="Times New Roman" w:cs="Times New Roman"/>
          <w:noProof/>
        </w:rPr>
        <w:t xml:space="preserve"> programul </w:t>
      </w:r>
      <w:r>
        <w:rPr>
          <w:rFonts w:ascii="Times New Roman" w:eastAsia="Times New Roman" w:hAnsi="Times New Roman" w:cs="Times New Roman"/>
          <w:noProof/>
        </w:rPr>
        <w:t>„Activa Startups”. Acesta constă, de asemenea, în realizarea de evenimente, în acordarea de împrumuturi participative și într-o platformă online și accesibilă a Oficiului Național de Antreprenoriat (ONE).</w:t>
      </w:r>
    </w:p>
    <w:p w14:paraId="325FEEEA" w14:textId="77777777" w:rsidR="00D924EA" w:rsidRDefault="00D924EA">
      <w:pPr>
        <w:spacing w:after="0" w:line="240" w:lineRule="auto"/>
        <w:jc w:val="both"/>
        <w:textAlignment w:val="baseline"/>
        <w:rPr>
          <w:rFonts w:ascii="Times New Roman" w:eastAsia="Calibri" w:hAnsi="Times New Roman" w:cs="Times New Roman"/>
          <w:noProof/>
          <w:kern w:val="0"/>
          <w:u w:val="single"/>
          <w14:ligatures w14:val="none"/>
        </w:rPr>
      </w:pPr>
    </w:p>
    <w:p w14:paraId="255D621F" w14:textId="77777777" w:rsidR="00D924EA" w:rsidRDefault="00011DE9">
      <w:pPr>
        <w:pStyle w:val="P68B1DB1-Normal61"/>
        <w:spacing w:before="120" w:after="120" w:line="240" w:lineRule="auto"/>
        <w:jc w:val="both"/>
        <w:rPr>
          <w:rFonts w:cs="Times New Roman"/>
          <w:noProof/>
        </w:rPr>
      </w:pPr>
      <w:r>
        <w:rPr>
          <w:noProof/>
        </w:rPr>
        <w:t xml:space="preserve">Investiția 2 (C13.I2) – Creștere </w:t>
      </w:r>
    </w:p>
    <w:p w14:paraId="6E39D464" w14:textId="77777777" w:rsidR="00D924EA" w:rsidRDefault="00011DE9">
      <w:pPr>
        <w:pStyle w:val="P68B1DB1-Normal12"/>
        <w:spacing w:before="120" w:after="120" w:line="240" w:lineRule="auto"/>
        <w:jc w:val="both"/>
        <w:rPr>
          <w:noProof/>
        </w:rPr>
      </w:pPr>
      <w:r>
        <w:rPr>
          <w:noProof/>
        </w:rPr>
        <w:t>Obiectivul măsurii este de a promova creșterea IMM-urilor.</w:t>
      </w:r>
    </w:p>
    <w:p w14:paraId="03D5FC36" w14:textId="77777777" w:rsidR="00D924EA" w:rsidRDefault="00011DE9">
      <w:pPr>
        <w:pStyle w:val="P68B1DB1-Normal60"/>
        <w:spacing w:before="120" w:after="120" w:line="240" w:lineRule="auto"/>
        <w:jc w:val="both"/>
        <w:rPr>
          <w:noProof/>
        </w:rPr>
      </w:pPr>
      <w:r>
        <w:rPr>
          <w:noProof/>
        </w:rPr>
        <w:t>Investiția constă în acțiuni privind:</w:t>
      </w:r>
    </w:p>
    <w:p w14:paraId="43394B2E" w14:textId="672DABA1" w:rsidR="00D924EA" w:rsidRDefault="00011DE9">
      <w:pPr>
        <w:spacing w:before="120" w:after="120" w:line="240" w:lineRule="auto"/>
        <w:jc w:val="both"/>
        <w:rPr>
          <w:rFonts w:ascii="Times New Roman" w:eastAsia="Calibri" w:hAnsi="Times New Roman" w:cs="Times New Roman"/>
          <w:noProof/>
          <w:kern w:val="0"/>
          <w14:ligatures w14:val="none"/>
        </w:rPr>
      </w:pPr>
      <w:r>
        <w:rPr>
          <w:rFonts w:ascii="Times New Roman" w:eastAsia="Calibri" w:hAnsi="Times New Roman" w:cs="Symbol"/>
          <w:noProof/>
          <w:kern w:val="0"/>
          <w14:ligatures w14:val="none"/>
        </w:rPr>
        <w:t>1) sprijin financiar acordat proiectelor industriale (1</w:t>
      </w:r>
      <w:r>
        <w:rPr>
          <w:rFonts w:ascii="Times New Roman" w:hAnsi="Times New Roman" w:cs="Times New Roman"/>
          <w:noProof/>
          <w:sz w:val="20"/>
          <w:szCs w:val="20"/>
        </w:rPr>
        <w:t xml:space="preserve"> </w:t>
      </w:r>
      <w:r>
        <w:rPr>
          <w:rFonts w:ascii="Times New Roman" w:eastAsia="Calibri" w:hAnsi="Times New Roman" w:cs="Symbol"/>
          <w:noProof/>
          <w:kern w:val="0"/>
          <w14:ligatures w14:val="none"/>
        </w:rPr>
        <w:t>500) dezvoltate de IMM-uri, pentru acțiuni în cadrul acestei investiții în instalații industriale noi sau în extinderea celor existente sau pentru orice îmbunătățire a sistemului de producție care vizează creșterea competitivității, ținând seama de potențialul de a contribui la atenuarea schimbărilor climatice.</w:t>
      </w:r>
    </w:p>
    <w:p w14:paraId="0805F9F5" w14:textId="4F5A4EA6" w:rsidR="00D924EA" w:rsidRDefault="00011DE9">
      <w:pPr>
        <w:pStyle w:val="P68B1DB1-Normal15"/>
        <w:spacing w:before="120" w:after="120" w:line="240" w:lineRule="auto"/>
        <w:jc w:val="both"/>
        <w:rPr>
          <w:noProof/>
        </w:rPr>
      </w:pPr>
      <w:r>
        <w:rPr>
          <w:noProof/>
        </w:rPr>
        <w:t xml:space="preserve">2) îmbunătățirea accesului la finanțare pentru IMM-uri, prin acordarea de sprijin sub formă de garanții financiare, comerciale și tehnice prin consolidarea </w:t>
      </w:r>
      <w:r>
        <w:rPr>
          <w:i/>
          <w:noProof/>
        </w:rPr>
        <w:t>Compañia Española de Reafianzamiento SME S.A.</w:t>
      </w:r>
      <w:r>
        <w:rPr>
          <w:noProof/>
        </w:rPr>
        <w:t xml:space="preserve"> (CERSA). În cadrul acestei linii de acțiune, CERSA oferă sprijin pe termen lung prin acoperirea contragaranțiilor societăților regionale de garantare reciprocă, susținând riscul suportat de acestea. CERSA promovează competitivitatea și reziliența IMM-urilor prin intermediul a trei linii specifice care permit accesul la operațiuni de finanțare pe termen lung și de capital circulant pentru acțiunile din cadrul acestei investiții în domeniul: digitalizarea; durabilitatea; creștere și redresare (consolidarea rezilienței, în principal pentru IMM-urile afectate de pandemia de COVID-19, care sunt pregătite să întreprindă planuri semnificative de transformare și creștere). </w:t>
      </w:r>
    </w:p>
    <w:p w14:paraId="6852E21A" w14:textId="7A1C3ABC" w:rsidR="00D924EA" w:rsidRDefault="00011DE9">
      <w:pPr>
        <w:pStyle w:val="P68B1DB1-Normal60"/>
        <w:spacing w:before="120" w:after="120" w:line="240" w:lineRule="auto"/>
        <w:jc w:val="both"/>
        <w:rPr>
          <w:rFonts w:cs="Times New Roman"/>
          <w:noProof/>
        </w:rPr>
      </w:pPr>
      <w:r>
        <w:rPr>
          <w:noProof/>
        </w:rPr>
        <w:t xml:space="preserve">În plus, pentru a pune în aplicare instrumentul de garanție financiară, trebuie încheiat un acord între ministerul responsabil cu investițiile și partenerul de implementare sau entitatea căreia i-a fost încredințată execuția. Acordul detaliază cadrul juridic aplicabil și obligațiile aplicabile în materie de ajutoare de stat, precum și obligațiile de monitorizare și de raportare ale garanților și ale IMM-urilor, inclusiv necesitatea ca IMM-urile să autorizeze în mod expres Comisia, OLAF, Curtea de Conturi Europeană și EPPO să efectueze vizite în contextul controalelor sau al auditurilor. În plus, CERSA se angajează să reinvestească toate restituirile (și anume dobânzile la împrumut, rentabilitatea capitalurilor proprii sau principalul rambursat, minus costurile asociate) legate de instrumentul financiar pentru aceleași obiective de politică, inclusiv după 2026. Pentru a se asigura că măsura respectă Orientările tehnice de „a nu prejudicia în mod semnificativ” (2021/C58/01), acordul juridic dintre autoritățile spaniole și entitatea căreia i-a fost încredințată execuția sau intermediarul financiar responsabil de instrumentul financiar și politica de investiții ulterioară a instrumentului financiar trebuie </w:t>
      </w:r>
    </w:p>
    <w:p w14:paraId="311DA48C" w14:textId="77777777" w:rsidR="00D924EA" w:rsidRDefault="00011DE9">
      <w:pPr>
        <w:pStyle w:val="P68B1DB1-Normal60"/>
        <w:numPr>
          <w:ilvl w:val="0"/>
          <w:numId w:val="89"/>
        </w:numPr>
        <w:spacing w:before="120" w:after="120" w:line="240" w:lineRule="auto"/>
        <w:jc w:val="both"/>
        <w:rPr>
          <w:rFonts w:cs="Times New Roman"/>
          <w:noProof/>
        </w:rPr>
      </w:pPr>
      <w:r>
        <w:rPr>
          <w:noProof/>
        </w:rPr>
        <w:t>să solicite aplicarea orientărilor tehnice ale Comisiei privind evaluarea durabilității pentru Fondul InvestEU;</w:t>
      </w:r>
    </w:p>
    <w:p w14:paraId="25494DA0" w14:textId="180EA829" w:rsidR="00D924EA" w:rsidRDefault="00011DE9">
      <w:pPr>
        <w:pStyle w:val="P68B1DB1-Normal60"/>
        <w:numPr>
          <w:ilvl w:val="0"/>
          <w:numId w:val="89"/>
        </w:numPr>
        <w:spacing w:before="120" w:after="120" w:line="240" w:lineRule="auto"/>
        <w:jc w:val="both"/>
        <w:rPr>
          <w:rFonts w:cs="Times New Roman"/>
          <w:noProof/>
        </w:rPr>
      </w:pPr>
      <w:r>
        <w:rPr>
          <w:noProof/>
        </w:rPr>
        <w:t>excluderea de la eligibilitate a următoarelor activități și active: (I) activități și active legate de combustibilii fosili, inclusiv utilizarea în aval; (II) activitățile și activele din cadrul schemei UE de comercializare a certificatelor de emisii (ETS) care realizează emisii preconizate de gaze cu efect de seră care nu sunt mai mici decât valorile de referință relevante; (III) activități și active legate de depozitele de deșeuri, incineratoare și stații de tratare mecano-biologică; și (iv) activitățile și activele în cazul cărora eliminarea pe termen lung a deșeurilor poate dăuna mediului; și</w:t>
      </w:r>
    </w:p>
    <w:p w14:paraId="0833A81A" w14:textId="77777777" w:rsidR="00D924EA" w:rsidRDefault="00011DE9">
      <w:pPr>
        <w:pStyle w:val="P68B1DB1-Normal60"/>
        <w:numPr>
          <w:ilvl w:val="0"/>
          <w:numId w:val="89"/>
        </w:numPr>
        <w:spacing w:before="120" w:after="120" w:line="240" w:lineRule="auto"/>
        <w:jc w:val="both"/>
        <w:rPr>
          <w:rFonts w:cs="Times New Roman"/>
          <w:noProof/>
        </w:rPr>
      </w:pPr>
      <w:r>
        <w:rPr>
          <w:noProof/>
        </w:rPr>
        <w:t>să solicite verificarea conformității juridice a proiectelor cu legislația UE și națională relevantă în materie de mediu de către entitatea/intermediarul financiar căruia i-a fost încredințată execuția pentru toate tranzacțiile, inclusiv pentru cele exceptate de la evaluarea durabilității.</w:t>
      </w:r>
    </w:p>
    <w:p w14:paraId="40C4B108" w14:textId="57E8640E" w:rsidR="00D924EA" w:rsidRDefault="00011DE9">
      <w:pPr>
        <w:pStyle w:val="P68B1DB1-Normal60"/>
        <w:spacing w:before="120" w:after="120" w:line="240" w:lineRule="auto"/>
        <w:jc w:val="both"/>
        <w:rPr>
          <w:rFonts w:cs="Times New Roman"/>
          <w:noProof/>
        </w:rPr>
      </w:pPr>
      <w:r>
        <w:rPr>
          <w:noProof/>
        </w:rPr>
        <w:t>În cazul ofertelor, pentru a se asigura că măsura respectă Orientările tehnice de „a nu prejudicia în mod semnificativ” (2021/C58/01), criteriile de eligibilitate cuprinse în termenii de referință pentru viitoarele cereri de proiecte exclud următoarea listă de activități: (I) activități legate de combustibilii fosili, inclusiv utilizarea în aval; (II) activitățile din cadrul schemei UE de comercializare a certificatelor de emisii (ETS) care realizează emisii preconizate de gaze cu efect de seră care nu sunt mai mici decât valorile de referință relevante; (III) activități legate de depozitele de deșeuri, incineratoare și stații de tratare mecano-biologică; și (iv) activități în care eliminarea pe termen lung a deșeurilor poate dăuna mediului. În plus, termenii de referință prevăd că pot fi selectate numai activitățile care respectă legislația UE și națională relevantă în materie de mediu.</w:t>
      </w:r>
    </w:p>
    <w:p w14:paraId="243C10AA" w14:textId="77777777" w:rsidR="00D924EA" w:rsidRDefault="00011DE9">
      <w:pPr>
        <w:pStyle w:val="P68B1DB1-Normal64"/>
        <w:spacing w:after="0" w:line="240" w:lineRule="auto"/>
        <w:jc w:val="both"/>
        <w:textAlignment w:val="baseline"/>
        <w:rPr>
          <w:rFonts w:ascii="Times New Roman" w:eastAsia="Times New Roman" w:hAnsi="Times New Roman" w:cs="Times New Roman"/>
          <w:noProof/>
          <w:kern w:val="0"/>
          <w14:ligatures w14:val="none"/>
        </w:rPr>
      </w:pPr>
      <w:r>
        <w:rPr>
          <w:rFonts w:ascii="Times New Roman" w:eastAsia="Calibri" w:hAnsi="Times New Roman" w:cs="Symbol"/>
          <w:noProof/>
          <w:kern w:val="0"/>
          <w14:ligatures w14:val="none"/>
        </w:rPr>
        <w:t>Investiția 3 (C13.I3) Digitalizarea și</w:t>
      </w:r>
      <w:r>
        <w:rPr>
          <w:rFonts w:ascii="Times New Roman" w:eastAsia="Times New Roman" w:hAnsi="Times New Roman" w:cs="Times New Roman"/>
          <w:noProof/>
          <w:color w:val="000000" w:themeColor="text1"/>
        </w:rPr>
        <w:t xml:space="preserve"> </w:t>
      </w:r>
      <w:r>
        <w:rPr>
          <w:rFonts w:ascii="Times New Roman" w:eastAsia="Times New Roman" w:hAnsi="Times New Roman" w:cs="Times New Roman"/>
          <w:noProof/>
          <w:color w:val="000000"/>
          <w:kern w:val="0"/>
          <w14:ligatures w14:val="none"/>
        </w:rPr>
        <w:t xml:space="preserve">inovarea și </w:t>
      </w:r>
      <w:r>
        <w:rPr>
          <w:rFonts w:ascii="Times New Roman" w:eastAsia="Times New Roman" w:hAnsi="Times New Roman" w:cs="Times New Roman"/>
          <w:noProof/>
          <w:color w:val="000000" w:themeColor="text1"/>
        </w:rPr>
        <w:t>schema de subvenții pentru digitalizarea întreprinderilor</w:t>
      </w:r>
    </w:p>
    <w:p w14:paraId="53DC705F" w14:textId="702C5378" w:rsidR="00D924EA" w:rsidRDefault="00011DE9">
      <w:pPr>
        <w:spacing w:before="120" w:after="120" w:line="240" w:lineRule="auto"/>
        <w:jc w:val="both"/>
        <w:textAlignment w:val="baseline"/>
        <w:rPr>
          <w:rFonts w:ascii="Times New Roman" w:eastAsia="Times New Roman" w:hAnsi="Times New Roman" w:cs="Times New Roman"/>
          <w:noProof/>
          <w:kern w:val="0"/>
          <w14:ligatures w14:val="none"/>
        </w:rPr>
      </w:pPr>
      <w:r>
        <w:rPr>
          <w:rFonts w:ascii="Times New Roman" w:eastAsia="Calibri" w:hAnsi="Times New Roman" w:cs="Times New Roman"/>
          <w:noProof/>
        </w:rPr>
        <w:t xml:space="preserve">Obiectivul acestei măsuri este de </w:t>
      </w:r>
      <w:bookmarkStart w:id="7" w:name="_Int_NjmXrA8l"/>
      <w:r>
        <w:rPr>
          <w:rFonts w:ascii="Times New Roman" w:eastAsia="Calibri" w:hAnsi="Times New Roman" w:cs="Times New Roman"/>
          <w:noProof/>
        </w:rPr>
        <w:t>a promova</w:t>
      </w:r>
      <w:bookmarkEnd w:id="7"/>
      <w:r>
        <w:rPr>
          <w:rFonts w:ascii="Times New Roman" w:hAnsi="Times New Roman" w:cs="Times New Roman"/>
          <w:noProof/>
        </w:rPr>
        <w:t xml:space="preserve"> transformarea digitală și competitivitatea IMM-urilor. Această măsură constă în punerea în aplicare a unor acțiuni în cadrul programului „Sprijin pentru clusterele de afaceri inovatoare” și al programului „Sprijin pentru centrele de inovare digitală”. Această măsură constă, de asemenea, într-o investiție publică într-o schemă de subvenții pentru a stimula investițiile private și a sprijini digitalizarea întreprinderilor în cadrul programului „Setul de instrumente digitale” și al programului „Kit Consulting”. Sistemul funcționează prin acordarea de stimulente financiare prin acordarea de subvenții.</w:t>
      </w:r>
      <w:r w:rsidR="00971820">
        <w:rPr>
          <w:rFonts w:ascii="Times New Roman" w:hAnsi="Times New Roman" w:cs="Times New Roman"/>
          <w:noProof/>
        </w:rPr>
        <w:t xml:space="preserve"> </w:t>
      </w:r>
    </w:p>
    <w:p w14:paraId="1FEE54EC" w14:textId="627A01E4" w:rsidR="00D924EA" w:rsidRDefault="00011DE9">
      <w:pPr>
        <w:pStyle w:val="P68B1DB1-Normal14"/>
        <w:spacing w:before="120" w:after="120" w:line="240" w:lineRule="auto"/>
        <w:jc w:val="both"/>
        <w:rPr>
          <w:noProof/>
        </w:rPr>
      </w:pPr>
      <w:r>
        <w:rPr>
          <w:noProof/>
        </w:rPr>
        <w:t>Lista categoriilor de soluții de digitalizare din cadrul programului „Setul de instrumente digitale” include cel puțin următoarele: I) prezența pe site și pe internet, ii) comerțul electronic, iii) gestionarea platformelor de comunicare socială, iv) gestionarea clienților, v) informații și analize de afaceri, vi)</w:t>
      </w:r>
      <w:r w:rsidR="00C202D2">
        <w:rPr>
          <w:noProof/>
        </w:rPr>
        <w:t> </w:t>
      </w:r>
      <w:r>
        <w:rPr>
          <w:noProof/>
        </w:rPr>
        <w:t>gestionarea proceselor, vii) factura electronică, viii) servicii și instrumente de birou virtuale, ix)</w:t>
      </w:r>
      <w:r w:rsidR="00C202D2">
        <w:rPr>
          <w:noProof/>
        </w:rPr>
        <w:t> </w:t>
      </w:r>
      <w:r>
        <w:rPr>
          <w:noProof/>
        </w:rPr>
        <w:t>comunicații securizate, x) securitatea cibernetică.</w:t>
      </w:r>
      <w:r w:rsidR="00971820">
        <w:rPr>
          <w:noProof/>
        </w:rPr>
        <w:t xml:space="preserve"> </w:t>
      </w:r>
    </w:p>
    <w:p w14:paraId="0F0B74EE" w14:textId="1BD31258" w:rsidR="00D924EA" w:rsidRDefault="00011DE9">
      <w:pPr>
        <w:pStyle w:val="P68B1DB1-Normal14"/>
        <w:spacing w:before="120" w:after="120" w:line="240" w:lineRule="auto"/>
        <w:jc w:val="both"/>
        <w:textAlignment w:val="baseline"/>
        <w:rPr>
          <w:noProof/>
        </w:rPr>
      </w:pPr>
      <w:r>
        <w:rPr>
          <w:noProof/>
        </w:rPr>
        <w:t>Lista serviciilor de consiliere din cadrul programului „Kit Consulting” include cel puțin următoarele: I) serviciul de consiliere în domeniul inteligenței artificiale, ii) serviciul de consiliere în materie de analiză a datelor (de bază), iii) serviciul de consiliere în materie de analiză a datelor (avansat), iv)</w:t>
      </w:r>
      <w:r w:rsidR="00C202D2">
        <w:rPr>
          <w:noProof/>
        </w:rPr>
        <w:t> </w:t>
      </w:r>
      <w:r>
        <w:rPr>
          <w:noProof/>
        </w:rPr>
        <w:t>serviciul de consiliere în materie de vânzări digitale, v) serviciul de consiliere privind procesele operaționale sau procesele de producție, vi) serviciul de consiliere privind strategia și performanța întreprinderilor, vii) serviciul de consiliere în materie de securitate cibernetică (de bază), viii) serviciul de consiliere în materie de securitate cibernetică (avansat), ix) serviciul de consiliere în materie de securitate cibernetică (pregătire pentru certificare), x) serviciul de consiliere „360” în transformarea digitală.</w:t>
      </w:r>
    </w:p>
    <w:p w14:paraId="5269C21F" w14:textId="2123D734" w:rsidR="00D924EA" w:rsidRDefault="00011DE9">
      <w:pPr>
        <w:pStyle w:val="P68B1DB1-Normal12"/>
        <w:spacing w:after="0" w:line="240" w:lineRule="auto"/>
        <w:textAlignment w:val="baseline"/>
        <w:rPr>
          <w:noProof/>
          <w:kern w:val="0"/>
          <w14:ligatures w14:val="none"/>
        </w:rPr>
      </w:pPr>
      <w:r>
        <w:rPr>
          <w:noProof/>
        </w:rPr>
        <w:t>Sistemul este gestionat de Red.es în calitate de partener de implementare.  </w:t>
      </w:r>
    </w:p>
    <w:p w14:paraId="3E490FF4" w14:textId="77777777" w:rsidR="00D924EA" w:rsidRDefault="00D924EA">
      <w:pPr>
        <w:spacing w:after="0" w:line="240" w:lineRule="auto"/>
        <w:textAlignment w:val="baseline"/>
        <w:rPr>
          <w:rFonts w:ascii="Times New Roman" w:eastAsia="Times New Roman" w:hAnsi="Times New Roman" w:cs="Times New Roman"/>
          <w:noProof/>
          <w:kern w:val="0"/>
          <w14:ligatures w14:val="none"/>
        </w:rPr>
      </w:pPr>
    </w:p>
    <w:p w14:paraId="13F5E4AD" w14:textId="4A4DAB13" w:rsidR="00D924EA" w:rsidRDefault="00011DE9">
      <w:pPr>
        <w:pStyle w:val="P68B1DB1-Normal12"/>
        <w:spacing w:after="0" w:line="240" w:lineRule="auto"/>
        <w:jc w:val="both"/>
        <w:textAlignment w:val="baseline"/>
        <w:rPr>
          <w:noProof/>
          <w:kern w:val="0"/>
          <w14:ligatures w14:val="none"/>
        </w:rPr>
      </w:pPr>
      <w:r>
        <w:rPr>
          <w:noProof/>
        </w:rPr>
        <w:t>Pentru a pune în aplicare investiția în schemă, Spania adoptă unul sau mai multe instrumente juridice de instituire a schemei, care includ următorul conținut:</w:t>
      </w:r>
    </w:p>
    <w:p w14:paraId="5B527CF0" w14:textId="77777777" w:rsidR="00D924EA" w:rsidRDefault="00011DE9">
      <w:pPr>
        <w:pStyle w:val="P68B1DB1-Normal12"/>
        <w:spacing w:after="0" w:line="240" w:lineRule="auto"/>
        <w:jc w:val="both"/>
        <w:textAlignment w:val="baseline"/>
        <w:rPr>
          <w:noProof/>
          <w:kern w:val="0"/>
          <w14:ligatures w14:val="none"/>
        </w:rPr>
      </w:pPr>
      <w:r>
        <w:rPr>
          <w:noProof/>
        </w:rPr>
        <w:t> </w:t>
      </w:r>
    </w:p>
    <w:p w14:paraId="068FF6F5" w14:textId="07EAB30B" w:rsidR="00D924EA" w:rsidRDefault="00011DE9">
      <w:pPr>
        <w:pStyle w:val="P68B1DB1-Normal12"/>
        <w:spacing w:after="0" w:line="240" w:lineRule="auto"/>
        <w:jc w:val="both"/>
        <w:textAlignment w:val="baseline"/>
        <w:rPr>
          <w:noProof/>
          <w:kern w:val="0"/>
          <w14:ligatures w14:val="none"/>
        </w:rPr>
      </w:pPr>
      <w:r>
        <w:rPr>
          <w:noProof/>
          <w:color w:val="000000" w:themeColor="text1"/>
        </w:rPr>
        <w:t xml:space="preserve">1. Descrierea procesului decizional al sistemului. Decizia finală de atribuire a sistemului este luată </w:t>
      </w:r>
      <w:r>
        <w:rPr>
          <w:noProof/>
        </w:rPr>
        <w:t xml:space="preserve">de directorul general al Red.es. </w:t>
      </w:r>
    </w:p>
    <w:p w14:paraId="5C01BA77" w14:textId="77777777" w:rsidR="00D924EA" w:rsidRDefault="00D924EA">
      <w:pPr>
        <w:spacing w:after="0" w:line="240" w:lineRule="auto"/>
        <w:textAlignment w:val="baseline"/>
        <w:rPr>
          <w:rFonts w:ascii="Times New Roman" w:eastAsia="Times New Roman" w:hAnsi="Times New Roman" w:cs="Times New Roman"/>
          <w:noProof/>
          <w:kern w:val="0"/>
          <w14:ligatures w14:val="none"/>
        </w:rPr>
      </w:pPr>
    </w:p>
    <w:p w14:paraId="495B608A" w14:textId="77777777" w:rsidR="00D924EA" w:rsidRDefault="00011DE9">
      <w:pPr>
        <w:pStyle w:val="FooterText"/>
        <w:textAlignment w:val="baseline"/>
        <w:rPr>
          <w:noProof/>
        </w:rPr>
      </w:pPr>
      <w:r>
        <w:rPr>
          <w:noProof/>
        </w:rPr>
        <w:t>2. Cerințele-cheie ale politicii de subvenționare asociate, care includ:   </w:t>
      </w:r>
    </w:p>
    <w:p w14:paraId="51936AE5" w14:textId="77777777" w:rsidR="00D924EA" w:rsidRDefault="00011DE9">
      <w:pPr>
        <w:pStyle w:val="P68B1DB1-Normal12"/>
        <w:spacing w:after="0" w:line="240" w:lineRule="auto"/>
        <w:ind w:left="1440"/>
        <w:jc w:val="both"/>
        <w:textAlignment w:val="baseline"/>
        <w:rPr>
          <w:noProof/>
          <w:kern w:val="0"/>
          <w14:ligatures w14:val="none"/>
        </w:rPr>
      </w:pPr>
      <w:r>
        <w:rPr>
          <w:noProof/>
        </w:rPr>
        <w:t>a) Descrierea subvențiilor acordate și a beneficiarilor finali eligibili</w:t>
      </w:r>
    </w:p>
    <w:p w14:paraId="72D5261C" w14:textId="44DDA283" w:rsidR="00D924EA" w:rsidRDefault="00011DE9">
      <w:pPr>
        <w:spacing w:after="0" w:line="240" w:lineRule="auto"/>
        <w:ind w:left="1440"/>
        <w:jc w:val="both"/>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u w:val="single"/>
        </w:rPr>
        <w:t>b</w:t>
      </w:r>
      <w:r>
        <w:rPr>
          <w:rFonts w:ascii="Times New Roman" w:hAnsi="Times New Roman" w:cs="Times New Roman"/>
          <w:noProof/>
        </w:rPr>
        <w:t>) Cerința de a respecta principiul de „a nu prejudicia în mod semnificativ”, astfel cum este prevăzută în Orientările tehnice privind principiul de „a nu prejudicia în mod semnificativ” (2021/C58/01). În special, politica de subvenționare exclude de la eligibilitate următoarele activități și active: (I) activitățile și activele legate de combustibilii fosili, inclusiv utilizarea în aval</w:t>
      </w:r>
      <w:r>
        <w:rPr>
          <w:rFonts w:ascii="Times New Roman" w:hAnsi="Times New Roman" w:cs="Times New Roman"/>
          <w:noProof/>
        </w:rPr>
        <w:footnoteReference w:id="42"/>
      </w:r>
      <w:r>
        <w:rPr>
          <w:rFonts w:ascii="Times New Roman" w:hAnsi="Times New Roman" w:cs="Times New Roman"/>
          <w:noProof/>
        </w:rPr>
        <w:t>, (ii) activitățile și activele din cadrul schemei UE de comercializare a certificatelor de emisii (ETS) care realizează emisii preconizate de gaze cu efect de seră care nu sunt mai mici decât valorile de referință relevante</w:t>
      </w:r>
      <w:r>
        <w:rPr>
          <w:rFonts w:ascii="Times New Roman" w:hAnsi="Times New Roman" w:cs="Times New Roman"/>
          <w:noProof/>
        </w:rPr>
        <w:footnoteReference w:id="43"/>
      </w:r>
      <w:r>
        <w:rPr>
          <w:rFonts w:ascii="Times New Roman" w:hAnsi="Times New Roman" w:cs="Times New Roman"/>
          <w:noProof/>
        </w:rPr>
        <w:t>, (iii) activitățile și activele legate de depozitele de deșeuri, incineratoare</w:t>
      </w:r>
      <w:r>
        <w:rPr>
          <w:rStyle w:val="FootnoteReference"/>
          <w:rFonts w:ascii="Times New Roman" w:hAnsi="Times New Roman" w:cs="Times New Roman"/>
          <w:noProof/>
        </w:rPr>
        <w:footnoteReference w:id="44"/>
      </w:r>
      <w:r>
        <w:rPr>
          <w:rFonts w:ascii="Times New Roman" w:hAnsi="Times New Roman" w:cs="Times New Roman"/>
          <w:noProof/>
        </w:rPr>
        <w:t xml:space="preserve"> și stațiile de tratare mecano-biologică</w:t>
      </w:r>
      <w:r>
        <w:rPr>
          <w:rStyle w:val="FootnoteReference"/>
          <w:rFonts w:ascii="Times New Roman" w:hAnsi="Times New Roman" w:cs="Times New Roman"/>
          <w:noProof/>
        </w:rPr>
        <w:footnoteReference w:id="45"/>
      </w:r>
      <w:r>
        <w:rPr>
          <w:rFonts w:ascii="Times New Roman" w:hAnsi="Times New Roman" w:cs="Times New Roman"/>
          <w:noProof/>
        </w:rPr>
        <w:t>.</w:t>
      </w:r>
    </w:p>
    <w:p w14:paraId="7624035E" w14:textId="6BB114E4" w:rsidR="00D924EA" w:rsidRDefault="00011DE9">
      <w:pPr>
        <w:pStyle w:val="P68B1DB1-Normal12"/>
        <w:spacing w:after="0" w:line="240" w:lineRule="auto"/>
        <w:ind w:left="1440"/>
        <w:jc w:val="both"/>
        <w:textAlignment w:val="baseline"/>
        <w:rPr>
          <w:noProof/>
          <w:kern w:val="0"/>
          <w14:ligatures w14:val="none"/>
        </w:rPr>
      </w:pPr>
      <w:r>
        <w:rPr>
          <w:noProof/>
          <w:u w:val="single"/>
        </w:rPr>
        <w:t>cerința</w:t>
      </w:r>
      <w:r>
        <w:rPr>
          <w:noProof/>
        </w:rPr>
        <w:t xml:space="preserve"> ca beneficiarii finali ai schemelor de subvenții să nu primească sprijin din partea altor instrumente ale Uniunii pentru a acoperi aceleași costuri.</w:t>
      </w:r>
      <w:r w:rsidR="00971820">
        <w:rPr>
          <w:noProof/>
        </w:rPr>
        <w:t xml:space="preserve"> </w:t>
      </w:r>
      <w:r>
        <w:rPr>
          <w:noProof/>
        </w:rPr>
        <w:t> </w:t>
      </w:r>
    </w:p>
    <w:p w14:paraId="5EA22F72" w14:textId="77777777" w:rsidR="00D924EA" w:rsidRDefault="00011DE9">
      <w:pPr>
        <w:pStyle w:val="P68B1DB1-Normal65"/>
        <w:spacing w:after="0" w:line="240" w:lineRule="auto"/>
        <w:textAlignment w:val="baseline"/>
        <w:rPr>
          <w:noProof/>
        </w:rPr>
      </w:pPr>
      <w:r>
        <w:rPr>
          <w:noProof/>
        </w:rPr>
        <w:t>  </w:t>
      </w:r>
    </w:p>
    <w:p w14:paraId="0F0323D3" w14:textId="3045A454" w:rsidR="00D924EA" w:rsidRDefault="00011DE9">
      <w:pPr>
        <w:pStyle w:val="P68B1DB1-Normal42"/>
        <w:spacing w:after="0" w:line="240" w:lineRule="auto"/>
        <w:ind w:left="465" w:hanging="465"/>
        <w:jc w:val="both"/>
        <w:textAlignment w:val="baseline"/>
        <w:rPr>
          <w:noProof/>
          <w:color w:val="000000"/>
          <w:kern w:val="0"/>
          <w14:ligatures w14:val="none"/>
        </w:rPr>
      </w:pPr>
      <w:r>
        <w:rPr>
          <w:noProof/>
        </w:rPr>
        <w:t>3. Suma acoperită de instrumentele juridice și cerința de a utiliza orice venituri neutilizate din sistem, inclusiv după 2026, în aceleași scopuri de politică.</w:t>
      </w:r>
      <w:r w:rsidR="00971820">
        <w:rPr>
          <w:noProof/>
        </w:rPr>
        <w:t xml:space="preserve"> </w:t>
      </w:r>
    </w:p>
    <w:p w14:paraId="06820F5A" w14:textId="77777777" w:rsidR="00D924EA" w:rsidRDefault="00D924EA">
      <w:pPr>
        <w:spacing w:after="0" w:line="240" w:lineRule="auto"/>
        <w:ind w:left="465" w:hanging="465"/>
        <w:jc w:val="both"/>
        <w:textAlignment w:val="baseline"/>
        <w:rPr>
          <w:rFonts w:ascii="Times New Roman" w:eastAsia="Times New Roman" w:hAnsi="Times New Roman" w:cs="Times New Roman"/>
          <w:strike/>
          <w:noProof/>
          <w:color w:val="881798"/>
        </w:rPr>
      </w:pPr>
    </w:p>
    <w:p w14:paraId="2FE6EE09" w14:textId="77777777" w:rsidR="00D924EA" w:rsidRDefault="00011DE9">
      <w:pPr>
        <w:pStyle w:val="P68B1DB1-Normal61"/>
        <w:spacing w:before="120" w:after="120" w:line="240" w:lineRule="auto"/>
        <w:jc w:val="both"/>
        <w:rPr>
          <w:rFonts w:cs="Times New Roman"/>
          <w:noProof/>
        </w:rPr>
      </w:pPr>
      <w:r>
        <w:rPr>
          <w:noProof/>
        </w:rPr>
        <w:t xml:space="preserve">Investiția 4 (C13.I4) Sprijin pentru comerț </w:t>
      </w:r>
    </w:p>
    <w:p w14:paraId="49468EF5" w14:textId="1F4123FD" w:rsidR="00D924EA" w:rsidRDefault="00011DE9">
      <w:pPr>
        <w:pStyle w:val="P68B1DB1-Normal62"/>
        <w:spacing w:before="120" w:after="120" w:line="240" w:lineRule="auto"/>
        <w:jc w:val="both"/>
        <w:rPr>
          <w:noProof/>
        </w:rPr>
      </w:pPr>
      <w:r>
        <w:rPr>
          <w:noProof/>
        </w:rPr>
        <w:t xml:space="preserve">Obiectivul acestei măsuri este de a ajuta întreprinderile mici să se adapteze la digitalizarea sectorului comercial și la schimbarea comportamentului consumatorilor. Această măsură constă în acordarea de sprijin sub formă de granturi pentru cel puțin 200 de IMM-uri sau asociații de întreprinderi prin intermediul Fondului tehnologic pentru proiecte de digitalizare, în crearea unei platforme digitale pentru a promova digitalizarea sectorului și în acordarea de sprijin sub formă de granturi pentru acțiuni legate de piețe, zone comerciale urbane, comerț itinerant și lanțuri scurte de aprovizionare sau de activitatea comercială din zonele rurale. </w:t>
      </w:r>
    </w:p>
    <w:p w14:paraId="2A3AC0E9" w14:textId="77777777" w:rsidR="00D924EA" w:rsidRDefault="00011DE9">
      <w:pPr>
        <w:pStyle w:val="P68B1DB1-Normal61"/>
        <w:spacing w:before="120" w:after="120" w:line="240" w:lineRule="auto"/>
        <w:jc w:val="both"/>
        <w:rPr>
          <w:rFonts w:cs="Times New Roman"/>
          <w:noProof/>
        </w:rPr>
      </w:pPr>
      <w:r>
        <w:rPr>
          <w:noProof/>
        </w:rPr>
        <w:t xml:space="preserve">Investiția 5 (C13.I5) Internaționalizare </w:t>
      </w:r>
    </w:p>
    <w:p w14:paraId="2B076FBB" w14:textId="77777777" w:rsidR="00D924EA" w:rsidRDefault="00011DE9">
      <w:pPr>
        <w:pStyle w:val="P68B1DB1-Normal62"/>
        <w:spacing w:before="120" w:after="120" w:line="240" w:lineRule="auto"/>
        <w:jc w:val="both"/>
        <w:rPr>
          <w:noProof/>
        </w:rPr>
      </w:pPr>
      <w:r>
        <w:rPr>
          <w:noProof/>
        </w:rPr>
        <w:t>Obiectivul acestei măsuri este de a consolida capacitățile și instrumentele pentru a ajuta întreprinderile spaniole să se extindă pe piețele mondiale. Această măsură constă în punerea în aplicare a unor acțiuni de sprijinire a internaționalizării întreprinderilor.</w:t>
      </w:r>
    </w:p>
    <w:p w14:paraId="6732C49A" w14:textId="210E5F7A" w:rsidR="00D924EA" w:rsidRDefault="00011DE9">
      <w:pPr>
        <w:pStyle w:val="P68B1DB1-Normal66"/>
        <w:spacing w:before="120" w:after="120" w:line="240" w:lineRule="auto"/>
        <w:jc w:val="both"/>
        <w:rPr>
          <w:noProof/>
        </w:rPr>
      </w:pPr>
      <w:r>
        <w:rPr>
          <w:noProof/>
        </w:rPr>
        <w:t>Investiția 11 (C13.I11) Instrumentul de garantare SGR-CERSA</w:t>
      </w:r>
    </w:p>
    <w:p w14:paraId="0E655A9C" w14:textId="64FC5CC6" w:rsidR="00D924EA" w:rsidRDefault="00011DE9">
      <w:pPr>
        <w:pStyle w:val="P68B1DB1-Normal42"/>
        <w:spacing w:before="120" w:after="120" w:line="240" w:lineRule="auto"/>
        <w:jc w:val="both"/>
        <w:rPr>
          <w:noProof/>
        </w:rPr>
      </w:pPr>
      <w:r>
        <w:rPr>
          <w:noProof/>
        </w:rPr>
        <w:t>Obiectivul acestei măsuri este de a îmbunătăți accesul întreprinderilor la finanțare.</w:t>
      </w:r>
      <w:r w:rsidR="00971820">
        <w:rPr>
          <w:noProof/>
        </w:rPr>
        <w:t xml:space="preserve"> </w:t>
      </w:r>
      <w:r>
        <w:rPr>
          <w:noProof/>
        </w:rPr>
        <w:t>Această măsură constă în acordarea de sprijin sub formă de contragaranții acordate de CERSA, permițând întreprinderilor să obțină garanții pentru investiții pe termen lung și capital circulant.</w:t>
      </w:r>
    </w:p>
    <w:p w14:paraId="6151DB80" w14:textId="77777777" w:rsidR="00D924EA" w:rsidRDefault="00011DE9">
      <w:pPr>
        <w:pStyle w:val="P68B1DB1-Normal67"/>
        <w:rPr>
          <w:noProof/>
        </w:rPr>
      </w:pPr>
      <w:r>
        <w:rPr>
          <w:noProof/>
        </w:rPr>
        <w:t>Investiția 14 (C13.I14): Injecția de capital în ICO</w:t>
      </w:r>
    </w:p>
    <w:p w14:paraId="1C5EAC9F" w14:textId="04CB8775" w:rsidR="00D924EA" w:rsidRDefault="00011DE9">
      <w:pPr>
        <w:pStyle w:val="NormalWeb"/>
        <w:spacing w:line="240" w:lineRule="auto"/>
        <w:jc w:val="both"/>
        <w:rPr>
          <w:noProof/>
        </w:rPr>
      </w:pPr>
      <w:r>
        <w:rPr>
          <w:noProof/>
        </w:rPr>
        <w:t xml:space="preserve">Această măsură vizează sprijinirea potențialului de creștere al economiei spaniole prin ajustarea structurală a nivelului sprijinului public disponibil pentru a remedia disfuncționalitățile pieței și ineficiențele din cadrul economiei. Măsura constă într-o injecție de capital în valoare de 4 028 583 192 EUR în favoarea Instituto de Crédito Official (ICO). </w:t>
      </w:r>
    </w:p>
    <w:p w14:paraId="7711118C" w14:textId="77777777" w:rsidR="00D924EA" w:rsidRDefault="00011DE9">
      <w:pPr>
        <w:pStyle w:val="P68B1DB1-LegalNumPar268"/>
        <w:tabs>
          <w:tab w:val="num" w:pos="360"/>
        </w:tabs>
        <w:ind w:left="0" w:firstLine="0"/>
        <w:jc w:val="both"/>
        <w:rPr>
          <w:noProof/>
        </w:rPr>
      </w:pPr>
      <w:r>
        <w:rPr>
          <w:noProof/>
        </w:rPr>
        <w:t>ICO adoptă o nouă politică de investiții pentru utilizarea capitalului propriu suplimentar. Politica de investiții include descrierea produsului (produselor) financiar (financiare) cu tipul preconizat de beneficiari finali eligibili pe care se preconizează că îl va sprijini inițial prin capitaluri proprii suplimentare, inclusiv calendarul preconizat pentru punerea în aplicare și valoarea preconizată a fiecărui produs financiar. ICO utilizează pentru capitalurile proprii suplimentare același sistem de audit și control care a fost evaluat pozitiv de Comisie în conformitate cu articolul 157 din Regulamentul (UE, Euratom) 2024/2509.</w:t>
      </w:r>
    </w:p>
    <w:p w14:paraId="43A021F6" w14:textId="670AC5F6" w:rsidR="00D924EA" w:rsidRDefault="00011DE9">
      <w:pPr>
        <w:pStyle w:val="LegalNumPar2"/>
        <w:tabs>
          <w:tab w:val="num" w:pos="360"/>
        </w:tabs>
        <w:ind w:left="0" w:firstLine="0"/>
        <w:jc w:val="both"/>
        <w:rPr>
          <w:rFonts w:ascii="Times New Roman" w:hAnsi="Times New Roman" w:cs="Times New Roman"/>
          <w:noProof/>
          <w:sz w:val="24"/>
          <w:szCs w:val="24"/>
        </w:rPr>
      </w:pPr>
      <w:r>
        <w:rPr>
          <w:rFonts w:ascii="Times New Roman" w:hAnsi="Times New Roman" w:cs="Times New Roman"/>
          <w:noProof/>
          <w:sz w:val="24"/>
          <w:szCs w:val="24"/>
        </w:rPr>
        <w:t>Politica de investiții impune ca produsul (produsele) financiar (financiare) pe care îl (le) sprijină capitalurile proprii suplimentare să respecte principiul de „a nu prejudicia în mod semnificativ”, astfel cum este prevăzut în Orientările tehnice privind aplicarea principiului de „a nu prejudicia în mod semnificativ” (2021/C58/01). În special, politica de investiții exclude de la eligibilitate următoarea listă de activități și active: (I) activitățile și activele legate de combustibilii fosili, inclusiv utilizarea în aval</w:t>
      </w:r>
      <w:r>
        <w:rPr>
          <w:rFonts w:ascii="Times New Roman" w:hAnsi="Times New Roman" w:cs="Times New Roman"/>
          <w:noProof/>
          <w:sz w:val="24"/>
          <w:szCs w:val="24"/>
        </w:rPr>
        <w:footnoteReference w:id="46"/>
      </w:r>
      <w:r>
        <w:rPr>
          <w:rFonts w:ascii="Times New Roman" w:hAnsi="Times New Roman" w:cs="Times New Roman"/>
          <w:noProof/>
          <w:sz w:val="24"/>
          <w:szCs w:val="24"/>
        </w:rPr>
        <w:t>, (ii) activitățile și activele din cadrul schemei UE de comercializare a certificatelor de emisii (ETS) care realizează emisii preconizate de gaze cu efect de seră care nu sunt mai mici decât valorile de referință relevante</w:t>
      </w:r>
      <w:r>
        <w:rPr>
          <w:rFonts w:ascii="Times New Roman" w:hAnsi="Times New Roman" w:cs="Times New Roman"/>
          <w:noProof/>
          <w:sz w:val="24"/>
          <w:szCs w:val="24"/>
        </w:rPr>
        <w:footnoteReference w:id="47"/>
      </w:r>
      <w:r>
        <w:rPr>
          <w:rFonts w:ascii="Times New Roman" w:hAnsi="Times New Roman" w:cs="Times New Roman"/>
          <w:noProof/>
          <w:sz w:val="24"/>
          <w:szCs w:val="24"/>
        </w:rPr>
        <w:t>, (iii) activitățile și activele legate de depozitele de deșeuri, incineratoare</w:t>
      </w:r>
      <w:r>
        <w:rPr>
          <w:rStyle w:val="FootnoteReference"/>
          <w:rFonts w:ascii="Times New Roman" w:hAnsi="Times New Roman" w:cs="Times New Roman"/>
          <w:noProof/>
          <w:sz w:val="24"/>
          <w:szCs w:val="24"/>
        </w:rPr>
        <w:footnoteReference w:id="48"/>
      </w:r>
      <w:r>
        <w:rPr>
          <w:rFonts w:ascii="Times New Roman" w:hAnsi="Times New Roman" w:cs="Times New Roman"/>
          <w:noProof/>
          <w:sz w:val="24"/>
          <w:szCs w:val="24"/>
        </w:rPr>
        <w:t xml:space="preserve"> și stațiile de tratare mecano-biologică</w:t>
      </w:r>
      <w:r>
        <w:rPr>
          <w:rStyle w:val="FootnoteReference"/>
          <w:rFonts w:ascii="Times New Roman" w:hAnsi="Times New Roman" w:cs="Times New Roman"/>
          <w:noProof/>
          <w:sz w:val="24"/>
          <w:szCs w:val="24"/>
        </w:rPr>
        <w:footnoteReference w:id="49"/>
      </w:r>
      <w:r>
        <w:rPr>
          <w:rFonts w:ascii="Times New Roman" w:hAnsi="Times New Roman" w:cs="Times New Roman"/>
          <w:noProof/>
          <w:sz w:val="24"/>
          <w:szCs w:val="24"/>
        </w:rPr>
        <w:t>. În plus, în cazul sprijinului general acordat întreprinderilor, politica de investiții va exclude întreprinderile cu un accent considerabil</w:t>
      </w:r>
      <w:r>
        <w:rPr>
          <w:rFonts w:ascii="Times New Roman" w:hAnsi="Times New Roman" w:cs="Times New Roman"/>
          <w:noProof/>
          <w:sz w:val="24"/>
          <w:szCs w:val="24"/>
        </w:rPr>
        <w:footnoteReference w:id="50"/>
      </w:r>
      <w:r>
        <w:rPr>
          <w:rFonts w:ascii="Times New Roman" w:hAnsi="Times New Roman" w:cs="Times New Roman"/>
          <w:noProof/>
          <w:sz w:val="24"/>
          <w:szCs w:val="24"/>
        </w:rPr>
        <w:t xml:space="preserve"> în următoarele sectoare: (I) producția de energie pe bază de combustibili fosili și activitățile conexe</w:t>
      </w:r>
      <w:r>
        <w:rPr>
          <w:rFonts w:ascii="Times New Roman" w:hAnsi="Times New Roman" w:cs="Times New Roman"/>
          <w:noProof/>
          <w:sz w:val="24"/>
          <w:szCs w:val="24"/>
        </w:rPr>
        <w:footnoteReference w:id="51"/>
      </w:r>
      <w:r>
        <w:rPr>
          <w:rFonts w:ascii="Times New Roman" w:hAnsi="Times New Roman" w:cs="Times New Roman"/>
          <w:noProof/>
          <w:sz w:val="24"/>
          <w:szCs w:val="24"/>
        </w:rPr>
        <w:t>; (II) industriile mari consumatoare de energie și/sau cu emisii ridicate de CO2</w:t>
      </w:r>
      <w:r>
        <w:rPr>
          <w:rFonts w:ascii="Times New Roman" w:hAnsi="Times New Roman" w:cs="Times New Roman"/>
          <w:noProof/>
          <w:sz w:val="24"/>
          <w:szCs w:val="24"/>
        </w:rPr>
        <w:footnoteReference w:id="52"/>
      </w:r>
      <w:r>
        <w:rPr>
          <w:rFonts w:ascii="Times New Roman" w:hAnsi="Times New Roman" w:cs="Times New Roman"/>
          <w:noProof/>
          <w:sz w:val="24"/>
          <w:szCs w:val="24"/>
        </w:rPr>
        <w:t>; (III) producția, închirierea sau vânzarea de vehicule poluante</w:t>
      </w:r>
      <w:r>
        <w:rPr>
          <w:rFonts w:ascii="Times New Roman" w:hAnsi="Times New Roman" w:cs="Times New Roman"/>
          <w:noProof/>
          <w:sz w:val="24"/>
          <w:szCs w:val="24"/>
        </w:rPr>
        <w:footnoteReference w:id="53"/>
      </w:r>
      <w:r>
        <w:rPr>
          <w:rFonts w:ascii="Times New Roman" w:hAnsi="Times New Roman" w:cs="Times New Roman"/>
          <w:noProof/>
          <w:sz w:val="24"/>
          <w:szCs w:val="24"/>
        </w:rPr>
        <w:t>; (IV) colectarea deșeurilor, tratarea și eliminarea deșeurilor</w:t>
      </w:r>
      <w:r>
        <w:rPr>
          <w:rFonts w:ascii="Times New Roman" w:hAnsi="Times New Roman" w:cs="Times New Roman"/>
          <w:noProof/>
          <w:sz w:val="24"/>
          <w:szCs w:val="24"/>
        </w:rPr>
        <w:footnoteReference w:id="54"/>
      </w:r>
      <w:r>
        <w:rPr>
          <w:rFonts w:ascii="Times New Roman" w:hAnsi="Times New Roman" w:cs="Times New Roman"/>
          <w:noProof/>
          <w:sz w:val="24"/>
          <w:szCs w:val="24"/>
        </w:rPr>
        <w:t>, (v) prelucrarea combustibilului nuclear, producția de energie nucleară. În plus, politica în materie de investiții impune</w:t>
      </w:r>
      <w:r>
        <w:rPr>
          <w:rFonts w:ascii="Times New Roman" w:hAnsi="Times New Roman" w:cs="Times New Roman"/>
          <w:b/>
          <w:noProof/>
          <w:sz w:val="24"/>
          <w:szCs w:val="24"/>
        </w:rPr>
        <w:t xml:space="preserve"> </w:t>
      </w:r>
      <w:r>
        <w:rPr>
          <w:rFonts w:ascii="Times New Roman" w:hAnsi="Times New Roman" w:cs="Times New Roman"/>
          <w:noProof/>
          <w:sz w:val="24"/>
          <w:szCs w:val="24"/>
        </w:rPr>
        <w:t>respectarea legislației UE și naționale relevante în domeniul mediului a beneficiarilor finali.</w:t>
      </w:r>
    </w:p>
    <w:p w14:paraId="4BEC97DE" w14:textId="77777777" w:rsidR="00D924EA" w:rsidRDefault="00D924EA">
      <w:pPr>
        <w:spacing w:before="120" w:after="120" w:line="240" w:lineRule="auto"/>
        <w:jc w:val="both"/>
        <w:rPr>
          <w:rFonts w:ascii="Times New Roman" w:eastAsia="Times New Roman" w:hAnsi="Times New Roman" w:cs="Times New Roman"/>
          <w:noProof/>
        </w:rPr>
      </w:pPr>
    </w:p>
    <w:p w14:paraId="4E8AFBE2" w14:textId="77777777" w:rsidR="00D924EA" w:rsidRDefault="00011DE9">
      <w:pPr>
        <w:pStyle w:val="P68B1DB1-Normal69"/>
        <w:keepNext/>
        <w:spacing w:before="120" w:after="120" w:line="240" w:lineRule="auto"/>
        <w:ind w:left="850"/>
        <w:jc w:val="both"/>
        <w:outlineLvl w:val="1"/>
        <w:rPr>
          <w:rFonts w:ascii="Times New Roman" w:eastAsia="MS Gothic" w:hAnsi="Times New Roman" w:cs="Times New Roman"/>
          <w:bCs/>
          <w:noProof/>
          <w:u w:val="single"/>
        </w:rPr>
      </w:pPr>
      <w:r>
        <w:rPr>
          <w:rFonts w:ascii="Times New Roman" w:eastAsia="MS Gothic" w:hAnsi="Times New Roman" w:cs="Symbol"/>
          <w:noProof/>
          <w:u w:val="single"/>
        </w:rPr>
        <w:t xml:space="preserve">M.2. </w:t>
      </w:r>
      <w:r>
        <w:rPr>
          <w:rFonts w:ascii="Symbol" w:eastAsia="MS Gothic" w:hAnsi="Symbol" w:cs="Symbol"/>
          <w:noProof/>
        </w:rPr>
        <w:t></w:t>
      </w:r>
      <w:r>
        <w:rPr>
          <w:rFonts w:ascii="Times New Roman" w:eastAsia="MS Gothic" w:hAnsi="Times New Roman" w:cs="Symbol"/>
          <w:noProof/>
          <w:u w:val="single"/>
        </w:rPr>
        <w:t>Jaloane, ținte, indicatori și calendarul de monitorizare și implementare aplicabile sprijinului financiar nerambursabil</w:t>
      </w:r>
    </w:p>
    <w:p w14:paraId="44EDFDF2" w14:textId="77777777" w:rsidR="00D924EA" w:rsidRDefault="00011DE9">
      <w:pPr>
        <w:pStyle w:val="P68B1DB1-Normal7"/>
        <w:spacing w:before="120" w:after="120" w:line="240" w:lineRule="auto"/>
        <w:jc w:val="both"/>
        <w:rPr>
          <w:rFonts w:cs="Times New Roman"/>
          <w:b/>
          <w:noProof/>
          <w:u w:val="single"/>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7933F584" w14:textId="77777777" w:rsidR="00D924EA" w:rsidRDefault="00D924EA">
      <w:pPr>
        <w:spacing w:before="120" w:after="120" w:line="240" w:lineRule="auto"/>
        <w:ind w:left="709"/>
        <w:jc w:val="both"/>
        <w:rPr>
          <w:rFonts w:ascii="Times New Roman" w:eastAsia="Calibri" w:hAnsi="Times New Roman" w:cs="Times New Roman"/>
          <w:noProof/>
          <w:kern w:val="0"/>
          <w14:ligatures w14:val="none"/>
        </w:rPr>
      </w:pPr>
    </w:p>
    <w:p w14:paraId="595EC987" w14:textId="77777777" w:rsidR="00D924EA" w:rsidRDefault="00D924EA">
      <w:pPr>
        <w:spacing w:before="120" w:after="120" w:line="240" w:lineRule="auto"/>
        <w:ind w:left="709"/>
        <w:jc w:val="both"/>
        <w:rPr>
          <w:rFonts w:ascii="Times New Roman" w:eastAsia="Calibri" w:hAnsi="Times New Roman" w:cs="Times New Roman"/>
          <w:noProof/>
          <w:kern w:val="0"/>
          <w14:ligatures w14:val="none"/>
        </w:rPr>
        <w:sectPr w:rsidR="00D924EA" w:rsidSect="00B528FB">
          <w:headerReference w:type="default" r:id="rId180"/>
          <w:footerReference w:type="default" r:id="rId181"/>
          <w:pgSz w:w="11907" w:h="16839"/>
          <w:pgMar w:top="1134" w:right="1134" w:bottom="1134" w:left="1134" w:header="567" w:footer="567" w:gutter="0"/>
          <w:cols w:space="720"/>
          <w:docGrid w:linePitch="360"/>
        </w:sectPr>
      </w:pP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6"/>
        <w:gridCol w:w="835"/>
        <w:gridCol w:w="1739"/>
        <w:gridCol w:w="1701"/>
        <w:gridCol w:w="992"/>
        <w:gridCol w:w="1134"/>
        <w:gridCol w:w="1134"/>
        <w:gridCol w:w="567"/>
        <w:gridCol w:w="709"/>
        <w:gridCol w:w="5108"/>
      </w:tblGrid>
      <w:tr w:rsidR="00D924EA" w14:paraId="00F8CAAE" w14:textId="77777777">
        <w:trPr>
          <w:trHeight w:val="309"/>
          <w:tblHeader/>
          <w:jc w:val="center"/>
        </w:trPr>
        <w:tc>
          <w:tcPr>
            <w:tcW w:w="696" w:type="dxa"/>
            <w:vMerge w:val="restart"/>
            <w:shd w:val="clear" w:color="auto" w:fill="C6D9F1"/>
            <w:noWrap/>
            <w:vAlign w:val="center"/>
          </w:tcPr>
          <w:p w14:paraId="2466348F" w14:textId="77777777" w:rsidR="00D924EA" w:rsidRDefault="00011DE9">
            <w:pPr>
              <w:pStyle w:val="P68B1DB1-Normal17"/>
              <w:spacing w:after="0" w:line="240" w:lineRule="auto"/>
              <w:jc w:val="center"/>
              <w:rPr>
                <w:rFonts w:cs="Times New Roman"/>
                <w:noProof/>
                <w:szCs w:val="18"/>
              </w:rPr>
            </w:pPr>
            <w:r>
              <w:rPr>
                <w:noProof/>
              </w:rPr>
              <w:t>Număr</w:t>
            </w:r>
          </w:p>
        </w:tc>
        <w:tc>
          <w:tcPr>
            <w:tcW w:w="836" w:type="dxa"/>
            <w:vMerge w:val="restart"/>
            <w:shd w:val="clear" w:color="auto" w:fill="C6D9F1"/>
            <w:noWrap/>
            <w:vAlign w:val="center"/>
          </w:tcPr>
          <w:p w14:paraId="7FFB16BB" w14:textId="77777777" w:rsidR="00D924EA" w:rsidRDefault="00011DE9">
            <w:pPr>
              <w:pStyle w:val="P68B1DB1-Normal17"/>
              <w:spacing w:after="0" w:line="240" w:lineRule="auto"/>
              <w:jc w:val="center"/>
              <w:rPr>
                <w:rFonts w:cs="Times New Roman"/>
                <w:noProof/>
                <w:szCs w:val="18"/>
              </w:rPr>
            </w:pPr>
            <w:r>
              <w:rPr>
                <w:noProof/>
              </w:rPr>
              <w:t>Măsură</w:t>
            </w:r>
          </w:p>
        </w:tc>
        <w:tc>
          <w:tcPr>
            <w:tcW w:w="835" w:type="dxa"/>
            <w:vMerge w:val="restart"/>
            <w:shd w:val="clear" w:color="auto" w:fill="C6D9F1"/>
            <w:noWrap/>
            <w:vAlign w:val="center"/>
          </w:tcPr>
          <w:p w14:paraId="5EA3FA65" w14:textId="0B19B9D3" w:rsidR="00D924EA" w:rsidRDefault="00011DE9">
            <w:pPr>
              <w:pStyle w:val="P68B1DB1-Normal6"/>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Etapă</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/Țintei</w:t>
            </w:r>
          </w:p>
        </w:tc>
        <w:tc>
          <w:tcPr>
            <w:tcW w:w="1739" w:type="dxa"/>
            <w:vMerge w:val="restart"/>
            <w:shd w:val="clear" w:color="auto" w:fill="C6D9F1"/>
            <w:noWrap/>
            <w:vAlign w:val="center"/>
          </w:tcPr>
          <w:p w14:paraId="53C9D546" w14:textId="77777777" w:rsidR="00D924EA" w:rsidRDefault="00011DE9">
            <w:pPr>
              <w:pStyle w:val="P68B1DB1-Normal17"/>
              <w:spacing w:after="0" w:line="240" w:lineRule="auto"/>
              <w:jc w:val="center"/>
              <w:rPr>
                <w:rFonts w:cs="Times New Roman"/>
                <w:noProof/>
                <w:szCs w:val="18"/>
              </w:rPr>
            </w:pPr>
            <w:r>
              <w:rPr>
                <w:noProof/>
              </w:rPr>
              <w:t>Nume</w:t>
            </w:r>
          </w:p>
        </w:tc>
        <w:tc>
          <w:tcPr>
            <w:tcW w:w="1701" w:type="dxa"/>
            <w:vMerge w:val="restart"/>
            <w:shd w:val="clear" w:color="auto" w:fill="C6D9F1"/>
            <w:noWrap/>
            <w:vAlign w:val="center"/>
          </w:tcPr>
          <w:p w14:paraId="0107BD71" w14:textId="77777777" w:rsidR="00D924EA" w:rsidRDefault="00011DE9">
            <w:pPr>
              <w:pStyle w:val="P68B1DB1-Normal17"/>
              <w:spacing w:after="0" w:line="240" w:lineRule="auto"/>
              <w:jc w:val="center"/>
              <w:rPr>
                <w:rFonts w:cs="Times New Roman"/>
                <w:noProof/>
                <w:szCs w:val="18"/>
              </w:rPr>
            </w:pPr>
            <w:r>
              <w:rPr>
                <w:noProof/>
              </w:rPr>
              <w:t>Indicator calitativ pentru jaloane</w:t>
            </w:r>
          </w:p>
        </w:tc>
        <w:tc>
          <w:tcPr>
            <w:tcW w:w="3260" w:type="dxa"/>
            <w:gridSpan w:val="3"/>
            <w:shd w:val="clear" w:color="auto" w:fill="C6D9F1"/>
            <w:noWrap/>
            <w:vAlign w:val="center"/>
          </w:tcPr>
          <w:p w14:paraId="20FB57D1" w14:textId="77777777" w:rsidR="00D924EA" w:rsidRDefault="00011DE9">
            <w:pPr>
              <w:pStyle w:val="P68B1DB1-Normal17"/>
              <w:spacing w:after="0" w:line="240" w:lineRule="auto"/>
              <w:jc w:val="center"/>
              <w:rPr>
                <w:rFonts w:cs="Times New Roman"/>
                <w:noProof/>
                <w:szCs w:val="18"/>
              </w:rPr>
            </w:pPr>
            <w:r>
              <w:rPr>
                <w:noProof/>
              </w:rPr>
              <w:t>Indicator cantitativ pentru ținte</w:t>
            </w:r>
          </w:p>
        </w:tc>
        <w:tc>
          <w:tcPr>
            <w:tcW w:w="1276" w:type="dxa"/>
            <w:gridSpan w:val="2"/>
            <w:shd w:val="clear" w:color="auto" w:fill="C6D9F1"/>
            <w:noWrap/>
            <w:vAlign w:val="center"/>
          </w:tcPr>
          <w:p w14:paraId="6564B681" w14:textId="77777777" w:rsidR="00D924EA" w:rsidRDefault="00011DE9">
            <w:pPr>
              <w:pStyle w:val="P68B1DB1-Normal17"/>
              <w:spacing w:after="0" w:line="240" w:lineRule="auto"/>
              <w:jc w:val="center"/>
              <w:rPr>
                <w:rFonts w:cs="Times New Roman"/>
                <w:noProof/>
                <w:szCs w:val="18"/>
              </w:rPr>
            </w:pPr>
            <w:r>
              <w:rPr>
                <w:noProof/>
              </w:rPr>
              <w:t>Timp</w:t>
            </w:r>
          </w:p>
        </w:tc>
        <w:tc>
          <w:tcPr>
            <w:tcW w:w="5108" w:type="dxa"/>
            <w:vMerge w:val="restart"/>
            <w:shd w:val="clear" w:color="auto" w:fill="C6D9F1"/>
            <w:noWrap/>
            <w:vAlign w:val="center"/>
          </w:tcPr>
          <w:p w14:paraId="63BA6670" w14:textId="77777777" w:rsidR="00D924EA" w:rsidRDefault="00011DE9">
            <w:pPr>
              <w:pStyle w:val="P68B1DB1-Normal17"/>
              <w:spacing w:after="0" w:line="240" w:lineRule="auto"/>
              <w:jc w:val="center"/>
              <w:rPr>
                <w:rFonts w:cs="Times New Roman"/>
                <w:noProof/>
                <w:szCs w:val="18"/>
              </w:rPr>
            </w:pPr>
            <w:r>
              <w:rPr>
                <w:noProof/>
              </w:rPr>
              <w:t>Descrierea fiecărui jalon și a fiecărei ținte</w:t>
            </w:r>
          </w:p>
        </w:tc>
      </w:tr>
      <w:tr w:rsidR="00D924EA" w14:paraId="441E1BEA" w14:textId="77777777">
        <w:trPr>
          <w:trHeight w:val="309"/>
          <w:tblHeader/>
          <w:jc w:val="center"/>
        </w:trPr>
        <w:tc>
          <w:tcPr>
            <w:tcW w:w="696" w:type="dxa"/>
            <w:vMerge/>
            <w:noWrap/>
          </w:tcPr>
          <w:p w14:paraId="63842F94" w14:textId="77777777" w:rsidR="00D924EA" w:rsidRDefault="00D924EA">
            <w:pPr>
              <w:spacing w:after="0" w:line="240" w:lineRule="auto"/>
              <w:jc w:val="center"/>
              <w:rPr>
                <w:rFonts w:ascii="Times New Roman" w:eastAsia="Calibri" w:hAnsi="Times New Roman" w:cs="Times New Roman"/>
                <w:b/>
                <w:noProof/>
                <w:kern w:val="0"/>
                <w:sz w:val="18"/>
                <w:szCs w:val="18"/>
                <w14:ligatures w14:val="none"/>
              </w:rPr>
            </w:pPr>
          </w:p>
        </w:tc>
        <w:tc>
          <w:tcPr>
            <w:tcW w:w="836" w:type="dxa"/>
            <w:vMerge/>
            <w:noWrap/>
          </w:tcPr>
          <w:p w14:paraId="61222DB6" w14:textId="77777777" w:rsidR="00D924EA" w:rsidRDefault="00D924EA">
            <w:pPr>
              <w:spacing w:after="0" w:line="240" w:lineRule="auto"/>
              <w:jc w:val="center"/>
              <w:rPr>
                <w:rFonts w:ascii="Times New Roman" w:eastAsia="Calibri" w:hAnsi="Times New Roman" w:cs="Times New Roman"/>
                <w:b/>
                <w:noProof/>
                <w:kern w:val="0"/>
                <w:sz w:val="18"/>
                <w:szCs w:val="18"/>
                <w14:ligatures w14:val="none"/>
              </w:rPr>
            </w:pPr>
          </w:p>
        </w:tc>
        <w:tc>
          <w:tcPr>
            <w:tcW w:w="835" w:type="dxa"/>
            <w:vMerge/>
            <w:noWrap/>
          </w:tcPr>
          <w:p w14:paraId="77408877" w14:textId="77777777" w:rsidR="00D924EA" w:rsidRDefault="00D924EA">
            <w:pPr>
              <w:spacing w:after="0" w:line="240" w:lineRule="auto"/>
              <w:jc w:val="center"/>
              <w:rPr>
                <w:rFonts w:ascii="Times New Roman" w:eastAsia="Calibri" w:hAnsi="Times New Roman" w:cs="Times New Roman"/>
                <w:b/>
                <w:noProof/>
                <w:kern w:val="0"/>
                <w:sz w:val="18"/>
                <w:szCs w:val="18"/>
                <w14:ligatures w14:val="none"/>
              </w:rPr>
            </w:pPr>
          </w:p>
        </w:tc>
        <w:tc>
          <w:tcPr>
            <w:tcW w:w="1739" w:type="dxa"/>
            <w:vMerge/>
            <w:noWrap/>
          </w:tcPr>
          <w:p w14:paraId="01C025E9" w14:textId="77777777" w:rsidR="00D924EA" w:rsidRDefault="00D924EA">
            <w:pPr>
              <w:spacing w:after="0" w:line="240" w:lineRule="auto"/>
              <w:rPr>
                <w:rFonts w:ascii="Times New Roman" w:eastAsia="Calibri" w:hAnsi="Times New Roman" w:cs="Times New Roman"/>
                <w:b/>
                <w:noProof/>
                <w:kern w:val="0"/>
                <w:sz w:val="18"/>
                <w:szCs w:val="18"/>
                <w14:ligatures w14:val="none"/>
              </w:rPr>
            </w:pPr>
          </w:p>
        </w:tc>
        <w:tc>
          <w:tcPr>
            <w:tcW w:w="1701" w:type="dxa"/>
            <w:vMerge/>
            <w:noWrap/>
          </w:tcPr>
          <w:p w14:paraId="437B05AE" w14:textId="77777777" w:rsidR="00D924EA" w:rsidRDefault="00D924EA">
            <w:pPr>
              <w:spacing w:after="0" w:line="240" w:lineRule="auto"/>
              <w:jc w:val="center"/>
              <w:rPr>
                <w:rFonts w:ascii="Times New Roman" w:eastAsia="Calibri" w:hAnsi="Times New Roman" w:cs="Times New Roman"/>
                <w:b/>
                <w:noProof/>
                <w:kern w:val="0"/>
                <w:sz w:val="18"/>
                <w:szCs w:val="18"/>
                <w14:ligatures w14:val="none"/>
              </w:rPr>
            </w:pPr>
          </w:p>
        </w:tc>
        <w:tc>
          <w:tcPr>
            <w:tcW w:w="992" w:type="dxa"/>
            <w:shd w:val="clear" w:color="auto" w:fill="C6D9F1"/>
            <w:noWrap/>
          </w:tcPr>
          <w:p w14:paraId="6195BA3B" w14:textId="77777777" w:rsidR="00D924EA" w:rsidRDefault="00011DE9">
            <w:pPr>
              <w:pStyle w:val="P68B1DB1-Normal17"/>
              <w:spacing w:after="0" w:line="240" w:lineRule="auto"/>
              <w:jc w:val="center"/>
              <w:rPr>
                <w:rFonts w:cs="Times New Roman"/>
                <w:noProof/>
                <w:szCs w:val="18"/>
              </w:rPr>
            </w:pPr>
            <w:r>
              <w:rPr>
                <w:noProof/>
              </w:rPr>
              <w:t>Unitate</w:t>
            </w:r>
          </w:p>
        </w:tc>
        <w:tc>
          <w:tcPr>
            <w:tcW w:w="1134" w:type="dxa"/>
            <w:shd w:val="clear" w:color="auto" w:fill="C6D9F1"/>
            <w:noWrap/>
          </w:tcPr>
          <w:p w14:paraId="481647FE" w14:textId="77777777" w:rsidR="00D924EA" w:rsidRDefault="00011DE9">
            <w:pPr>
              <w:pStyle w:val="P68B1DB1-Normal17"/>
              <w:spacing w:after="0" w:line="240" w:lineRule="auto"/>
              <w:jc w:val="center"/>
              <w:rPr>
                <w:rFonts w:cs="Times New Roman"/>
                <w:noProof/>
                <w:szCs w:val="18"/>
              </w:rPr>
            </w:pPr>
            <w:r>
              <w:rPr>
                <w:noProof/>
              </w:rPr>
              <w:t>Situația de referință</w:t>
            </w:r>
          </w:p>
        </w:tc>
        <w:tc>
          <w:tcPr>
            <w:tcW w:w="1134" w:type="dxa"/>
            <w:shd w:val="clear" w:color="auto" w:fill="C6D9F1"/>
            <w:noWrap/>
          </w:tcPr>
          <w:p w14:paraId="19D4BDF5" w14:textId="77777777" w:rsidR="00D924EA" w:rsidRDefault="00011DE9">
            <w:pPr>
              <w:pStyle w:val="P68B1DB1-Normal17"/>
              <w:spacing w:after="0" w:line="240" w:lineRule="auto"/>
              <w:jc w:val="center"/>
              <w:rPr>
                <w:rFonts w:cs="Times New Roman"/>
                <w:noProof/>
                <w:szCs w:val="18"/>
              </w:rPr>
            </w:pPr>
            <w:r>
              <w:rPr>
                <w:noProof/>
              </w:rPr>
              <w:t>Obiectiv</w:t>
            </w:r>
          </w:p>
        </w:tc>
        <w:tc>
          <w:tcPr>
            <w:tcW w:w="567" w:type="dxa"/>
            <w:shd w:val="clear" w:color="auto" w:fill="C6D9F1"/>
            <w:noWrap/>
          </w:tcPr>
          <w:p w14:paraId="11881BF3" w14:textId="684B684A" w:rsidR="00D924EA" w:rsidRDefault="00C202D2">
            <w:pPr>
              <w:pStyle w:val="P68B1DB1-Normal17"/>
              <w:spacing w:after="0" w:line="240" w:lineRule="auto"/>
              <w:jc w:val="center"/>
              <w:rPr>
                <w:rFonts w:cs="Times New Roman"/>
                <w:noProof/>
                <w:szCs w:val="18"/>
              </w:rPr>
            </w:pPr>
            <w:r>
              <w:rPr>
                <w:noProof/>
              </w:rPr>
              <w:t>T</w:t>
            </w:r>
          </w:p>
        </w:tc>
        <w:tc>
          <w:tcPr>
            <w:tcW w:w="709" w:type="dxa"/>
            <w:shd w:val="clear" w:color="auto" w:fill="C6D9F1"/>
            <w:noWrap/>
          </w:tcPr>
          <w:p w14:paraId="2DA4F8BE" w14:textId="77777777" w:rsidR="00D924EA" w:rsidRDefault="00011DE9">
            <w:pPr>
              <w:pStyle w:val="P68B1DB1-Normal17"/>
              <w:spacing w:after="0" w:line="240" w:lineRule="auto"/>
              <w:jc w:val="center"/>
              <w:rPr>
                <w:rFonts w:cs="Times New Roman"/>
                <w:noProof/>
                <w:szCs w:val="18"/>
              </w:rPr>
            </w:pPr>
            <w:r>
              <w:rPr>
                <w:noProof/>
              </w:rPr>
              <w:t>Anul</w:t>
            </w:r>
          </w:p>
        </w:tc>
        <w:tc>
          <w:tcPr>
            <w:tcW w:w="5108" w:type="dxa"/>
            <w:vMerge/>
            <w:noWrap/>
          </w:tcPr>
          <w:p w14:paraId="2CE76518" w14:textId="77777777" w:rsidR="00D924EA" w:rsidRDefault="00D924EA">
            <w:pPr>
              <w:spacing w:after="0" w:line="240" w:lineRule="auto"/>
              <w:rPr>
                <w:rFonts w:ascii="Times New Roman" w:eastAsia="Calibri" w:hAnsi="Times New Roman" w:cs="Times New Roman"/>
                <w:b/>
                <w:noProof/>
                <w:kern w:val="0"/>
                <w:sz w:val="18"/>
                <w:szCs w:val="18"/>
                <w14:ligatures w14:val="none"/>
              </w:rPr>
            </w:pPr>
          </w:p>
        </w:tc>
      </w:tr>
      <w:tr w:rsidR="00D924EA" w14:paraId="62408581" w14:textId="77777777">
        <w:trPr>
          <w:trHeight w:val="309"/>
          <w:jc w:val="center"/>
        </w:trPr>
        <w:tc>
          <w:tcPr>
            <w:tcW w:w="696" w:type="dxa"/>
            <w:shd w:val="clear" w:color="auto" w:fill="C6EFCE"/>
            <w:noWrap/>
          </w:tcPr>
          <w:p w14:paraId="5221C3D0" w14:textId="77777777" w:rsidR="00D924EA" w:rsidRDefault="00011DE9">
            <w:pPr>
              <w:pStyle w:val="P68B1DB1-Normal18"/>
              <w:spacing w:after="0" w:line="240" w:lineRule="auto"/>
              <w:jc w:val="center"/>
              <w:rPr>
                <w:rFonts w:eastAsia="Times New Roman" w:cs="Times New Roman"/>
                <w:noProof/>
                <w:szCs w:val="18"/>
              </w:rPr>
            </w:pPr>
            <w:r>
              <w:rPr>
                <w:noProof/>
              </w:rPr>
              <w:t>189</w:t>
            </w:r>
          </w:p>
        </w:tc>
        <w:tc>
          <w:tcPr>
            <w:tcW w:w="836" w:type="dxa"/>
            <w:shd w:val="clear" w:color="auto" w:fill="C6EFCE"/>
            <w:noWrap/>
          </w:tcPr>
          <w:p w14:paraId="7461DA4D" w14:textId="77777777" w:rsidR="00D924EA" w:rsidRDefault="00011DE9">
            <w:pPr>
              <w:pStyle w:val="P68B1DB1-Normal18"/>
              <w:spacing w:after="0" w:line="240" w:lineRule="auto"/>
              <w:jc w:val="center"/>
              <w:rPr>
                <w:rFonts w:eastAsia="Times New Roman" w:cs="Times New Roman"/>
                <w:noProof/>
                <w:szCs w:val="18"/>
              </w:rPr>
            </w:pPr>
            <w:r>
              <w:rPr>
                <w:noProof/>
              </w:rPr>
              <w:t>C13.R1</w:t>
            </w:r>
          </w:p>
        </w:tc>
        <w:tc>
          <w:tcPr>
            <w:tcW w:w="835" w:type="dxa"/>
            <w:shd w:val="clear" w:color="auto" w:fill="C6EFCE"/>
            <w:noWrap/>
          </w:tcPr>
          <w:p w14:paraId="6900B0B5" w14:textId="77777777" w:rsidR="00D924EA" w:rsidRDefault="00011DE9">
            <w:pPr>
              <w:pStyle w:val="P68B1DB1-Normal18"/>
              <w:spacing w:after="0" w:line="240" w:lineRule="auto"/>
              <w:jc w:val="center"/>
              <w:rPr>
                <w:rFonts w:eastAsia="Times New Roman" w:cs="Times New Roman"/>
                <w:noProof/>
                <w:szCs w:val="18"/>
              </w:rPr>
            </w:pPr>
            <w:r>
              <w:rPr>
                <w:noProof/>
              </w:rPr>
              <w:t>M</w:t>
            </w:r>
          </w:p>
        </w:tc>
        <w:tc>
          <w:tcPr>
            <w:tcW w:w="1739" w:type="dxa"/>
            <w:shd w:val="clear" w:color="auto" w:fill="C6EFCE"/>
            <w:noWrap/>
          </w:tcPr>
          <w:p w14:paraId="5A880FF4" w14:textId="77777777" w:rsidR="00D924EA" w:rsidRDefault="00011DE9">
            <w:pPr>
              <w:pStyle w:val="P68B1DB1-Normal18"/>
              <w:spacing w:after="0" w:line="240" w:lineRule="auto"/>
              <w:rPr>
                <w:rFonts w:eastAsia="Times New Roman" w:cs="Times New Roman"/>
                <w:noProof/>
                <w:szCs w:val="18"/>
              </w:rPr>
            </w:pPr>
            <w:r>
              <w:rPr>
                <w:noProof/>
              </w:rPr>
              <w:t xml:space="preserve">Intrarea în vigoare a Legii de modificare a Legii nr. 34/2006 privind accesul la profesiile de avocat și </w:t>
            </w:r>
            <w:r>
              <w:rPr>
                <w:i/>
                <w:noProof/>
              </w:rPr>
              <w:t>procuradores</w:t>
            </w:r>
            <w:r>
              <w:rPr>
                <w:noProof/>
              </w:rPr>
              <w:t xml:space="preserve"> </w:t>
            </w:r>
          </w:p>
        </w:tc>
        <w:tc>
          <w:tcPr>
            <w:tcW w:w="1701" w:type="dxa"/>
            <w:shd w:val="clear" w:color="auto" w:fill="C6EFCE"/>
            <w:noWrap/>
          </w:tcPr>
          <w:p w14:paraId="30D8FBAD" w14:textId="77777777" w:rsidR="00D924EA" w:rsidRDefault="00011DE9">
            <w:pPr>
              <w:pStyle w:val="P68B1DB1-Normal18"/>
              <w:spacing w:after="0" w:line="240" w:lineRule="auto"/>
              <w:jc w:val="center"/>
              <w:rPr>
                <w:rFonts w:cs="Times New Roman"/>
                <w:noProof/>
                <w:szCs w:val="18"/>
              </w:rPr>
            </w:pPr>
            <w:r>
              <w:rPr>
                <w:noProof/>
              </w:rPr>
              <w:t xml:space="preserve">Dispoziție din legea care indică intrarea în vigoare a legii </w:t>
            </w:r>
          </w:p>
        </w:tc>
        <w:tc>
          <w:tcPr>
            <w:tcW w:w="992" w:type="dxa"/>
            <w:shd w:val="clear" w:color="auto" w:fill="C6EFCE"/>
            <w:noWrap/>
          </w:tcPr>
          <w:p w14:paraId="0F3BF53E" w14:textId="77777777" w:rsidR="00D924EA" w:rsidRDefault="00011DE9">
            <w:pPr>
              <w:pStyle w:val="P68B1DB1-Normal18"/>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0A3BF364" w14:textId="77777777" w:rsidR="00D924EA" w:rsidRDefault="00011DE9">
            <w:pPr>
              <w:pStyle w:val="P68B1DB1-Normal18"/>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38F4E8B8" w14:textId="77777777" w:rsidR="00D924EA" w:rsidRDefault="00011DE9">
            <w:pPr>
              <w:pStyle w:val="P68B1DB1-Normal18"/>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2690A6D3" w14:textId="070DD959" w:rsidR="00D924EA" w:rsidRDefault="005701C9">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165CA72D" w14:textId="77777777" w:rsidR="00D924EA" w:rsidRDefault="00011DE9">
            <w:pPr>
              <w:pStyle w:val="P68B1DB1-Normal18"/>
              <w:spacing w:after="0" w:line="240" w:lineRule="auto"/>
              <w:jc w:val="center"/>
              <w:rPr>
                <w:rFonts w:eastAsia="Times New Roman" w:cs="Times New Roman"/>
                <w:noProof/>
                <w:szCs w:val="18"/>
              </w:rPr>
            </w:pPr>
            <w:r>
              <w:rPr>
                <w:noProof/>
              </w:rPr>
              <w:t>2021</w:t>
            </w:r>
          </w:p>
        </w:tc>
        <w:tc>
          <w:tcPr>
            <w:tcW w:w="5108" w:type="dxa"/>
            <w:shd w:val="clear" w:color="auto" w:fill="C6EFCE"/>
            <w:noWrap/>
          </w:tcPr>
          <w:p w14:paraId="7B861780" w14:textId="25472DB3" w:rsidR="00D924EA" w:rsidRDefault="00011DE9">
            <w:pPr>
              <w:pStyle w:val="P68B1DB1-Normal6"/>
              <w:spacing w:after="0" w:line="240" w:lineRule="auto"/>
              <w:rPr>
                <w:rFonts w:ascii="Times New Roman" w:eastAsia="Times New Roman" w:hAnsi="Times New Roman" w:cs="Times New Roman"/>
                <w:noProof/>
                <w:sz w:val="18"/>
                <w:szCs w:val="18"/>
              </w:rPr>
            </w:pPr>
            <w:r>
              <w:rPr>
                <w:rFonts w:ascii="Times New Roman" w:eastAsia="Calibri" w:hAnsi="Times New Roman" w:cs="Arial"/>
                <w:noProof/>
                <w:sz w:val="18"/>
              </w:rPr>
              <w:t xml:space="preserve">Intrarea în vigoare a Legii de modificare a Legii nr. 34/2006 privind accesul la profesiile de avocat și </w:t>
            </w:r>
            <w:r>
              <w:rPr>
                <w:rFonts w:ascii="Times New Roman" w:eastAsia="Calibri" w:hAnsi="Times New Roman" w:cs="Arial"/>
                <w:i/>
                <w:noProof/>
                <w:sz w:val="18"/>
              </w:rPr>
              <w:t>procuradores</w:t>
            </w:r>
            <w:r>
              <w:rPr>
                <w:rFonts w:ascii="Times New Roman" w:eastAsia="Calibri" w:hAnsi="Times New Roman" w:cs="Arial"/>
                <w:noProof/>
                <w:sz w:val="18"/>
              </w:rPr>
              <w:t>:</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Reformarea sistemului actual de taxe minime într-un sistem de taxe maxime și o nouă obligație de a prezenta clientului o estimare a costurilor pentru consultanță.</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 Permiterea activităților multidisciplinare ale profesiilor de avocat și de </w:t>
            </w:r>
            <w:r>
              <w:rPr>
                <w:rFonts w:ascii="Times New Roman" w:eastAsia="Calibri" w:hAnsi="Times New Roman" w:cs="Arial"/>
                <w:i/>
                <w:noProof/>
                <w:sz w:val="18"/>
              </w:rPr>
              <w:t>procuradores</w:t>
            </w:r>
            <w:r>
              <w:rPr>
                <w:rFonts w:ascii="Times New Roman" w:eastAsia="Calibri" w:hAnsi="Times New Roman" w:cs="Arial"/>
                <w:noProof/>
                <w:sz w:val="18"/>
              </w:rPr>
              <w:t xml:space="preserve"> în cadrul aceleiași entități juridice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Accesul unic la profesiile de avocat și </w:t>
            </w:r>
            <w:r>
              <w:rPr>
                <w:rFonts w:ascii="Times New Roman" w:eastAsia="Calibri" w:hAnsi="Times New Roman" w:cs="Arial"/>
                <w:i/>
                <w:noProof/>
                <w:sz w:val="18"/>
              </w:rPr>
              <w:t>procuradores</w:t>
            </w:r>
            <w:r>
              <w:rPr>
                <w:rFonts w:ascii="Times New Roman" w:eastAsia="Calibri" w:hAnsi="Times New Roman" w:cs="Arial"/>
                <w:noProof/>
                <w:sz w:val="18"/>
              </w:rPr>
              <w:t>.</w:t>
            </w:r>
          </w:p>
        </w:tc>
      </w:tr>
      <w:tr w:rsidR="00D924EA" w14:paraId="7AFF8470" w14:textId="77777777">
        <w:trPr>
          <w:trHeight w:val="309"/>
          <w:jc w:val="center"/>
        </w:trPr>
        <w:tc>
          <w:tcPr>
            <w:tcW w:w="696" w:type="dxa"/>
            <w:shd w:val="clear" w:color="auto" w:fill="C6EFCE"/>
            <w:noWrap/>
          </w:tcPr>
          <w:p w14:paraId="604E9761" w14:textId="77777777" w:rsidR="00D924EA" w:rsidRDefault="00011DE9">
            <w:pPr>
              <w:pStyle w:val="P68B1DB1-Normal18"/>
              <w:spacing w:after="0" w:line="240" w:lineRule="auto"/>
              <w:jc w:val="center"/>
              <w:rPr>
                <w:rFonts w:eastAsia="Times New Roman" w:cs="Times New Roman"/>
                <w:noProof/>
                <w:szCs w:val="18"/>
              </w:rPr>
            </w:pPr>
            <w:r>
              <w:rPr>
                <w:noProof/>
              </w:rPr>
              <w:t>190</w:t>
            </w:r>
          </w:p>
        </w:tc>
        <w:tc>
          <w:tcPr>
            <w:tcW w:w="836" w:type="dxa"/>
            <w:shd w:val="clear" w:color="auto" w:fill="C6EFCE"/>
            <w:noWrap/>
          </w:tcPr>
          <w:p w14:paraId="42124532" w14:textId="77777777" w:rsidR="00D924EA" w:rsidRDefault="00011DE9">
            <w:pPr>
              <w:pStyle w:val="P68B1DB1-Normal18"/>
              <w:spacing w:after="0" w:line="240" w:lineRule="auto"/>
              <w:jc w:val="center"/>
              <w:rPr>
                <w:rFonts w:eastAsia="Times New Roman" w:cs="Times New Roman"/>
                <w:noProof/>
                <w:szCs w:val="18"/>
              </w:rPr>
            </w:pPr>
            <w:r>
              <w:rPr>
                <w:noProof/>
              </w:rPr>
              <w:t>C13.R1</w:t>
            </w:r>
          </w:p>
        </w:tc>
        <w:tc>
          <w:tcPr>
            <w:tcW w:w="835" w:type="dxa"/>
            <w:shd w:val="clear" w:color="auto" w:fill="C6EFCE"/>
            <w:noWrap/>
          </w:tcPr>
          <w:p w14:paraId="51F56AA7" w14:textId="77777777" w:rsidR="00D924EA" w:rsidRDefault="00011DE9">
            <w:pPr>
              <w:pStyle w:val="P68B1DB1-Normal18"/>
              <w:spacing w:after="0" w:line="240" w:lineRule="auto"/>
              <w:jc w:val="center"/>
              <w:rPr>
                <w:rFonts w:eastAsia="Times New Roman" w:cs="Times New Roman"/>
                <w:noProof/>
                <w:szCs w:val="18"/>
              </w:rPr>
            </w:pPr>
            <w:r>
              <w:rPr>
                <w:noProof/>
              </w:rPr>
              <w:t>M</w:t>
            </w:r>
          </w:p>
        </w:tc>
        <w:tc>
          <w:tcPr>
            <w:tcW w:w="1739" w:type="dxa"/>
            <w:shd w:val="clear" w:color="auto" w:fill="C6EFCE"/>
            <w:noWrap/>
          </w:tcPr>
          <w:p w14:paraId="4F095A30" w14:textId="77777777" w:rsidR="00D924EA" w:rsidRDefault="00011DE9">
            <w:pPr>
              <w:pStyle w:val="P68B1DB1-Normal18"/>
              <w:spacing w:after="0" w:line="240" w:lineRule="auto"/>
              <w:rPr>
                <w:rFonts w:eastAsia="Times New Roman" w:cs="Times New Roman"/>
                <w:noProof/>
                <w:szCs w:val="18"/>
              </w:rPr>
            </w:pPr>
            <w:r>
              <w:rPr>
                <w:noProof/>
              </w:rPr>
              <w:t>Intrarea în vigoare a Legii de reformare a Legii privind insolvența</w:t>
            </w:r>
          </w:p>
        </w:tc>
        <w:tc>
          <w:tcPr>
            <w:tcW w:w="1701" w:type="dxa"/>
            <w:shd w:val="clear" w:color="auto" w:fill="C6EFCE"/>
            <w:noWrap/>
          </w:tcPr>
          <w:p w14:paraId="34D5D541" w14:textId="77777777" w:rsidR="00D924EA" w:rsidRDefault="00011DE9">
            <w:pPr>
              <w:pStyle w:val="P68B1DB1-Normal18"/>
              <w:spacing w:after="0" w:line="240" w:lineRule="auto"/>
              <w:jc w:val="center"/>
              <w:rPr>
                <w:rFonts w:eastAsia="Times New Roman" w:cs="Times New Roman"/>
                <w:noProof/>
                <w:szCs w:val="18"/>
              </w:rPr>
            </w:pPr>
            <w:r>
              <w:rPr>
                <w:noProof/>
              </w:rPr>
              <w:t xml:space="preserve">Dispoziție din legea care indică intrarea în vigoare a legii </w:t>
            </w:r>
          </w:p>
        </w:tc>
        <w:tc>
          <w:tcPr>
            <w:tcW w:w="992" w:type="dxa"/>
            <w:shd w:val="clear" w:color="auto" w:fill="C6EFCE"/>
            <w:noWrap/>
          </w:tcPr>
          <w:p w14:paraId="0A62F516" w14:textId="77777777" w:rsidR="00D924EA" w:rsidRDefault="00011DE9">
            <w:pPr>
              <w:pStyle w:val="P68B1DB1-Normal18"/>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1160F1A3" w14:textId="77777777" w:rsidR="00D924EA" w:rsidRDefault="00011DE9">
            <w:pPr>
              <w:pStyle w:val="P68B1DB1-Normal18"/>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4F22A6DF" w14:textId="77777777" w:rsidR="00D924EA" w:rsidRDefault="00011DE9">
            <w:pPr>
              <w:pStyle w:val="P68B1DB1-Normal18"/>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7F689CBD" w14:textId="4B4885C6" w:rsidR="00D924EA" w:rsidRDefault="005701C9">
            <w:pPr>
              <w:pStyle w:val="P68B1DB1-Normal18"/>
              <w:spacing w:after="0" w:line="240" w:lineRule="auto"/>
              <w:jc w:val="center"/>
              <w:rPr>
                <w:rFonts w:eastAsia="Times New Roman" w:cs="Times New Roman"/>
                <w:noProof/>
                <w:szCs w:val="18"/>
              </w:rPr>
            </w:pPr>
            <w:r>
              <w:rPr>
                <w:noProof/>
              </w:rPr>
              <w:t>T2</w:t>
            </w:r>
          </w:p>
        </w:tc>
        <w:tc>
          <w:tcPr>
            <w:tcW w:w="709" w:type="dxa"/>
            <w:shd w:val="clear" w:color="auto" w:fill="C6EFCE"/>
            <w:noWrap/>
          </w:tcPr>
          <w:p w14:paraId="6B51F5CB" w14:textId="77777777" w:rsidR="00D924EA" w:rsidRDefault="00011DE9">
            <w:pPr>
              <w:pStyle w:val="P68B1DB1-Normal18"/>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424F65C1" w14:textId="29F955CE" w:rsidR="00D924EA" w:rsidRDefault="00011DE9">
            <w:pPr>
              <w:spacing w:after="0" w:line="240" w:lineRule="auto"/>
              <w:rPr>
                <w:rFonts w:ascii="Times New Roman" w:eastAsia="Calibri" w:hAnsi="Times New Roman" w:cs="Arial"/>
                <w:noProof/>
                <w:kern w:val="0"/>
                <w:sz w:val="18"/>
                <w14:ligatures w14:val="none"/>
              </w:rPr>
            </w:pPr>
            <w:r>
              <w:rPr>
                <w:rFonts w:ascii="Times New Roman" w:eastAsia="Calibri" w:hAnsi="Times New Roman" w:cs="Arial"/>
                <w:noProof/>
                <w:kern w:val="0"/>
                <w:sz w:val="18"/>
                <w14:ligatures w14:val="none"/>
              </w:rPr>
              <w:t>Intrarea în vigoare a reformei „Legii privind insolvența”.</w:t>
            </w:r>
            <w:r w:rsidR="00971820">
              <w:rPr>
                <w:rFonts w:ascii="Times New Roman" w:eastAsia="Calibri" w:hAnsi="Times New Roman" w:cs="Arial"/>
                <w:noProof/>
                <w:kern w:val="0"/>
                <w:sz w:val="18"/>
                <w14:ligatures w14:val="none"/>
              </w:rPr>
              <w:t xml:space="preserve"> </w:t>
            </w:r>
            <w:r>
              <w:rPr>
                <w:rFonts w:ascii="Calibri" w:eastAsia="Calibri" w:hAnsi="Calibri" w:cs="Arial"/>
                <w:noProof/>
                <w:kern w:val="0"/>
                <w14:ligatures w14:val="none"/>
              </w:rPr>
              <w:t xml:space="preserve"> </w:t>
            </w:r>
            <w:r>
              <w:rPr>
                <w:rFonts w:ascii="Calibri" w:eastAsia="Calibri" w:hAnsi="Calibri" w:cs="Arial"/>
                <w:noProof/>
                <w:kern w:val="0"/>
                <w14:ligatures w14:val="none"/>
              </w:rPr>
              <w:br/>
            </w:r>
            <w:r>
              <w:rPr>
                <w:rFonts w:ascii="Times New Roman" w:eastAsia="Calibri" w:hAnsi="Times New Roman" w:cs="Arial"/>
                <w:noProof/>
                <w:kern w:val="0"/>
                <w:sz w:val="18"/>
                <w14:ligatures w14:val="none"/>
              </w:rPr>
              <w:t xml:space="preserve">Reforma Legii privind insolvența dincolo </w:t>
            </w:r>
            <w:r>
              <w:rPr>
                <w:rFonts w:ascii="Times New Roman" w:eastAsia="Calibri" w:hAnsi="Times New Roman" w:cs="Arial"/>
                <w:noProof/>
                <w:kern w:val="0"/>
                <w:sz w:val="18"/>
                <w:szCs w:val="18"/>
                <w14:ligatures w14:val="none"/>
              </w:rPr>
              <w:t>de</w:t>
            </w:r>
            <w:r>
              <w:rPr>
                <w:rFonts w:ascii="Times New Roman" w:eastAsia="Calibri" w:hAnsi="Times New Roman" w:cs="Arial"/>
                <w:noProof/>
                <w:kern w:val="0"/>
                <w:sz w:val="18"/>
                <w14:ligatures w14:val="none"/>
              </w:rPr>
              <w:t xml:space="preserve"> cerințele directivei:</w:t>
            </w:r>
            <w:r w:rsidR="00971820">
              <w:rPr>
                <w:rFonts w:ascii="Calibri" w:eastAsia="Calibri" w:hAnsi="Calibri" w:cs="Arial"/>
                <w:noProof/>
                <w:kern w:val="0"/>
                <w14:ligatures w14:val="none"/>
              </w:rPr>
              <w:t xml:space="preserve"> </w:t>
            </w:r>
            <w:r>
              <w:rPr>
                <w:rFonts w:ascii="Calibri" w:eastAsia="Calibri" w:hAnsi="Calibri" w:cs="Arial"/>
                <w:noProof/>
                <w:kern w:val="0"/>
                <w14:ligatures w14:val="none"/>
              </w:rPr>
              <w:br/>
            </w:r>
            <w:r>
              <w:rPr>
                <w:rFonts w:ascii="Times New Roman" w:eastAsia="Calibri" w:hAnsi="Times New Roman" w:cs="Arial"/>
                <w:noProof/>
                <w:kern w:val="0"/>
                <w:sz w:val="18"/>
                <w14:ligatures w14:val="none"/>
              </w:rPr>
              <w:t>— instituirea unei proceduri mai eficiente de a doua șansă pentru persoanele fizice, care să permită anularea datoriilor fără lichidarea prealabilă a activelor părții insolvabile</w:t>
            </w:r>
            <w:r>
              <w:rPr>
                <w:rFonts w:ascii="Calibri" w:eastAsia="Calibri" w:hAnsi="Calibri" w:cs="Arial"/>
                <w:noProof/>
                <w:kern w:val="0"/>
                <w14:ligatures w14:val="none"/>
              </w:rPr>
              <w:t xml:space="preserve"> </w:t>
            </w:r>
            <w:r>
              <w:rPr>
                <w:rFonts w:ascii="Calibri" w:eastAsia="Calibri" w:hAnsi="Calibri" w:cs="Arial"/>
                <w:noProof/>
                <w:kern w:val="0"/>
                <w14:ligatures w14:val="none"/>
              </w:rPr>
              <w:br/>
              <w:t xml:space="preserve"> </w:t>
            </w:r>
            <w:r>
              <w:rPr>
                <w:rFonts w:ascii="Times New Roman" w:eastAsia="Calibri" w:hAnsi="Times New Roman" w:cs="Arial"/>
                <w:noProof/>
                <w:kern w:val="0"/>
                <w:sz w:val="18"/>
                <w14:ligatures w14:val="none"/>
              </w:rPr>
              <w:t>— va stabili o procedură specială pentru microîntreprinderi, care va reduce durata și costurile și va fi prelucrată integral prin mijloace electronice.</w:t>
            </w:r>
          </w:p>
        </w:tc>
      </w:tr>
      <w:tr w:rsidR="00D924EA" w14:paraId="7C08113D" w14:textId="77777777">
        <w:trPr>
          <w:trHeight w:val="309"/>
          <w:jc w:val="center"/>
        </w:trPr>
        <w:tc>
          <w:tcPr>
            <w:tcW w:w="696" w:type="dxa"/>
            <w:shd w:val="clear" w:color="auto" w:fill="C6EFCE"/>
            <w:noWrap/>
          </w:tcPr>
          <w:p w14:paraId="3788A909" w14:textId="77777777" w:rsidR="00D924EA" w:rsidRDefault="00011DE9">
            <w:pPr>
              <w:pStyle w:val="P68B1DB1-Normal18"/>
              <w:spacing w:after="0" w:line="240" w:lineRule="auto"/>
              <w:jc w:val="center"/>
              <w:rPr>
                <w:rFonts w:eastAsia="Times New Roman" w:cs="Times New Roman"/>
                <w:noProof/>
                <w:szCs w:val="18"/>
              </w:rPr>
            </w:pPr>
            <w:r>
              <w:rPr>
                <w:noProof/>
              </w:rPr>
              <w:t>191</w:t>
            </w:r>
          </w:p>
        </w:tc>
        <w:tc>
          <w:tcPr>
            <w:tcW w:w="836" w:type="dxa"/>
            <w:shd w:val="clear" w:color="auto" w:fill="C6EFCE"/>
            <w:noWrap/>
          </w:tcPr>
          <w:p w14:paraId="10C98AED" w14:textId="77777777" w:rsidR="00D924EA" w:rsidRDefault="00011DE9">
            <w:pPr>
              <w:pStyle w:val="P68B1DB1-Normal18"/>
              <w:spacing w:after="0" w:line="240" w:lineRule="auto"/>
              <w:jc w:val="center"/>
              <w:rPr>
                <w:rFonts w:eastAsia="Times New Roman" w:cs="Times New Roman"/>
                <w:noProof/>
                <w:szCs w:val="18"/>
              </w:rPr>
            </w:pPr>
            <w:r>
              <w:rPr>
                <w:noProof/>
              </w:rPr>
              <w:t>C13.R1</w:t>
            </w:r>
          </w:p>
        </w:tc>
        <w:tc>
          <w:tcPr>
            <w:tcW w:w="835" w:type="dxa"/>
            <w:shd w:val="clear" w:color="auto" w:fill="C6EFCE"/>
            <w:noWrap/>
          </w:tcPr>
          <w:p w14:paraId="1EE3529B" w14:textId="77777777" w:rsidR="00D924EA" w:rsidRDefault="00011DE9">
            <w:pPr>
              <w:pStyle w:val="P68B1DB1-Normal18"/>
              <w:spacing w:after="0" w:line="240" w:lineRule="auto"/>
              <w:jc w:val="center"/>
              <w:rPr>
                <w:rFonts w:eastAsia="Times New Roman" w:cs="Times New Roman"/>
                <w:noProof/>
                <w:szCs w:val="18"/>
              </w:rPr>
            </w:pPr>
            <w:r>
              <w:rPr>
                <w:noProof/>
              </w:rPr>
              <w:t>M</w:t>
            </w:r>
          </w:p>
        </w:tc>
        <w:tc>
          <w:tcPr>
            <w:tcW w:w="1739" w:type="dxa"/>
            <w:shd w:val="clear" w:color="auto" w:fill="C6EFCE"/>
            <w:noWrap/>
          </w:tcPr>
          <w:p w14:paraId="11E4DA1B" w14:textId="77777777" w:rsidR="00D924EA" w:rsidRDefault="00011DE9">
            <w:pPr>
              <w:pStyle w:val="P68B1DB1-Normal18"/>
              <w:spacing w:after="0" w:line="240" w:lineRule="auto"/>
              <w:rPr>
                <w:rFonts w:eastAsia="Times New Roman" w:cs="Times New Roman"/>
                <w:noProof/>
                <w:szCs w:val="18"/>
              </w:rPr>
            </w:pPr>
            <w:r>
              <w:rPr>
                <w:noProof/>
              </w:rPr>
              <w:t>Intrarea în vigoare a Legii privind crearea și creșterea întreprinderilor</w:t>
            </w:r>
          </w:p>
        </w:tc>
        <w:tc>
          <w:tcPr>
            <w:tcW w:w="1701" w:type="dxa"/>
            <w:shd w:val="clear" w:color="auto" w:fill="C6EFCE"/>
            <w:noWrap/>
          </w:tcPr>
          <w:p w14:paraId="138FF077" w14:textId="77777777" w:rsidR="00D924EA" w:rsidRDefault="00011DE9">
            <w:pPr>
              <w:pStyle w:val="P68B1DB1-Normal18"/>
              <w:spacing w:after="0" w:line="240" w:lineRule="auto"/>
              <w:jc w:val="center"/>
              <w:rPr>
                <w:rFonts w:eastAsia="Times New Roman" w:cs="Times New Roman"/>
                <w:noProof/>
                <w:szCs w:val="18"/>
              </w:rPr>
            </w:pPr>
            <w:r>
              <w:rPr>
                <w:noProof/>
              </w:rPr>
              <w:t xml:space="preserve">Dispoziție din legea care indică intrarea în vigoare a legii </w:t>
            </w:r>
          </w:p>
        </w:tc>
        <w:tc>
          <w:tcPr>
            <w:tcW w:w="992" w:type="dxa"/>
            <w:shd w:val="clear" w:color="auto" w:fill="C6EFCE"/>
            <w:noWrap/>
          </w:tcPr>
          <w:p w14:paraId="1408B09E" w14:textId="77777777" w:rsidR="00D924EA" w:rsidRDefault="00011DE9">
            <w:pPr>
              <w:pStyle w:val="P68B1DB1-Normal18"/>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2C6C5765" w14:textId="77777777" w:rsidR="00D924EA" w:rsidRDefault="00011DE9">
            <w:pPr>
              <w:pStyle w:val="P68B1DB1-Normal18"/>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536187CB" w14:textId="77777777" w:rsidR="00D924EA" w:rsidRDefault="00011DE9">
            <w:pPr>
              <w:pStyle w:val="P68B1DB1-Normal18"/>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5FA3693C" w14:textId="7AA12D28" w:rsidR="00D924EA" w:rsidRDefault="005701C9">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1B09119E" w14:textId="77777777" w:rsidR="00D924EA" w:rsidRDefault="00011DE9">
            <w:pPr>
              <w:pStyle w:val="P68B1DB1-Normal18"/>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45F5A6AD" w14:textId="77777777" w:rsidR="00D924EA" w:rsidRDefault="00011DE9">
            <w:pPr>
              <w:pStyle w:val="P68B1DB1-Normal18"/>
              <w:spacing w:after="0" w:line="240" w:lineRule="auto"/>
              <w:rPr>
                <w:rFonts w:eastAsia="Times New Roman" w:cs="Times New Roman"/>
                <w:noProof/>
                <w:szCs w:val="18"/>
              </w:rPr>
            </w:pPr>
            <w:r>
              <w:rPr>
                <w:noProof/>
              </w:rPr>
              <w:t xml:space="preserve">Intrarea în vigoare a noii „Legi privind crearea și creșterea întreprinderilor” pentru a simplifica procedurile de înființare a unei întreprinderi și pentru a promova surse diversificate de finanțare pentru dezvoltarea întreprinderilor. Legea privind crearea și creșterea întreprinderilor include, de asemenea, măsuri de promovare a unei culturi a plăților anticipate, în special pentru a furniza lichidități IMM-urilor și persoanelor care desfășoară o activitate independentă prin evitarea întârzierilor în efectuarea plăților. Măsurile care trebuie puse în aplicare pentru a promova o cultură a plăților anticipate includ orientări privind publicitatea și transparența termenelor de plată, cele mai bune practici comerciale și mecanisme pentru o mai bună aplicare, cum ar fi un sistem de soluționare extrajudiciară a litigiilor. Legea privind crearea și creșterea întreprinderilor include, de asemenea, modificări ale „Legii privind unitatea pieței” pentru a facilita punerea sa în aplicare și pentru a consolida mecanismele aflate la dispoziția operatorilor de pe piață afectați de barierele de pe piață. Se instituie o nouă conferință sectorială pentru îmbunătățirea reglementărilor și climatul de afaceri pentru a facilita aplicarea corectă a principiilor bunei reglementări de către toate administrațiile publice și pentru a asigura o coordonare optimă a diferitelor administrații. </w:t>
            </w:r>
          </w:p>
        </w:tc>
      </w:tr>
      <w:tr w:rsidR="00D924EA" w14:paraId="0F478BAD" w14:textId="77777777">
        <w:trPr>
          <w:trHeight w:val="309"/>
          <w:jc w:val="center"/>
        </w:trPr>
        <w:tc>
          <w:tcPr>
            <w:tcW w:w="696" w:type="dxa"/>
            <w:shd w:val="clear" w:color="auto" w:fill="C6EFCE"/>
            <w:noWrap/>
          </w:tcPr>
          <w:p w14:paraId="51F1ECDD" w14:textId="77777777" w:rsidR="00D924EA" w:rsidRDefault="00011DE9">
            <w:pPr>
              <w:pStyle w:val="P68B1DB1-Normal47"/>
              <w:spacing w:after="0" w:line="240" w:lineRule="auto"/>
              <w:jc w:val="center"/>
              <w:rPr>
                <w:rFonts w:cs="Times New Roman"/>
                <w:noProof/>
              </w:rPr>
            </w:pPr>
            <w:r>
              <w:rPr>
                <w:noProof/>
              </w:rPr>
              <w:t>450</w:t>
            </w:r>
          </w:p>
        </w:tc>
        <w:tc>
          <w:tcPr>
            <w:tcW w:w="836" w:type="dxa"/>
            <w:shd w:val="clear" w:color="auto" w:fill="C6EFCE"/>
            <w:noWrap/>
          </w:tcPr>
          <w:p w14:paraId="4918CBA7" w14:textId="77777777" w:rsidR="00D924EA" w:rsidRDefault="00011DE9">
            <w:pPr>
              <w:pStyle w:val="P68B1DB1-Normal47"/>
              <w:spacing w:after="0" w:line="240" w:lineRule="auto"/>
              <w:jc w:val="center"/>
              <w:rPr>
                <w:rFonts w:cs="Times New Roman"/>
                <w:noProof/>
              </w:rPr>
            </w:pPr>
            <w:r>
              <w:rPr>
                <w:noProof/>
              </w:rPr>
              <w:t>C13.R2</w:t>
            </w:r>
          </w:p>
        </w:tc>
        <w:tc>
          <w:tcPr>
            <w:tcW w:w="835" w:type="dxa"/>
            <w:shd w:val="clear" w:color="auto" w:fill="C6EFCE"/>
            <w:noWrap/>
          </w:tcPr>
          <w:p w14:paraId="574998B0" w14:textId="77777777" w:rsidR="00D924EA" w:rsidRDefault="00011DE9">
            <w:pPr>
              <w:pStyle w:val="P68B1DB1-Normal47"/>
              <w:spacing w:after="0" w:line="240" w:lineRule="auto"/>
              <w:jc w:val="center"/>
              <w:rPr>
                <w:rFonts w:cs="Times New Roman"/>
                <w:noProof/>
              </w:rPr>
            </w:pPr>
            <w:r>
              <w:rPr>
                <w:noProof/>
              </w:rPr>
              <w:t>M</w:t>
            </w:r>
          </w:p>
        </w:tc>
        <w:tc>
          <w:tcPr>
            <w:tcW w:w="1739" w:type="dxa"/>
            <w:shd w:val="clear" w:color="auto" w:fill="C6EFCE"/>
            <w:noWrap/>
          </w:tcPr>
          <w:p w14:paraId="3D737BAB" w14:textId="77777777" w:rsidR="00D924EA" w:rsidRDefault="00011DE9">
            <w:pPr>
              <w:pStyle w:val="P68B1DB1-Normal47"/>
              <w:spacing w:after="0" w:line="240" w:lineRule="auto"/>
              <w:rPr>
                <w:rFonts w:cs="Times New Roman"/>
                <w:noProof/>
              </w:rPr>
            </w:pPr>
            <w:r>
              <w:rPr>
                <w:noProof/>
              </w:rPr>
              <w:t>Intrarea în vigoare a Decretului regal 629/2022 din 26 iulie de modificare a Regulamentului Legii organice 4/2000 privind drepturile și libertățile străinilor în Spania și integrarea lor socială</w:t>
            </w:r>
          </w:p>
        </w:tc>
        <w:tc>
          <w:tcPr>
            <w:tcW w:w="1701" w:type="dxa"/>
            <w:shd w:val="clear" w:color="auto" w:fill="C6EFCE"/>
            <w:noWrap/>
          </w:tcPr>
          <w:p w14:paraId="125C1FE6" w14:textId="77777777" w:rsidR="00D924EA" w:rsidRDefault="00011DE9">
            <w:pPr>
              <w:pStyle w:val="P68B1DB1-Normal47"/>
              <w:spacing w:after="0" w:line="240" w:lineRule="auto"/>
              <w:jc w:val="center"/>
              <w:rPr>
                <w:rFonts w:cs="Times New Roman"/>
                <w:noProof/>
              </w:rPr>
            </w:pPr>
            <w:r>
              <w:rPr>
                <w:noProof/>
              </w:rPr>
              <w:t>Dispoziție din decretul regal care indică intrarea în vigoare a dispozițiilor relevante</w:t>
            </w:r>
          </w:p>
        </w:tc>
        <w:tc>
          <w:tcPr>
            <w:tcW w:w="992" w:type="dxa"/>
            <w:shd w:val="clear" w:color="auto" w:fill="C6EFCE"/>
            <w:noWrap/>
          </w:tcPr>
          <w:p w14:paraId="734066AF" w14:textId="77777777" w:rsidR="00D924EA" w:rsidRDefault="00D924EA">
            <w:pPr>
              <w:spacing w:after="0" w:line="240" w:lineRule="auto"/>
              <w:jc w:val="center"/>
              <w:rPr>
                <w:rFonts w:ascii="Times New Roman" w:eastAsia="Calibri" w:hAnsi="Times New Roman" w:cs="Times New Roman"/>
                <w:noProof/>
                <w:kern w:val="0"/>
                <w:sz w:val="18"/>
                <w:szCs w:val="18"/>
                <w14:ligatures w14:val="none"/>
              </w:rPr>
            </w:pPr>
          </w:p>
        </w:tc>
        <w:tc>
          <w:tcPr>
            <w:tcW w:w="1134" w:type="dxa"/>
            <w:shd w:val="clear" w:color="auto" w:fill="C6EFCE"/>
            <w:noWrap/>
          </w:tcPr>
          <w:p w14:paraId="08B04741" w14:textId="77777777" w:rsidR="00D924EA" w:rsidRDefault="00D924EA">
            <w:pPr>
              <w:spacing w:after="0" w:line="240" w:lineRule="auto"/>
              <w:jc w:val="right"/>
              <w:rPr>
                <w:rFonts w:ascii="Times New Roman" w:eastAsia="Calibri" w:hAnsi="Times New Roman" w:cs="Times New Roman"/>
                <w:noProof/>
                <w:kern w:val="0"/>
                <w:sz w:val="18"/>
                <w:szCs w:val="18"/>
                <w14:ligatures w14:val="none"/>
              </w:rPr>
            </w:pPr>
          </w:p>
        </w:tc>
        <w:tc>
          <w:tcPr>
            <w:tcW w:w="1134" w:type="dxa"/>
            <w:shd w:val="clear" w:color="auto" w:fill="C6EFCE"/>
            <w:noWrap/>
          </w:tcPr>
          <w:p w14:paraId="6DAA4FDE" w14:textId="77777777" w:rsidR="00D924EA" w:rsidRDefault="00D924EA">
            <w:pPr>
              <w:spacing w:after="0" w:line="240" w:lineRule="auto"/>
              <w:jc w:val="right"/>
              <w:rPr>
                <w:rFonts w:ascii="Times New Roman" w:eastAsia="Calibri" w:hAnsi="Times New Roman" w:cs="Times New Roman"/>
                <w:noProof/>
                <w:kern w:val="0"/>
                <w:sz w:val="18"/>
                <w:szCs w:val="18"/>
                <w14:ligatures w14:val="none"/>
              </w:rPr>
            </w:pPr>
          </w:p>
        </w:tc>
        <w:tc>
          <w:tcPr>
            <w:tcW w:w="567" w:type="dxa"/>
            <w:shd w:val="clear" w:color="auto" w:fill="C6EFCE"/>
            <w:noWrap/>
          </w:tcPr>
          <w:p w14:paraId="39C6EDE3" w14:textId="6DC27DCB" w:rsidR="00D924EA" w:rsidRDefault="005701C9">
            <w:pPr>
              <w:pStyle w:val="P68B1DB1-Normal47"/>
              <w:spacing w:after="0" w:line="240" w:lineRule="auto"/>
              <w:jc w:val="center"/>
              <w:rPr>
                <w:rFonts w:cs="Times New Roman"/>
                <w:noProof/>
              </w:rPr>
            </w:pPr>
            <w:r>
              <w:rPr>
                <w:noProof/>
              </w:rPr>
              <w:t>T3</w:t>
            </w:r>
          </w:p>
        </w:tc>
        <w:tc>
          <w:tcPr>
            <w:tcW w:w="709" w:type="dxa"/>
            <w:shd w:val="clear" w:color="auto" w:fill="C6EFCE"/>
            <w:noWrap/>
          </w:tcPr>
          <w:p w14:paraId="1FA0E938" w14:textId="77777777" w:rsidR="00D924EA" w:rsidRDefault="00011DE9">
            <w:pPr>
              <w:pStyle w:val="P68B1DB1-Normal47"/>
              <w:spacing w:after="0" w:line="240" w:lineRule="auto"/>
              <w:jc w:val="center"/>
              <w:rPr>
                <w:rFonts w:cs="Times New Roman"/>
                <w:noProof/>
              </w:rPr>
            </w:pPr>
            <w:r>
              <w:rPr>
                <w:noProof/>
              </w:rPr>
              <w:t>2022</w:t>
            </w:r>
          </w:p>
        </w:tc>
        <w:tc>
          <w:tcPr>
            <w:tcW w:w="5108" w:type="dxa"/>
            <w:shd w:val="clear" w:color="auto" w:fill="C6EFCE"/>
            <w:noWrap/>
          </w:tcPr>
          <w:p w14:paraId="7B1FD551" w14:textId="77777777" w:rsidR="00D924EA" w:rsidRDefault="00011DE9">
            <w:pPr>
              <w:pStyle w:val="P68B1DB1-Normal47"/>
              <w:spacing w:after="0" w:line="240" w:lineRule="auto"/>
              <w:rPr>
                <w:rFonts w:cs="Times New Roman"/>
                <w:noProof/>
              </w:rPr>
            </w:pPr>
            <w:r>
              <w:rPr>
                <w:noProof/>
              </w:rPr>
              <w:t>Intrarea în vigoare a dispozițiilor relevante ale Decretului regal nr. 629/2022 din 26 iulie de modificare a Regulamentului Legii organice nr. 4/2000 privind drepturile și libertățile străinilor în Spania și integrarea lor socială, în conformitate cu descrierea măsurii.</w:t>
            </w:r>
          </w:p>
        </w:tc>
      </w:tr>
      <w:tr w:rsidR="00D924EA" w14:paraId="054C8914" w14:textId="77777777">
        <w:trPr>
          <w:trHeight w:val="309"/>
          <w:jc w:val="center"/>
        </w:trPr>
        <w:tc>
          <w:tcPr>
            <w:tcW w:w="696" w:type="dxa"/>
            <w:shd w:val="clear" w:color="auto" w:fill="C6EFCE"/>
            <w:noWrap/>
          </w:tcPr>
          <w:p w14:paraId="46C61A14" w14:textId="77777777" w:rsidR="00D924EA" w:rsidRDefault="00011DE9">
            <w:pPr>
              <w:pStyle w:val="P68B1DB1-Normal47"/>
              <w:spacing w:after="0" w:line="240" w:lineRule="auto"/>
              <w:jc w:val="center"/>
              <w:rPr>
                <w:rFonts w:eastAsia="Times New Roman" w:cs="Times New Roman"/>
                <w:noProof/>
              </w:rPr>
            </w:pPr>
            <w:r>
              <w:rPr>
                <w:noProof/>
              </w:rPr>
              <w:t>192</w:t>
            </w:r>
          </w:p>
        </w:tc>
        <w:tc>
          <w:tcPr>
            <w:tcW w:w="836" w:type="dxa"/>
            <w:shd w:val="clear" w:color="auto" w:fill="C6EFCE"/>
            <w:noWrap/>
          </w:tcPr>
          <w:p w14:paraId="38E34DE1" w14:textId="77777777" w:rsidR="00D924EA" w:rsidRDefault="00011DE9">
            <w:pPr>
              <w:pStyle w:val="P68B1DB1-Normal47"/>
              <w:spacing w:after="0" w:line="240" w:lineRule="auto"/>
              <w:jc w:val="center"/>
              <w:rPr>
                <w:rFonts w:eastAsia="Times New Roman" w:cs="Times New Roman"/>
                <w:noProof/>
              </w:rPr>
            </w:pPr>
            <w:r>
              <w:rPr>
                <w:noProof/>
              </w:rPr>
              <w:t>C13.R2</w:t>
            </w:r>
          </w:p>
        </w:tc>
        <w:tc>
          <w:tcPr>
            <w:tcW w:w="835" w:type="dxa"/>
            <w:shd w:val="clear" w:color="auto" w:fill="C6EFCE"/>
            <w:noWrap/>
          </w:tcPr>
          <w:p w14:paraId="032F77B3" w14:textId="77777777" w:rsidR="00D924EA" w:rsidRDefault="00011DE9">
            <w:pPr>
              <w:pStyle w:val="P68B1DB1-Normal47"/>
              <w:spacing w:after="0" w:line="240" w:lineRule="auto"/>
              <w:jc w:val="center"/>
              <w:rPr>
                <w:rFonts w:eastAsia="Times New Roman" w:cs="Times New Roman"/>
                <w:noProof/>
              </w:rPr>
            </w:pPr>
            <w:r>
              <w:rPr>
                <w:noProof/>
              </w:rPr>
              <w:t>M</w:t>
            </w:r>
          </w:p>
        </w:tc>
        <w:tc>
          <w:tcPr>
            <w:tcW w:w="1739" w:type="dxa"/>
            <w:shd w:val="clear" w:color="auto" w:fill="C6EFCE"/>
            <w:noWrap/>
          </w:tcPr>
          <w:p w14:paraId="4F0FC207" w14:textId="77777777" w:rsidR="00D924EA" w:rsidRDefault="00011DE9">
            <w:pPr>
              <w:pStyle w:val="P68B1DB1-Normal47"/>
              <w:spacing w:after="0" w:line="240" w:lineRule="auto"/>
              <w:rPr>
                <w:rFonts w:eastAsia="Times New Roman" w:cs="Times New Roman"/>
                <w:noProof/>
              </w:rPr>
            </w:pPr>
            <w:r>
              <w:rPr>
                <w:noProof/>
              </w:rPr>
              <w:t>Intrarea în vigoare a Legii privind întreprinderile nou-înființate</w:t>
            </w:r>
          </w:p>
        </w:tc>
        <w:tc>
          <w:tcPr>
            <w:tcW w:w="1701" w:type="dxa"/>
            <w:shd w:val="clear" w:color="auto" w:fill="C6EFCE"/>
            <w:noWrap/>
          </w:tcPr>
          <w:p w14:paraId="2A9362A2" w14:textId="77777777" w:rsidR="00D924EA" w:rsidRDefault="00011DE9">
            <w:pPr>
              <w:pStyle w:val="P68B1DB1-Normal47"/>
              <w:spacing w:after="0" w:line="240" w:lineRule="auto"/>
              <w:jc w:val="center"/>
              <w:rPr>
                <w:rFonts w:eastAsia="Times New Roman" w:cs="Times New Roman"/>
                <w:noProof/>
              </w:rPr>
            </w:pPr>
            <w:r>
              <w:rPr>
                <w:noProof/>
              </w:rPr>
              <w:t xml:space="preserve">Dispoziție din legea care indică intrarea în vigoare a legii </w:t>
            </w:r>
          </w:p>
        </w:tc>
        <w:tc>
          <w:tcPr>
            <w:tcW w:w="992" w:type="dxa"/>
            <w:shd w:val="clear" w:color="auto" w:fill="C6EFCE"/>
            <w:noWrap/>
          </w:tcPr>
          <w:p w14:paraId="733BB465" w14:textId="77777777" w:rsidR="00D924EA" w:rsidRDefault="00011DE9">
            <w:pPr>
              <w:pStyle w:val="P68B1DB1-Normal47"/>
              <w:spacing w:after="0" w:line="240" w:lineRule="auto"/>
              <w:jc w:val="center"/>
              <w:rPr>
                <w:rFonts w:eastAsia="Times New Roman" w:cs="Times New Roman"/>
                <w:noProof/>
              </w:rPr>
            </w:pPr>
            <w:r>
              <w:rPr>
                <w:noProof/>
              </w:rPr>
              <w:t xml:space="preserve"> </w:t>
            </w:r>
          </w:p>
        </w:tc>
        <w:tc>
          <w:tcPr>
            <w:tcW w:w="1134" w:type="dxa"/>
            <w:shd w:val="clear" w:color="auto" w:fill="C6EFCE"/>
            <w:noWrap/>
          </w:tcPr>
          <w:p w14:paraId="548474D6" w14:textId="77777777" w:rsidR="00D924EA" w:rsidRDefault="00011DE9">
            <w:pPr>
              <w:pStyle w:val="P68B1DB1-Normal47"/>
              <w:spacing w:after="0" w:line="240" w:lineRule="auto"/>
              <w:jc w:val="right"/>
              <w:rPr>
                <w:rFonts w:eastAsia="Times New Roman" w:cs="Times New Roman"/>
                <w:noProof/>
              </w:rPr>
            </w:pPr>
            <w:r>
              <w:rPr>
                <w:noProof/>
              </w:rPr>
              <w:t xml:space="preserve"> </w:t>
            </w:r>
          </w:p>
        </w:tc>
        <w:tc>
          <w:tcPr>
            <w:tcW w:w="1134" w:type="dxa"/>
            <w:shd w:val="clear" w:color="auto" w:fill="C6EFCE"/>
            <w:noWrap/>
          </w:tcPr>
          <w:p w14:paraId="7883102D" w14:textId="77777777" w:rsidR="00D924EA" w:rsidRDefault="00011DE9">
            <w:pPr>
              <w:pStyle w:val="P68B1DB1-Normal47"/>
              <w:spacing w:after="0" w:line="240" w:lineRule="auto"/>
              <w:jc w:val="right"/>
              <w:rPr>
                <w:rFonts w:eastAsia="Times New Roman" w:cs="Times New Roman"/>
                <w:noProof/>
              </w:rPr>
            </w:pPr>
            <w:r>
              <w:rPr>
                <w:noProof/>
              </w:rPr>
              <w:t xml:space="preserve"> </w:t>
            </w:r>
          </w:p>
        </w:tc>
        <w:tc>
          <w:tcPr>
            <w:tcW w:w="567" w:type="dxa"/>
            <w:shd w:val="clear" w:color="auto" w:fill="C6EFCE"/>
            <w:noWrap/>
          </w:tcPr>
          <w:p w14:paraId="571097C4" w14:textId="18C5A44C" w:rsidR="00D924EA" w:rsidRDefault="005701C9">
            <w:pPr>
              <w:pStyle w:val="P68B1DB1-Normal47"/>
              <w:spacing w:after="0" w:line="240" w:lineRule="auto"/>
              <w:jc w:val="center"/>
              <w:rPr>
                <w:rFonts w:eastAsia="Times New Roman" w:cs="Times New Roman"/>
                <w:noProof/>
              </w:rPr>
            </w:pPr>
            <w:r>
              <w:rPr>
                <w:noProof/>
              </w:rPr>
              <w:t>T4</w:t>
            </w:r>
          </w:p>
        </w:tc>
        <w:tc>
          <w:tcPr>
            <w:tcW w:w="709" w:type="dxa"/>
            <w:shd w:val="clear" w:color="auto" w:fill="C6EFCE"/>
            <w:noWrap/>
          </w:tcPr>
          <w:p w14:paraId="329B1923" w14:textId="77777777" w:rsidR="00D924EA" w:rsidRDefault="00011DE9">
            <w:pPr>
              <w:pStyle w:val="P68B1DB1-Normal47"/>
              <w:spacing w:after="0" w:line="240" w:lineRule="auto"/>
              <w:jc w:val="center"/>
              <w:rPr>
                <w:rFonts w:eastAsia="Times New Roman" w:cs="Times New Roman"/>
                <w:noProof/>
              </w:rPr>
            </w:pPr>
            <w:r>
              <w:rPr>
                <w:noProof/>
              </w:rPr>
              <w:t>2022</w:t>
            </w:r>
          </w:p>
        </w:tc>
        <w:tc>
          <w:tcPr>
            <w:tcW w:w="5108" w:type="dxa"/>
            <w:shd w:val="clear" w:color="auto" w:fill="C6EFCE"/>
            <w:noWrap/>
          </w:tcPr>
          <w:p w14:paraId="032032E1" w14:textId="77777777" w:rsidR="00D924EA" w:rsidRDefault="00011DE9">
            <w:pPr>
              <w:pStyle w:val="P68B1DB1-Normal47"/>
              <w:spacing w:after="0" w:line="240" w:lineRule="auto"/>
              <w:rPr>
                <w:rFonts w:eastAsia="Times New Roman" w:cs="Times New Roman"/>
                <w:noProof/>
              </w:rPr>
            </w:pPr>
            <w:r>
              <w:rPr>
                <w:noProof/>
              </w:rPr>
              <w:t>Intrarea în vigoare a „Legii privind întreprinderile nou-înființate”, care creează un cadru favorabil pentru crearea și dezvoltarea întreprinderilor nou-înființate extrem de inovatoare. Legea privind întreprinderile nou-înființate introduce reforme ale contribuțiilor fiscale sub formă de stimulente pentru a încuraja și a facilita dezvoltarea întreprinderilor nou-înființate, precum și atragerea antreprenorilor și a investitorilor străini, în conformitate cu obiectivele consolidării fiscale. Legea privind întreprinderile nou-înființate adoptă, de asemenea, mecanisme pentru a facilita punerea sa în aplicare și relația sa cu măsurile legate de ecosistemul antreprenorilor digitali.</w:t>
            </w:r>
          </w:p>
        </w:tc>
      </w:tr>
      <w:tr w:rsidR="00D924EA" w14:paraId="206333C3" w14:textId="77777777">
        <w:trPr>
          <w:trHeight w:val="309"/>
          <w:jc w:val="center"/>
        </w:trPr>
        <w:tc>
          <w:tcPr>
            <w:tcW w:w="696" w:type="dxa"/>
            <w:shd w:val="clear" w:color="auto" w:fill="C6EFCE"/>
            <w:noWrap/>
          </w:tcPr>
          <w:p w14:paraId="6433859B" w14:textId="77777777" w:rsidR="00D924EA" w:rsidRDefault="00011DE9">
            <w:pPr>
              <w:pStyle w:val="P68B1DB1-Normal47"/>
              <w:spacing w:after="0" w:line="240" w:lineRule="auto"/>
              <w:jc w:val="center"/>
              <w:rPr>
                <w:rFonts w:cs="Times New Roman"/>
                <w:noProof/>
              </w:rPr>
            </w:pPr>
            <w:r>
              <w:rPr>
                <w:noProof/>
              </w:rPr>
              <w:t>451</w:t>
            </w:r>
          </w:p>
        </w:tc>
        <w:tc>
          <w:tcPr>
            <w:tcW w:w="836" w:type="dxa"/>
            <w:shd w:val="clear" w:color="auto" w:fill="C6EFCE"/>
            <w:noWrap/>
          </w:tcPr>
          <w:p w14:paraId="279964C4" w14:textId="77777777" w:rsidR="00D924EA" w:rsidRDefault="00011DE9">
            <w:pPr>
              <w:pStyle w:val="P68B1DB1-Normal47"/>
              <w:spacing w:after="0" w:line="240" w:lineRule="auto"/>
              <w:jc w:val="center"/>
              <w:rPr>
                <w:rFonts w:cs="Times New Roman"/>
                <w:noProof/>
              </w:rPr>
            </w:pPr>
            <w:r>
              <w:rPr>
                <w:noProof/>
              </w:rPr>
              <w:t>C13.R2</w:t>
            </w:r>
          </w:p>
        </w:tc>
        <w:tc>
          <w:tcPr>
            <w:tcW w:w="835" w:type="dxa"/>
            <w:shd w:val="clear" w:color="auto" w:fill="C6EFCE"/>
            <w:noWrap/>
          </w:tcPr>
          <w:p w14:paraId="42BB791D" w14:textId="77777777" w:rsidR="00D924EA" w:rsidRDefault="00011DE9">
            <w:pPr>
              <w:pStyle w:val="P68B1DB1-Normal47"/>
              <w:spacing w:after="0" w:line="240" w:lineRule="auto"/>
              <w:jc w:val="center"/>
              <w:rPr>
                <w:rFonts w:cs="Times New Roman"/>
                <w:noProof/>
              </w:rPr>
            </w:pPr>
            <w:r>
              <w:rPr>
                <w:noProof/>
              </w:rPr>
              <w:t>M</w:t>
            </w:r>
          </w:p>
        </w:tc>
        <w:tc>
          <w:tcPr>
            <w:tcW w:w="1739" w:type="dxa"/>
            <w:shd w:val="clear" w:color="auto" w:fill="C6EFCE"/>
            <w:noWrap/>
          </w:tcPr>
          <w:p w14:paraId="2D221312" w14:textId="77777777" w:rsidR="00D924EA" w:rsidRDefault="00011DE9">
            <w:pPr>
              <w:pStyle w:val="P68B1DB1-Normal47"/>
              <w:spacing w:after="0" w:line="240" w:lineRule="auto"/>
              <w:rPr>
                <w:rFonts w:cs="Times New Roman"/>
                <w:noProof/>
              </w:rPr>
            </w:pPr>
            <w:r>
              <w:rPr>
                <w:noProof/>
              </w:rPr>
              <w:t>Intrarea în vigoare a modificării Legii nr. 14/2013 din 27 septembrie privind sprijinirea antreprenorilor și internaționalizarea acesteia</w:t>
            </w:r>
          </w:p>
        </w:tc>
        <w:tc>
          <w:tcPr>
            <w:tcW w:w="1701" w:type="dxa"/>
            <w:shd w:val="clear" w:color="auto" w:fill="C6EFCE"/>
            <w:noWrap/>
          </w:tcPr>
          <w:p w14:paraId="0F426299" w14:textId="77777777" w:rsidR="00D924EA" w:rsidRDefault="00011DE9">
            <w:pPr>
              <w:pStyle w:val="P68B1DB1-Normal47"/>
              <w:spacing w:after="0" w:line="240" w:lineRule="auto"/>
              <w:jc w:val="center"/>
              <w:rPr>
                <w:rFonts w:cs="Times New Roman"/>
                <w:noProof/>
              </w:rPr>
            </w:pPr>
            <w:r>
              <w:rPr>
                <w:noProof/>
              </w:rPr>
              <w:t>Dispoziție din modificarea legii care indică intrarea în vigoare a dispozițiilor relevante</w:t>
            </w:r>
          </w:p>
        </w:tc>
        <w:tc>
          <w:tcPr>
            <w:tcW w:w="992" w:type="dxa"/>
            <w:shd w:val="clear" w:color="auto" w:fill="C6EFCE"/>
            <w:noWrap/>
          </w:tcPr>
          <w:p w14:paraId="00CD3EE2" w14:textId="77777777" w:rsidR="00D924EA" w:rsidRDefault="00D924EA">
            <w:pPr>
              <w:spacing w:after="0" w:line="240" w:lineRule="auto"/>
              <w:jc w:val="center"/>
              <w:rPr>
                <w:rFonts w:ascii="Times New Roman" w:eastAsia="Calibri" w:hAnsi="Times New Roman" w:cs="Times New Roman"/>
                <w:noProof/>
                <w:kern w:val="0"/>
                <w:sz w:val="18"/>
                <w:szCs w:val="18"/>
                <w14:ligatures w14:val="none"/>
              </w:rPr>
            </w:pPr>
          </w:p>
        </w:tc>
        <w:tc>
          <w:tcPr>
            <w:tcW w:w="1134" w:type="dxa"/>
            <w:shd w:val="clear" w:color="auto" w:fill="C6EFCE"/>
            <w:noWrap/>
          </w:tcPr>
          <w:p w14:paraId="5CF21986" w14:textId="77777777" w:rsidR="00D924EA" w:rsidRDefault="00D924EA">
            <w:pPr>
              <w:spacing w:after="0" w:line="240" w:lineRule="auto"/>
              <w:jc w:val="right"/>
              <w:rPr>
                <w:rFonts w:ascii="Times New Roman" w:eastAsia="Calibri" w:hAnsi="Times New Roman" w:cs="Times New Roman"/>
                <w:noProof/>
                <w:kern w:val="0"/>
                <w:sz w:val="18"/>
                <w:szCs w:val="18"/>
                <w14:ligatures w14:val="none"/>
              </w:rPr>
            </w:pPr>
          </w:p>
        </w:tc>
        <w:tc>
          <w:tcPr>
            <w:tcW w:w="1134" w:type="dxa"/>
            <w:shd w:val="clear" w:color="auto" w:fill="C6EFCE"/>
            <w:noWrap/>
          </w:tcPr>
          <w:p w14:paraId="4ECA1713" w14:textId="77777777" w:rsidR="00D924EA" w:rsidRDefault="00D924EA">
            <w:pPr>
              <w:spacing w:after="0" w:line="240" w:lineRule="auto"/>
              <w:jc w:val="right"/>
              <w:rPr>
                <w:rFonts w:ascii="Times New Roman" w:eastAsia="Calibri" w:hAnsi="Times New Roman" w:cs="Times New Roman"/>
                <w:noProof/>
                <w:kern w:val="0"/>
                <w:sz w:val="18"/>
                <w:szCs w:val="18"/>
                <w14:ligatures w14:val="none"/>
              </w:rPr>
            </w:pPr>
          </w:p>
        </w:tc>
        <w:tc>
          <w:tcPr>
            <w:tcW w:w="567" w:type="dxa"/>
            <w:shd w:val="clear" w:color="auto" w:fill="C6EFCE"/>
            <w:noWrap/>
          </w:tcPr>
          <w:p w14:paraId="39E420B3" w14:textId="2D4AB4E9" w:rsidR="00D924EA" w:rsidRDefault="005701C9">
            <w:pPr>
              <w:pStyle w:val="P68B1DB1-Normal47"/>
              <w:spacing w:after="0" w:line="240" w:lineRule="auto"/>
              <w:jc w:val="center"/>
              <w:rPr>
                <w:rFonts w:cs="Times New Roman"/>
                <w:noProof/>
              </w:rPr>
            </w:pPr>
            <w:r>
              <w:rPr>
                <w:noProof/>
              </w:rPr>
              <w:t>T2</w:t>
            </w:r>
          </w:p>
        </w:tc>
        <w:tc>
          <w:tcPr>
            <w:tcW w:w="709" w:type="dxa"/>
            <w:shd w:val="clear" w:color="auto" w:fill="C6EFCE"/>
            <w:noWrap/>
          </w:tcPr>
          <w:p w14:paraId="7FC742F9" w14:textId="77777777" w:rsidR="00D924EA" w:rsidRDefault="00011DE9">
            <w:pPr>
              <w:pStyle w:val="P68B1DB1-Normal47"/>
              <w:spacing w:after="0" w:line="240" w:lineRule="auto"/>
              <w:jc w:val="center"/>
              <w:rPr>
                <w:rFonts w:cs="Times New Roman"/>
                <w:noProof/>
              </w:rPr>
            </w:pPr>
            <w:r>
              <w:rPr>
                <w:noProof/>
              </w:rPr>
              <w:t>2023</w:t>
            </w:r>
          </w:p>
        </w:tc>
        <w:tc>
          <w:tcPr>
            <w:tcW w:w="5108" w:type="dxa"/>
            <w:shd w:val="clear" w:color="auto" w:fill="C6EFCE"/>
            <w:noWrap/>
          </w:tcPr>
          <w:p w14:paraId="1A614365" w14:textId="77777777" w:rsidR="00D924EA" w:rsidRDefault="00011DE9">
            <w:pPr>
              <w:pStyle w:val="P68B1DB1-Normal47"/>
              <w:spacing w:after="0" w:line="240" w:lineRule="auto"/>
              <w:rPr>
                <w:rFonts w:cs="Times New Roman"/>
                <w:noProof/>
              </w:rPr>
            </w:pPr>
            <w:r>
              <w:rPr>
                <w:noProof/>
              </w:rPr>
              <w:t>Intrarea în vigoare a dispozițiilor relevante ale modificării Legii nr. 14/2013 din 27 septembrie privind sprijinirea antreprenorilor și internaționalizarea acesteia, în conformitate cu descrierea măsurii.</w:t>
            </w:r>
          </w:p>
        </w:tc>
      </w:tr>
      <w:tr w:rsidR="00D924EA" w14:paraId="7BD2BD06" w14:textId="77777777">
        <w:trPr>
          <w:trHeight w:val="309"/>
          <w:jc w:val="center"/>
        </w:trPr>
        <w:tc>
          <w:tcPr>
            <w:tcW w:w="696" w:type="dxa"/>
            <w:shd w:val="clear" w:color="auto" w:fill="C6EFCE"/>
            <w:noWrap/>
          </w:tcPr>
          <w:p w14:paraId="18C590EA" w14:textId="77777777" w:rsidR="00D924EA" w:rsidRDefault="00011DE9">
            <w:pPr>
              <w:pStyle w:val="P68B1DB1-Normal18"/>
              <w:spacing w:after="200" w:line="240" w:lineRule="auto"/>
              <w:jc w:val="center"/>
              <w:rPr>
                <w:rFonts w:cs="Times New Roman"/>
                <w:noProof/>
                <w:szCs w:val="18"/>
              </w:rPr>
            </w:pPr>
            <w:r>
              <w:rPr>
                <w:noProof/>
              </w:rPr>
              <w:t>452</w:t>
            </w:r>
          </w:p>
        </w:tc>
        <w:tc>
          <w:tcPr>
            <w:tcW w:w="836" w:type="dxa"/>
            <w:shd w:val="clear" w:color="auto" w:fill="C6EFCE"/>
            <w:noWrap/>
          </w:tcPr>
          <w:p w14:paraId="6E552903" w14:textId="77777777" w:rsidR="00D924EA" w:rsidRDefault="00011DE9">
            <w:pPr>
              <w:pStyle w:val="P68B1DB1-Normal18"/>
              <w:spacing w:after="200" w:line="240" w:lineRule="auto"/>
              <w:jc w:val="center"/>
              <w:rPr>
                <w:rFonts w:cs="Times New Roman"/>
                <w:noProof/>
                <w:szCs w:val="18"/>
              </w:rPr>
            </w:pPr>
            <w:r>
              <w:rPr>
                <w:noProof/>
              </w:rPr>
              <w:t>C13.R3</w:t>
            </w:r>
          </w:p>
        </w:tc>
        <w:tc>
          <w:tcPr>
            <w:tcW w:w="835" w:type="dxa"/>
            <w:shd w:val="clear" w:color="auto" w:fill="C6EFCE"/>
            <w:noWrap/>
          </w:tcPr>
          <w:p w14:paraId="54134748" w14:textId="77777777" w:rsidR="00D924EA" w:rsidRDefault="00011DE9">
            <w:pPr>
              <w:pStyle w:val="P68B1DB1-Normal18"/>
              <w:spacing w:after="0" w:line="240" w:lineRule="auto"/>
              <w:jc w:val="center"/>
              <w:rPr>
                <w:rFonts w:cs="Times New Roman"/>
                <w:noProof/>
                <w:szCs w:val="18"/>
              </w:rPr>
            </w:pPr>
            <w:r>
              <w:rPr>
                <w:noProof/>
              </w:rPr>
              <w:t>M</w:t>
            </w:r>
          </w:p>
        </w:tc>
        <w:tc>
          <w:tcPr>
            <w:tcW w:w="1739" w:type="dxa"/>
            <w:shd w:val="clear" w:color="auto" w:fill="C6EFCE"/>
            <w:noWrap/>
          </w:tcPr>
          <w:p w14:paraId="02A28447" w14:textId="361C100C" w:rsidR="00D924EA" w:rsidRDefault="00011DE9">
            <w:pPr>
              <w:pStyle w:val="P68B1DB1-Normal18"/>
              <w:spacing w:after="0" w:line="240" w:lineRule="auto"/>
              <w:rPr>
                <w:rFonts w:cs="Times New Roman"/>
                <w:noProof/>
                <w:szCs w:val="18"/>
              </w:rPr>
            </w:pPr>
            <w:r>
              <w:rPr>
                <w:noProof/>
                <w:szCs w:val="18"/>
              </w:rPr>
              <w:t>Intrarea în vigoare a legislației privind piețele valorilor mobiliare și serviciile de investiții</w:t>
            </w:r>
            <w:r>
              <w:rPr>
                <w:noProof/>
              </w:rPr>
              <w:t xml:space="preserve"> </w:t>
            </w:r>
          </w:p>
        </w:tc>
        <w:tc>
          <w:tcPr>
            <w:tcW w:w="1701" w:type="dxa"/>
            <w:shd w:val="clear" w:color="auto" w:fill="C6EFCE"/>
            <w:noWrap/>
          </w:tcPr>
          <w:p w14:paraId="2FB95995" w14:textId="3DD26BFF" w:rsidR="00D924EA" w:rsidRDefault="00011DE9">
            <w:pPr>
              <w:pStyle w:val="P68B1DB1-Normal18"/>
              <w:spacing w:after="0" w:line="240" w:lineRule="auto"/>
              <w:jc w:val="center"/>
              <w:rPr>
                <w:rFonts w:cs="Times New Roman"/>
                <w:noProof/>
                <w:szCs w:val="18"/>
              </w:rPr>
            </w:pPr>
            <w:r>
              <w:rPr>
                <w:noProof/>
              </w:rPr>
              <w:t xml:space="preserve">Dispoziție care indică data de intrare în vigoare </w:t>
            </w:r>
          </w:p>
        </w:tc>
        <w:tc>
          <w:tcPr>
            <w:tcW w:w="992" w:type="dxa"/>
            <w:shd w:val="clear" w:color="auto" w:fill="C6EFCE"/>
            <w:noWrap/>
          </w:tcPr>
          <w:p w14:paraId="74AE6F09" w14:textId="77777777" w:rsidR="00D924EA" w:rsidRDefault="00D924EA">
            <w:pPr>
              <w:spacing w:after="200" w:line="240" w:lineRule="auto"/>
              <w:jc w:val="center"/>
              <w:rPr>
                <w:rFonts w:ascii="Times New Roman" w:eastAsia="Calibri" w:hAnsi="Times New Roman" w:cs="Times New Roman"/>
                <w:noProof/>
                <w:kern w:val="0"/>
                <w:sz w:val="18"/>
                <w:szCs w:val="18"/>
                <w14:ligatures w14:val="none"/>
              </w:rPr>
            </w:pPr>
          </w:p>
        </w:tc>
        <w:tc>
          <w:tcPr>
            <w:tcW w:w="1134" w:type="dxa"/>
            <w:shd w:val="clear" w:color="auto" w:fill="C6EFCE"/>
            <w:noWrap/>
          </w:tcPr>
          <w:p w14:paraId="62E6AF2B" w14:textId="77777777" w:rsidR="00D924EA" w:rsidRDefault="00D924EA">
            <w:pPr>
              <w:spacing w:after="200" w:line="240" w:lineRule="auto"/>
              <w:jc w:val="right"/>
              <w:rPr>
                <w:rFonts w:ascii="Times New Roman" w:eastAsia="Calibri" w:hAnsi="Times New Roman" w:cs="Times New Roman"/>
                <w:noProof/>
                <w:kern w:val="0"/>
                <w:sz w:val="18"/>
                <w:szCs w:val="18"/>
                <w14:ligatures w14:val="none"/>
              </w:rPr>
            </w:pPr>
          </w:p>
        </w:tc>
        <w:tc>
          <w:tcPr>
            <w:tcW w:w="1134" w:type="dxa"/>
            <w:shd w:val="clear" w:color="auto" w:fill="C6EFCE"/>
            <w:noWrap/>
          </w:tcPr>
          <w:p w14:paraId="46DAEB0C" w14:textId="77777777" w:rsidR="00D924EA" w:rsidRDefault="00D924EA">
            <w:pPr>
              <w:spacing w:after="200" w:line="240" w:lineRule="auto"/>
              <w:jc w:val="right"/>
              <w:rPr>
                <w:rFonts w:ascii="Times New Roman" w:eastAsia="Calibri" w:hAnsi="Times New Roman" w:cs="Times New Roman"/>
                <w:noProof/>
                <w:kern w:val="0"/>
                <w:sz w:val="18"/>
                <w:szCs w:val="18"/>
                <w14:ligatures w14:val="none"/>
              </w:rPr>
            </w:pPr>
          </w:p>
        </w:tc>
        <w:tc>
          <w:tcPr>
            <w:tcW w:w="567" w:type="dxa"/>
            <w:shd w:val="clear" w:color="auto" w:fill="C6EFCE"/>
            <w:noWrap/>
          </w:tcPr>
          <w:p w14:paraId="577810D0" w14:textId="3F56DE58" w:rsidR="00D924EA" w:rsidRDefault="005701C9">
            <w:pPr>
              <w:pStyle w:val="P68B1DB1-Normal18"/>
              <w:spacing w:after="200" w:line="240" w:lineRule="auto"/>
              <w:jc w:val="center"/>
              <w:rPr>
                <w:rFonts w:cs="Times New Roman"/>
                <w:noProof/>
                <w:szCs w:val="18"/>
              </w:rPr>
            </w:pPr>
            <w:r>
              <w:rPr>
                <w:noProof/>
              </w:rPr>
              <w:t>T4</w:t>
            </w:r>
          </w:p>
        </w:tc>
        <w:tc>
          <w:tcPr>
            <w:tcW w:w="709" w:type="dxa"/>
            <w:shd w:val="clear" w:color="auto" w:fill="C6EFCE"/>
            <w:noWrap/>
          </w:tcPr>
          <w:p w14:paraId="3429D328" w14:textId="47DC7D07" w:rsidR="00D924EA" w:rsidRDefault="00011DE9">
            <w:pPr>
              <w:pStyle w:val="P68B1DB1-Normal18"/>
              <w:spacing w:after="200" w:line="240" w:lineRule="auto"/>
              <w:jc w:val="center"/>
              <w:rPr>
                <w:rFonts w:cs="Times New Roman"/>
                <w:noProof/>
                <w:szCs w:val="18"/>
              </w:rPr>
            </w:pPr>
            <w:r>
              <w:rPr>
                <w:noProof/>
              </w:rPr>
              <w:t>2025</w:t>
            </w:r>
          </w:p>
        </w:tc>
        <w:tc>
          <w:tcPr>
            <w:tcW w:w="5108" w:type="dxa"/>
            <w:shd w:val="clear" w:color="auto" w:fill="C6EFCE"/>
            <w:noWrap/>
          </w:tcPr>
          <w:p w14:paraId="2394919B" w14:textId="66AA43E3" w:rsidR="00D924EA" w:rsidRDefault="00011DE9">
            <w:pPr>
              <w:pStyle w:val="P68B1DB1-Normal41"/>
              <w:spacing w:after="200" w:line="276" w:lineRule="auto"/>
              <w:rPr>
                <w:noProof/>
              </w:rPr>
            </w:pPr>
            <w:r>
              <w:rPr>
                <w:noProof/>
              </w:rPr>
              <w:t>Intrarea în vigoare a legislației privind piețele valorilor mobiliare și serviciile de investiții. Acesta simplifică procesul de admitere la tranzacționare a titlurilor de valoare cu venit fix, permite înregistrarea anumitor sisteme multilaterale de tranzacționare ca piețe de creștere pentru IMM-uri</w:t>
            </w:r>
            <w:r w:rsidR="00971820">
              <w:rPr>
                <w:i/>
                <w:noProof/>
              </w:rPr>
              <w:t xml:space="preserve"> </w:t>
            </w:r>
            <w:r>
              <w:rPr>
                <w:noProof/>
              </w:rPr>
              <w:t xml:space="preserve">și elimină sistemul de informații pentru monitorizarea compensării, decontării și înregistrării valorilor mobiliare. </w:t>
            </w:r>
          </w:p>
          <w:p w14:paraId="439665F8" w14:textId="364E4B85" w:rsidR="00D924EA" w:rsidRDefault="00D924EA">
            <w:pPr>
              <w:spacing w:after="0" w:line="240" w:lineRule="auto"/>
              <w:rPr>
                <w:rFonts w:ascii="Times New Roman" w:eastAsia="Calibri" w:hAnsi="Times New Roman" w:cs="Times New Roman"/>
                <w:noProof/>
                <w:kern w:val="0"/>
                <w:sz w:val="18"/>
                <w:szCs w:val="18"/>
                <w14:ligatures w14:val="none"/>
              </w:rPr>
            </w:pPr>
          </w:p>
        </w:tc>
      </w:tr>
      <w:tr w:rsidR="00D924EA" w14:paraId="2962ED9A" w14:textId="77777777">
        <w:trPr>
          <w:trHeight w:val="309"/>
          <w:jc w:val="center"/>
        </w:trPr>
        <w:tc>
          <w:tcPr>
            <w:tcW w:w="696" w:type="dxa"/>
            <w:shd w:val="clear" w:color="auto" w:fill="C6EFCE"/>
            <w:noWrap/>
          </w:tcPr>
          <w:p w14:paraId="5EAA7887" w14:textId="77777777" w:rsidR="00D924EA" w:rsidRDefault="00011DE9">
            <w:pPr>
              <w:pStyle w:val="P68B1DB1-Normal18"/>
              <w:spacing w:after="0" w:line="240" w:lineRule="auto"/>
              <w:jc w:val="center"/>
              <w:rPr>
                <w:rFonts w:eastAsia="Times New Roman" w:cs="Times New Roman"/>
                <w:noProof/>
                <w:szCs w:val="18"/>
              </w:rPr>
            </w:pPr>
            <w:r>
              <w:rPr>
                <w:noProof/>
              </w:rPr>
              <w:t>193a</w:t>
            </w:r>
          </w:p>
        </w:tc>
        <w:tc>
          <w:tcPr>
            <w:tcW w:w="836" w:type="dxa"/>
            <w:shd w:val="clear" w:color="auto" w:fill="C6EFCE"/>
            <w:noWrap/>
          </w:tcPr>
          <w:p w14:paraId="4CDEBBDE" w14:textId="77777777" w:rsidR="00D924EA" w:rsidRDefault="00011DE9">
            <w:pPr>
              <w:pStyle w:val="P68B1DB1-Normal18"/>
              <w:spacing w:after="0" w:line="240" w:lineRule="auto"/>
              <w:jc w:val="center"/>
              <w:rPr>
                <w:rFonts w:eastAsia="Times New Roman" w:cs="Times New Roman"/>
                <w:noProof/>
                <w:szCs w:val="18"/>
              </w:rPr>
            </w:pPr>
            <w:r>
              <w:rPr>
                <w:noProof/>
              </w:rPr>
              <w:t>C13.I1</w:t>
            </w:r>
          </w:p>
        </w:tc>
        <w:tc>
          <w:tcPr>
            <w:tcW w:w="835" w:type="dxa"/>
            <w:shd w:val="clear" w:color="auto" w:fill="C6EFCE"/>
            <w:noWrap/>
          </w:tcPr>
          <w:p w14:paraId="17DA11E9" w14:textId="77777777" w:rsidR="00D924EA" w:rsidRDefault="00011DE9">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23EDDE74" w14:textId="0F18353A" w:rsidR="00D924EA" w:rsidRDefault="00011DE9">
            <w:pPr>
              <w:pStyle w:val="P68B1DB1-Normal20"/>
              <w:spacing w:after="0" w:line="240" w:lineRule="auto"/>
              <w:rPr>
                <w:noProof/>
                <w:kern w:val="0"/>
                <w14:ligatures w14:val="none"/>
              </w:rPr>
            </w:pPr>
            <w:r>
              <w:rPr>
                <w:noProof/>
              </w:rPr>
              <w:t>Beneficiarii care finalizează activități în cadrul oricăreia dintre formele de sprijin</w:t>
            </w:r>
          </w:p>
          <w:p w14:paraId="777BD490" w14:textId="313092E2" w:rsidR="00D924EA" w:rsidRDefault="00D924EA">
            <w:pPr>
              <w:spacing w:after="0" w:line="240" w:lineRule="auto"/>
              <w:rPr>
                <w:rFonts w:ascii="Times New Roman" w:eastAsia="Times New Roman" w:hAnsi="Times New Roman" w:cs="Times New Roman"/>
                <w:noProof/>
                <w:kern w:val="0"/>
                <w:sz w:val="18"/>
                <w:szCs w:val="18"/>
                <w14:ligatures w14:val="none"/>
              </w:rPr>
            </w:pPr>
          </w:p>
        </w:tc>
        <w:tc>
          <w:tcPr>
            <w:tcW w:w="1701" w:type="dxa"/>
            <w:shd w:val="clear" w:color="auto" w:fill="C6EFCE"/>
            <w:noWrap/>
          </w:tcPr>
          <w:p w14:paraId="6496A301" w14:textId="77777777" w:rsidR="00D924EA" w:rsidRDefault="00011DE9">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01F83F99" w14:textId="77777777" w:rsidR="00D924EA" w:rsidRDefault="00011DE9">
            <w:pPr>
              <w:pStyle w:val="P68B1DB1-Normal18"/>
              <w:spacing w:after="0" w:line="240" w:lineRule="auto"/>
              <w:jc w:val="center"/>
              <w:rPr>
                <w:rFonts w:eastAsia="Times New Roman" w:cs="Times New Roman"/>
                <w:noProof/>
                <w:szCs w:val="18"/>
              </w:rPr>
            </w:pPr>
            <w:r>
              <w:rPr>
                <w:noProof/>
              </w:rPr>
              <w:t>Număr</w:t>
            </w:r>
          </w:p>
        </w:tc>
        <w:tc>
          <w:tcPr>
            <w:tcW w:w="1134" w:type="dxa"/>
            <w:shd w:val="clear" w:color="auto" w:fill="C6EFCE"/>
            <w:noWrap/>
          </w:tcPr>
          <w:p w14:paraId="2BAC8914" w14:textId="77777777" w:rsidR="00D924EA" w:rsidRDefault="00011DE9">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15139C76" w14:textId="57EC1CBF" w:rsidR="00D924EA" w:rsidRDefault="00011DE9">
            <w:pPr>
              <w:pStyle w:val="P68B1DB1-Normal18"/>
              <w:spacing w:after="0" w:line="240" w:lineRule="auto"/>
              <w:jc w:val="right"/>
              <w:rPr>
                <w:noProof/>
              </w:rPr>
            </w:pPr>
            <w:r>
              <w:rPr>
                <w:noProof/>
              </w:rPr>
              <w:t>12 503</w:t>
            </w:r>
          </w:p>
          <w:p w14:paraId="2C661D55" w14:textId="52DE509E" w:rsidR="00D924EA" w:rsidRDefault="00D924EA">
            <w:pPr>
              <w:spacing w:after="0" w:line="240" w:lineRule="auto"/>
              <w:jc w:val="right"/>
              <w:rPr>
                <w:rFonts w:ascii="Times New Roman" w:eastAsia="Times New Roman" w:hAnsi="Times New Roman" w:cs="Times New Roman"/>
                <w:noProof/>
                <w:kern w:val="0"/>
                <w:sz w:val="18"/>
                <w:szCs w:val="18"/>
                <w14:ligatures w14:val="none"/>
              </w:rPr>
            </w:pPr>
          </w:p>
        </w:tc>
        <w:tc>
          <w:tcPr>
            <w:tcW w:w="567" w:type="dxa"/>
            <w:shd w:val="clear" w:color="auto" w:fill="C6EFCE"/>
            <w:noWrap/>
          </w:tcPr>
          <w:p w14:paraId="647FFDC6" w14:textId="1020A825" w:rsidR="00D924EA" w:rsidRDefault="005701C9">
            <w:pPr>
              <w:pStyle w:val="P68B1DB1-Normal47"/>
              <w:spacing w:after="0" w:line="240" w:lineRule="auto"/>
              <w:jc w:val="center"/>
              <w:rPr>
                <w:rFonts w:eastAsia="Times New Roman" w:cs="Times New Roman"/>
                <w:noProof/>
              </w:rPr>
            </w:pPr>
            <w:r>
              <w:rPr>
                <w:noProof/>
              </w:rPr>
              <w:t>T2</w:t>
            </w:r>
          </w:p>
        </w:tc>
        <w:tc>
          <w:tcPr>
            <w:tcW w:w="709" w:type="dxa"/>
            <w:shd w:val="clear" w:color="auto" w:fill="C6EFCE"/>
            <w:noWrap/>
          </w:tcPr>
          <w:p w14:paraId="1D37821A" w14:textId="61608EDC" w:rsidR="00D924EA" w:rsidRDefault="00011DE9">
            <w:pPr>
              <w:pStyle w:val="P68B1DB1-Normal47"/>
              <w:spacing w:after="0" w:line="240" w:lineRule="auto"/>
              <w:jc w:val="center"/>
              <w:rPr>
                <w:rFonts w:eastAsia="Times New Roman" w:cs="Times New Roman"/>
                <w:noProof/>
              </w:rPr>
            </w:pPr>
            <w:r>
              <w:rPr>
                <w:noProof/>
              </w:rPr>
              <w:t>2026</w:t>
            </w:r>
          </w:p>
        </w:tc>
        <w:tc>
          <w:tcPr>
            <w:tcW w:w="5108" w:type="dxa"/>
            <w:shd w:val="clear" w:color="auto" w:fill="C6EFCE"/>
            <w:noWrap/>
          </w:tcPr>
          <w:p w14:paraId="5413AE57" w14:textId="16E3FE6A" w:rsidR="00D924EA" w:rsidRDefault="00011DE9">
            <w:pPr>
              <w:pStyle w:val="P68B1DB1-Normal24"/>
              <w:spacing w:after="0" w:line="240" w:lineRule="auto"/>
              <w:rPr>
                <w:rFonts w:eastAsia="Calibri" w:cs="Arial"/>
                <w:noProof/>
                <w:kern w:val="0"/>
                <w14:ligatures w14:val="none"/>
              </w:rPr>
            </w:pPr>
            <w:r>
              <w:rPr>
                <w:noProof/>
              </w:rPr>
              <w:t>Entitățile sau persoanele beneficiare au prezentat rapoarte finale care confirmă finalizarea activităților atribuite pentru granturi, pentru un număr total cumulat de 12 503 de beneficiari în cadrul oricăruia dintre următoarele programe: programul „Competențe antreprenoriale” („Emprende y Acelera”), programul „Accelerarea start-upurilor” („Acelera Startup”), programul „BREAK”, programul „Activa Crecimiento”, programul „Activa Industria”, programul „Activa Ciberseguridad”, programul „Activa Startups” </w:t>
            </w:r>
          </w:p>
          <w:p w14:paraId="121421D7" w14:textId="7B590FFD" w:rsidR="00D924EA" w:rsidRDefault="00D924EA">
            <w:pPr>
              <w:spacing w:after="0" w:line="240" w:lineRule="auto"/>
              <w:rPr>
                <w:rFonts w:ascii="Times New Roman" w:eastAsia="Times New Roman" w:hAnsi="Times New Roman" w:cs="Times New Roman"/>
                <w:noProof/>
                <w:sz w:val="18"/>
                <w:szCs w:val="18"/>
              </w:rPr>
            </w:pPr>
          </w:p>
        </w:tc>
      </w:tr>
      <w:tr w:rsidR="00D924EA" w14:paraId="0282A65E" w14:textId="77777777">
        <w:trPr>
          <w:trHeight w:val="975"/>
          <w:jc w:val="center"/>
        </w:trPr>
        <w:tc>
          <w:tcPr>
            <w:tcW w:w="696" w:type="dxa"/>
            <w:shd w:val="clear" w:color="auto" w:fill="C6EFCE"/>
            <w:noWrap/>
          </w:tcPr>
          <w:p w14:paraId="578A4D85" w14:textId="77777777" w:rsidR="00D924EA" w:rsidRDefault="00011DE9">
            <w:pPr>
              <w:pStyle w:val="P68B1DB1-Normal18"/>
              <w:spacing w:after="0" w:line="240" w:lineRule="auto"/>
              <w:jc w:val="center"/>
              <w:rPr>
                <w:rFonts w:eastAsia="Times New Roman" w:cs="Times New Roman"/>
                <w:noProof/>
                <w:szCs w:val="18"/>
              </w:rPr>
            </w:pPr>
            <w:r>
              <w:rPr>
                <w:noProof/>
              </w:rPr>
              <w:t>194</w:t>
            </w:r>
          </w:p>
        </w:tc>
        <w:tc>
          <w:tcPr>
            <w:tcW w:w="836" w:type="dxa"/>
            <w:shd w:val="clear" w:color="auto" w:fill="C6EFCE"/>
            <w:noWrap/>
          </w:tcPr>
          <w:p w14:paraId="6FCCD9F4" w14:textId="77777777" w:rsidR="00D924EA" w:rsidRDefault="00011DE9">
            <w:pPr>
              <w:pStyle w:val="P68B1DB1-Normal18"/>
              <w:spacing w:after="0" w:line="240" w:lineRule="auto"/>
              <w:jc w:val="center"/>
              <w:rPr>
                <w:rFonts w:eastAsia="Times New Roman" w:cs="Times New Roman"/>
                <w:noProof/>
                <w:szCs w:val="18"/>
              </w:rPr>
            </w:pPr>
            <w:r>
              <w:rPr>
                <w:noProof/>
              </w:rPr>
              <w:t>C13.I1</w:t>
            </w:r>
          </w:p>
        </w:tc>
        <w:tc>
          <w:tcPr>
            <w:tcW w:w="835" w:type="dxa"/>
            <w:shd w:val="clear" w:color="auto" w:fill="C6EFCE"/>
            <w:noWrap/>
          </w:tcPr>
          <w:p w14:paraId="20D26266" w14:textId="22C74583" w:rsidR="00D924EA" w:rsidRDefault="00011DE9">
            <w:pPr>
              <w:pStyle w:val="P68B1DB1-Normal18"/>
              <w:spacing w:after="0" w:line="240" w:lineRule="auto"/>
              <w:jc w:val="center"/>
              <w:rPr>
                <w:rFonts w:eastAsia="Times New Roman" w:cs="Times New Roman"/>
                <w:noProof/>
                <w:szCs w:val="18"/>
              </w:rPr>
            </w:pPr>
            <w:r>
              <w:rPr>
                <w:noProof/>
              </w:rPr>
              <w:t>M</w:t>
            </w:r>
          </w:p>
        </w:tc>
        <w:tc>
          <w:tcPr>
            <w:tcW w:w="1739" w:type="dxa"/>
            <w:shd w:val="clear" w:color="auto" w:fill="C6EFCE"/>
            <w:noWrap/>
          </w:tcPr>
          <w:p w14:paraId="4215A72A" w14:textId="2D19C616" w:rsidR="00D924EA" w:rsidRDefault="00011DE9">
            <w:pPr>
              <w:pStyle w:val="P68B1DB1-Normal20"/>
              <w:spacing w:after="0" w:line="240" w:lineRule="auto"/>
              <w:rPr>
                <w:rFonts w:eastAsia="Times New Roman" w:cs="Times New Roman"/>
                <w:noProof/>
                <w:kern w:val="0"/>
                <w14:ligatures w14:val="none"/>
              </w:rPr>
            </w:pPr>
            <w:r>
              <w:rPr>
                <w:noProof/>
              </w:rPr>
              <w:t>Platforma online a Oficiului Național de Antreprenoriat (ONE)</w:t>
            </w:r>
            <w:r>
              <w:rPr>
                <w:noProof/>
                <w:kern w:val="0"/>
                <w14:ligatures w14:val="none"/>
              </w:rPr>
              <w:t xml:space="preserve"> </w:t>
            </w:r>
          </w:p>
        </w:tc>
        <w:tc>
          <w:tcPr>
            <w:tcW w:w="1701" w:type="dxa"/>
            <w:shd w:val="clear" w:color="auto" w:fill="C6EFCE"/>
            <w:noWrap/>
          </w:tcPr>
          <w:p w14:paraId="53BAD45E" w14:textId="50D1054B" w:rsidR="00D924EA" w:rsidRDefault="00011DE9">
            <w:pPr>
              <w:pStyle w:val="P68B1DB1-Normal18"/>
              <w:spacing w:after="0" w:line="240" w:lineRule="auto"/>
              <w:jc w:val="center"/>
              <w:rPr>
                <w:rFonts w:eastAsia="Times New Roman" w:cs="Times New Roman"/>
                <w:noProof/>
                <w:szCs w:val="18"/>
              </w:rPr>
            </w:pPr>
            <w:r>
              <w:rPr>
                <w:noProof/>
              </w:rPr>
              <w:t>Link către platformă.</w:t>
            </w:r>
          </w:p>
        </w:tc>
        <w:tc>
          <w:tcPr>
            <w:tcW w:w="992" w:type="dxa"/>
            <w:shd w:val="clear" w:color="auto" w:fill="C6EFCE"/>
            <w:noWrap/>
          </w:tcPr>
          <w:p w14:paraId="4171F962" w14:textId="7DC4FD23" w:rsidR="00D924EA" w:rsidRDefault="00D924EA">
            <w:pPr>
              <w:spacing w:after="0" w:line="240" w:lineRule="auto"/>
              <w:jc w:val="center"/>
              <w:rPr>
                <w:rFonts w:ascii="Times New Roman" w:eastAsia="Times New Roman" w:hAnsi="Times New Roman" w:cs="Times New Roman"/>
                <w:noProof/>
                <w:kern w:val="0"/>
                <w:sz w:val="18"/>
                <w:szCs w:val="18"/>
                <w14:ligatures w14:val="none"/>
              </w:rPr>
            </w:pPr>
          </w:p>
        </w:tc>
        <w:tc>
          <w:tcPr>
            <w:tcW w:w="1134" w:type="dxa"/>
            <w:shd w:val="clear" w:color="auto" w:fill="C6EFCE"/>
            <w:noWrap/>
          </w:tcPr>
          <w:p w14:paraId="4C78F945" w14:textId="09302154" w:rsidR="00D924EA" w:rsidRDefault="00D924EA">
            <w:pPr>
              <w:spacing w:after="0" w:line="240" w:lineRule="auto"/>
              <w:jc w:val="right"/>
              <w:rPr>
                <w:rFonts w:ascii="Times New Roman" w:eastAsia="Times New Roman" w:hAnsi="Times New Roman" w:cs="Times New Roman"/>
                <w:noProof/>
                <w:kern w:val="0"/>
                <w:sz w:val="18"/>
                <w:szCs w:val="18"/>
                <w14:ligatures w14:val="none"/>
              </w:rPr>
            </w:pPr>
          </w:p>
        </w:tc>
        <w:tc>
          <w:tcPr>
            <w:tcW w:w="1134" w:type="dxa"/>
            <w:shd w:val="clear" w:color="auto" w:fill="C6EFCE"/>
            <w:noWrap/>
          </w:tcPr>
          <w:p w14:paraId="57FFAFA5" w14:textId="167B3F80" w:rsidR="00D924EA" w:rsidRDefault="00D924EA">
            <w:pPr>
              <w:spacing w:after="0" w:line="240" w:lineRule="auto"/>
              <w:jc w:val="right"/>
              <w:rPr>
                <w:rFonts w:ascii="Times New Roman" w:eastAsia="Times New Roman" w:hAnsi="Times New Roman" w:cs="Times New Roman"/>
                <w:noProof/>
                <w:kern w:val="0"/>
                <w:sz w:val="18"/>
                <w:szCs w:val="18"/>
                <w14:ligatures w14:val="none"/>
              </w:rPr>
            </w:pPr>
          </w:p>
        </w:tc>
        <w:tc>
          <w:tcPr>
            <w:tcW w:w="567" w:type="dxa"/>
            <w:shd w:val="clear" w:color="auto" w:fill="C6EFCE"/>
            <w:noWrap/>
          </w:tcPr>
          <w:p w14:paraId="07023625" w14:textId="524A9044" w:rsidR="00D924EA" w:rsidRDefault="005701C9">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7AE3DDD0" w14:textId="113FDCE2" w:rsidR="00D924EA" w:rsidRDefault="00011DE9">
            <w:pPr>
              <w:pStyle w:val="P68B1DB1-Normal18"/>
              <w:spacing w:after="0" w:line="240" w:lineRule="auto"/>
              <w:jc w:val="center"/>
              <w:rPr>
                <w:rFonts w:eastAsia="Times New Roman" w:cs="Times New Roman"/>
                <w:noProof/>
                <w:szCs w:val="18"/>
              </w:rPr>
            </w:pPr>
            <w:r>
              <w:rPr>
                <w:noProof/>
              </w:rPr>
              <w:t>2025</w:t>
            </w:r>
          </w:p>
        </w:tc>
        <w:tc>
          <w:tcPr>
            <w:tcW w:w="5108" w:type="dxa"/>
            <w:shd w:val="clear" w:color="auto" w:fill="C6EFCE"/>
            <w:noWrap/>
          </w:tcPr>
          <w:p w14:paraId="2278773A" w14:textId="6698192E" w:rsidR="00D924EA" w:rsidRDefault="00011DE9">
            <w:pPr>
              <w:pStyle w:val="P68B1DB1-Normal20"/>
              <w:spacing w:after="0" w:line="240" w:lineRule="auto"/>
              <w:rPr>
                <w:noProof/>
                <w:kern w:val="0"/>
                <w14:ligatures w14:val="none"/>
              </w:rPr>
            </w:pPr>
            <w:r>
              <w:rPr>
                <w:noProof/>
              </w:rPr>
              <w:t>Link către platforma online a Oficiului Național de Antreprenoriat (ONE).</w:t>
            </w:r>
          </w:p>
        </w:tc>
      </w:tr>
      <w:tr w:rsidR="00D924EA" w14:paraId="20959924" w14:textId="77777777">
        <w:trPr>
          <w:trHeight w:val="309"/>
          <w:jc w:val="center"/>
        </w:trPr>
        <w:tc>
          <w:tcPr>
            <w:tcW w:w="696" w:type="dxa"/>
            <w:shd w:val="clear" w:color="auto" w:fill="C6EFCE"/>
            <w:noWrap/>
          </w:tcPr>
          <w:p w14:paraId="693523C3" w14:textId="77777777" w:rsidR="00D924EA" w:rsidRDefault="00011DE9">
            <w:pPr>
              <w:pStyle w:val="P68B1DB1-Normal18"/>
              <w:spacing w:after="0" w:line="240" w:lineRule="auto"/>
              <w:jc w:val="center"/>
              <w:rPr>
                <w:rFonts w:eastAsia="Times New Roman" w:cs="Times New Roman"/>
                <w:noProof/>
                <w:szCs w:val="18"/>
              </w:rPr>
            </w:pPr>
            <w:r>
              <w:rPr>
                <w:noProof/>
              </w:rPr>
              <w:t>195a</w:t>
            </w:r>
          </w:p>
        </w:tc>
        <w:tc>
          <w:tcPr>
            <w:tcW w:w="836" w:type="dxa"/>
            <w:shd w:val="clear" w:color="auto" w:fill="C6EFCE"/>
            <w:noWrap/>
          </w:tcPr>
          <w:p w14:paraId="36A9D1D9" w14:textId="77777777" w:rsidR="00D924EA" w:rsidRDefault="00011DE9">
            <w:pPr>
              <w:pStyle w:val="P68B1DB1-Normal18"/>
              <w:spacing w:after="0" w:line="240" w:lineRule="auto"/>
              <w:jc w:val="center"/>
              <w:rPr>
                <w:rFonts w:eastAsia="Times New Roman" w:cs="Times New Roman"/>
                <w:noProof/>
                <w:szCs w:val="18"/>
              </w:rPr>
            </w:pPr>
            <w:r>
              <w:rPr>
                <w:noProof/>
              </w:rPr>
              <w:t>C13.I1</w:t>
            </w:r>
          </w:p>
        </w:tc>
        <w:tc>
          <w:tcPr>
            <w:tcW w:w="835" w:type="dxa"/>
            <w:shd w:val="clear" w:color="auto" w:fill="C6EFCE"/>
            <w:noWrap/>
          </w:tcPr>
          <w:p w14:paraId="2BE452CA" w14:textId="77777777" w:rsidR="00D924EA" w:rsidRDefault="00011DE9">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7148EADE" w14:textId="17D5D5EF" w:rsidR="00D924EA" w:rsidRDefault="00011DE9">
            <w:pPr>
              <w:pStyle w:val="P68B1DB1-Normal18"/>
              <w:spacing w:after="0" w:line="240" w:lineRule="auto"/>
              <w:rPr>
                <w:rFonts w:eastAsia="Times New Roman" w:cs="Times New Roman"/>
                <w:noProof/>
                <w:szCs w:val="18"/>
              </w:rPr>
            </w:pPr>
            <w:r>
              <w:rPr>
                <w:noProof/>
              </w:rPr>
              <w:t xml:space="preserve">Semnarea acordurilor de împrumut participativ </w:t>
            </w:r>
          </w:p>
        </w:tc>
        <w:tc>
          <w:tcPr>
            <w:tcW w:w="1701" w:type="dxa"/>
            <w:shd w:val="clear" w:color="auto" w:fill="C6EFCE"/>
            <w:noWrap/>
          </w:tcPr>
          <w:p w14:paraId="15673E89" w14:textId="77777777" w:rsidR="00D924EA" w:rsidRDefault="00011DE9">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34D6D939" w14:textId="77777777" w:rsidR="00D924EA" w:rsidRDefault="00011DE9">
            <w:pPr>
              <w:pStyle w:val="P68B1DB1-Normal18"/>
              <w:spacing w:after="0" w:line="240" w:lineRule="auto"/>
              <w:jc w:val="center"/>
              <w:rPr>
                <w:rFonts w:eastAsia="Times New Roman" w:cs="Times New Roman"/>
                <w:noProof/>
                <w:szCs w:val="18"/>
              </w:rPr>
            </w:pPr>
            <w:r>
              <w:rPr>
                <w:noProof/>
              </w:rPr>
              <w:t>Număr</w:t>
            </w:r>
          </w:p>
        </w:tc>
        <w:tc>
          <w:tcPr>
            <w:tcW w:w="1134" w:type="dxa"/>
            <w:shd w:val="clear" w:color="auto" w:fill="C6EFCE"/>
            <w:noWrap/>
          </w:tcPr>
          <w:p w14:paraId="3158362D" w14:textId="77777777" w:rsidR="00D924EA" w:rsidRDefault="00011DE9">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2023275A" w14:textId="017CF663" w:rsidR="00D924EA" w:rsidRDefault="00011DE9">
            <w:pPr>
              <w:pStyle w:val="P68B1DB1-Normal18"/>
              <w:spacing w:after="0" w:line="240" w:lineRule="auto"/>
              <w:jc w:val="right"/>
              <w:rPr>
                <w:rFonts w:eastAsia="Times New Roman" w:cs="Times New Roman"/>
                <w:noProof/>
                <w:szCs w:val="18"/>
              </w:rPr>
            </w:pPr>
            <w:r>
              <w:rPr>
                <w:noProof/>
              </w:rPr>
              <w:t>200</w:t>
            </w:r>
          </w:p>
        </w:tc>
        <w:tc>
          <w:tcPr>
            <w:tcW w:w="567" w:type="dxa"/>
            <w:shd w:val="clear" w:color="auto" w:fill="C6EFCE"/>
            <w:noWrap/>
          </w:tcPr>
          <w:p w14:paraId="7FA97AB6" w14:textId="753981CA" w:rsidR="00D924EA" w:rsidRDefault="005701C9">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23D5A236" w14:textId="4B67C80B" w:rsidR="00D924EA" w:rsidRDefault="00011DE9">
            <w:pPr>
              <w:pStyle w:val="P68B1DB1-Normal47"/>
              <w:spacing w:after="0" w:line="240" w:lineRule="auto"/>
              <w:jc w:val="center"/>
              <w:rPr>
                <w:rFonts w:eastAsia="Times New Roman" w:cs="Times New Roman"/>
                <w:noProof/>
              </w:rPr>
            </w:pPr>
            <w:r>
              <w:rPr>
                <w:noProof/>
              </w:rPr>
              <w:t>2025</w:t>
            </w:r>
          </w:p>
        </w:tc>
        <w:tc>
          <w:tcPr>
            <w:tcW w:w="5108" w:type="dxa"/>
            <w:shd w:val="clear" w:color="auto" w:fill="C6EFCE"/>
            <w:noWrap/>
          </w:tcPr>
          <w:p w14:paraId="6D5CEA4E" w14:textId="293F42F6" w:rsidR="00D924EA" w:rsidRDefault="00011DE9">
            <w:pPr>
              <w:pStyle w:val="P68B1DB1-Normal43"/>
              <w:rPr>
                <w:rFonts w:eastAsia="Calibri" w:cs="Arial"/>
                <w:noProof/>
                <w:kern w:val="0"/>
                <w14:ligatures w14:val="none"/>
              </w:rPr>
            </w:pPr>
            <w:r>
              <w:rPr>
                <w:noProof/>
              </w:rPr>
              <w:t>Semnarea a 200 acorduri de împrumut participativ (Polizza de Prestamo Participativo) cu ENISA în cadrul liniei de sprijin „Linea emprendedoras Digitales”.</w:t>
            </w:r>
          </w:p>
        </w:tc>
      </w:tr>
      <w:tr w:rsidR="00D924EA" w14:paraId="633E66F3" w14:textId="77777777">
        <w:trPr>
          <w:trHeight w:val="309"/>
          <w:jc w:val="center"/>
        </w:trPr>
        <w:tc>
          <w:tcPr>
            <w:tcW w:w="69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2E28EF4" w14:textId="77777777" w:rsidR="00D924EA" w:rsidRDefault="00D924EA">
            <w:pPr>
              <w:spacing w:after="0" w:line="240" w:lineRule="auto"/>
              <w:rPr>
                <w:rFonts w:ascii="Times New Roman" w:eastAsia="Calibri" w:hAnsi="Times New Roman" w:cs="Arial"/>
                <w:noProof/>
                <w:kern w:val="0"/>
                <w:sz w:val="18"/>
                <w14:ligatures w14:val="none"/>
              </w:rPr>
            </w:pPr>
          </w:p>
          <w:p w14:paraId="2AD0FCFF" w14:textId="77777777" w:rsidR="00D924EA" w:rsidRDefault="00D924EA">
            <w:pPr>
              <w:spacing w:after="0" w:line="240" w:lineRule="auto"/>
              <w:rPr>
                <w:rFonts w:ascii="Times New Roman" w:eastAsia="Calibri" w:hAnsi="Times New Roman" w:cs="Arial"/>
                <w:noProof/>
                <w:kern w:val="0"/>
                <w:sz w:val="18"/>
                <w14:ligatures w14:val="none"/>
              </w:rPr>
            </w:pPr>
          </w:p>
          <w:p w14:paraId="2620B5A6" w14:textId="77777777" w:rsidR="00D924EA" w:rsidRDefault="00011DE9">
            <w:pPr>
              <w:pStyle w:val="P68B1DB1-Normal47"/>
              <w:spacing w:after="0" w:line="240" w:lineRule="auto"/>
              <w:jc w:val="center"/>
              <w:rPr>
                <w:noProof/>
              </w:rPr>
            </w:pPr>
            <w:r>
              <w:rPr>
                <w:noProof/>
              </w:rPr>
              <w:t>195b</w:t>
            </w:r>
          </w:p>
        </w:tc>
        <w:tc>
          <w:tcPr>
            <w:tcW w:w="83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FE5644A" w14:textId="77777777" w:rsidR="00D924EA" w:rsidRDefault="00011DE9">
            <w:pPr>
              <w:pStyle w:val="P68B1DB1-Normal18"/>
              <w:spacing w:after="0" w:line="240" w:lineRule="auto"/>
              <w:rPr>
                <w:noProof/>
              </w:rPr>
            </w:pPr>
            <w:r>
              <w:rPr>
                <w:noProof/>
              </w:rPr>
              <w:t>C13.I1 </w:t>
            </w:r>
          </w:p>
        </w:tc>
        <w:tc>
          <w:tcPr>
            <w:tcW w:w="83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2E45538F" w14:textId="77777777" w:rsidR="00D924EA" w:rsidRDefault="00011DE9">
            <w:pPr>
              <w:pStyle w:val="P68B1DB1-Normal18"/>
              <w:spacing w:after="0" w:line="240" w:lineRule="auto"/>
              <w:rPr>
                <w:noProof/>
              </w:rPr>
            </w:pPr>
            <w:r>
              <w:rPr>
                <w:noProof/>
              </w:rPr>
              <w:t>T</w:t>
            </w:r>
          </w:p>
        </w:tc>
        <w:tc>
          <w:tcPr>
            <w:tcW w:w="173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34A36546" w14:textId="77777777" w:rsidR="00D924EA" w:rsidRDefault="00011DE9">
            <w:pPr>
              <w:pStyle w:val="P68B1DB1-Normal18"/>
              <w:spacing w:after="0" w:line="240" w:lineRule="auto"/>
              <w:rPr>
                <w:noProof/>
              </w:rPr>
            </w:pPr>
            <w:r>
              <w:rPr>
                <w:noProof/>
              </w:rPr>
              <w:t>Program pentru promovarea ecosistemului antreprenorial inovator </w:t>
            </w:r>
          </w:p>
        </w:tc>
        <w:tc>
          <w:tcPr>
            <w:tcW w:w="170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7B70FD7A" w14:textId="77777777" w:rsidR="00D924EA" w:rsidRDefault="00011DE9">
            <w:pPr>
              <w:pStyle w:val="P68B1DB1-Normal18"/>
              <w:spacing w:after="0" w:line="240" w:lineRule="auto"/>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38B9235D" w14:textId="77777777" w:rsidR="00D924EA" w:rsidRDefault="00011DE9">
            <w:pPr>
              <w:pStyle w:val="P68B1DB1-Normal18"/>
              <w:spacing w:after="0" w:line="240" w:lineRule="auto"/>
              <w:jc w:val="center"/>
              <w:rPr>
                <w:noProof/>
              </w:rPr>
            </w:pPr>
            <w:r>
              <w:rPr>
                <w:noProof/>
              </w:rPr>
              <w:t>Număr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318E6BF2" w14:textId="2A41AFE9" w:rsidR="00D924EA" w:rsidRDefault="00011DE9">
            <w:pPr>
              <w:pStyle w:val="P68B1DB1-Normal47"/>
              <w:spacing w:after="0" w:line="240" w:lineRule="auto"/>
              <w:jc w:val="right"/>
              <w:rPr>
                <w:noProof/>
              </w:rPr>
            </w:pPr>
            <w:r>
              <w:rPr>
                <w:noProof/>
              </w:rPr>
              <w:t>0 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3FCFEF7E" w14:textId="07ACCDFB" w:rsidR="00D924EA" w:rsidRDefault="00011DE9">
            <w:pPr>
              <w:pStyle w:val="P68B1DB1-Normal20"/>
              <w:spacing w:after="0" w:line="240" w:lineRule="auto"/>
              <w:jc w:val="right"/>
              <w:rPr>
                <w:noProof/>
                <w:kern w:val="0"/>
                <w14:ligatures w14:val="none"/>
              </w:rPr>
            </w:pPr>
            <w:r>
              <w:rPr>
                <w:noProof/>
              </w:rPr>
              <w:t>20</w:t>
            </w:r>
          </w:p>
        </w:tc>
        <w:tc>
          <w:tcPr>
            <w:tcW w:w="5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272380AD" w14:textId="24C1778D" w:rsidR="00D924EA" w:rsidRDefault="005701C9">
            <w:pPr>
              <w:pStyle w:val="P68B1DB1-Normal18"/>
              <w:spacing w:after="0" w:line="240" w:lineRule="auto"/>
              <w:rPr>
                <w:noProof/>
              </w:rPr>
            </w:pPr>
            <w:r>
              <w:rPr>
                <w:noProof/>
              </w:rPr>
              <w:t>T4</w:t>
            </w:r>
            <w:r w:rsidR="00011DE9">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180C46C4" w14:textId="5BD75A0C" w:rsidR="00D924EA" w:rsidRDefault="00011DE9">
            <w:pPr>
              <w:pStyle w:val="P68B1DB1-Normal18"/>
              <w:spacing w:after="0" w:line="240" w:lineRule="auto"/>
              <w:rPr>
                <w:noProof/>
              </w:rPr>
            </w:pPr>
            <w:r>
              <w:rPr>
                <w:noProof/>
              </w:rPr>
              <w:t>2025 </w:t>
            </w:r>
          </w:p>
        </w:tc>
        <w:tc>
          <w:tcPr>
            <w:tcW w:w="51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2A037F7B" w14:textId="3D2A3825" w:rsidR="00D924EA" w:rsidRDefault="00011DE9">
            <w:pPr>
              <w:pStyle w:val="P68B1DB1-Normal20"/>
              <w:spacing w:after="0" w:line="240" w:lineRule="auto"/>
              <w:rPr>
                <w:noProof/>
                <w:kern w:val="0"/>
                <w14:ligatures w14:val="none"/>
              </w:rPr>
            </w:pPr>
            <w:r>
              <w:rPr>
                <w:noProof/>
              </w:rPr>
              <w:t xml:space="preserve">Verificarea </w:t>
            </w:r>
            <w:r>
              <w:rPr>
                <w:noProof/>
                <w:kern w:val="0"/>
                <w14:ligatures w14:val="none"/>
              </w:rPr>
              <w:t>de către administrație a justificării documentare pentru plățile aferente granturilor pentru un total de 20 de evenimente în cadrul Programului de promovare a ecosistemului antreprenorial inovator.</w:t>
            </w:r>
            <w:r w:rsidR="00971820">
              <w:rPr>
                <w:noProof/>
                <w:kern w:val="0"/>
                <w14:ligatures w14:val="none"/>
              </w:rPr>
              <w:t xml:space="preserve"> </w:t>
            </w:r>
          </w:p>
        </w:tc>
      </w:tr>
      <w:tr w:rsidR="00D924EA" w14:paraId="10A2AD6E" w14:textId="77777777">
        <w:trPr>
          <w:trHeight w:val="309"/>
          <w:jc w:val="center"/>
        </w:trPr>
        <w:tc>
          <w:tcPr>
            <w:tcW w:w="696" w:type="dxa"/>
            <w:shd w:val="clear" w:color="auto" w:fill="C6EFCE"/>
            <w:noWrap/>
          </w:tcPr>
          <w:p w14:paraId="74AF504F" w14:textId="77777777" w:rsidR="00D924EA" w:rsidRDefault="00011DE9">
            <w:pPr>
              <w:pStyle w:val="P68B1DB1-Normal18"/>
              <w:spacing w:after="0" w:line="240" w:lineRule="auto"/>
              <w:jc w:val="center"/>
              <w:rPr>
                <w:rFonts w:eastAsia="Times New Roman" w:cs="Times New Roman"/>
                <w:noProof/>
                <w:szCs w:val="18"/>
              </w:rPr>
            </w:pPr>
            <w:r>
              <w:rPr>
                <w:noProof/>
              </w:rPr>
              <w:t>196</w:t>
            </w:r>
          </w:p>
        </w:tc>
        <w:tc>
          <w:tcPr>
            <w:tcW w:w="836" w:type="dxa"/>
            <w:shd w:val="clear" w:color="auto" w:fill="C6EFCE"/>
            <w:noWrap/>
          </w:tcPr>
          <w:p w14:paraId="04A8DDD7" w14:textId="77777777" w:rsidR="00D924EA" w:rsidRDefault="00011DE9">
            <w:pPr>
              <w:pStyle w:val="P68B1DB1-Normal18"/>
              <w:spacing w:after="0" w:line="240" w:lineRule="auto"/>
              <w:jc w:val="center"/>
              <w:rPr>
                <w:rFonts w:eastAsia="Times New Roman" w:cs="Times New Roman"/>
                <w:noProof/>
                <w:szCs w:val="18"/>
              </w:rPr>
            </w:pPr>
            <w:r>
              <w:rPr>
                <w:noProof/>
              </w:rPr>
              <w:t>C13.I2</w:t>
            </w:r>
          </w:p>
        </w:tc>
        <w:tc>
          <w:tcPr>
            <w:tcW w:w="835" w:type="dxa"/>
            <w:shd w:val="clear" w:color="auto" w:fill="C6EFCE"/>
            <w:noWrap/>
          </w:tcPr>
          <w:p w14:paraId="5D532D63" w14:textId="77777777" w:rsidR="00D924EA" w:rsidRDefault="00011DE9">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5B011637" w14:textId="77777777" w:rsidR="00D924EA" w:rsidRDefault="00011DE9">
            <w:pPr>
              <w:pStyle w:val="P68B1DB1-Normal18"/>
              <w:spacing w:after="0" w:line="240" w:lineRule="auto"/>
              <w:rPr>
                <w:rFonts w:eastAsia="Times New Roman" w:cs="Times New Roman"/>
                <w:noProof/>
                <w:szCs w:val="18"/>
              </w:rPr>
            </w:pPr>
            <w:r>
              <w:rPr>
                <w:noProof/>
              </w:rPr>
              <w:t>Garanția CERSA</w:t>
            </w:r>
          </w:p>
        </w:tc>
        <w:tc>
          <w:tcPr>
            <w:tcW w:w="1701" w:type="dxa"/>
            <w:shd w:val="clear" w:color="auto" w:fill="C6EFCE"/>
            <w:noWrap/>
          </w:tcPr>
          <w:p w14:paraId="53BE215C" w14:textId="77777777" w:rsidR="00D924EA" w:rsidRDefault="00011DE9">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4012970C" w14:textId="77777777" w:rsidR="00D924EA" w:rsidRDefault="00011DE9">
            <w:pPr>
              <w:pStyle w:val="P68B1DB1-Normal18"/>
              <w:spacing w:after="0" w:line="240" w:lineRule="auto"/>
              <w:jc w:val="center"/>
              <w:rPr>
                <w:rFonts w:eastAsia="Times New Roman" w:cs="Times New Roman"/>
                <w:noProof/>
                <w:szCs w:val="18"/>
              </w:rPr>
            </w:pPr>
            <w:r>
              <w:rPr>
                <w:noProof/>
              </w:rPr>
              <w:t xml:space="preserve">EUR (milioane) </w:t>
            </w:r>
          </w:p>
        </w:tc>
        <w:tc>
          <w:tcPr>
            <w:tcW w:w="1134" w:type="dxa"/>
            <w:shd w:val="clear" w:color="auto" w:fill="C6EFCE"/>
            <w:noWrap/>
          </w:tcPr>
          <w:p w14:paraId="24396BEC" w14:textId="77777777" w:rsidR="00D924EA" w:rsidRDefault="00011DE9">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49EDF7ED" w14:textId="72E94F0A" w:rsidR="00D924EA" w:rsidRDefault="00011DE9">
            <w:pPr>
              <w:pStyle w:val="P68B1DB1-Normal18"/>
              <w:spacing w:after="0" w:line="240" w:lineRule="auto"/>
              <w:jc w:val="right"/>
              <w:rPr>
                <w:rFonts w:eastAsia="Times New Roman" w:cs="Times New Roman"/>
                <w:noProof/>
                <w:szCs w:val="18"/>
              </w:rPr>
            </w:pPr>
            <w:r>
              <w:rPr>
                <w:noProof/>
              </w:rPr>
              <w:t>1</w:t>
            </w:r>
            <w:r>
              <w:rPr>
                <w:noProof/>
                <w:szCs w:val="18"/>
              </w:rPr>
              <w:t xml:space="preserve"> </w:t>
            </w:r>
            <w:r>
              <w:rPr>
                <w:noProof/>
              </w:rPr>
              <w:t>000</w:t>
            </w:r>
          </w:p>
        </w:tc>
        <w:tc>
          <w:tcPr>
            <w:tcW w:w="567" w:type="dxa"/>
            <w:shd w:val="clear" w:color="auto" w:fill="C6EFCE"/>
            <w:noWrap/>
          </w:tcPr>
          <w:p w14:paraId="494D2BF8" w14:textId="41DECBFE" w:rsidR="00D924EA" w:rsidRDefault="005701C9">
            <w:pPr>
              <w:pStyle w:val="P68B1DB1-Normal18"/>
              <w:spacing w:after="0" w:line="240" w:lineRule="auto"/>
              <w:jc w:val="center"/>
              <w:rPr>
                <w:rFonts w:eastAsia="Times New Roman" w:cs="Times New Roman"/>
                <w:noProof/>
                <w:szCs w:val="18"/>
              </w:rPr>
            </w:pPr>
            <w:r>
              <w:rPr>
                <w:noProof/>
              </w:rPr>
              <w:t>T2</w:t>
            </w:r>
          </w:p>
        </w:tc>
        <w:tc>
          <w:tcPr>
            <w:tcW w:w="709" w:type="dxa"/>
            <w:shd w:val="clear" w:color="auto" w:fill="C6EFCE"/>
            <w:noWrap/>
          </w:tcPr>
          <w:p w14:paraId="309CA003" w14:textId="77777777" w:rsidR="00D924EA" w:rsidRDefault="00011DE9">
            <w:pPr>
              <w:pStyle w:val="P68B1DB1-Normal18"/>
              <w:spacing w:after="0" w:line="240" w:lineRule="auto"/>
              <w:jc w:val="center"/>
              <w:rPr>
                <w:rFonts w:eastAsia="Times New Roman" w:cs="Times New Roman"/>
                <w:noProof/>
                <w:szCs w:val="18"/>
              </w:rPr>
            </w:pPr>
            <w:r>
              <w:rPr>
                <w:noProof/>
              </w:rPr>
              <w:t>2023</w:t>
            </w:r>
          </w:p>
        </w:tc>
        <w:tc>
          <w:tcPr>
            <w:tcW w:w="5108" w:type="dxa"/>
            <w:shd w:val="clear" w:color="auto" w:fill="C6EFCE"/>
            <w:noWrap/>
          </w:tcPr>
          <w:p w14:paraId="03B3618B" w14:textId="59525C45" w:rsidR="00D924EA" w:rsidRDefault="00011DE9">
            <w:pPr>
              <w:pStyle w:val="P68B1DB1-Normal47"/>
              <w:spacing w:after="0" w:line="240" w:lineRule="auto"/>
              <w:rPr>
                <w:noProof/>
              </w:rPr>
            </w:pPr>
            <w:r>
              <w:rPr>
                <w:noProof/>
              </w:rPr>
              <w:t xml:space="preserve">Garanția CERSA: Garanții în valoare de cel puțin 1 000 000 000 EUR acordate de CERSA, care să permită IMM-urilor să obțină garanții pentru investiții pe termen lung și capital circulant. Criteriile de selecție asigură conformitatea cu Orientările tehnice de „a nu prejudicia în mod semnificativ” (2021/C58/01) ale tranzacțiilor care beneficiază de sprijin în cadrul acestei măsuri prin utilizarea evaluării durabilității, utilizarea unei liste de excludere și a cerinței de conformitate cu legislația UE și națională relevantă în materie de mediu. </w:t>
            </w:r>
          </w:p>
          <w:p w14:paraId="13B1CBCB" w14:textId="77777777" w:rsidR="00D924EA" w:rsidRDefault="00D924EA">
            <w:pPr>
              <w:spacing w:after="0" w:line="240" w:lineRule="auto"/>
              <w:rPr>
                <w:rFonts w:ascii="Times New Roman" w:eastAsia="Calibri" w:hAnsi="Times New Roman" w:cs="Arial"/>
                <w:noProof/>
                <w:kern w:val="0"/>
                <w:sz w:val="18"/>
                <w:szCs w:val="18"/>
                <w14:ligatures w14:val="none"/>
              </w:rPr>
            </w:pPr>
          </w:p>
          <w:p w14:paraId="26E3EA5D" w14:textId="4C8E3F81" w:rsidR="00D924EA" w:rsidRDefault="00011DE9">
            <w:pPr>
              <w:pStyle w:val="P68B1DB1-Normal70"/>
              <w:spacing w:after="0" w:line="240" w:lineRule="auto"/>
              <w:rPr>
                <w:rFonts w:eastAsia="Times New Roman" w:cs="Times New Roman"/>
                <w:noProof/>
              </w:rPr>
            </w:pPr>
            <w:r>
              <w:rPr>
                <w:noProof/>
              </w:rPr>
              <w:t>Până la atingerea în mod satisfăcător a obiectivului MRR, în cazul în care sprijinul CERSA pentru IMM-uri beneficiază de alte instrumente ale Uniunii, contribuția la obiectivul de 1 000 000 000 EUR ia în considerare exclusiv cuantumurile garanțiilor financiare, comerciale și tehnice care au fost generate de contribuția MRR. Aceasta se calculează în conformitate cu o metodologie convenită, făcând distincție între sumele generate de MRR și sumele generate de alte instrumente ale Uniunii.</w:t>
            </w:r>
          </w:p>
        </w:tc>
      </w:tr>
      <w:tr w:rsidR="00D924EA" w14:paraId="75E01881" w14:textId="77777777">
        <w:trPr>
          <w:trHeight w:val="309"/>
          <w:jc w:val="center"/>
        </w:trPr>
        <w:tc>
          <w:tcPr>
            <w:tcW w:w="696" w:type="dxa"/>
            <w:shd w:val="clear" w:color="auto" w:fill="C6EFCE"/>
            <w:noWrap/>
          </w:tcPr>
          <w:p w14:paraId="53601FB6" w14:textId="77777777" w:rsidR="00D924EA" w:rsidRDefault="00011DE9">
            <w:pPr>
              <w:pStyle w:val="P68B1DB1-Normal18"/>
              <w:spacing w:after="0" w:line="240" w:lineRule="auto"/>
              <w:jc w:val="center"/>
              <w:rPr>
                <w:rFonts w:eastAsia="Times New Roman" w:cs="Times New Roman"/>
                <w:noProof/>
                <w:szCs w:val="18"/>
              </w:rPr>
            </w:pPr>
            <w:r>
              <w:rPr>
                <w:noProof/>
              </w:rPr>
              <w:t>198</w:t>
            </w:r>
          </w:p>
        </w:tc>
        <w:tc>
          <w:tcPr>
            <w:tcW w:w="836" w:type="dxa"/>
            <w:shd w:val="clear" w:color="auto" w:fill="C6EFCE"/>
            <w:noWrap/>
          </w:tcPr>
          <w:p w14:paraId="29AD5D57" w14:textId="77777777" w:rsidR="00D924EA" w:rsidRDefault="00011DE9">
            <w:pPr>
              <w:pStyle w:val="P68B1DB1-Normal18"/>
              <w:spacing w:after="0" w:line="240" w:lineRule="auto"/>
              <w:jc w:val="center"/>
              <w:rPr>
                <w:rFonts w:eastAsia="Times New Roman" w:cs="Times New Roman"/>
                <w:noProof/>
                <w:szCs w:val="18"/>
              </w:rPr>
            </w:pPr>
            <w:r>
              <w:rPr>
                <w:noProof/>
              </w:rPr>
              <w:t>C13.I2</w:t>
            </w:r>
          </w:p>
        </w:tc>
        <w:tc>
          <w:tcPr>
            <w:tcW w:w="835" w:type="dxa"/>
            <w:shd w:val="clear" w:color="auto" w:fill="C6EFCE"/>
            <w:noWrap/>
          </w:tcPr>
          <w:p w14:paraId="7AE28C5F" w14:textId="77777777" w:rsidR="00D924EA" w:rsidRDefault="00011DE9">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60301A70" w14:textId="77777777" w:rsidR="00D924EA" w:rsidRDefault="00011DE9">
            <w:pPr>
              <w:pStyle w:val="P68B1DB1-Normal18"/>
              <w:spacing w:after="0" w:line="240" w:lineRule="auto"/>
              <w:rPr>
                <w:rFonts w:eastAsia="Times New Roman" w:cs="Times New Roman"/>
                <w:noProof/>
                <w:szCs w:val="18"/>
              </w:rPr>
            </w:pPr>
            <w:r>
              <w:rPr>
                <w:noProof/>
              </w:rPr>
              <w:t>IMM-uri sprijinite prin Programul de sprijin pentru antreprenoriatul industrial</w:t>
            </w:r>
          </w:p>
        </w:tc>
        <w:tc>
          <w:tcPr>
            <w:tcW w:w="1701" w:type="dxa"/>
            <w:shd w:val="clear" w:color="auto" w:fill="C6EFCE"/>
            <w:noWrap/>
          </w:tcPr>
          <w:p w14:paraId="30731354" w14:textId="77777777" w:rsidR="00D924EA" w:rsidRDefault="00011DE9">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49B952C9" w14:textId="77777777" w:rsidR="00D924EA" w:rsidRDefault="00011DE9">
            <w:pPr>
              <w:pStyle w:val="P68B1DB1-Normal18"/>
              <w:spacing w:after="0" w:line="240" w:lineRule="auto"/>
              <w:jc w:val="center"/>
              <w:rPr>
                <w:rFonts w:eastAsia="Times New Roman" w:cs="Times New Roman"/>
                <w:noProof/>
                <w:szCs w:val="18"/>
              </w:rPr>
            </w:pPr>
            <w:r>
              <w:rPr>
                <w:noProof/>
              </w:rPr>
              <w:t>Număr</w:t>
            </w:r>
          </w:p>
        </w:tc>
        <w:tc>
          <w:tcPr>
            <w:tcW w:w="1134" w:type="dxa"/>
            <w:shd w:val="clear" w:color="auto" w:fill="C6EFCE"/>
            <w:noWrap/>
          </w:tcPr>
          <w:p w14:paraId="65A9B79E" w14:textId="77777777" w:rsidR="00D924EA" w:rsidRDefault="00011DE9">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3AF616FE" w14:textId="6ECB1D2D" w:rsidR="00D924EA" w:rsidRDefault="00011DE9">
            <w:pPr>
              <w:pStyle w:val="P68B1DB1-Normal18"/>
              <w:spacing w:after="0" w:line="240" w:lineRule="auto"/>
              <w:jc w:val="right"/>
              <w:rPr>
                <w:rFonts w:eastAsia="Times New Roman" w:cs="Times New Roman"/>
                <w:noProof/>
                <w:szCs w:val="18"/>
              </w:rPr>
            </w:pPr>
            <w:r>
              <w:rPr>
                <w:noProof/>
              </w:rPr>
              <w:t>1</w:t>
            </w:r>
            <w:r>
              <w:rPr>
                <w:noProof/>
                <w:szCs w:val="18"/>
              </w:rPr>
              <w:t xml:space="preserve"> </w:t>
            </w:r>
            <w:r>
              <w:rPr>
                <w:noProof/>
              </w:rPr>
              <w:t>500</w:t>
            </w:r>
          </w:p>
        </w:tc>
        <w:tc>
          <w:tcPr>
            <w:tcW w:w="567" w:type="dxa"/>
            <w:shd w:val="clear" w:color="auto" w:fill="C6EFCE"/>
            <w:noWrap/>
          </w:tcPr>
          <w:p w14:paraId="0DDCEC03" w14:textId="36577558" w:rsidR="00D924EA" w:rsidRDefault="005701C9">
            <w:pPr>
              <w:pStyle w:val="P68B1DB1-Normal18"/>
              <w:spacing w:after="0" w:line="240" w:lineRule="auto"/>
              <w:jc w:val="center"/>
              <w:rPr>
                <w:rFonts w:eastAsia="Times New Roman" w:cs="Times New Roman"/>
                <w:noProof/>
                <w:szCs w:val="18"/>
              </w:rPr>
            </w:pPr>
            <w:r>
              <w:rPr>
                <w:noProof/>
              </w:rPr>
              <w:t>T2</w:t>
            </w:r>
          </w:p>
        </w:tc>
        <w:tc>
          <w:tcPr>
            <w:tcW w:w="709" w:type="dxa"/>
            <w:shd w:val="clear" w:color="auto" w:fill="C6EFCE"/>
            <w:noWrap/>
          </w:tcPr>
          <w:p w14:paraId="6F56EB7B" w14:textId="77777777" w:rsidR="00D924EA" w:rsidRDefault="00011DE9">
            <w:pPr>
              <w:pStyle w:val="P68B1DB1-Normal18"/>
              <w:spacing w:after="0" w:line="240" w:lineRule="auto"/>
              <w:jc w:val="center"/>
              <w:rPr>
                <w:rFonts w:eastAsia="Times New Roman" w:cs="Times New Roman"/>
                <w:noProof/>
                <w:szCs w:val="18"/>
              </w:rPr>
            </w:pPr>
            <w:r>
              <w:rPr>
                <w:noProof/>
              </w:rPr>
              <w:t>2023</w:t>
            </w:r>
          </w:p>
        </w:tc>
        <w:tc>
          <w:tcPr>
            <w:tcW w:w="5108" w:type="dxa"/>
            <w:shd w:val="clear" w:color="auto" w:fill="C6EFCE"/>
            <w:noWrap/>
          </w:tcPr>
          <w:p w14:paraId="7494B6F4" w14:textId="6292D7C4" w:rsidR="00D924EA" w:rsidRDefault="00011DE9">
            <w:pPr>
              <w:pStyle w:val="P68B1DB1-Normal71"/>
              <w:spacing w:after="0" w:line="240" w:lineRule="auto"/>
              <w:rPr>
                <w:rFonts w:ascii="Times New Roman" w:eastAsia="Calibri" w:hAnsi="Times New Roman" w:cs="Times New Roman"/>
                <w:noProof/>
                <w:szCs w:val="18"/>
              </w:rPr>
            </w:pPr>
            <w:r>
              <w:rPr>
                <w:rFonts w:ascii="Times New Roman" w:eastAsia="Calibri" w:hAnsi="Times New Roman" w:cs="Arial"/>
                <w:noProof/>
              </w:rPr>
              <w:t>Se acordă sprijin financiar IMM-urilor pentru proiecte de investiții industriale în cadrul Programului de sprijin pentru antreprenoriatul industrial. Sprijinul financiar acordat acoperă costurile legate de comisionul de garantare perceput de Sociedades de Garantia Reciproca (SGR), dobânda împrumutului și costurile de evaluare și deschidere a operațiunii de garantare și a împrumutului pentru crearea de întreprinderi industriale sau extinderea instalațiilor existente sau orice îmbunătățire a sistemului lor de producție</w:t>
            </w:r>
            <w:r>
              <w:rPr>
                <w:rFonts w:ascii="Calibri" w:eastAsia="Calibri" w:hAnsi="Calibri" w:cs="Arial"/>
                <w:noProof/>
              </w:rPr>
              <w:t xml:space="preserve"> </w:t>
            </w:r>
            <w:r>
              <w:rPr>
                <w:rFonts w:ascii="Times New Roman" w:eastAsia="Calibri" w:hAnsi="Times New Roman" w:cs="Arial"/>
                <w:noProof/>
              </w:rPr>
              <w:t xml:space="preserve">care vizează creșterea competitivității. Această investiție poate beneficia, de asemenea, de sprijin din partea altor programe sau instrumente ale Uniunii pentru costuri care nu sunt sprijinite de MRR. Împrumutul are o scadență de cel puțin 1 an. </w:t>
            </w:r>
            <w:r>
              <w:rPr>
                <w:rFonts w:ascii="Times New Roman" w:eastAsia="Calibri" w:hAnsi="Times New Roman" w:cs="Arial"/>
                <w:noProof/>
              </w:rPr>
              <w:br/>
              <w:t>Cel puțin 1</w:t>
            </w:r>
            <w:r>
              <w:rPr>
                <w:rFonts w:ascii="Times New Roman" w:eastAsia="Calibri" w:hAnsi="Times New Roman" w:cs="Arial"/>
                <w:noProof/>
                <w:szCs w:val="18"/>
              </w:rPr>
              <w:t xml:space="preserve"> </w:t>
            </w:r>
            <w:r>
              <w:rPr>
                <w:rFonts w:ascii="Times New Roman" w:eastAsia="Calibri" w:hAnsi="Times New Roman" w:cs="Arial"/>
                <w:noProof/>
              </w:rPr>
              <w:t>500 de operațiuni au primit sprijin financiar din partea MINTUR prin intermediul CERSA în perioada 1 ianuarie 2021-31 decembrie 2023. Criteriile de selecție asigură conformitatea cu Orientările tehnice de „a nu prejudicia în mod semnificativ” (2021/C58/01) prin utilizarea unei liste de excludere și a cerinței de conformitate cu legislația UE și națională relevantă în materie de mediu.</w:t>
            </w:r>
          </w:p>
          <w:p w14:paraId="083BB6CA" w14:textId="77777777" w:rsidR="00D924EA" w:rsidRDefault="00011DE9">
            <w:pPr>
              <w:pStyle w:val="P68B1DB1-Normal18"/>
              <w:spacing w:after="0" w:line="240" w:lineRule="auto"/>
              <w:rPr>
                <w:rFonts w:eastAsia="Times New Roman" w:cs="Times New Roman"/>
                <w:noProof/>
                <w:szCs w:val="18"/>
              </w:rPr>
            </w:pPr>
            <w:r>
              <w:rPr>
                <w:noProof/>
              </w:rPr>
              <w:t>(Referință: 1 ianuarie 2021)</w:t>
            </w:r>
          </w:p>
        </w:tc>
      </w:tr>
      <w:tr w:rsidR="00D924EA" w14:paraId="25F82DD5" w14:textId="77777777">
        <w:trPr>
          <w:trHeight w:val="309"/>
          <w:jc w:val="center"/>
        </w:trPr>
        <w:tc>
          <w:tcPr>
            <w:tcW w:w="696" w:type="dxa"/>
            <w:shd w:val="clear" w:color="auto" w:fill="C6EFCE"/>
            <w:noWrap/>
          </w:tcPr>
          <w:p w14:paraId="311904C0" w14:textId="77777777" w:rsidR="00D924EA" w:rsidRDefault="00011DE9">
            <w:pPr>
              <w:pStyle w:val="P68B1DB1-Normal18"/>
              <w:spacing w:after="0" w:line="240" w:lineRule="auto"/>
              <w:jc w:val="center"/>
              <w:rPr>
                <w:rFonts w:eastAsia="Times New Roman" w:cs="Times New Roman"/>
                <w:noProof/>
                <w:szCs w:val="18"/>
              </w:rPr>
            </w:pPr>
            <w:r>
              <w:rPr>
                <w:noProof/>
              </w:rPr>
              <w:t>199</w:t>
            </w:r>
          </w:p>
        </w:tc>
        <w:tc>
          <w:tcPr>
            <w:tcW w:w="836" w:type="dxa"/>
            <w:shd w:val="clear" w:color="auto" w:fill="C6EFCE"/>
            <w:noWrap/>
          </w:tcPr>
          <w:p w14:paraId="27D80534" w14:textId="77777777" w:rsidR="00D924EA" w:rsidRDefault="00011DE9">
            <w:pPr>
              <w:pStyle w:val="P68B1DB1-Normal18"/>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254C725C" w14:textId="77777777" w:rsidR="00D924EA" w:rsidRDefault="00011DE9">
            <w:pPr>
              <w:pStyle w:val="P68B1DB1-Normal18"/>
              <w:spacing w:after="0" w:line="240" w:lineRule="auto"/>
              <w:jc w:val="center"/>
              <w:rPr>
                <w:rFonts w:eastAsia="Times New Roman" w:cs="Times New Roman"/>
                <w:noProof/>
                <w:szCs w:val="18"/>
              </w:rPr>
            </w:pPr>
            <w:r>
              <w:rPr>
                <w:noProof/>
              </w:rPr>
              <w:t>M</w:t>
            </w:r>
          </w:p>
        </w:tc>
        <w:tc>
          <w:tcPr>
            <w:tcW w:w="1739" w:type="dxa"/>
            <w:shd w:val="clear" w:color="auto" w:fill="C6EFCE"/>
            <w:noWrap/>
          </w:tcPr>
          <w:p w14:paraId="00CBFE6E" w14:textId="77777777" w:rsidR="00D924EA" w:rsidRDefault="00011DE9">
            <w:pPr>
              <w:pStyle w:val="P68B1DB1-Normal18"/>
              <w:spacing w:after="0" w:line="240" w:lineRule="auto"/>
              <w:rPr>
                <w:rFonts w:eastAsia="Times New Roman" w:cs="Times New Roman"/>
                <w:noProof/>
                <w:szCs w:val="18"/>
              </w:rPr>
            </w:pPr>
            <w:r>
              <w:rPr>
                <w:noProof/>
              </w:rPr>
              <w:t>Planul privind digitalizarea IMM-urilor pentru perioada 2021-2025</w:t>
            </w:r>
          </w:p>
        </w:tc>
        <w:tc>
          <w:tcPr>
            <w:tcW w:w="1701" w:type="dxa"/>
            <w:shd w:val="clear" w:color="auto" w:fill="C6EFCE"/>
            <w:noWrap/>
          </w:tcPr>
          <w:p w14:paraId="2CEC6E9F" w14:textId="77777777" w:rsidR="00D924EA" w:rsidRDefault="00011DE9">
            <w:pPr>
              <w:pStyle w:val="P68B1DB1-Normal18"/>
              <w:spacing w:after="0" w:line="240" w:lineRule="auto"/>
              <w:jc w:val="center"/>
              <w:rPr>
                <w:rFonts w:eastAsia="Times New Roman" w:cs="Times New Roman"/>
                <w:noProof/>
                <w:szCs w:val="18"/>
              </w:rPr>
            </w:pPr>
            <w:r>
              <w:rPr>
                <w:noProof/>
              </w:rPr>
              <w:t>Publicare</w:t>
            </w:r>
          </w:p>
        </w:tc>
        <w:tc>
          <w:tcPr>
            <w:tcW w:w="992" w:type="dxa"/>
            <w:shd w:val="clear" w:color="auto" w:fill="C6EFCE"/>
            <w:noWrap/>
          </w:tcPr>
          <w:p w14:paraId="055C8722" w14:textId="77777777" w:rsidR="00D924EA" w:rsidRDefault="00011DE9">
            <w:pPr>
              <w:pStyle w:val="P68B1DB1-Normal18"/>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9B8D943" w14:textId="77777777" w:rsidR="00D924EA" w:rsidRDefault="00011DE9">
            <w:pPr>
              <w:pStyle w:val="P68B1DB1-Normal18"/>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5373C07C" w14:textId="77777777" w:rsidR="00D924EA" w:rsidRDefault="00011DE9">
            <w:pPr>
              <w:pStyle w:val="P68B1DB1-Normal18"/>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1AAC2ED0" w14:textId="27C05AE6" w:rsidR="00D924EA" w:rsidRDefault="003010A3">
            <w:pPr>
              <w:pStyle w:val="P68B1DB1-Normal18"/>
              <w:spacing w:after="0" w:line="240" w:lineRule="auto"/>
              <w:jc w:val="center"/>
              <w:rPr>
                <w:rFonts w:eastAsia="Times New Roman" w:cs="Times New Roman"/>
                <w:noProof/>
                <w:szCs w:val="18"/>
              </w:rPr>
            </w:pPr>
            <w:r>
              <w:rPr>
                <w:noProof/>
              </w:rPr>
              <w:t>T1</w:t>
            </w:r>
          </w:p>
        </w:tc>
        <w:tc>
          <w:tcPr>
            <w:tcW w:w="709" w:type="dxa"/>
            <w:shd w:val="clear" w:color="auto" w:fill="C6EFCE"/>
            <w:noWrap/>
          </w:tcPr>
          <w:p w14:paraId="5A8CAC44" w14:textId="77777777" w:rsidR="00D924EA" w:rsidRDefault="00011DE9">
            <w:pPr>
              <w:pStyle w:val="P68B1DB1-Normal18"/>
              <w:spacing w:after="0" w:line="240" w:lineRule="auto"/>
              <w:jc w:val="center"/>
              <w:rPr>
                <w:rFonts w:eastAsia="Times New Roman" w:cs="Times New Roman"/>
                <w:noProof/>
                <w:szCs w:val="18"/>
              </w:rPr>
            </w:pPr>
            <w:r>
              <w:rPr>
                <w:noProof/>
              </w:rPr>
              <w:t>2021</w:t>
            </w:r>
          </w:p>
        </w:tc>
        <w:tc>
          <w:tcPr>
            <w:tcW w:w="5108" w:type="dxa"/>
            <w:shd w:val="clear" w:color="auto" w:fill="C6EFCE"/>
            <w:noWrap/>
          </w:tcPr>
          <w:p w14:paraId="61B98A36" w14:textId="77777777" w:rsidR="00D924EA" w:rsidRDefault="00011DE9">
            <w:pPr>
              <w:pStyle w:val="P68B1DB1-Normal18"/>
              <w:spacing w:after="0" w:line="240" w:lineRule="auto"/>
              <w:rPr>
                <w:rFonts w:eastAsia="Times New Roman" w:cs="Times New Roman"/>
                <w:noProof/>
                <w:szCs w:val="18"/>
              </w:rPr>
            </w:pPr>
            <w:r>
              <w:rPr>
                <w:noProof/>
              </w:rPr>
              <w:t>Aprobarea de către Consiliul de Miniștri a Planului privind digitalizarea IMM-urilor pentru perioada 2021-2025, care prevede un set de instrumente pentru a încorpora în microîntreprinderi și în întreprinderile autonome instrumentele digitale deja disponibile, pentru a stimula digitalizarea întreprinderilor mici și pentru a promova inovarea tehnologică</w:t>
            </w:r>
          </w:p>
        </w:tc>
      </w:tr>
      <w:tr w:rsidR="00D924EA" w14:paraId="523F7CA2" w14:textId="77777777">
        <w:trPr>
          <w:trHeight w:val="309"/>
          <w:jc w:val="center"/>
        </w:trPr>
        <w:tc>
          <w:tcPr>
            <w:tcW w:w="696" w:type="dxa"/>
            <w:shd w:val="clear" w:color="auto" w:fill="C6EFCE"/>
            <w:noWrap/>
          </w:tcPr>
          <w:p w14:paraId="3D0313A7" w14:textId="77777777" w:rsidR="00D924EA" w:rsidRDefault="00011DE9">
            <w:pPr>
              <w:pStyle w:val="P68B1DB1-Normal18"/>
              <w:spacing w:after="0" w:line="240" w:lineRule="auto"/>
              <w:jc w:val="center"/>
              <w:rPr>
                <w:rFonts w:eastAsia="Times New Roman" w:cs="Times New Roman"/>
                <w:noProof/>
                <w:szCs w:val="18"/>
              </w:rPr>
            </w:pPr>
            <w:r>
              <w:rPr>
                <w:noProof/>
              </w:rPr>
              <w:t>200</w:t>
            </w:r>
          </w:p>
        </w:tc>
        <w:tc>
          <w:tcPr>
            <w:tcW w:w="836" w:type="dxa"/>
            <w:shd w:val="clear" w:color="auto" w:fill="C6EFCE"/>
            <w:noWrap/>
          </w:tcPr>
          <w:p w14:paraId="3A15CE40" w14:textId="77777777" w:rsidR="00D924EA" w:rsidRDefault="00011DE9">
            <w:pPr>
              <w:pStyle w:val="P68B1DB1-Normal18"/>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71964C42" w14:textId="77777777" w:rsidR="00D924EA" w:rsidRDefault="00011DE9">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2DF8661B" w14:textId="77777777" w:rsidR="00D924EA" w:rsidRDefault="00011DE9">
            <w:pPr>
              <w:pStyle w:val="P68B1DB1-Normal18"/>
              <w:spacing w:after="0" w:line="240" w:lineRule="auto"/>
              <w:rPr>
                <w:rFonts w:eastAsia="Times New Roman" w:cs="Times New Roman"/>
                <w:noProof/>
                <w:szCs w:val="18"/>
              </w:rPr>
            </w:pPr>
            <w:r>
              <w:rPr>
                <w:noProof/>
              </w:rPr>
              <w:t>Buget angajat pentru programul privind setul de instrumente digitale</w:t>
            </w:r>
          </w:p>
        </w:tc>
        <w:tc>
          <w:tcPr>
            <w:tcW w:w="1701" w:type="dxa"/>
            <w:shd w:val="clear" w:color="auto" w:fill="C6EFCE"/>
            <w:noWrap/>
          </w:tcPr>
          <w:p w14:paraId="2D71E377" w14:textId="77777777" w:rsidR="00D924EA" w:rsidRDefault="00011DE9">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053014EA" w14:textId="77777777" w:rsidR="00D924EA" w:rsidRDefault="00011DE9">
            <w:pPr>
              <w:pStyle w:val="P68B1DB1-Normal18"/>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209F0FD4" w14:textId="77777777" w:rsidR="00D924EA" w:rsidRDefault="00011DE9">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112F020C" w14:textId="77777777" w:rsidR="00D924EA" w:rsidRDefault="00011DE9">
            <w:pPr>
              <w:pStyle w:val="P68B1DB1-Normal18"/>
              <w:spacing w:after="0" w:line="240" w:lineRule="auto"/>
              <w:jc w:val="right"/>
              <w:rPr>
                <w:rFonts w:eastAsia="Times New Roman" w:cs="Times New Roman"/>
                <w:noProof/>
                <w:szCs w:val="18"/>
              </w:rPr>
            </w:pPr>
            <w:r>
              <w:rPr>
                <w:noProof/>
              </w:rPr>
              <w:t>30</w:t>
            </w:r>
          </w:p>
        </w:tc>
        <w:tc>
          <w:tcPr>
            <w:tcW w:w="567" w:type="dxa"/>
            <w:shd w:val="clear" w:color="auto" w:fill="C6EFCE"/>
            <w:noWrap/>
          </w:tcPr>
          <w:p w14:paraId="536E4B84" w14:textId="7A8D7F70" w:rsidR="00D924EA" w:rsidRDefault="005701C9">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4953F9E5" w14:textId="77777777" w:rsidR="00D924EA" w:rsidRDefault="00011DE9">
            <w:pPr>
              <w:pStyle w:val="P68B1DB1-Normal18"/>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35A69218" w14:textId="22A99CEC" w:rsidR="00D924EA" w:rsidRDefault="00011DE9">
            <w:pPr>
              <w:pStyle w:val="P68B1DB1-Normal18"/>
              <w:spacing w:after="0" w:line="240" w:lineRule="auto"/>
              <w:rPr>
                <w:rFonts w:eastAsia="Times New Roman" w:cs="Times New Roman"/>
                <w:noProof/>
                <w:szCs w:val="18"/>
              </w:rPr>
            </w:pPr>
            <w:r>
              <w:rPr>
                <w:noProof/>
              </w:rPr>
              <w:t>Cel puțin 30 % din bugetul de 3</w:t>
            </w:r>
            <w:r>
              <w:rPr>
                <w:noProof/>
                <w:szCs w:val="18"/>
              </w:rPr>
              <w:t xml:space="preserve"> </w:t>
            </w:r>
            <w:r>
              <w:rPr>
                <w:noProof/>
              </w:rPr>
              <w:t>067</w:t>
            </w:r>
            <w:r>
              <w:rPr>
                <w:noProof/>
                <w:szCs w:val="18"/>
              </w:rPr>
              <w:t xml:space="preserve"> </w:t>
            </w:r>
            <w:r>
              <w:rPr>
                <w:noProof/>
              </w:rPr>
              <w:t>000</w:t>
            </w:r>
            <w:r>
              <w:rPr>
                <w:noProof/>
                <w:szCs w:val="18"/>
              </w:rPr>
              <w:t xml:space="preserve"> </w:t>
            </w:r>
            <w:r>
              <w:rPr>
                <w:noProof/>
              </w:rPr>
              <w:t>000 EUR angajat, dedicat acțiunilor de digitalizare a IMM-urilor, a microîntreprinderilor și a persoanelor care desfășoară o activitate independentă prin intermediul programului de instrumente digitale, în conformitate cu Orientările tehnice de „a nu prejudicia în mod semnificativ” (2021/C58/01) prin utilizarea unei liste de excludere și a cerinței de conformitate cu legislația UE și națională relevantă în materie de mediu.</w:t>
            </w:r>
          </w:p>
        </w:tc>
      </w:tr>
      <w:tr w:rsidR="00D924EA" w14:paraId="12A44379" w14:textId="77777777">
        <w:trPr>
          <w:trHeight w:val="309"/>
          <w:jc w:val="center"/>
        </w:trPr>
        <w:tc>
          <w:tcPr>
            <w:tcW w:w="696" w:type="dxa"/>
            <w:shd w:val="clear" w:color="auto" w:fill="C6EFCE"/>
            <w:noWrap/>
          </w:tcPr>
          <w:p w14:paraId="689D2B7D" w14:textId="77777777" w:rsidR="00D924EA" w:rsidRDefault="00011DE9">
            <w:pPr>
              <w:pStyle w:val="P68B1DB1-Normal18"/>
              <w:spacing w:after="0" w:line="240" w:lineRule="auto"/>
              <w:jc w:val="center"/>
              <w:rPr>
                <w:rFonts w:eastAsia="Times New Roman" w:cs="Times New Roman"/>
                <w:noProof/>
                <w:szCs w:val="18"/>
              </w:rPr>
            </w:pPr>
            <w:r>
              <w:rPr>
                <w:noProof/>
              </w:rPr>
              <w:t>201</w:t>
            </w:r>
          </w:p>
        </w:tc>
        <w:tc>
          <w:tcPr>
            <w:tcW w:w="836" w:type="dxa"/>
            <w:shd w:val="clear" w:color="auto" w:fill="C6EFCE"/>
            <w:noWrap/>
          </w:tcPr>
          <w:p w14:paraId="709A560A" w14:textId="77777777" w:rsidR="00D924EA" w:rsidRDefault="00011DE9">
            <w:pPr>
              <w:pStyle w:val="P68B1DB1-Normal18"/>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6BE3B298" w14:textId="77777777" w:rsidR="00D924EA" w:rsidRDefault="00011DE9">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19475FE4" w14:textId="77777777" w:rsidR="00D924EA" w:rsidRDefault="00011DE9">
            <w:pPr>
              <w:pStyle w:val="P68B1DB1-Normal18"/>
              <w:spacing w:after="0" w:line="240" w:lineRule="auto"/>
              <w:rPr>
                <w:rFonts w:eastAsia="Times New Roman" w:cs="Times New Roman"/>
                <w:noProof/>
                <w:szCs w:val="18"/>
              </w:rPr>
            </w:pPr>
            <w:r>
              <w:rPr>
                <w:noProof/>
              </w:rPr>
              <w:t>Buget angajat pentru programul „Agenți ai schimbării”</w:t>
            </w:r>
          </w:p>
        </w:tc>
        <w:tc>
          <w:tcPr>
            <w:tcW w:w="1701" w:type="dxa"/>
            <w:shd w:val="clear" w:color="auto" w:fill="C6EFCE"/>
            <w:noWrap/>
          </w:tcPr>
          <w:p w14:paraId="62366C3E" w14:textId="77777777" w:rsidR="00D924EA" w:rsidRDefault="00011DE9">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5CE36C20" w14:textId="77777777" w:rsidR="00D924EA" w:rsidRDefault="00011DE9">
            <w:pPr>
              <w:pStyle w:val="P68B1DB1-Normal18"/>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1BB7ED28" w14:textId="77777777" w:rsidR="00D924EA" w:rsidRDefault="00011DE9">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7A11CFB9" w14:textId="77777777" w:rsidR="00D924EA" w:rsidRDefault="00011DE9">
            <w:pPr>
              <w:pStyle w:val="P68B1DB1-Normal18"/>
              <w:spacing w:after="0" w:line="240" w:lineRule="auto"/>
              <w:jc w:val="right"/>
              <w:rPr>
                <w:rFonts w:eastAsia="Times New Roman" w:cs="Times New Roman"/>
                <w:noProof/>
                <w:szCs w:val="18"/>
              </w:rPr>
            </w:pPr>
            <w:r>
              <w:rPr>
                <w:noProof/>
              </w:rPr>
              <w:t>30</w:t>
            </w:r>
          </w:p>
        </w:tc>
        <w:tc>
          <w:tcPr>
            <w:tcW w:w="567" w:type="dxa"/>
            <w:shd w:val="clear" w:color="auto" w:fill="C6EFCE"/>
            <w:noWrap/>
          </w:tcPr>
          <w:p w14:paraId="185AF541" w14:textId="530AAA4C" w:rsidR="00D924EA" w:rsidRDefault="005701C9">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747F7AA1" w14:textId="77777777" w:rsidR="00D924EA" w:rsidRDefault="00011DE9">
            <w:pPr>
              <w:pStyle w:val="P68B1DB1-Normal18"/>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59905F48" w14:textId="4B376276" w:rsidR="00D924EA" w:rsidRDefault="00011DE9">
            <w:pPr>
              <w:pStyle w:val="P68B1DB1-Normal18"/>
              <w:spacing w:after="0" w:line="240" w:lineRule="auto"/>
              <w:rPr>
                <w:rFonts w:eastAsia="Times New Roman" w:cs="Times New Roman"/>
                <w:noProof/>
                <w:szCs w:val="18"/>
              </w:rPr>
            </w:pPr>
            <w:r>
              <w:rPr>
                <w:noProof/>
              </w:rPr>
              <w:t>Cel puțin 30 % din bugetul de 300</w:t>
            </w:r>
            <w:r>
              <w:rPr>
                <w:noProof/>
                <w:szCs w:val="18"/>
              </w:rPr>
              <w:t xml:space="preserve"> </w:t>
            </w:r>
            <w:r>
              <w:rPr>
                <w:noProof/>
              </w:rPr>
              <w:t>000</w:t>
            </w:r>
            <w:r>
              <w:rPr>
                <w:noProof/>
                <w:szCs w:val="18"/>
              </w:rPr>
              <w:t xml:space="preserve"> </w:t>
            </w:r>
            <w:r>
              <w:rPr>
                <w:noProof/>
              </w:rPr>
              <w:t>000 EUR angajat, dedicat IMM-urilor în cadrul programului „Agenți ai schimbării”. Cererile de propuneri cu termeni de referință includ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D924EA" w14:paraId="694645B0" w14:textId="77777777">
        <w:trPr>
          <w:trHeight w:val="309"/>
          <w:jc w:val="center"/>
        </w:trPr>
        <w:tc>
          <w:tcPr>
            <w:tcW w:w="696" w:type="dxa"/>
            <w:shd w:val="clear" w:color="auto" w:fill="C6EFCE"/>
            <w:noWrap/>
          </w:tcPr>
          <w:p w14:paraId="42BD252A" w14:textId="77777777" w:rsidR="00D924EA" w:rsidRDefault="00011DE9">
            <w:pPr>
              <w:pStyle w:val="P68B1DB1-Normal18"/>
              <w:spacing w:after="0" w:line="240" w:lineRule="auto"/>
              <w:jc w:val="center"/>
              <w:rPr>
                <w:rFonts w:eastAsia="Times New Roman" w:cs="Times New Roman"/>
                <w:noProof/>
                <w:szCs w:val="18"/>
              </w:rPr>
            </w:pPr>
            <w:r>
              <w:rPr>
                <w:noProof/>
              </w:rPr>
              <w:t>202</w:t>
            </w:r>
          </w:p>
        </w:tc>
        <w:tc>
          <w:tcPr>
            <w:tcW w:w="836" w:type="dxa"/>
            <w:shd w:val="clear" w:color="auto" w:fill="C6EFCE"/>
            <w:noWrap/>
          </w:tcPr>
          <w:p w14:paraId="6D479C8A" w14:textId="77777777" w:rsidR="00D924EA" w:rsidRDefault="00011DE9">
            <w:pPr>
              <w:pStyle w:val="P68B1DB1-Normal18"/>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6F4D43A1" w14:textId="77777777" w:rsidR="00D924EA" w:rsidRDefault="00011DE9">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02286E1B" w14:textId="77777777" w:rsidR="00D924EA" w:rsidRDefault="00011DE9">
            <w:pPr>
              <w:pStyle w:val="P68B1DB1-Normal18"/>
              <w:spacing w:after="0" w:line="240" w:lineRule="auto"/>
              <w:rPr>
                <w:rFonts w:eastAsia="Times New Roman" w:cs="Times New Roman"/>
                <w:noProof/>
                <w:szCs w:val="18"/>
              </w:rPr>
            </w:pPr>
            <w:r>
              <w:rPr>
                <w:noProof/>
              </w:rPr>
              <w:t>Buget angajat pentru Programul de sprijin pentru clusterele de întreprinderi inovatoare</w:t>
            </w:r>
          </w:p>
        </w:tc>
        <w:tc>
          <w:tcPr>
            <w:tcW w:w="1701" w:type="dxa"/>
            <w:shd w:val="clear" w:color="auto" w:fill="C6EFCE"/>
            <w:noWrap/>
          </w:tcPr>
          <w:p w14:paraId="6414A399" w14:textId="77777777" w:rsidR="00D924EA" w:rsidRDefault="00011DE9">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06D521B8" w14:textId="77777777" w:rsidR="00D924EA" w:rsidRDefault="00011DE9">
            <w:pPr>
              <w:pStyle w:val="P68B1DB1-Normal18"/>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397B40FF" w14:textId="77777777" w:rsidR="00D924EA" w:rsidRDefault="00011DE9">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48795678" w14:textId="77777777" w:rsidR="00D924EA" w:rsidRDefault="00011DE9">
            <w:pPr>
              <w:pStyle w:val="P68B1DB1-Normal18"/>
              <w:spacing w:after="0" w:line="240" w:lineRule="auto"/>
              <w:jc w:val="right"/>
              <w:rPr>
                <w:rFonts w:eastAsia="Times New Roman" w:cs="Times New Roman"/>
                <w:noProof/>
                <w:szCs w:val="18"/>
              </w:rPr>
            </w:pPr>
            <w:r>
              <w:rPr>
                <w:noProof/>
              </w:rPr>
              <w:t>30</w:t>
            </w:r>
          </w:p>
        </w:tc>
        <w:tc>
          <w:tcPr>
            <w:tcW w:w="567" w:type="dxa"/>
            <w:shd w:val="clear" w:color="auto" w:fill="C6EFCE"/>
            <w:noWrap/>
          </w:tcPr>
          <w:p w14:paraId="71F71FA5" w14:textId="78E3A205" w:rsidR="00D924EA" w:rsidRDefault="005701C9">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3085E5EB" w14:textId="77777777" w:rsidR="00D924EA" w:rsidRDefault="00011DE9">
            <w:pPr>
              <w:pStyle w:val="P68B1DB1-Normal18"/>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1BD22E48" w14:textId="5D17B250" w:rsidR="00D924EA" w:rsidRDefault="00011DE9">
            <w:pPr>
              <w:pStyle w:val="P68B1DB1-Normal18"/>
              <w:spacing w:after="0" w:line="240" w:lineRule="auto"/>
              <w:rPr>
                <w:rFonts w:eastAsia="Times New Roman" w:cs="Times New Roman"/>
                <w:noProof/>
                <w:szCs w:val="18"/>
              </w:rPr>
            </w:pPr>
            <w:r>
              <w:rPr>
                <w:noProof/>
              </w:rPr>
              <w:t>Cel puțin 30 % din bugetul de 115</w:t>
            </w:r>
            <w:r>
              <w:rPr>
                <w:noProof/>
                <w:szCs w:val="18"/>
              </w:rPr>
              <w:t xml:space="preserve"> </w:t>
            </w:r>
            <w:r>
              <w:rPr>
                <w:noProof/>
              </w:rPr>
              <w:t>000</w:t>
            </w:r>
            <w:r>
              <w:rPr>
                <w:noProof/>
                <w:szCs w:val="18"/>
              </w:rPr>
              <w:t xml:space="preserve"> </w:t>
            </w:r>
            <w:r>
              <w:rPr>
                <w:noProof/>
              </w:rPr>
              <w:t>000 EUR angajat, în „Programul de sprijin pentru clusterele de întreprinderi inovatoare”. Ordinele privind termenele și condițiile (</w:t>
            </w:r>
            <w:r>
              <w:rPr>
                <w:i/>
                <w:noProof/>
              </w:rPr>
              <w:t xml:space="preserve">ordenes de base) </w:t>
            </w:r>
            <w:r>
              <w:rPr>
                <w:noProof/>
              </w:rPr>
              <w:t>și cererile de propuneri includ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D924EA" w14:paraId="6B23727C" w14:textId="77777777">
        <w:trPr>
          <w:trHeight w:val="309"/>
          <w:jc w:val="center"/>
        </w:trPr>
        <w:tc>
          <w:tcPr>
            <w:tcW w:w="696" w:type="dxa"/>
            <w:shd w:val="clear" w:color="auto" w:fill="C6EFCE"/>
            <w:noWrap/>
          </w:tcPr>
          <w:p w14:paraId="47EC605B" w14:textId="77777777" w:rsidR="00D924EA" w:rsidRDefault="00011DE9">
            <w:pPr>
              <w:pStyle w:val="P68B1DB1-Normal18"/>
              <w:spacing w:after="0" w:line="240" w:lineRule="auto"/>
              <w:jc w:val="center"/>
              <w:rPr>
                <w:rFonts w:eastAsia="Times New Roman" w:cs="Times New Roman"/>
                <w:noProof/>
                <w:szCs w:val="18"/>
              </w:rPr>
            </w:pPr>
            <w:r>
              <w:rPr>
                <w:noProof/>
              </w:rPr>
              <w:t>203</w:t>
            </w:r>
          </w:p>
        </w:tc>
        <w:tc>
          <w:tcPr>
            <w:tcW w:w="836" w:type="dxa"/>
            <w:shd w:val="clear" w:color="auto" w:fill="C6EFCE"/>
            <w:noWrap/>
          </w:tcPr>
          <w:p w14:paraId="523960B8" w14:textId="77777777" w:rsidR="00D924EA" w:rsidRDefault="00011DE9">
            <w:pPr>
              <w:pStyle w:val="P68B1DB1-Normal18"/>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7E404EA1" w14:textId="77777777" w:rsidR="00D924EA" w:rsidRDefault="00011DE9">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041563E3" w14:textId="77777777" w:rsidR="00D924EA" w:rsidRDefault="00011DE9">
            <w:pPr>
              <w:pStyle w:val="P68B1DB1-Normal18"/>
              <w:spacing w:after="0" w:line="240" w:lineRule="auto"/>
              <w:rPr>
                <w:rFonts w:eastAsia="Times New Roman" w:cs="Times New Roman"/>
                <w:noProof/>
                <w:szCs w:val="18"/>
              </w:rPr>
            </w:pPr>
            <w:r>
              <w:rPr>
                <w:noProof/>
              </w:rPr>
              <w:t>Buget angajat pentru programul privind centrele de inovare digitală</w:t>
            </w:r>
          </w:p>
        </w:tc>
        <w:tc>
          <w:tcPr>
            <w:tcW w:w="1701" w:type="dxa"/>
            <w:shd w:val="clear" w:color="auto" w:fill="C6EFCE"/>
            <w:noWrap/>
          </w:tcPr>
          <w:p w14:paraId="43A5B66F" w14:textId="77777777" w:rsidR="00D924EA" w:rsidRDefault="00011DE9">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4754984A" w14:textId="77777777" w:rsidR="00D924EA" w:rsidRDefault="00011DE9">
            <w:pPr>
              <w:pStyle w:val="P68B1DB1-Normal18"/>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1363322A" w14:textId="77777777" w:rsidR="00D924EA" w:rsidRDefault="00011DE9">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5F884295" w14:textId="77777777" w:rsidR="00D924EA" w:rsidRDefault="00011DE9">
            <w:pPr>
              <w:pStyle w:val="P68B1DB1-Normal18"/>
              <w:spacing w:after="0" w:line="240" w:lineRule="auto"/>
              <w:jc w:val="right"/>
              <w:rPr>
                <w:rFonts w:eastAsia="Times New Roman" w:cs="Times New Roman"/>
                <w:noProof/>
                <w:szCs w:val="18"/>
              </w:rPr>
            </w:pPr>
            <w:r>
              <w:rPr>
                <w:noProof/>
              </w:rPr>
              <w:t>30</w:t>
            </w:r>
          </w:p>
        </w:tc>
        <w:tc>
          <w:tcPr>
            <w:tcW w:w="567" w:type="dxa"/>
            <w:shd w:val="clear" w:color="auto" w:fill="C6EFCE"/>
            <w:noWrap/>
          </w:tcPr>
          <w:p w14:paraId="096F395B" w14:textId="4D9089A4" w:rsidR="00D924EA" w:rsidRDefault="005701C9">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0AF808C4" w14:textId="77777777" w:rsidR="00D924EA" w:rsidRDefault="00011DE9">
            <w:pPr>
              <w:pStyle w:val="P68B1DB1-Normal18"/>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6874FD39" w14:textId="605CF4AE" w:rsidR="00D924EA" w:rsidRDefault="00011DE9">
            <w:pPr>
              <w:pStyle w:val="P68B1DB1-Normal18"/>
              <w:spacing w:after="0" w:line="240" w:lineRule="auto"/>
              <w:rPr>
                <w:rFonts w:eastAsia="Times New Roman" w:cs="Times New Roman"/>
                <w:noProof/>
                <w:szCs w:val="18"/>
              </w:rPr>
            </w:pPr>
            <w:r>
              <w:rPr>
                <w:noProof/>
              </w:rPr>
              <w:t>Cel puțin 30 % din bugetul de 37</w:t>
            </w:r>
            <w:r>
              <w:rPr>
                <w:noProof/>
                <w:szCs w:val="18"/>
              </w:rPr>
              <w:t xml:space="preserve"> </w:t>
            </w:r>
            <w:r>
              <w:rPr>
                <w:noProof/>
              </w:rPr>
              <w:t>590</w:t>
            </w:r>
            <w:r>
              <w:rPr>
                <w:noProof/>
                <w:szCs w:val="18"/>
              </w:rPr>
              <w:t xml:space="preserve"> </w:t>
            </w:r>
            <w:r>
              <w:rPr>
                <w:noProof/>
              </w:rPr>
              <w:t>000 EUR angajat pentru „Programul privind centrele de inovare digitală”. Ordinele privind termenele și condițiile (</w:t>
            </w:r>
            <w:r>
              <w:rPr>
                <w:i/>
                <w:noProof/>
              </w:rPr>
              <w:t xml:space="preserve">ordenes de base) </w:t>
            </w:r>
            <w:r>
              <w:rPr>
                <w:noProof/>
              </w:rPr>
              <w:t>și cererile de propuneri includ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D924EA" w14:paraId="7CFC58D4" w14:textId="77777777">
        <w:trPr>
          <w:trHeight w:val="1095"/>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49EBE5C6" w14:textId="77777777" w:rsidR="00D924EA" w:rsidRDefault="00011DE9">
            <w:pPr>
              <w:pStyle w:val="P68B1DB1-Normal20"/>
              <w:spacing w:line="240" w:lineRule="auto"/>
              <w:jc w:val="center"/>
              <w:rPr>
                <w:noProof/>
              </w:rPr>
            </w:pPr>
            <w:r>
              <w:rPr>
                <w:noProof/>
              </w:rPr>
              <w:t>208a</w:t>
            </w:r>
          </w:p>
        </w:tc>
        <w:tc>
          <w:tcPr>
            <w:tcW w:w="836" w:type="dxa"/>
            <w:tcBorders>
              <w:top w:val="single" w:sz="4" w:space="0" w:color="auto"/>
              <w:left w:val="single" w:sz="4" w:space="0" w:color="auto"/>
              <w:bottom w:val="single" w:sz="4" w:space="0" w:color="auto"/>
              <w:right w:val="single" w:sz="4" w:space="0" w:color="auto"/>
            </w:tcBorders>
            <w:shd w:val="clear" w:color="auto" w:fill="C6EFCE"/>
            <w:noWrap/>
          </w:tcPr>
          <w:p w14:paraId="79DAB7F7" w14:textId="77777777" w:rsidR="00D924EA" w:rsidRDefault="00011DE9">
            <w:pPr>
              <w:pStyle w:val="P68B1DB1-Normal20"/>
              <w:spacing w:line="240" w:lineRule="auto"/>
              <w:jc w:val="center"/>
              <w:rPr>
                <w:noProof/>
              </w:rPr>
            </w:pPr>
            <w:r>
              <w:rPr>
                <w:noProof/>
              </w:rPr>
              <w:t>C13.I3</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6D0732B" w14:textId="77777777" w:rsidR="00D924EA" w:rsidRDefault="00011DE9">
            <w:pPr>
              <w:pStyle w:val="P68B1DB1-Normal20"/>
              <w:spacing w:line="240" w:lineRule="auto"/>
              <w:jc w:val="center"/>
              <w:rPr>
                <w:noProof/>
              </w:rPr>
            </w:pPr>
            <w:r>
              <w:rPr>
                <w:noProof/>
              </w:rPr>
              <w:t>M</w:t>
            </w:r>
          </w:p>
        </w:tc>
        <w:tc>
          <w:tcPr>
            <w:tcW w:w="1739" w:type="dxa"/>
            <w:tcBorders>
              <w:top w:val="single" w:sz="4" w:space="0" w:color="auto"/>
              <w:left w:val="single" w:sz="4" w:space="0" w:color="auto"/>
              <w:bottom w:val="single" w:sz="4" w:space="0" w:color="auto"/>
              <w:right w:val="single" w:sz="4" w:space="0" w:color="auto"/>
            </w:tcBorders>
            <w:shd w:val="clear" w:color="auto" w:fill="C6EFCE"/>
            <w:noWrap/>
          </w:tcPr>
          <w:p w14:paraId="15DF1CF4" w14:textId="77777777" w:rsidR="00D924EA" w:rsidRDefault="00011DE9">
            <w:pPr>
              <w:pStyle w:val="P68B1DB1-Normal20"/>
              <w:spacing w:line="240" w:lineRule="auto"/>
              <w:rPr>
                <w:noProof/>
              </w:rPr>
            </w:pPr>
            <w:r>
              <w:rPr>
                <w:noProof/>
              </w:rPr>
              <w:t>Sistemul de subvenții</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2B66786F" w14:textId="77777777" w:rsidR="00D924EA" w:rsidRDefault="00011DE9">
            <w:pPr>
              <w:pStyle w:val="P68B1DB1-Normal20"/>
              <w:spacing w:line="240" w:lineRule="auto"/>
              <w:jc w:val="center"/>
              <w:rPr>
                <w:noProof/>
              </w:rPr>
            </w:pPr>
            <w:r>
              <w:rPr>
                <w:noProof/>
              </w:rPr>
              <w:t>Dispozițiile relevante ale acordurilor juridice</w:t>
            </w:r>
          </w:p>
          <w:p w14:paraId="16F2A44C" w14:textId="77777777" w:rsidR="00D924EA" w:rsidRDefault="00011DE9">
            <w:pPr>
              <w:pStyle w:val="P68B1DB1-Normal20"/>
              <w:spacing w:line="240" w:lineRule="auto"/>
              <w:jc w:val="center"/>
              <w:rPr>
                <w:noProof/>
              </w:rPr>
            </w:pPr>
            <w:r>
              <w:rPr>
                <w:noProof/>
              </w:rPr>
              <w:t>Dovada transferului</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595A2B1" w14:textId="77777777" w:rsidR="00D924EA" w:rsidRDefault="00D924EA">
            <w:pPr>
              <w:spacing w:line="240" w:lineRule="auto"/>
              <w:jc w:val="center"/>
              <w:rPr>
                <w:rFonts w:ascii="Times New Roman" w:eastAsia="Calibri" w:hAnsi="Times New Roman"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88F4B27" w14:textId="77777777" w:rsidR="00D924EA" w:rsidRDefault="00D924EA">
            <w:pPr>
              <w:spacing w:line="276" w:lineRule="auto"/>
              <w:rPr>
                <w:rFonts w:ascii="Times New Roman" w:eastAsia="Calibri" w:hAnsi="Times New Roman"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C42CB8A" w14:textId="77777777" w:rsidR="00D924EA" w:rsidRDefault="00D924EA">
            <w:pPr>
              <w:spacing w:line="276" w:lineRule="auto"/>
              <w:rPr>
                <w:rFonts w:ascii="Times New Roman" w:eastAsia="Calibri" w:hAnsi="Times New Roman" w:cs="Arial"/>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29876C10" w14:textId="56A9B9E1" w:rsidR="00D924EA" w:rsidRDefault="005701C9">
            <w:pPr>
              <w:pStyle w:val="P68B1DB1-Normal20"/>
              <w:spacing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B497043" w14:textId="6FA67053" w:rsidR="00D924EA" w:rsidRDefault="00011DE9">
            <w:pPr>
              <w:pStyle w:val="P68B1DB1-Normal20"/>
              <w:spacing w:line="240" w:lineRule="auto"/>
              <w:jc w:val="center"/>
              <w:rPr>
                <w:noProof/>
              </w:rPr>
            </w:pPr>
            <w:r>
              <w:rPr>
                <w:noProof/>
              </w:rPr>
              <w:t>2025</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5B649AFF" w14:textId="77777777" w:rsidR="00D924EA" w:rsidRDefault="00011DE9">
            <w:pPr>
              <w:pStyle w:val="P68B1DB1-Normal72"/>
              <w:spacing w:after="0" w:line="240" w:lineRule="auto"/>
              <w:rPr>
                <w:rFonts w:ascii="Segoe UI" w:hAnsi="Segoe UI" w:cs="Segoe UI"/>
                <w:noProof/>
              </w:rPr>
            </w:pPr>
            <w:r>
              <w:rPr>
                <w:noProof/>
              </w:rPr>
              <w:t>Intrarea în vigoare a instrumentului (instrumentelor) juridic (e) de instituire a schemei de sprijin.</w:t>
            </w:r>
          </w:p>
          <w:p w14:paraId="3D9B0E9D" w14:textId="77777777" w:rsidR="00D924EA" w:rsidRDefault="00D924EA">
            <w:pPr>
              <w:spacing w:after="0" w:line="240" w:lineRule="auto"/>
              <w:rPr>
                <w:rFonts w:ascii="Segoe UI" w:eastAsia="Times New Roman" w:hAnsi="Segoe UI" w:cs="Segoe UI"/>
                <w:noProof/>
                <w:color w:val="000000" w:themeColor="text1"/>
                <w:sz w:val="18"/>
                <w:szCs w:val="18"/>
              </w:rPr>
            </w:pPr>
          </w:p>
          <w:p w14:paraId="28F292F4" w14:textId="2CB79DDB" w:rsidR="00D924EA" w:rsidRDefault="00011DE9">
            <w:pPr>
              <w:spacing w:after="0" w:line="240" w:lineRule="auto"/>
              <w:rPr>
                <w:rFonts w:ascii="Times New Roman" w:eastAsia="Times New Roman" w:hAnsi="Times New Roman" w:cs="Times New Roman"/>
                <w:noProof/>
                <w:color w:val="000000" w:themeColor="text1"/>
                <w:sz w:val="18"/>
                <w:szCs w:val="18"/>
              </w:rPr>
            </w:pPr>
            <w:r>
              <w:rPr>
                <w:rFonts w:ascii="Times New Roman" w:eastAsia="Times New Roman" w:hAnsi="Times New Roman" w:cs="Times New Roman"/>
                <w:noProof/>
                <w:color w:val="000000" w:themeColor="text1"/>
                <w:sz w:val="18"/>
                <w:szCs w:val="18"/>
              </w:rPr>
              <w:t>Spania transferă 2</w:t>
            </w:r>
            <w:r>
              <w:rPr>
                <w:rFonts w:ascii="Times New Roman" w:hAnsi="Times New Roman" w:cs="Times New Roman"/>
                <w:noProof/>
                <w:sz w:val="20"/>
                <w:szCs w:val="20"/>
              </w:rPr>
              <w:t xml:space="preserve"> </w:t>
            </w:r>
            <w:r>
              <w:rPr>
                <w:rFonts w:ascii="Times New Roman" w:eastAsia="Times New Roman" w:hAnsi="Times New Roman" w:cs="Times New Roman"/>
                <w:noProof/>
                <w:color w:val="000000" w:themeColor="text1"/>
                <w:sz w:val="18"/>
                <w:szCs w:val="18"/>
              </w:rPr>
              <w:t>841</w:t>
            </w:r>
            <w:r>
              <w:rPr>
                <w:rFonts w:ascii="Times New Roman" w:hAnsi="Times New Roman" w:cs="Times New Roman"/>
                <w:noProof/>
                <w:sz w:val="20"/>
                <w:szCs w:val="20"/>
              </w:rPr>
              <w:t xml:space="preserve"> </w:t>
            </w:r>
            <w:r>
              <w:rPr>
                <w:rFonts w:ascii="Times New Roman" w:eastAsia="Times New Roman" w:hAnsi="Times New Roman" w:cs="Times New Roman"/>
                <w:noProof/>
                <w:color w:val="000000" w:themeColor="text1"/>
                <w:sz w:val="18"/>
                <w:szCs w:val="18"/>
              </w:rPr>
              <w:t>316</w:t>
            </w:r>
            <w:r>
              <w:rPr>
                <w:rFonts w:ascii="Times New Roman" w:hAnsi="Times New Roman" w:cs="Times New Roman"/>
                <w:noProof/>
                <w:sz w:val="20"/>
                <w:szCs w:val="20"/>
              </w:rPr>
              <w:t xml:space="preserve"> </w:t>
            </w:r>
            <w:r>
              <w:rPr>
                <w:rFonts w:ascii="Times New Roman" w:eastAsia="Times New Roman" w:hAnsi="Times New Roman" w:cs="Times New Roman"/>
                <w:noProof/>
                <w:color w:val="000000" w:themeColor="text1"/>
                <w:sz w:val="18"/>
                <w:szCs w:val="18"/>
              </w:rPr>
              <w:t xml:space="preserve">379 EUR </w:t>
            </w:r>
            <w:r>
              <w:rPr>
                <w:rFonts w:ascii="Times New Roman" w:eastAsia="Times New Roman" w:hAnsi="Times New Roman" w:cs="Times New Roman"/>
                <w:noProof/>
                <w:sz w:val="18"/>
                <w:szCs w:val="18"/>
              </w:rPr>
              <w:t>către Red.es.</w:t>
            </w:r>
            <w:r>
              <w:rPr>
                <w:rFonts w:ascii="Times New Roman" w:eastAsia="Times New Roman" w:hAnsi="Times New Roman" w:cs="Times New Roman"/>
                <w:noProof/>
                <w:color w:val="000000" w:themeColor="text1"/>
                <w:sz w:val="18"/>
                <w:szCs w:val="18"/>
              </w:rPr>
              <w:t xml:space="preserve"> </w:t>
            </w:r>
          </w:p>
        </w:tc>
      </w:tr>
      <w:tr w:rsidR="00D924EA" w14:paraId="272B43DE" w14:textId="77777777">
        <w:trPr>
          <w:trHeight w:val="309"/>
          <w:jc w:val="center"/>
        </w:trPr>
        <w:tc>
          <w:tcPr>
            <w:tcW w:w="696" w:type="dxa"/>
            <w:shd w:val="clear" w:color="auto" w:fill="C6EFCE"/>
            <w:noWrap/>
          </w:tcPr>
          <w:p w14:paraId="77E8BF93" w14:textId="77777777" w:rsidR="00D924EA" w:rsidRDefault="00011DE9">
            <w:pPr>
              <w:pStyle w:val="P68B1DB1-Normal47"/>
              <w:spacing w:after="0" w:line="240" w:lineRule="auto"/>
              <w:jc w:val="center"/>
              <w:rPr>
                <w:rFonts w:eastAsia="Times New Roman" w:cs="Times New Roman"/>
                <w:noProof/>
              </w:rPr>
            </w:pPr>
            <w:r>
              <w:rPr>
                <w:noProof/>
              </w:rPr>
              <w:t>208</w:t>
            </w:r>
          </w:p>
        </w:tc>
        <w:tc>
          <w:tcPr>
            <w:tcW w:w="836" w:type="dxa"/>
            <w:shd w:val="clear" w:color="auto" w:fill="C6EFCE"/>
            <w:noWrap/>
          </w:tcPr>
          <w:p w14:paraId="370A6B0E" w14:textId="77777777" w:rsidR="00D924EA" w:rsidRDefault="00011DE9">
            <w:pPr>
              <w:pStyle w:val="P68B1DB1-Normal18"/>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25B9CD48" w14:textId="03786B50" w:rsidR="00D924EA" w:rsidRDefault="00011DE9">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64050AC9" w14:textId="502BA4B6" w:rsidR="00D924EA" w:rsidRDefault="00011DE9">
            <w:pPr>
              <w:pStyle w:val="P68B1DB1-Normal20"/>
              <w:spacing w:after="0" w:line="240" w:lineRule="auto"/>
              <w:rPr>
                <w:rFonts w:eastAsia="Times New Roman" w:cs="Times New Roman"/>
                <w:noProof/>
                <w:kern w:val="0"/>
                <w14:ligatures w14:val="none"/>
              </w:rPr>
            </w:pPr>
            <w:r>
              <w:rPr>
                <w:noProof/>
              </w:rPr>
              <w:t>Sistemul de subvenții</w:t>
            </w:r>
          </w:p>
        </w:tc>
        <w:tc>
          <w:tcPr>
            <w:tcW w:w="1701" w:type="dxa"/>
            <w:shd w:val="clear" w:color="auto" w:fill="C6EFCE"/>
            <w:noWrap/>
          </w:tcPr>
          <w:p w14:paraId="307BB3BC" w14:textId="77777777" w:rsidR="00D924EA" w:rsidRDefault="00011DE9">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14AB10A9" w14:textId="355AADE3" w:rsidR="00D924EA" w:rsidRDefault="00011DE9">
            <w:pPr>
              <w:pStyle w:val="P68B1DB1-Normal20"/>
              <w:spacing w:after="0" w:line="240" w:lineRule="auto"/>
              <w:jc w:val="center"/>
              <w:rPr>
                <w:rFonts w:eastAsia="Times New Roman" w:cs="Times New Roman"/>
                <w:noProof/>
                <w:kern w:val="0"/>
                <w14:ligatures w14:val="none"/>
              </w:rPr>
            </w:pPr>
            <w:r>
              <w:rPr>
                <w:noProof/>
              </w:rPr>
              <w:t xml:space="preserve">EUR </w:t>
            </w:r>
          </w:p>
        </w:tc>
        <w:tc>
          <w:tcPr>
            <w:tcW w:w="1134" w:type="dxa"/>
            <w:shd w:val="clear" w:color="auto" w:fill="C6EFCE"/>
            <w:noWrap/>
          </w:tcPr>
          <w:p w14:paraId="01AAE350" w14:textId="0B1D1815" w:rsidR="00D924EA" w:rsidRDefault="00011DE9">
            <w:pPr>
              <w:pStyle w:val="P68B1DB1-Normal20"/>
              <w:spacing w:after="200" w:line="276" w:lineRule="auto"/>
              <w:rPr>
                <w:noProof/>
              </w:rPr>
            </w:pPr>
            <w:r>
              <w:rPr>
                <w:noProof/>
              </w:rPr>
              <w:t>1 010 100 000</w:t>
            </w:r>
          </w:p>
        </w:tc>
        <w:tc>
          <w:tcPr>
            <w:tcW w:w="1134" w:type="dxa"/>
            <w:shd w:val="clear" w:color="auto" w:fill="C6EFCE"/>
            <w:noWrap/>
          </w:tcPr>
          <w:p w14:paraId="13DF2538" w14:textId="27AEC30F" w:rsidR="00D924EA" w:rsidRDefault="00011DE9">
            <w:pPr>
              <w:pStyle w:val="P68B1DB1-Normal41"/>
              <w:spacing w:after="200" w:line="276" w:lineRule="auto"/>
              <w:rPr>
                <w:noProof/>
                <w:color w:val="000000" w:themeColor="text1"/>
                <w:kern w:val="0"/>
                <w14:ligatures w14:val="none"/>
              </w:rPr>
            </w:pPr>
            <w:r>
              <w:rPr>
                <w:noProof/>
                <w:color w:val="000000" w:themeColor="text1"/>
              </w:rPr>
              <w:t xml:space="preserve">2 </w:t>
            </w:r>
            <w:r>
              <w:rPr>
                <w:noProof/>
              </w:rPr>
              <w:t>841 316 379</w:t>
            </w:r>
          </w:p>
        </w:tc>
        <w:tc>
          <w:tcPr>
            <w:tcW w:w="567" w:type="dxa"/>
            <w:shd w:val="clear" w:color="auto" w:fill="C6EFCE"/>
            <w:noWrap/>
          </w:tcPr>
          <w:p w14:paraId="72A38ED0" w14:textId="48841E3C" w:rsidR="00D924EA" w:rsidRDefault="005701C9">
            <w:pPr>
              <w:pStyle w:val="P68B1DB1-Normal47"/>
              <w:spacing w:after="0" w:line="240" w:lineRule="auto"/>
              <w:jc w:val="center"/>
              <w:rPr>
                <w:rFonts w:eastAsia="Times New Roman" w:cs="Times New Roman"/>
                <w:noProof/>
              </w:rPr>
            </w:pPr>
            <w:r>
              <w:rPr>
                <w:noProof/>
              </w:rPr>
              <w:t>T4</w:t>
            </w:r>
          </w:p>
        </w:tc>
        <w:tc>
          <w:tcPr>
            <w:tcW w:w="709" w:type="dxa"/>
            <w:shd w:val="clear" w:color="auto" w:fill="C6EFCE"/>
            <w:noWrap/>
          </w:tcPr>
          <w:p w14:paraId="07AABE9F" w14:textId="590224A5" w:rsidR="00D924EA" w:rsidRDefault="00011DE9">
            <w:pPr>
              <w:pStyle w:val="P68B1DB1-Normal20"/>
              <w:spacing w:after="0" w:line="240" w:lineRule="auto"/>
              <w:jc w:val="center"/>
              <w:rPr>
                <w:rFonts w:eastAsia="Times New Roman" w:cs="Times New Roman"/>
                <w:noProof/>
                <w:kern w:val="0"/>
                <w14:ligatures w14:val="none"/>
              </w:rPr>
            </w:pPr>
            <w:r>
              <w:rPr>
                <w:noProof/>
                <w:kern w:val="0"/>
                <w14:ligatures w14:val="none"/>
              </w:rPr>
              <w:t>202</w:t>
            </w:r>
            <w:r>
              <w:rPr>
                <w:noProof/>
              </w:rPr>
              <w:t>5</w:t>
            </w:r>
          </w:p>
        </w:tc>
        <w:tc>
          <w:tcPr>
            <w:tcW w:w="5108" w:type="dxa"/>
            <w:shd w:val="clear" w:color="auto" w:fill="C6EFCE"/>
            <w:noWrap/>
          </w:tcPr>
          <w:p w14:paraId="3C5F9362" w14:textId="767DE1E6" w:rsidR="00D924EA" w:rsidRDefault="00011DE9">
            <w:pPr>
              <w:pStyle w:val="P68B1DB1-Normal41"/>
              <w:spacing w:after="0" w:line="240" w:lineRule="auto"/>
              <w:textAlignment w:val="baseline"/>
              <w:rPr>
                <w:noProof/>
                <w:kern w:val="0"/>
                <w14:ligatures w14:val="none"/>
              </w:rPr>
            </w:pPr>
            <w:r>
              <w:rPr>
                <w:noProof/>
              </w:rPr>
              <w:t>Red.es a publicat rezoluțiile finale de atribuire sau intrarea în vigoare a acordurilor de finanțare cu beneficiarii finali, pentru 100 % din investițiile MRR în schema de sprijin.</w:t>
            </w:r>
          </w:p>
          <w:p w14:paraId="39A5E43A" w14:textId="77777777" w:rsidR="00D924EA" w:rsidRDefault="00D924EA">
            <w:pPr>
              <w:spacing w:after="0" w:line="240" w:lineRule="auto"/>
              <w:textAlignment w:val="baseline"/>
              <w:rPr>
                <w:rFonts w:ascii="Times New Roman" w:eastAsia="Times New Roman" w:hAnsi="Times New Roman" w:cs="Times New Roman"/>
                <w:noProof/>
                <w:kern w:val="0"/>
                <w:sz w:val="18"/>
                <w:szCs w:val="18"/>
                <w14:ligatures w14:val="none"/>
              </w:rPr>
            </w:pPr>
          </w:p>
          <w:p w14:paraId="1D42CFD1" w14:textId="50A88886" w:rsidR="00D924EA" w:rsidRDefault="00D924EA">
            <w:pPr>
              <w:spacing w:after="0" w:line="240" w:lineRule="auto"/>
              <w:textAlignment w:val="baseline"/>
              <w:rPr>
                <w:rFonts w:ascii="Times New Roman" w:eastAsia="Calibri" w:hAnsi="Times New Roman" w:cs="Times New Roman"/>
                <w:noProof/>
                <w:kern w:val="0"/>
                <w:sz w:val="18"/>
                <w:szCs w:val="18"/>
                <w14:ligatures w14:val="none"/>
              </w:rPr>
            </w:pPr>
          </w:p>
        </w:tc>
      </w:tr>
      <w:tr w:rsidR="00D924EA" w14:paraId="56E18DA0" w14:textId="77777777">
        <w:trPr>
          <w:trHeight w:val="309"/>
          <w:jc w:val="center"/>
        </w:trPr>
        <w:tc>
          <w:tcPr>
            <w:tcW w:w="696" w:type="dxa"/>
            <w:shd w:val="clear" w:color="auto" w:fill="C6EFCE"/>
            <w:noWrap/>
          </w:tcPr>
          <w:p w14:paraId="41D7654E" w14:textId="77777777" w:rsidR="00D924EA" w:rsidRDefault="00011DE9">
            <w:pPr>
              <w:pStyle w:val="P68B1DB1-Normal18"/>
              <w:spacing w:after="0" w:line="240" w:lineRule="auto"/>
              <w:jc w:val="center"/>
              <w:rPr>
                <w:noProof/>
              </w:rPr>
            </w:pPr>
            <w:r>
              <w:rPr>
                <w:noProof/>
              </w:rPr>
              <w:t xml:space="preserve"> 209a</w:t>
            </w:r>
          </w:p>
        </w:tc>
        <w:tc>
          <w:tcPr>
            <w:tcW w:w="836" w:type="dxa"/>
            <w:shd w:val="clear" w:color="auto" w:fill="C6EFCE"/>
            <w:noWrap/>
          </w:tcPr>
          <w:p w14:paraId="7F562A03" w14:textId="77777777" w:rsidR="00D924EA" w:rsidRDefault="00011DE9">
            <w:pPr>
              <w:pStyle w:val="P68B1DB1-Normal18"/>
              <w:spacing w:after="0" w:line="240" w:lineRule="auto"/>
              <w:jc w:val="center"/>
              <w:rPr>
                <w:noProof/>
              </w:rPr>
            </w:pPr>
            <w:r>
              <w:rPr>
                <w:noProof/>
              </w:rPr>
              <w:t>C13.I3</w:t>
            </w:r>
          </w:p>
        </w:tc>
        <w:tc>
          <w:tcPr>
            <w:tcW w:w="835" w:type="dxa"/>
            <w:shd w:val="clear" w:color="auto" w:fill="C6EFCE"/>
            <w:noWrap/>
          </w:tcPr>
          <w:p w14:paraId="2796BCA3" w14:textId="77777777" w:rsidR="00D924EA" w:rsidRDefault="00011DE9">
            <w:pPr>
              <w:pStyle w:val="P68B1DB1-Normal18"/>
              <w:spacing w:after="0" w:line="240" w:lineRule="auto"/>
              <w:jc w:val="center"/>
              <w:rPr>
                <w:noProof/>
              </w:rPr>
            </w:pPr>
            <w:r>
              <w:rPr>
                <w:noProof/>
              </w:rPr>
              <w:t>T</w:t>
            </w:r>
          </w:p>
        </w:tc>
        <w:tc>
          <w:tcPr>
            <w:tcW w:w="1739" w:type="dxa"/>
            <w:shd w:val="clear" w:color="auto" w:fill="C6EFCE"/>
            <w:noWrap/>
          </w:tcPr>
          <w:p w14:paraId="5CCF8351" w14:textId="77777777" w:rsidR="00D924EA" w:rsidRDefault="00011DE9">
            <w:pPr>
              <w:pStyle w:val="P68B1DB1-Normal18"/>
              <w:spacing w:after="0" w:line="240" w:lineRule="auto"/>
              <w:rPr>
                <w:noProof/>
              </w:rPr>
            </w:pPr>
            <w:r>
              <w:rPr>
                <w:noProof/>
              </w:rPr>
              <w:t>Programul de sprijin pentru clusterele de afaceri inovatoare</w:t>
            </w:r>
          </w:p>
        </w:tc>
        <w:tc>
          <w:tcPr>
            <w:tcW w:w="1701" w:type="dxa"/>
            <w:shd w:val="clear" w:color="auto" w:fill="C6EFCE"/>
            <w:noWrap/>
          </w:tcPr>
          <w:p w14:paraId="1FEDACEB" w14:textId="0EE15580" w:rsidR="00D924EA" w:rsidRDefault="00011DE9">
            <w:pPr>
              <w:pStyle w:val="P68B1DB1-Normal20"/>
              <w:spacing w:after="0" w:line="240" w:lineRule="auto"/>
              <w:jc w:val="center"/>
              <w:rPr>
                <w:noProof/>
                <w:kern w:val="0"/>
                <w14:ligatures w14:val="none"/>
              </w:rPr>
            </w:pPr>
            <w:r>
              <w:rPr>
                <w:noProof/>
              </w:rPr>
              <w:t>Certificarea finală</w:t>
            </w:r>
          </w:p>
        </w:tc>
        <w:tc>
          <w:tcPr>
            <w:tcW w:w="992" w:type="dxa"/>
            <w:shd w:val="clear" w:color="auto" w:fill="C6EFCE"/>
            <w:noWrap/>
          </w:tcPr>
          <w:p w14:paraId="7C0F7BD3" w14:textId="77777777" w:rsidR="00D924EA" w:rsidRDefault="00011DE9">
            <w:pPr>
              <w:pStyle w:val="P68B1DB1-Normal18"/>
              <w:spacing w:after="0" w:line="240" w:lineRule="auto"/>
              <w:jc w:val="center"/>
              <w:rPr>
                <w:noProof/>
              </w:rPr>
            </w:pPr>
            <w:r>
              <w:rPr>
                <w:noProof/>
              </w:rPr>
              <w:t>Număr</w:t>
            </w:r>
          </w:p>
        </w:tc>
        <w:tc>
          <w:tcPr>
            <w:tcW w:w="1134" w:type="dxa"/>
            <w:shd w:val="clear" w:color="auto" w:fill="C6EFCE"/>
            <w:noWrap/>
          </w:tcPr>
          <w:p w14:paraId="790E404A" w14:textId="77777777" w:rsidR="00D924EA" w:rsidRDefault="00D924EA">
            <w:pPr>
              <w:spacing w:after="0" w:line="240" w:lineRule="auto"/>
              <w:jc w:val="right"/>
              <w:rPr>
                <w:rFonts w:ascii="Times New Roman" w:eastAsia="Calibri" w:hAnsi="Times New Roman" w:cs="Arial"/>
                <w:noProof/>
                <w:kern w:val="0"/>
                <w:sz w:val="18"/>
                <w14:ligatures w14:val="none"/>
              </w:rPr>
            </w:pPr>
          </w:p>
        </w:tc>
        <w:tc>
          <w:tcPr>
            <w:tcW w:w="1134" w:type="dxa"/>
            <w:shd w:val="clear" w:color="auto" w:fill="C6EFCE"/>
            <w:noWrap/>
          </w:tcPr>
          <w:p w14:paraId="32C553CA" w14:textId="00B48AC1" w:rsidR="00D924EA" w:rsidRDefault="00011DE9">
            <w:pPr>
              <w:pStyle w:val="P68B1DB1-Normal20"/>
              <w:spacing w:after="0" w:line="240" w:lineRule="auto"/>
              <w:jc w:val="center"/>
              <w:rPr>
                <w:noProof/>
              </w:rPr>
            </w:pPr>
            <w:r>
              <w:rPr>
                <w:noProof/>
              </w:rPr>
              <w:t>650</w:t>
            </w:r>
          </w:p>
        </w:tc>
        <w:tc>
          <w:tcPr>
            <w:tcW w:w="567" w:type="dxa"/>
            <w:shd w:val="clear" w:color="auto" w:fill="C6EFCE"/>
            <w:noWrap/>
          </w:tcPr>
          <w:p w14:paraId="572C3E6E" w14:textId="0A9B1681" w:rsidR="00D924EA" w:rsidRDefault="005701C9">
            <w:pPr>
              <w:pStyle w:val="P68B1DB1-Normal18"/>
              <w:spacing w:after="0" w:line="240" w:lineRule="auto"/>
              <w:jc w:val="center"/>
              <w:rPr>
                <w:noProof/>
              </w:rPr>
            </w:pPr>
            <w:r>
              <w:rPr>
                <w:noProof/>
              </w:rPr>
              <w:t>T4</w:t>
            </w:r>
          </w:p>
        </w:tc>
        <w:tc>
          <w:tcPr>
            <w:tcW w:w="709" w:type="dxa"/>
            <w:shd w:val="clear" w:color="auto" w:fill="C6EFCE"/>
            <w:noWrap/>
          </w:tcPr>
          <w:p w14:paraId="5763D7D4" w14:textId="77777777" w:rsidR="00D924EA" w:rsidRDefault="00011DE9">
            <w:pPr>
              <w:pStyle w:val="P68B1DB1-Normal18"/>
              <w:spacing w:after="0" w:line="240" w:lineRule="auto"/>
              <w:jc w:val="center"/>
              <w:rPr>
                <w:noProof/>
              </w:rPr>
            </w:pPr>
            <w:r>
              <w:rPr>
                <w:noProof/>
              </w:rPr>
              <w:t>2025</w:t>
            </w:r>
          </w:p>
        </w:tc>
        <w:tc>
          <w:tcPr>
            <w:tcW w:w="5108" w:type="dxa"/>
            <w:shd w:val="clear" w:color="auto" w:fill="C6EFCE"/>
            <w:noWrap/>
          </w:tcPr>
          <w:p w14:paraId="2C5BC000" w14:textId="162455DC" w:rsidR="00D924EA" w:rsidRDefault="00011DE9">
            <w:pPr>
              <w:pStyle w:val="P68B1DB1-Normal41"/>
              <w:spacing w:after="120" w:line="240" w:lineRule="auto"/>
              <w:rPr>
                <w:noProof/>
                <w:color w:val="008080"/>
                <w:u w:val="single"/>
              </w:rPr>
            </w:pPr>
            <w:r>
              <w:rPr>
                <w:noProof/>
              </w:rPr>
              <w:t>Verificarea de către administrație a justificării documentare a plăților aferente granturilor pentru un număr total cumulat de 650 de proiecte legate de programul de sprijinire a clusterelor de afaceri inovatoare.</w:t>
            </w:r>
          </w:p>
        </w:tc>
      </w:tr>
      <w:tr w:rsidR="00D924EA" w14:paraId="42B302DE" w14:textId="77777777">
        <w:trPr>
          <w:trHeight w:val="309"/>
          <w:jc w:val="center"/>
        </w:trPr>
        <w:tc>
          <w:tcPr>
            <w:tcW w:w="696" w:type="dxa"/>
            <w:shd w:val="clear" w:color="auto" w:fill="C6EFCE"/>
            <w:noWrap/>
          </w:tcPr>
          <w:p w14:paraId="260313DC" w14:textId="77777777" w:rsidR="00D924EA" w:rsidRDefault="00011DE9">
            <w:pPr>
              <w:pStyle w:val="P68B1DB1-Normal18"/>
              <w:spacing w:after="0" w:line="240" w:lineRule="auto"/>
              <w:jc w:val="center"/>
              <w:rPr>
                <w:rFonts w:eastAsia="Times New Roman" w:cs="Times New Roman"/>
                <w:noProof/>
                <w:szCs w:val="18"/>
              </w:rPr>
            </w:pPr>
            <w:r>
              <w:rPr>
                <w:noProof/>
              </w:rPr>
              <w:t xml:space="preserve"> 209b</w:t>
            </w:r>
          </w:p>
        </w:tc>
        <w:tc>
          <w:tcPr>
            <w:tcW w:w="836" w:type="dxa"/>
            <w:shd w:val="clear" w:color="auto" w:fill="C6EFCE"/>
            <w:noWrap/>
          </w:tcPr>
          <w:p w14:paraId="5F1DA581" w14:textId="77777777" w:rsidR="00D924EA" w:rsidRDefault="00011DE9">
            <w:pPr>
              <w:pStyle w:val="P68B1DB1-Normal18"/>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0F6323C0" w14:textId="77777777" w:rsidR="00D924EA" w:rsidRDefault="00011DE9">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695F4714" w14:textId="714AA3FC" w:rsidR="00D924EA" w:rsidRDefault="00011DE9">
            <w:pPr>
              <w:pStyle w:val="P68B1DB1-Normal18"/>
              <w:spacing w:after="0" w:line="240" w:lineRule="auto"/>
              <w:rPr>
                <w:rFonts w:eastAsia="Times New Roman" w:cs="Times New Roman"/>
                <w:noProof/>
                <w:szCs w:val="18"/>
              </w:rPr>
            </w:pPr>
            <w:r>
              <w:rPr>
                <w:noProof/>
              </w:rPr>
              <w:t>Programul privind centrele de inovare digitală</w:t>
            </w:r>
          </w:p>
        </w:tc>
        <w:tc>
          <w:tcPr>
            <w:tcW w:w="1701" w:type="dxa"/>
            <w:shd w:val="clear" w:color="auto" w:fill="C6EFCE"/>
            <w:noWrap/>
          </w:tcPr>
          <w:p w14:paraId="0736AB4D" w14:textId="77777777" w:rsidR="00D924EA" w:rsidRDefault="00011DE9">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57566510" w14:textId="3F4E925C" w:rsidR="00D924EA" w:rsidRDefault="00011DE9">
            <w:pPr>
              <w:pStyle w:val="P68B1DB1-Normal73"/>
              <w:spacing w:after="0" w:line="240" w:lineRule="auto"/>
              <w:jc w:val="center"/>
              <w:rPr>
                <w:noProof/>
              </w:rPr>
            </w:pPr>
            <w:r>
              <w:rPr>
                <w:noProof/>
              </w:rPr>
              <w:t>EUR (milioane)</w:t>
            </w:r>
          </w:p>
        </w:tc>
        <w:tc>
          <w:tcPr>
            <w:tcW w:w="1134" w:type="dxa"/>
            <w:shd w:val="clear" w:color="auto" w:fill="C6EFCE"/>
            <w:noWrap/>
          </w:tcPr>
          <w:p w14:paraId="28700A94" w14:textId="2EEAFB9B" w:rsidR="00D924EA" w:rsidRDefault="00D924EA">
            <w:pPr>
              <w:spacing w:after="0" w:line="240" w:lineRule="auto"/>
              <w:jc w:val="right"/>
              <w:rPr>
                <w:rFonts w:ascii="Times New Roman" w:eastAsia="Times New Roman" w:hAnsi="Times New Roman" w:cs="Times New Roman"/>
                <w:noProof/>
                <w:kern w:val="0"/>
                <w:sz w:val="18"/>
                <w:szCs w:val="18"/>
                <w14:ligatures w14:val="none"/>
              </w:rPr>
            </w:pPr>
          </w:p>
        </w:tc>
        <w:tc>
          <w:tcPr>
            <w:tcW w:w="1134" w:type="dxa"/>
            <w:shd w:val="clear" w:color="auto" w:fill="C6EFCE"/>
            <w:noWrap/>
          </w:tcPr>
          <w:p w14:paraId="6D529B97" w14:textId="7B297AE4" w:rsidR="00D924EA" w:rsidRDefault="00011DE9">
            <w:pPr>
              <w:pStyle w:val="P68B1DB1-Normal73"/>
              <w:spacing w:after="0" w:line="240" w:lineRule="auto"/>
              <w:jc w:val="center"/>
              <w:rPr>
                <w:noProof/>
              </w:rPr>
            </w:pPr>
            <w:r>
              <w:rPr>
                <w:noProof/>
              </w:rPr>
              <w:t>37,586</w:t>
            </w:r>
          </w:p>
        </w:tc>
        <w:tc>
          <w:tcPr>
            <w:tcW w:w="567" w:type="dxa"/>
            <w:shd w:val="clear" w:color="auto" w:fill="C6EFCE"/>
            <w:noWrap/>
          </w:tcPr>
          <w:p w14:paraId="1527E92B" w14:textId="5528D9B8" w:rsidR="00D924EA" w:rsidRDefault="005701C9">
            <w:pPr>
              <w:pStyle w:val="P68B1DB1-Normal18"/>
              <w:spacing w:after="0" w:line="240" w:lineRule="auto"/>
              <w:jc w:val="center"/>
              <w:rPr>
                <w:rFonts w:eastAsia="Times New Roman" w:cs="Times New Roman"/>
                <w:noProof/>
                <w:szCs w:val="18"/>
              </w:rPr>
            </w:pPr>
            <w:r>
              <w:rPr>
                <w:noProof/>
              </w:rPr>
              <w:t>T2</w:t>
            </w:r>
          </w:p>
        </w:tc>
        <w:tc>
          <w:tcPr>
            <w:tcW w:w="709" w:type="dxa"/>
            <w:shd w:val="clear" w:color="auto" w:fill="C6EFCE"/>
            <w:noWrap/>
          </w:tcPr>
          <w:p w14:paraId="3728CD18" w14:textId="120DB25B" w:rsidR="00D924EA" w:rsidRDefault="00011DE9">
            <w:pPr>
              <w:pStyle w:val="P68B1DB1-Normal18"/>
              <w:spacing w:after="0" w:line="240" w:lineRule="auto"/>
              <w:jc w:val="center"/>
              <w:rPr>
                <w:rFonts w:eastAsia="Times New Roman" w:cs="Times New Roman"/>
                <w:noProof/>
                <w:szCs w:val="18"/>
              </w:rPr>
            </w:pPr>
            <w:r>
              <w:rPr>
                <w:noProof/>
              </w:rPr>
              <w:t>2026</w:t>
            </w:r>
          </w:p>
        </w:tc>
        <w:tc>
          <w:tcPr>
            <w:tcW w:w="5108" w:type="dxa"/>
            <w:shd w:val="clear" w:color="auto" w:fill="C6EFCE"/>
            <w:noWrap/>
          </w:tcPr>
          <w:p w14:paraId="681333A4" w14:textId="5891D3B4" w:rsidR="00D924EA" w:rsidRDefault="00011DE9">
            <w:pPr>
              <w:pStyle w:val="P68B1DB1-Normal41"/>
              <w:spacing w:after="0"/>
              <w:rPr>
                <w:noProof/>
              </w:rPr>
            </w:pPr>
            <w:r>
              <w:rPr>
                <w:noProof/>
              </w:rPr>
              <w:t>Finalizarea acțiunilor/sau a pachetelor de lucru atribuite a fost confirmată de rapoartele finale prezentate de entitățile sau persoanele beneficiare pentru granturi în cadrul programului „Sprijin pentru centrele de inovare digitală”, în valoare totală de 37 586 000 EUR. Pachetele de lucru finanțate prin programul Europa digitală nu sunt luate în considerare.</w:t>
            </w:r>
          </w:p>
          <w:p w14:paraId="4FD72112" w14:textId="754DE41D" w:rsidR="00D924EA" w:rsidRDefault="00D924EA">
            <w:pPr>
              <w:spacing w:after="0" w:line="240" w:lineRule="auto"/>
              <w:rPr>
                <w:rFonts w:ascii="Times New Roman" w:hAnsi="Times New Roman"/>
                <w:noProof/>
                <w:sz w:val="18"/>
                <w:szCs w:val="18"/>
              </w:rPr>
            </w:pPr>
          </w:p>
          <w:p w14:paraId="0A643E34" w14:textId="47A38A5B" w:rsidR="00D924EA" w:rsidRDefault="00011DE9">
            <w:pPr>
              <w:pStyle w:val="P68B1DB1-Normal25"/>
              <w:spacing w:after="0" w:line="240" w:lineRule="auto"/>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kern w:val="0"/>
                <w14:ligatures w14:val="none"/>
              </w:rPr>
              <w:t>Cererile de propuneri din cadrul Programului de sprijin pentru centrele de inovare digitală includ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r w:rsidR="00971820">
              <w:rPr>
                <w:rFonts w:ascii="Times New Roman" w:eastAsia="Times New Roman" w:hAnsi="Times New Roman" w:cs="Times New Roman"/>
                <w:noProof/>
                <w:color w:val="000000"/>
                <w:kern w:val="0"/>
                <w14:ligatures w14:val="none"/>
              </w:rPr>
              <w:t xml:space="preserve">  </w:t>
            </w:r>
            <w:r>
              <w:rPr>
                <w:rFonts w:ascii="Times New Roman" w:eastAsia="Calibri" w:hAnsi="Times New Roman" w:cs="Symbol"/>
                <w:noProof/>
              </w:rPr>
              <w:t xml:space="preserve"> </w:t>
            </w:r>
          </w:p>
        </w:tc>
      </w:tr>
      <w:tr w:rsidR="00D924EA" w14:paraId="0EA52694" w14:textId="77777777">
        <w:trPr>
          <w:trHeight w:val="309"/>
          <w:jc w:val="center"/>
        </w:trPr>
        <w:tc>
          <w:tcPr>
            <w:tcW w:w="696" w:type="dxa"/>
            <w:shd w:val="clear" w:color="auto" w:fill="C6EFCE"/>
            <w:noWrap/>
          </w:tcPr>
          <w:p w14:paraId="6881DE68" w14:textId="77777777" w:rsidR="00D924EA" w:rsidRDefault="00011DE9">
            <w:pPr>
              <w:pStyle w:val="P68B1DB1-Normal18"/>
              <w:spacing w:after="0" w:line="240" w:lineRule="auto"/>
              <w:jc w:val="center"/>
              <w:rPr>
                <w:rFonts w:eastAsia="Times New Roman" w:cs="Times New Roman"/>
                <w:noProof/>
                <w:szCs w:val="18"/>
              </w:rPr>
            </w:pPr>
            <w:r>
              <w:rPr>
                <w:noProof/>
              </w:rPr>
              <w:t>210</w:t>
            </w:r>
          </w:p>
        </w:tc>
        <w:tc>
          <w:tcPr>
            <w:tcW w:w="836" w:type="dxa"/>
            <w:shd w:val="clear" w:color="auto" w:fill="C6EFCE"/>
            <w:noWrap/>
          </w:tcPr>
          <w:p w14:paraId="593E1ADD" w14:textId="77777777" w:rsidR="00D924EA" w:rsidRDefault="00011DE9">
            <w:pPr>
              <w:pStyle w:val="P68B1DB1-Normal18"/>
              <w:spacing w:after="0" w:line="240" w:lineRule="auto"/>
              <w:jc w:val="center"/>
              <w:rPr>
                <w:rFonts w:eastAsia="Times New Roman" w:cs="Times New Roman"/>
                <w:noProof/>
                <w:szCs w:val="18"/>
              </w:rPr>
            </w:pPr>
            <w:r>
              <w:rPr>
                <w:noProof/>
              </w:rPr>
              <w:t>C13.I4</w:t>
            </w:r>
          </w:p>
        </w:tc>
        <w:tc>
          <w:tcPr>
            <w:tcW w:w="835" w:type="dxa"/>
            <w:shd w:val="clear" w:color="auto" w:fill="C6EFCE"/>
            <w:noWrap/>
          </w:tcPr>
          <w:p w14:paraId="3E997D62" w14:textId="77777777" w:rsidR="00D924EA" w:rsidRDefault="00011DE9">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216BDE10" w14:textId="77777777" w:rsidR="00D924EA" w:rsidRDefault="00011DE9">
            <w:pPr>
              <w:pStyle w:val="P68B1DB1-Normal18"/>
              <w:spacing w:after="0" w:line="240" w:lineRule="auto"/>
              <w:rPr>
                <w:rFonts w:eastAsia="Times New Roman" w:cs="Times New Roman"/>
                <w:noProof/>
                <w:szCs w:val="18"/>
              </w:rPr>
            </w:pPr>
            <w:r>
              <w:rPr>
                <w:noProof/>
              </w:rPr>
              <w:t>IMM-uri și asociații de întreprinderi care au primit sprijin din partea Fondului tehnologic</w:t>
            </w:r>
          </w:p>
        </w:tc>
        <w:tc>
          <w:tcPr>
            <w:tcW w:w="1701" w:type="dxa"/>
            <w:shd w:val="clear" w:color="auto" w:fill="C6EFCE"/>
            <w:noWrap/>
          </w:tcPr>
          <w:p w14:paraId="4232CDE6" w14:textId="77777777" w:rsidR="00D924EA" w:rsidRDefault="00011DE9">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3211D256" w14:textId="77777777" w:rsidR="00D924EA" w:rsidRDefault="00011DE9">
            <w:pPr>
              <w:pStyle w:val="P68B1DB1-Normal18"/>
              <w:spacing w:after="0" w:line="240" w:lineRule="auto"/>
              <w:jc w:val="center"/>
              <w:rPr>
                <w:rFonts w:eastAsia="Times New Roman" w:cs="Times New Roman"/>
                <w:noProof/>
                <w:szCs w:val="18"/>
              </w:rPr>
            </w:pPr>
            <w:r>
              <w:rPr>
                <w:noProof/>
              </w:rPr>
              <w:t>Număr</w:t>
            </w:r>
          </w:p>
        </w:tc>
        <w:tc>
          <w:tcPr>
            <w:tcW w:w="1134" w:type="dxa"/>
            <w:shd w:val="clear" w:color="auto" w:fill="C6EFCE"/>
            <w:noWrap/>
          </w:tcPr>
          <w:p w14:paraId="70BF08A7" w14:textId="77777777" w:rsidR="00D924EA" w:rsidRDefault="00011DE9">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6BBBDF95" w14:textId="77777777" w:rsidR="00D924EA" w:rsidRDefault="00011DE9">
            <w:pPr>
              <w:pStyle w:val="P68B1DB1-Normal18"/>
              <w:spacing w:after="0" w:line="240" w:lineRule="auto"/>
              <w:jc w:val="right"/>
              <w:rPr>
                <w:rFonts w:eastAsia="Times New Roman" w:cs="Times New Roman"/>
                <w:noProof/>
                <w:szCs w:val="18"/>
              </w:rPr>
            </w:pPr>
            <w:r>
              <w:rPr>
                <w:noProof/>
              </w:rPr>
              <w:t>200</w:t>
            </w:r>
          </w:p>
        </w:tc>
        <w:tc>
          <w:tcPr>
            <w:tcW w:w="567" w:type="dxa"/>
            <w:shd w:val="clear" w:color="auto" w:fill="C6EFCE"/>
            <w:noWrap/>
          </w:tcPr>
          <w:p w14:paraId="217D4D25" w14:textId="66B81623" w:rsidR="00D924EA" w:rsidRDefault="005701C9">
            <w:pPr>
              <w:pStyle w:val="P68B1DB1-Normal18"/>
              <w:spacing w:after="0" w:line="240" w:lineRule="auto"/>
              <w:jc w:val="center"/>
              <w:rPr>
                <w:rFonts w:eastAsia="Times New Roman" w:cs="Times New Roman"/>
                <w:noProof/>
                <w:szCs w:val="18"/>
              </w:rPr>
            </w:pPr>
            <w:r>
              <w:rPr>
                <w:noProof/>
              </w:rPr>
              <w:t>T2</w:t>
            </w:r>
          </w:p>
        </w:tc>
        <w:tc>
          <w:tcPr>
            <w:tcW w:w="709" w:type="dxa"/>
            <w:shd w:val="clear" w:color="auto" w:fill="C6EFCE"/>
            <w:noWrap/>
          </w:tcPr>
          <w:p w14:paraId="5F053B36" w14:textId="77777777" w:rsidR="00D924EA" w:rsidRDefault="00011DE9">
            <w:pPr>
              <w:pStyle w:val="P68B1DB1-Normal18"/>
              <w:spacing w:after="0" w:line="240" w:lineRule="auto"/>
              <w:jc w:val="center"/>
              <w:rPr>
                <w:rFonts w:eastAsia="Times New Roman" w:cs="Times New Roman"/>
                <w:noProof/>
                <w:szCs w:val="18"/>
              </w:rPr>
            </w:pPr>
            <w:r>
              <w:rPr>
                <w:noProof/>
              </w:rPr>
              <w:t>2023</w:t>
            </w:r>
          </w:p>
        </w:tc>
        <w:tc>
          <w:tcPr>
            <w:tcW w:w="5108" w:type="dxa"/>
            <w:shd w:val="clear" w:color="auto" w:fill="C6EFCE"/>
            <w:noWrap/>
          </w:tcPr>
          <w:p w14:paraId="66BD7E5A" w14:textId="1C926861" w:rsidR="00D924EA" w:rsidRDefault="00011DE9">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Cel puțin 200 de IMM-uri sau asociații de întreprinderi din sectorul comercial care au primit sprijin sub formă de granturi din partea Fondului tehnologic, în conformitate cu Orientările tehnice de „a nu prejudicia în mod semnificativ” (2021/C58/01), prin utilizarea unei liste de excludere și a cerinței de conformitate cu legislația UE și națională relevantă în materie de mediu.</w:t>
            </w:r>
            <w:r w:rsidR="00971820">
              <w:rPr>
                <w:rFonts w:ascii="Times New Roman" w:eastAsia="Calibri" w:hAnsi="Times New Roman" w:cs="Arial"/>
                <w:noProof/>
                <w:sz w:val="18"/>
              </w:rPr>
              <w:t xml:space="preserve">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Proiectele din sectorul micului comerț au vizat încorporarea de noi tehnologii care permit comerțului local să răspundă noilor obiceiuri de consum, în cadrul „Fondului tehnologic” (200 proiecte). Printre proiectele eligibile în cadrul acestui fond se numără:</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a. Proiecte în domeniul noilor tehnologii care vizează îmbunătățirea strategiei comerciale și de comunicare online, a modelelor de afaceri sau a experienței în materie de cumpărături.</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b. Proiecte în domeniul noilor tehnologii pentru adaptarea experienței fizice de cumpărare la noile nevoi și obiceiuri ale consumatorilor și la noile modele de gestionare.</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c. Proiecte de soluții tehnologice pentru îmbunătățirea eficienței și sustenabilității logisticii „pe ultimul kilometru”.</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d. Proiecte de punere în aplicare a soluțiilor tehnologice pentru îmbunătățirea eficienței energetice și a utilizării eficiente a resurselor.</w:t>
            </w:r>
            <w:r w:rsidR="00971820">
              <w:rPr>
                <w:rFonts w:ascii="Times New Roman" w:eastAsia="Calibri" w:hAnsi="Times New Roman" w:cs="Arial"/>
                <w:noProof/>
                <w:sz w:val="18"/>
              </w:rPr>
              <w:t xml:space="preserve"> </w:t>
            </w:r>
            <w:r>
              <w:rPr>
                <w:rFonts w:ascii="Calibri" w:eastAsia="Calibri" w:hAnsi="Calibri" w:cs="Arial"/>
                <w:noProof/>
              </w:rPr>
              <w:br/>
            </w:r>
            <w:r>
              <w:rPr>
                <w:rFonts w:ascii="Times New Roman" w:eastAsia="Calibri" w:hAnsi="Times New Roman" w:cs="Arial"/>
                <w:noProof/>
                <w:sz w:val="18"/>
              </w:rPr>
              <w:t>Investiția se finalizează prin crearea unei platforme digitale (</w:t>
            </w:r>
            <w:r>
              <w:rPr>
                <w:rFonts w:ascii="Times New Roman" w:eastAsia="Calibri" w:hAnsi="Times New Roman" w:cs="Arial"/>
                <w:i/>
                <w:noProof/>
                <w:sz w:val="18"/>
              </w:rPr>
              <w:t>Plataforma Comercio Conectado</w:t>
            </w:r>
            <w:r>
              <w:rPr>
                <w:rFonts w:ascii="Times New Roman" w:eastAsia="Calibri" w:hAnsi="Times New Roman" w:cs="Arial"/>
                <w:noProof/>
                <w:sz w:val="18"/>
              </w:rPr>
              <w:t xml:space="preserve">) pentru a promova digitalizarea sectorului. </w:t>
            </w:r>
          </w:p>
        </w:tc>
      </w:tr>
      <w:tr w:rsidR="00D924EA" w14:paraId="7C7346FD" w14:textId="77777777">
        <w:trPr>
          <w:trHeight w:val="309"/>
          <w:jc w:val="center"/>
        </w:trPr>
        <w:tc>
          <w:tcPr>
            <w:tcW w:w="696" w:type="dxa"/>
            <w:shd w:val="clear" w:color="auto" w:fill="C6EFCE"/>
            <w:noWrap/>
          </w:tcPr>
          <w:p w14:paraId="70C5B41C" w14:textId="77777777" w:rsidR="00D924EA" w:rsidRDefault="00011DE9">
            <w:pPr>
              <w:pStyle w:val="P68B1DB1-Normal47"/>
              <w:spacing w:after="0" w:line="240" w:lineRule="auto"/>
              <w:jc w:val="center"/>
              <w:rPr>
                <w:rFonts w:eastAsia="Times New Roman" w:cs="Times New Roman"/>
                <w:noProof/>
              </w:rPr>
            </w:pPr>
            <w:r>
              <w:rPr>
                <w:noProof/>
              </w:rPr>
              <w:t>211</w:t>
            </w:r>
          </w:p>
        </w:tc>
        <w:tc>
          <w:tcPr>
            <w:tcW w:w="836" w:type="dxa"/>
            <w:shd w:val="clear" w:color="auto" w:fill="C6EFCE"/>
            <w:noWrap/>
          </w:tcPr>
          <w:p w14:paraId="6B9B86C9" w14:textId="77777777" w:rsidR="00D924EA" w:rsidRDefault="00011DE9">
            <w:pPr>
              <w:pStyle w:val="P68B1DB1-Normal18"/>
              <w:spacing w:after="0" w:line="240" w:lineRule="auto"/>
              <w:jc w:val="center"/>
              <w:rPr>
                <w:rFonts w:eastAsia="Times New Roman" w:cs="Times New Roman"/>
                <w:noProof/>
                <w:szCs w:val="18"/>
              </w:rPr>
            </w:pPr>
            <w:r>
              <w:rPr>
                <w:noProof/>
              </w:rPr>
              <w:t>C13.I4</w:t>
            </w:r>
          </w:p>
        </w:tc>
        <w:tc>
          <w:tcPr>
            <w:tcW w:w="835" w:type="dxa"/>
            <w:shd w:val="clear" w:color="auto" w:fill="C6EFCE"/>
            <w:noWrap/>
          </w:tcPr>
          <w:p w14:paraId="488ECD85" w14:textId="77777777" w:rsidR="00D924EA" w:rsidRDefault="00011DE9">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296F54F0" w14:textId="05336579" w:rsidR="00D924EA" w:rsidRDefault="00011DE9">
            <w:pPr>
              <w:pStyle w:val="P68B1DB1-Normal18"/>
              <w:spacing w:after="0" w:line="240" w:lineRule="auto"/>
              <w:rPr>
                <w:rFonts w:eastAsia="Times New Roman" w:cs="Times New Roman"/>
                <w:noProof/>
                <w:szCs w:val="18"/>
              </w:rPr>
            </w:pPr>
            <w:r>
              <w:rPr>
                <w:noProof/>
              </w:rPr>
              <w:t>Acțiuni pe piețe, în zonele comerciale urbane sau în zonele rurale</w:t>
            </w:r>
          </w:p>
        </w:tc>
        <w:tc>
          <w:tcPr>
            <w:tcW w:w="1701" w:type="dxa"/>
            <w:shd w:val="clear" w:color="auto" w:fill="C6EFCE"/>
            <w:noWrap/>
          </w:tcPr>
          <w:p w14:paraId="2F1A4B10" w14:textId="77777777" w:rsidR="00D924EA" w:rsidRDefault="00011DE9">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1EBE706B" w14:textId="77777777" w:rsidR="00D924EA" w:rsidRDefault="00011DE9">
            <w:pPr>
              <w:pStyle w:val="P68B1DB1-Normal18"/>
              <w:spacing w:after="0" w:line="240" w:lineRule="auto"/>
              <w:jc w:val="center"/>
              <w:rPr>
                <w:rFonts w:eastAsia="Times New Roman" w:cs="Times New Roman"/>
                <w:noProof/>
                <w:szCs w:val="18"/>
              </w:rPr>
            </w:pPr>
            <w:r>
              <w:rPr>
                <w:noProof/>
              </w:rPr>
              <w:t>Număr</w:t>
            </w:r>
          </w:p>
        </w:tc>
        <w:tc>
          <w:tcPr>
            <w:tcW w:w="1134" w:type="dxa"/>
            <w:shd w:val="clear" w:color="auto" w:fill="C6EFCE"/>
            <w:noWrap/>
          </w:tcPr>
          <w:p w14:paraId="0AEB76EA" w14:textId="77777777" w:rsidR="00D924EA" w:rsidRDefault="00011DE9">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063DB1C6" w14:textId="77777777" w:rsidR="00D924EA" w:rsidRDefault="00011DE9">
            <w:pPr>
              <w:pStyle w:val="P68B1DB1-Normal18"/>
              <w:spacing w:after="0" w:line="240" w:lineRule="auto"/>
              <w:jc w:val="right"/>
              <w:rPr>
                <w:rFonts w:eastAsia="Times New Roman" w:cs="Times New Roman"/>
                <w:noProof/>
                <w:szCs w:val="18"/>
              </w:rPr>
            </w:pPr>
            <w:r>
              <w:rPr>
                <w:noProof/>
              </w:rPr>
              <w:t>130</w:t>
            </w:r>
          </w:p>
        </w:tc>
        <w:tc>
          <w:tcPr>
            <w:tcW w:w="567" w:type="dxa"/>
            <w:shd w:val="clear" w:color="auto" w:fill="C6EFCE"/>
            <w:noWrap/>
          </w:tcPr>
          <w:p w14:paraId="07D9A657" w14:textId="74A9E0DE" w:rsidR="00D924EA" w:rsidRDefault="005701C9">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43CF0DEE" w14:textId="1FC88589" w:rsidR="00D924EA" w:rsidRDefault="00011DE9">
            <w:pPr>
              <w:pStyle w:val="P68B1DB1-Normal47"/>
              <w:spacing w:after="0" w:line="240" w:lineRule="auto"/>
              <w:jc w:val="center"/>
              <w:rPr>
                <w:rFonts w:eastAsia="Times New Roman" w:cs="Times New Roman"/>
                <w:noProof/>
              </w:rPr>
            </w:pPr>
            <w:r>
              <w:rPr>
                <w:noProof/>
              </w:rPr>
              <w:t>2025</w:t>
            </w:r>
          </w:p>
        </w:tc>
        <w:tc>
          <w:tcPr>
            <w:tcW w:w="5108" w:type="dxa"/>
            <w:shd w:val="clear" w:color="auto" w:fill="C6EFCE"/>
            <w:noWrap/>
          </w:tcPr>
          <w:p w14:paraId="79563162" w14:textId="220A1657" w:rsidR="00D924EA" w:rsidRDefault="00011DE9">
            <w:pPr>
              <w:pStyle w:val="P68B1DB1-Normal20"/>
              <w:spacing w:after="0" w:line="240" w:lineRule="auto"/>
              <w:rPr>
                <w:noProof/>
                <w:kern w:val="0"/>
                <w14:ligatures w14:val="none"/>
              </w:rPr>
            </w:pPr>
            <w:r>
              <w:rPr>
                <w:noProof/>
              </w:rPr>
              <w:t>Confirmarea de către administrație a îndeplinirii condițiilor și obiectivelor de bază pentru 130 acțiuni legate de sprijinirea piețelor, a zonelor comerciale urbane, a comerțului itinerant și a lanțurilor scurte de aprovizionare sau de sprijinirea activității comerciale în zonele rurale. </w:t>
            </w:r>
          </w:p>
          <w:p w14:paraId="7AB17934" w14:textId="191BAA0A" w:rsidR="00D924EA" w:rsidRDefault="00011DE9">
            <w:pPr>
              <w:pStyle w:val="P68B1DB1-Normal47"/>
              <w:spacing w:after="0" w:line="240" w:lineRule="auto"/>
              <w:rPr>
                <w:noProof/>
              </w:rPr>
            </w:pPr>
            <w:r>
              <w:rPr>
                <w:noProof/>
              </w:rPr>
              <w:t>Acțiunile trebuie să fi primit subvenții în temeiul unui act juridic care stabilește că acțiunile care nu respectă pe deplin standardele și prioritățile Uniunii Europene în materie de climă și mediu și principiul de „a nu prejudicia în mod semnificativ” în sensul articolului 17 din Regulamentul (UE) 2020/852 al Parlamentului European și al Consiliului din 18 iunie 2020 de instituire a unui cadru care să faciliteze investițiile durabile și de modificare a Regulamentului (UE) 2019/2088 nu sunt eligibile. Actul juridic prevede, de asemenea, că sunt excluse de la finanțare, în măsura în care sunt aplicabile elementelor în care sunt destinate cheltuielile pentru care se acordă ajutorul: </w:t>
            </w:r>
          </w:p>
          <w:p w14:paraId="0583C2CB" w14:textId="77777777" w:rsidR="00D924EA" w:rsidRDefault="00011DE9">
            <w:pPr>
              <w:pStyle w:val="P68B1DB1-Normal47"/>
              <w:spacing w:after="0" w:line="240" w:lineRule="auto"/>
              <w:rPr>
                <w:noProof/>
              </w:rPr>
            </w:pPr>
            <w:r>
              <w:rPr>
                <w:noProof/>
              </w:rPr>
              <w:t>(a) Investiții legate de combustibilii fosili (inclusiv utilizarea în aval). </w:t>
            </w:r>
          </w:p>
          <w:p w14:paraId="2AD4A5D0" w14:textId="77777777" w:rsidR="00D924EA" w:rsidRDefault="00011DE9">
            <w:pPr>
              <w:pStyle w:val="P68B1DB1-Normal47"/>
              <w:spacing w:after="0" w:line="240" w:lineRule="auto"/>
              <w:rPr>
                <w:noProof/>
              </w:rPr>
            </w:pPr>
            <w:r>
              <w:rPr>
                <w:noProof/>
              </w:rPr>
              <w:t>(b) Activitățile din cadrul schemei de comercializare a certificatelor de emisii (ETS) cu emisii preconizate de gaze cu efect de seră care nu sunt substanțial mai mici decât valorile de referință stabilite pentru alocarea cu titlu gratuit. </w:t>
            </w:r>
          </w:p>
          <w:p w14:paraId="3AE9DBA7" w14:textId="77777777" w:rsidR="00D924EA" w:rsidRDefault="00011DE9">
            <w:pPr>
              <w:pStyle w:val="P68B1DB1-Normal47"/>
              <w:spacing w:after="0" w:line="240" w:lineRule="auto"/>
              <w:rPr>
                <w:noProof/>
              </w:rPr>
            </w:pPr>
            <w:r>
              <w:rPr>
                <w:noProof/>
              </w:rPr>
              <w:t>c) Tratarea deșeurilor generate prin tratare mecano-biologică (TBM), incinerare sau descărcare. </w:t>
            </w:r>
          </w:p>
          <w:p w14:paraId="389C6D43" w14:textId="77777777" w:rsidR="00D924EA" w:rsidRDefault="00011DE9">
            <w:pPr>
              <w:pStyle w:val="P68B1DB1-Normal47"/>
              <w:spacing w:after="0" w:line="240" w:lineRule="auto"/>
              <w:rPr>
                <w:noProof/>
              </w:rPr>
            </w:pPr>
            <w:r>
              <w:rPr>
                <w:noProof/>
              </w:rPr>
              <w:t>(d) Activități în care eliminarea pe termen lung a deșeurilor poate cauza daune pe termen lung mediului (de exemplu, deșeuri nucleare). </w:t>
            </w:r>
          </w:p>
          <w:p w14:paraId="211D4F2D" w14:textId="21371E09" w:rsidR="00D924EA" w:rsidRDefault="00011DE9">
            <w:pPr>
              <w:pStyle w:val="P68B1DB1-Normal47"/>
              <w:spacing w:after="0" w:line="240" w:lineRule="auto"/>
              <w:rPr>
                <w:noProof/>
              </w:rPr>
            </w:pPr>
            <w:r>
              <w:rPr>
                <w:noProof/>
              </w:rPr>
              <w:t>Actul juridic prevede, de asemenea, că pot fi selectate numai acele activități care respectă legislația națională și europeană relevantă în materie de mediu.</w:t>
            </w:r>
            <w:r w:rsidR="00971820">
              <w:rPr>
                <w:noProof/>
              </w:rPr>
              <w:t xml:space="preserve"> </w:t>
            </w:r>
          </w:p>
        </w:tc>
      </w:tr>
      <w:tr w:rsidR="00D924EA" w14:paraId="6CFA2387" w14:textId="77777777">
        <w:trPr>
          <w:trHeight w:val="309"/>
          <w:jc w:val="center"/>
        </w:trPr>
        <w:tc>
          <w:tcPr>
            <w:tcW w:w="696" w:type="dxa"/>
            <w:shd w:val="clear" w:color="auto" w:fill="C6EFCE"/>
            <w:noWrap/>
          </w:tcPr>
          <w:p w14:paraId="6D774959" w14:textId="0323CED9" w:rsidR="00D924EA" w:rsidRDefault="00011DE9">
            <w:pPr>
              <w:pStyle w:val="P68B1DB1-Normal47"/>
              <w:spacing w:after="0" w:line="240" w:lineRule="auto"/>
              <w:jc w:val="center"/>
              <w:rPr>
                <w:rFonts w:eastAsia="Times New Roman" w:cs="Times New Roman"/>
                <w:noProof/>
              </w:rPr>
            </w:pPr>
            <w:r>
              <w:rPr>
                <w:noProof/>
              </w:rPr>
              <w:t>213</w:t>
            </w:r>
          </w:p>
        </w:tc>
        <w:tc>
          <w:tcPr>
            <w:tcW w:w="836" w:type="dxa"/>
            <w:shd w:val="clear" w:color="auto" w:fill="C6EFCE"/>
            <w:noWrap/>
          </w:tcPr>
          <w:p w14:paraId="1445DBD6" w14:textId="77777777" w:rsidR="00D924EA" w:rsidRDefault="00011DE9">
            <w:pPr>
              <w:pStyle w:val="P68B1DB1-Normal18"/>
              <w:spacing w:after="0" w:line="240" w:lineRule="auto"/>
              <w:jc w:val="center"/>
              <w:rPr>
                <w:rFonts w:eastAsia="Times New Roman" w:cs="Times New Roman"/>
                <w:noProof/>
                <w:szCs w:val="18"/>
              </w:rPr>
            </w:pPr>
            <w:r>
              <w:rPr>
                <w:noProof/>
              </w:rPr>
              <w:t>C13.I5</w:t>
            </w:r>
          </w:p>
        </w:tc>
        <w:tc>
          <w:tcPr>
            <w:tcW w:w="835" w:type="dxa"/>
            <w:shd w:val="clear" w:color="auto" w:fill="C6EFCE"/>
            <w:noWrap/>
          </w:tcPr>
          <w:p w14:paraId="570F67FF" w14:textId="77777777" w:rsidR="00D924EA" w:rsidRDefault="00011DE9">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051597E1" w14:textId="6238DA54" w:rsidR="00D924EA" w:rsidRDefault="00011DE9">
            <w:pPr>
              <w:pStyle w:val="P68B1DB1-Normal18"/>
              <w:spacing w:after="0" w:line="240" w:lineRule="auto"/>
              <w:rPr>
                <w:rFonts w:eastAsia="Times New Roman" w:cs="Times New Roman"/>
                <w:noProof/>
                <w:szCs w:val="18"/>
              </w:rPr>
            </w:pPr>
            <w:r>
              <w:rPr>
                <w:noProof/>
              </w:rPr>
              <w:t>Sprijin acordat întreprinderilor pentru internaționalizarea acestora  </w:t>
            </w:r>
          </w:p>
        </w:tc>
        <w:tc>
          <w:tcPr>
            <w:tcW w:w="1701" w:type="dxa"/>
            <w:shd w:val="clear" w:color="auto" w:fill="C6EFCE"/>
            <w:noWrap/>
          </w:tcPr>
          <w:p w14:paraId="287037FB" w14:textId="77777777" w:rsidR="00D924EA" w:rsidRDefault="00011DE9">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74205639" w14:textId="77777777" w:rsidR="00D924EA" w:rsidRDefault="00011DE9">
            <w:pPr>
              <w:pStyle w:val="P68B1DB1-Normal18"/>
              <w:spacing w:after="0" w:line="240" w:lineRule="auto"/>
              <w:jc w:val="center"/>
              <w:rPr>
                <w:rFonts w:eastAsia="Times New Roman" w:cs="Times New Roman"/>
                <w:noProof/>
                <w:szCs w:val="18"/>
              </w:rPr>
            </w:pPr>
            <w:r>
              <w:rPr>
                <w:noProof/>
              </w:rPr>
              <w:t>Număr</w:t>
            </w:r>
          </w:p>
        </w:tc>
        <w:tc>
          <w:tcPr>
            <w:tcW w:w="1134" w:type="dxa"/>
            <w:shd w:val="clear" w:color="auto" w:fill="C6EFCE"/>
            <w:noWrap/>
          </w:tcPr>
          <w:p w14:paraId="1798B1D6" w14:textId="77777777" w:rsidR="00D924EA" w:rsidRDefault="00011DE9">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57EB0C39" w14:textId="478DEE45" w:rsidR="00D924EA" w:rsidRDefault="00011DE9">
            <w:pPr>
              <w:spacing w:after="0" w:line="240" w:lineRule="auto"/>
              <w:jc w:val="right"/>
              <w:rPr>
                <w:rFonts w:ascii="Times New Roman" w:eastAsia="Times New Roman" w:hAnsi="Times New Roman" w:cs="Times New Roman"/>
                <w:noProof/>
                <w:kern w:val="0"/>
                <w:sz w:val="18"/>
                <w:szCs w:val="18"/>
                <w14:ligatures w14:val="none"/>
              </w:rPr>
            </w:pPr>
            <w:r>
              <w:rPr>
                <w:rFonts w:ascii="Times New Roman" w:eastAsia="Times New Roman" w:hAnsi="Times New Roman" w:cs="Times New Roman"/>
                <w:noProof/>
                <w:kern w:val="0"/>
                <w:sz w:val="18"/>
                <w:szCs w:val="18"/>
                <w14:ligatures w14:val="none"/>
              </w:rPr>
              <w:t>3</w:t>
            </w:r>
            <w:r>
              <w:rPr>
                <w:rFonts w:ascii="Times New Roman" w:hAnsi="Times New Roman" w:cs="Times New Roman"/>
                <w:noProof/>
                <w:sz w:val="20"/>
                <w:szCs w:val="20"/>
              </w:rPr>
              <w:t xml:space="preserve"> </w:t>
            </w:r>
            <w:r>
              <w:rPr>
                <w:rFonts w:ascii="Times New Roman" w:eastAsia="Times New Roman" w:hAnsi="Times New Roman" w:cs="Times New Roman"/>
                <w:noProof/>
                <w:kern w:val="0"/>
                <w:sz w:val="18"/>
                <w:szCs w:val="18"/>
                <w14:ligatures w14:val="none"/>
              </w:rPr>
              <w:t>000</w:t>
            </w:r>
          </w:p>
        </w:tc>
        <w:tc>
          <w:tcPr>
            <w:tcW w:w="567" w:type="dxa"/>
            <w:shd w:val="clear" w:color="auto" w:fill="C6EFCE"/>
            <w:noWrap/>
          </w:tcPr>
          <w:p w14:paraId="6F40CA5C" w14:textId="7CE0906C" w:rsidR="00D924EA" w:rsidRDefault="005701C9">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23A01B97" w14:textId="4C0E5C98" w:rsidR="00D924EA" w:rsidRDefault="00011DE9">
            <w:pPr>
              <w:pStyle w:val="P68B1DB1-Normal74"/>
              <w:spacing w:after="0" w:line="240" w:lineRule="auto"/>
              <w:jc w:val="center"/>
              <w:rPr>
                <w:rFonts w:eastAsia="Times New Roman" w:cs="Times New Roman"/>
                <w:noProof/>
              </w:rPr>
            </w:pPr>
            <w:r>
              <w:rPr>
                <w:noProof/>
              </w:rPr>
              <w:t>2025</w:t>
            </w:r>
          </w:p>
        </w:tc>
        <w:tc>
          <w:tcPr>
            <w:tcW w:w="5108" w:type="dxa"/>
            <w:shd w:val="clear" w:color="auto" w:fill="C6EFCE"/>
            <w:noWrap/>
          </w:tcPr>
          <w:p w14:paraId="50187097" w14:textId="6C023F23" w:rsidR="00D924EA" w:rsidRDefault="00011DE9">
            <w:pPr>
              <w:pStyle w:val="P68B1DB1-Normal25"/>
              <w:spacing w:after="0"/>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 xml:space="preserve">Pentru un număr cumulat de 3 000 de societăți, pentru fiecare societate: </w:t>
            </w:r>
          </w:p>
          <w:p w14:paraId="755FE602" w14:textId="47269ED7" w:rsidR="00D924EA" w:rsidRDefault="00011DE9">
            <w:pPr>
              <w:pStyle w:val="P68B1DB1-ListParagraph45"/>
              <w:numPr>
                <w:ilvl w:val="0"/>
                <w:numId w:val="114"/>
              </w:numPr>
              <w:jc w:val="both"/>
              <w:rPr>
                <w:noProof/>
              </w:rPr>
            </w:pPr>
            <w:r>
              <w:rPr>
                <w:noProof/>
              </w:rPr>
              <w:t>Raportul de confirmare al ICEX privind îndeplinirea obiectivelor activităților din cadrul programului „Innova Invest”; sau</w:t>
            </w:r>
          </w:p>
          <w:p w14:paraId="783A1080" w14:textId="0D2D1954" w:rsidR="00D924EA" w:rsidRDefault="00011DE9">
            <w:pPr>
              <w:pStyle w:val="P68B1DB1-ListParagraph45"/>
              <w:numPr>
                <w:ilvl w:val="0"/>
                <w:numId w:val="114"/>
              </w:numPr>
              <w:jc w:val="both"/>
              <w:rPr>
                <w:noProof/>
              </w:rPr>
            </w:pPr>
            <w:r>
              <w:rPr>
                <w:noProof/>
              </w:rPr>
              <w:t>Raportul auditorului extern care confirmă finalizarea activităților din cadrul programului „Internaționalizare și mentorat” în conformitate cu Rezoluția din 23 februarie 2023 a secretarului de stat pentru comerț de publicare a acordului cu Camera oficială spaniolă de comerț, industrie, servicii și navigație, canalizând subvenția nominativă prevăzută în bugetul general de stat pentru 2022, pentru dezvoltarea Programului de mentorat și sprijin pentru internaționalizare, în cadrul planului de redresare, transformare și reziliență; sau</w:t>
            </w:r>
          </w:p>
          <w:p w14:paraId="4F4F0AD4" w14:textId="0AFE8E0D" w:rsidR="00D924EA" w:rsidRDefault="00011DE9">
            <w:pPr>
              <w:pStyle w:val="P68B1DB1-ListParagraph45"/>
              <w:numPr>
                <w:ilvl w:val="0"/>
                <w:numId w:val="114"/>
              </w:numPr>
              <w:jc w:val="both"/>
              <w:rPr>
                <w:noProof/>
                <w:color w:val="000000" w:themeColor="text1"/>
              </w:rPr>
            </w:pPr>
            <w:r>
              <w:rPr>
                <w:noProof/>
              </w:rPr>
              <w:t>Entitățile beneficiare sau societățile individuale au prezentat rapoarte finale care confirmă finalizarea activităților atribuite pentru granturi în cadrul programului „VIVES”; sau</w:t>
            </w:r>
          </w:p>
          <w:p w14:paraId="037C5CC4" w14:textId="5D88219A" w:rsidR="00D924EA" w:rsidRDefault="00011DE9">
            <w:pPr>
              <w:pStyle w:val="P68B1DB1-ListParagraph75"/>
              <w:numPr>
                <w:ilvl w:val="0"/>
                <w:numId w:val="114"/>
              </w:numPr>
              <w:jc w:val="both"/>
              <w:rPr>
                <w:noProof/>
              </w:rPr>
            </w:pPr>
            <w:r>
              <w:rPr>
                <w:noProof/>
              </w:rPr>
              <w:t>A fost semnată o declarație responsabilă de către o țară terță care confirmă finalizarea acțiunii de către societate în cadrul programului FIEM; sau</w:t>
            </w:r>
          </w:p>
          <w:p w14:paraId="5603DB1F" w14:textId="212D4F58" w:rsidR="00D924EA" w:rsidRDefault="00011DE9">
            <w:pPr>
              <w:pStyle w:val="P68B1DB1-ListParagraph76"/>
              <w:numPr>
                <w:ilvl w:val="0"/>
                <w:numId w:val="114"/>
              </w:numPr>
              <w:jc w:val="both"/>
              <w:rPr>
                <w:rFonts w:ascii="Times New Roman" w:eastAsia="Calibri" w:hAnsi="Times New Roman" w:cs="Times New Roman"/>
                <w:noProof/>
              </w:rPr>
            </w:pPr>
            <w:r>
              <w:rPr>
                <w:rFonts w:ascii="Times New Roman" w:eastAsia="Calibri" w:hAnsi="Times New Roman" w:cs="Times New Roman"/>
                <w:noProof/>
              </w:rPr>
              <w:t>În cadrul programului PABE a fost elaborat un raport de diagnosticare care</w:t>
            </w:r>
            <w:r>
              <w:rPr>
                <w:rFonts w:ascii="Times New Roman" w:eastAsia="Calibri" w:hAnsi="Times New Roman" w:cs="Times New Roman"/>
                <w:i/>
                <w:noProof/>
              </w:rPr>
              <w:t xml:space="preserve"> </w:t>
            </w:r>
            <w:r>
              <w:rPr>
                <w:rFonts w:ascii="Times New Roman" w:eastAsia="Calibri" w:hAnsi="Times New Roman" w:cs="Times New Roman"/>
                <w:noProof/>
              </w:rPr>
              <w:t>evaluează capacitatea</w:t>
            </w:r>
            <w:r>
              <w:rPr>
                <w:rFonts w:ascii="Times New Roman" w:eastAsia="Calibri" w:hAnsi="Times New Roman" w:cs="Times New Roman" w:hint="eastAsia"/>
                <w:noProof/>
              </w:rPr>
              <w:t xml:space="preserve"> de</w:t>
            </w:r>
            <w:r>
              <w:rPr>
                <w:rFonts w:ascii="Times New Roman" w:eastAsia="Calibri" w:hAnsi="Times New Roman" w:cs="Times New Roman"/>
                <w:noProof/>
              </w:rPr>
              <w:t xml:space="preserve"> export a societății.</w:t>
            </w:r>
          </w:p>
        </w:tc>
      </w:tr>
      <w:tr w:rsidR="00D924EA" w14:paraId="760963A6" w14:textId="77777777">
        <w:trPr>
          <w:trHeight w:val="309"/>
          <w:jc w:val="center"/>
        </w:trPr>
        <w:tc>
          <w:tcPr>
            <w:tcW w:w="696" w:type="dxa"/>
            <w:shd w:val="clear" w:color="auto" w:fill="C6EFCE"/>
            <w:noWrap/>
          </w:tcPr>
          <w:p w14:paraId="5331E821" w14:textId="108CC8B8" w:rsidR="00D924EA" w:rsidRDefault="00011DE9">
            <w:pPr>
              <w:pStyle w:val="P68B1DB1-Normal20"/>
              <w:spacing w:line="240" w:lineRule="auto"/>
              <w:jc w:val="center"/>
              <w:rPr>
                <w:noProof/>
              </w:rPr>
            </w:pPr>
            <w:r>
              <w:rPr>
                <w:noProof/>
              </w:rPr>
              <w:t>510</w:t>
            </w:r>
          </w:p>
        </w:tc>
        <w:tc>
          <w:tcPr>
            <w:tcW w:w="836" w:type="dxa"/>
            <w:shd w:val="clear" w:color="auto" w:fill="C6EFCE"/>
            <w:noWrap/>
          </w:tcPr>
          <w:p w14:paraId="58C36C19" w14:textId="53127A25" w:rsidR="00D924EA" w:rsidRDefault="00011DE9">
            <w:pPr>
              <w:pStyle w:val="P68B1DB1-Normal20"/>
              <w:spacing w:after="0" w:line="240" w:lineRule="auto"/>
              <w:rPr>
                <w:noProof/>
              </w:rPr>
            </w:pPr>
            <w:r>
              <w:rPr>
                <w:noProof/>
              </w:rPr>
              <w:t>C13.I11</w:t>
            </w:r>
          </w:p>
          <w:p w14:paraId="5C16E375" w14:textId="77777777" w:rsidR="00D924EA" w:rsidRDefault="00D924EA">
            <w:pPr>
              <w:spacing w:line="240" w:lineRule="auto"/>
              <w:jc w:val="center"/>
              <w:rPr>
                <w:rFonts w:ascii="Times New Roman" w:eastAsia="Calibri" w:hAnsi="Times New Roman" w:cs="Arial"/>
                <w:noProof/>
                <w:sz w:val="18"/>
                <w:szCs w:val="18"/>
              </w:rPr>
            </w:pPr>
          </w:p>
        </w:tc>
        <w:tc>
          <w:tcPr>
            <w:tcW w:w="835" w:type="dxa"/>
            <w:shd w:val="clear" w:color="auto" w:fill="C6EFCE"/>
            <w:noWrap/>
          </w:tcPr>
          <w:p w14:paraId="7520DA50" w14:textId="49486F71" w:rsidR="00D924EA" w:rsidRDefault="00011DE9">
            <w:pPr>
              <w:pStyle w:val="P68B1DB1-Normal20"/>
              <w:spacing w:line="240" w:lineRule="auto"/>
              <w:jc w:val="center"/>
              <w:rPr>
                <w:noProof/>
              </w:rPr>
            </w:pPr>
            <w:r>
              <w:rPr>
                <w:noProof/>
              </w:rPr>
              <w:t>T</w:t>
            </w:r>
          </w:p>
        </w:tc>
        <w:tc>
          <w:tcPr>
            <w:tcW w:w="1739" w:type="dxa"/>
            <w:shd w:val="clear" w:color="auto" w:fill="C6EFCE"/>
            <w:noWrap/>
          </w:tcPr>
          <w:p w14:paraId="086434F7" w14:textId="77777777" w:rsidR="00D924EA" w:rsidRDefault="00011DE9">
            <w:pPr>
              <w:pStyle w:val="P68B1DB1-Normal20"/>
              <w:spacing w:line="240" w:lineRule="auto"/>
              <w:rPr>
                <w:noProof/>
              </w:rPr>
            </w:pPr>
            <w:r>
              <w:rPr>
                <w:noProof/>
              </w:rPr>
              <w:t>Garanția CERSA</w:t>
            </w:r>
          </w:p>
        </w:tc>
        <w:tc>
          <w:tcPr>
            <w:tcW w:w="1701" w:type="dxa"/>
            <w:shd w:val="clear" w:color="auto" w:fill="C6EFCE"/>
            <w:noWrap/>
          </w:tcPr>
          <w:p w14:paraId="07508BA0" w14:textId="29FC7960" w:rsidR="00D924EA" w:rsidRDefault="00011DE9">
            <w:pPr>
              <w:pStyle w:val="P68B1DB1-Normal20"/>
              <w:tabs>
                <w:tab w:val="left" w:pos="1328"/>
              </w:tabs>
              <w:spacing w:line="240" w:lineRule="auto"/>
              <w:rPr>
                <w:noProof/>
              </w:rPr>
            </w:pPr>
            <w:r>
              <w:rPr>
                <w:noProof/>
              </w:rPr>
              <w:tab/>
            </w:r>
          </w:p>
        </w:tc>
        <w:tc>
          <w:tcPr>
            <w:tcW w:w="992" w:type="dxa"/>
            <w:shd w:val="clear" w:color="auto" w:fill="C6EFCE"/>
            <w:noWrap/>
          </w:tcPr>
          <w:p w14:paraId="38092CD4" w14:textId="7AB30354" w:rsidR="00D924EA" w:rsidRDefault="00011DE9">
            <w:pPr>
              <w:pStyle w:val="P68B1DB1-Normal20"/>
              <w:spacing w:line="240" w:lineRule="auto"/>
              <w:jc w:val="center"/>
              <w:rPr>
                <w:noProof/>
              </w:rPr>
            </w:pPr>
            <w:r>
              <w:rPr>
                <w:noProof/>
              </w:rPr>
              <w:t>Milioane EUR</w:t>
            </w:r>
          </w:p>
        </w:tc>
        <w:tc>
          <w:tcPr>
            <w:tcW w:w="1134" w:type="dxa"/>
            <w:shd w:val="clear" w:color="auto" w:fill="C6EFCE"/>
            <w:noWrap/>
          </w:tcPr>
          <w:p w14:paraId="5309813A" w14:textId="77777777" w:rsidR="00D924EA" w:rsidRDefault="00D924EA">
            <w:pPr>
              <w:spacing w:line="240" w:lineRule="auto"/>
              <w:jc w:val="right"/>
              <w:rPr>
                <w:rFonts w:ascii="Times New Roman" w:eastAsia="Calibri" w:hAnsi="Times New Roman" w:cs="Arial"/>
                <w:noProof/>
                <w:sz w:val="18"/>
                <w:szCs w:val="18"/>
              </w:rPr>
            </w:pPr>
          </w:p>
        </w:tc>
        <w:tc>
          <w:tcPr>
            <w:tcW w:w="1134" w:type="dxa"/>
            <w:shd w:val="clear" w:color="auto" w:fill="C6EFCE"/>
            <w:noWrap/>
          </w:tcPr>
          <w:p w14:paraId="2EAF8176" w14:textId="39EF5942" w:rsidR="00D924EA" w:rsidRDefault="00011DE9">
            <w:pPr>
              <w:pStyle w:val="P68B1DB1-Normal20"/>
              <w:spacing w:line="240" w:lineRule="auto"/>
              <w:jc w:val="center"/>
              <w:rPr>
                <w:noProof/>
              </w:rPr>
            </w:pPr>
            <w:r>
              <w:rPr>
                <w:noProof/>
              </w:rPr>
              <w:t>2 100</w:t>
            </w:r>
          </w:p>
        </w:tc>
        <w:tc>
          <w:tcPr>
            <w:tcW w:w="567" w:type="dxa"/>
            <w:shd w:val="clear" w:color="auto" w:fill="C6EFCE"/>
            <w:noWrap/>
          </w:tcPr>
          <w:p w14:paraId="1E065B38" w14:textId="0ED46EB6" w:rsidR="00D924EA" w:rsidRDefault="005701C9">
            <w:pPr>
              <w:pStyle w:val="P68B1DB1-Normal20"/>
              <w:spacing w:line="240" w:lineRule="auto"/>
              <w:jc w:val="right"/>
              <w:rPr>
                <w:noProof/>
              </w:rPr>
            </w:pPr>
            <w:r>
              <w:rPr>
                <w:noProof/>
              </w:rPr>
              <w:t>T4</w:t>
            </w:r>
          </w:p>
          <w:p w14:paraId="74E63487" w14:textId="77777777" w:rsidR="00D924EA" w:rsidRDefault="00D924EA">
            <w:pPr>
              <w:spacing w:line="240" w:lineRule="auto"/>
              <w:jc w:val="center"/>
              <w:rPr>
                <w:rFonts w:ascii="Times New Roman" w:eastAsia="Calibri" w:hAnsi="Times New Roman" w:cs="Arial"/>
                <w:noProof/>
                <w:sz w:val="18"/>
                <w:szCs w:val="18"/>
              </w:rPr>
            </w:pPr>
          </w:p>
        </w:tc>
        <w:tc>
          <w:tcPr>
            <w:tcW w:w="709" w:type="dxa"/>
            <w:shd w:val="clear" w:color="auto" w:fill="C6EFCE"/>
            <w:noWrap/>
          </w:tcPr>
          <w:p w14:paraId="3E7A204B" w14:textId="5E13BB98" w:rsidR="00D924EA" w:rsidRDefault="00011DE9">
            <w:pPr>
              <w:pStyle w:val="P68B1DB1-Normal77"/>
              <w:spacing w:line="240" w:lineRule="auto"/>
              <w:jc w:val="center"/>
              <w:rPr>
                <w:noProof/>
              </w:rPr>
            </w:pPr>
            <w:r>
              <w:rPr>
                <w:noProof/>
              </w:rPr>
              <w:t>2025</w:t>
            </w:r>
          </w:p>
        </w:tc>
        <w:tc>
          <w:tcPr>
            <w:tcW w:w="5108" w:type="dxa"/>
            <w:shd w:val="clear" w:color="auto" w:fill="C6EFCE"/>
            <w:noWrap/>
          </w:tcPr>
          <w:p w14:paraId="71092FAC" w14:textId="46B55124" w:rsidR="00D924EA" w:rsidRDefault="00011DE9">
            <w:pPr>
              <w:pStyle w:val="P68B1DB1-Normal41"/>
              <w:spacing w:after="0" w:line="240" w:lineRule="auto"/>
              <w:jc w:val="both"/>
              <w:rPr>
                <w:noProof/>
              </w:rPr>
            </w:pPr>
            <w:r>
              <w:rPr>
                <w:noProof/>
              </w:rPr>
              <w:t>O contra-garanție în valoare de 2 100 000 000 EUR acordată de CERSA, care permite întreprinderilor să obțină garanții pentru investiții pe termen lung și capital circulant.</w:t>
            </w:r>
          </w:p>
          <w:p w14:paraId="72670A77" w14:textId="4BEF5525" w:rsidR="00D924EA" w:rsidRDefault="00011DE9">
            <w:pPr>
              <w:pStyle w:val="P68B1DB1-Normal41"/>
              <w:spacing w:after="0" w:line="240" w:lineRule="auto"/>
              <w:jc w:val="both"/>
              <w:rPr>
                <w:noProof/>
              </w:rPr>
            </w:pPr>
            <w:r>
              <w:rPr>
                <w:noProof/>
              </w:rPr>
              <w:t>În cazul în care sprijinul CERSA beneficiază de alte instrumente ale Uniunii, contribuția la realizarea obiectivului ia în considerare exclusiv cuantumurile contragaranțiilor generate de contribuția MRR. Aceasta se calculează în conformitate cu o metodologie convenită, făcând distincție între sumele generate de MRR și sumele generate de alte instrumente ale Uniunii.</w:t>
            </w:r>
          </w:p>
        </w:tc>
      </w:tr>
      <w:tr w:rsidR="00D924EA" w14:paraId="1EC6E278" w14:textId="77777777">
        <w:trPr>
          <w:trHeight w:val="309"/>
          <w:jc w:val="center"/>
        </w:trPr>
        <w:tc>
          <w:tcPr>
            <w:tcW w:w="696" w:type="dxa"/>
            <w:shd w:val="clear" w:color="auto" w:fill="C6EFCE"/>
            <w:noWrap/>
          </w:tcPr>
          <w:p w14:paraId="6140D136" w14:textId="123C0B25" w:rsidR="00D924EA" w:rsidRDefault="00011DE9">
            <w:pPr>
              <w:pStyle w:val="P68B1DB1-Normal23"/>
              <w:spacing w:line="240" w:lineRule="auto"/>
              <w:jc w:val="center"/>
              <w:rPr>
                <w:rFonts w:eastAsia="Calibri" w:cs="Arial"/>
                <w:noProof/>
                <w:szCs w:val="18"/>
              </w:rPr>
            </w:pPr>
            <w:r>
              <w:rPr>
                <w:noProof/>
              </w:rPr>
              <w:t>508</w:t>
            </w:r>
          </w:p>
        </w:tc>
        <w:tc>
          <w:tcPr>
            <w:tcW w:w="836" w:type="dxa"/>
            <w:shd w:val="clear" w:color="auto" w:fill="C6EFCE"/>
            <w:noWrap/>
          </w:tcPr>
          <w:p w14:paraId="0EA6F2D7" w14:textId="77777777" w:rsidR="00D924EA" w:rsidRDefault="00011DE9">
            <w:pPr>
              <w:pStyle w:val="P68B1DB1-Normal23"/>
              <w:spacing w:line="240" w:lineRule="auto"/>
              <w:jc w:val="center"/>
              <w:rPr>
                <w:rFonts w:eastAsia="Calibri" w:cs="Arial"/>
                <w:noProof/>
                <w:szCs w:val="18"/>
              </w:rPr>
            </w:pPr>
            <w:r>
              <w:rPr>
                <w:noProof/>
              </w:rPr>
              <w:t>C13.I14</w:t>
            </w:r>
          </w:p>
        </w:tc>
        <w:tc>
          <w:tcPr>
            <w:tcW w:w="835" w:type="dxa"/>
            <w:shd w:val="clear" w:color="auto" w:fill="C6EFCE"/>
            <w:noWrap/>
          </w:tcPr>
          <w:p w14:paraId="35BEDD00" w14:textId="77777777" w:rsidR="00D924EA" w:rsidRDefault="00011DE9">
            <w:pPr>
              <w:pStyle w:val="P68B1DB1-Normal23"/>
              <w:spacing w:line="240" w:lineRule="auto"/>
              <w:jc w:val="center"/>
              <w:rPr>
                <w:rFonts w:eastAsia="Calibri" w:cs="Arial"/>
                <w:noProof/>
                <w:szCs w:val="18"/>
              </w:rPr>
            </w:pPr>
            <w:r>
              <w:rPr>
                <w:noProof/>
              </w:rPr>
              <w:t>M</w:t>
            </w:r>
          </w:p>
        </w:tc>
        <w:tc>
          <w:tcPr>
            <w:tcW w:w="1739" w:type="dxa"/>
            <w:shd w:val="clear" w:color="auto" w:fill="C6EFCE"/>
            <w:noWrap/>
          </w:tcPr>
          <w:p w14:paraId="763119FF" w14:textId="77777777" w:rsidR="00D924EA" w:rsidRDefault="00011DE9">
            <w:pPr>
              <w:pStyle w:val="P68B1DB1-Normal23"/>
              <w:spacing w:line="240" w:lineRule="auto"/>
              <w:rPr>
                <w:rFonts w:eastAsia="Calibri" w:cs="Arial"/>
                <w:noProof/>
                <w:szCs w:val="18"/>
              </w:rPr>
            </w:pPr>
            <w:r>
              <w:rPr>
                <w:noProof/>
              </w:rPr>
              <w:t>Politică de investiții</w:t>
            </w:r>
          </w:p>
        </w:tc>
        <w:tc>
          <w:tcPr>
            <w:tcW w:w="1701" w:type="dxa"/>
            <w:shd w:val="clear" w:color="auto" w:fill="C6EFCE"/>
            <w:noWrap/>
          </w:tcPr>
          <w:p w14:paraId="54BF3309" w14:textId="77777777" w:rsidR="00D924EA" w:rsidRDefault="00011DE9">
            <w:pPr>
              <w:pStyle w:val="P68B1DB1-Normal23"/>
              <w:spacing w:line="240" w:lineRule="auto"/>
              <w:jc w:val="center"/>
              <w:rPr>
                <w:rFonts w:eastAsia="Calibri" w:cs="Arial"/>
                <w:noProof/>
                <w:szCs w:val="18"/>
              </w:rPr>
            </w:pPr>
            <w:r>
              <w:rPr>
                <w:noProof/>
              </w:rPr>
              <w:t>Adoptarea unei politici de investiții</w:t>
            </w:r>
          </w:p>
        </w:tc>
        <w:tc>
          <w:tcPr>
            <w:tcW w:w="992" w:type="dxa"/>
            <w:shd w:val="clear" w:color="auto" w:fill="C6EFCE"/>
            <w:noWrap/>
          </w:tcPr>
          <w:p w14:paraId="4615D396" w14:textId="77777777" w:rsidR="00D924EA" w:rsidRDefault="00D924EA">
            <w:pPr>
              <w:spacing w:line="240" w:lineRule="auto"/>
              <w:jc w:val="center"/>
              <w:rPr>
                <w:rFonts w:ascii="Times New Roman" w:eastAsia="Calibri" w:hAnsi="Times New Roman" w:cs="Arial"/>
                <w:noProof/>
                <w:sz w:val="18"/>
                <w:szCs w:val="18"/>
              </w:rPr>
            </w:pPr>
          </w:p>
        </w:tc>
        <w:tc>
          <w:tcPr>
            <w:tcW w:w="1134" w:type="dxa"/>
            <w:shd w:val="clear" w:color="auto" w:fill="C6EFCE"/>
            <w:noWrap/>
          </w:tcPr>
          <w:p w14:paraId="4E62E9DF" w14:textId="77777777" w:rsidR="00D924EA" w:rsidRDefault="00D924EA">
            <w:pPr>
              <w:spacing w:line="240" w:lineRule="auto"/>
              <w:jc w:val="right"/>
              <w:rPr>
                <w:rFonts w:ascii="Times New Roman" w:eastAsia="Calibri" w:hAnsi="Times New Roman" w:cs="Arial"/>
                <w:noProof/>
                <w:sz w:val="18"/>
                <w:szCs w:val="18"/>
              </w:rPr>
            </w:pPr>
          </w:p>
        </w:tc>
        <w:tc>
          <w:tcPr>
            <w:tcW w:w="1134" w:type="dxa"/>
            <w:shd w:val="clear" w:color="auto" w:fill="C6EFCE"/>
            <w:noWrap/>
          </w:tcPr>
          <w:p w14:paraId="43B2FBAF" w14:textId="77777777" w:rsidR="00D924EA" w:rsidRDefault="00D924EA">
            <w:pPr>
              <w:spacing w:line="240" w:lineRule="auto"/>
              <w:jc w:val="right"/>
              <w:rPr>
                <w:rFonts w:ascii="Times New Roman" w:eastAsia="Calibri" w:hAnsi="Times New Roman" w:cs="Arial"/>
                <w:noProof/>
                <w:sz w:val="18"/>
                <w:szCs w:val="18"/>
              </w:rPr>
            </w:pPr>
          </w:p>
        </w:tc>
        <w:tc>
          <w:tcPr>
            <w:tcW w:w="567" w:type="dxa"/>
            <w:shd w:val="clear" w:color="auto" w:fill="C6EFCE"/>
            <w:noWrap/>
          </w:tcPr>
          <w:p w14:paraId="446E4316" w14:textId="1E811868" w:rsidR="00D924EA" w:rsidRDefault="005701C9">
            <w:pPr>
              <w:pStyle w:val="P68B1DB1-Normal23"/>
              <w:spacing w:line="240" w:lineRule="auto"/>
              <w:jc w:val="right"/>
              <w:rPr>
                <w:rFonts w:eastAsia="Calibri" w:cs="Arial"/>
                <w:noProof/>
                <w:szCs w:val="18"/>
              </w:rPr>
            </w:pPr>
            <w:r>
              <w:rPr>
                <w:noProof/>
              </w:rPr>
              <w:t>T2</w:t>
            </w:r>
          </w:p>
        </w:tc>
        <w:tc>
          <w:tcPr>
            <w:tcW w:w="709" w:type="dxa"/>
            <w:shd w:val="clear" w:color="auto" w:fill="C6EFCE"/>
            <w:noWrap/>
          </w:tcPr>
          <w:p w14:paraId="55108D04" w14:textId="77777777" w:rsidR="00D924EA" w:rsidRDefault="00011DE9">
            <w:pPr>
              <w:pStyle w:val="P68B1DB1-Normal23"/>
              <w:spacing w:line="240" w:lineRule="auto"/>
              <w:jc w:val="center"/>
              <w:rPr>
                <w:rFonts w:eastAsia="Calibri" w:cs="Arial"/>
                <w:noProof/>
                <w:color w:val="000000" w:themeColor="text1"/>
                <w:szCs w:val="18"/>
              </w:rPr>
            </w:pPr>
            <w:r>
              <w:rPr>
                <w:noProof/>
              </w:rPr>
              <w:t>2026</w:t>
            </w:r>
          </w:p>
        </w:tc>
        <w:tc>
          <w:tcPr>
            <w:tcW w:w="5108" w:type="dxa"/>
            <w:shd w:val="clear" w:color="auto" w:fill="C6EFCE"/>
            <w:noWrap/>
          </w:tcPr>
          <w:p w14:paraId="76FEAD1D" w14:textId="525AAC45" w:rsidR="00D924EA" w:rsidRDefault="00011DE9">
            <w:pPr>
              <w:pStyle w:val="P68B1DB1-Normal41"/>
              <w:spacing w:after="0" w:line="240" w:lineRule="auto"/>
              <w:jc w:val="both"/>
              <w:rPr>
                <w:noProof/>
              </w:rPr>
            </w:pPr>
            <w:r>
              <w:rPr>
                <w:noProof/>
              </w:rPr>
              <w:t>Adoptarea unei noi politici de investiții pentru ICO pentru utilizarea capitalurilor proprii și a fondurilor suplimentare.</w:t>
            </w:r>
          </w:p>
          <w:p w14:paraId="2344297F" w14:textId="77777777" w:rsidR="00D924EA" w:rsidRDefault="00D924EA">
            <w:pPr>
              <w:spacing w:after="0" w:line="240" w:lineRule="auto"/>
              <w:jc w:val="both"/>
              <w:rPr>
                <w:rFonts w:eastAsia="Times New Roman"/>
                <w:noProof/>
                <w:sz w:val="18"/>
                <w:szCs w:val="18"/>
              </w:rPr>
            </w:pPr>
          </w:p>
          <w:p w14:paraId="08F8BFA3" w14:textId="38D58608" w:rsidR="00D924EA" w:rsidRDefault="00011DE9">
            <w:pPr>
              <w:pStyle w:val="P68B1DB1-Normal41"/>
              <w:spacing w:after="0" w:line="240" w:lineRule="auto"/>
              <w:jc w:val="both"/>
              <w:rPr>
                <w:noProof/>
              </w:rPr>
            </w:pPr>
            <w:r>
              <w:rPr>
                <w:noProof/>
              </w:rPr>
              <w:t>Politica de investiții se asigură că 600 000 000 EUR din capitalul propriu suplimentar este dedicat sprijinirii investițiilor verzi, aliniate la domeniile de intervenție cărora li s-a atribuit un coeficient climatic de 100 % în temeiul anexei VI la Regulamentul (UE) 2021/241, care pot include, dar nu se limitează la sprijin pentru noi capacități de:</w:t>
            </w:r>
          </w:p>
          <w:p w14:paraId="49DC832A" w14:textId="77777777" w:rsidR="00D924EA" w:rsidRDefault="00011DE9">
            <w:pPr>
              <w:pStyle w:val="P68B1DB1-ListParagraph45"/>
              <w:numPr>
                <w:ilvl w:val="0"/>
                <w:numId w:val="114"/>
              </w:numPr>
              <w:spacing w:after="0" w:line="240" w:lineRule="auto"/>
              <w:jc w:val="both"/>
              <w:rPr>
                <w:noProof/>
              </w:rPr>
            </w:pPr>
            <w:r>
              <w:rPr>
                <w:noProof/>
              </w:rPr>
              <w:t>Renovarea fondului locativ existent în vederea creșterii eficienței energetice, proiecte demonstrative și măsuri de sprijin care respectă criteriile de eficiență energetică</w:t>
            </w:r>
          </w:p>
          <w:p w14:paraId="2BA0CFE1" w14:textId="77777777" w:rsidR="00D924EA" w:rsidRDefault="00011DE9">
            <w:pPr>
              <w:pStyle w:val="P68B1DB1-ListParagraph45"/>
              <w:numPr>
                <w:ilvl w:val="0"/>
                <w:numId w:val="114"/>
              </w:numPr>
              <w:spacing w:after="0" w:line="240" w:lineRule="auto"/>
              <w:jc w:val="both"/>
              <w:rPr>
                <w:noProof/>
              </w:rPr>
            </w:pPr>
            <w:r>
              <w:rPr>
                <w:noProof/>
              </w:rPr>
              <w:t>Energie regenerabilă: solară</w:t>
            </w:r>
          </w:p>
          <w:p w14:paraId="5353BA9C" w14:textId="77777777" w:rsidR="00D924EA" w:rsidRDefault="00011DE9">
            <w:pPr>
              <w:pStyle w:val="P68B1DB1-ListParagraph45"/>
              <w:numPr>
                <w:ilvl w:val="0"/>
                <w:numId w:val="114"/>
              </w:numPr>
              <w:spacing w:after="0" w:line="240" w:lineRule="auto"/>
              <w:jc w:val="both"/>
              <w:rPr>
                <w:noProof/>
              </w:rPr>
            </w:pPr>
            <w:r>
              <w:rPr>
                <w:noProof/>
              </w:rPr>
              <w:t>Material rulant pentru un transport urban curat</w:t>
            </w:r>
          </w:p>
          <w:p w14:paraId="4E2AE4A3" w14:textId="77777777" w:rsidR="00D924EA" w:rsidRDefault="00D924EA">
            <w:pPr>
              <w:spacing w:after="0" w:line="240" w:lineRule="auto"/>
              <w:jc w:val="both"/>
              <w:rPr>
                <w:rFonts w:ascii="Times New Roman" w:hAnsi="Times New Roman" w:cs="Times New Roman"/>
                <w:noProof/>
              </w:rPr>
            </w:pPr>
          </w:p>
          <w:p w14:paraId="5E92259E" w14:textId="3FC7FA9F" w:rsidR="00D924EA" w:rsidRDefault="00011DE9">
            <w:pPr>
              <w:pStyle w:val="P68B1DB1-Normal41"/>
              <w:spacing w:after="0" w:line="240" w:lineRule="auto"/>
              <w:jc w:val="both"/>
              <w:rPr>
                <w:noProof/>
              </w:rPr>
            </w:pPr>
            <w:r>
              <w:rPr>
                <w:noProof/>
              </w:rPr>
              <w:t>Politica de investiții se asigură că 1 000 000 000 EUR din capitalul propriu suplimentar este dedicat sprijinirii investițiilor verzi, aliniate la domeniile de intervenție cărora li s-a atribuit un coeficient climatic de 40 % în temeiul anexei VI la Regulamentul (UE) 2021/241, care pot include, dar nu se limitează la sprijin pentru noi capacități de:</w:t>
            </w:r>
          </w:p>
          <w:p w14:paraId="27BA0786" w14:textId="77777777" w:rsidR="00D924EA" w:rsidRDefault="00011DE9">
            <w:pPr>
              <w:pStyle w:val="P68B1DB1-ListParagraph45"/>
              <w:numPr>
                <w:ilvl w:val="0"/>
                <w:numId w:val="115"/>
              </w:numPr>
              <w:spacing w:after="0" w:line="240" w:lineRule="auto"/>
              <w:jc w:val="both"/>
              <w:rPr>
                <w:noProof/>
              </w:rPr>
            </w:pPr>
            <w:r>
              <w:rPr>
                <w:noProof/>
              </w:rPr>
              <w:t>Construirea de clădiri noi eficiente din punct de vedere energetic</w:t>
            </w:r>
          </w:p>
          <w:p w14:paraId="26BF7374" w14:textId="77777777" w:rsidR="00D924EA" w:rsidRDefault="00011DE9">
            <w:pPr>
              <w:pStyle w:val="P68B1DB1-ListParagraph45"/>
              <w:numPr>
                <w:ilvl w:val="0"/>
                <w:numId w:val="115"/>
              </w:numPr>
              <w:spacing w:after="0" w:line="240" w:lineRule="auto"/>
              <w:jc w:val="both"/>
              <w:rPr>
                <w:noProof/>
              </w:rPr>
            </w:pPr>
            <w:r>
              <w:rPr>
                <w:noProof/>
              </w:rPr>
              <w:t>Eficiență energetică și proiecte demonstrative în IMM-uri și măsuri de sprijin</w:t>
            </w:r>
          </w:p>
          <w:p w14:paraId="085422C7" w14:textId="35FBC667" w:rsidR="00D924EA" w:rsidRDefault="00011DE9">
            <w:pPr>
              <w:pStyle w:val="P68B1DB1-ListParagraph45"/>
              <w:numPr>
                <w:ilvl w:val="0"/>
                <w:numId w:val="115"/>
              </w:numPr>
              <w:spacing w:after="0" w:line="240" w:lineRule="auto"/>
              <w:jc w:val="both"/>
              <w:rPr>
                <w:noProof/>
              </w:rPr>
            </w:pPr>
            <w:r>
              <w:rPr>
                <w:noProof/>
              </w:rPr>
              <w:t>Sprijinirea proceselor de producție ecologice și a utilizării eficiente a resurselor în IMM-uri</w:t>
            </w:r>
          </w:p>
        </w:tc>
      </w:tr>
      <w:tr w:rsidR="00D924EA" w14:paraId="6C027CA9" w14:textId="77777777">
        <w:trPr>
          <w:trHeight w:val="309"/>
          <w:jc w:val="center"/>
        </w:trPr>
        <w:tc>
          <w:tcPr>
            <w:tcW w:w="696" w:type="dxa"/>
            <w:shd w:val="clear" w:color="auto" w:fill="C6EFCE"/>
            <w:noWrap/>
          </w:tcPr>
          <w:p w14:paraId="4EEAD595" w14:textId="005CC657" w:rsidR="00D924EA" w:rsidRDefault="00011DE9">
            <w:pPr>
              <w:pStyle w:val="P68B1DB1-Normal23"/>
              <w:spacing w:line="240" w:lineRule="auto"/>
              <w:jc w:val="center"/>
              <w:rPr>
                <w:noProof/>
              </w:rPr>
            </w:pPr>
            <w:r>
              <w:rPr>
                <w:noProof/>
              </w:rPr>
              <w:t>509</w:t>
            </w:r>
          </w:p>
        </w:tc>
        <w:tc>
          <w:tcPr>
            <w:tcW w:w="836" w:type="dxa"/>
            <w:shd w:val="clear" w:color="auto" w:fill="C6EFCE"/>
            <w:noWrap/>
          </w:tcPr>
          <w:p w14:paraId="2210939E" w14:textId="77777777" w:rsidR="00D924EA" w:rsidRDefault="00011DE9">
            <w:pPr>
              <w:pStyle w:val="P68B1DB1-Normal23"/>
              <w:spacing w:line="240" w:lineRule="auto"/>
              <w:jc w:val="center"/>
              <w:rPr>
                <w:noProof/>
              </w:rPr>
            </w:pPr>
            <w:r>
              <w:rPr>
                <w:noProof/>
              </w:rPr>
              <w:t>C13.I14</w:t>
            </w:r>
          </w:p>
        </w:tc>
        <w:tc>
          <w:tcPr>
            <w:tcW w:w="835" w:type="dxa"/>
            <w:shd w:val="clear" w:color="auto" w:fill="C6EFCE"/>
            <w:noWrap/>
          </w:tcPr>
          <w:p w14:paraId="70FBC9BF" w14:textId="77777777" w:rsidR="00D924EA" w:rsidRDefault="00011DE9">
            <w:pPr>
              <w:pStyle w:val="P68B1DB1-Normal23"/>
              <w:spacing w:line="240" w:lineRule="auto"/>
              <w:jc w:val="center"/>
              <w:rPr>
                <w:noProof/>
              </w:rPr>
            </w:pPr>
            <w:r>
              <w:rPr>
                <w:noProof/>
              </w:rPr>
              <w:t>M</w:t>
            </w:r>
          </w:p>
        </w:tc>
        <w:tc>
          <w:tcPr>
            <w:tcW w:w="1739" w:type="dxa"/>
            <w:shd w:val="clear" w:color="auto" w:fill="C6EFCE"/>
            <w:noWrap/>
          </w:tcPr>
          <w:p w14:paraId="06778AD1" w14:textId="77777777" w:rsidR="00D924EA" w:rsidRDefault="00011DE9">
            <w:pPr>
              <w:pStyle w:val="P68B1DB1-Normal23"/>
              <w:spacing w:line="240" w:lineRule="auto"/>
              <w:rPr>
                <w:noProof/>
              </w:rPr>
            </w:pPr>
            <w:r>
              <w:rPr>
                <w:noProof/>
              </w:rPr>
              <w:t>Injecție de capital</w:t>
            </w:r>
          </w:p>
        </w:tc>
        <w:tc>
          <w:tcPr>
            <w:tcW w:w="1701" w:type="dxa"/>
            <w:shd w:val="clear" w:color="auto" w:fill="C6EFCE"/>
            <w:noWrap/>
          </w:tcPr>
          <w:p w14:paraId="33153317" w14:textId="77777777" w:rsidR="00D924EA" w:rsidRDefault="00011DE9">
            <w:pPr>
              <w:pStyle w:val="P68B1DB1-Normal23"/>
              <w:spacing w:line="240" w:lineRule="auto"/>
              <w:jc w:val="center"/>
              <w:rPr>
                <w:noProof/>
              </w:rPr>
            </w:pPr>
            <w:r>
              <w:rPr>
                <w:noProof/>
              </w:rPr>
              <w:t>Certificatul de transfer</w:t>
            </w:r>
          </w:p>
        </w:tc>
        <w:tc>
          <w:tcPr>
            <w:tcW w:w="992" w:type="dxa"/>
            <w:shd w:val="clear" w:color="auto" w:fill="C6EFCE"/>
            <w:noWrap/>
          </w:tcPr>
          <w:p w14:paraId="4F55D7EA" w14:textId="77777777" w:rsidR="00D924EA" w:rsidRDefault="00D924EA">
            <w:pPr>
              <w:spacing w:line="240" w:lineRule="auto"/>
              <w:jc w:val="center"/>
              <w:rPr>
                <w:rFonts w:ascii="Times New Roman" w:eastAsia="Calibri" w:hAnsi="Times New Roman" w:cs="Arial"/>
                <w:noProof/>
                <w:sz w:val="18"/>
                <w:szCs w:val="18"/>
              </w:rPr>
            </w:pPr>
          </w:p>
        </w:tc>
        <w:tc>
          <w:tcPr>
            <w:tcW w:w="1134" w:type="dxa"/>
            <w:shd w:val="clear" w:color="auto" w:fill="C6EFCE"/>
            <w:noWrap/>
          </w:tcPr>
          <w:p w14:paraId="2B490EB1" w14:textId="77777777" w:rsidR="00D924EA" w:rsidRDefault="00D924EA">
            <w:pPr>
              <w:spacing w:line="240" w:lineRule="auto"/>
              <w:jc w:val="right"/>
              <w:rPr>
                <w:rFonts w:ascii="Times New Roman" w:eastAsia="Calibri" w:hAnsi="Times New Roman" w:cs="Arial"/>
                <w:noProof/>
                <w:sz w:val="18"/>
                <w:szCs w:val="18"/>
              </w:rPr>
            </w:pPr>
          </w:p>
        </w:tc>
        <w:tc>
          <w:tcPr>
            <w:tcW w:w="1134" w:type="dxa"/>
            <w:shd w:val="clear" w:color="auto" w:fill="C6EFCE"/>
            <w:noWrap/>
          </w:tcPr>
          <w:p w14:paraId="2CC5583F" w14:textId="77777777" w:rsidR="00D924EA" w:rsidRDefault="00D924EA">
            <w:pPr>
              <w:spacing w:line="240" w:lineRule="auto"/>
              <w:jc w:val="right"/>
              <w:rPr>
                <w:rFonts w:ascii="Times New Roman" w:eastAsia="Calibri" w:hAnsi="Times New Roman" w:cs="Arial"/>
                <w:noProof/>
                <w:sz w:val="18"/>
                <w:szCs w:val="18"/>
              </w:rPr>
            </w:pPr>
          </w:p>
        </w:tc>
        <w:tc>
          <w:tcPr>
            <w:tcW w:w="567" w:type="dxa"/>
            <w:shd w:val="clear" w:color="auto" w:fill="C6EFCE"/>
            <w:noWrap/>
          </w:tcPr>
          <w:p w14:paraId="29D7285A" w14:textId="55C4DEEB" w:rsidR="00D924EA" w:rsidRDefault="005701C9">
            <w:pPr>
              <w:pStyle w:val="P68B1DB1-Normal23"/>
              <w:spacing w:line="240" w:lineRule="auto"/>
              <w:jc w:val="right"/>
              <w:rPr>
                <w:noProof/>
              </w:rPr>
            </w:pPr>
            <w:r>
              <w:rPr>
                <w:noProof/>
              </w:rPr>
              <w:t>T2</w:t>
            </w:r>
          </w:p>
        </w:tc>
        <w:tc>
          <w:tcPr>
            <w:tcW w:w="709" w:type="dxa"/>
            <w:shd w:val="clear" w:color="auto" w:fill="C6EFCE"/>
            <w:noWrap/>
          </w:tcPr>
          <w:p w14:paraId="3E33D8C4" w14:textId="77777777" w:rsidR="00D924EA" w:rsidRDefault="00011DE9">
            <w:pPr>
              <w:pStyle w:val="P68B1DB1-Normal23"/>
              <w:spacing w:line="240" w:lineRule="auto"/>
              <w:jc w:val="center"/>
              <w:rPr>
                <w:noProof/>
              </w:rPr>
            </w:pPr>
            <w:r>
              <w:rPr>
                <w:noProof/>
              </w:rPr>
              <w:t>2026</w:t>
            </w:r>
          </w:p>
        </w:tc>
        <w:tc>
          <w:tcPr>
            <w:tcW w:w="5108" w:type="dxa"/>
            <w:shd w:val="clear" w:color="auto" w:fill="C6EFCE"/>
            <w:noWrap/>
          </w:tcPr>
          <w:p w14:paraId="660FA966" w14:textId="49E588D6" w:rsidR="00D924EA" w:rsidRDefault="00011DE9">
            <w:pPr>
              <w:spacing w:line="240" w:lineRule="auto"/>
              <w:jc w:val="both"/>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Suma de 2 800 000 000 EUR va fi transferată într-un cont special din cadrul ICO pentru a sprijini programul său de garantare și alte produse financiare, iar Spania transferă suma de 1 228</w:t>
            </w:r>
            <w:r>
              <w:rPr>
                <w:rFonts w:ascii="Times New Roman" w:hAnsi="Times New Roman" w:cs="Times New Roman"/>
                <w:noProof/>
                <w:sz w:val="20"/>
                <w:szCs w:val="20"/>
              </w:rPr>
              <w:t xml:space="preserve"> </w:t>
            </w:r>
            <w:r>
              <w:rPr>
                <w:rFonts w:ascii="Times New Roman" w:eastAsia="Times New Roman" w:hAnsi="Times New Roman" w:cs="Times New Roman"/>
                <w:noProof/>
                <w:sz w:val="18"/>
                <w:szCs w:val="18"/>
              </w:rPr>
              <w:t>583</w:t>
            </w:r>
            <w:r>
              <w:rPr>
                <w:rFonts w:ascii="Times New Roman" w:hAnsi="Times New Roman" w:cs="Times New Roman"/>
                <w:noProof/>
                <w:sz w:val="20"/>
                <w:szCs w:val="20"/>
              </w:rPr>
              <w:t xml:space="preserve"> </w:t>
            </w:r>
            <w:r>
              <w:rPr>
                <w:rFonts w:ascii="Times New Roman" w:eastAsia="Times New Roman" w:hAnsi="Times New Roman" w:cs="Times New Roman"/>
                <w:noProof/>
                <w:sz w:val="18"/>
                <w:szCs w:val="18"/>
              </w:rPr>
              <w:t>192</w:t>
            </w:r>
            <w:r>
              <w:rPr>
                <w:rFonts w:ascii="Times New Roman" w:hAnsi="Times New Roman" w:cs="Times New Roman"/>
                <w:noProof/>
                <w:sz w:val="20"/>
                <w:szCs w:val="20"/>
              </w:rPr>
              <w:t xml:space="preserve"> </w:t>
            </w:r>
            <w:r>
              <w:rPr>
                <w:rFonts w:ascii="Times New Roman" w:eastAsia="Times New Roman" w:hAnsi="Times New Roman" w:cs="Times New Roman"/>
                <w:noProof/>
                <w:sz w:val="18"/>
                <w:szCs w:val="18"/>
              </w:rPr>
              <w:t>EUR către ICO pentru a-și majora capitalul propriu.</w:t>
            </w:r>
          </w:p>
          <w:p w14:paraId="01E291DD" w14:textId="7E6BF407" w:rsidR="00D924EA" w:rsidRDefault="00011DE9">
            <w:pPr>
              <w:pStyle w:val="P68B1DB1-Normal43"/>
              <w:spacing w:after="0" w:line="240" w:lineRule="auto"/>
              <w:jc w:val="both"/>
              <w:rPr>
                <w:rFonts w:eastAsia="Times New Roman"/>
                <w:noProof/>
              </w:rPr>
            </w:pPr>
            <w:r>
              <w:rPr>
                <w:noProof/>
              </w:rPr>
              <w:t>Pe lângă injecția de capital în ICO și transferul de fonduri care constituie investiția MRR, Spania transmite, până la 31 august 2026, un raport în care prezintă acțiunile întreprinse de ICO pentru a pune în aplicare politica de investiții, inclusiv măsurile luate pentru punerea în aplicare a produselor financiare pe care se preconizează că le va sprijini inițial capitalul propriu suplimentar, precum și măsurile preconizate care urmează să fie luate pentru punerea în aplicare în continuare a produselor respective.</w:t>
            </w:r>
          </w:p>
        </w:tc>
      </w:tr>
    </w:tbl>
    <w:p w14:paraId="36755423" w14:textId="77777777" w:rsidR="00D924EA" w:rsidRDefault="00D924EA">
      <w:pPr>
        <w:rPr>
          <w:noProof/>
        </w:rPr>
      </w:pPr>
    </w:p>
    <w:p w14:paraId="4E298D1E" w14:textId="77777777" w:rsidR="00D924EA" w:rsidRDefault="00011DE9">
      <w:pPr>
        <w:rPr>
          <w:noProof/>
        </w:rPr>
      </w:pPr>
      <w:r>
        <w:rPr>
          <w:noProof/>
        </w:rPr>
        <w:br w:type="page"/>
      </w:r>
    </w:p>
    <w:p w14:paraId="2B179FE7" w14:textId="77777777" w:rsidR="00D924EA" w:rsidRDefault="00D924EA">
      <w:pPr>
        <w:ind w:firstLine="720"/>
        <w:rPr>
          <w:rFonts w:ascii="Times New Roman" w:hAnsi="Times New Roman"/>
          <w:b/>
          <w:noProof/>
          <w:u w:val="single"/>
        </w:rPr>
        <w:sectPr w:rsidR="00D924EA" w:rsidSect="00B528FB">
          <w:headerReference w:type="even" r:id="rId182"/>
          <w:headerReference w:type="default" r:id="rId183"/>
          <w:footerReference w:type="even" r:id="rId184"/>
          <w:footerReference w:type="default" r:id="rId185"/>
          <w:headerReference w:type="first" r:id="rId186"/>
          <w:footerReference w:type="first" r:id="rId187"/>
          <w:pgSz w:w="16839" w:h="11907" w:orient="landscape"/>
          <w:pgMar w:top="1134" w:right="1134" w:bottom="1134" w:left="1134" w:header="567" w:footer="567" w:gutter="0"/>
          <w:cols w:space="720"/>
          <w:docGrid w:linePitch="360"/>
        </w:sectPr>
      </w:pPr>
    </w:p>
    <w:p w14:paraId="445E18E4" w14:textId="77777777" w:rsidR="00D924EA" w:rsidRDefault="00011DE9">
      <w:pPr>
        <w:pStyle w:val="P68B1DB1-Normal33"/>
        <w:ind w:firstLine="720"/>
        <w:rPr>
          <w:rFonts w:cs="Times New Roman"/>
          <w:noProof/>
        </w:rPr>
      </w:pPr>
      <w:r>
        <w:rPr>
          <w:noProof/>
        </w:rPr>
        <w:t>M.3. Descrierea reformelor și a investițiilor pentru sprijinul sub formă de împrumut</w:t>
      </w:r>
    </w:p>
    <w:p w14:paraId="68EDB09A" w14:textId="77777777" w:rsidR="00D924EA" w:rsidRDefault="00011DE9">
      <w:pPr>
        <w:pStyle w:val="P68B1DB1-Normal30"/>
        <w:rPr>
          <w:rFonts w:cs="Times New Roman"/>
          <w:noProof/>
        </w:rPr>
      </w:pPr>
      <w:r>
        <w:rPr>
          <w:noProof/>
        </w:rPr>
        <w:t>Investiția 6 (C13.I6) – Linia verde a ICO și linia pentru întreprinderi și antreprenori</w:t>
      </w:r>
    </w:p>
    <w:p w14:paraId="019CF29E" w14:textId="77777777" w:rsidR="00D924EA" w:rsidRDefault="00011DE9">
      <w:pPr>
        <w:pStyle w:val="P68B1DB1-Normal29"/>
        <w:spacing w:line="240" w:lineRule="auto"/>
        <w:jc w:val="both"/>
        <w:rPr>
          <w:rFonts w:cs="Times New Roman"/>
          <w:noProof/>
        </w:rPr>
      </w:pPr>
      <w:r>
        <w:rPr>
          <w:noProof/>
        </w:rPr>
        <w:t>Această măsură constă într-o investiție în două linii financiare: linia verde a ICO și Linia pentru întreprinderi și antreprenori a ICO.</w:t>
      </w:r>
    </w:p>
    <w:p w14:paraId="7D1455BC" w14:textId="77777777" w:rsidR="00D924EA" w:rsidRDefault="00011DE9">
      <w:pPr>
        <w:pStyle w:val="P68B1DB1-Normal36"/>
        <w:rPr>
          <w:rFonts w:cs="Times New Roman"/>
          <w:noProof/>
        </w:rPr>
      </w:pPr>
      <w:r>
        <w:rPr>
          <w:noProof/>
        </w:rPr>
        <w:t>Linia verde a ICO</w:t>
      </w:r>
    </w:p>
    <w:p w14:paraId="102A124D" w14:textId="28BF1423" w:rsidR="00D924EA" w:rsidRDefault="00011DE9">
      <w:pPr>
        <w:pStyle w:val="P68B1DB1-Normal29"/>
        <w:spacing w:line="240" w:lineRule="auto"/>
        <w:jc w:val="both"/>
        <w:rPr>
          <w:rFonts w:cs="Times New Roman"/>
          <w:noProof/>
        </w:rPr>
      </w:pPr>
      <w:r>
        <w:rPr>
          <w:noProof/>
        </w:rPr>
        <w:t>Acest element al acestei măsuri constă într-o investiție publică într-o facilitate, linia verde ICO, pentru a stimula investițiile private și a îmbunătăți accesul la finanțare în sectoarele verzi ale Spaniei și pentru a dezvolta piețele de capital în acest domeniu, acoperind în special șapte domenii diferite: I)</w:t>
      </w:r>
      <w:r w:rsidR="00C202D2">
        <w:rPr>
          <w:noProof/>
        </w:rPr>
        <w:t> </w:t>
      </w:r>
      <w:r>
        <w:rPr>
          <w:noProof/>
        </w:rPr>
        <w:t>transportul durabil, inclusiv transportul feroviar; II) eficiența energetică; energia din surse regenerabile, inclusiv stocarea energiei și rețeaua de energie electrică; IV) decarbonizarea industrială și lanțurile valorice industriale cu emisii scăzute de dioxid de carbon legate de tranziția energetică; V) gestionarea apei; VI) economia circulară; VII) adaptarea la schimbările climatice. Mecanismul funcționează prin furnizarea de finanțare directă, achiziții de obligațiuni corporative și investiții de capital și cvasicapital, direct sau prin intermediari, către sectorul privat și gospodării, precum și către entitățile din sectorul public implicate în activități similare. Pe baza investițiilor MRR, mecanismul urmărește să ofere inițial o finanțare de cel puțin 300 000 000 EUR.</w:t>
      </w:r>
    </w:p>
    <w:p w14:paraId="390CBC82" w14:textId="77777777" w:rsidR="00D924EA" w:rsidRDefault="00011DE9">
      <w:pPr>
        <w:pStyle w:val="P68B1DB1-Normal29"/>
        <w:spacing w:line="240" w:lineRule="auto"/>
        <w:jc w:val="both"/>
        <w:rPr>
          <w:rFonts w:cs="Times New Roman"/>
          <w:noProof/>
        </w:rPr>
      </w:pPr>
      <w:r>
        <w:rPr>
          <w:noProof/>
        </w:rPr>
        <w:t>Instrumentul este gestionat de Instituto de Crédito Oficial (ICO) și Axis (administratorul de capital de risc/privat al ICO) în calitate de parteneri de implementare. Mecanismul include următoarele linii de produse:</w:t>
      </w:r>
    </w:p>
    <w:p w14:paraId="38A8AB55" w14:textId="77777777" w:rsidR="00D924EA" w:rsidRDefault="00011DE9">
      <w:pPr>
        <w:pStyle w:val="P68B1DB1-ListParagraph34"/>
        <w:numPr>
          <w:ilvl w:val="0"/>
          <w:numId w:val="100"/>
        </w:numPr>
        <w:spacing w:line="240" w:lineRule="auto"/>
        <w:jc w:val="both"/>
        <w:rPr>
          <w:rFonts w:cs="Times New Roman"/>
          <w:noProof/>
        </w:rPr>
      </w:pPr>
      <w:r>
        <w:rPr>
          <w:noProof/>
        </w:rPr>
        <w:t xml:space="preserve">Linia de mediere: linia de mediere constă în împrumuturi acordate de ICO băncilor comerciale, care, la rândul lor, acordă împrumuturi beneficiarilor finali pentru finanțarea proiectelor ecologice. Beneficiarii finali sunt întreprinderi private (cum ar fi IMM-uri, întreprinderi mici cu capitalizare medie, corporații mari sau antreprenori) și gospodării. </w:t>
      </w:r>
    </w:p>
    <w:p w14:paraId="39C1A921" w14:textId="77777777" w:rsidR="00D924EA" w:rsidRDefault="00011DE9">
      <w:pPr>
        <w:pStyle w:val="P68B1DB1-ListParagraph34"/>
        <w:numPr>
          <w:ilvl w:val="0"/>
          <w:numId w:val="100"/>
        </w:numPr>
        <w:spacing w:line="240" w:lineRule="auto"/>
        <w:jc w:val="both"/>
        <w:rPr>
          <w:rFonts w:cs="Times New Roman"/>
          <w:noProof/>
        </w:rPr>
      </w:pPr>
      <w:r>
        <w:rPr>
          <w:noProof/>
        </w:rPr>
        <w:t xml:space="preserve">Finanțarea directă a ICO: această linie va oferi împrumuturi directe întreprinderilor private (cum ar fi întreprinderile cu capitalizare medie) și întreprinderilor publice pentru a finanța proiecte verzi. Împrumuturile sunt acordate direct de ICO și fiecare proiect cofinanțat de un investitor (investitori) privat (privați) terț (terți). Fondurile furnizate de ICO reprezintă maximum 70 % din valoarea totală a sprijinului pentru investiții. Investitorii privați acoperă cel puțin 30 % din cuantumul total al sprijinului pentru investiții. </w:t>
      </w:r>
    </w:p>
    <w:p w14:paraId="55823B3E" w14:textId="77777777" w:rsidR="00D924EA" w:rsidRDefault="00011DE9">
      <w:pPr>
        <w:pStyle w:val="P68B1DB1-ListParagraph34"/>
        <w:numPr>
          <w:ilvl w:val="0"/>
          <w:numId w:val="100"/>
        </w:numPr>
        <w:spacing w:line="240" w:lineRule="auto"/>
        <w:jc w:val="both"/>
        <w:rPr>
          <w:rFonts w:cs="Times New Roman"/>
          <w:noProof/>
        </w:rPr>
      </w:pPr>
      <w:r>
        <w:rPr>
          <w:noProof/>
        </w:rPr>
        <w:t xml:space="preserve">Achiziții de obligațiuni corporative: în cadrul acestei linii, ICO achiziționează titluri cu venit fix prioritar pe termen mediu și lung emise de societăți spaniole pe piețele secundare organizate [cum ar fi piața alternativă cu venit fix (MARF) sau Asociația intermediarilor de active financiare (AIAF)]. Titlurile de valoare trebuie să fie legate de un proiect specific de investiții verzi al societății care emite titlul de valoare. </w:t>
      </w:r>
    </w:p>
    <w:p w14:paraId="002794B7" w14:textId="77777777" w:rsidR="00D924EA" w:rsidRDefault="00011DE9">
      <w:pPr>
        <w:pStyle w:val="P68B1DB1-ListParagraph34"/>
        <w:numPr>
          <w:ilvl w:val="0"/>
          <w:numId w:val="100"/>
        </w:numPr>
        <w:spacing w:line="240" w:lineRule="auto"/>
        <w:jc w:val="both"/>
        <w:rPr>
          <w:rFonts w:cs="Times New Roman"/>
          <w:noProof/>
        </w:rPr>
      </w:pPr>
      <w:r>
        <w:rPr>
          <w:noProof/>
        </w:rPr>
        <w:t>Investiții de capital și cvasicapital: această linie va consta în furnizarea de investiții directe de capital prin Axis (administratorul de capital de risc/privat al ICO) și/sau transferul de fonduri către fonduri de capital sau alte instrumente de investiții gestionate de intermediari financiari privați care efectuează operațiuni de investiții de capital în societăți care desfășoară proiecte ecologice. Participarea maximă a liniei de demarcație nu depășește 49 % din fondurile vehiculului de investiții. Investițiile de capital realizate de linia de demarcație nu trebuie să conducă la situația în care cota de capital deținut de stat în cadrul unui beneficiar final depășește 49 % din capitalul propriu total.</w:t>
      </w:r>
    </w:p>
    <w:p w14:paraId="0980E622" w14:textId="77777777" w:rsidR="00D924EA" w:rsidRDefault="00011DE9">
      <w:pPr>
        <w:pStyle w:val="P68B1DB1-Normal29"/>
        <w:spacing w:line="240" w:lineRule="auto"/>
        <w:jc w:val="both"/>
        <w:rPr>
          <w:rFonts w:cs="Times New Roman"/>
          <w:noProof/>
        </w:rPr>
      </w:pPr>
      <w:r>
        <w:rPr>
          <w:noProof/>
        </w:rPr>
        <w:t>Pentru a pune în aplicare investiția în facilitate, Spania și ICO semnează un acord de punere în aplicare care include următorul conținut:</w:t>
      </w:r>
    </w:p>
    <w:p w14:paraId="31095BEE" w14:textId="77777777" w:rsidR="00D924EA" w:rsidRDefault="00011DE9">
      <w:pPr>
        <w:pStyle w:val="P68B1DB1-LegalNumPar78"/>
        <w:numPr>
          <w:ilvl w:val="0"/>
          <w:numId w:val="94"/>
        </w:numPr>
        <w:jc w:val="both"/>
        <w:rPr>
          <w:rFonts w:eastAsia="Times New Roman" w:cs="Times New Roman"/>
          <w:noProof/>
          <w:szCs w:val="24"/>
        </w:rPr>
      </w:pPr>
      <w:r>
        <w:rPr>
          <w:noProof/>
        </w:rPr>
        <w:t xml:space="preserve">Descrierea procesului decizional al instrumentului: Decizia finală de investiție a facilității este luată de un comitet pentru investiții sau de un alt organ de conducere echivalent relevant și este aprobată cu o majoritate de voturi de către membri independenți de guvernul spaniol. În cazul investițiilor intermediate, decizia finală de investiție este luată de intermediari. </w:t>
      </w:r>
    </w:p>
    <w:p w14:paraId="4F187671" w14:textId="77777777" w:rsidR="00D924EA" w:rsidRDefault="00011DE9">
      <w:pPr>
        <w:pStyle w:val="P68B1DB1-LegalNumPar78"/>
        <w:numPr>
          <w:ilvl w:val="0"/>
          <w:numId w:val="94"/>
        </w:numPr>
        <w:jc w:val="both"/>
        <w:rPr>
          <w:rFonts w:cs="Times New Roman"/>
          <w:noProof/>
          <w:szCs w:val="24"/>
        </w:rPr>
      </w:pPr>
      <w:r>
        <w:rPr>
          <w:noProof/>
        </w:rPr>
        <w:t>Cerințele-cheie ale politicii de investiții asociate,</w:t>
      </w:r>
      <w:r>
        <w:rPr>
          <w:b/>
          <w:noProof/>
        </w:rPr>
        <w:t xml:space="preserve"> </w:t>
      </w:r>
      <w:r>
        <w:rPr>
          <w:noProof/>
        </w:rPr>
        <w:t>care includ:</w:t>
      </w:r>
    </w:p>
    <w:p w14:paraId="7884B875" w14:textId="307A8CE4" w:rsidR="00D924EA" w:rsidRDefault="00011DE9">
      <w:pPr>
        <w:pStyle w:val="P68B1DB1-LegalNumPar279"/>
        <w:numPr>
          <w:ilvl w:val="1"/>
          <w:numId w:val="95"/>
        </w:numPr>
        <w:jc w:val="both"/>
        <w:rPr>
          <w:rFonts w:cs="Times New Roman"/>
          <w:noProof/>
          <w:szCs w:val="24"/>
        </w:rPr>
      </w:pPr>
      <w:r>
        <w:rPr>
          <w:noProof/>
        </w:rPr>
        <w:t>Descrierea produsului (produselor) financiar (e) și a beneficiarilor finali eligibili, în conformitate cu descrierea măsurii.</w:t>
      </w:r>
      <w:r w:rsidR="00971820">
        <w:rPr>
          <w:noProof/>
        </w:rPr>
        <w:t xml:space="preserve"> </w:t>
      </w:r>
      <w:r>
        <w:rPr>
          <w:noProof/>
        </w:rPr>
        <w:t xml:space="preserve"> </w:t>
      </w:r>
    </w:p>
    <w:p w14:paraId="16A55C23" w14:textId="77777777" w:rsidR="00D924EA" w:rsidRDefault="00011DE9">
      <w:pPr>
        <w:pStyle w:val="P68B1DB1-LegalNumPar279"/>
        <w:numPr>
          <w:ilvl w:val="1"/>
          <w:numId w:val="95"/>
        </w:numPr>
        <w:jc w:val="both"/>
        <w:rPr>
          <w:rFonts w:cs="Times New Roman"/>
          <w:noProof/>
          <w:szCs w:val="24"/>
        </w:rPr>
      </w:pPr>
      <w:r>
        <w:rPr>
          <w:noProof/>
        </w:rPr>
        <w:t>Cerința ca toate investițiile care beneficiază de sprijin să fie viabile din punct de vedere economic</w:t>
      </w:r>
      <w:r>
        <w:rPr>
          <w:b/>
          <w:noProof/>
        </w:rPr>
        <w:t>.</w:t>
      </w:r>
    </w:p>
    <w:p w14:paraId="60CC7976" w14:textId="77777777" w:rsidR="00D924EA" w:rsidRDefault="00011DE9">
      <w:pPr>
        <w:pStyle w:val="P68B1DB1-LegalNumPar279"/>
        <w:numPr>
          <w:ilvl w:val="1"/>
          <w:numId w:val="95"/>
        </w:numPr>
        <w:jc w:val="both"/>
        <w:rPr>
          <w:rFonts w:cs="Times New Roman"/>
          <w:noProof/>
          <w:szCs w:val="24"/>
        </w:rPr>
      </w:pPr>
      <w:r>
        <w:rPr>
          <w:noProof/>
        </w:rPr>
        <w:t>Interdicția de a refinanța orice împrumut restant.</w:t>
      </w:r>
    </w:p>
    <w:p w14:paraId="1F5CA066" w14:textId="77777777" w:rsidR="00D924EA" w:rsidRDefault="00011DE9">
      <w:pPr>
        <w:pStyle w:val="P68B1DB1-LegalNumPar279"/>
        <w:numPr>
          <w:ilvl w:val="1"/>
          <w:numId w:val="95"/>
        </w:numPr>
        <w:jc w:val="both"/>
        <w:rPr>
          <w:rFonts w:cs="Times New Roman"/>
          <w:noProof/>
          <w:szCs w:val="24"/>
        </w:rPr>
      </w:pPr>
      <w:r>
        <w:rPr>
          <w:noProof/>
        </w:rPr>
        <w:t xml:space="preserve">Cerința de a respecta principiul de „a nu prejudicia în mod semnificativ”, astfel cum este prevăzută în Orientările tehnice privind principiul de „a nu prejudicia în mod semnificativ” (2021/C58/01), în special: </w:t>
      </w:r>
    </w:p>
    <w:p w14:paraId="3F823E8C" w14:textId="77777777" w:rsidR="00D924EA" w:rsidRDefault="00011DE9">
      <w:pPr>
        <w:pStyle w:val="ListParagraph"/>
        <w:numPr>
          <w:ilvl w:val="0"/>
          <w:numId w:val="96"/>
        </w:numPr>
        <w:spacing w:line="240" w:lineRule="auto"/>
        <w:jc w:val="both"/>
        <w:rPr>
          <w:rFonts w:ascii="Times New Roman" w:hAnsi="Times New Roman" w:cs="Times New Roman"/>
          <w:noProof/>
        </w:rPr>
      </w:pPr>
      <w:r>
        <w:rPr>
          <w:rFonts w:ascii="Times New Roman" w:hAnsi="Times New Roman"/>
          <w:noProof/>
        </w:rPr>
        <w:t>În cazul împrumuturilor, al obligațiunilor pentru finanțarea proiectelor sau al instrumentelor echivalente: politica de investiții exclude de la eligibilitate următoarele activități și active: (I) activitățile și activele legate de combustibilii fosili, inclusiv utilizarea în aval</w:t>
      </w:r>
      <w:r>
        <w:rPr>
          <w:rStyle w:val="FootnoteReference"/>
          <w:rFonts w:ascii="Times New Roman" w:hAnsi="Times New Roman" w:cs="Times New Roman"/>
          <w:noProof/>
        </w:rPr>
        <w:footnoteReference w:id="55"/>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56"/>
      </w:r>
      <w:r>
        <w:rPr>
          <w:rFonts w:ascii="Times New Roman" w:hAnsi="Times New Roman"/>
          <w:noProof/>
        </w:rPr>
        <w:t>, (iii) activitățile și activele legate de depozitele de deșeuri, incineratoare</w:t>
      </w:r>
      <w:r>
        <w:rPr>
          <w:rStyle w:val="FootnoteReference"/>
          <w:rFonts w:ascii="Times New Roman" w:hAnsi="Times New Roman" w:cs="Times New Roman"/>
          <w:noProof/>
        </w:rPr>
        <w:footnoteReference w:id="57"/>
      </w:r>
      <w:r>
        <w:rPr>
          <w:rFonts w:ascii="Times New Roman" w:hAnsi="Times New Roman"/>
          <w:noProof/>
        </w:rPr>
        <w:t xml:space="preserve"> și stațiile de tratare mecano-biologică</w:t>
      </w:r>
      <w:r>
        <w:rPr>
          <w:rStyle w:val="FootnoteReference"/>
          <w:rFonts w:ascii="Times New Roman" w:hAnsi="Times New Roman" w:cs="Times New Roman"/>
          <w:noProof/>
        </w:rPr>
        <w:footnoteReference w:id="58"/>
      </w:r>
      <w:r>
        <w:rPr>
          <w:rFonts w:ascii="Times New Roman" w:hAnsi="Times New Roman"/>
          <w:noProof/>
        </w:rPr>
        <w:t>.</w:t>
      </w:r>
    </w:p>
    <w:p w14:paraId="02A6645E" w14:textId="715309B7" w:rsidR="00D924EA" w:rsidRDefault="00011DE9">
      <w:pPr>
        <w:pStyle w:val="ListParagraph"/>
        <w:numPr>
          <w:ilvl w:val="0"/>
          <w:numId w:val="96"/>
        </w:numPr>
        <w:spacing w:line="259" w:lineRule="auto"/>
        <w:jc w:val="both"/>
        <w:rPr>
          <w:rFonts w:ascii="Times New Roman" w:hAnsi="Times New Roman" w:cs="Times New Roman"/>
          <w:noProof/>
        </w:rPr>
      </w:pPr>
      <w:r>
        <w:rPr>
          <w:rFonts w:ascii="Times New Roman" w:hAnsi="Times New Roman"/>
          <w:noProof/>
        </w:rPr>
        <w:t>În cazul capitalului propriu, al cvasicapitalului, al obligațiunilor corporative sau al instrumentelor echivalente: politica de investiții impune întreprinderilor să adopte planuri de tranziție verde în conformitate cu definiția prevăzută la articolul 19a alineatul (2) litera (a) punctul (iii) din Directiva 2013/34/UE în cazul</w:t>
      </w:r>
      <w:r>
        <w:rPr>
          <w:rStyle w:val="FootnoteReference"/>
          <w:rFonts w:ascii="Times New Roman" w:hAnsi="Times New Roman" w:cs="Times New Roman"/>
          <w:noProof/>
        </w:rPr>
        <w:footnoteReference w:id="59"/>
      </w:r>
      <w:r>
        <w:rPr>
          <w:rFonts w:ascii="Times New Roman" w:hAnsi="Times New Roman"/>
          <w:noProof/>
        </w:rPr>
        <w:t xml:space="preserve"> în care peste 50 % din veniturile lor directe din exercițiul financiar precedent provin din următoarea listă de activități și active: (I) activitățile și activele legate de combustibilii fosili, inclusiv utilizarea în aval</w:t>
      </w:r>
      <w:r>
        <w:rPr>
          <w:rStyle w:val="FootnoteReference"/>
          <w:rFonts w:ascii="Times New Roman" w:hAnsi="Times New Roman" w:cs="Times New Roman"/>
          <w:noProof/>
        </w:rPr>
        <w:footnoteReference w:id="60"/>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61"/>
      </w:r>
      <w:r>
        <w:rPr>
          <w:rFonts w:ascii="Times New Roman" w:hAnsi="Times New Roman"/>
          <w:noProof/>
        </w:rPr>
        <w:t>, (iii) activitățile și activele legate de depozitele de deșeuri, incineratoare</w:t>
      </w:r>
      <w:r>
        <w:rPr>
          <w:rStyle w:val="FootnoteReference"/>
          <w:rFonts w:ascii="Times New Roman" w:hAnsi="Times New Roman" w:cs="Times New Roman"/>
          <w:noProof/>
        </w:rPr>
        <w:footnoteReference w:id="62"/>
      </w:r>
      <w:r>
        <w:rPr>
          <w:rFonts w:ascii="Times New Roman" w:hAnsi="Times New Roman"/>
          <w:noProof/>
        </w:rPr>
        <w:t xml:space="preserve"> și stațiile de tratare mecano-biologică</w:t>
      </w:r>
      <w:r>
        <w:rPr>
          <w:rStyle w:val="FootnoteReference"/>
          <w:rFonts w:ascii="Times New Roman" w:hAnsi="Times New Roman" w:cs="Times New Roman"/>
          <w:noProof/>
        </w:rPr>
        <w:footnoteReference w:id="63"/>
      </w:r>
      <w:r>
        <w:rPr>
          <w:rFonts w:ascii="Times New Roman" w:hAnsi="Times New Roman"/>
          <w:noProof/>
        </w:rPr>
        <w:t>.</w:t>
      </w:r>
      <w:r w:rsidR="00971820">
        <w:rPr>
          <w:rFonts w:ascii="Times New Roman" w:hAnsi="Times New Roman"/>
          <w:noProof/>
        </w:rPr>
        <w:t xml:space="preserve"> </w:t>
      </w:r>
    </w:p>
    <w:p w14:paraId="44652604" w14:textId="77777777" w:rsidR="00D924EA" w:rsidRDefault="00011DE9">
      <w:pPr>
        <w:pStyle w:val="P68B1DB1-ListParagraph34"/>
        <w:numPr>
          <w:ilvl w:val="0"/>
          <w:numId w:val="96"/>
        </w:numPr>
        <w:spacing w:line="259" w:lineRule="auto"/>
        <w:jc w:val="both"/>
        <w:rPr>
          <w:rFonts w:cs="Times New Roman"/>
          <w:noProof/>
        </w:rPr>
      </w:pPr>
      <w:r>
        <w:rPr>
          <w:noProof/>
        </w:rPr>
        <w:t>În plus, politica de investiții impune respectarea legislației UE și naționale relevante în materie de mediu de către beneficiarii finali ai facilității.</w:t>
      </w:r>
    </w:p>
    <w:p w14:paraId="77704650" w14:textId="77777777" w:rsidR="00D924EA" w:rsidRDefault="00011DE9">
      <w:pPr>
        <w:pStyle w:val="P68B1DB1-ListParagraph34"/>
        <w:numPr>
          <w:ilvl w:val="1"/>
          <w:numId w:val="95"/>
        </w:numPr>
        <w:spacing w:line="240" w:lineRule="auto"/>
        <w:jc w:val="both"/>
        <w:rPr>
          <w:rFonts w:cs="Times New Roman"/>
          <w:noProof/>
        </w:rPr>
      </w:pPr>
      <w:r>
        <w:rPr>
          <w:noProof/>
        </w:rPr>
        <w:t>Cerința ca beneficiarii finali ai mecanismului să nu primească sprijin din partea altor instrumente ale Uniunii pentru a acoperi aceleași costuri.</w:t>
      </w:r>
    </w:p>
    <w:p w14:paraId="29465A42" w14:textId="77777777" w:rsidR="00D924EA" w:rsidRDefault="00011DE9">
      <w:pPr>
        <w:pStyle w:val="P68B1DB1-LegalNumPar78"/>
        <w:numPr>
          <w:ilvl w:val="0"/>
          <w:numId w:val="94"/>
        </w:numPr>
        <w:jc w:val="both"/>
        <w:rPr>
          <w:rFonts w:cs="Times New Roman"/>
          <w:noProof/>
          <w:szCs w:val="24"/>
        </w:rPr>
      </w:pPr>
      <w:r>
        <w:rPr>
          <w:noProof/>
        </w:rPr>
        <w:t>Suma care face obiectul acordului de punere în aplicare, structura comisioanelor pentru partenerul de implementare și cerința de a reinvesti orice restituiri în conformitate cu politica de investiții a mecanismului, cu excepția cazului în care acestea sunt utilizate pentru a rambursa împrumuturile din cadrul Mecanismului de redresare și reziliență.</w:t>
      </w:r>
    </w:p>
    <w:p w14:paraId="0B015EBC" w14:textId="77777777" w:rsidR="00D924EA" w:rsidRDefault="00011DE9">
      <w:pPr>
        <w:pStyle w:val="P68B1DB1-ListParagraph34"/>
        <w:numPr>
          <w:ilvl w:val="0"/>
          <w:numId w:val="94"/>
        </w:numPr>
        <w:spacing w:line="240" w:lineRule="auto"/>
        <w:jc w:val="both"/>
        <w:rPr>
          <w:rFonts w:cs="Times New Roman"/>
          <w:noProof/>
        </w:rPr>
      </w:pPr>
      <w:r>
        <w:rPr>
          <w:noProof/>
        </w:rPr>
        <w:t>Cerințe de monitorizare, audit și control, inclusiv:</w:t>
      </w:r>
    </w:p>
    <w:p w14:paraId="4E9C1415" w14:textId="77777777" w:rsidR="00D924EA" w:rsidRDefault="00011DE9">
      <w:pPr>
        <w:pStyle w:val="P68B1DB1-ListParagraph34"/>
        <w:numPr>
          <w:ilvl w:val="1"/>
          <w:numId w:val="97"/>
        </w:numPr>
        <w:spacing w:line="240" w:lineRule="auto"/>
        <w:jc w:val="both"/>
        <w:rPr>
          <w:rFonts w:cs="Times New Roman"/>
          <w:noProof/>
        </w:rPr>
      </w:pPr>
      <w:r>
        <w:rPr>
          <w:noProof/>
        </w:rPr>
        <w:t>Descrierea sistemului de monitorizare al partenerului de implementare pentru raportarea cu privire la investițiile mobilizate.</w:t>
      </w:r>
    </w:p>
    <w:p w14:paraId="54BB55E6" w14:textId="77777777" w:rsidR="00D924EA" w:rsidRDefault="00011DE9">
      <w:pPr>
        <w:pStyle w:val="P68B1DB1-ListParagraph34"/>
        <w:numPr>
          <w:ilvl w:val="1"/>
          <w:numId w:val="97"/>
        </w:numPr>
        <w:spacing w:line="240" w:lineRule="auto"/>
        <w:jc w:val="both"/>
        <w:rPr>
          <w:rFonts w:cs="Times New Roman"/>
          <w:noProof/>
        </w:rPr>
      </w:pPr>
      <w:r>
        <w:rPr>
          <w:noProof/>
        </w:rPr>
        <w:t>Descrierea procedurilor partenerului de implementare care vor asigura prevenirea, detectarea și corectarea fraudei, a corupției și a conflictelor de interese.</w:t>
      </w:r>
    </w:p>
    <w:p w14:paraId="31DB4474" w14:textId="689900E6" w:rsidR="00D924EA" w:rsidRDefault="00011DE9">
      <w:pPr>
        <w:pStyle w:val="P68B1DB1-ListParagraph34"/>
        <w:numPr>
          <w:ilvl w:val="1"/>
          <w:numId w:val="97"/>
        </w:numPr>
        <w:spacing w:line="240" w:lineRule="auto"/>
        <w:jc w:val="both"/>
        <w:rPr>
          <w:rFonts w:cs="Times New Roman"/>
          <w:noProof/>
        </w:rPr>
      </w:pPr>
      <w:r>
        <w:rPr>
          <w:noProof/>
        </w:rPr>
        <w:t>Obligația de a verifica eligibilitatea fiecărei operațiuni în conformitate cu cerințele prevăzute în acordul de punere în aplicare, inclusiv prin utilizarea unei liste de declarații pozitive și/sau a unei declarații pe proprie răspundere pentru operațiunile cu o valoare mai mică de 10</w:t>
      </w:r>
      <w:r>
        <w:rPr>
          <w:noProof/>
          <w:sz w:val="20"/>
        </w:rPr>
        <w:t xml:space="preserve"> </w:t>
      </w:r>
      <w:r>
        <w:rPr>
          <w:noProof/>
        </w:rPr>
        <w:t>000</w:t>
      </w:r>
      <w:r>
        <w:rPr>
          <w:noProof/>
          <w:sz w:val="20"/>
        </w:rPr>
        <w:t xml:space="preserve"> </w:t>
      </w:r>
      <w:r>
        <w:rPr>
          <w:noProof/>
        </w:rPr>
        <w:t>000 EUR, înainte de a se angaja să finanțeze o operațiune.</w:t>
      </w:r>
    </w:p>
    <w:p w14:paraId="43DDDF32" w14:textId="57729F9B" w:rsidR="00D924EA" w:rsidRDefault="00011DE9">
      <w:pPr>
        <w:pStyle w:val="P68B1DB1-ListParagraph34"/>
        <w:numPr>
          <w:ilvl w:val="1"/>
          <w:numId w:val="97"/>
        </w:numPr>
        <w:spacing w:line="240" w:lineRule="auto"/>
        <w:jc w:val="both"/>
        <w:rPr>
          <w:rFonts w:cs="Times New Roman"/>
          <w:noProof/>
        </w:rPr>
      </w:pPr>
      <w:r>
        <w:rPr>
          <w:noProof/>
        </w:rPr>
        <w:t>Obligația de a efectua audituri ex post bazate pe riscuri, în conformitate cu un plan de audit al ICO.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intermediarul să verifice dacă beneficiarul final prezintă o declarație responsabilă pentru a verifica dacă același cost este acoperit de un alt instrument al Uniunii. Auditurile verifică, de asemenea, legalitatea tranzacțiilor și respectarea condițiilor din acordul de punere în aplicare și din acordurile de finanțare aplicabile, inclusiv prin utilizarea unei liste de declarații pozitive și/sau a unor declarații pe propria răspundere pentru operațiunile cu o valoare mai mică de 10</w:t>
      </w:r>
      <w:r w:rsidR="00C202D2">
        <w:rPr>
          <w:noProof/>
          <w:sz w:val="20"/>
        </w:rPr>
        <w:t> </w:t>
      </w:r>
      <w:r>
        <w:rPr>
          <w:noProof/>
        </w:rPr>
        <w:t>000</w:t>
      </w:r>
      <w:r w:rsidR="00C202D2">
        <w:rPr>
          <w:noProof/>
          <w:sz w:val="20"/>
        </w:rPr>
        <w:t> </w:t>
      </w:r>
      <w:r>
        <w:rPr>
          <w:noProof/>
        </w:rPr>
        <w:t>000 EUR, înainte de a se angaja să finanțeze o operațiune.</w:t>
      </w:r>
    </w:p>
    <w:p w14:paraId="31C85ED3" w14:textId="12BF10AD" w:rsidR="00D924EA" w:rsidRDefault="00011DE9">
      <w:pPr>
        <w:pStyle w:val="ListParagraph"/>
        <w:numPr>
          <w:ilvl w:val="0"/>
          <w:numId w:val="94"/>
        </w:numPr>
        <w:spacing w:line="259" w:lineRule="auto"/>
        <w:rPr>
          <w:rFonts w:ascii="Times New Roman" w:hAnsi="Times New Roman"/>
          <w:noProof/>
        </w:rPr>
      </w:pPr>
      <w:r>
        <w:rPr>
          <w:rFonts w:ascii="Times New Roman" w:hAnsi="Times New Roman"/>
          <w:noProof/>
        </w:rPr>
        <w:t>Cerințe pentru investițiile în domeniul climei efectuate de partenerul de implementare: cel puțin 242</w:t>
      </w:r>
      <w:r>
        <w:rPr>
          <w:rFonts w:ascii="Times New Roman" w:hAnsi="Times New Roman"/>
          <w:noProof/>
          <w:sz w:val="20"/>
        </w:rPr>
        <w:t xml:space="preserve"> </w:t>
      </w:r>
      <w:r>
        <w:rPr>
          <w:rFonts w:ascii="Times New Roman" w:hAnsi="Times New Roman"/>
          <w:noProof/>
        </w:rPr>
        <w:t xml:space="preserve">727 </w:t>
      </w:r>
      <w:r>
        <w:rPr>
          <w:rFonts w:ascii="Times New Roman"/>
          <w:noProof/>
        </w:rPr>
        <w:t>272</w:t>
      </w:r>
      <w:r>
        <w:rPr>
          <w:rFonts w:ascii="Times New Roman"/>
          <w:noProof/>
        </w:rPr>
        <w:t> </w:t>
      </w:r>
      <w:r>
        <w:rPr>
          <w:rFonts w:ascii="Times New Roman"/>
          <w:noProof/>
        </w:rPr>
        <w:t>EUR din investi</w:t>
      </w:r>
      <w:r>
        <w:rPr>
          <w:rFonts w:ascii="Times New Roman"/>
          <w:noProof/>
        </w:rPr>
        <w:t>ț</w:t>
      </w:r>
      <w:r>
        <w:rPr>
          <w:rFonts w:ascii="Times New Roman"/>
          <w:noProof/>
        </w:rPr>
        <w:t xml:space="preserve">ia MRR </w:t>
      </w:r>
      <w:r>
        <w:rPr>
          <w:rFonts w:ascii="Times New Roman"/>
          <w:noProof/>
        </w:rPr>
        <w:t>î</w:t>
      </w:r>
      <w:r>
        <w:rPr>
          <w:rFonts w:ascii="Times New Roman"/>
          <w:noProof/>
        </w:rPr>
        <w:t xml:space="preserve">n mecanism contribuie la obiectivele climatice </w:t>
      </w:r>
      <w:r>
        <w:rPr>
          <w:rFonts w:ascii="Times New Roman"/>
          <w:noProof/>
        </w:rPr>
        <w:t>î</w:t>
      </w:r>
      <w:r>
        <w:rPr>
          <w:rFonts w:ascii="Times New Roman"/>
          <w:noProof/>
        </w:rPr>
        <w:t>n conformitate cu anexa VI la Regulamentul privind MRR</w:t>
      </w:r>
      <w:r>
        <w:rPr>
          <w:rFonts w:ascii="Times New Roman" w:hAnsi="Times New Roman"/>
          <w:noProof/>
        </w:rPr>
        <w:footnoteReference w:id="64"/>
      </w:r>
      <w:r>
        <w:rPr>
          <w:rFonts w:ascii="Times New Roman" w:hAnsi="Times New Roman"/>
          <w:noProof/>
          <w:vertAlign w:val="superscript"/>
        </w:rPr>
        <w:t>.</w:t>
      </w:r>
    </w:p>
    <w:p w14:paraId="6EEAA070" w14:textId="16DADCB6" w:rsidR="00D924EA" w:rsidRDefault="00011DE9">
      <w:pPr>
        <w:pStyle w:val="P68B1DB1-ListParagraph34"/>
        <w:numPr>
          <w:ilvl w:val="0"/>
          <w:numId w:val="94"/>
        </w:numPr>
        <w:spacing w:line="259" w:lineRule="auto"/>
        <w:rPr>
          <w:rFonts w:cs="Times New Roman"/>
          <w:noProof/>
        </w:rPr>
      </w:pPr>
      <w:r>
        <w:rPr>
          <w:noProof/>
        </w:rPr>
        <w:t xml:space="preserve">Cerințe pentru selectarea intermediarilor financiari: ICO selectează intermediarii financiari în mod deschis, transparent și nediscriminatoriu. Controalele privind absența conflictelor de interese în ceea ce privește intermediarii financiari au loc și se efectuează ex ante prin intermediul unui sistem informatic, cum ar fi Minerva, pentru toți actorii financiari implicați. </w:t>
      </w:r>
    </w:p>
    <w:p w14:paraId="3A19D615" w14:textId="77777777" w:rsidR="00D924EA" w:rsidRDefault="00011DE9">
      <w:pPr>
        <w:pStyle w:val="P68B1DB1-ListParagraph34"/>
        <w:numPr>
          <w:ilvl w:val="0"/>
          <w:numId w:val="94"/>
        </w:numPr>
        <w:spacing w:line="240" w:lineRule="auto"/>
        <w:jc w:val="both"/>
        <w:rPr>
          <w:rFonts w:cs="Times New Roman"/>
          <w:noProof/>
        </w:rPr>
      </w:pPr>
      <w:r>
        <w:rPr>
          <w:noProof/>
        </w:rPr>
        <w:t xml:space="preserve">Cerința de a semna acorduri de finanțare: ICO semnează acorduri de finanțare cu intermediarii financiari în conformitate cu cerințele-cheie care sunt furnizate ca anexă la acordul de punere în aplicare. Cerințele-cheie ale acordului de finanțare includ toate cerințele în temeiul cărora funcționează mecanismul, inclusiv: </w:t>
      </w:r>
    </w:p>
    <w:p w14:paraId="0C36C4F7" w14:textId="77777777" w:rsidR="00D924EA" w:rsidRDefault="00011DE9">
      <w:pPr>
        <w:pStyle w:val="P68B1DB1-Normal29"/>
        <w:numPr>
          <w:ilvl w:val="0"/>
          <w:numId w:val="98"/>
        </w:numPr>
        <w:spacing w:line="240" w:lineRule="auto"/>
        <w:jc w:val="both"/>
        <w:rPr>
          <w:rFonts w:cs="Times New Roman"/>
          <w:noProof/>
        </w:rPr>
      </w:pPr>
      <w:r>
        <w:rPr>
          <w:noProof/>
        </w:rPr>
        <w:t xml:space="preserve">Obligația intermediarului financiar de a lua decizii în conformitate </w:t>
      </w:r>
      <w:r>
        <w:rPr>
          <w:i/>
          <w:noProof/>
        </w:rPr>
        <w:t>mutatis mutandis</w:t>
      </w:r>
      <w:r>
        <w:rPr>
          <w:noProof/>
        </w:rPr>
        <w:t xml:space="preserve"> cu cerințele de luare a deciziilor și de politică de investiții specificate mai sus, inclusiv în ceea ce privește respectarea principiului DNSH.</w:t>
      </w:r>
    </w:p>
    <w:p w14:paraId="2C2EE956" w14:textId="77777777" w:rsidR="00D924EA" w:rsidRDefault="00011DE9">
      <w:pPr>
        <w:pStyle w:val="P68B1DB1-Normal29"/>
        <w:numPr>
          <w:ilvl w:val="0"/>
          <w:numId w:val="98"/>
        </w:numPr>
        <w:spacing w:line="240" w:lineRule="auto"/>
        <w:jc w:val="both"/>
        <w:rPr>
          <w:rFonts w:cs="Times New Roman"/>
          <w:noProof/>
        </w:rPr>
      </w:pPr>
      <w:r>
        <w:rPr>
          <w:noProof/>
        </w:rPr>
        <w:t xml:space="preserve">Descrierea cadrului de monitorizare, audit și control pe care intermediarul financiar trebuie să îl instituie și care, </w:t>
      </w:r>
      <w:r>
        <w:rPr>
          <w:i/>
          <w:noProof/>
        </w:rPr>
        <w:t>mutatis mutandis</w:t>
      </w:r>
      <w:r>
        <w:rPr>
          <w:noProof/>
        </w:rPr>
        <w:t xml:space="preserve">, face obiectul tuturor cerințelor de monitorizare, audit și control specificate mai sus. </w:t>
      </w:r>
    </w:p>
    <w:p w14:paraId="6AFC0338" w14:textId="77777777" w:rsidR="00D924EA" w:rsidRDefault="00011DE9">
      <w:pPr>
        <w:pStyle w:val="P68B1DB1-Normal36"/>
        <w:rPr>
          <w:rFonts w:cs="Times New Roman"/>
          <w:noProof/>
        </w:rPr>
      </w:pPr>
      <w:r>
        <w:rPr>
          <w:noProof/>
        </w:rPr>
        <w:t>Linia pentru întreprinderi și antreprenori din cadrul ICO</w:t>
      </w:r>
    </w:p>
    <w:p w14:paraId="61146690" w14:textId="76E9416D" w:rsidR="00D924EA" w:rsidRDefault="00011DE9">
      <w:pPr>
        <w:pStyle w:val="P68B1DB1-LegalNumPar280"/>
        <w:numPr>
          <w:ilvl w:val="1"/>
          <w:numId w:val="0"/>
        </w:numPr>
        <w:spacing w:line="240" w:lineRule="auto"/>
        <w:jc w:val="both"/>
        <w:rPr>
          <w:rFonts w:cs="Times New Roman"/>
          <w:noProof/>
          <w:sz w:val="24"/>
          <w:szCs w:val="24"/>
        </w:rPr>
      </w:pPr>
      <w:r>
        <w:rPr>
          <w:noProof/>
          <w:sz w:val="24"/>
        </w:rPr>
        <w:t>Acest element al măsurii constă într-o investiție publică într-un mecanism, linia ICO pentru întreprinderi și antreprenori, pentru a stimula investițiile private și a îmbunătăți accesul la finanțare în sectoarele legate de activitatea economică a întreprinderii și pentru a dezvolta piețele de capital în aceste domenii, proiecte legate de digitalizarea universităților publice și private, ca parte a noii economii a limbii (NEL) PERTE, și proiecte ale întreprinderilor din sectorul turismului legate de durabilitate, digitalizare, programe de perfecționare a resurselor umane și a echipamentelor și consolidarea competitivității și rezilienței acesteia. Linia de demarcație va servi, de asemenea, la acoperirea nevoilor de capital circulant care permit întreprinderilor să îndeplinească obiectivele menționate anterior. Mecanismul funcționează prin furnizarea de finanțare directă, achiziții de obligațiuni corporative și investiții de capital și cvasicapital, direct sau prin intermediari, către sectorul privat, precum și către entitățile din sectorul public implicate în activități similare. Pe baza investițiilor MRR, mecanismul urmărește să ofere inițial o finanțare de cel puțin</w:t>
      </w:r>
      <w:r>
        <w:rPr>
          <w:noProof/>
          <w:sz w:val="20"/>
        </w:rPr>
        <w:t xml:space="preserve"> </w:t>
      </w:r>
      <w:r>
        <w:rPr>
          <w:noProof/>
          <w:sz w:val="24"/>
        </w:rPr>
        <w:t>600</w:t>
      </w:r>
      <w:r w:rsidR="00971820">
        <w:rPr>
          <w:noProof/>
          <w:sz w:val="20"/>
        </w:rPr>
        <w:t xml:space="preserve"> </w:t>
      </w:r>
      <w:r>
        <w:rPr>
          <w:noProof/>
          <w:sz w:val="24"/>
        </w:rPr>
        <w:t xml:space="preserve">000 000 EUR. </w:t>
      </w:r>
    </w:p>
    <w:p w14:paraId="66AF9FD1" w14:textId="77777777" w:rsidR="00D924EA" w:rsidRDefault="00011DE9">
      <w:pPr>
        <w:pStyle w:val="P68B1DB1-Normal29"/>
        <w:spacing w:line="240" w:lineRule="auto"/>
        <w:jc w:val="both"/>
        <w:rPr>
          <w:rFonts w:cs="Times New Roman"/>
          <w:noProof/>
        </w:rPr>
      </w:pPr>
      <w:r>
        <w:rPr>
          <w:noProof/>
        </w:rPr>
        <w:t>Instrumentul este gestionat de Instituto de Crédito Oficial (ICO) și Axis (administratorul de capital de risc/privat al ICO) în calitate de parteneri de implementare. Mecanismul include următoarele linii de produse:</w:t>
      </w:r>
    </w:p>
    <w:p w14:paraId="7A92F847" w14:textId="77777777" w:rsidR="00D924EA" w:rsidRDefault="00011DE9">
      <w:pPr>
        <w:pStyle w:val="P68B1DB1-ListParagraph34"/>
        <w:numPr>
          <w:ilvl w:val="0"/>
          <w:numId w:val="91"/>
        </w:numPr>
        <w:spacing w:line="259" w:lineRule="auto"/>
        <w:jc w:val="both"/>
        <w:rPr>
          <w:rFonts w:eastAsia="Times New Roman" w:cs="Times New Roman"/>
          <w:noProof/>
        </w:rPr>
      </w:pPr>
      <w:r>
        <w:rPr>
          <w:noProof/>
        </w:rPr>
        <w:t xml:space="preserve">Linia de mediere: linia de mediere constă în împrumuturi acordate de ICO băncilor comerciale, care, la rândul lor, acordă împrumuturi beneficiarilor finali pentru a finanța proiecte legate de activitatea lor economică; digitalizarea și inteligența artificială pentru universități; și sisteme de durabilitate, digitalizare, recalificare și perfecționare pentru resursele umane și echipamente, precum și proiecte de consolidare a competitivității și rezilienței sectorului turismului. Beneficiarii finali sunt întreprinderi private (cum ar fi lucrătorii independenți, IMM-urile, întreprinderile mici cu capitalizare medie, marile corporații sau antreprenorii) și entități publice care desfășoară activități similare. </w:t>
      </w:r>
    </w:p>
    <w:p w14:paraId="734BB673" w14:textId="77777777" w:rsidR="00D924EA" w:rsidRDefault="00011DE9">
      <w:pPr>
        <w:pStyle w:val="P68B1DB1-ListParagraph34"/>
        <w:numPr>
          <w:ilvl w:val="0"/>
          <w:numId w:val="91"/>
        </w:numPr>
        <w:spacing w:line="259" w:lineRule="auto"/>
        <w:jc w:val="both"/>
        <w:rPr>
          <w:rFonts w:eastAsia="Times New Roman" w:cs="Times New Roman"/>
          <w:noProof/>
        </w:rPr>
      </w:pPr>
      <w:r>
        <w:rPr>
          <w:noProof/>
        </w:rPr>
        <w:t xml:space="preserve">Finanțarea directă a ICO: această linie va oferi împrumuturi directe întreprinderilor private (cum ar fi întreprinderile cu capitalizare medie și marile corporații) și întreprinderilor publice pentru a finanța proiecte legate de activitatea lor economică. Împrumuturile sunt acordate direct de ICO și fiecare proiect cofinanțat de un investitor (investitori) privat (privați) terț (terți). Fondurile furnizate de ICO reprezintă maximum 70 % din valoarea totală a sprijinului pentru investiții. Investitorii privați acoperă cel puțin 30 % din cuantumul total al sprijinului pentru investiții. </w:t>
      </w:r>
    </w:p>
    <w:p w14:paraId="3AA340F4" w14:textId="77777777" w:rsidR="00D924EA" w:rsidRDefault="00011DE9">
      <w:pPr>
        <w:pStyle w:val="P68B1DB1-ListParagraph34"/>
        <w:numPr>
          <w:ilvl w:val="0"/>
          <w:numId w:val="91"/>
        </w:numPr>
        <w:spacing w:line="259" w:lineRule="auto"/>
        <w:jc w:val="both"/>
        <w:rPr>
          <w:rFonts w:eastAsia="Times New Roman" w:cs="Times New Roman"/>
          <w:noProof/>
        </w:rPr>
      </w:pPr>
      <w:r>
        <w:rPr>
          <w:noProof/>
        </w:rPr>
        <w:t xml:space="preserve">Achiziții de obligațiuni corporative: în cadrul acestei linii, ICO achiziționează titluri cu venit fix prioritar pe termen mediu și lung emise de societăți spaniole pe piețele secundare organizate [cum ar fi piața alternativă cu venit fix (MARF) sau Asociația intermediarilor de active financiare (AIAF)]. Valorile mobiliare sunt legate de un proiect specific de investiții al societății care emite valoarea mobiliară. </w:t>
      </w:r>
    </w:p>
    <w:p w14:paraId="23FFAF21" w14:textId="77777777" w:rsidR="00D924EA" w:rsidRDefault="00011DE9">
      <w:pPr>
        <w:pStyle w:val="P68B1DB1-ListParagraph34"/>
        <w:numPr>
          <w:ilvl w:val="0"/>
          <w:numId w:val="91"/>
        </w:numPr>
        <w:spacing w:line="259" w:lineRule="auto"/>
        <w:jc w:val="both"/>
        <w:rPr>
          <w:rFonts w:eastAsia="Times New Roman" w:cs="Times New Roman"/>
          <w:noProof/>
        </w:rPr>
      </w:pPr>
      <w:r>
        <w:rPr>
          <w:noProof/>
        </w:rPr>
        <w:t>Investiții de capital și cvasicapital: această linie va consta în furnizarea de investiții directe în capitaluri proprii prin intermediul Axis (administratorul de capital de risc/privat al ICO) și/sau transferul de fonduri către fonduri de capital sau alte vehicule investiționale gestionate de intermediari financiari privați care efectuează operațiuni de investiții în capitaluri proprii în întreprinderi (întreprinderi nou-înființate, IMM-uri, întreprinderi cu capitalizare medie și societăți mari). Participarea maximă a liniei de demarcație nu depășește 49 % din fondurile vehiculului de investiții. Investițiile de capital realizate de linia de demarcație nu trebuie să conducă la situația în care cota de capital deținut de stat în cadrul unui beneficiar final depășește 49 % din capitalul propriu total.</w:t>
      </w:r>
    </w:p>
    <w:p w14:paraId="22EE3A57" w14:textId="77777777" w:rsidR="00D924EA" w:rsidRDefault="00011DE9">
      <w:pPr>
        <w:pStyle w:val="P68B1DB1-Normal29"/>
        <w:spacing w:line="240" w:lineRule="auto"/>
        <w:jc w:val="both"/>
        <w:rPr>
          <w:rFonts w:cs="Times New Roman"/>
          <w:noProof/>
        </w:rPr>
      </w:pPr>
      <w:r>
        <w:rPr>
          <w:noProof/>
        </w:rPr>
        <w:t>Pentru a pune în aplicare investiția în facilitate, Spania și ICO semnează un acord de punere în aplicare care include următorul conținut:</w:t>
      </w:r>
    </w:p>
    <w:p w14:paraId="2840DBAC" w14:textId="77777777" w:rsidR="00D924EA" w:rsidRDefault="00011DE9">
      <w:pPr>
        <w:pStyle w:val="P68B1DB1-LegalNumPar78"/>
        <w:numPr>
          <w:ilvl w:val="0"/>
          <w:numId w:val="103"/>
        </w:numPr>
        <w:jc w:val="both"/>
        <w:rPr>
          <w:rFonts w:eastAsia="Times New Roman" w:cs="Times New Roman"/>
          <w:noProof/>
          <w:szCs w:val="24"/>
        </w:rPr>
      </w:pPr>
      <w:r>
        <w:rPr>
          <w:noProof/>
        </w:rPr>
        <w:t>Descrierea procesului decizional al instrumentului: Decizia finală de investiții a facilității este luată de un comitet pentru investiții sau de un alt organ de conducere echivalent relevant și este aprobată cu o majoritate de voturi de către membri care sunt independenți de guvern. În cazul investițiilor intermediate, decizia finală de investiție este luată de intermediari.</w:t>
      </w:r>
    </w:p>
    <w:p w14:paraId="5B381493" w14:textId="77777777" w:rsidR="00D924EA" w:rsidRDefault="00011DE9">
      <w:pPr>
        <w:pStyle w:val="P68B1DB1-LegalNumPar78"/>
        <w:numPr>
          <w:ilvl w:val="0"/>
          <w:numId w:val="103"/>
        </w:numPr>
        <w:jc w:val="both"/>
        <w:rPr>
          <w:rFonts w:cs="Times New Roman"/>
          <w:noProof/>
          <w:szCs w:val="24"/>
        </w:rPr>
      </w:pPr>
      <w:r>
        <w:rPr>
          <w:noProof/>
        </w:rPr>
        <w:t>Cerințele-cheie ale politicii de investiții asociate,</w:t>
      </w:r>
      <w:r>
        <w:rPr>
          <w:b/>
          <w:noProof/>
        </w:rPr>
        <w:t xml:space="preserve"> </w:t>
      </w:r>
      <w:r>
        <w:rPr>
          <w:noProof/>
        </w:rPr>
        <w:t>care includ:</w:t>
      </w:r>
    </w:p>
    <w:p w14:paraId="117A22FF" w14:textId="5E5C2DC5" w:rsidR="00D924EA" w:rsidRDefault="00011DE9">
      <w:pPr>
        <w:pStyle w:val="P68B1DB1-LegalNumPar279"/>
        <w:numPr>
          <w:ilvl w:val="0"/>
          <w:numId w:val="104"/>
        </w:numPr>
        <w:jc w:val="both"/>
        <w:rPr>
          <w:rFonts w:cs="Times New Roman"/>
          <w:noProof/>
          <w:szCs w:val="24"/>
        </w:rPr>
      </w:pPr>
      <w:r>
        <w:rPr>
          <w:noProof/>
        </w:rPr>
        <w:t>Descrierea produsului (produselor) financiar (e) și a beneficiarilor finali eligibili, în conformitate cu descrierea măsurii.</w:t>
      </w:r>
      <w:r w:rsidR="00971820">
        <w:rPr>
          <w:noProof/>
        </w:rPr>
        <w:t xml:space="preserve"> </w:t>
      </w:r>
      <w:r>
        <w:rPr>
          <w:noProof/>
        </w:rPr>
        <w:t xml:space="preserve"> </w:t>
      </w:r>
    </w:p>
    <w:p w14:paraId="159D5114" w14:textId="77777777" w:rsidR="00D924EA" w:rsidRDefault="00011DE9">
      <w:pPr>
        <w:pStyle w:val="P68B1DB1-LegalNumPar279"/>
        <w:numPr>
          <w:ilvl w:val="0"/>
          <w:numId w:val="104"/>
        </w:numPr>
        <w:jc w:val="both"/>
        <w:rPr>
          <w:rFonts w:cs="Times New Roman"/>
          <w:noProof/>
          <w:szCs w:val="24"/>
        </w:rPr>
      </w:pPr>
      <w:r>
        <w:rPr>
          <w:noProof/>
        </w:rPr>
        <w:t>Cerința ca toate investițiile care beneficiază de sprijin să fie viabile din punct de vedere economic</w:t>
      </w:r>
      <w:r>
        <w:rPr>
          <w:b/>
          <w:noProof/>
        </w:rPr>
        <w:t>.</w:t>
      </w:r>
    </w:p>
    <w:p w14:paraId="4F3C27D5" w14:textId="77777777" w:rsidR="00D924EA" w:rsidRDefault="00011DE9">
      <w:pPr>
        <w:pStyle w:val="P68B1DB1-LegalNumPar279"/>
        <w:numPr>
          <w:ilvl w:val="0"/>
          <w:numId w:val="104"/>
        </w:numPr>
        <w:jc w:val="both"/>
        <w:rPr>
          <w:rFonts w:cs="Times New Roman"/>
          <w:noProof/>
          <w:szCs w:val="24"/>
        </w:rPr>
      </w:pPr>
      <w:r>
        <w:rPr>
          <w:noProof/>
        </w:rPr>
        <w:t>Interdicția de a refinanța orice împrumut restant.</w:t>
      </w:r>
    </w:p>
    <w:p w14:paraId="51D0FFBA" w14:textId="77777777" w:rsidR="00D924EA" w:rsidRDefault="00011DE9">
      <w:pPr>
        <w:pStyle w:val="P68B1DB1-LegalNumPar279"/>
        <w:numPr>
          <w:ilvl w:val="0"/>
          <w:numId w:val="104"/>
        </w:numPr>
        <w:jc w:val="both"/>
        <w:rPr>
          <w:rFonts w:cs="Times New Roman"/>
          <w:noProof/>
          <w:szCs w:val="24"/>
        </w:rPr>
      </w:pPr>
      <w:r>
        <w:rPr>
          <w:noProof/>
        </w:rPr>
        <w:t xml:space="preserve">Cerința de a respecta principiul de „a nu prejudicia în mod semnificativ”, astfel cum este prevăzută în Orientările tehnice privind principiul de „a nu prejudicia în mod semnificativ” (2021/C58/01), în special: </w:t>
      </w:r>
    </w:p>
    <w:p w14:paraId="59EF6B3E" w14:textId="77777777" w:rsidR="00D924EA" w:rsidRDefault="00011DE9">
      <w:pPr>
        <w:pStyle w:val="ListParagraph"/>
        <w:numPr>
          <w:ilvl w:val="0"/>
          <w:numId w:val="105"/>
        </w:numPr>
        <w:spacing w:line="240" w:lineRule="auto"/>
        <w:jc w:val="both"/>
        <w:rPr>
          <w:rFonts w:ascii="Times New Roman" w:hAnsi="Times New Roman" w:cs="Times New Roman"/>
          <w:noProof/>
        </w:rPr>
      </w:pPr>
      <w:r>
        <w:rPr>
          <w:rFonts w:ascii="Times New Roman" w:hAnsi="Times New Roman"/>
          <w:noProof/>
        </w:rPr>
        <w:t>În cazul împrumuturilor, al obligațiunilor pentru finanțarea proiectelor sau al instrumentelor echivalente: politica de investiții exclude de la eligibilitate următoarele activități și active: (I) activitățile și activele legate de combustibilii fosili, inclusiv utilizarea în aval</w:t>
      </w:r>
      <w:r>
        <w:rPr>
          <w:rStyle w:val="FootnoteReference"/>
          <w:rFonts w:ascii="Times New Roman" w:hAnsi="Times New Roman" w:cs="Times New Roman"/>
          <w:noProof/>
        </w:rPr>
        <w:footnoteReference w:id="65"/>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66"/>
      </w:r>
      <w:r>
        <w:rPr>
          <w:rFonts w:ascii="Times New Roman" w:hAnsi="Times New Roman"/>
          <w:noProof/>
        </w:rPr>
        <w:t>, (iii) activitățile și activele legate de depozitele de deșeuri, incineratoare</w:t>
      </w:r>
      <w:r>
        <w:rPr>
          <w:rStyle w:val="FootnoteReference"/>
          <w:rFonts w:ascii="Times New Roman" w:hAnsi="Times New Roman" w:cs="Times New Roman"/>
          <w:noProof/>
        </w:rPr>
        <w:footnoteReference w:id="67"/>
      </w:r>
      <w:r>
        <w:rPr>
          <w:rFonts w:ascii="Times New Roman" w:hAnsi="Times New Roman"/>
          <w:noProof/>
        </w:rPr>
        <w:t xml:space="preserve"> și stațiile de tratare mecano-biologică</w:t>
      </w:r>
      <w:r>
        <w:rPr>
          <w:rStyle w:val="FootnoteReference"/>
          <w:rFonts w:ascii="Times New Roman" w:hAnsi="Times New Roman" w:cs="Times New Roman"/>
          <w:noProof/>
        </w:rPr>
        <w:footnoteReference w:id="68"/>
      </w:r>
      <w:r>
        <w:rPr>
          <w:rFonts w:ascii="Times New Roman" w:hAnsi="Times New Roman"/>
          <w:noProof/>
        </w:rPr>
        <w:t xml:space="preserve">. </w:t>
      </w:r>
    </w:p>
    <w:p w14:paraId="50F22036" w14:textId="7D2A1D4F" w:rsidR="00D924EA" w:rsidRDefault="00011DE9">
      <w:pPr>
        <w:pStyle w:val="ListParagraph"/>
        <w:numPr>
          <w:ilvl w:val="0"/>
          <w:numId w:val="105"/>
        </w:numPr>
        <w:spacing w:line="259" w:lineRule="auto"/>
        <w:jc w:val="both"/>
        <w:rPr>
          <w:rFonts w:ascii="Times New Roman" w:hAnsi="Times New Roman" w:cs="Times New Roman"/>
          <w:noProof/>
        </w:rPr>
      </w:pPr>
      <w:r>
        <w:rPr>
          <w:rFonts w:ascii="Times New Roman" w:hAnsi="Times New Roman"/>
          <w:noProof/>
        </w:rPr>
        <w:t>În cazul capitalului propriu, al cvasicapitalului, al obligațiunilor corporative sau al instrumentelor echivalente: politica de investiții impune întreprinderilor să adopte planuri de tranziție verde în conformitate cu definiția prevăzută la articolul 19a alineatul (2) litera (a) punctul (iii) din Directiva 2013/34/UE în cazul</w:t>
      </w:r>
      <w:r>
        <w:rPr>
          <w:rStyle w:val="FootnoteReference"/>
          <w:rFonts w:ascii="Times New Roman" w:hAnsi="Times New Roman" w:cs="Times New Roman"/>
          <w:noProof/>
        </w:rPr>
        <w:footnoteReference w:id="69"/>
      </w:r>
      <w:r>
        <w:rPr>
          <w:rFonts w:ascii="Times New Roman" w:hAnsi="Times New Roman"/>
          <w:noProof/>
        </w:rPr>
        <w:t xml:space="preserve"> în care peste 50 % din veniturile lor directe din exercițiul financiar precedent provin din următoarea listă de activități și active: (I) activitățile și activele legate de combustibilii fosili, inclusiv utilizarea în aval</w:t>
      </w:r>
      <w:r>
        <w:rPr>
          <w:rStyle w:val="FootnoteReference"/>
          <w:rFonts w:ascii="Times New Roman" w:hAnsi="Times New Roman" w:cs="Times New Roman"/>
          <w:noProof/>
        </w:rPr>
        <w:footnoteReference w:id="70"/>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71"/>
      </w:r>
      <w:r>
        <w:rPr>
          <w:rFonts w:ascii="Times New Roman" w:hAnsi="Times New Roman"/>
          <w:noProof/>
        </w:rPr>
        <w:t>, (iii) activitățile și activele legate de depozitele de deșeuri, incineratoare</w:t>
      </w:r>
      <w:r>
        <w:rPr>
          <w:rStyle w:val="FootnoteReference"/>
          <w:rFonts w:ascii="Times New Roman" w:hAnsi="Times New Roman" w:cs="Times New Roman"/>
          <w:noProof/>
        </w:rPr>
        <w:footnoteReference w:id="72"/>
      </w:r>
      <w:r>
        <w:rPr>
          <w:rFonts w:ascii="Times New Roman" w:hAnsi="Times New Roman"/>
          <w:noProof/>
        </w:rPr>
        <w:t xml:space="preserve"> și stațiile de tratare mecano-biologică</w:t>
      </w:r>
      <w:r>
        <w:rPr>
          <w:rStyle w:val="FootnoteReference"/>
          <w:rFonts w:ascii="Times New Roman" w:hAnsi="Times New Roman" w:cs="Times New Roman"/>
          <w:noProof/>
        </w:rPr>
        <w:footnoteReference w:id="73"/>
      </w:r>
      <w:r>
        <w:rPr>
          <w:rFonts w:ascii="Times New Roman" w:hAnsi="Times New Roman"/>
          <w:noProof/>
        </w:rPr>
        <w:t>.</w:t>
      </w:r>
      <w:r w:rsidR="00971820">
        <w:rPr>
          <w:rFonts w:ascii="Times New Roman" w:hAnsi="Times New Roman"/>
          <w:noProof/>
        </w:rPr>
        <w:t xml:space="preserve"> </w:t>
      </w:r>
    </w:p>
    <w:p w14:paraId="73CA86AA" w14:textId="77777777" w:rsidR="00D924EA" w:rsidRDefault="00011DE9">
      <w:pPr>
        <w:pStyle w:val="P68B1DB1-ListParagraph34"/>
        <w:numPr>
          <w:ilvl w:val="0"/>
          <w:numId w:val="105"/>
        </w:numPr>
        <w:spacing w:line="259" w:lineRule="auto"/>
        <w:jc w:val="both"/>
        <w:rPr>
          <w:rFonts w:cs="Times New Roman"/>
          <w:noProof/>
        </w:rPr>
      </w:pPr>
      <w:r>
        <w:rPr>
          <w:noProof/>
        </w:rPr>
        <w:t>În plus, politica de investiții impune respectarea legislației UE și naționale relevante în materie de mediu de către beneficiarii finali ai facilității.</w:t>
      </w:r>
    </w:p>
    <w:p w14:paraId="3B9D19CD" w14:textId="77777777" w:rsidR="00D924EA" w:rsidRDefault="00011DE9">
      <w:pPr>
        <w:pStyle w:val="P68B1DB1-ListParagraph34"/>
        <w:numPr>
          <w:ilvl w:val="0"/>
          <w:numId w:val="104"/>
        </w:numPr>
        <w:spacing w:line="240" w:lineRule="auto"/>
        <w:jc w:val="both"/>
        <w:rPr>
          <w:rFonts w:cs="Times New Roman"/>
          <w:noProof/>
        </w:rPr>
      </w:pPr>
      <w:r>
        <w:rPr>
          <w:noProof/>
        </w:rPr>
        <w:t>Cerința ca beneficiarii finali ai mecanismului să nu primească sprijin din partea altor instrumente ale Uniunii pentru a acoperi aceleași costuri.</w:t>
      </w:r>
    </w:p>
    <w:p w14:paraId="14F392A2" w14:textId="77777777" w:rsidR="00D924EA" w:rsidRDefault="00011DE9">
      <w:pPr>
        <w:pStyle w:val="P68B1DB1-LegalNumPar78"/>
        <w:numPr>
          <w:ilvl w:val="0"/>
          <w:numId w:val="103"/>
        </w:numPr>
        <w:jc w:val="both"/>
        <w:rPr>
          <w:rFonts w:cs="Times New Roman"/>
          <w:noProof/>
          <w:szCs w:val="24"/>
        </w:rPr>
      </w:pPr>
      <w:r>
        <w:rPr>
          <w:noProof/>
        </w:rPr>
        <w:t>Suma care face obiectul acordului de punere în aplicare, structura comisioanelor pentru partenerul de implementare și cerința de a reinvesti orice restituiri în conformitate cu politica de investiții a mecanismului, cu excepția cazului în care acestea sunt utilizate pentru a rambursa împrumuturile din cadrul Mecanismului de redresare și reziliență.</w:t>
      </w:r>
    </w:p>
    <w:p w14:paraId="5F4D1D6D" w14:textId="77777777" w:rsidR="00D924EA" w:rsidRDefault="00011DE9">
      <w:pPr>
        <w:pStyle w:val="P68B1DB1-ListParagraph34"/>
        <w:numPr>
          <w:ilvl w:val="0"/>
          <w:numId w:val="103"/>
        </w:numPr>
        <w:spacing w:line="240" w:lineRule="auto"/>
        <w:jc w:val="both"/>
        <w:rPr>
          <w:rFonts w:cs="Times New Roman"/>
          <w:noProof/>
        </w:rPr>
      </w:pPr>
      <w:r>
        <w:rPr>
          <w:noProof/>
        </w:rPr>
        <w:t>Cerințe de monitorizare, audit și control, inclusiv:</w:t>
      </w:r>
    </w:p>
    <w:p w14:paraId="2C6ED0DD" w14:textId="77777777" w:rsidR="00D924EA" w:rsidRDefault="00011DE9">
      <w:pPr>
        <w:pStyle w:val="P68B1DB1-ListParagraph34"/>
        <w:numPr>
          <w:ilvl w:val="0"/>
          <w:numId w:val="106"/>
        </w:numPr>
        <w:spacing w:line="240" w:lineRule="auto"/>
        <w:jc w:val="both"/>
        <w:rPr>
          <w:rFonts w:cs="Times New Roman"/>
          <w:noProof/>
        </w:rPr>
      </w:pPr>
      <w:r>
        <w:rPr>
          <w:noProof/>
        </w:rPr>
        <w:t>Descrierea sistemului de monitorizare al partenerului de implementare pentru raportarea cu privire la investițiile mobilizate.</w:t>
      </w:r>
    </w:p>
    <w:p w14:paraId="324F8833" w14:textId="77777777" w:rsidR="00D924EA" w:rsidRDefault="00011DE9">
      <w:pPr>
        <w:pStyle w:val="P68B1DB1-ListParagraph34"/>
        <w:numPr>
          <w:ilvl w:val="0"/>
          <w:numId w:val="106"/>
        </w:numPr>
        <w:spacing w:line="240" w:lineRule="auto"/>
        <w:jc w:val="both"/>
        <w:rPr>
          <w:rFonts w:cs="Times New Roman"/>
          <w:noProof/>
        </w:rPr>
      </w:pPr>
      <w:r>
        <w:rPr>
          <w:noProof/>
        </w:rPr>
        <w:t xml:space="preserve">Descrierea procedurilor partenerului de implementare care vor asigura prevenirea, detectarea și corectarea fraudei, a corupției și a conflictelor de interese. </w:t>
      </w:r>
    </w:p>
    <w:p w14:paraId="3028E52B" w14:textId="6551EA3D" w:rsidR="00D924EA" w:rsidRDefault="00011DE9">
      <w:pPr>
        <w:pStyle w:val="P68B1DB1-ListParagraph34"/>
        <w:numPr>
          <w:ilvl w:val="0"/>
          <w:numId w:val="106"/>
        </w:numPr>
        <w:spacing w:line="240" w:lineRule="auto"/>
        <w:jc w:val="both"/>
        <w:rPr>
          <w:rFonts w:cs="Times New Roman"/>
          <w:noProof/>
        </w:rPr>
      </w:pPr>
      <w:r>
        <w:rPr>
          <w:noProof/>
        </w:rPr>
        <w:t>Obligația de a verifica eligibilitatea fiecărei operațiuni în conformitate cu cerințele prevăzute în acordul de punere în aplicare, inclusiv prin utilizarea unei declarații pe proprie răspundere pentru operațiunile cu o valoare mai mică de</w:t>
      </w:r>
      <w:r>
        <w:rPr>
          <w:noProof/>
          <w:sz w:val="20"/>
        </w:rPr>
        <w:t xml:space="preserve"> </w:t>
      </w:r>
      <w:r>
        <w:rPr>
          <w:noProof/>
        </w:rPr>
        <w:t>10</w:t>
      </w:r>
      <w:r>
        <w:rPr>
          <w:noProof/>
          <w:sz w:val="20"/>
        </w:rPr>
        <w:t xml:space="preserve"> </w:t>
      </w:r>
      <w:r>
        <w:rPr>
          <w:noProof/>
        </w:rPr>
        <w:t>000</w:t>
      </w:r>
      <w:r>
        <w:rPr>
          <w:noProof/>
          <w:sz w:val="20"/>
        </w:rPr>
        <w:t xml:space="preserve"> </w:t>
      </w:r>
      <w:r>
        <w:rPr>
          <w:noProof/>
        </w:rPr>
        <w:t>000 EUR, înainte de a se angaja să finanțeze o operațiune.</w:t>
      </w:r>
    </w:p>
    <w:p w14:paraId="2BEC77E4" w14:textId="2150CB3D" w:rsidR="00D924EA" w:rsidRDefault="00011DE9">
      <w:pPr>
        <w:pStyle w:val="ListParagraph"/>
        <w:numPr>
          <w:ilvl w:val="0"/>
          <w:numId w:val="106"/>
        </w:numPr>
        <w:spacing w:line="240" w:lineRule="auto"/>
        <w:jc w:val="both"/>
        <w:rPr>
          <w:rFonts w:ascii="Times New Roman" w:hAnsi="Times New Roman" w:cs="Times New Roman"/>
          <w:noProof/>
        </w:rPr>
      </w:pPr>
      <w:r>
        <w:rPr>
          <w:rFonts w:ascii="Times New Roman" w:hAnsi="Times New Roman"/>
          <w:noProof/>
        </w:rPr>
        <w:t>Obligația de a efectua audituri ex post bazate pe riscuri, în conformitate cu un plan de audit al ICO. Aceste audituri verifică i) dacă sistemele de control sunt eficace, inclusiv detectarea fraudei, a corupției și a conflictelor de interese; respectarea principiului DNSH, a normelor privind ajutoarele de stat și a cerințelor privind ținta digitală; și iii) respectarea cerinței ca intermediarul să verifice dacă beneficiarul final prezintă o declarație responsabilă pentru a verifica dacă același cost este acoperit de un alt instrument al Uniunii.</w:t>
      </w:r>
      <w:r w:rsidR="00971820">
        <w:rPr>
          <w:rFonts w:ascii="Times New Roman" w:hAnsi="Times New Roman"/>
          <w:noProof/>
        </w:rPr>
        <w:t xml:space="preserve"> </w:t>
      </w:r>
      <w:r>
        <w:rPr>
          <w:rFonts w:ascii="Times New Roman" w:hAnsi="Times New Roman"/>
          <w:noProof/>
        </w:rPr>
        <w:t>Auditurile verifică, de asemenea, legalitatea tranzacțiilor și respectarea condițiilor din acordul de punere în aplicare și din acordurile de finanțare aplicabile,</w:t>
      </w:r>
      <w:r>
        <w:rPr>
          <w:noProof/>
        </w:rPr>
        <w:t xml:space="preserve"> </w:t>
      </w:r>
      <w:r>
        <w:rPr>
          <w:rFonts w:ascii="Times New Roman" w:hAnsi="Times New Roman"/>
          <w:noProof/>
        </w:rPr>
        <w:t>inclusiv prin utilizarea unei declarații pe propria răspundere pentru operațiunile cu o valoare mai mică de</w:t>
      </w:r>
      <w:r>
        <w:rPr>
          <w:rFonts w:ascii="Times New Roman" w:hAnsi="Times New Roman"/>
          <w:noProof/>
          <w:sz w:val="20"/>
        </w:rPr>
        <w:t xml:space="preserve"> </w:t>
      </w:r>
      <w:r>
        <w:rPr>
          <w:rFonts w:ascii="Times New Roman" w:hAnsi="Times New Roman"/>
          <w:noProof/>
        </w:rPr>
        <w:t>10</w:t>
      </w:r>
      <w:r>
        <w:rPr>
          <w:rFonts w:ascii="Times New Roman" w:hAnsi="Times New Roman"/>
          <w:noProof/>
          <w:sz w:val="20"/>
        </w:rPr>
        <w:t xml:space="preserve"> </w:t>
      </w:r>
      <w:r>
        <w:rPr>
          <w:rFonts w:ascii="Times New Roman" w:hAnsi="Times New Roman"/>
          <w:noProof/>
        </w:rPr>
        <w:t>000</w:t>
      </w:r>
      <w:r>
        <w:rPr>
          <w:rFonts w:ascii="Times New Roman" w:hAnsi="Times New Roman"/>
          <w:noProof/>
          <w:sz w:val="20"/>
        </w:rPr>
        <w:t xml:space="preserve"> </w:t>
      </w:r>
      <w:r>
        <w:rPr>
          <w:rFonts w:ascii="Times New Roman" w:hAnsi="Times New Roman"/>
          <w:noProof/>
        </w:rPr>
        <w:t>000 EUR, înainte de a se angaja să finanțeze o operațiune.</w:t>
      </w:r>
    </w:p>
    <w:p w14:paraId="4DA82831" w14:textId="5318AE70" w:rsidR="00D924EA" w:rsidRDefault="00011DE9">
      <w:pPr>
        <w:pStyle w:val="P68B1DB1-ListParagraph34"/>
        <w:numPr>
          <w:ilvl w:val="0"/>
          <w:numId w:val="103"/>
        </w:numPr>
        <w:spacing w:line="259" w:lineRule="auto"/>
        <w:jc w:val="both"/>
        <w:rPr>
          <w:rFonts w:cs="Times New Roman"/>
          <w:noProof/>
        </w:rPr>
      </w:pPr>
      <w:r>
        <w:rPr>
          <w:noProof/>
        </w:rPr>
        <w:t xml:space="preserve">Cerințe pentru selectarea intermediarilor financiari: ICO selectează intermediarii financiari în mod deschis, transparent și nediscriminatoriu. Controalele privind absența conflictelor de interese în ceea ce privește intermediarii financiari au loc și se efectuează ex ante prin intermediul unui sistem informatic, cum ar fi Minerva, pentru toți actorii financiari implicați. </w:t>
      </w:r>
    </w:p>
    <w:p w14:paraId="471ABD89" w14:textId="77777777" w:rsidR="00D924EA" w:rsidRDefault="00011DE9">
      <w:pPr>
        <w:pStyle w:val="P68B1DB1-ListParagraph34"/>
        <w:numPr>
          <w:ilvl w:val="0"/>
          <w:numId w:val="103"/>
        </w:numPr>
        <w:spacing w:line="240" w:lineRule="auto"/>
        <w:jc w:val="both"/>
        <w:rPr>
          <w:rFonts w:cs="Times New Roman"/>
          <w:noProof/>
        </w:rPr>
      </w:pPr>
      <w:r>
        <w:rPr>
          <w:noProof/>
        </w:rPr>
        <w:t xml:space="preserve">Cerința de a semna acorduri de finanțare: ICO semnează acorduri de finanțare cu intermediarii financiari în conformitate cu cerințele-cheie care sunt furnizate ca anexă la acordul de punere în aplicare. Cerințele-cheie ale acordului de finanțare includ toate cerințele în temeiul cărora funcționează mecanismul, inclusiv: </w:t>
      </w:r>
    </w:p>
    <w:p w14:paraId="67E61386" w14:textId="77777777" w:rsidR="00D924EA" w:rsidRDefault="00011DE9">
      <w:pPr>
        <w:pStyle w:val="P68B1DB1-Normal29"/>
        <w:numPr>
          <w:ilvl w:val="0"/>
          <w:numId w:val="110"/>
        </w:numPr>
        <w:spacing w:line="240" w:lineRule="auto"/>
        <w:jc w:val="both"/>
        <w:rPr>
          <w:rFonts w:cs="Times New Roman"/>
          <w:noProof/>
        </w:rPr>
      </w:pPr>
      <w:r>
        <w:rPr>
          <w:noProof/>
        </w:rPr>
        <w:t xml:space="preserve">Obligația intermediarului financiar de a lua decizii în conformitate </w:t>
      </w:r>
      <w:r>
        <w:rPr>
          <w:i/>
          <w:noProof/>
        </w:rPr>
        <w:t>mutatis mutandis</w:t>
      </w:r>
      <w:r>
        <w:rPr>
          <w:noProof/>
        </w:rPr>
        <w:t xml:space="preserve"> cu cerințele de luare a deciziilor și de politică de investiții specificate mai sus, inclusiv în ceea ce privește respectarea principiului DNSH.</w:t>
      </w:r>
    </w:p>
    <w:p w14:paraId="0087E4F5" w14:textId="77777777" w:rsidR="00D924EA" w:rsidRDefault="00011DE9">
      <w:pPr>
        <w:pStyle w:val="P68B1DB1-Normal29"/>
        <w:numPr>
          <w:ilvl w:val="0"/>
          <w:numId w:val="110"/>
        </w:numPr>
        <w:spacing w:line="240" w:lineRule="auto"/>
        <w:jc w:val="both"/>
        <w:rPr>
          <w:rFonts w:cs="Times New Roman"/>
          <w:noProof/>
        </w:rPr>
      </w:pPr>
      <w:r>
        <w:rPr>
          <w:noProof/>
        </w:rPr>
        <w:t xml:space="preserve">Descrierea cadrului de monitorizare, audit și control pe care intermediarul financiar trebuie să îl instituie și care, </w:t>
      </w:r>
      <w:r>
        <w:rPr>
          <w:i/>
          <w:noProof/>
        </w:rPr>
        <w:t>mutatis mutandis</w:t>
      </w:r>
      <w:r>
        <w:rPr>
          <w:noProof/>
        </w:rPr>
        <w:t xml:space="preserve">, face obiectul tuturor cerințelor de monitorizare, audit și control specificate mai sus. </w:t>
      </w:r>
    </w:p>
    <w:p w14:paraId="2D0298C7" w14:textId="77777777" w:rsidR="00D924EA" w:rsidRDefault="00D924EA">
      <w:pPr>
        <w:rPr>
          <w:rFonts w:ascii="Times New Roman" w:hAnsi="Times New Roman"/>
          <w:noProof/>
          <w:u w:val="single"/>
        </w:rPr>
        <w:sectPr w:rsidR="00D924EA" w:rsidSect="00B528FB">
          <w:headerReference w:type="default" r:id="rId188"/>
          <w:footerReference w:type="default" r:id="rId189"/>
          <w:pgSz w:w="11907" w:h="16839"/>
          <w:pgMar w:top="1134" w:right="1134" w:bottom="1134" w:left="1134" w:header="567" w:footer="567" w:gutter="0"/>
          <w:cols w:space="720"/>
          <w:docGrid w:linePitch="360"/>
        </w:sectPr>
      </w:pPr>
    </w:p>
    <w:p w14:paraId="57ABE495" w14:textId="77777777" w:rsidR="00D924EA" w:rsidRDefault="00011DE9">
      <w:pPr>
        <w:pStyle w:val="P68B1DB1-Normal30"/>
        <w:rPr>
          <w:rFonts w:cs="Times New Roman"/>
          <w:noProof/>
        </w:rPr>
      </w:pPr>
      <w:r>
        <w:rPr>
          <w:noProof/>
        </w:rPr>
        <w:t>Investiția 7 (C13.I7) – Fondul Next Tech</w:t>
      </w:r>
    </w:p>
    <w:p w14:paraId="786CFD3F" w14:textId="1EB026B4" w:rsidR="00D924EA" w:rsidRDefault="00011DE9">
      <w:pPr>
        <w:pStyle w:val="P68B1DB1-LegalNumPar280"/>
        <w:numPr>
          <w:ilvl w:val="1"/>
          <w:numId w:val="0"/>
        </w:numPr>
        <w:spacing w:line="240" w:lineRule="auto"/>
        <w:jc w:val="both"/>
        <w:rPr>
          <w:rFonts w:cs="Times New Roman"/>
          <w:noProof/>
          <w:sz w:val="24"/>
          <w:szCs w:val="24"/>
        </w:rPr>
      </w:pPr>
      <w:r>
        <w:rPr>
          <w:noProof/>
          <w:sz w:val="24"/>
        </w:rPr>
        <w:t>Această măsură constă într-o investiție publică într-un mecanism, Fondul Next Tech, pentru a stimula investițiile private și a îmbunătăți accesul la finanțare în sectoarele strategice ale Spaniei legate de tranziția digitală și pentru a dezvolta piețele de capital în acest domeniu. Mecanismul funcționează prin acordarea de stimulente financiare prin coinvestiții cu alte fonduri, direct sau prin intermediari, sectorului privat, precum și entităților din sectorul public implicate în activități similare. Pe baza investițiilor MRR, mecanismul urmărește să ofere inițial o</w:t>
      </w:r>
      <w:r>
        <w:rPr>
          <w:noProof/>
          <w:sz w:val="20"/>
        </w:rPr>
        <w:t xml:space="preserve"> </w:t>
      </w:r>
      <w:r>
        <w:rPr>
          <w:noProof/>
          <w:sz w:val="24"/>
        </w:rPr>
        <w:t>finanțare de cel puțin</w:t>
      </w:r>
      <w:r>
        <w:rPr>
          <w:noProof/>
          <w:sz w:val="20"/>
        </w:rPr>
        <w:t xml:space="preserve"> </w:t>
      </w:r>
      <w:r>
        <w:rPr>
          <w:noProof/>
          <w:sz w:val="24"/>
        </w:rPr>
        <w:t>1</w:t>
      </w:r>
      <w:r>
        <w:rPr>
          <w:noProof/>
          <w:sz w:val="20"/>
        </w:rPr>
        <w:t xml:space="preserve"> </w:t>
      </w:r>
      <w:r>
        <w:rPr>
          <w:noProof/>
          <w:sz w:val="24"/>
        </w:rPr>
        <w:t xml:space="preserve">500 000 000 EUR. </w:t>
      </w:r>
    </w:p>
    <w:p w14:paraId="083C40EB" w14:textId="77777777" w:rsidR="00D924EA" w:rsidRDefault="00011DE9">
      <w:pPr>
        <w:pStyle w:val="P68B1DB1-LegalNumPar279"/>
        <w:numPr>
          <w:ilvl w:val="1"/>
          <w:numId w:val="0"/>
        </w:numPr>
        <w:spacing w:line="240" w:lineRule="auto"/>
        <w:jc w:val="both"/>
        <w:rPr>
          <w:rFonts w:cs="Times New Roman"/>
          <w:noProof/>
          <w:szCs w:val="24"/>
        </w:rPr>
      </w:pPr>
      <w:r>
        <w:rPr>
          <w:noProof/>
        </w:rPr>
        <w:t>Facilitatea este gestionată de Sociedad Española para la Transformación Tecnológica (SETT) în calitate de partener de implementare. Mecanismul include următoarele linii de produse:</w:t>
      </w:r>
    </w:p>
    <w:p w14:paraId="0A93218F" w14:textId="77777777" w:rsidR="00D924EA" w:rsidRDefault="00011DE9">
      <w:pPr>
        <w:pStyle w:val="P68B1DB1-ListParagraph34"/>
        <w:numPr>
          <w:ilvl w:val="0"/>
          <w:numId w:val="91"/>
        </w:numPr>
        <w:spacing w:line="259" w:lineRule="auto"/>
        <w:jc w:val="both"/>
        <w:rPr>
          <w:rFonts w:eastAsia="Times New Roman" w:cs="Times New Roman"/>
          <w:noProof/>
        </w:rPr>
      </w:pPr>
      <w:r>
        <w:rPr>
          <w:noProof/>
        </w:rPr>
        <w:t>Linie directă: această linie constă în furnizarea de investiții directe de capital sau cvasicapital prin intermediul SETT întreprinderilor constituite în Spania, indiferent de dimensiunea lor și de proprietatea asupra capitalului, care se angajează să realizeze noi proiecte tehnologice. Investițiile de capital efectuate de fond nu trebuie să conducă la situația în care cota de capital deținut de stat în cadrul unui beneficiar final să depășească 49 % din capitalul propriu total.</w:t>
      </w:r>
    </w:p>
    <w:p w14:paraId="497B288A" w14:textId="77777777" w:rsidR="00D924EA" w:rsidRDefault="00011DE9">
      <w:pPr>
        <w:pStyle w:val="P68B1DB1-ListParagraph34"/>
        <w:numPr>
          <w:ilvl w:val="0"/>
          <w:numId w:val="91"/>
        </w:numPr>
        <w:spacing w:line="259" w:lineRule="auto"/>
        <w:jc w:val="both"/>
        <w:rPr>
          <w:rFonts w:eastAsia="Times New Roman" w:cs="Times New Roman"/>
          <w:noProof/>
        </w:rPr>
      </w:pPr>
      <w:r>
        <w:rPr>
          <w:noProof/>
        </w:rPr>
        <w:t>Linie indirectă: această linie bugetară constă în transferul de fonduri către instrumente de investiții existente gestionate de intermediari financiari privați, inclusiv fonduri cu capital de risc, care efectuează operațiuni de investiții de capital și/sau cvasicapital în domeniile tehnologice vizate de fond. Participarea maximă a mecanismului nu depășește 49 % din niciun fond sau alt vehicul investițional și nu determină ca ponderea capitalurilor proprii deținute de stat într-un fond sau vehicul investițional să depășească 49 % din totalul capitalurilor proprii.</w:t>
      </w:r>
    </w:p>
    <w:p w14:paraId="14CF1BD0" w14:textId="77777777" w:rsidR="00D924EA" w:rsidRDefault="00011DE9">
      <w:pPr>
        <w:pStyle w:val="P68B1DB1-Normal29"/>
        <w:spacing w:line="240" w:lineRule="auto"/>
        <w:jc w:val="both"/>
        <w:rPr>
          <w:rFonts w:cs="Times New Roman"/>
          <w:noProof/>
        </w:rPr>
      </w:pPr>
      <w:r>
        <w:rPr>
          <w:noProof/>
        </w:rPr>
        <w:t>Pentru a pune în aplicare investiția în facilitate, Spania și SETT semnează un acord de punere în aplicare sau Spania aprobă instrumentul juridic corespunzător și documentele asociate care includ următorul conținut:</w:t>
      </w:r>
    </w:p>
    <w:p w14:paraId="686AC0B1" w14:textId="77777777" w:rsidR="00D924EA" w:rsidRDefault="00011DE9">
      <w:pPr>
        <w:pStyle w:val="P68B1DB1-ListParagraph34"/>
        <w:numPr>
          <w:ilvl w:val="0"/>
          <w:numId w:val="102"/>
        </w:numPr>
        <w:spacing w:line="259" w:lineRule="auto"/>
        <w:jc w:val="both"/>
        <w:rPr>
          <w:rFonts w:cs="Times New Roman"/>
          <w:noProof/>
        </w:rPr>
      </w:pPr>
      <w:r>
        <w:rPr>
          <w:noProof/>
        </w:rPr>
        <w:t>Descrierea procesului decizional al instrumentului: În ceea ce privește linia directă, decizia inițială de investiție a facilității este luată de un comitet pentru investiții sau de un alt organ de conducere echivalent relevant și este aprobată cu o majoritate de voturi de către membri independenți de guvernul spaniol. În cazul liniei directe, decizia finală de investiții a facilității se limitează la aprobarea (fără modificări) sau la exercitarea unui drept de veto cu privire la o decizie de investiții propusă de comitetul pentru investiții sau de organul de conducere echivalent relevant. Pentru investițiile intermediate prin linia indirectă, decizia finală de investiție este luată de intermediari.</w:t>
      </w:r>
    </w:p>
    <w:p w14:paraId="626F471A" w14:textId="77777777" w:rsidR="00D924EA" w:rsidRDefault="00011DE9">
      <w:pPr>
        <w:pStyle w:val="P68B1DB1-LegalNumPar78"/>
        <w:numPr>
          <w:ilvl w:val="0"/>
          <w:numId w:val="102"/>
        </w:numPr>
        <w:jc w:val="both"/>
        <w:rPr>
          <w:rFonts w:cs="Times New Roman"/>
          <w:noProof/>
          <w:szCs w:val="24"/>
        </w:rPr>
      </w:pPr>
      <w:r>
        <w:rPr>
          <w:noProof/>
        </w:rPr>
        <w:t>Cerințele-cheie ale politicii de investiții asociate,</w:t>
      </w:r>
      <w:r>
        <w:rPr>
          <w:b/>
          <w:noProof/>
        </w:rPr>
        <w:t xml:space="preserve"> </w:t>
      </w:r>
      <w:r>
        <w:rPr>
          <w:noProof/>
        </w:rPr>
        <w:t>care includ:</w:t>
      </w:r>
    </w:p>
    <w:p w14:paraId="62079380" w14:textId="76A27679" w:rsidR="00D924EA" w:rsidRDefault="00011DE9">
      <w:pPr>
        <w:pStyle w:val="P68B1DB1-LegalNumPar78"/>
        <w:numPr>
          <w:ilvl w:val="1"/>
          <w:numId w:val="108"/>
        </w:numPr>
        <w:jc w:val="both"/>
        <w:rPr>
          <w:rFonts w:cs="Times New Roman"/>
          <w:noProof/>
          <w:szCs w:val="24"/>
        </w:rPr>
      </w:pPr>
      <w:r>
        <w:rPr>
          <w:noProof/>
        </w:rPr>
        <w:t>Descrierea produsului (produselor) financiar (e) și a beneficiarilor finali eligibili, în conformitate cu descrierea măsurii.</w:t>
      </w:r>
      <w:r w:rsidR="00971820">
        <w:rPr>
          <w:noProof/>
        </w:rPr>
        <w:t xml:space="preserve"> </w:t>
      </w:r>
      <w:r>
        <w:rPr>
          <w:noProof/>
        </w:rPr>
        <w:t xml:space="preserve"> </w:t>
      </w:r>
    </w:p>
    <w:p w14:paraId="57B27448" w14:textId="77777777" w:rsidR="00D924EA" w:rsidRDefault="00011DE9">
      <w:pPr>
        <w:pStyle w:val="P68B1DB1-LegalNumPar78"/>
        <w:numPr>
          <w:ilvl w:val="1"/>
          <w:numId w:val="108"/>
        </w:numPr>
        <w:jc w:val="both"/>
        <w:rPr>
          <w:rFonts w:cs="Times New Roman"/>
          <w:noProof/>
          <w:szCs w:val="24"/>
        </w:rPr>
      </w:pPr>
      <w:r>
        <w:rPr>
          <w:noProof/>
        </w:rPr>
        <w:t>Cerința ca toate investițiile care beneficiază de sprijin să fie viabile din punct de vedere economic.</w:t>
      </w:r>
    </w:p>
    <w:p w14:paraId="7423E5BD" w14:textId="77777777" w:rsidR="00D924EA" w:rsidRDefault="00011DE9">
      <w:pPr>
        <w:pStyle w:val="P68B1DB1-LegalNumPar78"/>
        <w:numPr>
          <w:ilvl w:val="1"/>
          <w:numId w:val="108"/>
        </w:numPr>
        <w:jc w:val="both"/>
        <w:rPr>
          <w:rFonts w:cs="Times New Roman"/>
          <w:noProof/>
          <w:szCs w:val="24"/>
        </w:rPr>
      </w:pPr>
      <w:r>
        <w:rPr>
          <w:noProof/>
        </w:rPr>
        <w:t>Interdicția de a refinanța orice împrumut restant.</w:t>
      </w:r>
    </w:p>
    <w:p w14:paraId="20317FF8" w14:textId="77777777" w:rsidR="00D924EA" w:rsidRDefault="00011DE9">
      <w:pPr>
        <w:pStyle w:val="P68B1DB1-LegalNumPar78"/>
        <w:numPr>
          <w:ilvl w:val="1"/>
          <w:numId w:val="108"/>
        </w:numPr>
        <w:jc w:val="both"/>
        <w:rPr>
          <w:rFonts w:eastAsia="Times New Roman" w:cs="Times New Roman"/>
          <w:noProof/>
          <w:szCs w:val="24"/>
        </w:rPr>
      </w:pPr>
      <w:r>
        <w:rPr>
          <w:noProof/>
        </w:rPr>
        <w:t xml:space="preserve">Cerința de a respecta principiul de „a nu prejudicia în mod semnificativ”, astfel cum este prevăzută în Orientările tehnice privind principiul de „a nu prejudicia în mod semnificativ” (2021/C58/01), în special: </w:t>
      </w:r>
    </w:p>
    <w:p w14:paraId="26070DC2" w14:textId="45F66D34" w:rsidR="00D924EA" w:rsidRDefault="00011DE9">
      <w:pPr>
        <w:pStyle w:val="LegalNumPar3"/>
        <w:spacing w:line="240" w:lineRule="auto"/>
        <w:jc w:val="both"/>
        <w:rPr>
          <w:rStyle w:val="normaltextrun"/>
          <w:rFonts w:ascii="Times New Roman" w:eastAsiaTheme="minorEastAsia" w:hAnsi="Times New Roman" w:cs="Times New Roman"/>
          <w:noProof/>
          <w:sz w:val="24"/>
          <w:szCs w:val="24"/>
        </w:rPr>
      </w:pPr>
      <w:r>
        <w:rPr>
          <w:rStyle w:val="FootnoteReference"/>
          <w:rFonts w:ascii="Times New Roman" w:eastAsiaTheme="minorEastAsia" w:hAnsi="Times New Roman" w:cs="Times New Roman"/>
          <w:noProof/>
        </w:rPr>
        <w:t xml:space="preserve">În </w:t>
      </w:r>
      <w:r>
        <w:rPr>
          <w:rStyle w:val="normaltextrun"/>
          <w:rFonts w:ascii="Times New Roman" w:hAnsi="Times New Roman"/>
          <w:noProof/>
          <w:sz w:val="24"/>
          <w:szCs w:val="24"/>
        </w:rPr>
        <w:t>cazul capitalului propriu, al cvasicapitalului, al obligațiunilor corporative sau al instrumentelor echivalente: politica de investiții impune întreprinderilor să adopte planuri de tranziție verde în conformitate cu definiția prevăzută la articolul 19a alineatul (2) litera (a) punctul (iii) din Directiva 2013/34/UE în cazul</w:t>
      </w:r>
      <w:r>
        <w:rPr>
          <w:rStyle w:val="FootnoteReference"/>
          <w:rFonts w:ascii="Times New Roman" w:eastAsiaTheme="minorEastAsia" w:hAnsi="Times New Roman" w:cs="Times New Roman"/>
          <w:noProof/>
        </w:rPr>
        <w:footnoteReference w:id="74"/>
      </w:r>
      <w:r>
        <w:rPr>
          <w:rFonts w:ascii="Times New Roman" w:hAnsi="Times New Roman"/>
          <w:noProof/>
          <w:sz w:val="24"/>
          <w:szCs w:val="24"/>
        </w:rPr>
        <w:t xml:space="preserve"> în care peste 50 % din veniturile lor directe din exercițiul financiar precedent provin din următoarea listă de activități și active: (I) activitățile și activele legate de combustibilii fosili, inclusiv utilizarea în aval</w:t>
      </w:r>
      <w:r>
        <w:rPr>
          <w:rStyle w:val="FootnoteReference"/>
          <w:rFonts w:ascii="Times New Roman" w:eastAsiaTheme="minorEastAsia" w:hAnsi="Times New Roman" w:cs="Times New Roman"/>
          <w:noProof/>
        </w:rPr>
        <w:footnoteReference w:id="75"/>
      </w:r>
      <w:r>
        <w:rPr>
          <w:rFonts w:ascii="Times New Roman" w:hAnsi="Times New Roman"/>
          <w:noProof/>
          <w:sz w:val="24"/>
          <w:szCs w:val="24"/>
        </w:rPr>
        <w:t>, (ii)</w:t>
      </w:r>
      <w:r w:rsidR="00C202D2">
        <w:rPr>
          <w:rFonts w:ascii="Times New Roman" w:hAnsi="Times New Roman"/>
          <w:noProof/>
          <w:sz w:val="24"/>
          <w:szCs w:val="24"/>
        </w:rPr>
        <w:t> </w:t>
      </w:r>
      <w:r>
        <w:rPr>
          <w:rFonts w:ascii="Times New Roman" w:hAnsi="Times New Roman"/>
          <w:noProof/>
          <w:sz w:val="24"/>
          <w:szCs w:val="24"/>
        </w:rPr>
        <w:t>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Theme="minorEastAsia" w:hAnsi="Times New Roman" w:cs="Times New Roman"/>
          <w:noProof/>
        </w:rPr>
        <w:footnoteReference w:id="76"/>
      </w:r>
      <w:r>
        <w:rPr>
          <w:rStyle w:val="normaltextrun"/>
          <w:rFonts w:ascii="Times New Roman" w:hAnsi="Times New Roman"/>
          <w:noProof/>
          <w:sz w:val="24"/>
          <w:szCs w:val="24"/>
        </w:rPr>
        <w:t>, (iii)</w:t>
      </w:r>
      <w:r w:rsidR="00C202D2">
        <w:rPr>
          <w:rStyle w:val="normaltextrun"/>
          <w:rFonts w:ascii="Times New Roman" w:hAnsi="Times New Roman"/>
          <w:noProof/>
          <w:sz w:val="24"/>
          <w:szCs w:val="24"/>
        </w:rPr>
        <w:t> </w:t>
      </w:r>
      <w:r>
        <w:rPr>
          <w:rStyle w:val="normaltextrun"/>
          <w:rFonts w:ascii="Times New Roman" w:hAnsi="Times New Roman"/>
          <w:noProof/>
          <w:sz w:val="24"/>
          <w:szCs w:val="24"/>
        </w:rPr>
        <w:t>activitățile și activele legate de depozitele de deșeuri, incineratoare</w:t>
      </w:r>
      <w:r>
        <w:rPr>
          <w:rStyle w:val="FootnoteReference"/>
          <w:rFonts w:ascii="Times New Roman" w:eastAsiaTheme="minorEastAsia" w:hAnsi="Times New Roman" w:cs="Times New Roman"/>
          <w:noProof/>
        </w:rPr>
        <w:footnoteReference w:id="77"/>
      </w:r>
      <w:r>
        <w:rPr>
          <w:rStyle w:val="normaltextrun"/>
          <w:rFonts w:ascii="Times New Roman" w:hAnsi="Times New Roman"/>
          <w:noProof/>
          <w:sz w:val="24"/>
          <w:szCs w:val="24"/>
        </w:rPr>
        <w:t xml:space="preserve"> și stațiile de tratare mecano-biologică</w:t>
      </w:r>
      <w:r>
        <w:rPr>
          <w:rStyle w:val="FootnoteReference"/>
          <w:rFonts w:ascii="Times New Roman" w:eastAsiaTheme="minorEastAsia" w:hAnsi="Times New Roman" w:cs="Times New Roman"/>
          <w:noProof/>
        </w:rPr>
        <w:footnoteReference w:id="78"/>
      </w:r>
      <w:r>
        <w:rPr>
          <w:rStyle w:val="normaltextrun"/>
          <w:rFonts w:ascii="Times New Roman" w:hAnsi="Times New Roman"/>
          <w:noProof/>
          <w:sz w:val="24"/>
          <w:szCs w:val="24"/>
        </w:rPr>
        <w:t>.</w:t>
      </w:r>
      <w:r w:rsidR="00971820">
        <w:rPr>
          <w:rStyle w:val="FootnoteReference"/>
          <w:rFonts w:ascii="Times New Roman" w:hAnsi="Times New Roman"/>
          <w:noProof/>
        </w:rPr>
        <w:t xml:space="preserve"> </w:t>
      </w:r>
    </w:p>
    <w:p w14:paraId="77A79BF2" w14:textId="77777777" w:rsidR="00D924EA" w:rsidRDefault="00011DE9">
      <w:pPr>
        <w:pStyle w:val="P68B1DB1-LegalNumPar335"/>
        <w:numPr>
          <w:ilvl w:val="2"/>
          <w:numId w:val="102"/>
        </w:numPr>
        <w:spacing w:line="240" w:lineRule="auto"/>
        <w:rPr>
          <w:rFonts w:cs="Times New Roman"/>
          <w:noProof/>
          <w:szCs w:val="24"/>
        </w:rPr>
      </w:pPr>
      <w:r>
        <w:rPr>
          <w:noProof/>
        </w:rPr>
        <w:t>În plus, politica de investiții impune</w:t>
      </w:r>
      <w:r>
        <w:rPr>
          <w:b/>
          <w:noProof/>
        </w:rPr>
        <w:t xml:space="preserve"> </w:t>
      </w:r>
      <w:r>
        <w:rPr>
          <w:noProof/>
        </w:rPr>
        <w:t>respectarea legislației UE și naționale relevante în materie de mediu de către beneficiarii finali ai facilității.</w:t>
      </w:r>
    </w:p>
    <w:p w14:paraId="74169643" w14:textId="77777777" w:rsidR="00D924EA" w:rsidRDefault="00011DE9">
      <w:pPr>
        <w:pStyle w:val="P68B1DB1-LegalNumPar78"/>
        <w:numPr>
          <w:ilvl w:val="1"/>
          <w:numId w:val="108"/>
        </w:numPr>
        <w:spacing w:line="240" w:lineRule="auto"/>
        <w:jc w:val="both"/>
        <w:rPr>
          <w:rFonts w:cs="Times New Roman"/>
          <w:noProof/>
          <w:szCs w:val="24"/>
        </w:rPr>
      </w:pPr>
      <w:r>
        <w:rPr>
          <w:noProof/>
        </w:rPr>
        <w:t>Cerința ca beneficiarii finali ai mecanismului să nu primească sprijin din partea altor instrumente ale Uniunii pentru a acoperi aceleași costuri.</w:t>
      </w:r>
    </w:p>
    <w:p w14:paraId="218F7237" w14:textId="77777777" w:rsidR="00D924EA" w:rsidRDefault="00011DE9">
      <w:pPr>
        <w:pStyle w:val="P68B1DB1-LegalNumPar78"/>
        <w:numPr>
          <w:ilvl w:val="0"/>
          <w:numId w:val="102"/>
        </w:numPr>
        <w:spacing w:line="240" w:lineRule="auto"/>
        <w:jc w:val="both"/>
        <w:rPr>
          <w:rFonts w:cs="Times New Roman"/>
          <w:noProof/>
          <w:szCs w:val="24"/>
        </w:rPr>
      </w:pPr>
      <w:r>
        <w:rPr>
          <w:noProof/>
        </w:rPr>
        <w:t>Suma care face obiectul acordului de punere în aplicare și/sau instrumentul juridic și documentele asociate de instituire a mecanismului, structura comisioanelor pentru partenerul de implementare și cerința de a reinvesti orice restituiri în conformitate cu politica de investiții a mecanismului, cu excepția cazului în care acestea sunt utilizate pentru a asigura rambursarea împrumuturilor din cadrul Mecanismului de redresare și reziliență.</w:t>
      </w:r>
    </w:p>
    <w:p w14:paraId="171D74C9" w14:textId="77777777" w:rsidR="00D924EA" w:rsidRDefault="00011DE9">
      <w:pPr>
        <w:pStyle w:val="P68B1DB1-ListParagraph34"/>
        <w:numPr>
          <w:ilvl w:val="0"/>
          <w:numId w:val="102"/>
        </w:numPr>
        <w:spacing w:line="240" w:lineRule="auto"/>
        <w:jc w:val="both"/>
        <w:rPr>
          <w:rFonts w:cs="Times New Roman"/>
          <w:noProof/>
        </w:rPr>
      </w:pPr>
      <w:r>
        <w:rPr>
          <w:noProof/>
        </w:rPr>
        <w:t xml:space="preserve">Cerințe de monitorizare, audit și control, inclusiv: </w:t>
      </w:r>
    </w:p>
    <w:p w14:paraId="6015FD76" w14:textId="77777777" w:rsidR="00D924EA" w:rsidRDefault="00011DE9">
      <w:pPr>
        <w:pStyle w:val="P68B1DB1-ListParagraph34"/>
        <w:numPr>
          <w:ilvl w:val="1"/>
          <w:numId w:val="109"/>
        </w:numPr>
        <w:spacing w:line="240" w:lineRule="auto"/>
        <w:jc w:val="both"/>
        <w:rPr>
          <w:rFonts w:cs="Times New Roman"/>
          <w:noProof/>
        </w:rPr>
      </w:pPr>
      <w:r>
        <w:rPr>
          <w:noProof/>
        </w:rPr>
        <w:t>Descrierea sistemului de monitorizare al partenerului de implementare pentru raportarea cu privire la investițiile mobilizate.</w:t>
      </w:r>
    </w:p>
    <w:p w14:paraId="46A98BC8" w14:textId="77777777" w:rsidR="00D924EA" w:rsidRDefault="00011DE9">
      <w:pPr>
        <w:pStyle w:val="P68B1DB1-Normal29"/>
        <w:numPr>
          <w:ilvl w:val="1"/>
          <w:numId w:val="109"/>
        </w:numPr>
        <w:spacing w:line="240" w:lineRule="auto"/>
        <w:jc w:val="both"/>
        <w:rPr>
          <w:rFonts w:cs="Times New Roman"/>
          <w:noProof/>
        </w:rPr>
      </w:pPr>
      <w:r>
        <w:rPr>
          <w:noProof/>
        </w:rPr>
        <w:t xml:space="preserve">Descrierea procedurilor partenerului de implementare care vor asigura prevenirea, detectarea și corectarea fraudei, a corupției și a conflictelor de interese. </w:t>
      </w:r>
    </w:p>
    <w:p w14:paraId="7164516B" w14:textId="525F5D89" w:rsidR="00D924EA" w:rsidRDefault="00011DE9">
      <w:pPr>
        <w:pStyle w:val="P68B1DB1-Normal29"/>
        <w:numPr>
          <w:ilvl w:val="1"/>
          <w:numId w:val="109"/>
        </w:numPr>
        <w:spacing w:line="240" w:lineRule="auto"/>
        <w:jc w:val="both"/>
        <w:rPr>
          <w:rFonts w:cs="Times New Roman"/>
          <w:noProof/>
        </w:rPr>
      </w:pPr>
      <w:r>
        <w:rPr>
          <w:noProof/>
        </w:rPr>
        <w:t>Obligația de a verifica eligibilitatea fiecărei operațiuni în conformitate cu cerințele prevăzute în acordul de punere în aplicare și/sau în instrumentul juridic și documentele conexe de instituire a instrumentului, inclusiv prin utilizarea unei declarații pe proprie răspundere pentru operațiunile cu o valoare mai mică de</w:t>
      </w:r>
      <w:r>
        <w:rPr>
          <w:noProof/>
          <w:sz w:val="20"/>
        </w:rPr>
        <w:t xml:space="preserve"> </w:t>
      </w:r>
      <w:r>
        <w:rPr>
          <w:noProof/>
        </w:rPr>
        <w:t>10</w:t>
      </w:r>
      <w:r>
        <w:rPr>
          <w:noProof/>
          <w:sz w:val="20"/>
        </w:rPr>
        <w:t xml:space="preserve"> </w:t>
      </w:r>
      <w:r>
        <w:rPr>
          <w:noProof/>
        </w:rPr>
        <w:t>000</w:t>
      </w:r>
      <w:r>
        <w:rPr>
          <w:noProof/>
          <w:sz w:val="20"/>
        </w:rPr>
        <w:t xml:space="preserve"> </w:t>
      </w:r>
      <w:r>
        <w:rPr>
          <w:noProof/>
        </w:rPr>
        <w:t>000 EUR, înainte de a se angaja să finanțeze o operațiune.</w:t>
      </w:r>
    </w:p>
    <w:p w14:paraId="309466F0" w14:textId="2F943600" w:rsidR="00D924EA" w:rsidRDefault="00011DE9">
      <w:pPr>
        <w:pStyle w:val="P68B1DB1-Normal29"/>
        <w:numPr>
          <w:ilvl w:val="1"/>
          <w:numId w:val="109"/>
        </w:numPr>
        <w:spacing w:after="200" w:line="240" w:lineRule="auto"/>
        <w:jc w:val="both"/>
        <w:rPr>
          <w:rFonts w:cs="Times New Roman"/>
          <w:noProof/>
        </w:rPr>
      </w:pPr>
      <w:r>
        <w:rPr>
          <w:noProof/>
        </w:rPr>
        <w:t>Obligația de a efectua audituri ex post bazate pe riscuri, în conformitate cu un plan de audit al SETT. Aceste audituri verifică i) dacă sistemele de control sunt eficace, inclusiv detectarea fraudei, a corupției și a conflictelor de interese; respectarea principiului DNSH, a normelor privind ajutoarele de stat și a cerințelor privind ținta digitală; și iii) respectarea cerinței ca intermediarul să verifice dacă beneficiarul final prezintă o declarație responsabilă pentru a verifica dacă același cost este acoperit de un alt instrument al Uniunii. Auditurile verifică, de asemenea, legalitatea tranzacțiilor și respectarea condițiilor din acordul de punere în aplicare aplicabil și/sau din instrumentul juridic și documentele conexe de instituire a mecanismului și a acordurilor de finanțare, inclusiv prin utilizarea unei declarații pe propria răspundere pentru operațiunile cu o valoare mai mică de 10 000 000 EUR, înainte de a se angaja să finanțeze o operațiune.</w:t>
      </w:r>
    </w:p>
    <w:p w14:paraId="483DE2C6" w14:textId="34286742" w:rsidR="00D924EA" w:rsidRDefault="00011DE9">
      <w:pPr>
        <w:numPr>
          <w:ilvl w:val="0"/>
          <w:numId w:val="102"/>
        </w:numPr>
        <w:spacing w:line="240" w:lineRule="auto"/>
        <w:jc w:val="both"/>
        <w:rPr>
          <w:rFonts w:ascii="Times New Roman" w:hAnsi="Times New Roman" w:cs="Times New Roman"/>
          <w:noProof/>
        </w:rPr>
      </w:pPr>
      <w:r>
        <w:rPr>
          <w:rFonts w:ascii="Times New Roman" w:hAnsi="Times New Roman"/>
          <w:noProof/>
        </w:rPr>
        <w:t>Cerințe pentru investițiile digitale efectuate de partenerul de implementare: cel puțin</w:t>
      </w:r>
      <w:r>
        <w:rPr>
          <w:rFonts w:ascii="Times New Roman" w:hAnsi="Times New Roman"/>
          <w:noProof/>
          <w:sz w:val="20"/>
          <w:szCs w:val="20"/>
        </w:rPr>
        <w:t xml:space="preserve"> </w:t>
      </w:r>
      <w:r>
        <w:rPr>
          <w:rFonts w:ascii="Times New Roman" w:hAnsi="Times New Roman"/>
          <w:noProof/>
        </w:rPr>
        <w:t>1 500</w:t>
      </w:r>
      <w:r w:rsidR="00C202D2">
        <w:rPr>
          <w:rFonts w:ascii="Times New Roman" w:hAnsi="Times New Roman"/>
          <w:noProof/>
          <w:sz w:val="20"/>
          <w:szCs w:val="20"/>
        </w:rPr>
        <w:t> </w:t>
      </w:r>
      <w:r>
        <w:rPr>
          <w:rFonts w:ascii="Times New Roman" w:hAnsi="Times New Roman"/>
          <w:noProof/>
        </w:rPr>
        <w:t>000 000</w:t>
      </w:r>
      <w:r>
        <w:rPr>
          <w:rFonts w:ascii="Times New Roman" w:hAnsi="Times New Roman"/>
          <w:noProof/>
          <w:sz w:val="20"/>
          <w:szCs w:val="20"/>
        </w:rPr>
        <w:t xml:space="preserve"> </w:t>
      </w:r>
      <w:r>
        <w:rPr>
          <w:rFonts w:ascii="Times New Roman" w:hAnsi="Times New Roman"/>
          <w:noProof/>
        </w:rPr>
        <w:t>EUR din investiția MRR în mecanism contribuie la obiectivele legate de schimbările digitale, în conformitate cu anexa VII la Regulamentul privind MRR.</w:t>
      </w:r>
      <w:r>
        <w:rPr>
          <w:rStyle w:val="FootnoteReference"/>
          <w:rFonts w:ascii="Times New Roman" w:hAnsi="Times New Roman" w:cs="Times New Roman"/>
          <w:noProof/>
        </w:rPr>
        <w:footnoteReference w:id="79"/>
      </w:r>
      <w:r>
        <w:rPr>
          <w:rFonts w:ascii="Times New Roman" w:hAnsi="Times New Roman"/>
          <w:noProof/>
        </w:rPr>
        <w:t xml:space="preserve"> </w:t>
      </w:r>
    </w:p>
    <w:p w14:paraId="09319AC1" w14:textId="0F174726" w:rsidR="00D924EA" w:rsidRDefault="00011DE9">
      <w:pPr>
        <w:pStyle w:val="P68B1DB1-ListParagraph34"/>
        <w:numPr>
          <w:ilvl w:val="0"/>
          <w:numId w:val="102"/>
        </w:numPr>
        <w:spacing w:line="259" w:lineRule="auto"/>
        <w:jc w:val="both"/>
        <w:rPr>
          <w:rFonts w:cs="Times New Roman"/>
          <w:noProof/>
        </w:rPr>
      </w:pPr>
      <w:r>
        <w:rPr>
          <w:noProof/>
        </w:rPr>
        <w:t xml:space="preserve">Cerințe pentru selectarea intermediarilor financiari: SETT selectează intermediarii financiari în mod deschis, transparent și nediscriminatoriu. Controalele privind absența conflictelor de interese în ceea ce privește intermediarii financiari au loc și se efectuează ex ante prin intermediul unui sistem informatic, cum ar fi Minerva, pentru toți actorii financiari implicați. </w:t>
      </w:r>
    </w:p>
    <w:p w14:paraId="4F0A82E7" w14:textId="77777777" w:rsidR="00D924EA" w:rsidRDefault="00011DE9">
      <w:pPr>
        <w:pStyle w:val="P68B1DB1-Normal29"/>
        <w:numPr>
          <w:ilvl w:val="0"/>
          <w:numId w:val="102"/>
        </w:numPr>
        <w:spacing w:line="240" w:lineRule="auto"/>
        <w:jc w:val="both"/>
        <w:rPr>
          <w:rFonts w:cs="Times New Roman"/>
          <w:noProof/>
        </w:rPr>
      </w:pPr>
      <w:r>
        <w:rPr>
          <w:noProof/>
        </w:rPr>
        <w:t xml:space="preserve">Cerința de a semna acorduri de finanțare: SETT semnează acorduri de finanțare cu intermediarii financiari în conformitate cu cerințele-cheie care sunt furnizate ca anexă la acordul de punere în aplicare sau la instrumentul juridic și documentele asociate de instituire a mecanismului. Cerințele-cheie ale acordului de finanțare includ toate cerințele în temeiul cărora funcționează mecanismul, inclusiv: </w:t>
      </w:r>
    </w:p>
    <w:p w14:paraId="614CB8E0" w14:textId="77777777" w:rsidR="00D924EA" w:rsidRDefault="00011DE9">
      <w:pPr>
        <w:pStyle w:val="P68B1DB1-Normal29"/>
        <w:numPr>
          <w:ilvl w:val="1"/>
          <w:numId w:val="102"/>
        </w:numPr>
        <w:spacing w:line="240" w:lineRule="auto"/>
        <w:jc w:val="both"/>
        <w:rPr>
          <w:rFonts w:cs="Times New Roman"/>
          <w:noProof/>
        </w:rPr>
      </w:pPr>
      <w:r>
        <w:rPr>
          <w:noProof/>
        </w:rPr>
        <w:t>Obligația intermediarului financiar de a lua decizii în conformitate mutatis mutandis cu cerințele de luare a deciziilor și de politică de investiții specificate mai sus, inclusiv în ceea ce privește respectarea principiului DNSH.</w:t>
      </w:r>
    </w:p>
    <w:p w14:paraId="575D44DD" w14:textId="77777777" w:rsidR="00D924EA" w:rsidRDefault="00011DE9">
      <w:pPr>
        <w:pStyle w:val="P68B1DB1-Normal29"/>
        <w:numPr>
          <w:ilvl w:val="1"/>
          <w:numId w:val="102"/>
        </w:numPr>
        <w:spacing w:line="240" w:lineRule="auto"/>
        <w:jc w:val="both"/>
        <w:rPr>
          <w:rFonts w:eastAsia="Times New Roman" w:cs="Times New Roman"/>
          <w:noProof/>
        </w:rPr>
      </w:pPr>
      <w:r>
        <w:rPr>
          <w:noProof/>
        </w:rPr>
        <w:t xml:space="preserve">Descrierea cadrului de monitorizare, audit și control pe care intermediarul financiar trebuie să îl instituie și care, mutatis mutandis, face obiectul tuturor cerințelor de monitorizare, audit și control specificate mai sus. </w:t>
      </w:r>
    </w:p>
    <w:p w14:paraId="7BC407A6" w14:textId="77777777" w:rsidR="00D924EA" w:rsidRDefault="00011DE9">
      <w:pPr>
        <w:jc w:val="both"/>
        <w:rPr>
          <w:rFonts w:ascii="Times New Roman" w:hAnsi="Times New Roman" w:cs="Times New Roman"/>
          <w:noProof/>
          <w:u w:val="single"/>
        </w:rPr>
      </w:pPr>
      <w:r>
        <w:rPr>
          <w:noProof/>
        </w:rPr>
        <w:br w:type="page"/>
      </w:r>
      <w:r>
        <w:rPr>
          <w:rFonts w:ascii="Times New Roman" w:hAnsi="Times New Roman"/>
          <w:noProof/>
          <w:u w:val="single"/>
        </w:rPr>
        <w:t>Investiția 8 (C13.I8) – Fond de coinvestiții (FOCO)</w:t>
      </w:r>
    </w:p>
    <w:p w14:paraId="2A666823" w14:textId="77777777" w:rsidR="00D924EA" w:rsidRDefault="00011DE9">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Această măsură constă într-o investiție publică într-un mecanism, Fondul de coinvestiții, pentru a stimula investițiile private și a îmbunătăți accesul la finanțare în sectoarele strategice ale Spaniei, în special în cele legate de tranziția verde și cea digitală și de PERTE-uri, precum și pentru a dezvolta piețele de capital în aceste domenii. Mecanismul respectiv funcționează prin acordarea de împrumuturi, investiții de capital și cvasicapital prin coinvestiții cu investitori instituționali străini și multilaterali terți, direct sau prin intermediari către sectorul privat. Pe baza investițiilor MRR, mecanismul urmărește să ofere inițial o finanțare de cel puțin 2 000 000 000 EUR.</w:t>
      </w:r>
    </w:p>
    <w:p w14:paraId="35B5D1DE" w14:textId="77777777" w:rsidR="00D924EA" w:rsidRDefault="00011DE9">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 xml:space="preserve">Facilitatea este gestionată de Compañía Española de Financiación del Desarrollo (COFIDES) în calitate de partener de implementare. Facilitatea include următoarele linii de produse: </w:t>
      </w:r>
    </w:p>
    <w:p w14:paraId="1B41129C" w14:textId="77777777" w:rsidR="00D924EA" w:rsidRDefault="00011DE9">
      <w:pPr>
        <w:pStyle w:val="P68B1DB1-ListParagraph34"/>
        <w:numPr>
          <w:ilvl w:val="0"/>
          <w:numId w:val="72"/>
        </w:numPr>
        <w:spacing w:line="259" w:lineRule="auto"/>
        <w:jc w:val="both"/>
        <w:rPr>
          <w:rFonts w:cs="Times New Roman"/>
          <w:noProof/>
        </w:rPr>
      </w:pPr>
      <w:r>
        <w:rPr>
          <w:noProof/>
        </w:rPr>
        <w:t>Linie directă: Mecanismul coinvestește direct, împreună cu investitori instituționali străini terți, în întreprinderi care s-au angajat să desfășoare noi proiecte în sectoarele economice strategice ale Spaniei, inclusiv în cele legate de tranziția verde și cea digitală și de PERTE-uri. Mecanismul este în măsură să investească utilizând instrumente de împrumut, de capital și de cvasicapital. Investițiile de capital efectuate de fond nu trebuie să conducă la situația în care ponderea capitalurilor proprii deținute de stat în cadrul unui beneficiar final să depășească 49 % din totalul capitalurilor proprii.</w:t>
      </w:r>
    </w:p>
    <w:p w14:paraId="2A739FCC" w14:textId="77777777" w:rsidR="00D924EA" w:rsidRDefault="00011DE9">
      <w:pPr>
        <w:pStyle w:val="P68B1DB1-ListParagraph34"/>
        <w:numPr>
          <w:ilvl w:val="0"/>
          <w:numId w:val="72"/>
        </w:numPr>
        <w:spacing w:line="259" w:lineRule="auto"/>
        <w:jc w:val="both"/>
        <w:rPr>
          <w:rFonts w:cs="Times New Roman"/>
          <w:noProof/>
        </w:rPr>
      </w:pPr>
      <w:r>
        <w:rPr>
          <w:noProof/>
        </w:rPr>
        <w:t xml:space="preserve">Linie indirectă: Mecanismul investește în fondurile existente care investesc în sectoarele vizate de mecanism și este în măsură să creeze vehicule de finanțare adaptate care vizează aceleași sectoare. Participarea maximă a mecanismului nu depășește 49 % din niciun fond sau alt vehicul investițional și nu determină ca ponderea capitalurilor proprii deținute de stat într-un fond sau vehicul investițional să depășească 49 % din totalul capitalurilor proprii. </w:t>
      </w:r>
    </w:p>
    <w:p w14:paraId="30C626A2" w14:textId="77777777" w:rsidR="00D924EA" w:rsidRDefault="00011DE9">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Coinvestițiile investitorilor terți sunt cel puțin echivalente cu contribuția facilității și investesc în condiții pari passu. Coinvestitorii terți pot include, printre altele:</w:t>
      </w:r>
    </w:p>
    <w:p w14:paraId="3CC4E04E" w14:textId="77777777" w:rsidR="00D924EA" w:rsidRDefault="00011DE9">
      <w:pPr>
        <w:pStyle w:val="P68B1DB1-ListParagraph34"/>
        <w:numPr>
          <w:ilvl w:val="0"/>
          <w:numId w:val="72"/>
        </w:numPr>
        <w:spacing w:line="259" w:lineRule="auto"/>
        <w:jc w:val="both"/>
        <w:rPr>
          <w:rFonts w:cs="Times New Roman"/>
          <w:noProof/>
        </w:rPr>
      </w:pPr>
      <w:r>
        <w:rPr>
          <w:noProof/>
        </w:rPr>
        <w:t xml:space="preserve">Instituțiile publice străine, cum ar fi fondurile publice de pensii, fondurile suverane și subsuverane, instituțiile multilaterale care investesc în piețele de capital privat (cum ar fi Fondul european de investiții). </w:t>
      </w:r>
    </w:p>
    <w:p w14:paraId="67DDE6CD" w14:textId="77777777" w:rsidR="00D924EA" w:rsidRDefault="00011DE9">
      <w:pPr>
        <w:pStyle w:val="P68B1DB1-ListParagraph34"/>
        <w:numPr>
          <w:ilvl w:val="0"/>
          <w:numId w:val="72"/>
        </w:numPr>
        <w:spacing w:line="259" w:lineRule="auto"/>
        <w:jc w:val="both"/>
        <w:rPr>
          <w:rFonts w:cs="Times New Roman"/>
          <w:noProof/>
        </w:rPr>
      </w:pPr>
      <w:r>
        <w:rPr>
          <w:noProof/>
        </w:rPr>
        <w:t xml:space="preserve">Investitori instituționali străini pe termen lung, cum ar fi fondurile de investiții, fondurile de pensii sau societățile de asigurări. </w:t>
      </w:r>
    </w:p>
    <w:p w14:paraId="46EC37D7" w14:textId="77777777" w:rsidR="00D924EA" w:rsidRDefault="00011DE9">
      <w:pPr>
        <w:pStyle w:val="P68B1DB1-ListParagraph34"/>
        <w:numPr>
          <w:ilvl w:val="0"/>
          <w:numId w:val="72"/>
        </w:numPr>
        <w:spacing w:line="259" w:lineRule="auto"/>
        <w:jc w:val="both"/>
        <w:rPr>
          <w:rFonts w:cs="Times New Roman"/>
          <w:noProof/>
        </w:rPr>
      </w:pPr>
      <w:r>
        <w:rPr>
          <w:noProof/>
        </w:rPr>
        <w:t>Vehicule și entități naționale de investiții private, cu condiția ca acestea să mobilizeze resurse financiare de la investitori privați străini.</w:t>
      </w:r>
    </w:p>
    <w:p w14:paraId="6F270620" w14:textId="77777777" w:rsidR="00D924EA" w:rsidRDefault="00011DE9">
      <w:pPr>
        <w:pStyle w:val="P68B1DB1-ListParagraph34"/>
        <w:numPr>
          <w:ilvl w:val="0"/>
          <w:numId w:val="72"/>
        </w:numPr>
        <w:spacing w:line="259" w:lineRule="auto"/>
        <w:jc w:val="both"/>
        <w:rPr>
          <w:rFonts w:cs="Times New Roman"/>
          <w:noProof/>
        </w:rPr>
      </w:pPr>
      <w:r>
        <w:rPr>
          <w:noProof/>
        </w:rPr>
        <w:t>Societăți cu capital străin care participă la cifrele întreprinderilor din Spania pentru a realiza proiecte de investiții și activități de producție care ar putea fi sprijinite de fond.</w:t>
      </w:r>
    </w:p>
    <w:p w14:paraId="4722DD5B" w14:textId="77777777" w:rsidR="00D924EA" w:rsidRDefault="00011DE9">
      <w:pPr>
        <w:pStyle w:val="P68B1DB1-Normal29"/>
        <w:spacing w:line="240" w:lineRule="auto"/>
        <w:jc w:val="both"/>
        <w:rPr>
          <w:rFonts w:eastAsia="Times New Roman" w:cs="Times New Roman"/>
          <w:noProof/>
        </w:rPr>
      </w:pPr>
      <w:r>
        <w:rPr>
          <w:noProof/>
        </w:rPr>
        <w:t xml:space="preserve">Pentru a pune în aplicare investiția în mecanism, Spania aprobă un regulament și orice documente conexe pentru crearea și gestionarea mecanismului, care includ următorul conținut: </w:t>
      </w:r>
    </w:p>
    <w:p w14:paraId="1F92BCE9" w14:textId="48E5277C" w:rsidR="00D924EA" w:rsidRDefault="00011DE9">
      <w:pPr>
        <w:pStyle w:val="P68B1DB1-ListParagraph34"/>
        <w:numPr>
          <w:ilvl w:val="0"/>
          <w:numId w:val="99"/>
        </w:numPr>
        <w:spacing w:line="240" w:lineRule="auto"/>
        <w:contextualSpacing w:val="0"/>
        <w:jc w:val="both"/>
        <w:rPr>
          <w:rFonts w:eastAsia="Times New Roman" w:cs="Times New Roman"/>
          <w:noProof/>
        </w:rPr>
      </w:pPr>
      <w:r>
        <w:rPr>
          <w:noProof/>
        </w:rPr>
        <w:t>Descrierea procesului decizional al instrumentului: Decizia inițială de investiție a facilității este luată de un comitet pentru investiții sau de un alt organ de conducere echivalent relevant și este aprobată cu o majoritate de voturi de către membri care sunt independenți de guvernul spaniol. Decizia finală de investiții a facilității se limitează la aprobarea (fără modificări) sau la exercitarea unui drept de veto cu privire la o decizie de investiții propusă de comitetul pentru investiții sau de organul de conducere echivalent relevant. În cazul investițiilor intermediate, decizia finală de investiție este luată de intermediari.</w:t>
      </w:r>
    </w:p>
    <w:p w14:paraId="5B65E9BF" w14:textId="77777777" w:rsidR="00D924EA" w:rsidRDefault="00011DE9">
      <w:pPr>
        <w:pStyle w:val="P68B1DB1-ListParagraph34"/>
        <w:numPr>
          <w:ilvl w:val="0"/>
          <w:numId w:val="99"/>
        </w:numPr>
        <w:spacing w:line="240" w:lineRule="auto"/>
        <w:jc w:val="both"/>
        <w:rPr>
          <w:rFonts w:eastAsia="Times New Roman" w:cs="Times New Roman"/>
          <w:noProof/>
        </w:rPr>
      </w:pPr>
      <w:r>
        <w:rPr>
          <w:noProof/>
        </w:rPr>
        <w:t>Cerințele-cheie ale politicii de investiții asociate, care includ:</w:t>
      </w:r>
    </w:p>
    <w:p w14:paraId="6FC51994" w14:textId="26BE90E7" w:rsidR="00D924EA" w:rsidRDefault="00011DE9">
      <w:pPr>
        <w:pStyle w:val="ListParagraph"/>
        <w:numPr>
          <w:ilvl w:val="1"/>
          <w:numId w:val="99"/>
        </w:numPr>
        <w:spacing w:line="240" w:lineRule="auto"/>
        <w:jc w:val="both"/>
        <w:rPr>
          <w:rFonts w:ascii="Times New Roman" w:eastAsia="Times New Roman" w:hAnsi="Times New Roman" w:cs="Times New Roman"/>
          <w:noProof/>
        </w:rPr>
      </w:pPr>
      <w:r>
        <w:rPr>
          <w:rFonts w:ascii="Times New Roman" w:hAnsi="Times New Roman"/>
          <w:noProof/>
        </w:rPr>
        <w:t>Descrierea produselor financiare și a beneficiarilor finali eligibili în conformitate cu descrierea măsurii. Pentru investiții strategice, și anume cele în tehnologii și produse din domeniul apărării identificate în programul anual de lucru pentru Fondul european de apărare; investiții spațiale în ceasuri atomice, lansatoare strategice; și produsele spațiale; și investiții axate exclusiv pe dezvoltarea și implementarea de instrumente și soluții de securitate cibernetică, inclusiv atunci când acestea fac parte din implementarea sau modernizarea rețelelor digitale și a infrastructurii de date; beneficiarii finali nu sunt controlați de o țară terță sau de entități dintr-o țară terță și au conducerea executivă în Uniune, cu excepția investițiilor mai mici de 10 000 000 EUR. În cazul în care beneficiarul final este implicat într-o investiție strategică în domeniul conectivității 5G, măsurile și planurile de atenuare a riscurilor, în temeiul setului de instrumente pentru securitatea cibernetică a rețelelor 5G, se</w:t>
      </w:r>
      <w:r>
        <w:rPr>
          <w:rStyle w:val="FootnoteReference"/>
          <w:rFonts w:ascii="Times New Roman" w:eastAsia="Times New Roman" w:hAnsi="Times New Roman" w:cs="Times New Roman"/>
          <w:noProof/>
        </w:rPr>
        <w:footnoteReference w:id="80"/>
      </w:r>
      <w:r>
        <w:rPr>
          <w:rFonts w:ascii="Times New Roman" w:hAnsi="Times New Roman"/>
          <w:noProof/>
        </w:rPr>
        <w:t xml:space="preserve"> aplică și furnizorilor săi. Printre astfel de furnizori se numără în special vânzătorii de echipamente de telecomunicații, producătorii și alți furnizori terți, cum ar fi furnizorii de infrastructură de tip cloud, furnizorii de servicii gestionate, integratorii de sisteme, contractanții din domeniul securității și al întreținerii, precum și producătorii de echipamente de transmisie. În cazul în care beneficiarul final este implicat într-o investiție strategică în domeniul apărării, această limitare se aplică, de asemenea, furnizorilor și subcontractanților săi. Limitările privind absența controlului din partea unei țări terțe sau a unei entități dintr-o țară terță prevăzute la cele trei alineate de mai sus nu se aplică unei anumite operațiuni de finanțare și de investiții în cazul în care beneficiarul final poate demonstra că este o entitate juridică pentru care statul membru în care este stabilit a aprobat o garanție în conformitate cu principiile privind entitățile eligibile prevăzute în dispozițiile relevante din Regulamentul privind Fondul european de apărare („FEA”)</w:t>
      </w:r>
      <w:r>
        <w:rPr>
          <w:rStyle w:val="FootnoteReference"/>
          <w:rFonts w:ascii="Times New Roman" w:eastAsia="Times New Roman" w:hAnsi="Times New Roman" w:cs="Times New Roman"/>
          <w:noProof/>
        </w:rPr>
        <w:footnoteReference w:id="81"/>
      </w:r>
      <w:r>
        <w:rPr>
          <w:rFonts w:ascii="Times New Roman" w:hAnsi="Times New Roman"/>
          <w:noProof/>
        </w:rPr>
        <w:t xml:space="preserve"> sau derogarea acordată de Comisie în conformitate cu principiile privind entitățile eligibile prevăzute în dispozițiile relevante din Regulamentul privind spațiul</w:t>
      </w:r>
      <w:r>
        <w:rPr>
          <w:rStyle w:val="FootnoteReference"/>
          <w:rFonts w:ascii="Times New Roman" w:eastAsia="Times New Roman" w:hAnsi="Times New Roman" w:cs="Times New Roman"/>
          <w:noProof/>
        </w:rPr>
        <w:footnoteReference w:id="82"/>
      </w:r>
      <w:r>
        <w:rPr>
          <w:rFonts w:ascii="Times New Roman" w:hAnsi="Times New Roman"/>
          <w:noProof/>
        </w:rPr>
        <w:t>. Partenerul de implementare trebuie să notifice guvernului orice derogare acordată cu privire la limitări.</w:t>
      </w:r>
      <w:r w:rsidR="00971820">
        <w:rPr>
          <w:rFonts w:ascii="Times New Roman" w:hAnsi="Times New Roman"/>
          <w:noProof/>
        </w:rPr>
        <w:t xml:space="preserve"> </w:t>
      </w:r>
      <w:r>
        <w:rPr>
          <w:rFonts w:ascii="Times New Roman" w:hAnsi="Times New Roman"/>
          <w:noProof/>
        </w:rPr>
        <w:t xml:space="preserve"> </w:t>
      </w:r>
    </w:p>
    <w:p w14:paraId="777330C2" w14:textId="77777777" w:rsidR="00D924EA" w:rsidRDefault="00011DE9">
      <w:pPr>
        <w:pStyle w:val="P68B1DB1-ListParagraph34"/>
        <w:numPr>
          <w:ilvl w:val="1"/>
          <w:numId w:val="99"/>
        </w:numPr>
        <w:spacing w:line="240" w:lineRule="auto"/>
        <w:jc w:val="both"/>
        <w:rPr>
          <w:rFonts w:eastAsia="Times New Roman" w:cs="Times New Roman"/>
          <w:noProof/>
        </w:rPr>
      </w:pPr>
      <w:r>
        <w:rPr>
          <w:noProof/>
        </w:rPr>
        <w:t>Cerința ca toate investițiile care beneficiază de sprijin să fie viabile din punct de vedere economic.</w:t>
      </w:r>
    </w:p>
    <w:p w14:paraId="19227532" w14:textId="1152028D" w:rsidR="00D924EA" w:rsidRDefault="00011DE9">
      <w:pPr>
        <w:pStyle w:val="P68B1DB1-ListParagraph34"/>
        <w:numPr>
          <w:ilvl w:val="1"/>
          <w:numId w:val="99"/>
        </w:numPr>
        <w:spacing w:line="240" w:lineRule="auto"/>
        <w:jc w:val="both"/>
        <w:rPr>
          <w:rFonts w:eastAsia="Times New Roman" w:cs="Times New Roman"/>
          <w:noProof/>
        </w:rPr>
      </w:pPr>
      <w:r>
        <w:rPr>
          <w:noProof/>
        </w:rPr>
        <w:t>Interdicția de a refinanța orice împrumut restant.</w:t>
      </w:r>
      <w:r w:rsidR="00971820">
        <w:rPr>
          <w:noProof/>
        </w:rPr>
        <w:t xml:space="preserve"> </w:t>
      </w:r>
    </w:p>
    <w:p w14:paraId="59F6B63C" w14:textId="77777777" w:rsidR="00D924EA" w:rsidRDefault="00011DE9">
      <w:pPr>
        <w:pStyle w:val="P68B1DB1-ListParagraph34"/>
        <w:numPr>
          <w:ilvl w:val="1"/>
          <w:numId w:val="99"/>
        </w:numPr>
        <w:spacing w:line="240" w:lineRule="auto"/>
        <w:jc w:val="both"/>
        <w:rPr>
          <w:rFonts w:eastAsia="Times New Roman" w:cs="Times New Roman"/>
          <w:noProof/>
        </w:rPr>
      </w:pPr>
      <w:r>
        <w:rPr>
          <w:noProof/>
        </w:rPr>
        <w:t xml:space="preserve">Cerința de a respecta principiul de „a nu prejudicia în mod semnificativ”, astfel cum este prevăzută în Orientările tehnice privind principiul de „a nu prejudicia în mod semnificativ” (2021/C58/01), în special: </w:t>
      </w:r>
    </w:p>
    <w:p w14:paraId="68BA090A" w14:textId="1F5CB3FA" w:rsidR="00D924EA" w:rsidRDefault="00011DE9">
      <w:pPr>
        <w:pStyle w:val="ListParagraph"/>
        <w:numPr>
          <w:ilvl w:val="2"/>
          <w:numId w:val="99"/>
        </w:numPr>
        <w:spacing w:line="259" w:lineRule="auto"/>
        <w:jc w:val="both"/>
        <w:rPr>
          <w:rFonts w:ascii="Times New Roman" w:eastAsia="Times New Roman" w:hAnsi="Times New Roman" w:cs="Times New Roman"/>
          <w:noProof/>
        </w:rPr>
      </w:pPr>
      <w:r>
        <w:rPr>
          <w:rFonts w:ascii="Times New Roman" w:hAnsi="Times New Roman"/>
          <w:noProof/>
        </w:rPr>
        <w:t>În cazul împrumuturilor, al obligațiunilor pentru finanțarea proiectelor sau al instrumentelor echivalente: politica de investiții exclude de la eligibilitate următoarele activități și active: (I) activitățile și activele legate de combustibilii fosili, inclusiv utilizarea în aval</w:t>
      </w:r>
      <w:r>
        <w:rPr>
          <w:rStyle w:val="FootnoteReference"/>
          <w:rFonts w:ascii="Times New Roman" w:eastAsia="Times New Roman" w:hAnsi="Times New Roman" w:cs="Times New Roman"/>
          <w:noProof/>
        </w:rPr>
        <w:footnoteReference w:id="83"/>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Times New Roman" w:hAnsi="Times New Roman" w:cs="Times New Roman"/>
          <w:noProof/>
        </w:rPr>
        <w:footnoteReference w:id="84"/>
      </w:r>
      <w:r>
        <w:rPr>
          <w:rFonts w:ascii="Times New Roman" w:hAnsi="Times New Roman"/>
          <w:noProof/>
        </w:rPr>
        <w:t>, (iii) activitățile și activele legate de depozitele de deșeuri, incineratoare</w:t>
      </w:r>
      <w:r>
        <w:rPr>
          <w:rStyle w:val="FootnoteReference"/>
          <w:rFonts w:ascii="Times New Roman" w:hAnsi="Times New Roman" w:cs="Times New Roman"/>
          <w:noProof/>
        </w:rPr>
        <w:footnoteReference w:id="85"/>
      </w:r>
      <w:r>
        <w:rPr>
          <w:rFonts w:ascii="Times New Roman" w:hAnsi="Times New Roman"/>
          <w:noProof/>
        </w:rPr>
        <w:t xml:space="preserve"> și stațiile de tratare mecano-biologică</w:t>
      </w:r>
      <w:r>
        <w:rPr>
          <w:rStyle w:val="FootnoteReference"/>
          <w:rFonts w:ascii="Times New Roman" w:hAnsi="Times New Roman" w:cs="Times New Roman"/>
          <w:noProof/>
        </w:rPr>
        <w:footnoteReference w:id="86"/>
      </w:r>
      <w:r>
        <w:rPr>
          <w:rFonts w:ascii="Times New Roman" w:hAnsi="Times New Roman"/>
          <w:noProof/>
        </w:rPr>
        <w:t>.</w:t>
      </w:r>
      <w:r w:rsidR="00971820">
        <w:rPr>
          <w:rFonts w:ascii="Times New Roman" w:hAnsi="Times New Roman"/>
          <w:noProof/>
        </w:rPr>
        <w:t xml:space="preserve"> </w:t>
      </w:r>
      <w:r>
        <w:rPr>
          <w:rFonts w:ascii="Times New Roman" w:hAnsi="Times New Roman"/>
          <w:noProof/>
        </w:rPr>
        <w:t>În cazul capitalului propriu, al cvasicapitalului, al obligațiunilor corporative sau al instrumentelor echivalente: politica de investiții exclude întreprinderile care pun un accent deosebit</w:t>
      </w:r>
      <w:r>
        <w:rPr>
          <w:rStyle w:val="FootnoteReference"/>
          <w:rFonts w:ascii="Times New Roman" w:eastAsia="Times New Roman" w:hAnsi="Times New Roman" w:cs="Times New Roman"/>
          <w:noProof/>
        </w:rPr>
        <w:footnoteReference w:id="87"/>
      </w:r>
      <w:r>
        <w:rPr>
          <w:rFonts w:ascii="Times New Roman" w:hAnsi="Times New Roman"/>
          <w:noProof/>
        </w:rPr>
        <w:t xml:space="preserve"> pe următoarele sectoare: (I) producția de energie pe bază de combustibili fosili și activitățile conexe</w:t>
      </w:r>
      <w:r>
        <w:rPr>
          <w:rStyle w:val="FootnoteReference"/>
          <w:rFonts w:ascii="Times New Roman" w:eastAsia="Times New Roman" w:hAnsi="Times New Roman" w:cs="Times New Roman"/>
          <w:noProof/>
        </w:rPr>
        <w:footnoteReference w:id="88"/>
      </w:r>
      <w:r>
        <w:rPr>
          <w:rFonts w:ascii="Times New Roman" w:hAnsi="Times New Roman"/>
          <w:noProof/>
        </w:rPr>
        <w:t>; (II) industriile mari consumatoare de energie și/sau cu emisii ridicate de CO2</w:t>
      </w:r>
      <w:r>
        <w:rPr>
          <w:rStyle w:val="FootnoteReference"/>
          <w:rFonts w:ascii="Times New Roman" w:eastAsia="Times New Roman" w:hAnsi="Times New Roman" w:cs="Times New Roman"/>
          <w:noProof/>
        </w:rPr>
        <w:footnoteReference w:id="89"/>
      </w:r>
      <w:r>
        <w:rPr>
          <w:rFonts w:ascii="Times New Roman" w:hAnsi="Times New Roman"/>
          <w:noProof/>
        </w:rPr>
        <w:t>; (III) producția, închirierea sau vânzarea de vehicule poluante</w:t>
      </w:r>
      <w:r>
        <w:rPr>
          <w:rStyle w:val="FootnoteReference"/>
          <w:rFonts w:ascii="Times New Roman" w:eastAsia="Times New Roman" w:hAnsi="Times New Roman" w:cs="Times New Roman"/>
          <w:noProof/>
        </w:rPr>
        <w:footnoteReference w:id="90"/>
      </w:r>
      <w:r>
        <w:rPr>
          <w:rFonts w:ascii="Times New Roman" w:hAnsi="Times New Roman"/>
          <w:noProof/>
        </w:rPr>
        <w:t>; (IV) colectarea deșeurilor, tratarea și eliminarea deșeurilor</w:t>
      </w:r>
      <w:r>
        <w:rPr>
          <w:rStyle w:val="FootnoteReference"/>
          <w:rFonts w:ascii="Times New Roman" w:eastAsia="Times New Roman" w:hAnsi="Times New Roman" w:cs="Times New Roman"/>
          <w:noProof/>
        </w:rPr>
        <w:footnoteReference w:id="91"/>
      </w:r>
      <w:r>
        <w:rPr>
          <w:rFonts w:ascii="Times New Roman" w:hAnsi="Times New Roman"/>
          <w:noProof/>
        </w:rPr>
        <w:t>, (v) prelucrarea combustibilului nuclear, producția de energie nucleară.</w:t>
      </w:r>
    </w:p>
    <w:p w14:paraId="43F9BE64" w14:textId="77777777" w:rsidR="00D924EA" w:rsidRDefault="00011DE9">
      <w:pPr>
        <w:pStyle w:val="P68B1DB1-ListParagraph34"/>
        <w:numPr>
          <w:ilvl w:val="2"/>
          <w:numId w:val="99"/>
        </w:numPr>
        <w:spacing w:line="259" w:lineRule="auto"/>
        <w:jc w:val="both"/>
        <w:rPr>
          <w:rFonts w:eastAsia="Times New Roman" w:cs="Times New Roman"/>
          <w:noProof/>
        </w:rPr>
      </w:pPr>
      <w:r>
        <w:rPr>
          <w:noProof/>
        </w:rPr>
        <w:t>În plus, politica de investiții impune respectarea legislației UE și naționale relevante în materie de mediu de către beneficiarii finali ai facilității.</w:t>
      </w:r>
    </w:p>
    <w:p w14:paraId="5F09E289" w14:textId="77777777" w:rsidR="00D924EA" w:rsidRDefault="00011DE9">
      <w:pPr>
        <w:pStyle w:val="P68B1DB1-ListParagraph34"/>
        <w:numPr>
          <w:ilvl w:val="1"/>
          <w:numId w:val="99"/>
        </w:numPr>
        <w:spacing w:line="259" w:lineRule="auto"/>
        <w:jc w:val="both"/>
        <w:rPr>
          <w:rFonts w:eastAsia="Times New Roman" w:cs="Times New Roman"/>
          <w:noProof/>
        </w:rPr>
      </w:pPr>
      <w:r>
        <w:rPr>
          <w:noProof/>
        </w:rPr>
        <w:t>Cerința ca beneficiarii finali ai mecanismului să nu primească sprijin din partea altor instrumente ale Uniunii pentru a acoperi aceleași costuri.</w:t>
      </w:r>
    </w:p>
    <w:p w14:paraId="1944844E" w14:textId="77777777" w:rsidR="00D924EA" w:rsidRDefault="00011DE9">
      <w:pPr>
        <w:pStyle w:val="P68B1DB1-ListParagraph34"/>
        <w:numPr>
          <w:ilvl w:val="0"/>
          <w:numId w:val="99"/>
        </w:numPr>
        <w:spacing w:line="259" w:lineRule="auto"/>
        <w:jc w:val="both"/>
        <w:rPr>
          <w:rFonts w:eastAsia="Times New Roman" w:cs="Times New Roman"/>
          <w:noProof/>
        </w:rPr>
      </w:pPr>
      <w:r>
        <w:rPr>
          <w:noProof/>
        </w:rPr>
        <w:t>Suma care face obiectul regulamentelor și al oricăror documente asociate de instituire a mecanismului, structura comisioanelor pentru partenerul de implementare și cerința de a reinvesti orice restituiri în conformitate cu politica de investiții a mecanismului, cu excepția cazului în care acestea sunt utilizate pentru a rambursa împrumuturile din cadrul Mecanismului de redresare și reziliență.</w:t>
      </w:r>
    </w:p>
    <w:p w14:paraId="74945257" w14:textId="77777777" w:rsidR="00D924EA" w:rsidRDefault="00011DE9">
      <w:pPr>
        <w:pStyle w:val="P68B1DB1-ListParagraph34"/>
        <w:numPr>
          <w:ilvl w:val="0"/>
          <w:numId w:val="99"/>
        </w:numPr>
        <w:spacing w:line="259" w:lineRule="auto"/>
        <w:jc w:val="both"/>
        <w:rPr>
          <w:rFonts w:eastAsia="Times New Roman" w:cs="Times New Roman"/>
          <w:noProof/>
        </w:rPr>
      </w:pPr>
      <w:r>
        <w:rPr>
          <w:noProof/>
        </w:rPr>
        <w:t>Cerințe de monitorizare, audit și control, inclusiv:</w:t>
      </w:r>
    </w:p>
    <w:p w14:paraId="7927C1AC" w14:textId="77777777" w:rsidR="00D924EA" w:rsidRDefault="00011DE9">
      <w:pPr>
        <w:pStyle w:val="P68B1DB1-ListParagraph34"/>
        <w:numPr>
          <w:ilvl w:val="1"/>
          <w:numId w:val="99"/>
        </w:numPr>
        <w:spacing w:line="259" w:lineRule="auto"/>
        <w:jc w:val="both"/>
        <w:rPr>
          <w:rFonts w:eastAsia="Times New Roman" w:cs="Times New Roman"/>
          <w:noProof/>
        </w:rPr>
      </w:pPr>
      <w:r>
        <w:rPr>
          <w:noProof/>
        </w:rPr>
        <w:t>Descrierea sistemului de monitorizare al partenerului de implementare pentru raportarea cu privire la investițiile mobilizate.</w:t>
      </w:r>
    </w:p>
    <w:p w14:paraId="053DDD3F" w14:textId="0B113EF8" w:rsidR="00D924EA" w:rsidRDefault="00011DE9">
      <w:pPr>
        <w:pStyle w:val="P68B1DB1-ListParagraph34"/>
        <w:numPr>
          <w:ilvl w:val="1"/>
          <w:numId w:val="99"/>
        </w:numPr>
        <w:spacing w:line="259" w:lineRule="auto"/>
        <w:jc w:val="both"/>
        <w:rPr>
          <w:rFonts w:eastAsia="Times New Roman" w:cs="Times New Roman"/>
          <w:noProof/>
        </w:rPr>
      </w:pPr>
      <w:r>
        <w:rPr>
          <w:noProof/>
        </w:rPr>
        <w:t xml:space="preserve">Descrierea procedurilor partenerului de implementare care vor asigura prevenirea, detectarea și corectarea fraudei, a corupției și a conflictelor de interese. </w:t>
      </w:r>
    </w:p>
    <w:p w14:paraId="315D73CF" w14:textId="77777777" w:rsidR="00D924EA" w:rsidRDefault="00011DE9">
      <w:pPr>
        <w:pStyle w:val="P68B1DB1-ListParagraph34"/>
        <w:numPr>
          <w:ilvl w:val="1"/>
          <w:numId w:val="99"/>
        </w:numPr>
        <w:spacing w:line="259" w:lineRule="auto"/>
        <w:jc w:val="both"/>
        <w:rPr>
          <w:rFonts w:eastAsia="Times New Roman" w:cs="Times New Roman"/>
          <w:noProof/>
        </w:rPr>
      </w:pPr>
      <w:r>
        <w:rPr>
          <w:noProof/>
        </w:rPr>
        <w:t>Obligația de a verifica eligibilitatea fiecărei operațiuni în conformitate cu cerințele prevăzute în regulamentele de instituire a instrumentului înainte de a se angaja să finanțeze o operațiune.</w:t>
      </w:r>
    </w:p>
    <w:p w14:paraId="69308F55" w14:textId="1299AFFA" w:rsidR="00D924EA" w:rsidRDefault="00011DE9">
      <w:pPr>
        <w:pStyle w:val="P68B1DB1-ListParagraph34"/>
        <w:numPr>
          <w:ilvl w:val="1"/>
          <w:numId w:val="99"/>
        </w:numPr>
        <w:spacing w:line="259" w:lineRule="auto"/>
        <w:jc w:val="both"/>
        <w:rPr>
          <w:rFonts w:eastAsia="Times New Roman" w:cs="Times New Roman"/>
          <w:noProof/>
        </w:rPr>
      </w:pPr>
      <w:r>
        <w:rPr>
          <w:noProof/>
        </w:rPr>
        <w:t xml:space="preserve">Obligația de a efectua audituri ex post bazate pe riscuri, în conformitate cu un plan de audit al COFIDES. Aceste audituri verifică i) dacă sistemele de control sunt eficace, inclusiv detectarea fraudei, a corupției și a conflictelor de interese; respectarea principiului DNSH, a normelor privind ajutoarele de stat, a cerințelor privind țintele climatice și digitale; și iii) respectarea cerinței ca intermediarul să verifice dacă beneficiarul final prezintă o declarație responsabilă pentru a verifica dacă același cost este acoperit de un alt instrument al Uniunii. Auditurile verifică, de asemenea, legalitatea tranzacțiilor și respectarea condițiilor din regulamentul aplicabil și din documentele conexe de instituire a mecanismului și a acordurilor de finanțare. </w:t>
      </w:r>
    </w:p>
    <w:p w14:paraId="06F7A67F" w14:textId="0DCD27A5" w:rsidR="00D924EA" w:rsidRDefault="00011DE9">
      <w:pPr>
        <w:pStyle w:val="P68B1DB1-ListParagraph34"/>
        <w:numPr>
          <w:ilvl w:val="0"/>
          <w:numId w:val="99"/>
        </w:numPr>
        <w:spacing w:line="259" w:lineRule="auto"/>
        <w:jc w:val="both"/>
        <w:rPr>
          <w:rFonts w:eastAsia="Times New Roman" w:cs="Times New Roman"/>
          <w:noProof/>
        </w:rPr>
      </w:pPr>
      <w:r>
        <w:rPr>
          <w:noProof/>
        </w:rPr>
        <w:t>Cerințe pentru selectarea intermediarilor financiari: COFIDES selectează intermediarii financiari în mod deschis, transparent și nediscriminatoriu. Controalele privind absența conflictelor de interese în ceea ce privește intermediarii financiari au loc și se efectuează ex ante prin intermediul unui sistem informatic, cum ar fi Minerva, pentru toți actorii financiari implicați.</w:t>
      </w:r>
      <w:r w:rsidR="00971820">
        <w:rPr>
          <w:noProof/>
        </w:rPr>
        <w:t xml:space="preserve"> </w:t>
      </w:r>
    </w:p>
    <w:p w14:paraId="65BAF7DA" w14:textId="69F31BDA" w:rsidR="00D924EA" w:rsidRDefault="00011DE9">
      <w:pPr>
        <w:pStyle w:val="P68B1DB1-ListParagraph34"/>
        <w:numPr>
          <w:ilvl w:val="0"/>
          <w:numId w:val="99"/>
        </w:numPr>
        <w:spacing w:line="259" w:lineRule="auto"/>
        <w:jc w:val="both"/>
        <w:rPr>
          <w:rFonts w:eastAsia="Times New Roman" w:cs="Times New Roman"/>
          <w:noProof/>
        </w:rPr>
      </w:pPr>
      <w:r>
        <w:rPr>
          <w:noProof/>
        </w:rPr>
        <w:t>Cerința de a semna acorduri de finanțare: COFIDES semnează acorduri de finanțare cu intermediarii financiari în conformitate cu cerințele-cheie care sunt furnizate ca parte a documentelor asociate de instituire a mecanismului. Cerințele-cheie ale acordului de finanțare includ toate cerințele în temeiul cărora funcționează mecanismul, inclusiv:</w:t>
      </w:r>
      <w:r w:rsidR="00971820">
        <w:rPr>
          <w:noProof/>
        </w:rPr>
        <w:t xml:space="preserve"> </w:t>
      </w:r>
    </w:p>
    <w:p w14:paraId="50C35C5B" w14:textId="77777777" w:rsidR="00D924EA" w:rsidRDefault="00011DE9">
      <w:pPr>
        <w:pStyle w:val="P68B1DB1-ListParagraph34"/>
        <w:numPr>
          <w:ilvl w:val="1"/>
          <w:numId w:val="99"/>
        </w:numPr>
        <w:spacing w:line="259" w:lineRule="auto"/>
        <w:jc w:val="both"/>
        <w:rPr>
          <w:rFonts w:cs="Times New Roman"/>
          <w:noProof/>
        </w:rPr>
      </w:pPr>
      <w:r>
        <w:rPr>
          <w:noProof/>
        </w:rPr>
        <w:t xml:space="preserve">Obligația intermediarului financiar de a lua decizii în conformitate </w:t>
      </w:r>
      <w:r>
        <w:rPr>
          <w:i/>
          <w:noProof/>
        </w:rPr>
        <w:t>mutatis mutandis</w:t>
      </w:r>
      <w:r>
        <w:rPr>
          <w:noProof/>
        </w:rPr>
        <w:t xml:space="preserve"> cu cerințele de luare a deciziilor și de politică de investiții specificate mai sus, inclusiv în ceea ce privește respectarea principiului DNSH. </w:t>
      </w:r>
    </w:p>
    <w:p w14:paraId="71BAFA0E" w14:textId="104C3F18" w:rsidR="00D924EA" w:rsidRDefault="00011DE9">
      <w:pPr>
        <w:pStyle w:val="P68B1DB1-ListParagraph34"/>
        <w:numPr>
          <w:ilvl w:val="1"/>
          <w:numId w:val="99"/>
        </w:numPr>
        <w:spacing w:line="259" w:lineRule="auto"/>
        <w:jc w:val="both"/>
        <w:rPr>
          <w:rFonts w:cs="Times New Roman"/>
          <w:noProof/>
        </w:rPr>
      </w:pPr>
      <w:r>
        <w:rPr>
          <w:noProof/>
        </w:rPr>
        <w:t xml:space="preserve">Descrierea cadrului de monitorizare, audit și control pe care intermediarul financiar trebuie să îl instituie și care, </w:t>
      </w:r>
      <w:r>
        <w:rPr>
          <w:i/>
          <w:noProof/>
        </w:rPr>
        <w:t>mutatis mutandis</w:t>
      </w:r>
      <w:r>
        <w:rPr>
          <w:noProof/>
        </w:rPr>
        <w:t>, face obiectul tuturor cerințelor de monitorizare, audit și control specificate mai sus.</w:t>
      </w:r>
      <w:r w:rsidR="00971820">
        <w:rPr>
          <w:noProof/>
        </w:rPr>
        <w:t xml:space="preserve"> </w:t>
      </w:r>
    </w:p>
    <w:p w14:paraId="0BFD6173" w14:textId="77777777" w:rsidR="00D924EA" w:rsidRDefault="00011DE9">
      <w:pPr>
        <w:pStyle w:val="P68B1DB1-Normal30"/>
        <w:spacing w:line="240" w:lineRule="auto"/>
        <w:jc w:val="both"/>
        <w:rPr>
          <w:rFonts w:cs="Times New Roman"/>
          <w:noProof/>
        </w:rPr>
      </w:pPr>
      <w:r>
        <w:rPr>
          <w:noProof/>
        </w:rPr>
        <w:t>Investiția 10 (C13.I10) – Fondul de recapitalizare a întreprinderilor în contextul COVID-19 (FONREC)</w:t>
      </w:r>
    </w:p>
    <w:p w14:paraId="12903493" w14:textId="1F7C7C23" w:rsidR="00D924EA" w:rsidRDefault="00011DE9">
      <w:pPr>
        <w:pStyle w:val="P68B1DB1-Normal29"/>
        <w:spacing w:line="240" w:lineRule="auto"/>
        <w:jc w:val="both"/>
        <w:rPr>
          <w:rFonts w:eastAsia="Times New Roman" w:cs="Times New Roman"/>
          <w:noProof/>
        </w:rPr>
      </w:pPr>
      <w:r>
        <w:rPr>
          <w:noProof/>
        </w:rPr>
        <w:t xml:space="preserve">Această măsură vizează sprijinirea întreprinderilor afectate de pandemia de COVID-19. Această măsură constă în acordarea de sprijin întreprinderilor în cadrul Fondului de recapitalizare a întreprinderilor în contextul COVID-19. </w:t>
      </w:r>
    </w:p>
    <w:p w14:paraId="76042867" w14:textId="77777777" w:rsidR="00D924EA" w:rsidRDefault="00011DE9">
      <w:pPr>
        <w:pStyle w:val="P68B1DB1-Normal30"/>
        <w:spacing w:line="240" w:lineRule="auto"/>
        <w:rPr>
          <w:rFonts w:cs="Times New Roman"/>
          <w:noProof/>
        </w:rPr>
      </w:pPr>
      <w:r>
        <w:rPr>
          <w:noProof/>
        </w:rPr>
        <w:t>Investiția 12 (C13.I12) – ENISA – Fondul pentru antreprenoriat și IMM-uri</w:t>
      </w:r>
    </w:p>
    <w:p w14:paraId="188EEC3C" w14:textId="72DEEFFE" w:rsidR="00D924EA" w:rsidRDefault="00011DE9">
      <w:pPr>
        <w:pStyle w:val="P68B1DB1-Normal29"/>
        <w:jc w:val="both"/>
        <w:rPr>
          <w:rFonts w:cs="Times New Roman"/>
          <w:noProof/>
        </w:rPr>
      </w:pPr>
      <w:r>
        <w:rPr>
          <w:noProof/>
        </w:rPr>
        <w:t xml:space="preserve">Această măsură constă într-o investiție publică într-o facilitate, Fondul ENISA pentru antreprenoriat și IMM-uri, pentru a stimula investițiile private și a îmbunătăți accesul la finanțare pentru ca întreprinderile mici și mijlocii (IMM-uri) să investească în proiecte viabile și inovatoare și în proiecte legate de tehnologia lingvistică. Mecanismul funcționează prin acordarea de împrumuturi participative direct sectorului privat, precum și entităților din sectorul public implicate în activități similare. Pe baza investițiilor MRR, mecanismul urmărește să ofere inițial o finanțare de cel puțin </w:t>
      </w:r>
      <w:r>
        <w:rPr>
          <w:noProof/>
          <w:szCs w:val="28"/>
        </w:rPr>
        <w:t>95</w:t>
      </w:r>
      <w:r w:rsidR="00C202D2">
        <w:rPr>
          <w:noProof/>
          <w:sz w:val="20"/>
        </w:rPr>
        <w:t> </w:t>
      </w:r>
      <w:r>
        <w:rPr>
          <w:noProof/>
        </w:rPr>
        <w:t>000 000 EUR.</w:t>
      </w:r>
    </w:p>
    <w:p w14:paraId="3E09742B" w14:textId="77777777" w:rsidR="00D924EA" w:rsidRDefault="00011DE9">
      <w:pPr>
        <w:pStyle w:val="P68B1DB1-LegalNumPar279"/>
        <w:numPr>
          <w:ilvl w:val="1"/>
          <w:numId w:val="0"/>
        </w:numPr>
        <w:spacing w:line="240" w:lineRule="auto"/>
        <w:jc w:val="both"/>
        <w:rPr>
          <w:rFonts w:cs="Times New Roman"/>
          <w:noProof/>
          <w:szCs w:val="24"/>
        </w:rPr>
      </w:pPr>
      <w:r>
        <w:rPr>
          <w:noProof/>
        </w:rPr>
        <w:t xml:space="preserve">Instrumentul este gestionat de întreprinderea de stat pentru inovare (Empresa Nacional de Innovación, SA – ENISA), în calitate de partener de implementare. </w:t>
      </w:r>
    </w:p>
    <w:p w14:paraId="0BBA5C35" w14:textId="5F39F708" w:rsidR="00D924EA" w:rsidRDefault="00011DE9">
      <w:pPr>
        <w:pStyle w:val="P68B1DB1-LegalNumPar279"/>
        <w:numPr>
          <w:ilvl w:val="1"/>
          <w:numId w:val="0"/>
        </w:numPr>
        <w:spacing w:line="240" w:lineRule="auto"/>
        <w:jc w:val="both"/>
        <w:rPr>
          <w:rFonts w:cs="Times New Roman"/>
          <w:noProof/>
          <w:szCs w:val="24"/>
        </w:rPr>
      </w:pPr>
      <w:r>
        <w:rPr>
          <w:noProof/>
        </w:rPr>
        <w:t>Pentru a pune în aplicare investiția în mecanism, Spania și ENISA semnează un acord de punere în aplicare sau Spania aprobă instrumentul juridic corespunzător și documentele asociate care includ următorul conținut:</w:t>
      </w:r>
    </w:p>
    <w:p w14:paraId="077014C8" w14:textId="77777777" w:rsidR="00D924EA" w:rsidRDefault="00011DE9">
      <w:pPr>
        <w:pStyle w:val="P68B1DB1-LegalNumPar78"/>
        <w:numPr>
          <w:ilvl w:val="0"/>
          <w:numId w:val="107"/>
        </w:numPr>
        <w:jc w:val="both"/>
        <w:rPr>
          <w:rFonts w:eastAsia="Times New Roman" w:cs="Times New Roman"/>
          <w:noProof/>
          <w:szCs w:val="24"/>
        </w:rPr>
      </w:pPr>
      <w:r>
        <w:rPr>
          <w:noProof/>
        </w:rPr>
        <w:t>Descrierea procesului decizional al instrumentului: Decizia inițială de investiție a facilității este luată de un comitet pentru investiții și aprobată cu o majoritate de voturi de către membrii independenți de guvernul spaniol. În cazul ENISA, comitetul pentru investiții este integrat de membri ai personalului ENISA (care sunt independenți de guvern). Decizia finală de investiții a facilității se limitează la aprobarea (fără modificări) sau la exercitarea unui drept de veto cu privire la o decizie de investiții propusă de comitetul pentru investiții sau de organul de conducere echivalent relevant. </w:t>
      </w:r>
    </w:p>
    <w:p w14:paraId="71D9E09E" w14:textId="77777777" w:rsidR="00D924EA" w:rsidRDefault="00011DE9">
      <w:pPr>
        <w:pStyle w:val="P68B1DB1-LegalNumPar78"/>
        <w:numPr>
          <w:ilvl w:val="0"/>
          <w:numId w:val="107"/>
        </w:numPr>
        <w:jc w:val="both"/>
        <w:rPr>
          <w:rFonts w:cs="Times New Roman"/>
          <w:noProof/>
          <w:szCs w:val="24"/>
        </w:rPr>
      </w:pPr>
      <w:r>
        <w:rPr>
          <w:noProof/>
        </w:rPr>
        <w:t>Cerințele-cheie ale politicii de investiții asociate,</w:t>
      </w:r>
      <w:r>
        <w:rPr>
          <w:b/>
          <w:noProof/>
        </w:rPr>
        <w:t xml:space="preserve"> </w:t>
      </w:r>
      <w:r>
        <w:rPr>
          <w:noProof/>
        </w:rPr>
        <w:t>care includ:</w:t>
      </w:r>
    </w:p>
    <w:p w14:paraId="4E8B14CB" w14:textId="32CB10CC" w:rsidR="00D924EA" w:rsidRDefault="00011DE9">
      <w:pPr>
        <w:pStyle w:val="P68B1DB1-LegalNumPar279"/>
        <w:numPr>
          <w:ilvl w:val="1"/>
          <w:numId w:val="107"/>
        </w:numPr>
        <w:rPr>
          <w:rFonts w:cs="Times New Roman"/>
          <w:noProof/>
          <w:szCs w:val="24"/>
        </w:rPr>
      </w:pPr>
      <w:r>
        <w:rPr>
          <w:noProof/>
        </w:rPr>
        <w:t>Descrierea produsului financiar și a beneficiarilor finali eligibili în conformitate cu descrierea măsurii.</w:t>
      </w:r>
      <w:r w:rsidR="00971820">
        <w:rPr>
          <w:noProof/>
        </w:rPr>
        <w:t xml:space="preserve"> </w:t>
      </w:r>
      <w:r>
        <w:rPr>
          <w:noProof/>
        </w:rPr>
        <w:t xml:space="preserve"> </w:t>
      </w:r>
    </w:p>
    <w:p w14:paraId="48A99247" w14:textId="77777777" w:rsidR="00D924EA" w:rsidRDefault="00011DE9">
      <w:pPr>
        <w:pStyle w:val="P68B1DB1-LegalNumPar279"/>
        <w:numPr>
          <w:ilvl w:val="1"/>
          <w:numId w:val="107"/>
        </w:numPr>
        <w:rPr>
          <w:rFonts w:cs="Times New Roman"/>
          <w:noProof/>
          <w:szCs w:val="24"/>
        </w:rPr>
      </w:pPr>
      <w:r>
        <w:rPr>
          <w:noProof/>
        </w:rPr>
        <w:t>Cerința ca toate investițiile care beneficiază de sprijin să fie viabile din punct de vedere economic</w:t>
      </w:r>
      <w:r>
        <w:rPr>
          <w:b/>
          <w:noProof/>
        </w:rPr>
        <w:t>.</w:t>
      </w:r>
    </w:p>
    <w:p w14:paraId="2C5D822A" w14:textId="77777777" w:rsidR="00D924EA" w:rsidRDefault="00011DE9">
      <w:pPr>
        <w:pStyle w:val="P68B1DB1-LegalNumPar279"/>
        <w:numPr>
          <w:ilvl w:val="1"/>
          <w:numId w:val="107"/>
        </w:numPr>
        <w:rPr>
          <w:rFonts w:cs="Times New Roman"/>
          <w:noProof/>
          <w:szCs w:val="24"/>
        </w:rPr>
      </w:pPr>
      <w:r>
        <w:rPr>
          <w:noProof/>
        </w:rPr>
        <w:t>Interdicția de a refinanța orice împrumut restant.</w:t>
      </w:r>
    </w:p>
    <w:p w14:paraId="1A574CF8" w14:textId="2F6D5510" w:rsidR="00D924EA" w:rsidRDefault="00011DE9">
      <w:pPr>
        <w:pStyle w:val="P68B1DB1-LegalNumPar279"/>
        <w:numPr>
          <w:ilvl w:val="1"/>
          <w:numId w:val="107"/>
        </w:numPr>
        <w:rPr>
          <w:rFonts w:cs="Times New Roman"/>
          <w:noProof/>
          <w:szCs w:val="24"/>
        </w:rPr>
      </w:pPr>
      <w:r>
        <w:rPr>
          <w:noProof/>
        </w:rPr>
        <w:t xml:space="preserve">Cerința de a respecta în special principiul de „a nu prejudicia în mod semnificativ” (DNSH) </w:t>
      </w:r>
    </w:p>
    <w:p w14:paraId="2230730E" w14:textId="7933A16F" w:rsidR="00D924EA" w:rsidRDefault="00011DE9">
      <w:pPr>
        <w:pStyle w:val="LegalNumPar2"/>
        <w:ind w:left="1980" w:firstLine="0"/>
        <w:jc w:val="both"/>
        <w:rPr>
          <w:rFonts w:ascii="Times New Roman" w:hAnsi="Times New Roman" w:cs="Times New Roman"/>
          <w:noProof/>
          <w:sz w:val="24"/>
          <w:szCs w:val="24"/>
        </w:rPr>
      </w:pPr>
      <w:r>
        <w:rPr>
          <w:rStyle w:val="FootnoteReference"/>
          <w:rFonts w:ascii="Times New Roman" w:hAnsi="Times New Roman" w:cs="Times New Roman"/>
          <w:noProof/>
        </w:rPr>
        <w:t xml:space="preserve">politica </w:t>
      </w:r>
      <w:r>
        <w:rPr>
          <w:rFonts w:ascii="Times New Roman" w:hAnsi="Times New Roman"/>
          <w:noProof/>
          <w:sz w:val="24"/>
          <w:szCs w:val="24"/>
        </w:rPr>
        <w:t>de investiții exclude de la eligibilitate următoarele activități și active: (I)</w:t>
      </w:r>
      <w:r w:rsidR="00C202D2">
        <w:rPr>
          <w:rFonts w:ascii="Times New Roman" w:hAnsi="Times New Roman"/>
          <w:noProof/>
          <w:sz w:val="24"/>
          <w:szCs w:val="24"/>
        </w:rPr>
        <w:t> </w:t>
      </w:r>
      <w:r>
        <w:rPr>
          <w:rFonts w:ascii="Times New Roman" w:hAnsi="Times New Roman"/>
          <w:noProof/>
          <w:sz w:val="24"/>
          <w:szCs w:val="24"/>
        </w:rPr>
        <w:t>activitățile și activele legate de combustibilii fosili, inclusiv utilizarea în aval</w:t>
      </w:r>
      <w:r>
        <w:rPr>
          <w:rStyle w:val="FootnoteReference"/>
          <w:rFonts w:ascii="Times New Roman" w:hAnsi="Times New Roman" w:cs="Times New Roman"/>
          <w:noProof/>
        </w:rPr>
        <w:footnoteReference w:id="92"/>
      </w:r>
      <w:r>
        <w:rPr>
          <w:rFonts w:ascii="Times New Roman" w:hAnsi="Times New Roman"/>
          <w:noProof/>
          <w:sz w:val="24"/>
          <w:szCs w:val="24"/>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93"/>
      </w:r>
      <w:r>
        <w:rPr>
          <w:rFonts w:ascii="Times New Roman" w:hAnsi="Times New Roman"/>
          <w:noProof/>
          <w:sz w:val="24"/>
          <w:szCs w:val="24"/>
        </w:rPr>
        <w:t>, (iii)</w:t>
      </w:r>
      <w:r w:rsidR="00C202D2">
        <w:rPr>
          <w:rFonts w:ascii="Times New Roman" w:hAnsi="Times New Roman"/>
          <w:noProof/>
          <w:sz w:val="24"/>
          <w:szCs w:val="24"/>
        </w:rPr>
        <w:t> </w:t>
      </w:r>
      <w:r>
        <w:rPr>
          <w:rFonts w:ascii="Times New Roman" w:hAnsi="Times New Roman"/>
          <w:noProof/>
          <w:sz w:val="24"/>
          <w:szCs w:val="24"/>
        </w:rPr>
        <w:t xml:space="preserve">activitățile și activele legate de depozitele de deșeuri, incineratoare și stațiile de tratare mecano-biologică. </w:t>
      </w:r>
    </w:p>
    <w:p w14:paraId="0BA4CE06" w14:textId="77777777" w:rsidR="00D924EA" w:rsidRDefault="00011DE9">
      <w:pPr>
        <w:pStyle w:val="P68B1DB1-ListParagraph34"/>
        <w:numPr>
          <w:ilvl w:val="1"/>
          <w:numId w:val="107"/>
        </w:numPr>
        <w:spacing w:line="259" w:lineRule="auto"/>
        <w:rPr>
          <w:rFonts w:cs="Times New Roman"/>
          <w:noProof/>
        </w:rPr>
      </w:pPr>
      <w:r>
        <w:rPr>
          <w:noProof/>
        </w:rPr>
        <w:t>Cerința ca beneficiarii finali ai mecanismului să nu primească sprijin din partea altor instrumente ale Uniunii pentru a acoperi aceleași costuri.</w:t>
      </w:r>
    </w:p>
    <w:p w14:paraId="4C8069D0" w14:textId="77777777" w:rsidR="00D924EA" w:rsidRDefault="00011DE9">
      <w:pPr>
        <w:pStyle w:val="P68B1DB1-LegalNumPar78"/>
        <w:numPr>
          <w:ilvl w:val="0"/>
          <w:numId w:val="107"/>
        </w:numPr>
        <w:jc w:val="both"/>
        <w:rPr>
          <w:rFonts w:cs="Times New Roman"/>
          <w:noProof/>
          <w:szCs w:val="24"/>
        </w:rPr>
      </w:pPr>
      <w:r>
        <w:rPr>
          <w:noProof/>
        </w:rPr>
        <w:t>Suma care face obiectul acordului de punere în aplicare, structura comisioanelor pentru partenerul de implementare și cerința de a reinvesti orice restituiri în conformitate cu politica de investiții a mecanismului, cu excepția cazului în care acestea sunt utilizate pentru a rambursa împrumuturile din cadrul Mecanismului de redresare și reziliență.</w:t>
      </w:r>
    </w:p>
    <w:p w14:paraId="75681BCA" w14:textId="77777777" w:rsidR="00D924EA" w:rsidRDefault="00011DE9">
      <w:pPr>
        <w:pStyle w:val="P68B1DB1-LegalNumPar78"/>
        <w:numPr>
          <w:ilvl w:val="0"/>
          <w:numId w:val="107"/>
        </w:numPr>
        <w:jc w:val="both"/>
        <w:rPr>
          <w:rFonts w:cs="Times New Roman"/>
          <w:noProof/>
          <w:szCs w:val="24"/>
        </w:rPr>
      </w:pPr>
      <w:r>
        <w:rPr>
          <w:noProof/>
        </w:rPr>
        <w:t>Cerințe de monitorizare, audit și control, inclusiv:</w:t>
      </w:r>
    </w:p>
    <w:p w14:paraId="35FEFC4F" w14:textId="77777777" w:rsidR="00D924EA" w:rsidRDefault="00011DE9">
      <w:pPr>
        <w:pStyle w:val="P68B1DB1-Normal29"/>
        <w:numPr>
          <w:ilvl w:val="1"/>
          <w:numId w:val="107"/>
        </w:numPr>
        <w:spacing w:line="240" w:lineRule="auto"/>
        <w:jc w:val="both"/>
        <w:rPr>
          <w:rFonts w:cs="Times New Roman"/>
          <w:noProof/>
        </w:rPr>
      </w:pPr>
      <w:r>
        <w:rPr>
          <w:noProof/>
        </w:rPr>
        <w:t>Descrierea sistemului de monitorizare al partenerului de implementare pentru raportarea cu privire la investițiile mobilizate.</w:t>
      </w:r>
    </w:p>
    <w:p w14:paraId="12223A25" w14:textId="2D00D4C0" w:rsidR="00D924EA" w:rsidRDefault="00011DE9">
      <w:pPr>
        <w:pStyle w:val="P68B1DB1-Normal29"/>
        <w:numPr>
          <w:ilvl w:val="1"/>
          <w:numId w:val="107"/>
        </w:numPr>
        <w:spacing w:line="259" w:lineRule="auto"/>
        <w:jc w:val="both"/>
        <w:rPr>
          <w:rFonts w:cs="Times New Roman"/>
          <w:noProof/>
        </w:rPr>
      </w:pPr>
      <w:r>
        <w:rPr>
          <w:noProof/>
        </w:rPr>
        <w:t xml:space="preserve">Descrierea procedurilor partenerului de implementare care vor asigura prevenirea, detectarea și corectarea fraudei, a corupției și a conflictelor de interese. </w:t>
      </w:r>
    </w:p>
    <w:p w14:paraId="461D4FF1" w14:textId="77777777" w:rsidR="00D924EA" w:rsidRDefault="00011DE9">
      <w:pPr>
        <w:pStyle w:val="P68B1DB1-Normal29"/>
        <w:numPr>
          <w:ilvl w:val="1"/>
          <w:numId w:val="107"/>
        </w:numPr>
        <w:spacing w:line="259" w:lineRule="auto"/>
        <w:jc w:val="both"/>
        <w:rPr>
          <w:rFonts w:cs="Times New Roman"/>
          <w:noProof/>
        </w:rPr>
      </w:pPr>
      <w:r>
        <w:rPr>
          <w:noProof/>
        </w:rPr>
        <w:t>Obligația de a verifica eligibilitatea fiecărei operațiuni în conformitate cu cerințele prevăzute în acordul de punere în aplicare înainte de a se angaja să finanțeze o operațiune.</w:t>
      </w:r>
    </w:p>
    <w:p w14:paraId="6D90BAB9" w14:textId="343FC03E" w:rsidR="00D924EA" w:rsidRDefault="00011DE9">
      <w:pPr>
        <w:pStyle w:val="P68B1DB1-Normal29"/>
        <w:numPr>
          <w:ilvl w:val="1"/>
          <w:numId w:val="107"/>
        </w:numPr>
        <w:spacing w:line="240" w:lineRule="auto"/>
        <w:jc w:val="both"/>
        <w:rPr>
          <w:rFonts w:cs="Times New Roman"/>
          <w:noProof/>
        </w:rPr>
      </w:pPr>
      <w:r>
        <w:rPr>
          <w:noProof/>
        </w:rPr>
        <w:t xml:space="preserve">Obligația de a efectua audituri ex post bazate pe riscuri, în conformitate cu un plan de audit al ENISA. Aceste audituri verifică i) dacă sistemele de control sunt eficace, inclusiv detectarea fraudei, a corupției și a conflictelor de interese; respectarea principiului DNSH, a normelor privind ajutoarele de stat și a cerințelor privind ținta digitală; și iii) respectarea cerinței ca intermediarul să verifice dacă beneficiarul final prezintă o declarație responsabilă pentru a verifica dacă același cost este acoperit de un alt instrument al Uniunii. Auditurile verifică, de asemenea, legalitatea tranzacțiilor și respectarea condițiilor din acordul de punere în aplicare și din acordurile de finanțare aplicabile. </w:t>
      </w:r>
    </w:p>
    <w:p w14:paraId="645833CE" w14:textId="4B8F9F84" w:rsidR="00D924EA" w:rsidRDefault="00011DE9">
      <w:pPr>
        <w:numPr>
          <w:ilvl w:val="0"/>
          <w:numId w:val="107"/>
        </w:numPr>
        <w:spacing w:line="240" w:lineRule="auto"/>
        <w:jc w:val="both"/>
        <w:rPr>
          <w:rFonts w:ascii="Times New Roman" w:hAnsi="Times New Roman" w:cs="Times New Roman"/>
          <w:noProof/>
        </w:rPr>
      </w:pPr>
      <w:r>
        <w:rPr>
          <w:rFonts w:ascii="Times New Roman" w:hAnsi="Times New Roman"/>
          <w:noProof/>
        </w:rPr>
        <w:t>Cerințe pentru investițiile digitale efectuate de partenerul de implementare: cel puțin</w:t>
      </w:r>
      <w:r>
        <w:rPr>
          <w:rFonts w:ascii="Times New Roman" w:hAnsi="Times New Roman"/>
          <w:noProof/>
          <w:sz w:val="20"/>
        </w:rPr>
        <w:t xml:space="preserve"> </w:t>
      </w:r>
      <w:r>
        <w:rPr>
          <w:rFonts w:ascii="Times New Roman" w:hAnsi="Times New Roman"/>
          <w:noProof/>
        </w:rPr>
        <w:t>6</w:t>
      </w:r>
      <w:r w:rsidR="00C202D2">
        <w:rPr>
          <w:rFonts w:ascii="Times New Roman" w:hAnsi="Times New Roman"/>
          <w:noProof/>
          <w:sz w:val="20"/>
        </w:rPr>
        <w:t> </w:t>
      </w:r>
      <w:r>
        <w:rPr>
          <w:rFonts w:ascii="Times New Roman" w:hAnsi="Times New Roman"/>
          <w:noProof/>
        </w:rPr>
        <w:t>270</w:t>
      </w:r>
      <w:r w:rsidR="00C202D2">
        <w:rPr>
          <w:rFonts w:ascii="Times New Roman" w:hAnsi="Times New Roman"/>
          <w:noProof/>
          <w:sz w:val="20"/>
        </w:rPr>
        <w:t> </w:t>
      </w:r>
      <w:r>
        <w:rPr>
          <w:rFonts w:ascii="Times New Roman" w:hAnsi="Times New Roman"/>
          <w:noProof/>
        </w:rPr>
        <w:t>000 EUR din investiția MRR în mecanism contribuie la obiectivele digitale în conformitate cu anexa VII la Regulamentul privind MRR</w:t>
      </w:r>
      <w:r>
        <w:rPr>
          <w:noProof/>
        </w:rPr>
        <w:t>.</w:t>
      </w:r>
    </w:p>
    <w:p w14:paraId="6E86FBC1" w14:textId="77777777" w:rsidR="00D924EA" w:rsidRDefault="00011DE9">
      <w:pPr>
        <w:pStyle w:val="P68B1DB1-Normal30"/>
        <w:rPr>
          <w:rFonts w:cs="Times New Roman"/>
          <w:noProof/>
        </w:rPr>
      </w:pPr>
      <w:r>
        <w:rPr>
          <w:noProof/>
        </w:rPr>
        <w:t>Investiția 13 (C13.I13) – Fondul regional de reziliență (FRA)</w:t>
      </w:r>
    </w:p>
    <w:p w14:paraId="4B750CC7" w14:textId="77777777" w:rsidR="00D924EA" w:rsidRDefault="00011DE9">
      <w:pPr>
        <w:pStyle w:val="P68B1DB1-Normal29"/>
        <w:spacing w:before="160" w:after="0" w:line="240" w:lineRule="auto"/>
        <w:jc w:val="both"/>
        <w:rPr>
          <w:rFonts w:eastAsia="@MS Mincho" w:cs="Times New Roman"/>
          <w:noProof/>
        </w:rPr>
      </w:pPr>
      <w:r>
        <w:rPr>
          <w:noProof/>
        </w:rPr>
        <w:t xml:space="preserve">Această măsură constă într-o investiție publică în compartimentul pentru statele membre al InvestEU și într-un mecanism, Fondul regional de reziliență, pentru a stimula investițiile private și a îmbunătăți accesul la finanțare în comunitățile autonome spaniole în următoarele domenii prioritare: locuințe sociale și la prețuri accesibile și regenerare urbană; transportul durabil; competitivitatea industrială și a IMM-urilor; cercetarea, dezvoltarea și inovarea turismul sustenabil; economia serviciilor de îngrijire; gestionarea apei și a deșeurilor; și tranziția energetică; precum și dezvoltarea piețelor de capital în aceste domenii. </w:t>
      </w:r>
    </w:p>
    <w:p w14:paraId="64781D43" w14:textId="24D43096" w:rsidR="00D924EA" w:rsidRDefault="00011DE9">
      <w:pPr>
        <w:pStyle w:val="P68B1DB1-Normal29"/>
        <w:spacing w:before="160" w:after="0" w:line="240" w:lineRule="auto"/>
        <w:jc w:val="both"/>
        <w:rPr>
          <w:rFonts w:cs="Times New Roman"/>
          <w:noProof/>
        </w:rPr>
      </w:pPr>
      <w:r>
        <w:rPr>
          <w:noProof/>
        </w:rPr>
        <w:t>Mecanismul funcționează prin furnizarea de finanțare, direct sau prin intermediari, sectorului privat, entităților din sectorul public implicate în activități similare și entităților publice, printre altele, administrațiilor regionale sau locale. Pe baza investițiilor MRR, mecanismul urmărește să ofere o finanțare de cel puțin</w:t>
      </w:r>
      <w:r>
        <w:rPr>
          <w:noProof/>
          <w:sz w:val="20"/>
        </w:rPr>
        <w:t xml:space="preserve"> </w:t>
      </w:r>
      <w:r>
        <w:rPr>
          <w:noProof/>
        </w:rPr>
        <w:t>4</w:t>
      </w:r>
      <w:r>
        <w:rPr>
          <w:noProof/>
          <w:sz w:val="20"/>
        </w:rPr>
        <w:t xml:space="preserve"> </w:t>
      </w:r>
      <w:r>
        <w:rPr>
          <w:noProof/>
        </w:rPr>
        <w:t>800</w:t>
      </w:r>
      <w:r w:rsidR="00971820">
        <w:rPr>
          <w:noProof/>
          <w:sz w:val="20"/>
        </w:rPr>
        <w:t xml:space="preserve"> </w:t>
      </w:r>
      <w:r>
        <w:rPr>
          <w:noProof/>
        </w:rPr>
        <w:t>000 000 EUR. O sumă suplimentară de</w:t>
      </w:r>
      <w:r>
        <w:rPr>
          <w:noProof/>
          <w:sz w:val="20"/>
        </w:rPr>
        <w:t xml:space="preserve"> </w:t>
      </w:r>
      <w:r>
        <w:rPr>
          <w:noProof/>
        </w:rPr>
        <w:t>500</w:t>
      </w:r>
      <w:r>
        <w:rPr>
          <w:noProof/>
          <w:sz w:val="20"/>
        </w:rPr>
        <w:t xml:space="preserve"> </w:t>
      </w:r>
      <w:r>
        <w:rPr>
          <w:noProof/>
        </w:rPr>
        <w:t>000</w:t>
      </w:r>
      <w:r>
        <w:rPr>
          <w:noProof/>
          <w:sz w:val="20"/>
        </w:rPr>
        <w:t xml:space="preserve"> </w:t>
      </w:r>
      <w:r>
        <w:rPr>
          <w:noProof/>
        </w:rPr>
        <w:t>000 EUR contribuie la compartimentul pentru statele membre al InvestEU.</w:t>
      </w:r>
    </w:p>
    <w:p w14:paraId="6F076D8D" w14:textId="77777777" w:rsidR="00D924EA" w:rsidRDefault="00011DE9">
      <w:pPr>
        <w:pStyle w:val="P68B1DB1-Normal29"/>
        <w:spacing w:before="160" w:after="0" w:line="240" w:lineRule="auto"/>
        <w:jc w:val="both"/>
        <w:rPr>
          <w:rFonts w:cs="Times New Roman"/>
          <w:noProof/>
        </w:rPr>
      </w:pPr>
      <w:r>
        <w:rPr>
          <w:noProof/>
        </w:rPr>
        <w:t>Facilitatea este gestionată de Grupul BEI în calitate de partener de implementare. Facilitatea include următoarele linii de produse:</w:t>
      </w:r>
    </w:p>
    <w:p w14:paraId="0B02AEBD" w14:textId="00BD71D5" w:rsidR="00D924EA" w:rsidRDefault="00011DE9">
      <w:pPr>
        <w:pStyle w:val="P68B1DB1-ListParagraph34"/>
        <w:numPr>
          <w:ilvl w:val="0"/>
          <w:numId w:val="92"/>
        </w:numPr>
        <w:spacing w:before="160" w:after="0" w:line="259" w:lineRule="auto"/>
        <w:ind w:left="714" w:hanging="357"/>
        <w:jc w:val="both"/>
        <w:rPr>
          <w:rFonts w:cs="Times New Roman"/>
          <w:noProof/>
        </w:rPr>
      </w:pPr>
      <w:r>
        <w:rPr>
          <w:noProof/>
        </w:rPr>
        <w:t>Linie publică directă (565</w:t>
      </w:r>
      <w:r>
        <w:rPr>
          <w:noProof/>
          <w:sz w:val="20"/>
        </w:rPr>
        <w:t xml:space="preserve"> </w:t>
      </w:r>
      <w:r>
        <w:rPr>
          <w:noProof/>
        </w:rPr>
        <w:t>500 000</w:t>
      </w:r>
      <w:r>
        <w:rPr>
          <w:noProof/>
          <w:sz w:val="20"/>
        </w:rPr>
        <w:t xml:space="preserve"> </w:t>
      </w:r>
      <w:r>
        <w:rPr>
          <w:noProof/>
        </w:rPr>
        <w:t>EUR): Instrument de împrumut direct pentru finanțarea de proiecte de către entități publice, printre altele, administrații regionale sau locale.</w:t>
      </w:r>
    </w:p>
    <w:p w14:paraId="00F64D86" w14:textId="1CDAECA2" w:rsidR="00D924EA" w:rsidRDefault="00011DE9">
      <w:pPr>
        <w:pStyle w:val="P68B1DB1-ListParagraph34"/>
        <w:numPr>
          <w:ilvl w:val="0"/>
          <w:numId w:val="92"/>
        </w:numPr>
        <w:spacing w:before="160" w:after="0" w:line="259" w:lineRule="auto"/>
        <w:ind w:left="714" w:hanging="357"/>
        <w:jc w:val="both"/>
        <w:rPr>
          <w:rFonts w:cs="Times New Roman"/>
          <w:noProof/>
        </w:rPr>
      </w:pPr>
      <w:r>
        <w:rPr>
          <w:noProof/>
        </w:rPr>
        <w:t>Alte linii (4 234</w:t>
      </w:r>
      <w:r>
        <w:rPr>
          <w:noProof/>
          <w:sz w:val="20"/>
        </w:rPr>
        <w:t xml:space="preserve"> </w:t>
      </w:r>
      <w:r>
        <w:rPr>
          <w:noProof/>
        </w:rPr>
        <w:t>500 000</w:t>
      </w:r>
      <w:r>
        <w:rPr>
          <w:noProof/>
          <w:sz w:val="20"/>
        </w:rPr>
        <w:t xml:space="preserve"> </w:t>
      </w:r>
      <w:r>
        <w:rPr>
          <w:noProof/>
        </w:rPr>
        <w:t>EUR): Linii care vizează entități private sau entități publice în activități similare, în special:</w:t>
      </w:r>
    </w:p>
    <w:p w14:paraId="0408BE63" w14:textId="77777777" w:rsidR="00D924EA" w:rsidRDefault="00011DE9">
      <w:pPr>
        <w:pStyle w:val="P68B1DB1-ListParagraph34"/>
        <w:numPr>
          <w:ilvl w:val="1"/>
          <w:numId w:val="92"/>
        </w:numPr>
        <w:spacing w:before="160" w:after="0" w:line="259" w:lineRule="auto"/>
        <w:ind w:left="1434" w:hanging="357"/>
        <w:jc w:val="both"/>
        <w:rPr>
          <w:rFonts w:cs="Times New Roman"/>
          <w:noProof/>
        </w:rPr>
      </w:pPr>
      <w:r>
        <w:rPr>
          <w:noProof/>
        </w:rPr>
        <w:t>Instrument de cofinanțare directă pentru finanțarea proiectelor prin împrumuturi, achiziționarea de active sau participarea la finanțarea proiectelor.</w:t>
      </w:r>
    </w:p>
    <w:p w14:paraId="5E7C91FD" w14:textId="0529B148" w:rsidR="00D924EA" w:rsidRDefault="00011DE9">
      <w:pPr>
        <w:pStyle w:val="P68B1DB1-ListParagraph34"/>
        <w:numPr>
          <w:ilvl w:val="1"/>
          <w:numId w:val="92"/>
        </w:numPr>
        <w:spacing w:before="160" w:after="0" w:line="259" w:lineRule="auto"/>
        <w:ind w:left="1434" w:hanging="357"/>
        <w:jc w:val="both"/>
        <w:rPr>
          <w:rFonts w:cs="Times New Roman"/>
          <w:noProof/>
        </w:rPr>
      </w:pPr>
      <w:r>
        <w:rPr>
          <w:noProof/>
        </w:rPr>
        <w:t>Finanțare intermediată pentru IMM-uri, întreprinderi cu capitalizare medie, proiecte de infrastructură sau persoane fizice, inclusiv prin investiții de capital, cvasicapital, împrumuturi, credite private cu rang prioritar sau achiziționarea de titluri garantate cu active emise de entități financiare care generează un nou portofoliu de împrumuturi eligibile.</w:t>
      </w:r>
    </w:p>
    <w:p w14:paraId="6BF97AD2" w14:textId="77777777" w:rsidR="00D924EA" w:rsidRDefault="00011DE9">
      <w:pPr>
        <w:pStyle w:val="P68B1DB1-Normal29"/>
        <w:spacing w:before="160" w:after="0" w:line="240" w:lineRule="auto"/>
        <w:jc w:val="both"/>
        <w:rPr>
          <w:rFonts w:cs="Times New Roman"/>
          <w:noProof/>
        </w:rPr>
      </w:pPr>
      <w:r>
        <w:rPr>
          <w:noProof/>
        </w:rPr>
        <w:t>Pentru a implementa investiția în facilitate, Spania și Grupul BEI semnează un acord de punere în aplicare care include următorul conținut:</w:t>
      </w:r>
    </w:p>
    <w:p w14:paraId="5CE9B80F" w14:textId="2C7BEF82" w:rsidR="00D924EA" w:rsidRDefault="00011DE9">
      <w:pPr>
        <w:pStyle w:val="P68B1DB1-ListParagraph34"/>
        <w:numPr>
          <w:ilvl w:val="0"/>
          <w:numId w:val="101"/>
        </w:numPr>
        <w:spacing w:before="160" w:after="0" w:line="240" w:lineRule="auto"/>
        <w:jc w:val="both"/>
        <w:rPr>
          <w:rFonts w:cs="Times New Roman"/>
          <w:noProof/>
        </w:rPr>
      </w:pPr>
      <w:r>
        <w:rPr>
          <w:noProof/>
        </w:rPr>
        <w:t>Decizia inițială de investiție a facilității este luată de Grupul BEI independent de guvernul spaniol. Decizia finală de investiții a facilității se limitează la aprobarea (fără modificări) sau la exercitarea unui drept de veto cu privire la o decizie de investiții propusă de comitetul pentru investiții sau de organul de conducere echivalent relevant.  În cazul investițiilor intermediate, decizia finală de investiție este luată de intermediari.</w:t>
      </w:r>
    </w:p>
    <w:p w14:paraId="0D46F556" w14:textId="77777777" w:rsidR="00D924EA" w:rsidRDefault="00011DE9">
      <w:pPr>
        <w:pStyle w:val="P68B1DB1-ListParagraph34"/>
        <w:numPr>
          <w:ilvl w:val="0"/>
          <w:numId w:val="101"/>
        </w:numPr>
        <w:spacing w:line="240" w:lineRule="auto"/>
        <w:jc w:val="both"/>
        <w:rPr>
          <w:rFonts w:eastAsia="Times New Roman" w:cs="Times New Roman"/>
          <w:noProof/>
        </w:rPr>
      </w:pPr>
      <w:r>
        <w:rPr>
          <w:noProof/>
        </w:rPr>
        <w:t>Cerințele-cheie ale politicii de investiții asociate, care includ:</w:t>
      </w:r>
    </w:p>
    <w:p w14:paraId="763EAE91" w14:textId="7098BB10" w:rsidR="00D924EA" w:rsidRDefault="00011DE9">
      <w:pPr>
        <w:pStyle w:val="P68B1DB1-ListParagraph34"/>
        <w:numPr>
          <w:ilvl w:val="1"/>
          <w:numId w:val="101"/>
        </w:numPr>
        <w:spacing w:line="240" w:lineRule="auto"/>
        <w:jc w:val="both"/>
        <w:rPr>
          <w:rFonts w:eastAsia="Times New Roman" w:cs="Times New Roman"/>
          <w:noProof/>
        </w:rPr>
      </w:pPr>
      <w:r>
        <w:rPr>
          <w:noProof/>
        </w:rPr>
        <w:t>Descrierea produselor financiare și a beneficiarilor finali eligibili în conformitate cu descrierea măsurii.</w:t>
      </w:r>
      <w:r w:rsidR="00971820">
        <w:rPr>
          <w:noProof/>
        </w:rPr>
        <w:t xml:space="preserve">  </w:t>
      </w:r>
      <w:r>
        <w:rPr>
          <w:noProof/>
        </w:rPr>
        <w:t xml:space="preserve"> </w:t>
      </w:r>
    </w:p>
    <w:p w14:paraId="5DBBF812" w14:textId="77777777" w:rsidR="00D924EA" w:rsidRDefault="00011DE9">
      <w:pPr>
        <w:pStyle w:val="P68B1DB1-ListParagraph34"/>
        <w:numPr>
          <w:ilvl w:val="1"/>
          <w:numId w:val="101"/>
        </w:numPr>
        <w:spacing w:line="240" w:lineRule="auto"/>
        <w:jc w:val="both"/>
        <w:rPr>
          <w:rFonts w:eastAsia="Times New Roman" w:cs="Times New Roman"/>
          <w:noProof/>
        </w:rPr>
      </w:pPr>
      <w:r>
        <w:rPr>
          <w:noProof/>
        </w:rPr>
        <w:t>Cerința ca toate investițiile care beneficiază de sprijin să fie viabile din punct de vedere economic.</w:t>
      </w:r>
    </w:p>
    <w:p w14:paraId="0F28AD13" w14:textId="66FFD4FE" w:rsidR="00D924EA" w:rsidRDefault="00011DE9">
      <w:pPr>
        <w:pStyle w:val="P68B1DB1-ListParagraph34"/>
        <w:numPr>
          <w:ilvl w:val="1"/>
          <w:numId w:val="101"/>
        </w:numPr>
        <w:spacing w:line="240" w:lineRule="auto"/>
        <w:jc w:val="both"/>
        <w:rPr>
          <w:rFonts w:eastAsia="Times New Roman" w:cs="Times New Roman"/>
          <w:noProof/>
        </w:rPr>
      </w:pPr>
      <w:r>
        <w:rPr>
          <w:noProof/>
        </w:rPr>
        <w:t>Interdicția de a refinanța orice împrumut restant.</w:t>
      </w:r>
      <w:r w:rsidR="00971820">
        <w:rPr>
          <w:noProof/>
        </w:rPr>
        <w:t xml:space="preserve"> </w:t>
      </w:r>
    </w:p>
    <w:p w14:paraId="26845FE9" w14:textId="77777777" w:rsidR="00D924EA" w:rsidRDefault="00011DE9">
      <w:pPr>
        <w:pStyle w:val="P68B1DB1-ListParagraph34"/>
        <w:numPr>
          <w:ilvl w:val="1"/>
          <w:numId w:val="101"/>
        </w:numPr>
        <w:spacing w:line="240" w:lineRule="auto"/>
        <w:jc w:val="both"/>
        <w:rPr>
          <w:rFonts w:eastAsia="Times New Roman" w:cs="Times New Roman"/>
          <w:noProof/>
        </w:rPr>
      </w:pPr>
      <w:r>
        <w:rPr>
          <w:noProof/>
        </w:rPr>
        <w:t xml:space="preserve">Cerința de a respecta principiul de „a nu prejudicia în mod semnificativ”, astfel cum este prevăzută în Orientările tehnice privind principiul de „a nu prejudicia în mod semnificativ” (2021/C58/01), în special: </w:t>
      </w:r>
    </w:p>
    <w:p w14:paraId="3F60355A" w14:textId="786820C7" w:rsidR="00D924EA" w:rsidRDefault="00011DE9">
      <w:pPr>
        <w:pStyle w:val="ListParagraph"/>
        <w:numPr>
          <w:ilvl w:val="2"/>
          <w:numId w:val="101"/>
        </w:numPr>
        <w:spacing w:line="259" w:lineRule="auto"/>
        <w:jc w:val="both"/>
        <w:rPr>
          <w:rFonts w:ascii="Times New Roman" w:eastAsia="Times New Roman" w:hAnsi="Times New Roman" w:cs="Times New Roman"/>
          <w:noProof/>
        </w:rPr>
      </w:pPr>
      <w:r>
        <w:rPr>
          <w:rFonts w:ascii="Times New Roman" w:hAnsi="Times New Roman"/>
          <w:noProof/>
        </w:rPr>
        <w:t>În cazul împrumuturilor, al obligațiunilor pentru finanțarea proiectelor sau al instrumentelor echivalente: politica de investiții exclude de la eligibilitate următoarele activități și active: (I) activitățile și activele legate de combustibilii fosili, inclusiv utilizarea în aval</w:t>
      </w:r>
      <w:r>
        <w:rPr>
          <w:rStyle w:val="FootnoteReference"/>
          <w:rFonts w:ascii="Times New Roman" w:eastAsia="Times New Roman" w:hAnsi="Times New Roman" w:cs="Times New Roman"/>
          <w:noProof/>
        </w:rPr>
        <w:footnoteReference w:id="94"/>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Times New Roman" w:hAnsi="Times New Roman" w:cs="Times New Roman"/>
          <w:noProof/>
        </w:rPr>
        <w:footnoteReference w:id="95"/>
      </w:r>
      <w:r>
        <w:rPr>
          <w:rFonts w:ascii="Times New Roman" w:hAnsi="Times New Roman"/>
          <w:noProof/>
        </w:rPr>
        <w:t>, (iii) activitățile și activele legate de depozitele de deșeuri, incineratoare</w:t>
      </w:r>
      <w:r>
        <w:rPr>
          <w:rStyle w:val="FootnoteReference"/>
          <w:rFonts w:ascii="Times New Roman" w:hAnsi="Times New Roman" w:cs="Times New Roman"/>
          <w:noProof/>
        </w:rPr>
        <w:footnoteReference w:id="96"/>
      </w:r>
      <w:r>
        <w:rPr>
          <w:rFonts w:ascii="Times New Roman" w:hAnsi="Times New Roman"/>
          <w:noProof/>
        </w:rPr>
        <w:t xml:space="preserve"> și stațiile de tratare mecano-biologică</w:t>
      </w:r>
      <w:r>
        <w:rPr>
          <w:rStyle w:val="FootnoteReference"/>
          <w:rFonts w:ascii="Times New Roman" w:hAnsi="Times New Roman" w:cs="Times New Roman"/>
          <w:noProof/>
        </w:rPr>
        <w:footnoteReference w:id="97"/>
      </w:r>
      <w:r>
        <w:rPr>
          <w:rFonts w:ascii="Times New Roman" w:hAnsi="Times New Roman"/>
          <w:noProof/>
        </w:rPr>
        <w:t>.</w:t>
      </w:r>
      <w:r w:rsidR="00971820">
        <w:rPr>
          <w:rFonts w:ascii="Times New Roman" w:hAnsi="Times New Roman"/>
          <w:noProof/>
        </w:rPr>
        <w:t xml:space="preserve"> </w:t>
      </w:r>
    </w:p>
    <w:p w14:paraId="68EB9103" w14:textId="48F349DC" w:rsidR="00D924EA" w:rsidRDefault="00011DE9">
      <w:pPr>
        <w:pStyle w:val="ListParagraph"/>
        <w:numPr>
          <w:ilvl w:val="2"/>
          <w:numId w:val="101"/>
        </w:numPr>
        <w:spacing w:line="259" w:lineRule="auto"/>
        <w:jc w:val="both"/>
        <w:rPr>
          <w:rFonts w:ascii="Times New Roman" w:eastAsia="Times New Roman" w:hAnsi="Times New Roman" w:cs="Times New Roman"/>
          <w:noProof/>
        </w:rPr>
      </w:pPr>
      <w:r>
        <w:rPr>
          <w:rFonts w:ascii="Times New Roman" w:hAnsi="Times New Roman"/>
          <w:noProof/>
        </w:rPr>
        <w:t>În cazul capitalului propriu, al cvasicapitalului, al obligațiunilor corporative sau al instrumentelor echivalente: politica de investiții impune întreprinderilor să adopte planuri de tranziție verde în conformitate cu definiția prevăzută la articolul 19a alineatul (2) litera (a) punctul (iii) din Directiva 2013/34/UE în cazul</w:t>
      </w:r>
      <w:r>
        <w:rPr>
          <w:rStyle w:val="FootnoteReference"/>
          <w:rFonts w:ascii="Times New Roman" w:eastAsia="Times New Roman" w:hAnsi="Times New Roman" w:cs="Times New Roman"/>
          <w:noProof/>
        </w:rPr>
        <w:footnoteReference w:id="98"/>
      </w:r>
      <w:r>
        <w:rPr>
          <w:rFonts w:ascii="Times New Roman" w:hAnsi="Times New Roman"/>
          <w:noProof/>
        </w:rPr>
        <w:t xml:space="preserve"> în care peste 50 % din veniturile lor directe din exercițiul financiar precedent provin din următoarea listă de activități și active: (I) activitățile și activele legate de combustibilii fosili, inclusiv utilizarea în aval</w:t>
      </w:r>
      <w:r>
        <w:rPr>
          <w:rStyle w:val="FootnoteReference"/>
          <w:rFonts w:ascii="Times New Roman" w:eastAsia="Times New Roman" w:hAnsi="Times New Roman" w:cs="Times New Roman"/>
          <w:noProof/>
        </w:rPr>
        <w:footnoteReference w:id="99"/>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Times New Roman" w:hAnsi="Times New Roman" w:cs="Times New Roman"/>
          <w:noProof/>
        </w:rPr>
        <w:footnoteReference w:id="100"/>
      </w:r>
      <w:r>
        <w:rPr>
          <w:rFonts w:ascii="Times New Roman" w:hAnsi="Times New Roman"/>
          <w:noProof/>
        </w:rPr>
        <w:t>, (iii)</w:t>
      </w:r>
      <w:r w:rsidR="00C202D2">
        <w:rPr>
          <w:rFonts w:ascii="Times New Roman" w:hAnsi="Times New Roman"/>
          <w:noProof/>
        </w:rPr>
        <w:t> </w:t>
      </w:r>
      <w:r>
        <w:rPr>
          <w:rFonts w:ascii="Times New Roman" w:hAnsi="Times New Roman"/>
          <w:noProof/>
        </w:rPr>
        <w:t>activitățile și activele legate de depozitele de deșeuri, incineratoare</w:t>
      </w:r>
      <w:r>
        <w:rPr>
          <w:rStyle w:val="FootnoteReference"/>
          <w:rFonts w:ascii="Times New Roman" w:eastAsia="Times New Roman" w:hAnsi="Times New Roman" w:cs="Times New Roman"/>
          <w:noProof/>
        </w:rPr>
        <w:footnoteReference w:id="101"/>
      </w:r>
      <w:r>
        <w:rPr>
          <w:rFonts w:ascii="Times New Roman" w:hAnsi="Times New Roman"/>
          <w:noProof/>
        </w:rPr>
        <w:t xml:space="preserve"> și stațiile de tratare mecano-biologică</w:t>
      </w:r>
      <w:r>
        <w:rPr>
          <w:rStyle w:val="FootnoteReference"/>
          <w:rFonts w:ascii="Times New Roman" w:eastAsia="Times New Roman" w:hAnsi="Times New Roman" w:cs="Times New Roman"/>
          <w:noProof/>
        </w:rPr>
        <w:footnoteReference w:id="102"/>
      </w:r>
      <w:r>
        <w:rPr>
          <w:rFonts w:ascii="Times New Roman" w:hAnsi="Times New Roman"/>
          <w:noProof/>
        </w:rPr>
        <w:t xml:space="preserve">. </w:t>
      </w:r>
    </w:p>
    <w:p w14:paraId="30271FB2" w14:textId="77777777" w:rsidR="00D924EA" w:rsidRDefault="00011DE9">
      <w:pPr>
        <w:pStyle w:val="P68B1DB1-ListParagraph34"/>
        <w:numPr>
          <w:ilvl w:val="2"/>
          <w:numId w:val="101"/>
        </w:numPr>
        <w:spacing w:line="259" w:lineRule="auto"/>
        <w:rPr>
          <w:rFonts w:eastAsia="Times New Roman" w:cs="Times New Roman"/>
          <w:noProof/>
        </w:rPr>
      </w:pPr>
      <w:r>
        <w:rPr>
          <w:noProof/>
        </w:rPr>
        <w:t>În plus, politica de investiții impune respectarea legislației UE și naționale relevante în materie de mediu de către beneficiarii finali ai facilității.</w:t>
      </w:r>
    </w:p>
    <w:p w14:paraId="67F7AFF3" w14:textId="77777777" w:rsidR="00D924EA" w:rsidRDefault="00011DE9">
      <w:pPr>
        <w:pStyle w:val="P68B1DB1-ListParagraph34"/>
        <w:numPr>
          <w:ilvl w:val="1"/>
          <w:numId w:val="101"/>
        </w:numPr>
        <w:spacing w:line="259" w:lineRule="auto"/>
        <w:rPr>
          <w:rFonts w:eastAsia="Times New Roman" w:cs="Times New Roman"/>
          <w:noProof/>
        </w:rPr>
      </w:pPr>
      <w:r>
        <w:rPr>
          <w:noProof/>
        </w:rPr>
        <w:t>Cerința ca beneficiarii finali ai mecanismului să nu primească sprijin din partea altor instrumente ale Uniunii pentru a acoperi aceleași costuri.</w:t>
      </w:r>
    </w:p>
    <w:p w14:paraId="2425F7A3" w14:textId="283AE7F1" w:rsidR="00D924EA" w:rsidRDefault="00011DE9">
      <w:pPr>
        <w:pStyle w:val="P68B1DB1-ListParagraph34"/>
        <w:numPr>
          <w:ilvl w:val="0"/>
          <w:numId w:val="101"/>
        </w:numPr>
        <w:spacing w:line="259" w:lineRule="auto"/>
        <w:jc w:val="both"/>
        <w:rPr>
          <w:rFonts w:eastAsia="Times New Roman" w:cs="Times New Roman"/>
          <w:noProof/>
        </w:rPr>
      </w:pPr>
      <w:r>
        <w:rPr>
          <w:noProof/>
        </w:rPr>
        <w:t>Suma care face obiectul acordului de punere în aplicare, structura comisioanelor pentru partenerul de implementare și cerința de a reinvesti orice restituiri în conformitate cu politica de investiții a mecanismului, cu excepția cazului în care acestea sunt utilizate pentru a rambursa împrumuturile din cadrul Mecanismului de redresare și reziliență.</w:t>
      </w:r>
    </w:p>
    <w:p w14:paraId="5F99F371" w14:textId="77777777" w:rsidR="00D924EA" w:rsidRDefault="00011DE9">
      <w:pPr>
        <w:pStyle w:val="P68B1DB1-ListParagraph34"/>
        <w:numPr>
          <w:ilvl w:val="0"/>
          <w:numId w:val="101"/>
        </w:numPr>
        <w:spacing w:line="259" w:lineRule="auto"/>
        <w:jc w:val="both"/>
        <w:rPr>
          <w:rFonts w:eastAsia="Times New Roman" w:cs="Times New Roman"/>
          <w:noProof/>
        </w:rPr>
      </w:pPr>
      <w:r>
        <w:rPr>
          <w:noProof/>
        </w:rPr>
        <w:t>Cerințe de monitorizare, audit și control, inclusiv:</w:t>
      </w:r>
    </w:p>
    <w:p w14:paraId="301D1DFA" w14:textId="56A68A8A" w:rsidR="00D924EA" w:rsidRDefault="00011DE9">
      <w:pPr>
        <w:pStyle w:val="P68B1DB1-ListParagraph34"/>
        <w:numPr>
          <w:ilvl w:val="1"/>
          <w:numId w:val="101"/>
        </w:numPr>
        <w:spacing w:line="259" w:lineRule="auto"/>
        <w:jc w:val="both"/>
        <w:rPr>
          <w:rFonts w:eastAsia="Times New Roman" w:cs="Times New Roman"/>
          <w:noProof/>
        </w:rPr>
      </w:pPr>
      <w:r>
        <w:rPr>
          <w:noProof/>
        </w:rPr>
        <w:t>Obligația de a verifica eligibilitatea fiecărei operațiuni în conformitate cu cerințele prevăzute în regulamentele de instituire a instrumentului înainte de a se angaja să finanțeze o operațiune.</w:t>
      </w:r>
    </w:p>
    <w:p w14:paraId="6813D72F" w14:textId="1D948B63" w:rsidR="00D924EA" w:rsidRDefault="00011DE9">
      <w:pPr>
        <w:pStyle w:val="P68B1DB1-ListParagraph34"/>
        <w:numPr>
          <w:ilvl w:val="1"/>
          <w:numId w:val="101"/>
        </w:numPr>
        <w:spacing w:line="259" w:lineRule="auto"/>
        <w:jc w:val="both"/>
        <w:rPr>
          <w:rFonts w:eastAsia="Times New Roman" w:cs="Times New Roman"/>
          <w:noProof/>
        </w:rPr>
      </w:pPr>
      <w:r>
        <w:rPr>
          <w:noProof/>
        </w:rPr>
        <w:t>Obligația de a efectua audituri ex post bazate pe riscuri, în conformitate cu un plan de audit al Grupului BEI. Aceste audituri verifică i) dacă sistemele de control sunt eficace, inclusiv detectarea fraudei, a corupției și a conflictelor de interese; respectarea principiului DNSH, a normelor privind ajutoarele de stat, a cerințelor privind țintele climatice și digitale; și iii) respectarea cerinței ca intermediarul să verifice dacă beneficiarul final prezintă o declarație responsabilă pentru a verifica dacă același cost este acoperit de un alt instrument al Uniunii.</w:t>
      </w:r>
      <w:r w:rsidR="00971820">
        <w:rPr>
          <w:noProof/>
        </w:rPr>
        <w:t xml:space="preserve"> </w:t>
      </w:r>
      <w:r>
        <w:rPr>
          <w:noProof/>
        </w:rPr>
        <w:t xml:space="preserve">Auditurile verifică, de asemenea, legalitatea tranzacțiilor și respectarea condițiilor din acordul de punere în aplicare și din acordurile de finanțare aplicabile. </w:t>
      </w:r>
    </w:p>
    <w:p w14:paraId="5C331E55" w14:textId="77777777" w:rsidR="00D924EA" w:rsidRDefault="00011DE9">
      <w:pPr>
        <w:pStyle w:val="P68B1DB1-ListParagraph34"/>
        <w:numPr>
          <w:ilvl w:val="1"/>
          <w:numId w:val="101"/>
        </w:numPr>
        <w:spacing w:line="259" w:lineRule="auto"/>
        <w:jc w:val="both"/>
        <w:rPr>
          <w:rFonts w:eastAsia="Times New Roman" w:cs="Times New Roman"/>
          <w:noProof/>
        </w:rPr>
      </w:pPr>
      <w:r>
        <w:rPr>
          <w:noProof/>
        </w:rPr>
        <w:t>Obligația Grupului BEI de a furniza controlorului general al administrației centrale („IGAE”) un raport anual de audit întocmit de auditorii săi externi.</w:t>
      </w:r>
    </w:p>
    <w:p w14:paraId="301F912D" w14:textId="62C98A3B" w:rsidR="00D924EA" w:rsidRDefault="00011DE9">
      <w:pPr>
        <w:pStyle w:val="ListParagraph"/>
        <w:numPr>
          <w:ilvl w:val="0"/>
          <w:numId w:val="101"/>
        </w:numPr>
        <w:spacing w:line="259" w:lineRule="auto"/>
        <w:jc w:val="both"/>
        <w:rPr>
          <w:rFonts w:ascii="Times New Roman" w:eastAsia="Times New Roman" w:hAnsi="Times New Roman" w:cs="Times New Roman"/>
          <w:noProof/>
        </w:rPr>
      </w:pPr>
      <w:r>
        <w:rPr>
          <w:rFonts w:ascii="Times New Roman" w:hAnsi="Times New Roman"/>
          <w:noProof/>
        </w:rPr>
        <w:t>Cerințe pentru investițiile în domeniul climei efectuate de partenerul de implementare: cel puțin 50 % din investițiile MRR în mecanism contribuie la obiectivele legate de schimbările climatice, în conformitate cu anexa VI la Regulamentul privind MRR</w:t>
      </w:r>
      <w:r>
        <w:rPr>
          <w:rStyle w:val="FootnoteReference"/>
          <w:rFonts w:ascii="Times New Roman" w:hAnsi="Times New Roman" w:cs="Times New Roman"/>
          <w:noProof/>
        </w:rPr>
        <w:footnoteReference w:id="103"/>
      </w:r>
      <w:r>
        <w:rPr>
          <w:rFonts w:ascii="Times New Roman" w:hAnsi="Times New Roman"/>
          <w:noProof/>
        </w:rPr>
        <w:t>.</w:t>
      </w:r>
    </w:p>
    <w:p w14:paraId="46112D36" w14:textId="2601EE36" w:rsidR="00D924EA" w:rsidRDefault="00011DE9">
      <w:pPr>
        <w:pStyle w:val="P68B1DB1-ListParagraph34"/>
        <w:numPr>
          <w:ilvl w:val="0"/>
          <w:numId w:val="101"/>
        </w:numPr>
        <w:spacing w:line="259" w:lineRule="auto"/>
        <w:jc w:val="both"/>
        <w:rPr>
          <w:rFonts w:eastAsia="Times New Roman" w:cs="Times New Roman"/>
          <w:noProof/>
        </w:rPr>
      </w:pPr>
      <w:r>
        <w:rPr>
          <w:noProof/>
        </w:rPr>
        <w:t>Cerințe pentru selectarea intermediarilor financiari: Grupul BEI selectează intermediarii financiari în mod deschis, transparent și nediscriminatoriu. Controalele privind absența conflictelor de interese în ceea ce privește intermediarii financiari au loc și se efectuează ex ante pentru toți actorii financiari implicați.</w:t>
      </w:r>
      <w:r w:rsidR="00971820">
        <w:rPr>
          <w:noProof/>
        </w:rPr>
        <w:t xml:space="preserve"> </w:t>
      </w:r>
    </w:p>
    <w:p w14:paraId="1C003D7F" w14:textId="6388E75F" w:rsidR="00D924EA" w:rsidRDefault="00011DE9">
      <w:pPr>
        <w:pStyle w:val="P68B1DB1-ListParagraph34"/>
        <w:numPr>
          <w:ilvl w:val="0"/>
          <w:numId w:val="101"/>
        </w:numPr>
        <w:spacing w:line="259" w:lineRule="auto"/>
        <w:jc w:val="both"/>
        <w:rPr>
          <w:rFonts w:eastAsia="Times New Roman" w:cs="Times New Roman"/>
          <w:noProof/>
        </w:rPr>
      </w:pPr>
      <w:r>
        <w:rPr>
          <w:noProof/>
        </w:rPr>
        <w:t>Cerința de a semna acorduri de finanțare: Grupul BEI semnează acorduri de finanțare cu intermediarii financiari în conformitate cu cerințele-cheie care sunt furnizate ca anexă la acordul de punere în aplicare. Cerințele-cheie ale acordului de finanțare includ toate cerințele în temeiul cărora funcționează mecanismul, inclusiv:</w:t>
      </w:r>
      <w:r w:rsidR="00971820">
        <w:rPr>
          <w:noProof/>
        </w:rPr>
        <w:t xml:space="preserve"> </w:t>
      </w:r>
    </w:p>
    <w:p w14:paraId="5043F28C" w14:textId="77777777" w:rsidR="00D924EA" w:rsidRDefault="00011DE9">
      <w:pPr>
        <w:pStyle w:val="P68B1DB1-ListParagraph34"/>
        <w:numPr>
          <w:ilvl w:val="1"/>
          <w:numId w:val="101"/>
        </w:numPr>
        <w:spacing w:line="259" w:lineRule="auto"/>
        <w:rPr>
          <w:rFonts w:cs="Times New Roman"/>
          <w:noProof/>
        </w:rPr>
      </w:pPr>
      <w:r>
        <w:rPr>
          <w:noProof/>
        </w:rPr>
        <w:t xml:space="preserve">Obligația intermediarului financiar de a lua decizii în conformitate </w:t>
      </w:r>
      <w:r>
        <w:rPr>
          <w:i/>
          <w:noProof/>
        </w:rPr>
        <w:t>mutatis mutandis</w:t>
      </w:r>
      <w:r>
        <w:rPr>
          <w:noProof/>
        </w:rPr>
        <w:t xml:space="preserve"> cu cerințele de luare a deciziilor și de politică de investiții specificate mai sus, inclusiv în ceea ce privește respectarea principiului DNSH. </w:t>
      </w:r>
    </w:p>
    <w:p w14:paraId="59BCD4A7" w14:textId="0FEC5571" w:rsidR="00D924EA" w:rsidRDefault="00011DE9">
      <w:pPr>
        <w:pStyle w:val="P68B1DB1-ListParagraph34"/>
        <w:numPr>
          <w:ilvl w:val="1"/>
          <w:numId w:val="101"/>
        </w:numPr>
        <w:spacing w:line="259" w:lineRule="auto"/>
        <w:rPr>
          <w:rFonts w:cs="Times New Roman"/>
          <w:noProof/>
        </w:rPr>
      </w:pPr>
      <w:r>
        <w:rPr>
          <w:noProof/>
        </w:rPr>
        <w:t xml:space="preserve">Descrierea cadrului de monitorizare, audit și control pe care intermediarul financiar trebuie să îl instituie și care, </w:t>
      </w:r>
      <w:r>
        <w:rPr>
          <w:i/>
          <w:noProof/>
        </w:rPr>
        <w:t>mutatis mutandis</w:t>
      </w:r>
      <w:r>
        <w:rPr>
          <w:noProof/>
        </w:rPr>
        <w:t>, face obiectul tuturor cerințelor de monitorizare, audit și control specificate mai sus.</w:t>
      </w:r>
      <w:r w:rsidR="00971820">
        <w:rPr>
          <w:noProof/>
        </w:rPr>
        <w:t xml:space="preserve"> </w:t>
      </w:r>
    </w:p>
    <w:p w14:paraId="3C36E4CF" w14:textId="77777777" w:rsidR="00D924EA" w:rsidRDefault="00011DE9">
      <w:pPr>
        <w:pStyle w:val="P68B1DB1-Normal29"/>
        <w:spacing w:before="160" w:after="0" w:line="240" w:lineRule="auto"/>
        <w:jc w:val="both"/>
        <w:rPr>
          <w:rFonts w:eastAsia="Times New Roman" w:cs="Times New Roman"/>
          <w:noProof/>
        </w:rPr>
      </w:pPr>
      <w:r>
        <w:rPr>
          <w:noProof/>
        </w:rPr>
        <w:t>Contribuția la compartimentul pentru statele membre al InvestEU (500</w:t>
      </w:r>
      <w:r>
        <w:rPr>
          <w:noProof/>
          <w:sz w:val="20"/>
        </w:rPr>
        <w:t xml:space="preserve"> </w:t>
      </w:r>
      <w:r>
        <w:rPr>
          <w:noProof/>
        </w:rPr>
        <w:t>000</w:t>
      </w:r>
      <w:r>
        <w:rPr>
          <w:noProof/>
          <w:sz w:val="20"/>
        </w:rPr>
        <w:t xml:space="preserve"> </w:t>
      </w:r>
      <w:r>
        <w:rPr>
          <w:noProof/>
        </w:rPr>
        <w:t>000 EUR) se utilizează pentru</w:t>
      </w:r>
      <w:r>
        <w:rPr>
          <w:b/>
          <w:noProof/>
        </w:rPr>
        <w:t xml:space="preserve"> </w:t>
      </w:r>
      <w:r>
        <w:rPr>
          <w:noProof/>
        </w:rPr>
        <w:t>finanțarea IMM-urilor, a întreprinderilor cu capitalizare medie și a persoanelor fizice, inclusiv prin obligațiuni, împrumuturi, leasing, datorii subordonate, factoring, garanții bancare sau finanțare a comerțului.</w:t>
      </w:r>
    </w:p>
    <w:p w14:paraId="20F4A062" w14:textId="77777777" w:rsidR="00D924EA" w:rsidRDefault="00011DE9">
      <w:pPr>
        <w:pStyle w:val="P68B1DB1-Normal29"/>
        <w:spacing w:before="160" w:after="0" w:line="240" w:lineRule="auto"/>
        <w:jc w:val="both"/>
        <w:rPr>
          <w:rFonts w:eastAsia="Times New Roman" w:cs="Times New Roman"/>
          <w:noProof/>
        </w:rPr>
      </w:pPr>
      <w:r>
        <w:rPr>
          <w:noProof/>
        </w:rPr>
        <w:t>Intră în vigoare un acord de garantare între Comisie și partenerul de implementare, selectat în conformitate cu dispozițiile relevante din Regulamentul (UE) 2021/523 al Parlamentului European și al Consiliului din 24 martie 2021 de instituire a Programului InvestEU și de modificare a Regulamentului (UE) 2015/1017. Spania a propus FEI ca partener de implementare în scopul punerii în aplicare a acestei măsuri.</w:t>
      </w:r>
    </w:p>
    <w:p w14:paraId="63B99881" w14:textId="77777777" w:rsidR="00D924EA" w:rsidRDefault="00011DE9">
      <w:pPr>
        <w:pStyle w:val="P68B1DB1-Normal29"/>
        <w:spacing w:before="160" w:after="0" w:line="240" w:lineRule="auto"/>
        <w:jc w:val="both"/>
        <w:rPr>
          <w:rFonts w:eastAsia="Times New Roman" w:cs="Times New Roman"/>
          <w:noProof/>
        </w:rPr>
      </w:pPr>
      <w:r>
        <w:rPr>
          <w:noProof/>
        </w:rPr>
        <w:t xml:space="preserve">Spania semnează un acord de contribuție cu Comisia Europeană, care include: </w:t>
      </w:r>
    </w:p>
    <w:p w14:paraId="621C82F3" w14:textId="77777777" w:rsidR="00D924EA" w:rsidRDefault="00011DE9">
      <w:pPr>
        <w:pStyle w:val="P68B1DB1-ListParagraph34"/>
        <w:numPr>
          <w:ilvl w:val="0"/>
          <w:numId w:val="93"/>
        </w:numPr>
        <w:spacing w:before="160" w:after="0" w:line="240" w:lineRule="auto"/>
        <w:jc w:val="both"/>
        <w:rPr>
          <w:rFonts w:eastAsia="Times New Roman" w:cs="Times New Roman"/>
          <w:noProof/>
        </w:rPr>
      </w:pPr>
      <w:r>
        <w:rPr>
          <w:noProof/>
        </w:rPr>
        <w:t xml:space="preserve">Partenerul de implementare propus. </w:t>
      </w:r>
    </w:p>
    <w:p w14:paraId="7AD8884E" w14:textId="2E13F39F" w:rsidR="00D924EA" w:rsidRDefault="00011DE9">
      <w:pPr>
        <w:pStyle w:val="ListParagraph"/>
        <w:numPr>
          <w:ilvl w:val="0"/>
          <w:numId w:val="93"/>
        </w:numPr>
        <w:spacing w:before="160" w:after="0" w:line="240" w:lineRule="auto"/>
        <w:jc w:val="both"/>
        <w:rPr>
          <w:rFonts w:ascii="Times New Roman" w:eastAsia="Times New Roman" w:hAnsi="Times New Roman" w:cs="Times New Roman"/>
          <w:noProof/>
        </w:rPr>
      </w:pPr>
      <w:r>
        <w:rPr>
          <w:rFonts w:ascii="Times New Roman" w:hAnsi="Times New Roman"/>
          <w:noProof/>
        </w:rPr>
        <w:t>Cerința de conformitate cu Orientările tehnice DNSH (2021/C58/01). Dacă este necesar, acordul de garantare exclude de la eligibilitate următoarea listă de activități și active: (I)</w:t>
      </w:r>
      <w:r w:rsidR="00C202D2">
        <w:rPr>
          <w:rFonts w:ascii="Times New Roman" w:hAnsi="Times New Roman"/>
          <w:noProof/>
        </w:rPr>
        <w:t> </w:t>
      </w:r>
      <w:r>
        <w:rPr>
          <w:rFonts w:ascii="Times New Roman" w:hAnsi="Times New Roman"/>
          <w:noProof/>
        </w:rPr>
        <w:t>activități și active legate de combustibilii fosili, inclusiv utilizarea în aval</w:t>
      </w:r>
      <w:r>
        <w:rPr>
          <w:rStyle w:val="FootnoteReference"/>
          <w:rFonts w:ascii="Times New Roman" w:eastAsia="Times New Roman" w:hAnsi="Times New Roman" w:cs="Times New Roman"/>
          <w:noProof/>
        </w:rPr>
        <w:footnoteReference w:id="104"/>
      </w:r>
      <w:r>
        <w:rPr>
          <w:rFonts w:ascii="Times New Roman" w:hAnsi="Times New Roman"/>
          <w:noProof/>
        </w:rPr>
        <w:t>; (II)</w:t>
      </w:r>
      <w:r w:rsidR="00C202D2">
        <w:rPr>
          <w:rFonts w:ascii="Times New Roman" w:hAnsi="Times New Roman"/>
          <w:noProof/>
        </w:rPr>
        <w:t> </w:t>
      </w:r>
      <w:r>
        <w:rPr>
          <w:rFonts w:ascii="Times New Roman" w:hAnsi="Times New Roman"/>
          <w:noProof/>
        </w:rPr>
        <w:t>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Times New Roman" w:hAnsi="Times New Roman" w:cs="Times New Roman"/>
          <w:noProof/>
        </w:rPr>
        <w:footnoteReference w:id="105"/>
      </w:r>
      <w:r>
        <w:rPr>
          <w:rFonts w:ascii="Times New Roman" w:hAnsi="Times New Roman"/>
          <w:noProof/>
        </w:rPr>
        <w:t>; (III) activități și active legate de depozitele de deșeuri, incineratoare</w:t>
      </w:r>
      <w:r>
        <w:rPr>
          <w:rStyle w:val="FootnoteReference"/>
          <w:rFonts w:ascii="Times New Roman" w:eastAsia="Times New Roman" w:hAnsi="Times New Roman" w:cs="Times New Roman"/>
          <w:noProof/>
        </w:rPr>
        <w:footnoteReference w:id="106"/>
      </w:r>
      <w:r>
        <w:rPr>
          <w:rFonts w:ascii="Times New Roman" w:hAnsi="Times New Roman"/>
          <w:noProof/>
        </w:rPr>
        <w:t xml:space="preserve"> și stații de tratare mecano-biologică</w:t>
      </w:r>
      <w:r>
        <w:rPr>
          <w:rStyle w:val="FootnoteReference"/>
          <w:rFonts w:ascii="Times New Roman" w:eastAsia="Times New Roman" w:hAnsi="Times New Roman" w:cs="Times New Roman"/>
          <w:noProof/>
        </w:rPr>
        <w:footnoteReference w:id="107"/>
      </w:r>
      <w:r>
        <w:rPr>
          <w:rFonts w:ascii="Times New Roman" w:hAnsi="Times New Roman"/>
          <w:noProof/>
        </w:rPr>
        <w:t>.</w:t>
      </w:r>
    </w:p>
    <w:p w14:paraId="62B5F9B5" w14:textId="77777777" w:rsidR="00D924EA" w:rsidRDefault="00D924EA">
      <w:pPr>
        <w:pStyle w:val="paragraph"/>
        <w:spacing w:before="0" w:beforeAutospacing="0" w:after="0" w:afterAutospacing="0"/>
        <w:ind w:left="720"/>
        <w:jc w:val="both"/>
        <w:textAlignment w:val="baseline"/>
        <w:rPr>
          <w:rFonts w:ascii="Times New Roman" w:hAnsi="Times New Roman"/>
          <w:noProof/>
        </w:rPr>
      </w:pPr>
    </w:p>
    <w:p w14:paraId="311BB51E" w14:textId="37879E13" w:rsidR="00D924EA" w:rsidRDefault="00011DE9">
      <w:pPr>
        <w:pStyle w:val="P68B1DB1-Normal67"/>
        <w:spacing w:before="160" w:after="0" w:line="240" w:lineRule="auto"/>
        <w:jc w:val="both"/>
        <w:rPr>
          <w:rFonts w:eastAsia="Times New Roman"/>
          <w:noProof/>
        </w:rPr>
      </w:pPr>
      <w:r>
        <w:rPr>
          <w:noProof/>
        </w:rPr>
        <w:t>Investiția 15 (C13.I15): Injecția de capital în ICO</w:t>
      </w:r>
    </w:p>
    <w:p w14:paraId="67B6EA88" w14:textId="15B4B163" w:rsidR="00D924EA" w:rsidRDefault="00011DE9">
      <w:pPr>
        <w:pStyle w:val="P68B1DB1-Normal12"/>
        <w:spacing w:before="160" w:after="0" w:line="240" w:lineRule="auto"/>
        <w:jc w:val="both"/>
        <w:rPr>
          <w:noProof/>
        </w:rPr>
      </w:pPr>
      <w:r>
        <w:rPr>
          <w:noProof/>
        </w:rPr>
        <w:t xml:space="preserve">Această măsură vizează sprijinirea potențialului de creștere al economiei spaniole prin ajustarea structurală a nivelului sprijinului public disponibil pentru a remedia disfuncționalitățile pieței și ineficiențele din cadrul economiei. Măsura constă într-o injecție de capital în valoare de 9 662 420 429 EUR în favoarea Instituto de Crédito Oficial (ICO). </w:t>
      </w:r>
    </w:p>
    <w:p w14:paraId="6F505CCA" w14:textId="77777777" w:rsidR="00D924EA" w:rsidRDefault="00011DE9">
      <w:pPr>
        <w:pStyle w:val="P68B1DB1-Normal12"/>
        <w:spacing w:before="160" w:after="0" w:line="240" w:lineRule="auto"/>
        <w:jc w:val="both"/>
        <w:rPr>
          <w:noProof/>
        </w:rPr>
      </w:pPr>
      <w:r>
        <w:rPr>
          <w:noProof/>
        </w:rPr>
        <w:t>ICO adoptă o nouă politică de investiții pentru utilizarea capitalului propriu suplimentar. Politica de investiții include descrierea produsului (produselor) financiar (financiare) cu tipul preconizat de beneficiari finali eligibili pe care se preconizează că îl va sprijini inițial prin capitaluri proprii suplimentare, inclusiv calendarul preconizat pentru punerea în aplicare și valoarea preconizată a fiecărui produs financiar. ICO utilizează pentru capitalurile proprii suplimentare același sistem de audit și control care a fost evaluat pozitiv de Comisie în conformitate cu articolul 157 din Regulamentul (UE, Euratom) 2024/2509.</w:t>
      </w:r>
    </w:p>
    <w:p w14:paraId="3FD94A62" w14:textId="3EF1D86D" w:rsidR="00D924EA" w:rsidRDefault="00011DE9">
      <w:pPr>
        <w:pStyle w:val="NormalWeb"/>
        <w:spacing w:before="160" w:after="0" w:line="240" w:lineRule="auto"/>
        <w:jc w:val="both"/>
        <w:rPr>
          <w:rFonts w:eastAsia="Times New Roman"/>
          <w:noProof/>
        </w:rPr>
      </w:pPr>
      <w:r>
        <w:rPr>
          <w:noProof/>
        </w:rPr>
        <w:t>Politica de investiții impune ca produsul (produsele) financiar (financiare) pe care îl (le) sprijină capitalurile proprii suplimentare să respecte principiul de „a nu prejudicia în mod semnificativ”, astfel cum este prevăzut în Orientările tehnice privind aplicarea principiului de „a nu prejudicia în mod semnificativ” (2021/C58/01). În special, politica de investiții exclude de la eligibilitate următoarea listă de activități și active: (I) activitățile și activele legate de combustibilii fosili, inclusiv utilizarea în aval</w:t>
      </w:r>
      <w:r>
        <w:rPr>
          <w:noProof/>
        </w:rPr>
        <w:footnoteReference w:id="108"/>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109"/>
      </w:r>
      <w:r>
        <w:rPr>
          <w:noProof/>
        </w:rPr>
        <w:t>, (iii) activitățile și activele legate de depozitele de deșeuri, incineratoare</w:t>
      </w:r>
      <w:r>
        <w:rPr>
          <w:noProof/>
        </w:rPr>
        <w:footnoteReference w:id="110"/>
      </w:r>
      <w:r>
        <w:rPr>
          <w:noProof/>
        </w:rPr>
        <w:t xml:space="preserve"> și stațiile de tratare mecano-biologică</w:t>
      </w:r>
      <w:r>
        <w:rPr>
          <w:noProof/>
        </w:rPr>
        <w:footnoteReference w:id="111"/>
      </w:r>
      <w:r>
        <w:rPr>
          <w:noProof/>
        </w:rPr>
        <w:t>. În plus, în cazul sprijinului general acordat întreprinderilor, politica de investiții va exclude întreprinderile cu un accent considerabil</w:t>
      </w:r>
      <w:r>
        <w:rPr>
          <w:noProof/>
        </w:rPr>
        <w:footnoteReference w:id="112"/>
      </w:r>
      <w:r>
        <w:rPr>
          <w:noProof/>
        </w:rPr>
        <w:t xml:space="preserve"> în următoarele sectoare: (I) producția de energie pe bază de combustibili fosili și activitățile conexe</w:t>
      </w:r>
      <w:r>
        <w:rPr>
          <w:noProof/>
        </w:rPr>
        <w:footnoteReference w:id="113"/>
      </w:r>
      <w:r>
        <w:rPr>
          <w:noProof/>
        </w:rPr>
        <w:t>; (II) industriile mari consumatoare de energie și/sau cu emisii ridicate de CO2</w:t>
      </w:r>
      <w:r>
        <w:rPr>
          <w:noProof/>
        </w:rPr>
        <w:footnoteReference w:id="114"/>
      </w:r>
      <w:r>
        <w:rPr>
          <w:noProof/>
        </w:rPr>
        <w:t>; (III) producția, închirierea sau vânzarea de vehicule poluante</w:t>
      </w:r>
      <w:r>
        <w:rPr>
          <w:noProof/>
        </w:rPr>
        <w:footnoteReference w:id="115"/>
      </w:r>
      <w:r>
        <w:rPr>
          <w:noProof/>
        </w:rPr>
        <w:t>; (IV) colectarea deșeurilor, tratarea și eliminarea deșeurilor</w:t>
      </w:r>
      <w:r>
        <w:rPr>
          <w:noProof/>
        </w:rPr>
        <w:footnoteReference w:id="116"/>
      </w:r>
      <w:r>
        <w:rPr>
          <w:noProof/>
        </w:rPr>
        <w:t>, (v) prelucrarea combustibilului nuclear, producția de energie nucleară. În plus, politica în materie de investiții impune respectarea legislației UE și naționale relevante în domeniul mediului a beneficiarilor finali.</w:t>
      </w:r>
    </w:p>
    <w:p w14:paraId="792FAE08" w14:textId="77777777" w:rsidR="00D924EA" w:rsidRDefault="00D924EA">
      <w:pPr>
        <w:pStyle w:val="paragraph"/>
        <w:spacing w:before="0" w:beforeAutospacing="0" w:after="0" w:afterAutospacing="0"/>
        <w:jc w:val="both"/>
        <w:textAlignment w:val="baseline"/>
        <w:rPr>
          <w:rFonts w:ascii="Times New Roman" w:eastAsiaTheme="minorHAnsi" w:hAnsi="Times New Roman" w:cstheme="minorBidi"/>
          <w:noProof/>
          <w:szCs w:val="22"/>
        </w:rPr>
      </w:pPr>
    </w:p>
    <w:p w14:paraId="35345BFF" w14:textId="77777777" w:rsidR="00D924EA" w:rsidRDefault="00011DE9">
      <w:pPr>
        <w:pStyle w:val="paragraph"/>
        <w:spacing w:before="0" w:beforeAutospacing="0" w:after="0" w:afterAutospacing="0"/>
        <w:jc w:val="both"/>
        <w:textAlignment w:val="baseline"/>
        <w:rPr>
          <w:rFonts w:ascii="Times New Roman" w:hAnsi="Times New Roman" w:cs="Times New Roman"/>
          <w:b/>
          <w:noProof/>
          <w:u w:val="single"/>
        </w:rPr>
      </w:pPr>
      <w:r>
        <w:rPr>
          <w:rFonts w:ascii="Times New Roman" w:hAnsi="Times New Roman"/>
          <w:b/>
          <w:noProof/>
          <w:u w:val="single"/>
        </w:rPr>
        <w:t xml:space="preserve">M.4. </w:t>
      </w:r>
      <w:r>
        <w:rPr>
          <w:noProof/>
        </w:rPr>
        <w:t></w:t>
      </w:r>
      <w:r>
        <w:rPr>
          <w:rFonts w:ascii="Times New Roman" w:hAnsi="Times New Roman"/>
          <w:b/>
          <w:noProof/>
          <w:u w:val="single"/>
        </w:rPr>
        <w:t>Jaloane, ținte, indicatori și calendarul de monitorizare și punere în aplicare pentru sprijinul sub formă de împrumut</w:t>
      </w:r>
    </w:p>
    <w:p w14:paraId="34BA1F7A" w14:textId="77777777" w:rsidR="00D924EA" w:rsidRDefault="00D924EA">
      <w:pPr>
        <w:pStyle w:val="paragraph"/>
        <w:spacing w:before="0" w:beforeAutospacing="0" w:after="0" w:afterAutospacing="0"/>
        <w:jc w:val="both"/>
        <w:textAlignment w:val="baseline"/>
        <w:rPr>
          <w:rFonts w:ascii="Times New Roman" w:hAnsi="Times New Roman" w:cs="Times New Roman"/>
          <w:b/>
          <w:bCs/>
          <w:noProof/>
          <w:u w:val="single"/>
        </w:rPr>
      </w:pPr>
    </w:p>
    <w:p w14:paraId="63565CFE" w14:textId="77777777" w:rsidR="00D924EA" w:rsidRDefault="00011DE9">
      <w:pPr>
        <w:pStyle w:val="P68B1DB1-paragraph81"/>
        <w:spacing w:before="0" w:beforeAutospacing="0" w:after="0" w:afterAutospacing="0"/>
        <w:jc w:val="both"/>
        <w:textAlignment w:val="baseline"/>
        <w:rPr>
          <w:iCs/>
          <w:noProof/>
        </w:rPr>
      </w:pPr>
      <w:r>
        <w:rPr>
          <w:noProof/>
        </w:rPr>
        <w:t xml:space="preserve">A se vedea tabelul de mai jos. Data de referință pentru toți indicatorii este 1 februarie 2020, cu excepția cazului în care se indică altfel în descrierea acțiunii. </w:t>
      </w:r>
    </w:p>
    <w:p w14:paraId="6FF528FB" w14:textId="77777777" w:rsidR="00D924EA" w:rsidRDefault="00D924EA">
      <w:pPr>
        <w:rPr>
          <w:rFonts w:ascii="Times New Roman" w:hAnsi="Times New Roman" w:cs="Times New Roman"/>
          <w:noProof/>
        </w:rPr>
      </w:pPr>
    </w:p>
    <w:p w14:paraId="65763D67" w14:textId="77777777" w:rsidR="00D924EA" w:rsidRDefault="00D924EA">
      <w:pPr>
        <w:rPr>
          <w:rFonts w:ascii="Times New Roman" w:eastAsia="Symbol" w:hAnsi="Times New Roman" w:cs="Symbol"/>
          <w:i/>
          <w:noProof/>
          <w:kern w:val="0"/>
          <w14:ligatures w14:val="none"/>
        </w:rPr>
      </w:pPr>
    </w:p>
    <w:p w14:paraId="041E8418" w14:textId="77777777" w:rsidR="00D924EA" w:rsidRDefault="00D924EA">
      <w:pPr>
        <w:rPr>
          <w:rFonts w:ascii="Times New Roman" w:hAnsi="Times New Roman" w:cs="Times New Roman"/>
          <w:noProof/>
        </w:rPr>
        <w:sectPr w:rsidR="00D924EA" w:rsidSect="00B528FB">
          <w:headerReference w:type="default" r:id="rId190"/>
          <w:footerReference w:type="default" r:id="rId191"/>
          <w:pgSz w:w="11907" w:h="16839"/>
          <w:pgMar w:top="1134" w:right="1134" w:bottom="1134" w:left="1134" w:header="567" w:footer="567" w:gutter="0"/>
          <w:cols w:space="720"/>
          <w:docGrid w:linePitch="360"/>
        </w:sectPr>
      </w:pPr>
    </w:p>
    <w:tbl>
      <w:tblPr>
        <w:tblpPr w:leftFromText="180" w:rightFromText="180" w:vertAnchor="text" w:tblpXSpec="center" w:tblpY="1"/>
        <w:tblOverlap w:val="never"/>
        <w:tblW w:w="14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9"/>
        <w:gridCol w:w="833"/>
        <w:gridCol w:w="835"/>
        <w:gridCol w:w="2224"/>
        <w:gridCol w:w="1112"/>
        <w:gridCol w:w="696"/>
        <w:gridCol w:w="973"/>
        <w:gridCol w:w="696"/>
        <w:gridCol w:w="696"/>
        <w:gridCol w:w="696"/>
        <w:gridCol w:w="4861"/>
      </w:tblGrid>
      <w:tr w:rsidR="00D924EA" w14:paraId="1CD78EF3" w14:textId="77777777">
        <w:trPr>
          <w:trHeight w:val="300"/>
          <w:tblHeader/>
          <w:jc w:val="center"/>
        </w:trPr>
        <w:tc>
          <w:tcPr>
            <w:tcW w:w="829" w:type="dxa"/>
            <w:vMerge w:val="restart"/>
            <w:shd w:val="clear" w:color="auto" w:fill="B7D4EF"/>
            <w:vAlign w:val="center"/>
            <w:hideMark/>
          </w:tcPr>
          <w:p w14:paraId="21BE40DF" w14:textId="77777777" w:rsidR="00D924EA" w:rsidRDefault="00011DE9">
            <w:pPr>
              <w:pStyle w:val="P68B1DB1-Normal23"/>
              <w:spacing w:after="0" w:line="240" w:lineRule="auto"/>
              <w:jc w:val="center"/>
              <w:textAlignment w:val="baseline"/>
              <w:rPr>
                <w:rFonts w:eastAsia="Times New Roman" w:cs="Times New Roman"/>
                <w:noProof/>
                <w:szCs w:val="18"/>
              </w:rPr>
            </w:pPr>
            <w:r>
              <w:rPr>
                <w:b/>
                <w:noProof/>
              </w:rPr>
              <w:t>Număr</w:t>
            </w:r>
            <w:r>
              <w:rPr>
                <w:noProof/>
              </w:rPr>
              <w:t xml:space="preserve"> </w:t>
            </w:r>
          </w:p>
          <w:p w14:paraId="1ACB6EAD"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 xml:space="preserve"> </w:t>
            </w:r>
          </w:p>
        </w:tc>
        <w:tc>
          <w:tcPr>
            <w:tcW w:w="833" w:type="dxa"/>
            <w:vMerge w:val="restart"/>
            <w:shd w:val="clear" w:color="auto" w:fill="B7D4EF"/>
            <w:vAlign w:val="center"/>
            <w:hideMark/>
          </w:tcPr>
          <w:p w14:paraId="09619727" w14:textId="77777777" w:rsidR="00D924EA" w:rsidRDefault="00011DE9">
            <w:pPr>
              <w:pStyle w:val="P68B1DB1-Normal28"/>
              <w:spacing w:after="0" w:line="240" w:lineRule="auto"/>
              <w:jc w:val="center"/>
              <w:textAlignment w:val="baseline"/>
              <w:rPr>
                <w:rFonts w:eastAsia="Times New Roman" w:cs="Times New Roman"/>
                <w:noProof/>
                <w:szCs w:val="18"/>
              </w:rPr>
            </w:pPr>
            <w:r>
              <w:rPr>
                <w:noProof/>
              </w:rPr>
              <w:t>Măsură</w:t>
            </w:r>
          </w:p>
          <w:p w14:paraId="7FF05E66"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 xml:space="preserve"> </w:t>
            </w:r>
          </w:p>
        </w:tc>
        <w:tc>
          <w:tcPr>
            <w:tcW w:w="835" w:type="dxa"/>
            <w:vMerge w:val="restart"/>
            <w:shd w:val="clear" w:color="auto" w:fill="B7D4EF"/>
            <w:vAlign w:val="center"/>
            <w:hideMark/>
          </w:tcPr>
          <w:p w14:paraId="436267D7" w14:textId="425D36E9" w:rsidR="00D924EA" w:rsidRDefault="00011DE9">
            <w:pPr>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sz w:val="18"/>
              </w:rPr>
              <w:t>Etapă</w:t>
            </w:r>
            <w:r w:rsidR="00971820">
              <w:rPr>
                <w:rFonts w:ascii="Times New Roman" w:hAnsi="Times New Roman"/>
                <w:noProof/>
                <w:sz w:val="18"/>
              </w:rPr>
              <w:t xml:space="preserve"> </w:t>
            </w:r>
            <w:r>
              <w:rPr>
                <w:noProof/>
              </w:rPr>
              <w:t xml:space="preserve"> </w:t>
            </w:r>
            <w:r>
              <w:rPr>
                <w:noProof/>
              </w:rPr>
              <w:br/>
            </w:r>
            <w:r>
              <w:rPr>
                <w:rFonts w:ascii="Times New Roman" w:hAnsi="Times New Roman"/>
                <w:b/>
                <w:noProof/>
                <w:sz w:val="18"/>
              </w:rPr>
              <w:t>/Țintei</w:t>
            </w:r>
            <w:r>
              <w:rPr>
                <w:rFonts w:ascii="Times New Roman" w:hAnsi="Times New Roman"/>
                <w:noProof/>
                <w:sz w:val="18"/>
              </w:rPr>
              <w:t xml:space="preserve"> </w:t>
            </w:r>
          </w:p>
        </w:tc>
        <w:tc>
          <w:tcPr>
            <w:tcW w:w="2224" w:type="dxa"/>
            <w:vMerge w:val="restart"/>
            <w:shd w:val="clear" w:color="auto" w:fill="B7D4EF"/>
            <w:vAlign w:val="center"/>
            <w:hideMark/>
          </w:tcPr>
          <w:p w14:paraId="31367574" w14:textId="77777777" w:rsidR="00D924EA" w:rsidRDefault="00011DE9">
            <w:pPr>
              <w:pStyle w:val="P68B1DB1-Normal23"/>
              <w:spacing w:after="0" w:line="240" w:lineRule="auto"/>
              <w:jc w:val="center"/>
              <w:textAlignment w:val="baseline"/>
              <w:rPr>
                <w:rFonts w:eastAsia="Times New Roman" w:cs="Times New Roman"/>
                <w:noProof/>
                <w:szCs w:val="18"/>
              </w:rPr>
            </w:pPr>
            <w:r>
              <w:rPr>
                <w:b/>
                <w:noProof/>
              </w:rPr>
              <w:t>Nume</w:t>
            </w:r>
            <w:r>
              <w:rPr>
                <w:noProof/>
              </w:rPr>
              <w:t xml:space="preserve"> </w:t>
            </w:r>
          </w:p>
        </w:tc>
        <w:tc>
          <w:tcPr>
            <w:tcW w:w="1112" w:type="dxa"/>
            <w:vMerge w:val="restart"/>
            <w:shd w:val="clear" w:color="auto" w:fill="B7D4EF"/>
            <w:vAlign w:val="center"/>
            <w:hideMark/>
          </w:tcPr>
          <w:p w14:paraId="1144AE86" w14:textId="77777777" w:rsidR="00D924EA" w:rsidRDefault="00011DE9">
            <w:pPr>
              <w:pStyle w:val="P68B1DB1-Normal23"/>
              <w:spacing w:after="0" w:line="240" w:lineRule="auto"/>
              <w:jc w:val="center"/>
              <w:textAlignment w:val="baseline"/>
              <w:rPr>
                <w:rFonts w:eastAsia="Times New Roman" w:cs="Times New Roman"/>
                <w:noProof/>
                <w:szCs w:val="18"/>
              </w:rPr>
            </w:pPr>
            <w:r>
              <w:rPr>
                <w:b/>
                <w:noProof/>
              </w:rPr>
              <w:t>Indicator calitativ pentru jaloane</w:t>
            </w:r>
            <w:r>
              <w:rPr>
                <w:noProof/>
              </w:rPr>
              <w:t xml:space="preserve"> </w:t>
            </w:r>
          </w:p>
          <w:p w14:paraId="12E7F3D2"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 xml:space="preserve"> </w:t>
            </w:r>
          </w:p>
        </w:tc>
        <w:tc>
          <w:tcPr>
            <w:tcW w:w="2365" w:type="dxa"/>
            <w:gridSpan w:val="3"/>
            <w:shd w:val="clear" w:color="auto" w:fill="B7D4EF"/>
            <w:vAlign w:val="center"/>
            <w:hideMark/>
          </w:tcPr>
          <w:p w14:paraId="6781680C" w14:textId="77777777" w:rsidR="00D924EA" w:rsidRDefault="00011DE9">
            <w:pPr>
              <w:pStyle w:val="P68B1DB1-Normal23"/>
              <w:spacing w:after="0" w:line="240" w:lineRule="auto"/>
              <w:jc w:val="center"/>
              <w:textAlignment w:val="baseline"/>
              <w:rPr>
                <w:rFonts w:eastAsia="Times New Roman" w:cs="Times New Roman"/>
                <w:noProof/>
                <w:szCs w:val="18"/>
              </w:rPr>
            </w:pPr>
            <w:r>
              <w:rPr>
                <w:b/>
                <w:noProof/>
              </w:rPr>
              <w:t>Indicator cantitativ pentru ținte</w:t>
            </w:r>
            <w:r>
              <w:rPr>
                <w:noProof/>
              </w:rPr>
              <w:t xml:space="preserve"> </w:t>
            </w:r>
          </w:p>
        </w:tc>
        <w:tc>
          <w:tcPr>
            <w:tcW w:w="1392" w:type="dxa"/>
            <w:gridSpan w:val="2"/>
            <w:shd w:val="clear" w:color="auto" w:fill="B7D4EF"/>
            <w:vAlign w:val="center"/>
            <w:hideMark/>
          </w:tcPr>
          <w:p w14:paraId="6A818D5E" w14:textId="77777777" w:rsidR="00D924EA" w:rsidRDefault="00011DE9">
            <w:pPr>
              <w:pStyle w:val="P68B1DB1-Normal23"/>
              <w:spacing w:after="0" w:line="240" w:lineRule="auto"/>
              <w:jc w:val="center"/>
              <w:textAlignment w:val="baseline"/>
              <w:rPr>
                <w:rFonts w:eastAsia="Times New Roman" w:cs="Times New Roman"/>
                <w:noProof/>
                <w:szCs w:val="18"/>
              </w:rPr>
            </w:pPr>
            <w:r>
              <w:rPr>
                <w:b/>
                <w:noProof/>
              </w:rPr>
              <w:t>Timp</w:t>
            </w:r>
            <w:r>
              <w:rPr>
                <w:noProof/>
              </w:rPr>
              <w:t xml:space="preserve"> </w:t>
            </w:r>
          </w:p>
        </w:tc>
        <w:tc>
          <w:tcPr>
            <w:tcW w:w="4861" w:type="dxa"/>
            <w:vMerge w:val="restart"/>
            <w:shd w:val="clear" w:color="auto" w:fill="B7D4EF"/>
            <w:vAlign w:val="center"/>
            <w:hideMark/>
          </w:tcPr>
          <w:p w14:paraId="07193667" w14:textId="77777777" w:rsidR="00D924EA" w:rsidRDefault="00011DE9">
            <w:pPr>
              <w:pStyle w:val="P68B1DB1-Normal28"/>
              <w:spacing w:after="0" w:line="240" w:lineRule="auto"/>
              <w:jc w:val="center"/>
              <w:textAlignment w:val="baseline"/>
              <w:rPr>
                <w:rFonts w:eastAsia="Times New Roman" w:cs="Times New Roman"/>
                <w:noProof/>
                <w:szCs w:val="18"/>
              </w:rPr>
            </w:pPr>
            <w:r>
              <w:rPr>
                <w:noProof/>
              </w:rPr>
              <w:t>Descrierea fiecărui jalon și a fiecărei ținte</w:t>
            </w:r>
          </w:p>
          <w:p w14:paraId="6D48CC6E" w14:textId="77777777" w:rsidR="00D924EA" w:rsidRDefault="00011DE9">
            <w:pPr>
              <w:pStyle w:val="P68B1DB1-Normal23"/>
              <w:spacing w:after="0" w:line="240" w:lineRule="auto"/>
              <w:textAlignment w:val="baseline"/>
              <w:rPr>
                <w:rFonts w:eastAsia="Times New Roman" w:cs="Times New Roman"/>
                <w:noProof/>
                <w:szCs w:val="18"/>
              </w:rPr>
            </w:pPr>
            <w:r>
              <w:rPr>
                <w:noProof/>
              </w:rPr>
              <w:t xml:space="preserve"> </w:t>
            </w:r>
          </w:p>
        </w:tc>
      </w:tr>
      <w:tr w:rsidR="00D924EA" w14:paraId="4B767D95" w14:textId="77777777">
        <w:trPr>
          <w:trHeight w:val="495"/>
          <w:tblHeader/>
          <w:jc w:val="center"/>
        </w:trPr>
        <w:tc>
          <w:tcPr>
            <w:tcW w:w="829" w:type="dxa"/>
            <w:vMerge/>
            <w:hideMark/>
          </w:tcPr>
          <w:p w14:paraId="1493C4D7"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833" w:type="dxa"/>
            <w:vMerge/>
            <w:hideMark/>
          </w:tcPr>
          <w:p w14:paraId="03F3274E"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835" w:type="dxa"/>
            <w:vMerge/>
            <w:hideMark/>
          </w:tcPr>
          <w:p w14:paraId="22377B7B"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2224" w:type="dxa"/>
            <w:vMerge/>
            <w:hideMark/>
          </w:tcPr>
          <w:p w14:paraId="4588F49A" w14:textId="77777777" w:rsidR="00D924EA" w:rsidRDefault="00D924EA">
            <w:pPr>
              <w:spacing w:after="0" w:line="240" w:lineRule="auto"/>
              <w:textAlignment w:val="baseline"/>
              <w:rPr>
                <w:rFonts w:ascii="Times New Roman" w:eastAsia="Times New Roman" w:hAnsi="Times New Roman" w:cs="Times New Roman"/>
                <w:noProof/>
                <w:sz w:val="18"/>
                <w:szCs w:val="18"/>
              </w:rPr>
            </w:pPr>
          </w:p>
        </w:tc>
        <w:tc>
          <w:tcPr>
            <w:tcW w:w="1112" w:type="dxa"/>
            <w:vMerge/>
            <w:hideMark/>
          </w:tcPr>
          <w:p w14:paraId="321C8665"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B7D4EF"/>
            <w:vAlign w:val="center"/>
            <w:hideMark/>
          </w:tcPr>
          <w:p w14:paraId="0B5CB15A" w14:textId="77777777" w:rsidR="00D924EA" w:rsidRDefault="00011DE9">
            <w:pPr>
              <w:pStyle w:val="P68B1DB1-Normal23"/>
              <w:spacing w:after="0" w:line="240" w:lineRule="auto"/>
              <w:jc w:val="center"/>
              <w:textAlignment w:val="baseline"/>
              <w:rPr>
                <w:rFonts w:eastAsia="Times New Roman" w:cs="Times New Roman"/>
                <w:noProof/>
                <w:szCs w:val="18"/>
              </w:rPr>
            </w:pPr>
            <w:r>
              <w:rPr>
                <w:b/>
                <w:noProof/>
              </w:rPr>
              <w:t>Unitate</w:t>
            </w:r>
            <w:r>
              <w:rPr>
                <w:noProof/>
              </w:rPr>
              <w:t xml:space="preserve"> </w:t>
            </w:r>
          </w:p>
        </w:tc>
        <w:tc>
          <w:tcPr>
            <w:tcW w:w="973" w:type="dxa"/>
            <w:shd w:val="clear" w:color="auto" w:fill="B7D4EF"/>
            <w:vAlign w:val="center"/>
            <w:hideMark/>
          </w:tcPr>
          <w:p w14:paraId="7E0C894E" w14:textId="77777777" w:rsidR="00D924EA" w:rsidRDefault="00011DE9">
            <w:pPr>
              <w:pStyle w:val="P68B1DB1-Normal23"/>
              <w:spacing w:after="0" w:line="240" w:lineRule="auto"/>
              <w:jc w:val="center"/>
              <w:textAlignment w:val="baseline"/>
              <w:rPr>
                <w:rFonts w:eastAsia="Times New Roman" w:cs="Times New Roman"/>
                <w:noProof/>
                <w:szCs w:val="18"/>
              </w:rPr>
            </w:pPr>
            <w:r>
              <w:rPr>
                <w:b/>
                <w:noProof/>
              </w:rPr>
              <w:t>Situația de referință</w:t>
            </w:r>
            <w:r>
              <w:rPr>
                <w:noProof/>
              </w:rPr>
              <w:t xml:space="preserve"> </w:t>
            </w:r>
          </w:p>
        </w:tc>
        <w:tc>
          <w:tcPr>
            <w:tcW w:w="696" w:type="dxa"/>
            <w:shd w:val="clear" w:color="auto" w:fill="B7D4EF"/>
            <w:vAlign w:val="center"/>
            <w:hideMark/>
          </w:tcPr>
          <w:p w14:paraId="41FC7DB5" w14:textId="77777777" w:rsidR="00D924EA" w:rsidRDefault="00011DE9">
            <w:pPr>
              <w:pStyle w:val="P68B1DB1-Normal23"/>
              <w:spacing w:after="0" w:line="240" w:lineRule="auto"/>
              <w:jc w:val="center"/>
              <w:textAlignment w:val="baseline"/>
              <w:rPr>
                <w:rFonts w:eastAsia="Times New Roman" w:cs="Times New Roman"/>
                <w:noProof/>
                <w:szCs w:val="18"/>
              </w:rPr>
            </w:pPr>
            <w:r>
              <w:rPr>
                <w:b/>
                <w:noProof/>
              </w:rPr>
              <w:t>Obiectiv</w:t>
            </w:r>
            <w:r>
              <w:rPr>
                <w:noProof/>
              </w:rPr>
              <w:t xml:space="preserve"> </w:t>
            </w:r>
          </w:p>
        </w:tc>
        <w:tc>
          <w:tcPr>
            <w:tcW w:w="696" w:type="dxa"/>
            <w:shd w:val="clear" w:color="auto" w:fill="B7D4EF"/>
            <w:vAlign w:val="center"/>
            <w:hideMark/>
          </w:tcPr>
          <w:p w14:paraId="0E6F52B6" w14:textId="26519F66" w:rsidR="00D924EA" w:rsidRDefault="005463E9">
            <w:pPr>
              <w:pStyle w:val="P68B1DB1-Normal23"/>
              <w:spacing w:after="0" w:line="240" w:lineRule="auto"/>
              <w:jc w:val="center"/>
              <w:textAlignment w:val="baseline"/>
              <w:rPr>
                <w:rFonts w:eastAsia="Times New Roman" w:cs="Times New Roman"/>
                <w:noProof/>
                <w:szCs w:val="18"/>
              </w:rPr>
            </w:pPr>
            <w:r>
              <w:rPr>
                <w:b/>
                <w:noProof/>
              </w:rPr>
              <w:t>T</w:t>
            </w:r>
            <w:r w:rsidR="00011DE9">
              <w:rPr>
                <w:noProof/>
              </w:rPr>
              <w:t xml:space="preserve"> </w:t>
            </w:r>
          </w:p>
        </w:tc>
        <w:tc>
          <w:tcPr>
            <w:tcW w:w="696" w:type="dxa"/>
            <w:shd w:val="clear" w:color="auto" w:fill="B7D4EF"/>
            <w:vAlign w:val="center"/>
            <w:hideMark/>
          </w:tcPr>
          <w:p w14:paraId="5FC4CE4E" w14:textId="77777777" w:rsidR="00D924EA" w:rsidRDefault="00011DE9">
            <w:pPr>
              <w:pStyle w:val="P68B1DB1-Normal23"/>
              <w:spacing w:after="0" w:line="240" w:lineRule="auto"/>
              <w:jc w:val="center"/>
              <w:textAlignment w:val="baseline"/>
              <w:rPr>
                <w:rFonts w:eastAsia="Times New Roman" w:cs="Times New Roman"/>
                <w:noProof/>
                <w:szCs w:val="18"/>
              </w:rPr>
            </w:pPr>
            <w:r>
              <w:rPr>
                <w:b/>
                <w:noProof/>
              </w:rPr>
              <w:t>Anul</w:t>
            </w:r>
            <w:r>
              <w:rPr>
                <w:noProof/>
              </w:rPr>
              <w:t xml:space="preserve"> </w:t>
            </w:r>
          </w:p>
        </w:tc>
        <w:tc>
          <w:tcPr>
            <w:tcW w:w="4861" w:type="dxa"/>
            <w:vMerge/>
            <w:hideMark/>
          </w:tcPr>
          <w:p w14:paraId="1C2B7D66" w14:textId="77777777" w:rsidR="00D924EA" w:rsidRDefault="00D924EA">
            <w:pPr>
              <w:spacing w:after="0" w:line="240" w:lineRule="auto"/>
              <w:textAlignment w:val="baseline"/>
              <w:rPr>
                <w:rFonts w:ascii="Times New Roman" w:eastAsia="Times New Roman" w:hAnsi="Times New Roman" w:cs="Times New Roman"/>
                <w:noProof/>
                <w:sz w:val="18"/>
                <w:szCs w:val="18"/>
              </w:rPr>
            </w:pPr>
          </w:p>
        </w:tc>
      </w:tr>
      <w:tr w:rsidR="00D924EA" w14:paraId="44BF3F21" w14:textId="77777777">
        <w:trPr>
          <w:trHeight w:val="300"/>
          <w:jc w:val="center"/>
        </w:trPr>
        <w:tc>
          <w:tcPr>
            <w:tcW w:w="829" w:type="dxa"/>
            <w:shd w:val="clear" w:color="auto" w:fill="C6EFCE"/>
            <w:hideMark/>
          </w:tcPr>
          <w:p w14:paraId="1BBC9A91"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 xml:space="preserve">L25 </w:t>
            </w:r>
          </w:p>
        </w:tc>
        <w:tc>
          <w:tcPr>
            <w:tcW w:w="833" w:type="dxa"/>
            <w:shd w:val="clear" w:color="auto" w:fill="C6EFCE"/>
            <w:hideMark/>
          </w:tcPr>
          <w:p w14:paraId="2D82738F"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C13.I6</w:t>
            </w:r>
          </w:p>
        </w:tc>
        <w:tc>
          <w:tcPr>
            <w:tcW w:w="835" w:type="dxa"/>
            <w:shd w:val="clear" w:color="auto" w:fill="C6EFCE"/>
            <w:hideMark/>
          </w:tcPr>
          <w:p w14:paraId="00980859"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M </w:t>
            </w:r>
          </w:p>
        </w:tc>
        <w:tc>
          <w:tcPr>
            <w:tcW w:w="2224" w:type="dxa"/>
            <w:shd w:val="clear" w:color="auto" w:fill="C6EFCE"/>
            <w:hideMark/>
          </w:tcPr>
          <w:p w14:paraId="6384F82D" w14:textId="77777777" w:rsidR="00D924EA" w:rsidRDefault="00011DE9">
            <w:pPr>
              <w:pStyle w:val="P68B1DB1-Normal23"/>
              <w:spacing w:after="0" w:line="240" w:lineRule="auto"/>
              <w:textAlignment w:val="baseline"/>
              <w:rPr>
                <w:rFonts w:eastAsia="Times New Roman" w:cs="Times New Roman"/>
                <w:noProof/>
                <w:szCs w:val="18"/>
              </w:rPr>
            </w:pPr>
            <w:r>
              <w:rPr>
                <w:noProof/>
              </w:rPr>
              <w:t>Acord de punere în aplicare cu ICO pentru linia verde a ICO</w:t>
            </w:r>
          </w:p>
        </w:tc>
        <w:tc>
          <w:tcPr>
            <w:tcW w:w="1112" w:type="dxa"/>
            <w:shd w:val="clear" w:color="auto" w:fill="C6EFCE"/>
            <w:hideMark/>
          </w:tcPr>
          <w:p w14:paraId="7F31B8E0" w14:textId="77777777" w:rsidR="00D924EA" w:rsidRDefault="00011DE9">
            <w:pPr>
              <w:pStyle w:val="P68B1DB1-Normal23"/>
              <w:spacing w:after="0" w:line="240" w:lineRule="auto"/>
              <w:textAlignment w:val="baseline"/>
              <w:rPr>
                <w:rFonts w:eastAsia="Times New Roman" w:cs="Times New Roman"/>
                <w:noProof/>
                <w:szCs w:val="18"/>
              </w:rPr>
            </w:pPr>
            <w:r>
              <w:rPr>
                <w:noProof/>
              </w:rPr>
              <w:t>Intrarea în vigoare a acordului de punere în aplicare </w:t>
            </w:r>
          </w:p>
        </w:tc>
        <w:tc>
          <w:tcPr>
            <w:tcW w:w="696" w:type="dxa"/>
            <w:shd w:val="clear" w:color="auto" w:fill="C6EFCE"/>
            <w:hideMark/>
          </w:tcPr>
          <w:p w14:paraId="318E6F93"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 xml:space="preserve"> </w:t>
            </w:r>
          </w:p>
        </w:tc>
        <w:tc>
          <w:tcPr>
            <w:tcW w:w="973" w:type="dxa"/>
            <w:shd w:val="clear" w:color="auto" w:fill="C6EFCE"/>
            <w:hideMark/>
          </w:tcPr>
          <w:p w14:paraId="405B1A2B" w14:textId="77777777" w:rsidR="00D924EA" w:rsidRDefault="00011DE9">
            <w:pPr>
              <w:pStyle w:val="P68B1DB1-Normal23"/>
              <w:spacing w:after="0" w:line="240" w:lineRule="auto"/>
              <w:jc w:val="right"/>
              <w:textAlignment w:val="baseline"/>
              <w:rPr>
                <w:rFonts w:eastAsia="Times New Roman" w:cs="Times New Roman"/>
                <w:noProof/>
                <w:szCs w:val="18"/>
              </w:rPr>
            </w:pPr>
            <w:r>
              <w:rPr>
                <w:noProof/>
              </w:rPr>
              <w:t xml:space="preserve"> </w:t>
            </w:r>
          </w:p>
        </w:tc>
        <w:tc>
          <w:tcPr>
            <w:tcW w:w="696" w:type="dxa"/>
            <w:shd w:val="clear" w:color="auto" w:fill="C6EFCE"/>
            <w:hideMark/>
          </w:tcPr>
          <w:p w14:paraId="0207AD34" w14:textId="77777777" w:rsidR="00D924EA" w:rsidRDefault="00011DE9">
            <w:pPr>
              <w:pStyle w:val="P68B1DB1-Normal23"/>
              <w:spacing w:after="0" w:line="240" w:lineRule="auto"/>
              <w:jc w:val="right"/>
              <w:textAlignment w:val="baseline"/>
              <w:rPr>
                <w:rFonts w:eastAsia="Times New Roman" w:cs="Times New Roman"/>
                <w:noProof/>
                <w:szCs w:val="18"/>
              </w:rPr>
            </w:pPr>
            <w:r>
              <w:rPr>
                <w:noProof/>
              </w:rPr>
              <w:t xml:space="preserve"> </w:t>
            </w:r>
          </w:p>
        </w:tc>
        <w:tc>
          <w:tcPr>
            <w:tcW w:w="696" w:type="dxa"/>
            <w:shd w:val="clear" w:color="auto" w:fill="C6EFCE"/>
            <w:hideMark/>
          </w:tcPr>
          <w:p w14:paraId="7B8C6599" w14:textId="1A397283" w:rsidR="00D924EA" w:rsidRDefault="005701C9">
            <w:pPr>
              <w:pStyle w:val="P68B1DB1-Normal23"/>
              <w:spacing w:after="0" w:line="240" w:lineRule="auto"/>
              <w:jc w:val="center"/>
              <w:textAlignment w:val="baseline"/>
              <w:rPr>
                <w:rFonts w:eastAsia="Times New Roman" w:cs="Times New Roman"/>
                <w:noProof/>
                <w:szCs w:val="18"/>
              </w:rPr>
            </w:pPr>
            <w:r>
              <w:rPr>
                <w:noProof/>
              </w:rPr>
              <w:t>T4</w:t>
            </w:r>
            <w:r w:rsidR="00011DE9">
              <w:rPr>
                <w:noProof/>
              </w:rPr>
              <w:t> </w:t>
            </w:r>
          </w:p>
        </w:tc>
        <w:tc>
          <w:tcPr>
            <w:tcW w:w="696" w:type="dxa"/>
            <w:shd w:val="clear" w:color="auto" w:fill="C6EFCE"/>
            <w:hideMark/>
          </w:tcPr>
          <w:p w14:paraId="5422AA40"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2023 </w:t>
            </w:r>
          </w:p>
        </w:tc>
        <w:tc>
          <w:tcPr>
            <w:tcW w:w="4861" w:type="dxa"/>
            <w:shd w:val="clear" w:color="auto" w:fill="C6EFCE"/>
            <w:hideMark/>
          </w:tcPr>
          <w:p w14:paraId="50EA39FB" w14:textId="77777777" w:rsidR="00D924EA" w:rsidRDefault="00011DE9">
            <w:pPr>
              <w:pStyle w:val="P68B1DB1-Normal23"/>
              <w:spacing w:after="0" w:line="240" w:lineRule="auto"/>
              <w:textAlignment w:val="baseline"/>
              <w:rPr>
                <w:rFonts w:eastAsia="Times New Roman" w:cs="Times New Roman"/>
                <w:noProof/>
                <w:szCs w:val="18"/>
              </w:rPr>
            </w:pPr>
            <w:r>
              <w:rPr>
                <w:noProof/>
              </w:rPr>
              <w:t>Intrarea în vigoare a acordului de punere în aplicare.</w:t>
            </w:r>
          </w:p>
        </w:tc>
      </w:tr>
      <w:tr w:rsidR="00D924EA" w14:paraId="4472569B" w14:textId="77777777">
        <w:trPr>
          <w:trHeight w:val="300"/>
          <w:jc w:val="center"/>
        </w:trPr>
        <w:tc>
          <w:tcPr>
            <w:tcW w:w="829" w:type="dxa"/>
            <w:shd w:val="clear" w:color="auto" w:fill="C6EFCE"/>
          </w:tcPr>
          <w:p w14:paraId="72773A0D"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L28</w:t>
            </w:r>
          </w:p>
        </w:tc>
        <w:tc>
          <w:tcPr>
            <w:tcW w:w="833" w:type="dxa"/>
            <w:shd w:val="clear" w:color="auto" w:fill="C6EFCE"/>
          </w:tcPr>
          <w:p w14:paraId="62FAF2F1"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C13.I6</w:t>
            </w:r>
          </w:p>
        </w:tc>
        <w:tc>
          <w:tcPr>
            <w:tcW w:w="835" w:type="dxa"/>
            <w:shd w:val="clear" w:color="auto" w:fill="C6EFCE"/>
          </w:tcPr>
          <w:p w14:paraId="5046E8E2" w14:textId="3416A65B" w:rsidR="00D924EA" w:rsidRDefault="00011DE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B60FE11" w14:textId="63F8B684" w:rsidR="00D924EA" w:rsidRDefault="00011DE9">
            <w:pPr>
              <w:pStyle w:val="P68B1DB1-Normal23"/>
              <w:spacing w:after="0" w:line="240" w:lineRule="auto"/>
              <w:textAlignment w:val="baseline"/>
              <w:rPr>
                <w:rFonts w:eastAsia="Times New Roman" w:cs="Times New Roman"/>
                <w:noProof/>
                <w:szCs w:val="18"/>
              </w:rPr>
            </w:pPr>
            <w:r>
              <w:rPr>
                <w:noProof/>
              </w:rPr>
              <w:t>Linia verde a ICO – Acorduri juridice semnate cu beneficiarii finali (inclusiv fonduri de investiții în acțiuni) și finalizarea investiției</w:t>
            </w:r>
          </w:p>
        </w:tc>
        <w:tc>
          <w:tcPr>
            <w:tcW w:w="1112" w:type="dxa"/>
            <w:shd w:val="clear" w:color="auto" w:fill="C6EFCE"/>
          </w:tcPr>
          <w:p w14:paraId="62FFB574" w14:textId="77777777" w:rsidR="00D924EA" w:rsidRDefault="00011DE9">
            <w:pPr>
              <w:pStyle w:val="P68B1DB1-Normal41"/>
              <w:spacing w:after="0" w:line="240" w:lineRule="auto"/>
              <w:textAlignment w:val="baseline"/>
              <w:rPr>
                <w:noProof/>
              </w:rPr>
            </w:pPr>
            <w:r>
              <w:rPr>
                <w:noProof/>
              </w:rPr>
              <w:t>Acorduri de finanțare legală și certificat de transfer</w:t>
            </w:r>
          </w:p>
        </w:tc>
        <w:tc>
          <w:tcPr>
            <w:tcW w:w="696" w:type="dxa"/>
            <w:shd w:val="clear" w:color="auto" w:fill="C6EFCE"/>
          </w:tcPr>
          <w:p w14:paraId="06E116D5" w14:textId="577ECE6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0435AE3E" w14:textId="2CEFAA1B"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1A6A313B" w14:textId="015D9D63"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76EF5A74" w14:textId="5A8E776F" w:rsidR="00D924EA" w:rsidRDefault="005701C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576E12EB"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34D8A819" w14:textId="39A561C1" w:rsidR="00D924EA" w:rsidRDefault="00011DE9">
            <w:pPr>
              <w:pStyle w:val="P68B1DB1-paragraph82"/>
              <w:spacing w:before="0" w:beforeAutospacing="0" w:after="0" w:afterAutospacing="0"/>
              <w:textAlignment w:val="baseline"/>
              <w:rPr>
                <w:noProof/>
              </w:rPr>
            </w:pPr>
            <w:r>
              <w:rPr>
                <w:noProof/>
              </w:rPr>
              <w:t xml:space="preserve">ICO/Axis și intermediarii selectați de ICO trebuie să fi încheiat acorduri juridice de finanțare cu beneficiarii finali (inclusiv fonduri de capital) pentru o sumă necesară pentru a utiliza 100 % din investițiile MRR în mecanism (ținând seama de comisioanele de gestionare). Cel puțin 80,9 % din această finanțare contribuie la obiectivele climatice utilizând metodologia din anexa VI la Regulamentul privind MRR. </w:t>
            </w:r>
          </w:p>
          <w:p w14:paraId="76B5A20B" w14:textId="77777777" w:rsidR="00D924EA" w:rsidRDefault="00D924EA">
            <w:pPr>
              <w:pStyle w:val="paragraph"/>
              <w:spacing w:before="0" w:beforeAutospacing="0" w:after="0" w:afterAutospacing="0"/>
              <w:textAlignment w:val="baseline"/>
              <w:rPr>
                <w:rFonts w:ascii="Times New Roman" w:hAnsi="Times New Roman"/>
                <w:noProof/>
                <w:sz w:val="18"/>
              </w:rPr>
            </w:pPr>
          </w:p>
          <w:p w14:paraId="31166D78" w14:textId="74F15EC5" w:rsidR="00D924EA" w:rsidRDefault="00011DE9">
            <w:pPr>
              <w:pStyle w:val="P68B1DB1-paragraph83"/>
              <w:spacing w:before="0" w:beforeAutospacing="0" w:after="0" w:afterAutospacing="0"/>
              <w:textAlignment w:val="baseline"/>
              <w:rPr>
                <w:noProof/>
              </w:rPr>
            </w:pPr>
            <w:r>
              <w:rPr>
                <w:noProof/>
              </w:rPr>
              <w:t>Spania transferă 300 000 000 EUR către ICO pentru instrument.</w:t>
            </w:r>
          </w:p>
        </w:tc>
      </w:tr>
      <w:tr w:rsidR="00D924EA" w14:paraId="00CDB0CF" w14:textId="77777777">
        <w:trPr>
          <w:trHeight w:val="300"/>
          <w:jc w:val="center"/>
        </w:trPr>
        <w:tc>
          <w:tcPr>
            <w:tcW w:w="829" w:type="dxa"/>
            <w:shd w:val="clear" w:color="auto" w:fill="C6EFCE"/>
          </w:tcPr>
          <w:p w14:paraId="34BBDC95"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L30</w:t>
            </w:r>
          </w:p>
        </w:tc>
        <w:tc>
          <w:tcPr>
            <w:tcW w:w="833" w:type="dxa"/>
            <w:shd w:val="clear" w:color="auto" w:fill="C6EFCE"/>
          </w:tcPr>
          <w:p w14:paraId="2609FEC5"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C13.I6</w:t>
            </w:r>
          </w:p>
        </w:tc>
        <w:tc>
          <w:tcPr>
            <w:tcW w:w="835" w:type="dxa"/>
            <w:shd w:val="clear" w:color="auto" w:fill="C6EFCE"/>
          </w:tcPr>
          <w:p w14:paraId="687F9FB5"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031EE249" w14:textId="77777777" w:rsidR="00D924EA" w:rsidRDefault="00011DE9">
            <w:pPr>
              <w:pStyle w:val="P68B1DB1-Normal23"/>
              <w:spacing w:after="0" w:line="240" w:lineRule="auto"/>
              <w:textAlignment w:val="baseline"/>
              <w:rPr>
                <w:rFonts w:eastAsia="Times New Roman" w:cs="Times New Roman"/>
                <w:noProof/>
                <w:szCs w:val="18"/>
              </w:rPr>
            </w:pPr>
            <w:r>
              <w:rPr>
                <w:noProof/>
              </w:rPr>
              <w:t xml:space="preserve">Acord de punere în aplicare pentru linia destinată întreprinderilor și antreprenorilor din cadrul ICO </w:t>
            </w:r>
          </w:p>
        </w:tc>
        <w:tc>
          <w:tcPr>
            <w:tcW w:w="1112" w:type="dxa"/>
            <w:shd w:val="clear" w:color="auto" w:fill="C6EFCE"/>
          </w:tcPr>
          <w:p w14:paraId="52DBC3D7" w14:textId="77777777" w:rsidR="00D924EA" w:rsidRDefault="00011DE9">
            <w:pPr>
              <w:pStyle w:val="P68B1DB1-Normal23"/>
              <w:spacing w:after="0" w:line="240" w:lineRule="auto"/>
              <w:textAlignment w:val="baseline"/>
              <w:rPr>
                <w:rFonts w:eastAsia="Times New Roman" w:cs="Times New Roman"/>
                <w:noProof/>
                <w:szCs w:val="18"/>
              </w:rPr>
            </w:pPr>
            <w:r>
              <w:rPr>
                <w:noProof/>
              </w:rPr>
              <w:t>Intrarea în vigoare a acordului de punere în aplicare </w:t>
            </w:r>
          </w:p>
        </w:tc>
        <w:tc>
          <w:tcPr>
            <w:tcW w:w="696" w:type="dxa"/>
            <w:shd w:val="clear" w:color="auto" w:fill="C6EFCE"/>
          </w:tcPr>
          <w:p w14:paraId="53F4E739"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7557578F" w14:textId="77777777"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32C711B2" w14:textId="77777777"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19FEA02D" w14:textId="54EC7017" w:rsidR="00D924EA" w:rsidRDefault="005701C9">
            <w:pPr>
              <w:pStyle w:val="P68B1DB1-Normal23"/>
              <w:spacing w:after="0" w:line="240" w:lineRule="auto"/>
              <w:jc w:val="center"/>
              <w:textAlignment w:val="baseline"/>
              <w:rPr>
                <w:rFonts w:eastAsia="Times New Roman" w:cs="Times New Roman"/>
                <w:noProof/>
                <w:szCs w:val="18"/>
              </w:rPr>
            </w:pPr>
            <w:r>
              <w:rPr>
                <w:noProof/>
              </w:rPr>
              <w:t>T4</w:t>
            </w:r>
            <w:r w:rsidR="00011DE9">
              <w:rPr>
                <w:noProof/>
              </w:rPr>
              <w:t xml:space="preserve"> </w:t>
            </w:r>
          </w:p>
        </w:tc>
        <w:tc>
          <w:tcPr>
            <w:tcW w:w="696" w:type="dxa"/>
            <w:shd w:val="clear" w:color="auto" w:fill="C6EFCE"/>
          </w:tcPr>
          <w:p w14:paraId="58538EE6"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2023</w:t>
            </w:r>
          </w:p>
        </w:tc>
        <w:tc>
          <w:tcPr>
            <w:tcW w:w="4861" w:type="dxa"/>
            <w:shd w:val="clear" w:color="auto" w:fill="C6EFCE"/>
          </w:tcPr>
          <w:p w14:paraId="189E025F" w14:textId="77777777" w:rsidR="00D924EA" w:rsidRDefault="00011DE9">
            <w:pPr>
              <w:pStyle w:val="P68B1DB1-paragraph82"/>
              <w:spacing w:before="0" w:beforeAutospacing="0" w:after="0" w:afterAutospacing="0"/>
              <w:textAlignment w:val="baseline"/>
              <w:rPr>
                <w:rFonts w:cs="Times New Roman"/>
                <w:noProof/>
                <w:szCs w:val="18"/>
              </w:rPr>
            </w:pPr>
            <w:r>
              <w:rPr>
                <w:noProof/>
              </w:rPr>
              <w:t>Intrarea în vigoare a acordului de punere în aplicare.</w:t>
            </w:r>
          </w:p>
        </w:tc>
      </w:tr>
      <w:tr w:rsidR="00D924EA" w14:paraId="0A3E0CF2" w14:textId="77777777">
        <w:trPr>
          <w:trHeight w:val="300"/>
          <w:jc w:val="center"/>
        </w:trPr>
        <w:tc>
          <w:tcPr>
            <w:tcW w:w="829" w:type="dxa"/>
            <w:shd w:val="clear" w:color="auto" w:fill="C6EFCE"/>
          </w:tcPr>
          <w:p w14:paraId="2062C997"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L33</w:t>
            </w:r>
          </w:p>
        </w:tc>
        <w:tc>
          <w:tcPr>
            <w:tcW w:w="833" w:type="dxa"/>
            <w:shd w:val="clear" w:color="auto" w:fill="C6EFCE"/>
          </w:tcPr>
          <w:p w14:paraId="08DC701D"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C13.I6</w:t>
            </w:r>
          </w:p>
        </w:tc>
        <w:tc>
          <w:tcPr>
            <w:tcW w:w="835" w:type="dxa"/>
            <w:shd w:val="clear" w:color="auto" w:fill="C6EFCE"/>
          </w:tcPr>
          <w:p w14:paraId="0BC5BC3D" w14:textId="653AB185" w:rsidR="00D924EA" w:rsidRDefault="00011DE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3BD33060" w14:textId="17B92C63" w:rsidR="00D924EA" w:rsidRDefault="00011DE9">
            <w:pPr>
              <w:pStyle w:val="P68B1DB1-Normal23"/>
              <w:spacing w:after="0" w:line="240" w:lineRule="auto"/>
              <w:textAlignment w:val="baseline"/>
              <w:rPr>
                <w:rFonts w:eastAsia="Times New Roman" w:cs="Times New Roman"/>
                <w:noProof/>
                <w:szCs w:val="18"/>
              </w:rPr>
            </w:pPr>
            <w:r>
              <w:rPr>
                <w:noProof/>
              </w:rPr>
              <w:t xml:space="preserve">Linia pentru întreprinderi și antreprenori din cadrul ICO – Acorduri juridice semnate cu beneficiarii finali (inclusiv fonduri de investiții în acțiuni) și finalizarea investiției </w:t>
            </w:r>
          </w:p>
        </w:tc>
        <w:tc>
          <w:tcPr>
            <w:tcW w:w="1112" w:type="dxa"/>
            <w:shd w:val="clear" w:color="auto" w:fill="C6EFCE"/>
          </w:tcPr>
          <w:p w14:paraId="2FF39FE7" w14:textId="27DE60C6" w:rsidR="00D924EA" w:rsidRDefault="00011DE9">
            <w:pPr>
              <w:pStyle w:val="P68B1DB1-Normal23"/>
              <w:spacing w:after="0" w:line="240" w:lineRule="auto"/>
              <w:textAlignment w:val="baseline"/>
              <w:rPr>
                <w:rFonts w:eastAsia="Times New Roman" w:cs="Times New Roman"/>
                <w:noProof/>
                <w:szCs w:val="18"/>
              </w:rPr>
            </w:pPr>
            <w:r>
              <w:rPr>
                <w:noProof/>
              </w:rPr>
              <w:t>Acorduri de finanțare legală și certificat de transfer</w:t>
            </w:r>
          </w:p>
        </w:tc>
        <w:tc>
          <w:tcPr>
            <w:tcW w:w="696" w:type="dxa"/>
            <w:shd w:val="clear" w:color="auto" w:fill="C6EFCE"/>
          </w:tcPr>
          <w:p w14:paraId="304A3045" w14:textId="35E8891D" w:rsidR="00D924EA" w:rsidRDefault="00D924EA">
            <w:pPr>
              <w:spacing w:after="0" w:line="240" w:lineRule="auto"/>
              <w:textAlignment w:val="baseline"/>
              <w:rPr>
                <w:rFonts w:ascii="Times New Roman" w:eastAsia="Times New Roman" w:hAnsi="Times New Roman" w:cs="Times New Roman"/>
                <w:noProof/>
                <w:sz w:val="18"/>
                <w:szCs w:val="18"/>
              </w:rPr>
            </w:pPr>
          </w:p>
        </w:tc>
        <w:tc>
          <w:tcPr>
            <w:tcW w:w="973" w:type="dxa"/>
            <w:shd w:val="clear" w:color="auto" w:fill="C6EFCE"/>
          </w:tcPr>
          <w:p w14:paraId="292A8841" w14:textId="75B678BD"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5FBA0080" w14:textId="7442F008"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7DB21500" w14:textId="68C776D2" w:rsidR="00D924EA" w:rsidRDefault="005701C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33DC8D6C"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2F2A3BC8" w14:textId="36B3F7C7" w:rsidR="00D924EA" w:rsidRDefault="00011DE9">
            <w:pPr>
              <w:pStyle w:val="P68B1DB1-paragraph82"/>
              <w:spacing w:before="0" w:beforeAutospacing="0" w:after="0" w:afterAutospacing="0"/>
              <w:textAlignment w:val="baseline"/>
              <w:rPr>
                <w:noProof/>
              </w:rPr>
            </w:pPr>
            <w:r>
              <w:rPr>
                <w:noProof/>
              </w:rPr>
              <w:t>ICO/Axis și intermediarii selectați de ICO trebuie să fi încheiat acorduri juridice de finanțare cu beneficiarii finali (inclusiv fonduri de capital) pentru o sumă necesară pentru a utiliza 100 % din investițiile MRR în mecanism (ținând seama de comisioanele de gestionare).</w:t>
            </w:r>
          </w:p>
          <w:p w14:paraId="02442F71" w14:textId="77777777" w:rsidR="00D924EA" w:rsidRDefault="00D924EA">
            <w:pPr>
              <w:pStyle w:val="paragraph"/>
              <w:spacing w:before="0" w:beforeAutospacing="0" w:after="0" w:afterAutospacing="0"/>
              <w:textAlignment w:val="baseline"/>
              <w:rPr>
                <w:rFonts w:ascii="Times New Roman" w:hAnsi="Times New Roman"/>
                <w:noProof/>
                <w:sz w:val="18"/>
              </w:rPr>
            </w:pPr>
          </w:p>
          <w:p w14:paraId="0CDCB5FB" w14:textId="6CEAB16A" w:rsidR="00D924EA" w:rsidRDefault="00011DE9">
            <w:pPr>
              <w:pStyle w:val="P68B1DB1-paragraph83"/>
              <w:spacing w:before="0" w:beforeAutospacing="0" w:after="0" w:afterAutospacing="0"/>
              <w:textAlignment w:val="baseline"/>
              <w:rPr>
                <w:noProof/>
              </w:rPr>
            </w:pPr>
            <w:r>
              <w:rPr>
                <w:noProof/>
              </w:rPr>
              <w:t>Spania transferă 600 000 000 EUR către ICO pentru instrument.</w:t>
            </w:r>
          </w:p>
        </w:tc>
      </w:tr>
      <w:tr w:rsidR="00D924EA" w14:paraId="30CA520D" w14:textId="77777777">
        <w:trPr>
          <w:trHeight w:val="677"/>
          <w:jc w:val="center"/>
        </w:trPr>
        <w:tc>
          <w:tcPr>
            <w:tcW w:w="829" w:type="dxa"/>
            <w:shd w:val="clear" w:color="auto" w:fill="C6EFCE"/>
          </w:tcPr>
          <w:p w14:paraId="4DEC6B71"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L35</w:t>
            </w:r>
          </w:p>
        </w:tc>
        <w:tc>
          <w:tcPr>
            <w:tcW w:w="833" w:type="dxa"/>
            <w:shd w:val="clear" w:color="auto" w:fill="C6EFCE"/>
          </w:tcPr>
          <w:p w14:paraId="01E2B17C" w14:textId="77777777" w:rsidR="00D924EA" w:rsidRDefault="00011DE9">
            <w:pPr>
              <w:pStyle w:val="P68B1DB1-Normal23"/>
              <w:spacing w:after="0" w:line="240" w:lineRule="auto"/>
              <w:jc w:val="center"/>
              <w:rPr>
                <w:rFonts w:eastAsia="Times New Roman" w:cs="Times New Roman"/>
                <w:noProof/>
                <w:szCs w:val="18"/>
              </w:rPr>
            </w:pPr>
            <w:r>
              <w:rPr>
                <w:noProof/>
              </w:rPr>
              <w:t>C13.I7</w:t>
            </w:r>
          </w:p>
        </w:tc>
        <w:tc>
          <w:tcPr>
            <w:tcW w:w="835" w:type="dxa"/>
            <w:shd w:val="clear" w:color="auto" w:fill="C6EFCE"/>
          </w:tcPr>
          <w:p w14:paraId="70BF96F2"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010EA4E7" w14:textId="77777777" w:rsidR="00D924EA" w:rsidRDefault="00011DE9">
            <w:pPr>
              <w:pStyle w:val="P68B1DB1-Normal23"/>
              <w:spacing w:after="0" w:line="240" w:lineRule="auto"/>
              <w:textAlignment w:val="baseline"/>
              <w:rPr>
                <w:rFonts w:eastAsia="Times New Roman" w:cs="Times New Roman"/>
                <w:noProof/>
                <w:szCs w:val="18"/>
              </w:rPr>
            </w:pPr>
            <w:r>
              <w:rPr>
                <w:noProof/>
              </w:rPr>
              <w:t>Fondul pentru tehnologia următoare – Acordul de punere în aplicare cu SETT</w:t>
            </w:r>
          </w:p>
        </w:tc>
        <w:tc>
          <w:tcPr>
            <w:tcW w:w="1112" w:type="dxa"/>
            <w:shd w:val="clear" w:color="auto" w:fill="C6EFCE"/>
          </w:tcPr>
          <w:p w14:paraId="29D8D403" w14:textId="77777777" w:rsidR="00D924EA" w:rsidRDefault="00011DE9">
            <w:pPr>
              <w:pStyle w:val="P68B1DB1-Normal23"/>
              <w:spacing w:after="0" w:line="240" w:lineRule="auto"/>
              <w:textAlignment w:val="baseline"/>
              <w:rPr>
                <w:rFonts w:eastAsia="Times New Roman" w:cs="Times New Roman"/>
                <w:noProof/>
                <w:szCs w:val="18"/>
              </w:rPr>
            </w:pPr>
            <w:r>
              <w:rPr>
                <w:noProof/>
              </w:rPr>
              <w:t>Intrarea în vigoare a acordului de punere în aplicare sau a regulamentului și a documentelor conexe de instituire a mecanismului</w:t>
            </w:r>
          </w:p>
        </w:tc>
        <w:tc>
          <w:tcPr>
            <w:tcW w:w="696" w:type="dxa"/>
            <w:shd w:val="clear" w:color="auto" w:fill="C6EFCE"/>
          </w:tcPr>
          <w:p w14:paraId="7E4A435D"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02074F0C" w14:textId="77777777"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6D702BCA" w14:textId="77777777"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034CD994" w14:textId="2A6D5B60" w:rsidR="00D924EA" w:rsidRDefault="005701C9">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3643AA41"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2023</w:t>
            </w:r>
          </w:p>
        </w:tc>
        <w:tc>
          <w:tcPr>
            <w:tcW w:w="4861" w:type="dxa"/>
            <w:shd w:val="clear" w:color="auto" w:fill="C6EFCE"/>
          </w:tcPr>
          <w:p w14:paraId="5CE74EE3" w14:textId="2CB77841" w:rsidR="00D924EA" w:rsidRDefault="00011DE9">
            <w:pPr>
              <w:pStyle w:val="paragraph"/>
              <w:spacing w:before="0" w:beforeAutospacing="0" w:after="0" w:afterAutospacing="0"/>
              <w:textAlignment w:val="baseline"/>
              <w:rPr>
                <w:rFonts w:ascii="Times New Roman" w:hAnsi="Times New Roman" w:cs="Times New Roman"/>
                <w:noProof/>
                <w:sz w:val="18"/>
                <w:szCs w:val="18"/>
              </w:rPr>
            </w:pPr>
            <w:r>
              <w:rPr>
                <w:rStyle w:val="normaltextrun"/>
                <w:rFonts w:ascii="Times New Roman" w:hAnsi="Times New Roman"/>
                <w:noProof/>
                <w:sz w:val="18"/>
              </w:rPr>
              <w:t>Intrarea în vigoare a acordului de punere în aplicare sau a regulamentului și a documentelor conexe de instituire a mecanismului.</w:t>
            </w:r>
          </w:p>
        </w:tc>
      </w:tr>
      <w:tr w:rsidR="00D924EA" w14:paraId="52FF44AC" w14:textId="77777777">
        <w:trPr>
          <w:trHeight w:val="300"/>
          <w:jc w:val="center"/>
        </w:trPr>
        <w:tc>
          <w:tcPr>
            <w:tcW w:w="829" w:type="dxa"/>
            <w:shd w:val="clear" w:color="auto" w:fill="C6EFCE"/>
          </w:tcPr>
          <w:p w14:paraId="35C02467"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L38</w:t>
            </w:r>
          </w:p>
        </w:tc>
        <w:tc>
          <w:tcPr>
            <w:tcW w:w="833" w:type="dxa"/>
            <w:shd w:val="clear" w:color="auto" w:fill="C6EFCE"/>
          </w:tcPr>
          <w:p w14:paraId="274162CE"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C13.I7</w:t>
            </w:r>
          </w:p>
        </w:tc>
        <w:tc>
          <w:tcPr>
            <w:tcW w:w="835" w:type="dxa"/>
            <w:shd w:val="clear" w:color="auto" w:fill="C6EFCE"/>
          </w:tcPr>
          <w:p w14:paraId="12783515" w14:textId="69DC0859" w:rsidR="00D924EA" w:rsidRDefault="00011DE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28991B9B" w14:textId="393929DB" w:rsidR="00D924EA" w:rsidRDefault="00011DE9">
            <w:pPr>
              <w:pStyle w:val="P68B1DB1-Normal23"/>
              <w:spacing w:after="0" w:line="240" w:lineRule="auto"/>
              <w:textAlignment w:val="baseline"/>
              <w:rPr>
                <w:rFonts w:eastAsia="Times New Roman" w:cs="Times New Roman"/>
                <w:noProof/>
                <w:szCs w:val="18"/>
              </w:rPr>
            </w:pPr>
            <w:r>
              <w:rPr>
                <w:noProof/>
              </w:rPr>
              <w:t>Tehnologia următoare – Acordurile juridice semnate cu beneficiarii finali și fondurile de capital și finalizarea investiției</w:t>
            </w:r>
          </w:p>
        </w:tc>
        <w:tc>
          <w:tcPr>
            <w:tcW w:w="1112" w:type="dxa"/>
            <w:shd w:val="clear" w:color="auto" w:fill="C6EFCE"/>
          </w:tcPr>
          <w:p w14:paraId="14C4CCE6" w14:textId="77777777" w:rsidR="00D924EA" w:rsidRDefault="00011DE9">
            <w:pPr>
              <w:pStyle w:val="P68B1DB1-Normal41"/>
              <w:spacing w:after="0" w:line="240" w:lineRule="auto"/>
              <w:textAlignment w:val="baseline"/>
              <w:rPr>
                <w:noProof/>
              </w:rPr>
            </w:pPr>
            <w:r>
              <w:rPr>
                <w:noProof/>
              </w:rPr>
              <w:t>Acorduri juridice semnate și certificat de transfer</w:t>
            </w:r>
          </w:p>
        </w:tc>
        <w:tc>
          <w:tcPr>
            <w:tcW w:w="696" w:type="dxa"/>
            <w:shd w:val="clear" w:color="auto" w:fill="C6EFCE"/>
          </w:tcPr>
          <w:p w14:paraId="5CF540E3" w14:textId="61078322"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C71A2F" w14:textId="287149B4"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3C444F1F" w14:textId="1D2553A9"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239C2E22" w14:textId="21DFD355" w:rsidR="00D924EA" w:rsidRDefault="005701C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39A287F9"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2B472916" w14:textId="77777777" w:rsidR="00D924EA" w:rsidRDefault="00011DE9">
            <w:pPr>
              <w:pStyle w:val="P68B1DB1-Normal23"/>
              <w:spacing w:after="0" w:line="240" w:lineRule="auto"/>
              <w:textAlignment w:val="baseline"/>
              <w:rPr>
                <w:noProof/>
              </w:rPr>
            </w:pPr>
            <w:r>
              <w:rPr>
                <w:noProof/>
              </w:rPr>
              <w:t xml:space="preserve">SETT și intermediarii selectați de SETT trebuie să fi încheiat un acord juridic de finanțare cu beneficiarii finali și cu fondurile de capital pentru o sumă necesară pentru a utiliza 100 % din investițiile MRR în mecanism (ținând seama de comisioanele de gestionare). 100 % din această finanțare contribuie la obiectivele digitale utilizând metodologia din anexa VII la Regulamentul privind MRR. </w:t>
            </w:r>
          </w:p>
          <w:p w14:paraId="63FFEB5C" w14:textId="77777777" w:rsidR="00D924EA" w:rsidRDefault="00D924EA">
            <w:pPr>
              <w:spacing w:after="0" w:line="240" w:lineRule="auto"/>
              <w:textAlignment w:val="baseline"/>
              <w:rPr>
                <w:rFonts w:ascii="Times New Roman" w:hAnsi="Times New Roman"/>
                <w:noProof/>
                <w:sz w:val="18"/>
              </w:rPr>
            </w:pPr>
          </w:p>
          <w:p w14:paraId="6BF5155E" w14:textId="702686C5" w:rsidR="00D924EA" w:rsidRDefault="00011DE9">
            <w:pPr>
              <w:pStyle w:val="P68B1DB1-Normal41"/>
              <w:spacing w:after="0" w:line="240" w:lineRule="auto"/>
              <w:textAlignment w:val="baseline"/>
              <w:rPr>
                <w:noProof/>
              </w:rPr>
            </w:pPr>
            <w:r>
              <w:rPr>
                <w:noProof/>
              </w:rPr>
              <w:t>Spania transferă 1 500 000 000 EUR către SETT pentru facilitate.</w:t>
            </w:r>
          </w:p>
          <w:p w14:paraId="34419509" w14:textId="77777777" w:rsidR="00D924EA" w:rsidRDefault="00D924EA">
            <w:pPr>
              <w:spacing w:after="0" w:line="240" w:lineRule="auto"/>
              <w:textAlignment w:val="baseline"/>
              <w:rPr>
                <w:rFonts w:ascii="Times New Roman" w:eastAsia="Times New Roman" w:hAnsi="Times New Roman" w:cs="Times New Roman"/>
                <w:noProof/>
                <w:sz w:val="18"/>
                <w:szCs w:val="18"/>
              </w:rPr>
            </w:pPr>
          </w:p>
        </w:tc>
      </w:tr>
      <w:tr w:rsidR="00D924EA" w14:paraId="3BC85A15" w14:textId="77777777">
        <w:trPr>
          <w:trHeight w:val="300"/>
          <w:jc w:val="center"/>
        </w:trPr>
        <w:tc>
          <w:tcPr>
            <w:tcW w:w="829" w:type="dxa"/>
            <w:shd w:val="clear" w:color="auto" w:fill="C6EFCE"/>
          </w:tcPr>
          <w:p w14:paraId="529FD432"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L40</w:t>
            </w:r>
          </w:p>
        </w:tc>
        <w:tc>
          <w:tcPr>
            <w:tcW w:w="833" w:type="dxa"/>
            <w:shd w:val="clear" w:color="auto" w:fill="C6EFCE"/>
          </w:tcPr>
          <w:p w14:paraId="589C5C9A"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C13.I8</w:t>
            </w:r>
          </w:p>
        </w:tc>
        <w:tc>
          <w:tcPr>
            <w:tcW w:w="835" w:type="dxa"/>
            <w:shd w:val="clear" w:color="auto" w:fill="C6EFCE"/>
          </w:tcPr>
          <w:p w14:paraId="01996301"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7477D5C8" w14:textId="77777777" w:rsidR="00D924EA" w:rsidRDefault="00011DE9">
            <w:pPr>
              <w:pStyle w:val="P68B1DB1-Normal23"/>
              <w:spacing w:after="0" w:line="240" w:lineRule="auto"/>
              <w:textAlignment w:val="baseline"/>
              <w:rPr>
                <w:rFonts w:eastAsia="Times New Roman" w:cs="Times New Roman"/>
                <w:noProof/>
                <w:szCs w:val="18"/>
              </w:rPr>
            </w:pPr>
            <w:r>
              <w:rPr>
                <w:noProof/>
              </w:rPr>
              <w:t>FOCO – Regulamentul de instituire a fondului</w:t>
            </w:r>
          </w:p>
        </w:tc>
        <w:tc>
          <w:tcPr>
            <w:tcW w:w="1112" w:type="dxa"/>
            <w:shd w:val="clear" w:color="auto" w:fill="C6EFCE"/>
          </w:tcPr>
          <w:p w14:paraId="3451513E" w14:textId="77777777" w:rsidR="00D924EA" w:rsidRDefault="00011DE9">
            <w:pPr>
              <w:pStyle w:val="P68B1DB1-Normal23"/>
              <w:spacing w:after="0" w:line="240" w:lineRule="auto"/>
              <w:textAlignment w:val="baseline"/>
              <w:rPr>
                <w:rFonts w:eastAsia="Times New Roman" w:cs="Times New Roman"/>
                <w:noProof/>
                <w:szCs w:val="18"/>
              </w:rPr>
            </w:pPr>
            <w:r>
              <w:rPr>
                <w:noProof/>
              </w:rPr>
              <w:t>Intrarea în vigoare a regulamentelor de instituire a mecanismului</w:t>
            </w:r>
          </w:p>
        </w:tc>
        <w:tc>
          <w:tcPr>
            <w:tcW w:w="696" w:type="dxa"/>
            <w:shd w:val="clear" w:color="auto" w:fill="C6EFCE"/>
          </w:tcPr>
          <w:p w14:paraId="2EA69902"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848A144" w14:textId="77777777"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255F88BE" w14:textId="77777777"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5D0DAF19" w14:textId="7025DB78" w:rsidR="00D924EA" w:rsidRDefault="005701C9">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71033642" w14:textId="754ABB36" w:rsidR="00D924EA" w:rsidRDefault="00011DE9">
            <w:pPr>
              <w:pStyle w:val="P68B1DB1-Normal23"/>
              <w:spacing w:after="0" w:line="240" w:lineRule="auto"/>
              <w:jc w:val="center"/>
              <w:textAlignment w:val="baseline"/>
              <w:rPr>
                <w:rFonts w:eastAsia="Times New Roman" w:cs="Times New Roman"/>
                <w:noProof/>
                <w:szCs w:val="18"/>
              </w:rPr>
            </w:pPr>
            <w:r>
              <w:rPr>
                <w:noProof/>
              </w:rPr>
              <w:t>2025</w:t>
            </w:r>
          </w:p>
        </w:tc>
        <w:tc>
          <w:tcPr>
            <w:tcW w:w="4861" w:type="dxa"/>
            <w:shd w:val="clear" w:color="auto" w:fill="C6EFCE"/>
          </w:tcPr>
          <w:p w14:paraId="23457C90" w14:textId="77777777" w:rsidR="00D924EA" w:rsidRDefault="00011DE9">
            <w:pPr>
              <w:pStyle w:val="P68B1DB1-Normal23"/>
              <w:spacing w:after="0" w:line="240" w:lineRule="auto"/>
              <w:textAlignment w:val="baseline"/>
              <w:rPr>
                <w:rFonts w:eastAsia="Times New Roman" w:cs="Times New Roman"/>
                <w:noProof/>
                <w:szCs w:val="18"/>
              </w:rPr>
            </w:pPr>
            <w:r>
              <w:rPr>
                <w:noProof/>
              </w:rPr>
              <w:t xml:space="preserve">Intrarea în vigoare a regulamentului de instituire a mecanismului și a oricăror documente conexe. </w:t>
            </w:r>
          </w:p>
        </w:tc>
      </w:tr>
      <w:tr w:rsidR="00D924EA" w14:paraId="6C9D9461" w14:textId="77777777">
        <w:trPr>
          <w:trHeight w:val="300"/>
          <w:jc w:val="center"/>
        </w:trPr>
        <w:tc>
          <w:tcPr>
            <w:tcW w:w="829" w:type="dxa"/>
            <w:shd w:val="clear" w:color="auto" w:fill="C6EFCE"/>
          </w:tcPr>
          <w:p w14:paraId="4940607A"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L42</w:t>
            </w:r>
          </w:p>
        </w:tc>
        <w:tc>
          <w:tcPr>
            <w:tcW w:w="833" w:type="dxa"/>
            <w:shd w:val="clear" w:color="auto" w:fill="C6EFCE"/>
          </w:tcPr>
          <w:p w14:paraId="45C206F4"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C13.I8</w:t>
            </w:r>
          </w:p>
        </w:tc>
        <w:tc>
          <w:tcPr>
            <w:tcW w:w="835" w:type="dxa"/>
            <w:shd w:val="clear" w:color="auto" w:fill="C6EFCE"/>
          </w:tcPr>
          <w:p w14:paraId="3F91A84A" w14:textId="4EFCFF1A" w:rsidR="00D924EA" w:rsidRDefault="00011DE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51F1FD11" w14:textId="5AD36548" w:rsidR="00D924EA" w:rsidRDefault="00011DE9">
            <w:pPr>
              <w:pStyle w:val="P68B1DB1-Normal23"/>
              <w:spacing w:after="0" w:line="240" w:lineRule="auto"/>
              <w:textAlignment w:val="baseline"/>
              <w:rPr>
                <w:rFonts w:eastAsia="Times New Roman" w:cs="Times New Roman"/>
                <w:noProof/>
                <w:szCs w:val="18"/>
              </w:rPr>
            </w:pPr>
            <w:r>
              <w:rPr>
                <w:noProof/>
              </w:rPr>
              <w:t>FOCO – Acorduri juridice semnate cu beneficiarii finali (inclusiv fonduri de investiții în acțiuni) și finalizarea investiției</w:t>
            </w:r>
          </w:p>
        </w:tc>
        <w:tc>
          <w:tcPr>
            <w:tcW w:w="1112" w:type="dxa"/>
            <w:shd w:val="clear" w:color="auto" w:fill="C6EFCE"/>
          </w:tcPr>
          <w:p w14:paraId="4B865B61" w14:textId="77777777" w:rsidR="00D924EA" w:rsidRDefault="00011DE9">
            <w:pPr>
              <w:pStyle w:val="P68B1DB1-Normal41"/>
              <w:spacing w:after="0" w:line="240" w:lineRule="auto"/>
              <w:textAlignment w:val="baseline"/>
              <w:rPr>
                <w:noProof/>
              </w:rPr>
            </w:pPr>
            <w:r>
              <w:rPr>
                <w:noProof/>
              </w:rPr>
              <w:t>Acorduri juridice cu beneficiarii finali și certificatul de transfer</w:t>
            </w:r>
          </w:p>
        </w:tc>
        <w:tc>
          <w:tcPr>
            <w:tcW w:w="696" w:type="dxa"/>
            <w:shd w:val="clear" w:color="auto" w:fill="C6EFCE"/>
          </w:tcPr>
          <w:p w14:paraId="7C6C68C8" w14:textId="7AE15704"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65FCCAF9" w14:textId="332EB736"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2E039849" w14:textId="223771EE"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5AF5FC96" w14:textId="7F3F46EF" w:rsidR="00D924EA" w:rsidRDefault="005701C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29E7FF0E"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44307987" w14:textId="1F2FA0B1" w:rsidR="00D924EA" w:rsidRDefault="00011DE9">
            <w:pPr>
              <w:pStyle w:val="P68B1DB1-Normal23"/>
              <w:spacing w:after="0" w:line="240" w:lineRule="auto"/>
              <w:textAlignment w:val="baseline"/>
              <w:rPr>
                <w:noProof/>
              </w:rPr>
            </w:pPr>
            <w:r>
              <w:rPr>
                <w:noProof/>
              </w:rPr>
              <w:t xml:space="preserve">Mecanismul și intermediarii selectați de COFIDES trebuie să fi încheiat acorduri juridice de finanțare cu beneficiarii finali (inclusiv fonduri de capital) pentru o sumă necesară pentru a utiliza 100 % din investițiile MRR în mecanism (ținând seama de comisioanele de gestionare). </w:t>
            </w:r>
          </w:p>
          <w:p w14:paraId="12B307C9" w14:textId="4AAA292E" w:rsidR="00D924EA" w:rsidRDefault="00011DE9">
            <w:pPr>
              <w:pStyle w:val="P68B1DB1-Normal29"/>
              <w:spacing w:after="0" w:line="240" w:lineRule="auto"/>
              <w:textAlignment w:val="baseline"/>
              <w:rPr>
                <w:noProof/>
                <w:sz w:val="18"/>
              </w:rPr>
            </w:pPr>
            <w:r>
              <w:rPr>
                <w:noProof/>
                <w:sz w:val="18"/>
              </w:rPr>
              <w:t>Spania transferă</w:t>
            </w:r>
            <w:r>
              <w:rPr>
                <w:noProof/>
                <w:sz w:val="20"/>
              </w:rPr>
              <w:t xml:space="preserve"> </w:t>
            </w:r>
            <w:r>
              <w:rPr>
                <w:noProof/>
                <w:sz w:val="18"/>
              </w:rPr>
              <w:t>2</w:t>
            </w:r>
            <w:r>
              <w:rPr>
                <w:noProof/>
                <w:sz w:val="20"/>
              </w:rPr>
              <w:t xml:space="preserve"> </w:t>
            </w:r>
            <w:r>
              <w:rPr>
                <w:noProof/>
                <w:sz w:val="18"/>
              </w:rPr>
              <w:t>000 000</w:t>
            </w:r>
            <w:r w:rsidR="00971820">
              <w:rPr>
                <w:noProof/>
                <w:sz w:val="20"/>
              </w:rPr>
              <w:t xml:space="preserve"> </w:t>
            </w:r>
            <w:r>
              <w:rPr>
                <w:noProof/>
                <w:sz w:val="18"/>
              </w:rPr>
              <w:t>000 EUR către mecanism.</w:t>
            </w:r>
          </w:p>
          <w:p w14:paraId="793E7864" w14:textId="77777777" w:rsidR="00D924EA" w:rsidRDefault="00D924EA">
            <w:pPr>
              <w:spacing w:after="0" w:line="240" w:lineRule="auto"/>
              <w:textAlignment w:val="baseline"/>
              <w:rPr>
                <w:rFonts w:ascii="Times New Roman" w:eastAsia="Times New Roman" w:hAnsi="Times New Roman" w:cs="Times New Roman"/>
                <w:noProof/>
                <w:sz w:val="18"/>
                <w:szCs w:val="18"/>
              </w:rPr>
            </w:pPr>
          </w:p>
        </w:tc>
      </w:tr>
      <w:tr w:rsidR="00D924EA" w14:paraId="35DD6418" w14:textId="77777777">
        <w:trPr>
          <w:trHeight w:val="300"/>
          <w:jc w:val="center"/>
        </w:trPr>
        <w:tc>
          <w:tcPr>
            <w:tcW w:w="829" w:type="dxa"/>
            <w:shd w:val="clear" w:color="auto" w:fill="C6EFCE"/>
          </w:tcPr>
          <w:p w14:paraId="356A19B6"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L45</w:t>
            </w:r>
          </w:p>
        </w:tc>
        <w:tc>
          <w:tcPr>
            <w:tcW w:w="833" w:type="dxa"/>
            <w:shd w:val="clear" w:color="auto" w:fill="C6EFCE"/>
          </w:tcPr>
          <w:p w14:paraId="42693721"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C13.I10</w:t>
            </w:r>
          </w:p>
        </w:tc>
        <w:tc>
          <w:tcPr>
            <w:tcW w:w="835" w:type="dxa"/>
            <w:shd w:val="clear" w:color="auto" w:fill="C6EFCE"/>
          </w:tcPr>
          <w:p w14:paraId="5974C8ED"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T</w:t>
            </w:r>
          </w:p>
        </w:tc>
        <w:tc>
          <w:tcPr>
            <w:tcW w:w="2224" w:type="dxa"/>
            <w:shd w:val="clear" w:color="auto" w:fill="C6EFCE"/>
          </w:tcPr>
          <w:p w14:paraId="704D0110" w14:textId="77777777" w:rsidR="00D924EA" w:rsidRDefault="00011DE9">
            <w:pPr>
              <w:pStyle w:val="P68B1DB1-Normal23"/>
              <w:spacing w:after="0" w:line="240" w:lineRule="auto"/>
              <w:textAlignment w:val="baseline"/>
              <w:rPr>
                <w:rFonts w:eastAsia="Times New Roman" w:cs="Times New Roman"/>
                <w:noProof/>
                <w:szCs w:val="18"/>
              </w:rPr>
            </w:pPr>
            <w:r>
              <w:rPr>
                <w:noProof/>
              </w:rPr>
              <w:t>FONREC</w:t>
            </w:r>
          </w:p>
        </w:tc>
        <w:tc>
          <w:tcPr>
            <w:tcW w:w="1112" w:type="dxa"/>
            <w:shd w:val="clear" w:color="auto" w:fill="C6EFCE"/>
          </w:tcPr>
          <w:p w14:paraId="552EC244"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7DDF837D"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Milioane EUR</w:t>
            </w:r>
          </w:p>
        </w:tc>
        <w:tc>
          <w:tcPr>
            <w:tcW w:w="973" w:type="dxa"/>
            <w:shd w:val="clear" w:color="auto" w:fill="C6EFCE"/>
          </w:tcPr>
          <w:p w14:paraId="02C45BFC"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0</w:t>
            </w:r>
          </w:p>
        </w:tc>
        <w:tc>
          <w:tcPr>
            <w:tcW w:w="696" w:type="dxa"/>
            <w:shd w:val="clear" w:color="auto" w:fill="C6EFCE"/>
          </w:tcPr>
          <w:p w14:paraId="4209728B" w14:textId="072EC92E" w:rsidR="00D924EA" w:rsidRDefault="00011DE9">
            <w:pPr>
              <w:pStyle w:val="P68B1DB1-Normal23"/>
              <w:spacing w:after="0" w:line="240" w:lineRule="auto"/>
              <w:jc w:val="right"/>
              <w:textAlignment w:val="baseline"/>
              <w:rPr>
                <w:rFonts w:eastAsia="Times New Roman" w:cs="Times New Roman"/>
                <w:noProof/>
                <w:szCs w:val="18"/>
              </w:rPr>
            </w:pPr>
            <w:r>
              <w:rPr>
                <w:noProof/>
              </w:rPr>
              <w:t>448</w:t>
            </w:r>
          </w:p>
        </w:tc>
        <w:tc>
          <w:tcPr>
            <w:tcW w:w="696" w:type="dxa"/>
            <w:shd w:val="clear" w:color="auto" w:fill="C6EFCE"/>
          </w:tcPr>
          <w:p w14:paraId="7F7C077A" w14:textId="71BDC0F5" w:rsidR="00D924EA" w:rsidRDefault="005701C9">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5437C104"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2025</w:t>
            </w:r>
          </w:p>
        </w:tc>
        <w:tc>
          <w:tcPr>
            <w:tcW w:w="4861" w:type="dxa"/>
            <w:shd w:val="clear" w:color="auto" w:fill="C6EFCE"/>
          </w:tcPr>
          <w:p w14:paraId="79F48D4B" w14:textId="38E50CED" w:rsidR="00D924EA" w:rsidRDefault="00011DE9">
            <w:pPr>
              <w:pStyle w:val="P68B1DB1-Normal29"/>
              <w:spacing w:after="0" w:line="240" w:lineRule="auto"/>
              <w:textAlignment w:val="baseline"/>
              <w:rPr>
                <w:rFonts w:eastAsia="Times New Roman" w:cs="Times New Roman"/>
                <w:noProof/>
                <w:sz w:val="18"/>
                <w:szCs w:val="18"/>
              </w:rPr>
            </w:pPr>
            <w:r>
              <w:rPr>
                <w:noProof/>
                <w:sz w:val="18"/>
                <w:szCs w:val="18"/>
              </w:rPr>
              <w:t>Au fost plătite</w:t>
            </w:r>
            <w:r>
              <w:rPr>
                <w:noProof/>
                <w:sz w:val="20"/>
                <w:szCs w:val="20"/>
              </w:rPr>
              <w:t xml:space="preserve"> </w:t>
            </w:r>
            <w:r>
              <w:rPr>
                <w:noProof/>
                <w:sz w:val="18"/>
                <w:szCs w:val="18"/>
              </w:rPr>
              <w:t>4 EUR și</w:t>
            </w:r>
            <w:r>
              <w:rPr>
                <w:noProof/>
                <w:sz w:val="20"/>
                <w:szCs w:val="20"/>
              </w:rPr>
              <w:t xml:space="preserve"> 48</w:t>
            </w:r>
            <w:r w:rsidR="00971820">
              <w:rPr>
                <w:noProof/>
                <w:sz w:val="20"/>
                <w:szCs w:val="20"/>
              </w:rPr>
              <w:t xml:space="preserve"> </w:t>
            </w:r>
            <w:r>
              <w:rPr>
                <w:noProof/>
                <w:sz w:val="18"/>
                <w:szCs w:val="18"/>
              </w:rPr>
              <w:t>000 000 EUR. Un auditor independent efectuează un audit ex post pentru a verifica dacă (i) întreprinderile sprijinite sunt întreprinderi mijlocii viabile [cu o cifră de afaceri cuprinsă între 10 de milioane EUR și 400 de milioane EUR], (ii) datele privind operațiunile au fost colectate astfel cum se prevede la articolul 22 litera d) punctele (i)-(iii) din Regulamentul privind MRR și (iii) investițiile respectă Orientările tehnice DNSH (2021/C58/01), normele privind ajutoarele de stat, absența fraudei, a corupției, a conflictelor de interese și a dublei finanțări. Toate restituirile se utilizează pentru a rambursa împrumuturile din cadrul Mecanismului de redresare și reziliență.</w:t>
            </w:r>
          </w:p>
        </w:tc>
      </w:tr>
      <w:tr w:rsidR="00D924EA" w14:paraId="4645BD70" w14:textId="77777777">
        <w:trPr>
          <w:trHeight w:val="300"/>
          <w:jc w:val="center"/>
        </w:trPr>
        <w:tc>
          <w:tcPr>
            <w:tcW w:w="829" w:type="dxa"/>
            <w:shd w:val="clear" w:color="auto" w:fill="C6EFCE"/>
          </w:tcPr>
          <w:p w14:paraId="4A0692F9"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L47</w:t>
            </w:r>
          </w:p>
        </w:tc>
        <w:tc>
          <w:tcPr>
            <w:tcW w:w="833" w:type="dxa"/>
            <w:shd w:val="clear" w:color="auto" w:fill="C6EFCE"/>
          </w:tcPr>
          <w:p w14:paraId="79414959"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C13.I12</w:t>
            </w:r>
          </w:p>
        </w:tc>
        <w:tc>
          <w:tcPr>
            <w:tcW w:w="835" w:type="dxa"/>
            <w:shd w:val="clear" w:color="auto" w:fill="C6EFCE"/>
          </w:tcPr>
          <w:p w14:paraId="58A7D4F1"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39A0F3E6" w14:textId="77777777" w:rsidR="00D924EA" w:rsidRDefault="00011DE9">
            <w:pPr>
              <w:pStyle w:val="P68B1DB1-Normal23"/>
              <w:spacing w:after="0" w:line="240" w:lineRule="auto"/>
              <w:textAlignment w:val="baseline"/>
              <w:rPr>
                <w:rFonts w:eastAsia="Times New Roman" w:cs="Times New Roman"/>
                <w:noProof/>
                <w:szCs w:val="18"/>
              </w:rPr>
            </w:pPr>
            <w:r>
              <w:rPr>
                <w:noProof/>
              </w:rPr>
              <w:t>ENISA – Fondul pentru antreprenoriat și IMM-uri – Acord de punere în aplicare</w:t>
            </w:r>
          </w:p>
        </w:tc>
        <w:tc>
          <w:tcPr>
            <w:tcW w:w="1112" w:type="dxa"/>
            <w:shd w:val="clear" w:color="auto" w:fill="C6EFCE"/>
          </w:tcPr>
          <w:p w14:paraId="6EB989EE" w14:textId="54E66B72" w:rsidR="00D924EA" w:rsidRDefault="00011DE9">
            <w:pPr>
              <w:pStyle w:val="P68B1DB1-Normal23"/>
              <w:spacing w:after="0" w:line="240" w:lineRule="auto"/>
              <w:textAlignment w:val="baseline"/>
              <w:rPr>
                <w:rFonts w:eastAsia="Times New Roman" w:cs="Times New Roman"/>
                <w:noProof/>
                <w:szCs w:val="18"/>
              </w:rPr>
            </w:pPr>
            <w:r>
              <w:rPr>
                <w:noProof/>
              </w:rPr>
              <w:t>Intrarea în vigoare a acordului de punere în aplicare sau a regulamentului și a documentelor conexe de instituire a mecanismului</w:t>
            </w:r>
          </w:p>
        </w:tc>
        <w:tc>
          <w:tcPr>
            <w:tcW w:w="696" w:type="dxa"/>
            <w:shd w:val="clear" w:color="auto" w:fill="C6EFCE"/>
          </w:tcPr>
          <w:p w14:paraId="5EED6552"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5454F05A"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5995864F" w14:textId="77777777"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584E67D4" w14:textId="00EA8AF0" w:rsidR="00D924EA" w:rsidRDefault="005701C9">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52F215C4" w14:textId="7C5D99D6" w:rsidR="00D924EA" w:rsidRDefault="00011DE9">
            <w:pPr>
              <w:pStyle w:val="P68B1DB1-Normal23"/>
              <w:spacing w:after="0" w:line="240" w:lineRule="auto"/>
              <w:jc w:val="center"/>
              <w:textAlignment w:val="baseline"/>
              <w:rPr>
                <w:rFonts w:eastAsia="Times New Roman" w:cs="Times New Roman"/>
                <w:noProof/>
                <w:szCs w:val="18"/>
              </w:rPr>
            </w:pPr>
            <w:r>
              <w:rPr>
                <w:noProof/>
              </w:rPr>
              <w:t>2025</w:t>
            </w:r>
          </w:p>
        </w:tc>
        <w:tc>
          <w:tcPr>
            <w:tcW w:w="4861" w:type="dxa"/>
            <w:shd w:val="clear" w:color="auto" w:fill="C6EFCE"/>
          </w:tcPr>
          <w:p w14:paraId="2C39F3AB" w14:textId="20EF6BEB" w:rsidR="00D924EA" w:rsidRDefault="00011DE9">
            <w:pPr>
              <w:pStyle w:val="P68B1DB1-Normal23"/>
              <w:spacing w:line="240" w:lineRule="auto"/>
              <w:rPr>
                <w:rFonts w:cs="Times New Roman"/>
                <w:noProof/>
              </w:rPr>
            </w:pPr>
            <w:r>
              <w:rPr>
                <w:noProof/>
              </w:rPr>
              <w:t>Intrarea în vigoare a acordului de punere în aplicare sau a regulamentului și a documentelor conexe de instituire a mecanismului.</w:t>
            </w:r>
          </w:p>
        </w:tc>
      </w:tr>
      <w:tr w:rsidR="00D924EA" w14:paraId="0257E733" w14:textId="77777777">
        <w:trPr>
          <w:trHeight w:val="300"/>
          <w:jc w:val="center"/>
        </w:trPr>
        <w:tc>
          <w:tcPr>
            <w:tcW w:w="829" w:type="dxa"/>
            <w:shd w:val="clear" w:color="auto" w:fill="C6EFCE"/>
          </w:tcPr>
          <w:p w14:paraId="19717359"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L49</w:t>
            </w:r>
          </w:p>
        </w:tc>
        <w:tc>
          <w:tcPr>
            <w:tcW w:w="833" w:type="dxa"/>
            <w:shd w:val="clear" w:color="auto" w:fill="C6EFCE"/>
          </w:tcPr>
          <w:p w14:paraId="3062D54E"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C13.I12</w:t>
            </w:r>
          </w:p>
        </w:tc>
        <w:tc>
          <w:tcPr>
            <w:tcW w:w="835" w:type="dxa"/>
            <w:shd w:val="clear" w:color="auto" w:fill="C6EFCE"/>
          </w:tcPr>
          <w:p w14:paraId="5A9DDF1C" w14:textId="2DE39C4E" w:rsidR="00D924EA" w:rsidRDefault="00011DE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758523D7" w14:textId="77777777" w:rsidR="00D924EA" w:rsidRDefault="00011DE9">
            <w:pPr>
              <w:pStyle w:val="P68B1DB1-Normal23"/>
              <w:spacing w:after="0" w:line="240" w:lineRule="auto"/>
              <w:textAlignment w:val="baseline"/>
              <w:rPr>
                <w:rFonts w:eastAsia="Times New Roman" w:cs="Times New Roman"/>
                <w:noProof/>
                <w:szCs w:val="18"/>
              </w:rPr>
            </w:pPr>
            <w:r>
              <w:rPr>
                <w:noProof/>
              </w:rPr>
              <w:t>ENISA – Fondul pentru antreprenoriat și IMM-uri – Acorduri juridice semnate cu beneficiarii finali și finalizarea investiției</w:t>
            </w:r>
          </w:p>
        </w:tc>
        <w:tc>
          <w:tcPr>
            <w:tcW w:w="1112" w:type="dxa"/>
            <w:shd w:val="clear" w:color="auto" w:fill="C6EFCE"/>
          </w:tcPr>
          <w:p w14:paraId="0FBCD3D0" w14:textId="77777777" w:rsidR="00D924EA" w:rsidRDefault="00011DE9">
            <w:pPr>
              <w:pStyle w:val="P68B1DB1-Normal41"/>
              <w:spacing w:after="0" w:line="240" w:lineRule="auto"/>
              <w:textAlignment w:val="baseline"/>
              <w:rPr>
                <w:noProof/>
              </w:rPr>
            </w:pPr>
            <w:r>
              <w:rPr>
                <w:noProof/>
              </w:rPr>
              <w:t xml:space="preserve">Acorduri de finanțare legală și certificat de transfer </w:t>
            </w:r>
          </w:p>
        </w:tc>
        <w:tc>
          <w:tcPr>
            <w:tcW w:w="696" w:type="dxa"/>
            <w:shd w:val="clear" w:color="auto" w:fill="C6EFCE"/>
          </w:tcPr>
          <w:p w14:paraId="5A168AD5"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2DD8F707" w14:textId="0D556E48"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7789A5BA" w14:textId="21747B6D"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76A7B6C5" w14:textId="125A163E" w:rsidR="00D924EA" w:rsidRDefault="005701C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1B1B9A7B"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0D021E5A" w14:textId="77777777" w:rsidR="00D924EA" w:rsidRDefault="00011DE9">
            <w:pPr>
              <w:pStyle w:val="P68B1DB1-Normal23"/>
              <w:spacing w:after="0" w:line="240" w:lineRule="auto"/>
              <w:textAlignment w:val="baseline"/>
              <w:rPr>
                <w:noProof/>
              </w:rPr>
            </w:pPr>
            <w:r>
              <w:rPr>
                <w:noProof/>
              </w:rPr>
              <w:t>ENISA trebuie să fi încheiat acorduri juridice de finanțare cu beneficiarii finali pentru o sumă necesară pentru a utiliza 100 % din investițiile MRR în mecanism (ținând seama de comisioanele de gestionare). O cotă de cel puțin 6,6 % din această finanțare contribuie la obiectivele digitale utilizând metodologia din anexa VII la Regulamentul privind MRR.</w:t>
            </w:r>
          </w:p>
          <w:p w14:paraId="255328FB" w14:textId="501AF5B3" w:rsidR="00D924EA" w:rsidRDefault="00011DE9">
            <w:pPr>
              <w:pStyle w:val="P68B1DB1-Normal29"/>
              <w:spacing w:after="0" w:line="240" w:lineRule="auto"/>
              <w:textAlignment w:val="baseline"/>
              <w:rPr>
                <w:rFonts w:eastAsia="Times New Roman" w:cs="Times New Roman"/>
                <w:noProof/>
                <w:sz w:val="18"/>
                <w:szCs w:val="18"/>
              </w:rPr>
            </w:pPr>
            <w:r>
              <w:rPr>
                <w:noProof/>
                <w:sz w:val="18"/>
              </w:rPr>
              <w:t>Spania transferă</w:t>
            </w:r>
            <w:r>
              <w:rPr>
                <w:noProof/>
                <w:sz w:val="20"/>
              </w:rPr>
              <w:t xml:space="preserve"> 95 </w:t>
            </w:r>
            <w:r>
              <w:rPr>
                <w:noProof/>
                <w:sz w:val="18"/>
              </w:rPr>
              <w:t>000</w:t>
            </w:r>
            <w:r>
              <w:rPr>
                <w:noProof/>
                <w:sz w:val="20"/>
              </w:rPr>
              <w:t xml:space="preserve"> </w:t>
            </w:r>
            <w:r>
              <w:rPr>
                <w:noProof/>
                <w:sz w:val="18"/>
              </w:rPr>
              <w:t>000 EUR către ENISA pentru mecanism.</w:t>
            </w:r>
          </w:p>
        </w:tc>
      </w:tr>
      <w:tr w:rsidR="00D924EA" w14:paraId="0ABCD6B5" w14:textId="77777777">
        <w:trPr>
          <w:trHeight w:val="300"/>
          <w:jc w:val="center"/>
        </w:trPr>
        <w:tc>
          <w:tcPr>
            <w:tcW w:w="829" w:type="dxa"/>
            <w:shd w:val="clear" w:color="auto" w:fill="C6EFCE"/>
          </w:tcPr>
          <w:p w14:paraId="5D0D6B19"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L51</w:t>
            </w:r>
          </w:p>
        </w:tc>
        <w:tc>
          <w:tcPr>
            <w:tcW w:w="833" w:type="dxa"/>
            <w:shd w:val="clear" w:color="auto" w:fill="C6EFCE"/>
          </w:tcPr>
          <w:p w14:paraId="66D292BE"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37547C1C"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3F2A0607" w14:textId="77777777" w:rsidR="00D924EA" w:rsidRDefault="00011DE9">
            <w:pPr>
              <w:pStyle w:val="P68B1DB1-Normal23"/>
              <w:spacing w:after="0" w:line="240" w:lineRule="auto"/>
              <w:textAlignment w:val="baseline"/>
              <w:rPr>
                <w:rFonts w:eastAsia="Times New Roman" w:cs="Times New Roman"/>
                <w:noProof/>
                <w:szCs w:val="18"/>
              </w:rPr>
            </w:pPr>
            <w:r>
              <w:rPr>
                <w:noProof/>
              </w:rPr>
              <w:t>Fondul regional de reziliență – InvestEU: Semnarea acordului de contribuție între Guvernul Spaniei și Comisia Europeană</w:t>
            </w:r>
          </w:p>
        </w:tc>
        <w:tc>
          <w:tcPr>
            <w:tcW w:w="1112" w:type="dxa"/>
            <w:shd w:val="clear" w:color="auto" w:fill="C6EFCE"/>
          </w:tcPr>
          <w:p w14:paraId="4A361BCD" w14:textId="77777777" w:rsidR="00D924EA" w:rsidRDefault="00011DE9">
            <w:pPr>
              <w:pStyle w:val="P68B1DB1-Normal23"/>
              <w:spacing w:after="0" w:line="240" w:lineRule="auto"/>
              <w:textAlignment w:val="baseline"/>
              <w:rPr>
                <w:rFonts w:eastAsia="Times New Roman" w:cs="Times New Roman"/>
                <w:noProof/>
                <w:szCs w:val="18"/>
              </w:rPr>
            </w:pPr>
            <w:r>
              <w:rPr>
                <w:noProof/>
              </w:rPr>
              <w:t>Semnarea acordului de contribuție</w:t>
            </w:r>
          </w:p>
        </w:tc>
        <w:tc>
          <w:tcPr>
            <w:tcW w:w="696" w:type="dxa"/>
            <w:shd w:val="clear" w:color="auto" w:fill="C6EFCE"/>
          </w:tcPr>
          <w:p w14:paraId="18D55879"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BAFDAFF" w14:textId="77777777"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34713597" w14:textId="77777777"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7621AA3C" w14:textId="0E0197C8" w:rsidR="00D924EA" w:rsidRDefault="005701C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048CAB79"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2023</w:t>
            </w:r>
          </w:p>
        </w:tc>
        <w:tc>
          <w:tcPr>
            <w:tcW w:w="4861" w:type="dxa"/>
            <w:shd w:val="clear" w:color="auto" w:fill="C6EFCE"/>
          </w:tcPr>
          <w:p w14:paraId="239AF52F" w14:textId="77777777" w:rsidR="00D924EA" w:rsidRDefault="00011DE9">
            <w:pPr>
              <w:pStyle w:val="P68B1DB1-Normal29"/>
              <w:spacing w:after="0" w:line="240" w:lineRule="auto"/>
              <w:textAlignment w:val="baseline"/>
              <w:rPr>
                <w:rFonts w:eastAsia="Times New Roman" w:cs="Times New Roman"/>
                <w:noProof/>
                <w:sz w:val="18"/>
                <w:szCs w:val="18"/>
              </w:rPr>
            </w:pPr>
            <w:r>
              <w:rPr>
                <w:noProof/>
                <w:sz w:val="18"/>
              </w:rPr>
              <w:t>Semnarea acordului de contribuție între Guvernul Spaniei și Comisia Europeană pentru suma de</w:t>
            </w:r>
            <w:r>
              <w:rPr>
                <w:noProof/>
                <w:sz w:val="20"/>
              </w:rPr>
              <w:t xml:space="preserve"> </w:t>
            </w:r>
            <w:r>
              <w:rPr>
                <w:noProof/>
                <w:sz w:val="18"/>
              </w:rPr>
              <w:t>500</w:t>
            </w:r>
            <w:r>
              <w:rPr>
                <w:noProof/>
                <w:sz w:val="20"/>
              </w:rPr>
              <w:t xml:space="preserve"> </w:t>
            </w:r>
            <w:r>
              <w:rPr>
                <w:noProof/>
                <w:sz w:val="18"/>
              </w:rPr>
              <w:t>000</w:t>
            </w:r>
            <w:r>
              <w:rPr>
                <w:noProof/>
                <w:sz w:val="20"/>
              </w:rPr>
              <w:t xml:space="preserve"> </w:t>
            </w:r>
            <w:r>
              <w:rPr>
                <w:noProof/>
                <w:sz w:val="18"/>
              </w:rPr>
              <w:t>000 EUR.</w:t>
            </w:r>
          </w:p>
        </w:tc>
      </w:tr>
      <w:tr w:rsidR="00D924EA" w14:paraId="776D87EA" w14:textId="77777777">
        <w:trPr>
          <w:trHeight w:val="300"/>
          <w:jc w:val="center"/>
        </w:trPr>
        <w:tc>
          <w:tcPr>
            <w:tcW w:w="829" w:type="dxa"/>
            <w:shd w:val="clear" w:color="auto" w:fill="C6EFCE"/>
          </w:tcPr>
          <w:p w14:paraId="09858DF0"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L52</w:t>
            </w:r>
          </w:p>
        </w:tc>
        <w:tc>
          <w:tcPr>
            <w:tcW w:w="833" w:type="dxa"/>
            <w:shd w:val="clear" w:color="auto" w:fill="C6EFCE"/>
          </w:tcPr>
          <w:p w14:paraId="63A2DBCB"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79D6F001"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T</w:t>
            </w:r>
          </w:p>
        </w:tc>
        <w:tc>
          <w:tcPr>
            <w:tcW w:w="2224" w:type="dxa"/>
            <w:shd w:val="clear" w:color="auto" w:fill="C6EFCE"/>
          </w:tcPr>
          <w:p w14:paraId="45C260D5" w14:textId="77777777" w:rsidR="00D924EA" w:rsidRDefault="00011DE9">
            <w:pPr>
              <w:pStyle w:val="P68B1DB1-Normal23"/>
              <w:spacing w:after="0" w:line="240" w:lineRule="auto"/>
              <w:textAlignment w:val="baseline"/>
              <w:rPr>
                <w:rFonts w:eastAsia="Times New Roman" w:cs="Times New Roman"/>
                <w:noProof/>
                <w:szCs w:val="18"/>
              </w:rPr>
            </w:pPr>
            <w:r>
              <w:rPr>
                <w:noProof/>
              </w:rPr>
              <w:t>Fondul regional de reziliență – InvestEU: Operațiuni de finanțare sau de investiții în valoare de cel puțin 500 milioane EUR alocate instrumentului și aprobate de Comitetul pentru investiții al InvestEU.</w:t>
            </w:r>
          </w:p>
        </w:tc>
        <w:tc>
          <w:tcPr>
            <w:tcW w:w="1112" w:type="dxa"/>
            <w:shd w:val="clear" w:color="auto" w:fill="C6EFCE"/>
          </w:tcPr>
          <w:p w14:paraId="4D0998A1" w14:textId="77777777" w:rsidR="00D924EA" w:rsidRDefault="00D924EA">
            <w:pPr>
              <w:spacing w:after="0" w:line="240" w:lineRule="auto"/>
              <w:textAlignment w:val="baseline"/>
              <w:rPr>
                <w:rFonts w:ascii="Times New Roman" w:eastAsia="Times New Roman" w:hAnsi="Times New Roman" w:cs="Times New Roman"/>
                <w:noProof/>
                <w:sz w:val="18"/>
                <w:szCs w:val="18"/>
              </w:rPr>
            </w:pPr>
          </w:p>
        </w:tc>
        <w:tc>
          <w:tcPr>
            <w:tcW w:w="696" w:type="dxa"/>
            <w:shd w:val="clear" w:color="auto" w:fill="C6EFCE"/>
          </w:tcPr>
          <w:p w14:paraId="04313CBF"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6FF42035" w14:textId="77777777" w:rsidR="00D924EA" w:rsidRDefault="00011DE9">
            <w:pPr>
              <w:pStyle w:val="P68B1DB1-Normal23"/>
              <w:spacing w:after="0" w:line="240" w:lineRule="auto"/>
              <w:jc w:val="right"/>
              <w:textAlignment w:val="baseline"/>
              <w:rPr>
                <w:rFonts w:eastAsia="Times New Roman" w:cs="Times New Roman"/>
                <w:noProof/>
                <w:szCs w:val="18"/>
              </w:rPr>
            </w:pPr>
            <w:r>
              <w:rPr>
                <w:noProof/>
              </w:rPr>
              <w:t>0</w:t>
            </w:r>
          </w:p>
        </w:tc>
        <w:tc>
          <w:tcPr>
            <w:tcW w:w="696" w:type="dxa"/>
            <w:shd w:val="clear" w:color="auto" w:fill="C6EFCE"/>
          </w:tcPr>
          <w:p w14:paraId="038493A2" w14:textId="77777777" w:rsidR="00D924EA" w:rsidRDefault="00011DE9">
            <w:pPr>
              <w:pStyle w:val="P68B1DB1-Normal23"/>
              <w:spacing w:after="0" w:line="240" w:lineRule="auto"/>
              <w:jc w:val="right"/>
              <w:textAlignment w:val="baseline"/>
              <w:rPr>
                <w:rFonts w:eastAsia="Times New Roman" w:cs="Times New Roman"/>
                <w:noProof/>
                <w:szCs w:val="18"/>
              </w:rPr>
            </w:pPr>
            <w:r>
              <w:rPr>
                <w:noProof/>
              </w:rPr>
              <w:t>100 %</w:t>
            </w:r>
          </w:p>
        </w:tc>
        <w:tc>
          <w:tcPr>
            <w:tcW w:w="696" w:type="dxa"/>
            <w:shd w:val="clear" w:color="auto" w:fill="C6EFCE"/>
          </w:tcPr>
          <w:p w14:paraId="1020636E" w14:textId="0A970D41" w:rsidR="00D924EA" w:rsidRDefault="005701C9">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45932191" w14:textId="71846254" w:rsidR="00D924EA" w:rsidRDefault="00011DE9">
            <w:pPr>
              <w:pStyle w:val="P68B1DB1-Normal23"/>
              <w:spacing w:after="0" w:line="240" w:lineRule="auto"/>
              <w:jc w:val="center"/>
              <w:textAlignment w:val="baseline"/>
              <w:rPr>
                <w:rFonts w:eastAsia="Times New Roman" w:cs="Times New Roman"/>
                <w:noProof/>
                <w:szCs w:val="18"/>
              </w:rPr>
            </w:pPr>
            <w:r>
              <w:rPr>
                <w:noProof/>
              </w:rPr>
              <w:t>2025</w:t>
            </w:r>
          </w:p>
        </w:tc>
        <w:tc>
          <w:tcPr>
            <w:tcW w:w="4861" w:type="dxa"/>
            <w:shd w:val="clear" w:color="auto" w:fill="C6EFCE"/>
          </w:tcPr>
          <w:p w14:paraId="387B90C4" w14:textId="77777777" w:rsidR="00D924EA" w:rsidRDefault="00011DE9">
            <w:pPr>
              <w:pStyle w:val="P68B1DB1-Normal23"/>
              <w:spacing w:after="0" w:line="240" w:lineRule="auto"/>
              <w:textAlignment w:val="baseline"/>
              <w:rPr>
                <w:rFonts w:eastAsia="Times New Roman" w:cs="Times New Roman"/>
                <w:noProof/>
                <w:szCs w:val="18"/>
              </w:rPr>
            </w:pPr>
            <w:r>
              <w:rPr>
                <w:noProof/>
              </w:rPr>
              <w:t>Operațiunile de finanțare sau de investiții în valoare de 100 % din cuantumul total al resurselor MRR alocate instrumentului trebuie să fi fost aprobate de Comitetul pentru investiții al InvestEU.</w:t>
            </w:r>
          </w:p>
        </w:tc>
      </w:tr>
      <w:tr w:rsidR="00D924EA" w14:paraId="6500E6D3" w14:textId="77777777">
        <w:trPr>
          <w:trHeight w:val="1085"/>
          <w:jc w:val="center"/>
        </w:trPr>
        <w:tc>
          <w:tcPr>
            <w:tcW w:w="829" w:type="dxa"/>
            <w:shd w:val="clear" w:color="auto" w:fill="C6EFCE"/>
          </w:tcPr>
          <w:p w14:paraId="40041E9C"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L53</w:t>
            </w:r>
          </w:p>
        </w:tc>
        <w:tc>
          <w:tcPr>
            <w:tcW w:w="833" w:type="dxa"/>
            <w:shd w:val="clear" w:color="auto" w:fill="C6EFCE"/>
          </w:tcPr>
          <w:p w14:paraId="79171139"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04FCADA6"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6C9E692E" w14:textId="77777777" w:rsidR="00D924EA" w:rsidRDefault="00011DE9">
            <w:pPr>
              <w:pStyle w:val="P68B1DB1-Normal23"/>
              <w:spacing w:after="0" w:line="240" w:lineRule="auto"/>
              <w:textAlignment w:val="baseline"/>
              <w:rPr>
                <w:rFonts w:eastAsia="Times New Roman" w:cs="Times New Roman"/>
                <w:noProof/>
                <w:szCs w:val="18"/>
              </w:rPr>
            </w:pPr>
            <w:r>
              <w:rPr>
                <w:noProof/>
              </w:rPr>
              <w:t xml:space="preserve">Fondul regional pentru reziliență: Acord de punere în aplicare </w:t>
            </w:r>
          </w:p>
        </w:tc>
        <w:tc>
          <w:tcPr>
            <w:tcW w:w="1112" w:type="dxa"/>
            <w:shd w:val="clear" w:color="auto" w:fill="C6EFCE"/>
          </w:tcPr>
          <w:p w14:paraId="14360C8A" w14:textId="77777777" w:rsidR="00D924EA" w:rsidRDefault="00011DE9">
            <w:pPr>
              <w:pStyle w:val="P68B1DB1-Normal23"/>
              <w:spacing w:after="0" w:line="240" w:lineRule="auto"/>
              <w:textAlignment w:val="baseline"/>
              <w:rPr>
                <w:rFonts w:eastAsia="Times New Roman" w:cs="Times New Roman"/>
                <w:noProof/>
                <w:szCs w:val="18"/>
              </w:rPr>
            </w:pPr>
            <w:r>
              <w:rPr>
                <w:noProof/>
              </w:rPr>
              <w:t>Intrarea în vigoare a acordului de punere în aplicare</w:t>
            </w:r>
          </w:p>
        </w:tc>
        <w:tc>
          <w:tcPr>
            <w:tcW w:w="696" w:type="dxa"/>
            <w:shd w:val="clear" w:color="auto" w:fill="C6EFCE"/>
          </w:tcPr>
          <w:p w14:paraId="788BC34D"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 xml:space="preserve"> </w:t>
            </w:r>
          </w:p>
        </w:tc>
        <w:tc>
          <w:tcPr>
            <w:tcW w:w="973" w:type="dxa"/>
            <w:shd w:val="clear" w:color="auto" w:fill="C6EFCE"/>
          </w:tcPr>
          <w:p w14:paraId="24D05184" w14:textId="77777777" w:rsidR="00D924EA" w:rsidRDefault="00011DE9">
            <w:pPr>
              <w:pStyle w:val="P68B1DB1-Normal23"/>
              <w:spacing w:after="0" w:line="240" w:lineRule="auto"/>
              <w:jc w:val="right"/>
              <w:textAlignment w:val="baseline"/>
              <w:rPr>
                <w:rFonts w:eastAsia="Times New Roman" w:cs="Times New Roman"/>
                <w:noProof/>
                <w:szCs w:val="18"/>
              </w:rPr>
            </w:pPr>
            <w:r>
              <w:rPr>
                <w:noProof/>
              </w:rPr>
              <w:t xml:space="preserve"> </w:t>
            </w:r>
          </w:p>
        </w:tc>
        <w:tc>
          <w:tcPr>
            <w:tcW w:w="696" w:type="dxa"/>
            <w:shd w:val="clear" w:color="auto" w:fill="C6EFCE"/>
          </w:tcPr>
          <w:p w14:paraId="66D40832" w14:textId="77777777" w:rsidR="00D924EA" w:rsidRDefault="00011DE9">
            <w:pPr>
              <w:pStyle w:val="P68B1DB1-Normal23"/>
              <w:spacing w:after="0" w:line="240" w:lineRule="auto"/>
              <w:jc w:val="right"/>
              <w:textAlignment w:val="baseline"/>
              <w:rPr>
                <w:rFonts w:eastAsia="Times New Roman" w:cs="Times New Roman"/>
                <w:noProof/>
                <w:szCs w:val="18"/>
              </w:rPr>
            </w:pPr>
            <w:r>
              <w:rPr>
                <w:noProof/>
              </w:rPr>
              <w:t xml:space="preserve"> </w:t>
            </w:r>
          </w:p>
        </w:tc>
        <w:tc>
          <w:tcPr>
            <w:tcW w:w="696" w:type="dxa"/>
            <w:shd w:val="clear" w:color="auto" w:fill="C6EFCE"/>
          </w:tcPr>
          <w:p w14:paraId="6F4B5ECC" w14:textId="4FE1BE02" w:rsidR="00D924EA" w:rsidRDefault="005701C9">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3980A2E2"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2025</w:t>
            </w:r>
          </w:p>
        </w:tc>
        <w:tc>
          <w:tcPr>
            <w:tcW w:w="4861" w:type="dxa"/>
            <w:shd w:val="clear" w:color="auto" w:fill="C6EFCE"/>
          </w:tcPr>
          <w:p w14:paraId="16F58BCD" w14:textId="77777777" w:rsidR="00D924EA" w:rsidRDefault="00011DE9">
            <w:pPr>
              <w:pStyle w:val="P68B1DB1-Normal23"/>
              <w:spacing w:after="0" w:line="240" w:lineRule="auto"/>
              <w:textAlignment w:val="baseline"/>
              <w:rPr>
                <w:rFonts w:eastAsia="Times New Roman" w:cs="Times New Roman"/>
                <w:noProof/>
                <w:szCs w:val="18"/>
              </w:rPr>
            </w:pPr>
            <w:r>
              <w:rPr>
                <w:noProof/>
              </w:rPr>
              <w:t xml:space="preserve">Intrarea în vigoare a acordului de punere în aplicare, cu acorduri asociate pentru cel puțin trei instrumente. </w:t>
            </w:r>
          </w:p>
        </w:tc>
      </w:tr>
      <w:tr w:rsidR="00D924EA" w14:paraId="685242D5" w14:textId="77777777">
        <w:trPr>
          <w:trHeight w:val="3591"/>
          <w:jc w:val="center"/>
        </w:trPr>
        <w:tc>
          <w:tcPr>
            <w:tcW w:w="829" w:type="dxa"/>
            <w:shd w:val="clear" w:color="auto" w:fill="C6EFCE"/>
          </w:tcPr>
          <w:p w14:paraId="6814819F"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L57</w:t>
            </w:r>
          </w:p>
        </w:tc>
        <w:tc>
          <w:tcPr>
            <w:tcW w:w="833" w:type="dxa"/>
            <w:shd w:val="clear" w:color="auto" w:fill="C6EFCE"/>
          </w:tcPr>
          <w:p w14:paraId="75BD9A68"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05D98C55"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T</w:t>
            </w:r>
          </w:p>
        </w:tc>
        <w:tc>
          <w:tcPr>
            <w:tcW w:w="2224" w:type="dxa"/>
            <w:shd w:val="clear" w:color="auto" w:fill="C6EFCE"/>
          </w:tcPr>
          <w:p w14:paraId="05E958CC" w14:textId="7EBD283F" w:rsidR="00D924EA" w:rsidRDefault="00011DE9">
            <w:pPr>
              <w:pStyle w:val="P68B1DB1-Normal23"/>
              <w:spacing w:after="0" w:line="240" w:lineRule="auto"/>
              <w:textAlignment w:val="baseline"/>
              <w:rPr>
                <w:rFonts w:eastAsia="Times New Roman" w:cs="Times New Roman"/>
                <w:noProof/>
                <w:szCs w:val="18"/>
              </w:rPr>
            </w:pPr>
            <w:r>
              <w:rPr>
                <w:noProof/>
              </w:rPr>
              <w:t xml:space="preserve">Fondul regional de reziliență – Alte linii: Acorduri juridice semnate cu beneficiarii finali (inclusiv fonduri de investiții în acțiuni) </w:t>
            </w:r>
          </w:p>
        </w:tc>
        <w:tc>
          <w:tcPr>
            <w:tcW w:w="1112" w:type="dxa"/>
            <w:shd w:val="clear" w:color="auto" w:fill="C6EFCE"/>
          </w:tcPr>
          <w:p w14:paraId="64003B43"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77EE592C"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0DDFD30A" w14:textId="39BE0348" w:rsidR="00D924EA" w:rsidRDefault="00011DE9">
            <w:pPr>
              <w:pStyle w:val="P68B1DB1-Normal23"/>
              <w:spacing w:after="0" w:line="240" w:lineRule="auto"/>
              <w:jc w:val="right"/>
              <w:textAlignment w:val="baseline"/>
              <w:rPr>
                <w:rFonts w:eastAsia="Times New Roman" w:cs="Times New Roman"/>
                <w:noProof/>
                <w:szCs w:val="18"/>
              </w:rPr>
            </w:pPr>
            <w:r>
              <w:rPr>
                <w:noProof/>
              </w:rPr>
              <w:t>0 %</w:t>
            </w:r>
          </w:p>
        </w:tc>
        <w:tc>
          <w:tcPr>
            <w:tcW w:w="696" w:type="dxa"/>
            <w:shd w:val="clear" w:color="auto" w:fill="C6EFCE"/>
          </w:tcPr>
          <w:p w14:paraId="5EAFE964" w14:textId="77777777" w:rsidR="00D924EA" w:rsidRDefault="00011DE9">
            <w:pPr>
              <w:pStyle w:val="P68B1DB1-Normal23"/>
              <w:spacing w:after="0" w:line="240" w:lineRule="auto"/>
              <w:jc w:val="right"/>
              <w:textAlignment w:val="baseline"/>
              <w:rPr>
                <w:rFonts w:eastAsia="Times New Roman" w:cs="Times New Roman"/>
                <w:noProof/>
                <w:szCs w:val="18"/>
              </w:rPr>
            </w:pPr>
            <w:r>
              <w:rPr>
                <w:noProof/>
              </w:rPr>
              <w:t>100 %</w:t>
            </w:r>
          </w:p>
        </w:tc>
        <w:tc>
          <w:tcPr>
            <w:tcW w:w="696" w:type="dxa"/>
            <w:shd w:val="clear" w:color="auto" w:fill="C6EFCE"/>
          </w:tcPr>
          <w:p w14:paraId="1D999B77" w14:textId="26C8F303" w:rsidR="00D924EA" w:rsidRDefault="005701C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28EDDA8E"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528ACBDA" w14:textId="72431683" w:rsidR="00D924EA" w:rsidRDefault="00011DE9">
            <w:pPr>
              <w:pStyle w:val="P68B1DB1-Normal23"/>
              <w:spacing w:after="0" w:line="240" w:lineRule="auto"/>
              <w:textAlignment w:val="baseline"/>
              <w:rPr>
                <w:noProof/>
              </w:rPr>
            </w:pPr>
            <w:r>
              <w:rPr>
                <w:noProof/>
              </w:rPr>
              <w:t xml:space="preserve">Grupul BEI și intermediarii selectați de grupul BEI trebuie să fi încheiat acorduri juridice de finanțare cu beneficiarii finali (inclusiv fonduri de capital) pentru o sumă necesară pentru a utiliza 100 % din investițiile MRR în alte linii (ținând seama de comisioanele de administrare). </w:t>
            </w:r>
          </w:p>
          <w:p w14:paraId="088EB786" w14:textId="77777777" w:rsidR="00D924EA" w:rsidRDefault="00D924EA">
            <w:pPr>
              <w:spacing w:after="0" w:line="240" w:lineRule="auto"/>
              <w:textAlignment w:val="baseline"/>
              <w:rPr>
                <w:rFonts w:ascii="Times New Roman" w:hAnsi="Times New Roman"/>
                <w:noProof/>
                <w:sz w:val="18"/>
              </w:rPr>
            </w:pPr>
          </w:p>
          <w:p w14:paraId="47E64783" w14:textId="12C3A5DD" w:rsidR="00D924EA" w:rsidRDefault="00011DE9">
            <w:pPr>
              <w:pStyle w:val="P68B1DB1-Normal23"/>
              <w:spacing w:after="0" w:line="240" w:lineRule="auto"/>
              <w:textAlignment w:val="baseline"/>
              <w:rPr>
                <w:rFonts w:eastAsia="Times New Roman" w:cs="Times New Roman"/>
                <w:noProof/>
                <w:szCs w:val="18"/>
              </w:rPr>
            </w:pPr>
            <w:r>
              <w:rPr>
                <w:noProof/>
              </w:rPr>
              <w:t>Cuantumurile utilizate pentru achiziționarea de titluri garantate cu active sunt luate în considerare numai în măsura în care există un angajament financiar corespunzător din partea entității financiare față de un IMM, o întreprindere cu capitalizare medie sau o persoană fizică ca parte a noului portofoliu de împrumuturi eligibile.</w:t>
            </w:r>
          </w:p>
        </w:tc>
      </w:tr>
      <w:tr w:rsidR="00D924EA" w14:paraId="0EBEC2F5" w14:textId="77777777">
        <w:trPr>
          <w:trHeight w:val="417"/>
          <w:jc w:val="center"/>
        </w:trPr>
        <w:tc>
          <w:tcPr>
            <w:tcW w:w="829" w:type="dxa"/>
            <w:shd w:val="clear" w:color="auto" w:fill="C6EFCE"/>
          </w:tcPr>
          <w:p w14:paraId="5A6B4F2A"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L59</w:t>
            </w:r>
          </w:p>
        </w:tc>
        <w:tc>
          <w:tcPr>
            <w:tcW w:w="833" w:type="dxa"/>
            <w:shd w:val="clear" w:color="auto" w:fill="C6EFCE"/>
          </w:tcPr>
          <w:p w14:paraId="61C8E129"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7272D91A" w14:textId="76BED5F1" w:rsidR="00D924EA" w:rsidRDefault="00011DE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3AFFBA46" w14:textId="12226368" w:rsidR="00D924EA" w:rsidRDefault="00011DE9">
            <w:pPr>
              <w:pStyle w:val="P68B1DB1-Normal23"/>
              <w:spacing w:after="0" w:line="240" w:lineRule="auto"/>
              <w:textAlignment w:val="baseline"/>
              <w:rPr>
                <w:rFonts w:eastAsia="Times New Roman" w:cs="Times New Roman"/>
                <w:noProof/>
                <w:szCs w:val="18"/>
              </w:rPr>
            </w:pPr>
            <w:r>
              <w:rPr>
                <w:noProof/>
              </w:rPr>
              <w:t>Fondul regional de reziliență – Linie publică directă: Acorduri juridice semnate cu beneficiarii finali, verificarea granturilor și executarea contractelor</w:t>
            </w:r>
          </w:p>
        </w:tc>
        <w:tc>
          <w:tcPr>
            <w:tcW w:w="1112" w:type="dxa"/>
            <w:shd w:val="clear" w:color="auto" w:fill="C6EFCE"/>
          </w:tcPr>
          <w:p w14:paraId="7F99E4C5" w14:textId="6E3C3256" w:rsidR="00D924EA" w:rsidRDefault="00011DE9">
            <w:pPr>
              <w:pStyle w:val="P68B1DB1-Normal41"/>
              <w:spacing w:after="0" w:line="240" w:lineRule="auto"/>
              <w:textAlignment w:val="baseline"/>
              <w:rPr>
                <w:noProof/>
              </w:rPr>
            </w:pPr>
            <w:r>
              <w:rPr>
                <w:noProof/>
              </w:rPr>
              <w:t>Acorduri juridice și verificarea de către administrație a granturilor și a executării contractelor</w:t>
            </w:r>
          </w:p>
        </w:tc>
        <w:tc>
          <w:tcPr>
            <w:tcW w:w="696" w:type="dxa"/>
            <w:shd w:val="clear" w:color="auto" w:fill="C6EFCE"/>
          </w:tcPr>
          <w:p w14:paraId="4DEA557F"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31DED3C3" w14:textId="51B1F724"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C6EA586" w14:textId="3362FFFD"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BD0DCAC" w14:textId="02F9B477" w:rsidR="00D924EA" w:rsidRDefault="005701C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26AE87E8" w14:textId="363215C4" w:rsidR="00D924EA" w:rsidRDefault="00011DE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10A08575" w14:textId="3A79C92F" w:rsidR="00D924EA" w:rsidRDefault="00011DE9">
            <w:pPr>
              <w:pStyle w:val="P68B1DB1-Normal23"/>
              <w:spacing w:after="0" w:line="240" w:lineRule="auto"/>
              <w:textAlignment w:val="baseline"/>
              <w:rPr>
                <w:noProof/>
              </w:rPr>
            </w:pPr>
            <w:r>
              <w:rPr>
                <w:noProof/>
              </w:rPr>
              <w:t>Grupul BEI trebuie să fi încheiat acorduri juridice de finanțare cu beneficiarii finali pentru o sumă necesară pentru a utiliza 100 % din investițiile MRR în linia publică directă (ținând seama de comisioanele de administrare).</w:t>
            </w:r>
          </w:p>
          <w:p w14:paraId="66544225" w14:textId="77777777" w:rsidR="00D924EA" w:rsidRDefault="00D924EA">
            <w:pPr>
              <w:spacing w:after="0" w:line="240" w:lineRule="auto"/>
              <w:textAlignment w:val="baseline"/>
              <w:rPr>
                <w:rFonts w:ascii="Times New Roman" w:hAnsi="Times New Roman"/>
                <w:noProof/>
                <w:sz w:val="18"/>
              </w:rPr>
            </w:pPr>
          </w:p>
          <w:p w14:paraId="607F4D21" w14:textId="0803BE5E" w:rsidR="00D924EA" w:rsidRDefault="00011DE9">
            <w:pPr>
              <w:pStyle w:val="P68B1DB1-Normal23"/>
              <w:spacing w:after="0" w:line="240" w:lineRule="auto"/>
              <w:textAlignment w:val="baseline"/>
              <w:rPr>
                <w:rFonts w:eastAsia="Times New Roman" w:cs="Times New Roman"/>
                <w:noProof/>
                <w:szCs w:val="18"/>
              </w:rPr>
            </w:pPr>
            <w:r>
              <w:rPr>
                <w:noProof/>
              </w:rPr>
              <w:t>Verificarea de către administrație a justificării documentare pentru plățile aferente granturilor legate de cercetare și dezvoltare și confirmarea de către administrație a executării contractelor sau a unor părți ale acestora legate de infrastructura educațională, de asistența medicală și de infrastructura de alimentare cu apă, pentru o sumă totală cumulată de 508 950 000 EUR sub formă de granturi și contracte atribuite (inclusiv eventualele modificări).</w:t>
            </w:r>
          </w:p>
        </w:tc>
      </w:tr>
      <w:tr w:rsidR="00D924EA" w14:paraId="7841C5B9" w14:textId="77777777">
        <w:trPr>
          <w:trHeight w:val="417"/>
          <w:jc w:val="center"/>
        </w:trPr>
        <w:tc>
          <w:tcPr>
            <w:tcW w:w="829" w:type="dxa"/>
            <w:shd w:val="clear" w:color="auto" w:fill="C6EFCE"/>
          </w:tcPr>
          <w:p w14:paraId="4749EDEC" w14:textId="57624178" w:rsidR="00D924EA" w:rsidRDefault="00011DE9">
            <w:pPr>
              <w:pStyle w:val="P68B1DB1-Normal23"/>
              <w:spacing w:after="0" w:line="240" w:lineRule="auto"/>
              <w:jc w:val="center"/>
              <w:textAlignment w:val="baseline"/>
              <w:rPr>
                <w:rFonts w:eastAsia="Times New Roman" w:cs="Times New Roman"/>
                <w:noProof/>
                <w:szCs w:val="18"/>
              </w:rPr>
            </w:pPr>
            <w:r>
              <w:rPr>
                <w:noProof/>
              </w:rPr>
              <w:t>L60</w:t>
            </w:r>
          </w:p>
        </w:tc>
        <w:tc>
          <w:tcPr>
            <w:tcW w:w="833" w:type="dxa"/>
            <w:shd w:val="clear" w:color="auto" w:fill="C6EFCE"/>
          </w:tcPr>
          <w:p w14:paraId="7A39440F" w14:textId="30BA1F59" w:rsidR="00D924EA" w:rsidRDefault="00011DE9">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01F4DEAD" w14:textId="200A4FB2" w:rsidR="00D924EA" w:rsidRDefault="00011DE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2A0F43A1" w14:textId="0A7D6A8A" w:rsidR="00D924EA" w:rsidRDefault="00011DE9">
            <w:pPr>
              <w:pStyle w:val="P68B1DB1-Normal23"/>
              <w:spacing w:after="0" w:line="240" w:lineRule="auto"/>
              <w:textAlignment w:val="baseline"/>
              <w:rPr>
                <w:rFonts w:eastAsia="Times New Roman" w:cs="Times New Roman"/>
                <w:noProof/>
                <w:szCs w:val="18"/>
              </w:rPr>
            </w:pPr>
            <w:r>
              <w:rPr>
                <w:noProof/>
              </w:rPr>
              <w:t>Fondul regional pentru reziliență – contribuția la schimbările climatice</w:t>
            </w:r>
          </w:p>
        </w:tc>
        <w:tc>
          <w:tcPr>
            <w:tcW w:w="1112" w:type="dxa"/>
            <w:shd w:val="clear" w:color="auto" w:fill="C6EFCE"/>
          </w:tcPr>
          <w:p w14:paraId="26A2347C" w14:textId="086CF4D9"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37C43DFB" w14:textId="56F9CB99"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7E8AA437" w14:textId="48049136"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27CAD09C" w14:textId="72439C48"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2AB1C99D" w14:textId="7B951414" w:rsidR="00D924EA" w:rsidRDefault="005701C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019056D1" w14:textId="4D77C368" w:rsidR="00D924EA" w:rsidRDefault="00011DE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1E75968B" w14:textId="1654255B" w:rsidR="00D924EA" w:rsidRDefault="00011DE9">
            <w:pPr>
              <w:pStyle w:val="P68B1DB1-Normal23"/>
              <w:spacing w:after="0" w:line="240" w:lineRule="auto"/>
              <w:textAlignment w:val="baseline"/>
              <w:rPr>
                <w:noProof/>
              </w:rPr>
            </w:pPr>
            <w:r>
              <w:rPr>
                <w:noProof/>
              </w:rPr>
              <w:t>Cel puțin 2 400 000 000 EUR din investiția combinată din MRR în mecanism contribuie la obiectivele climatice utilizând metodologia din anexa VI la Regulamentul privind MRR.</w:t>
            </w:r>
          </w:p>
          <w:p w14:paraId="195F4E0B" w14:textId="43559EF6" w:rsidR="00D924EA" w:rsidRDefault="00011DE9">
            <w:pPr>
              <w:pStyle w:val="P68B1DB1-Normal23"/>
              <w:spacing w:after="0" w:line="240" w:lineRule="auto"/>
              <w:textAlignment w:val="baseline"/>
              <w:rPr>
                <w:rFonts w:eastAsia="Times New Roman" w:cs="Times New Roman"/>
                <w:noProof/>
                <w:szCs w:val="18"/>
              </w:rPr>
            </w:pPr>
            <w:r>
              <w:rPr>
                <w:noProof/>
              </w:rPr>
              <w:t>—</w:t>
            </w:r>
          </w:p>
        </w:tc>
      </w:tr>
      <w:tr w:rsidR="00D924EA" w14:paraId="22BFDCFC" w14:textId="77777777">
        <w:trPr>
          <w:trHeight w:val="300"/>
          <w:jc w:val="center"/>
        </w:trPr>
        <w:tc>
          <w:tcPr>
            <w:tcW w:w="829" w:type="dxa"/>
            <w:shd w:val="clear" w:color="auto" w:fill="C6EFCE"/>
          </w:tcPr>
          <w:p w14:paraId="6B9C1733"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L62</w:t>
            </w:r>
          </w:p>
        </w:tc>
        <w:tc>
          <w:tcPr>
            <w:tcW w:w="833" w:type="dxa"/>
            <w:shd w:val="clear" w:color="auto" w:fill="C6EFCE"/>
          </w:tcPr>
          <w:p w14:paraId="5E32EDE5"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62DD5975"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60BDD397" w14:textId="77777777" w:rsidR="00D924EA" w:rsidRDefault="00011DE9">
            <w:pPr>
              <w:pStyle w:val="P68B1DB1-Normal23"/>
              <w:spacing w:after="0" w:line="240" w:lineRule="auto"/>
              <w:textAlignment w:val="baseline"/>
              <w:rPr>
                <w:rFonts w:eastAsia="Times New Roman" w:cs="Times New Roman"/>
                <w:noProof/>
                <w:szCs w:val="18"/>
              </w:rPr>
            </w:pPr>
            <w:r>
              <w:rPr>
                <w:noProof/>
              </w:rPr>
              <w:t>Fondul regional pentru reziliență – Ministerul Afacerilor Economice și Tranziției Digitale a finalizat investiția</w:t>
            </w:r>
          </w:p>
        </w:tc>
        <w:tc>
          <w:tcPr>
            <w:tcW w:w="1112" w:type="dxa"/>
            <w:shd w:val="clear" w:color="auto" w:fill="C6EFCE"/>
          </w:tcPr>
          <w:p w14:paraId="6D6B2BE2" w14:textId="77777777" w:rsidR="00D924EA" w:rsidRDefault="00011DE9">
            <w:pPr>
              <w:pStyle w:val="P68B1DB1-Normal23"/>
              <w:spacing w:after="0" w:line="240" w:lineRule="auto"/>
              <w:textAlignment w:val="baseline"/>
              <w:rPr>
                <w:rFonts w:eastAsia="Times New Roman" w:cs="Times New Roman"/>
                <w:noProof/>
                <w:szCs w:val="18"/>
              </w:rPr>
            </w:pPr>
            <w:r>
              <w:rPr>
                <w:noProof/>
              </w:rPr>
              <w:t>Certificat de plată către fond</w:t>
            </w:r>
          </w:p>
        </w:tc>
        <w:tc>
          <w:tcPr>
            <w:tcW w:w="696" w:type="dxa"/>
            <w:shd w:val="clear" w:color="auto" w:fill="C6EFCE"/>
          </w:tcPr>
          <w:p w14:paraId="437F69BF"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p w14:paraId="0A08ACEA"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09DE4F66" w14:textId="77777777"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3098ACFC" w14:textId="77777777" w:rsidR="00D924EA" w:rsidRDefault="00D924EA">
            <w:pPr>
              <w:spacing w:after="0" w:line="240" w:lineRule="auto"/>
              <w:jc w:val="right"/>
              <w:textAlignment w:val="baseline"/>
              <w:rPr>
                <w:rFonts w:ascii="Times New Roman" w:eastAsia="Times New Roman" w:hAnsi="Times New Roman" w:cs="Times New Roman"/>
                <w:noProof/>
                <w:sz w:val="18"/>
                <w:szCs w:val="18"/>
              </w:rPr>
            </w:pPr>
          </w:p>
          <w:p w14:paraId="6C310A79" w14:textId="77777777"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306BB660" w14:textId="50EA232C" w:rsidR="00D924EA" w:rsidRDefault="005701C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2F404270" w14:textId="77777777" w:rsidR="00D924EA" w:rsidRDefault="00011DE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4F419A0E" w14:textId="359B5E0B" w:rsidR="00D924EA" w:rsidRDefault="00011DE9">
            <w:pPr>
              <w:pStyle w:val="P68B1DB1-Normal29"/>
              <w:spacing w:after="0" w:line="240" w:lineRule="auto"/>
              <w:textAlignment w:val="baseline"/>
              <w:rPr>
                <w:rFonts w:eastAsia="Times New Roman" w:cs="Times New Roman"/>
                <w:noProof/>
                <w:sz w:val="18"/>
                <w:szCs w:val="18"/>
              </w:rPr>
            </w:pPr>
            <w:r>
              <w:rPr>
                <w:noProof/>
                <w:sz w:val="18"/>
              </w:rPr>
              <w:t>Spania transferă</w:t>
            </w:r>
            <w:r>
              <w:rPr>
                <w:noProof/>
                <w:sz w:val="20"/>
              </w:rPr>
              <w:t xml:space="preserve"> </w:t>
            </w:r>
            <w:r>
              <w:rPr>
                <w:noProof/>
                <w:sz w:val="18"/>
              </w:rPr>
              <w:t>4 800 000</w:t>
            </w:r>
            <w:r>
              <w:rPr>
                <w:noProof/>
                <w:sz w:val="20"/>
              </w:rPr>
              <w:t xml:space="preserve"> </w:t>
            </w:r>
            <w:r>
              <w:rPr>
                <w:noProof/>
                <w:sz w:val="18"/>
              </w:rPr>
              <w:t>000 EUR Grupului BEI pentru facilitate.</w:t>
            </w:r>
          </w:p>
        </w:tc>
      </w:tr>
      <w:tr w:rsidR="00D924EA" w14:paraId="293040B0" w14:textId="77777777">
        <w:trPr>
          <w:trHeight w:val="300"/>
          <w:jc w:val="center"/>
        </w:trPr>
        <w:tc>
          <w:tcPr>
            <w:tcW w:w="829" w:type="dxa"/>
            <w:shd w:val="clear" w:color="auto" w:fill="C6EFCE"/>
          </w:tcPr>
          <w:p w14:paraId="358D777B" w14:textId="10329A29" w:rsidR="00D924EA" w:rsidRDefault="00011DE9">
            <w:pPr>
              <w:pStyle w:val="P68B1DB1-Normal23"/>
              <w:spacing w:after="0" w:line="240" w:lineRule="auto"/>
              <w:jc w:val="center"/>
              <w:textAlignment w:val="baseline"/>
              <w:rPr>
                <w:noProof/>
              </w:rPr>
            </w:pPr>
            <w:r>
              <w:rPr>
                <w:noProof/>
              </w:rPr>
              <w:t>L90</w:t>
            </w:r>
          </w:p>
        </w:tc>
        <w:tc>
          <w:tcPr>
            <w:tcW w:w="833" w:type="dxa"/>
            <w:shd w:val="clear" w:color="auto" w:fill="C6EFCE"/>
          </w:tcPr>
          <w:p w14:paraId="0F2D6B8D" w14:textId="77777777" w:rsidR="00D924EA" w:rsidRDefault="00011DE9">
            <w:pPr>
              <w:pStyle w:val="P68B1DB1-Normal43"/>
              <w:spacing w:after="0" w:line="240" w:lineRule="auto"/>
              <w:jc w:val="center"/>
              <w:textAlignment w:val="baseline"/>
              <w:rPr>
                <w:noProof/>
              </w:rPr>
            </w:pPr>
            <w:r>
              <w:rPr>
                <w:noProof/>
              </w:rPr>
              <w:t>C13.I15</w:t>
            </w:r>
          </w:p>
        </w:tc>
        <w:tc>
          <w:tcPr>
            <w:tcW w:w="835" w:type="dxa"/>
            <w:shd w:val="clear" w:color="auto" w:fill="C6EFCE"/>
          </w:tcPr>
          <w:p w14:paraId="5C83A6BC" w14:textId="77777777" w:rsidR="00D924EA" w:rsidRDefault="00011DE9">
            <w:pPr>
              <w:pStyle w:val="P68B1DB1-Normal43"/>
              <w:spacing w:after="0" w:line="240" w:lineRule="auto"/>
              <w:jc w:val="center"/>
              <w:textAlignment w:val="baseline"/>
              <w:rPr>
                <w:noProof/>
              </w:rPr>
            </w:pPr>
            <w:r>
              <w:rPr>
                <w:noProof/>
              </w:rPr>
              <w:t>M</w:t>
            </w:r>
          </w:p>
        </w:tc>
        <w:tc>
          <w:tcPr>
            <w:tcW w:w="2224" w:type="dxa"/>
            <w:shd w:val="clear" w:color="auto" w:fill="C6EFCE"/>
          </w:tcPr>
          <w:p w14:paraId="41A06213" w14:textId="77777777" w:rsidR="00D924EA" w:rsidRDefault="00011DE9">
            <w:pPr>
              <w:pStyle w:val="P68B1DB1-Normal43"/>
              <w:spacing w:after="0" w:line="240" w:lineRule="auto"/>
              <w:textAlignment w:val="baseline"/>
              <w:rPr>
                <w:noProof/>
              </w:rPr>
            </w:pPr>
            <w:r>
              <w:rPr>
                <w:noProof/>
              </w:rPr>
              <w:t>Politică de investiții</w:t>
            </w:r>
          </w:p>
        </w:tc>
        <w:tc>
          <w:tcPr>
            <w:tcW w:w="1112" w:type="dxa"/>
            <w:shd w:val="clear" w:color="auto" w:fill="C6EFCE"/>
          </w:tcPr>
          <w:p w14:paraId="40DF3C55" w14:textId="77777777" w:rsidR="00D924EA" w:rsidRDefault="00011DE9">
            <w:pPr>
              <w:pStyle w:val="P68B1DB1-Normal43"/>
              <w:spacing w:after="0" w:line="240" w:lineRule="auto"/>
              <w:textAlignment w:val="baseline"/>
              <w:rPr>
                <w:noProof/>
              </w:rPr>
            </w:pPr>
            <w:r>
              <w:rPr>
                <w:noProof/>
              </w:rPr>
              <w:t>Adoptarea unei politici de investiții</w:t>
            </w:r>
          </w:p>
        </w:tc>
        <w:tc>
          <w:tcPr>
            <w:tcW w:w="696" w:type="dxa"/>
            <w:shd w:val="clear" w:color="auto" w:fill="C6EFCE"/>
          </w:tcPr>
          <w:p w14:paraId="4F1A6304" w14:textId="77777777" w:rsidR="00D924EA" w:rsidRDefault="00011DE9">
            <w:pPr>
              <w:pStyle w:val="P68B1DB1-Normal43"/>
              <w:spacing w:after="0" w:line="240" w:lineRule="auto"/>
              <w:jc w:val="center"/>
              <w:textAlignment w:val="baseline"/>
              <w:rPr>
                <w:rFonts w:eastAsia="Times New Roman"/>
                <w:noProof/>
              </w:rPr>
            </w:pPr>
            <w:r>
              <w:rPr>
                <w:noProof/>
              </w:rPr>
              <w:t xml:space="preserve"> </w:t>
            </w:r>
          </w:p>
        </w:tc>
        <w:tc>
          <w:tcPr>
            <w:tcW w:w="973" w:type="dxa"/>
            <w:shd w:val="clear" w:color="auto" w:fill="C6EFCE"/>
          </w:tcPr>
          <w:p w14:paraId="42557E00" w14:textId="77777777" w:rsidR="00D924EA" w:rsidRDefault="00011DE9">
            <w:pPr>
              <w:pStyle w:val="P68B1DB1-Normal43"/>
              <w:spacing w:after="0" w:line="240" w:lineRule="auto"/>
              <w:jc w:val="right"/>
              <w:textAlignment w:val="baseline"/>
              <w:rPr>
                <w:rFonts w:eastAsia="Times New Roman"/>
                <w:noProof/>
              </w:rPr>
            </w:pPr>
            <w:r>
              <w:rPr>
                <w:noProof/>
              </w:rPr>
              <w:t xml:space="preserve"> </w:t>
            </w:r>
          </w:p>
        </w:tc>
        <w:tc>
          <w:tcPr>
            <w:tcW w:w="696" w:type="dxa"/>
            <w:shd w:val="clear" w:color="auto" w:fill="C6EFCE"/>
          </w:tcPr>
          <w:p w14:paraId="64CF8EE7" w14:textId="77777777" w:rsidR="00D924EA" w:rsidRDefault="00011DE9">
            <w:pPr>
              <w:pStyle w:val="P68B1DB1-Normal43"/>
              <w:spacing w:after="0" w:line="240" w:lineRule="auto"/>
              <w:jc w:val="right"/>
              <w:textAlignment w:val="baseline"/>
              <w:rPr>
                <w:rFonts w:eastAsia="Times New Roman"/>
                <w:noProof/>
              </w:rPr>
            </w:pPr>
            <w:r>
              <w:rPr>
                <w:noProof/>
              </w:rPr>
              <w:t xml:space="preserve"> </w:t>
            </w:r>
          </w:p>
        </w:tc>
        <w:tc>
          <w:tcPr>
            <w:tcW w:w="696" w:type="dxa"/>
            <w:shd w:val="clear" w:color="auto" w:fill="C6EFCE"/>
          </w:tcPr>
          <w:p w14:paraId="09AA2A02" w14:textId="587D6C7B" w:rsidR="00D924EA" w:rsidRDefault="005701C9">
            <w:pPr>
              <w:pStyle w:val="P68B1DB1-Normal43"/>
              <w:spacing w:after="0" w:line="240" w:lineRule="auto"/>
              <w:jc w:val="center"/>
              <w:textAlignment w:val="baseline"/>
              <w:rPr>
                <w:noProof/>
              </w:rPr>
            </w:pPr>
            <w:r>
              <w:rPr>
                <w:noProof/>
              </w:rPr>
              <w:t>T2</w:t>
            </w:r>
          </w:p>
        </w:tc>
        <w:tc>
          <w:tcPr>
            <w:tcW w:w="696" w:type="dxa"/>
            <w:shd w:val="clear" w:color="auto" w:fill="C6EFCE"/>
          </w:tcPr>
          <w:p w14:paraId="601A4C64" w14:textId="77777777" w:rsidR="00D924EA" w:rsidRDefault="00011DE9">
            <w:pPr>
              <w:pStyle w:val="P68B1DB1-Normal43"/>
              <w:spacing w:after="0" w:line="240" w:lineRule="auto"/>
              <w:jc w:val="center"/>
              <w:textAlignment w:val="baseline"/>
              <w:rPr>
                <w:noProof/>
              </w:rPr>
            </w:pPr>
            <w:r>
              <w:rPr>
                <w:noProof/>
              </w:rPr>
              <w:t>2026</w:t>
            </w:r>
          </w:p>
        </w:tc>
        <w:tc>
          <w:tcPr>
            <w:tcW w:w="4861" w:type="dxa"/>
            <w:shd w:val="clear" w:color="auto" w:fill="C6EFCE"/>
          </w:tcPr>
          <w:p w14:paraId="6BF184F9" w14:textId="77777777" w:rsidR="00D924EA" w:rsidRDefault="00011DE9">
            <w:pPr>
              <w:pStyle w:val="P68B1DB1-Normal43"/>
              <w:spacing w:after="0" w:line="240" w:lineRule="auto"/>
              <w:textAlignment w:val="baseline"/>
              <w:rPr>
                <w:noProof/>
              </w:rPr>
            </w:pPr>
            <w:r>
              <w:rPr>
                <w:noProof/>
              </w:rPr>
              <w:t>Adoptarea unei noi politici de investiții pentru ICO pentru utilizarea capitalului propriu suplimentar.</w:t>
            </w:r>
          </w:p>
          <w:p w14:paraId="2B872CD5" w14:textId="77777777" w:rsidR="00D924EA" w:rsidRDefault="00D924EA">
            <w:pPr>
              <w:spacing w:after="0" w:line="240" w:lineRule="auto"/>
              <w:textAlignment w:val="baseline"/>
              <w:rPr>
                <w:rFonts w:ascii="Times New Roman" w:hAnsi="Times New Roman" w:cs="Times New Roman"/>
                <w:noProof/>
                <w:sz w:val="18"/>
                <w:szCs w:val="18"/>
              </w:rPr>
            </w:pPr>
          </w:p>
          <w:p w14:paraId="7BCFC243" w14:textId="28DC24E1" w:rsidR="00D924EA" w:rsidRDefault="00011DE9">
            <w:pPr>
              <w:pStyle w:val="P68B1DB1-Normal43"/>
              <w:spacing w:after="0" w:line="240" w:lineRule="auto"/>
              <w:textAlignment w:val="baseline"/>
              <w:rPr>
                <w:noProof/>
              </w:rPr>
            </w:pPr>
            <w:r>
              <w:rPr>
                <w:noProof/>
              </w:rPr>
              <w:t>Politica de investiții se asigură că 1 360 000 000 EUR din capitalul propriu suplimentar este dedicat sprijinirii investițiilor verzi, aliniate la domeniile de intervenție cărora li s-a atribuit un coeficient climatic de 100 % în temeiul anexei VI la Regulamentul (UE) 2021/241, care pot include, dar nu se limitează la sprijin pentru noi capacități de:</w:t>
            </w:r>
          </w:p>
          <w:p w14:paraId="363B6450" w14:textId="77777777" w:rsidR="00D924EA" w:rsidRDefault="00011DE9">
            <w:pPr>
              <w:pStyle w:val="P68B1DB1-Normal43"/>
              <w:numPr>
                <w:ilvl w:val="0"/>
                <w:numId w:val="116"/>
              </w:numPr>
              <w:spacing w:after="0" w:line="240" w:lineRule="auto"/>
              <w:textAlignment w:val="baseline"/>
              <w:rPr>
                <w:noProof/>
              </w:rPr>
            </w:pPr>
            <w:r>
              <w:rPr>
                <w:noProof/>
              </w:rPr>
              <w:t>Renovarea fondului locativ existent în vederea creșterii eficienței energetice, proiecte demonstrative și măsuri de sprijin care respectă criteriile de eficiență energetică</w:t>
            </w:r>
          </w:p>
          <w:p w14:paraId="1F84249C" w14:textId="77777777" w:rsidR="00D924EA" w:rsidRDefault="00011DE9">
            <w:pPr>
              <w:pStyle w:val="P68B1DB1-Normal43"/>
              <w:numPr>
                <w:ilvl w:val="0"/>
                <w:numId w:val="116"/>
              </w:numPr>
              <w:spacing w:after="0" w:line="240" w:lineRule="auto"/>
              <w:textAlignment w:val="baseline"/>
              <w:rPr>
                <w:noProof/>
              </w:rPr>
            </w:pPr>
            <w:r>
              <w:rPr>
                <w:noProof/>
              </w:rPr>
              <w:t>Energie regenerabilă: solară</w:t>
            </w:r>
          </w:p>
          <w:p w14:paraId="2B7D3C74" w14:textId="77777777" w:rsidR="00D924EA" w:rsidRDefault="00011DE9">
            <w:pPr>
              <w:pStyle w:val="P68B1DB1-Normal43"/>
              <w:numPr>
                <w:ilvl w:val="0"/>
                <w:numId w:val="116"/>
              </w:numPr>
              <w:spacing w:after="0" w:line="240" w:lineRule="auto"/>
              <w:textAlignment w:val="baseline"/>
              <w:rPr>
                <w:noProof/>
              </w:rPr>
            </w:pPr>
            <w:r>
              <w:rPr>
                <w:noProof/>
              </w:rPr>
              <w:t xml:space="preserve">Rulare pentru un transport urban curat </w:t>
            </w:r>
          </w:p>
          <w:p w14:paraId="7E85086D" w14:textId="77777777" w:rsidR="00D924EA" w:rsidRDefault="00D924EA">
            <w:pPr>
              <w:spacing w:after="0" w:line="240" w:lineRule="auto"/>
              <w:ind w:left="1080"/>
              <w:textAlignment w:val="baseline"/>
              <w:rPr>
                <w:rFonts w:ascii="Times New Roman" w:hAnsi="Times New Roman" w:cs="Times New Roman"/>
                <w:noProof/>
                <w:sz w:val="18"/>
                <w:szCs w:val="18"/>
              </w:rPr>
            </w:pPr>
          </w:p>
          <w:p w14:paraId="50A13914" w14:textId="38FC5AF8" w:rsidR="00D924EA" w:rsidRDefault="00011DE9">
            <w:pPr>
              <w:pStyle w:val="P68B1DB1-Normal43"/>
              <w:spacing w:after="0" w:line="240" w:lineRule="auto"/>
              <w:textAlignment w:val="baseline"/>
              <w:rPr>
                <w:noProof/>
              </w:rPr>
            </w:pPr>
            <w:r>
              <w:rPr>
                <w:noProof/>
              </w:rPr>
              <w:t>Politica de investiții se asigură că 1 850 000 000 EUR din capitalul propriu suplimentar este dedicat sprijinirii investițiilor verzi, aliniate la domeniile de intervenție cărora li s-a atribuit un coeficient climatic de 40 % în temeiul anexei VI la Regulamentul (UE) 2021/241, care pot include, dar nu se limitează la sprijin pentru noi capacități de:</w:t>
            </w:r>
          </w:p>
          <w:p w14:paraId="54179B4B" w14:textId="77777777" w:rsidR="00D924EA" w:rsidRDefault="00011DE9">
            <w:pPr>
              <w:pStyle w:val="P68B1DB1-Normal43"/>
              <w:numPr>
                <w:ilvl w:val="0"/>
                <w:numId w:val="117"/>
              </w:numPr>
              <w:spacing w:after="0" w:line="240" w:lineRule="auto"/>
              <w:textAlignment w:val="baseline"/>
              <w:rPr>
                <w:noProof/>
              </w:rPr>
            </w:pPr>
            <w:r>
              <w:rPr>
                <w:noProof/>
              </w:rPr>
              <w:t>Construirea de clădiri noi eficiente din punct de vedere energetic</w:t>
            </w:r>
          </w:p>
          <w:p w14:paraId="28AD5CB9" w14:textId="77777777" w:rsidR="00D924EA" w:rsidRDefault="00011DE9">
            <w:pPr>
              <w:pStyle w:val="P68B1DB1-Normal43"/>
              <w:numPr>
                <w:ilvl w:val="0"/>
                <w:numId w:val="117"/>
              </w:numPr>
              <w:spacing w:after="0" w:line="240" w:lineRule="auto"/>
              <w:textAlignment w:val="baseline"/>
              <w:rPr>
                <w:noProof/>
              </w:rPr>
            </w:pPr>
            <w:r>
              <w:rPr>
                <w:noProof/>
              </w:rPr>
              <w:t>Eficiență energetică și proiecte demonstrative în IMM-uri și măsuri de sprijin</w:t>
            </w:r>
          </w:p>
          <w:p w14:paraId="0A603DD1" w14:textId="1B9B9C3F" w:rsidR="00D924EA" w:rsidRDefault="00011DE9">
            <w:pPr>
              <w:pStyle w:val="P68B1DB1-Normal43"/>
              <w:numPr>
                <w:ilvl w:val="0"/>
                <w:numId w:val="117"/>
              </w:numPr>
              <w:spacing w:after="0" w:line="240" w:lineRule="auto"/>
              <w:textAlignment w:val="baseline"/>
              <w:rPr>
                <w:noProof/>
              </w:rPr>
            </w:pPr>
            <w:r>
              <w:rPr>
                <w:noProof/>
              </w:rPr>
              <w:t>Sprijinirea proceselor de producție ecologice și a utilizării eficiente a resurselor în IMM-uri</w:t>
            </w:r>
          </w:p>
        </w:tc>
      </w:tr>
      <w:tr w:rsidR="00D924EA" w14:paraId="55729CC2" w14:textId="77777777">
        <w:trPr>
          <w:trHeight w:val="300"/>
          <w:jc w:val="center"/>
        </w:trPr>
        <w:tc>
          <w:tcPr>
            <w:tcW w:w="829" w:type="dxa"/>
            <w:shd w:val="clear" w:color="auto" w:fill="C6EFCE"/>
          </w:tcPr>
          <w:p w14:paraId="3B2E5789" w14:textId="3CDD8E7E" w:rsidR="00D924EA" w:rsidRDefault="00011DE9">
            <w:pPr>
              <w:pStyle w:val="P68B1DB1-Normal43"/>
              <w:spacing w:after="0" w:line="240" w:lineRule="auto"/>
              <w:jc w:val="center"/>
              <w:textAlignment w:val="baseline"/>
              <w:rPr>
                <w:noProof/>
              </w:rPr>
            </w:pPr>
            <w:r>
              <w:rPr>
                <w:noProof/>
              </w:rPr>
              <w:t>L91</w:t>
            </w:r>
          </w:p>
        </w:tc>
        <w:tc>
          <w:tcPr>
            <w:tcW w:w="833" w:type="dxa"/>
            <w:shd w:val="clear" w:color="auto" w:fill="C6EFCE"/>
          </w:tcPr>
          <w:p w14:paraId="7BE0F410" w14:textId="77777777" w:rsidR="00D924EA" w:rsidRDefault="00011DE9">
            <w:pPr>
              <w:pStyle w:val="P68B1DB1-Normal43"/>
              <w:spacing w:after="0" w:line="240" w:lineRule="auto"/>
              <w:jc w:val="center"/>
              <w:textAlignment w:val="baseline"/>
              <w:rPr>
                <w:noProof/>
              </w:rPr>
            </w:pPr>
            <w:r>
              <w:rPr>
                <w:noProof/>
              </w:rPr>
              <w:t>C13.I15</w:t>
            </w:r>
          </w:p>
        </w:tc>
        <w:tc>
          <w:tcPr>
            <w:tcW w:w="835" w:type="dxa"/>
            <w:shd w:val="clear" w:color="auto" w:fill="C6EFCE"/>
          </w:tcPr>
          <w:p w14:paraId="00000D17" w14:textId="77777777" w:rsidR="00D924EA" w:rsidRDefault="00011DE9">
            <w:pPr>
              <w:pStyle w:val="P68B1DB1-Normal43"/>
              <w:spacing w:after="0" w:line="240" w:lineRule="auto"/>
              <w:jc w:val="center"/>
              <w:textAlignment w:val="baseline"/>
              <w:rPr>
                <w:noProof/>
              </w:rPr>
            </w:pPr>
            <w:r>
              <w:rPr>
                <w:noProof/>
              </w:rPr>
              <w:t>M</w:t>
            </w:r>
          </w:p>
        </w:tc>
        <w:tc>
          <w:tcPr>
            <w:tcW w:w="2224" w:type="dxa"/>
            <w:shd w:val="clear" w:color="auto" w:fill="C6EFCE"/>
          </w:tcPr>
          <w:p w14:paraId="1D02E7D3" w14:textId="1AB0494C" w:rsidR="00D924EA" w:rsidRDefault="00011DE9">
            <w:pPr>
              <w:pStyle w:val="P68B1DB1-Normal43"/>
              <w:spacing w:after="0" w:line="240" w:lineRule="auto"/>
              <w:textAlignment w:val="baseline"/>
              <w:rPr>
                <w:noProof/>
              </w:rPr>
            </w:pPr>
            <w:r>
              <w:rPr>
                <w:noProof/>
              </w:rPr>
              <w:t>Injecție de capital</w:t>
            </w:r>
          </w:p>
        </w:tc>
        <w:tc>
          <w:tcPr>
            <w:tcW w:w="1112" w:type="dxa"/>
            <w:shd w:val="clear" w:color="auto" w:fill="C6EFCE"/>
          </w:tcPr>
          <w:p w14:paraId="13845389" w14:textId="77777777" w:rsidR="00D924EA" w:rsidRDefault="00011DE9">
            <w:pPr>
              <w:pStyle w:val="P68B1DB1-Normal43"/>
              <w:spacing w:after="0" w:line="240" w:lineRule="auto"/>
              <w:textAlignment w:val="baseline"/>
              <w:rPr>
                <w:noProof/>
              </w:rPr>
            </w:pPr>
            <w:r>
              <w:rPr>
                <w:noProof/>
              </w:rPr>
              <w:t xml:space="preserve">Certificatul de transfer </w:t>
            </w:r>
          </w:p>
        </w:tc>
        <w:tc>
          <w:tcPr>
            <w:tcW w:w="696" w:type="dxa"/>
            <w:shd w:val="clear" w:color="auto" w:fill="C6EFCE"/>
          </w:tcPr>
          <w:p w14:paraId="568573C7" w14:textId="77777777" w:rsidR="00D924EA" w:rsidRDefault="00D924EA">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58B77E4C" w14:textId="77777777"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1274FDC2" w14:textId="77777777" w:rsidR="00D924EA" w:rsidRDefault="00D924EA">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2D37AE48" w14:textId="44AE1476" w:rsidR="00D924EA" w:rsidRDefault="005701C9">
            <w:pPr>
              <w:pStyle w:val="P68B1DB1-Normal43"/>
              <w:spacing w:after="0" w:line="240" w:lineRule="auto"/>
              <w:jc w:val="center"/>
              <w:textAlignment w:val="baseline"/>
              <w:rPr>
                <w:noProof/>
              </w:rPr>
            </w:pPr>
            <w:r>
              <w:rPr>
                <w:noProof/>
              </w:rPr>
              <w:t>T2</w:t>
            </w:r>
          </w:p>
        </w:tc>
        <w:tc>
          <w:tcPr>
            <w:tcW w:w="696" w:type="dxa"/>
            <w:shd w:val="clear" w:color="auto" w:fill="C6EFCE"/>
          </w:tcPr>
          <w:p w14:paraId="4C25B97A" w14:textId="77777777" w:rsidR="00D924EA" w:rsidRDefault="00011DE9">
            <w:pPr>
              <w:pStyle w:val="P68B1DB1-Normal43"/>
              <w:spacing w:after="0" w:line="240" w:lineRule="auto"/>
              <w:jc w:val="center"/>
              <w:textAlignment w:val="baseline"/>
              <w:rPr>
                <w:noProof/>
              </w:rPr>
            </w:pPr>
            <w:r>
              <w:rPr>
                <w:noProof/>
              </w:rPr>
              <w:t>2026</w:t>
            </w:r>
          </w:p>
        </w:tc>
        <w:tc>
          <w:tcPr>
            <w:tcW w:w="4861" w:type="dxa"/>
            <w:shd w:val="clear" w:color="auto" w:fill="C6EFCE"/>
          </w:tcPr>
          <w:p w14:paraId="3E5F748B" w14:textId="1385778C" w:rsidR="00D924EA" w:rsidRDefault="00011DE9">
            <w:pPr>
              <w:pStyle w:val="P68B1DB1-Normal43"/>
              <w:spacing w:after="0" w:line="240" w:lineRule="auto"/>
              <w:textAlignment w:val="baseline"/>
              <w:rPr>
                <w:noProof/>
              </w:rPr>
            </w:pPr>
            <w:r>
              <w:rPr>
                <w:noProof/>
              </w:rPr>
              <w:t xml:space="preserve">Spania transferă 9 662 420 429 EUR către ICO pentru a-și majora capitalul propriu. </w:t>
            </w:r>
          </w:p>
          <w:p w14:paraId="70A3C2BC" w14:textId="0247E7FE" w:rsidR="00D924EA" w:rsidRDefault="00011DE9">
            <w:pPr>
              <w:pStyle w:val="P68B1DB1-Normal43"/>
              <w:spacing w:after="0" w:line="240" w:lineRule="auto"/>
              <w:textAlignment w:val="baseline"/>
              <w:rPr>
                <w:noProof/>
              </w:rPr>
            </w:pPr>
            <w:r>
              <w:rPr>
                <w:noProof/>
              </w:rPr>
              <w:t>Pe lângă injecția de capital în ICO, care constituie investiția MRR, Spania transmite un raport în care prezintă acțiunile întreprinse de ICO până la 31 august 2026 pentru a pune în aplicare politica de investiții, inclusiv măsurile luate pentru punerea în aplicare a produselor financiare pe care se preconizează că le va sprijini inițial capitalul propriu suplimentar, precum și măsurile preconizate a fi luate pentru punerea în aplicare în continuare a produselor respective.</w:t>
            </w:r>
          </w:p>
        </w:tc>
      </w:tr>
    </w:tbl>
    <w:p w14:paraId="58AD05DA" w14:textId="77777777" w:rsidR="00D924EA" w:rsidRDefault="00D924EA">
      <w:pPr>
        <w:rPr>
          <w:noProof/>
        </w:rPr>
        <w:sectPr w:rsidR="00D924EA" w:rsidSect="00757FE8">
          <w:headerReference w:type="even" r:id="rId192"/>
          <w:headerReference w:type="default" r:id="rId193"/>
          <w:footerReference w:type="even" r:id="rId194"/>
          <w:footerReference w:type="default" r:id="rId195"/>
          <w:headerReference w:type="first" r:id="rId196"/>
          <w:footerReference w:type="first" r:id="rId197"/>
          <w:pgSz w:w="16839" w:h="11907" w:orient="landscape"/>
          <w:pgMar w:top="1134" w:right="1134" w:bottom="1134" w:left="1134" w:header="567" w:footer="567" w:gutter="0"/>
          <w:cols w:space="720"/>
          <w:docGrid w:linePitch="360"/>
        </w:sectPr>
      </w:pPr>
    </w:p>
    <w:p w14:paraId="1B6B6CB6" w14:textId="77777777" w:rsidR="00011DE9" w:rsidRPr="005463E9" w:rsidRDefault="00011DE9">
      <w:pPr>
        <w:pStyle w:val="P68B1DB1-Normal1"/>
        <w:keepNext/>
        <w:spacing w:before="360" w:after="360" w:line="240" w:lineRule="auto"/>
        <w:jc w:val="center"/>
        <w:outlineLvl w:val="0"/>
        <w:rPr>
          <w:rFonts w:ascii="Times New Roman" w:hAnsi="Times New Roman" w:cs="Times New Roman"/>
          <w:b/>
          <w:bCs/>
          <w:noProof/>
          <w:sz w:val="28"/>
          <w:szCs w:val="28"/>
        </w:rPr>
      </w:pPr>
      <w:r w:rsidRPr="005463E9">
        <w:rPr>
          <w:rFonts w:ascii="Times New Roman" w:hAnsi="Times New Roman" w:cs="Times New Roman"/>
          <w:b/>
          <w:bCs/>
          <w:noProof/>
          <w:sz w:val="28"/>
          <w:szCs w:val="28"/>
        </w:rPr>
        <w:t>N. COMPONENTA 14: Turism</w:t>
      </w:r>
    </w:p>
    <w:p w14:paraId="033635E6" w14:textId="77777777" w:rsidR="00011DE9" w:rsidRPr="005463E9" w:rsidRDefault="00011DE9">
      <w:pPr>
        <w:pStyle w:val="P68B1DB1-Normal4"/>
        <w:keepNext/>
        <w:spacing w:before="120" w:after="120" w:line="240" w:lineRule="auto"/>
        <w:jc w:val="both"/>
        <w:rPr>
          <w:b w:val="0"/>
          <w:bCs/>
          <w:smallCaps/>
          <w:noProof/>
          <w:sz w:val="24"/>
        </w:rPr>
      </w:pPr>
      <w:r w:rsidRPr="005463E9">
        <w:rPr>
          <w:b w:val="0"/>
          <w:bCs/>
          <w:noProof/>
          <w:sz w:val="24"/>
        </w:rPr>
        <w:t>Componenta planului spaniol de redresare și reziliență abordează următoarele provocări:</w:t>
      </w:r>
    </w:p>
    <w:p w14:paraId="51BE595F" w14:textId="77777777" w:rsidR="00011DE9" w:rsidRPr="005463E9" w:rsidRDefault="00011DE9">
      <w:pPr>
        <w:pStyle w:val="P68B1DB1-Normal5"/>
        <w:numPr>
          <w:ilvl w:val="0"/>
          <w:numId w:val="121"/>
        </w:numPr>
        <w:spacing w:before="120" w:after="200" w:line="240" w:lineRule="auto"/>
        <w:contextualSpacing/>
        <w:jc w:val="both"/>
        <w:rPr>
          <w:rFonts w:cs="Times New Roman"/>
          <w:b w:val="0"/>
          <w:bCs/>
          <w:noProof/>
          <w:sz w:val="24"/>
        </w:rPr>
      </w:pPr>
      <w:r w:rsidRPr="005463E9">
        <w:rPr>
          <w:b w:val="0"/>
          <w:bCs/>
          <w:noProof/>
          <w:sz w:val="24"/>
        </w:rPr>
        <w:t xml:space="preserve">Sectorul turismului din Spania se confruntă, ca urmare a crizei declanșate de pandemia de COVID-19, cu o situație foarte delicată și sunt necesare acțiuni urgente pentru a-și spori sustenabilitatea și competitivitatea. </w:t>
      </w:r>
    </w:p>
    <w:p w14:paraId="0E7780C9" w14:textId="77777777" w:rsidR="00011DE9" w:rsidRPr="005463E9" w:rsidRDefault="00011DE9">
      <w:pPr>
        <w:pStyle w:val="P68B1DB1-Normal5"/>
        <w:numPr>
          <w:ilvl w:val="0"/>
          <w:numId w:val="121"/>
        </w:numPr>
        <w:spacing w:before="120" w:after="120" w:line="240" w:lineRule="auto"/>
        <w:contextualSpacing/>
        <w:jc w:val="both"/>
        <w:rPr>
          <w:rFonts w:cs="Times New Roman"/>
          <w:b w:val="0"/>
          <w:bCs/>
          <w:noProof/>
          <w:sz w:val="24"/>
        </w:rPr>
      </w:pPr>
      <w:r w:rsidRPr="005463E9">
        <w:rPr>
          <w:b w:val="0"/>
          <w:bCs/>
          <w:noProof/>
          <w:sz w:val="24"/>
        </w:rPr>
        <w:t>Insulele Canare și Insulele Baleare, care sunt motoare ale industriei turismului din Spania, au nevoie de acțiuni speciale pentru a atenua externalitățile și dependența lor ridicată de activitatea de vacanță.</w:t>
      </w:r>
    </w:p>
    <w:p w14:paraId="19945F63" w14:textId="77777777" w:rsidR="00011DE9" w:rsidRPr="005463E9" w:rsidRDefault="00011DE9">
      <w:pPr>
        <w:pStyle w:val="P68B1DB1-Normal5"/>
        <w:numPr>
          <w:ilvl w:val="0"/>
          <w:numId w:val="121"/>
        </w:numPr>
        <w:spacing w:before="120" w:after="120" w:line="240" w:lineRule="auto"/>
        <w:contextualSpacing/>
        <w:jc w:val="both"/>
        <w:rPr>
          <w:rFonts w:cs="Times New Roman"/>
          <w:b w:val="0"/>
          <w:bCs/>
          <w:noProof/>
          <w:sz w:val="24"/>
        </w:rPr>
      </w:pPr>
      <w:r w:rsidRPr="005463E9">
        <w:rPr>
          <w:b w:val="0"/>
          <w:bCs/>
          <w:noProof/>
          <w:sz w:val="24"/>
        </w:rPr>
        <w:t>Spania se situează pe</w:t>
      </w:r>
      <w:r w:rsidRPr="005463E9">
        <w:rPr>
          <w:b w:val="0"/>
          <w:bCs/>
          <w:noProof/>
          <w:sz w:val="24"/>
          <w:vertAlign w:val="superscript"/>
        </w:rPr>
        <w:t xml:space="preserve"> </w:t>
      </w:r>
      <w:r w:rsidRPr="005463E9">
        <w:rPr>
          <w:b w:val="0"/>
          <w:bCs/>
          <w:noProof/>
          <w:sz w:val="24"/>
        </w:rPr>
        <w:t>locul 27 în ceea ce privește tehnologia informației și comunicațiilor, gradul de pregătire în conformitate cu raportul Forumului Economic Mondial privind competitivitatea turismului. În plus, investițiile sale publice și private în C &amp; D sunt relativ scăzute. În plus, multe rapoarte indică sectorul călătoriilor ca fiind unul cu cel mai mare potențial de a beneficia de inteligența artificială (o creștere cu 128 % a valorii adăugate a activității prin intermediul aplicațiilor IA).</w:t>
      </w:r>
    </w:p>
    <w:p w14:paraId="6C1C0D90" w14:textId="77777777" w:rsidR="00011DE9" w:rsidRPr="005463E9" w:rsidRDefault="00011DE9">
      <w:pPr>
        <w:pStyle w:val="P68B1DB1-Normal5"/>
        <w:spacing w:before="120" w:after="120" w:line="240" w:lineRule="auto"/>
        <w:jc w:val="both"/>
        <w:rPr>
          <w:rFonts w:cs="Times New Roman"/>
          <w:b w:val="0"/>
          <w:bCs/>
          <w:noProof/>
          <w:sz w:val="24"/>
        </w:rPr>
      </w:pPr>
      <w:r w:rsidRPr="005463E9">
        <w:rPr>
          <w:b w:val="0"/>
          <w:bCs/>
          <w:noProof/>
          <w:sz w:val="24"/>
        </w:rPr>
        <w:t>Scopul acestei componente este de a transforma și moderniza sectorul turismului din Spania prin creșterea competitivității și a rezilienței acestuia.</w:t>
      </w:r>
    </w:p>
    <w:p w14:paraId="0B413AC9" w14:textId="77777777" w:rsidR="00011DE9" w:rsidRPr="005463E9" w:rsidRDefault="00011DE9">
      <w:pPr>
        <w:pStyle w:val="P68B1DB1-Normal5"/>
        <w:spacing w:before="120" w:after="120" w:line="240" w:lineRule="auto"/>
        <w:jc w:val="both"/>
        <w:rPr>
          <w:rFonts w:cs="Times New Roman"/>
          <w:b w:val="0"/>
          <w:bCs/>
          <w:noProof/>
          <w:sz w:val="24"/>
        </w:rPr>
      </w:pPr>
      <w:r w:rsidRPr="005463E9">
        <w:rPr>
          <w:b w:val="0"/>
          <w:bCs/>
          <w:noProof/>
          <w:sz w:val="24"/>
        </w:rPr>
        <w:t>Componenta abordează recomandările specifice fiecărei țări privind promovarea investițiilor în inovare și în eficiența energetică și sporirea eficacității politicilor de sprijinire a cercetării și inovării (Recomandarea specifică fiecărei țări 3 2019), susținerea economiei (Recomandarea specifică fiecărei țări 1 2020), sprijinirea ocupării forței de muncă prin măsuri de menținere a locurilor de muncă și de dezvoltare a competențelor și de îmbunătățire a accesului la învățarea digitală (Recomandarea specifică fiecărei țări 2 2020), promovarea investițiilor publice și private și încurajarea tranziției verzi și a celei digitale (Recomandarea specifică fiecărei țări 3 2020) și îmbunătățirea coordonării între diferitele niveluri ale administrației (Recomandarea specifică fiecărei țări 4 2020).</w:t>
      </w:r>
    </w:p>
    <w:p w14:paraId="6078F308" w14:textId="62DB8283" w:rsidR="00011DE9" w:rsidRPr="005463E9" w:rsidRDefault="00011DE9">
      <w:pPr>
        <w:pStyle w:val="P68B1DB1-Normal5"/>
        <w:spacing w:before="120" w:after="120" w:line="240" w:lineRule="auto"/>
        <w:ind w:left="11"/>
        <w:jc w:val="both"/>
        <w:rPr>
          <w:rFonts w:cs="Times New Roman"/>
          <w:b w:val="0"/>
          <w:bCs/>
          <w:noProof/>
          <w:sz w:val="24"/>
        </w:rPr>
      </w:pPr>
      <w:r w:rsidRPr="005463E9">
        <w:rPr>
          <w:b w:val="0"/>
          <w:bCs/>
          <w:noProof/>
          <w:sz w:val="24"/>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r w:rsidR="00971820" w:rsidRPr="005463E9">
        <w:rPr>
          <w:b w:val="0"/>
          <w:bCs/>
          <w:noProof/>
          <w:sz w:val="24"/>
        </w:rPr>
        <w:t xml:space="preserve"> </w:t>
      </w:r>
    </w:p>
    <w:p w14:paraId="1B1054B9" w14:textId="786A15FC" w:rsidR="00011DE9" w:rsidRPr="005463E9" w:rsidRDefault="00011DE9">
      <w:pPr>
        <w:pStyle w:val="P68B1DB1-Normal6"/>
        <w:spacing w:before="120" w:after="120" w:line="240" w:lineRule="auto"/>
        <w:ind w:left="720"/>
        <w:jc w:val="both"/>
        <w:rPr>
          <w:rFonts w:ascii="Times New Roman" w:eastAsia="Calibri" w:hAnsi="Times New Roman" w:cs="Times New Roman"/>
          <w:bCs/>
          <w:i/>
          <w:noProof/>
        </w:rPr>
      </w:pPr>
      <w:r w:rsidRPr="005463E9">
        <w:rPr>
          <w:rFonts w:ascii="Times New Roman" w:eastAsia="Calibri" w:hAnsi="Times New Roman" w:cs="Arial"/>
          <w:bCs/>
          <w:noProof/>
          <w:u w:val="single"/>
        </w:rPr>
        <w:t>N.1.</w:t>
      </w:r>
      <w:r w:rsidR="00971820" w:rsidRPr="005463E9">
        <w:rPr>
          <w:rFonts w:ascii="Times New Roman" w:eastAsia="Calibri" w:hAnsi="Times New Roman" w:cs="Arial"/>
          <w:bCs/>
          <w:noProof/>
          <w:u w:val="single"/>
        </w:rPr>
        <w:t xml:space="preserve"> </w:t>
      </w:r>
      <w:r w:rsidRPr="005463E9">
        <w:rPr>
          <w:rFonts w:ascii="Times New Roman" w:eastAsia="Calibri" w:hAnsi="Times New Roman" w:cs="Arial"/>
          <w:bCs/>
          <w:noProof/>
          <w:u w:val="single"/>
        </w:rPr>
        <w:t>Descrierea reformelor și a investițiilor pentru sprijinul financiar nerambursabil</w:t>
      </w:r>
    </w:p>
    <w:p w14:paraId="5C8EF660" w14:textId="77777777" w:rsidR="00011DE9" w:rsidRPr="005463E9" w:rsidRDefault="00011DE9">
      <w:pPr>
        <w:pStyle w:val="P68B1DB1-Normal7"/>
        <w:spacing w:before="120" w:after="120" w:line="240" w:lineRule="auto"/>
        <w:jc w:val="both"/>
        <w:rPr>
          <w:rFonts w:cs="Times New Roman"/>
          <w:bCs/>
          <w:noProof/>
        </w:rPr>
      </w:pPr>
      <w:r w:rsidRPr="005463E9">
        <w:rPr>
          <w:bCs/>
          <w:noProof/>
        </w:rPr>
        <w:t>Reforma 1 (C14.R1) – Decretul regal de punere în aplicare a Fondului financiar de stat pentru competitivitatea turismului (FOCIT)</w:t>
      </w:r>
    </w:p>
    <w:p w14:paraId="738EB16A" w14:textId="77777777" w:rsidR="00011DE9" w:rsidRPr="005463E9" w:rsidRDefault="00011DE9">
      <w:pPr>
        <w:pStyle w:val="P68B1DB1-Normal5"/>
        <w:spacing w:before="120" w:after="120" w:line="240" w:lineRule="auto"/>
        <w:jc w:val="both"/>
        <w:rPr>
          <w:rFonts w:cs="Times New Roman"/>
          <w:b w:val="0"/>
          <w:bCs/>
          <w:noProof/>
          <w:sz w:val="24"/>
        </w:rPr>
      </w:pPr>
      <w:r w:rsidRPr="005463E9">
        <w:rPr>
          <w:b w:val="0"/>
          <w:bCs/>
          <w:noProof/>
          <w:sz w:val="24"/>
        </w:rPr>
        <w:t xml:space="preserve">Reforma are ca obiectiv îmbunătățirea competitivității sectorului turismului prin încurajarea inovării și sprijinirea eficienței energetice și a economiei circulare. </w:t>
      </w:r>
    </w:p>
    <w:p w14:paraId="443928F7" w14:textId="0CFBEFA3" w:rsidR="00011DE9" w:rsidRPr="005463E9" w:rsidRDefault="00011DE9">
      <w:pPr>
        <w:pStyle w:val="P68B1DB1-Normal5"/>
        <w:spacing w:before="120" w:after="120" w:line="240" w:lineRule="auto"/>
        <w:jc w:val="both"/>
        <w:rPr>
          <w:rFonts w:cs="Times New Roman"/>
          <w:b w:val="0"/>
          <w:bCs/>
          <w:noProof/>
          <w:sz w:val="24"/>
        </w:rPr>
      </w:pPr>
      <w:r w:rsidRPr="005463E9">
        <w:rPr>
          <w:b w:val="0"/>
          <w:bCs/>
          <w:noProof/>
          <w:sz w:val="24"/>
        </w:rPr>
        <w:t>Reforma modifică actele juridice existente care reglementează obiectivele, natura, operațiunile și proiectele eligibile ale Fondului financiar de stat pentru competitivitatea turismului.</w:t>
      </w:r>
      <w:r w:rsidR="00971820" w:rsidRPr="005463E9">
        <w:rPr>
          <w:b w:val="0"/>
          <w:bCs/>
          <w:noProof/>
          <w:sz w:val="24"/>
        </w:rPr>
        <w:t xml:space="preserve"> </w:t>
      </w:r>
    </w:p>
    <w:p w14:paraId="5FE57680" w14:textId="77777777" w:rsidR="00011DE9" w:rsidRPr="005463E9" w:rsidRDefault="00011DE9">
      <w:pPr>
        <w:pStyle w:val="P68B1DB1-Normal5"/>
        <w:spacing w:before="120" w:after="120" w:line="240" w:lineRule="auto"/>
        <w:jc w:val="both"/>
        <w:rPr>
          <w:rFonts w:cs="Times New Roman"/>
          <w:b w:val="0"/>
          <w:bCs/>
          <w:noProof/>
          <w:sz w:val="24"/>
        </w:rPr>
      </w:pPr>
      <w:r w:rsidRPr="005463E9">
        <w:rPr>
          <w:b w:val="0"/>
          <w:bCs/>
          <w:noProof/>
          <w:sz w:val="24"/>
        </w:rPr>
        <w:t>Actul juridic modificat va permite Fondului financiar de stat pentru competitivitatea turismului să finanțeze întreprinderile din domeniul turismului pentru a îmbunătăți eficiența energetică, a reduce nivelul consumului de resurse și al producției de deșeuri și a spori reutilizarea și reciclarea deșeurilor. În domeniul eficienței energetice și al economiei circulare, fondul finanțează proiecte de inovare.</w:t>
      </w:r>
    </w:p>
    <w:p w14:paraId="0100067D" w14:textId="77777777" w:rsidR="00011DE9" w:rsidRPr="005463E9" w:rsidRDefault="00011DE9">
      <w:pPr>
        <w:pStyle w:val="P68B1DB1-Normal5"/>
        <w:spacing w:before="120" w:after="120" w:line="240" w:lineRule="auto"/>
        <w:jc w:val="both"/>
        <w:rPr>
          <w:rFonts w:cs="Times New Roman"/>
          <w:b w:val="0"/>
          <w:bCs/>
          <w:noProof/>
          <w:sz w:val="24"/>
        </w:rPr>
      </w:pPr>
      <w:r w:rsidRPr="005463E9">
        <w:rPr>
          <w:b w:val="0"/>
          <w:bCs/>
          <w:noProof/>
          <w:sz w:val="24"/>
        </w:rPr>
        <w:t>Instrumentul de finanțare poate utiliza scheme de finanțare mixtă care combină împrumuturile cu alte tipuri de sprijin. Instrumentul este finanțat din bugetul național.</w:t>
      </w:r>
    </w:p>
    <w:p w14:paraId="790591CB" w14:textId="77777777" w:rsidR="00011DE9" w:rsidRPr="005463E9" w:rsidRDefault="00011DE9">
      <w:pPr>
        <w:pStyle w:val="P68B1DB1-Normal5"/>
        <w:spacing w:before="120" w:after="120" w:line="240" w:lineRule="auto"/>
        <w:jc w:val="both"/>
        <w:rPr>
          <w:rFonts w:cs="Times New Roman"/>
          <w:b w:val="0"/>
          <w:bCs/>
          <w:noProof/>
          <w:sz w:val="24"/>
        </w:rPr>
      </w:pPr>
      <w:r w:rsidRPr="005463E9">
        <w:rPr>
          <w:b w:val="0"/>
          <w:bCs/>
          <w:noProof/>
          <w:sz w:val="24"/>
        </w:rPr>
        <w:t xml:space="preserve">Reforma include, de asemenea, următoarele măsuri specifice: </w:t>
      </w:r>
    </w:p>
    <w:p w14:paraId="65B71547" w14:textId="77777777" w:rsidR="00011DE9" w:rsidRPr="005463E9" w:rsidRDefault="00011DE9">
      <w:pPr>
        <w:pStyle w:val="P68B1DB1-Normal5"/>
        <w:numPr>
          <w:ilvl w:val="0"/>
          <w:numId w:val="122"/>
        </w:numPr>
        <w:spacing w:before="120" w:after="120" w:line="240" w:lineRule="auto"/>
        <w:contextualSpacing/>
        <w:jc w:val="both"/>
        <w:rPr>
          <w:rFonts w:cs="Times New Roman"/>
          <w:b w:val="0"/>
          <w:bCs/>
          <w:noProof/>
          <w:sz w:val="24"/>
        </w:rPr>
      </w:pPr>
      <w:r w:rsidRPr="005463E9">
        <w:rPr>
          <w:b w:val="0"/>
          <w:bCs/>
          <w:noProof/>
          <w:sz w:val="24"/>
        </w:rPr>
        <w:t xml:space="preserve">un plan de promovare a sectorului turismului, în care sunt descrise măsurile de stimulare a sectorului turismului și este definit cadrul pentru punerea în aplicare a măsurilor legate de turism. </w:t>
      </w:r>
    </w:p>
    <w:p w14:paraId="3BB825D3" w14:textId="77777777" w:rsidR="00011DE9" w:rsidRPr="005463E9" w:rsidRDefault="00011DE9">
      <w:pPr>
        <w:pStyle w:val="P68B1DB1-Normal5"/>
        <w:numPr>
          <w:ilvl w:val="0"/>
          <w:numId w:val="122"/>
        </w:numPr>
        <w:spacing w:after="200" w:line="240" w:lineRule="auto"/>
        <w:contextualSpacing/>
        <w:rPr>
          <w:rFonts w:cs="Times New Roman"/>
          <w:b w:val="0"/>
          <w:bCs/>
          <w:noProof/>
          <w:sz w:val="24"/>
        </w:rPr>
      </w:pPr>
      <w:r w:rsidRPr="005463E9">
        <w:rPr>
          <w:b w:val="0"/>
          <w:bCs/>
          <w:noProof/>
          <w:sz w:val="24"/>
        </w:rPr>
        <w:t xml:space="preserve">lansarea unui site web care colectează date din diferite surse de statistici privind turismul, inclusiv de la organisme publice și private precum INE, </w:t>
      </w:r>
      <w:r w:rsidRPr="005463E9">
        <w:rPr>
          <w:b w:val="0"/>
          <w:bCs/>
          <w:i/>
          <w:noProof/>
          <w:sz w:val="24"/>
        </w:rPr>
        <w:t>Turespaña</w:t>
      </w:r>
      <w:r w:rsidRPr="005463E9">
        <w:rPr>
          <w:b w:val="0"/>
          <w:bCs/>
          <w:noProof/>
          <w:sz w:val="24"/>
        </w:rPr>
        <w:t xml:space="preserve">, Banca Spaniei, AENA și RENFE. </w:t>
      </w:r>
    </w:p>
    <w:p w14:paraId="228FF21C" w14:textId="77777777" w:rsidR="00011DE9" w:rsidRPr="005463E9" w:rsidRDefault="00011DE9">
      <w:pPr>
        <w:pStyle w:val="P68B1DB1-Normal5"/>
        <w:spacing w:before="120" w:after="120" w:line="240" w:lineRule="auto"/>
        <w:jc w:val="both"/>
        <w:rPr>
          <w:rFonts w:cs="Times New Roman"/>
          <w:b w:val="0"/>
          <w:bCs/>
          <w:noProof/>
          <w:sz w:val="24"/>
        </w:rPr>
      </w:pPr>
      <w:r w:rsidRPr="005463E9">
        <w:rPr>
          <w:b w:val="0"/>
          <w:bCs/>
          <w:noProof/>
          <w:sz w:val="24"/>
        </w:rPr>
        <w:t>Punerea în aplicare a reformei se finalizează până la 31 decembrie 2021.</w:t>
      </w:r>
    </w:p>
    <w:p w14:paraId="0747E994" w14:textId="77777777" w:rsidR="00011DE9" w:rsidRPr="005463E9" w:rsidRDefault="00011DE9">
      <w:pPr>
        <w:pStyle w:val="P68B1DB1-Normal7"/>
        <w:keepNext/>
        <w:spacing w:before="120" w:after="120" w:line="240" w:lineRule="auto"/>
        <w:jc w:val="both"/>
        <w:rPr>
          <w:rFonts w:cs="Times New Roman"/>
          <w:bCs/>
          <w:noProof/>
        </w:rPr>
      </w:pPr>
      <w:r w:rsidRPr="005463E9">
        <w:rPr>
          <w:bCs/>
          <w:noProof/>
        </w:rPr>
        <w:t>Investiția 1 (C14.I1) – Transformarea modelului turistic în direcția durabilității</w:t>
      </w:r>
    </w:p>
    <w:p w14:paraId="6CD8783A" w14:textId="77777777" w:rsidR="00011DE9" w:rsidRPr="005463E9" w:rsidRDefault="00011DE9">
      <w:pPr>
        <w:pStyle w:val="P68B1DB1-Normal5"/>
        <w:keepNext/>
        <w:spacing w:before="120" w:after="120" w:line="240" w:lineRule="auto"/>
        <w:jc w:val="both"/>
        <w:rPr>
          <w:rFonts w:cs="Times New Roman"/>
          <w:b w:val="0"/>
          <w:bCs/>
          <w:noProof/>
          <w:sz w:val="24"/>
        </w:rPr>
      </w:pPr>
      <w:r w:rsidRPr="005463E9">
        <w:rPr>
          <w:b w:val="0"/>
          <w:bCs/>
          <w:noProof/>
          <w:sz w:val="24"/>
        </w:rPr>
        <w:t xml:space="preserve">Obiectivul acestei investiții este de a consolida sustenabilitatea de mediu, socioeconomică și teritorială a turismului și vizează destinațiile turistice, partenerii sociali și operatorii privați din sector. </w:t>
      </w:r>
    </w:p>
    <w:p w14:paraId="47894261" w14:textId="77777777" w:rsidR="00011DE9" w:rsidRPr="005463E9" w:rsidRDefault="00011DE9">
      <w:pPr>
        <w:pStyle w:val="P68B1DB1-Normal5"/>
        <w:spacing w:before="120" w:after="120" w:line="240" w:lineRule="auto"/>
        <w:jc w:val="both"/>
        <w:rPr>
          <w:b w:val="0"/>
          <w:bCs/>
          <w:noProof/>
          <w:sz w:val="24"/>
        </w:rPr>
      </w:pPr>
      <w:r w:rsidRPr="005463E9">
        <w:rPr>
          <w:b w:val="0"/>
          <w:bCs/>
          <w:noProof/>
          <w:sz w:val="24"/>
        </w:rPr>
        <w:t>Această măsură constă în sprijin legat de planurile teritoriale pentru sustenabilitatea turismului în destinații.</w:t>
      </w:r>
    </w:p>
    <w:p w14:paraId="77C46012" w14:textId="77777777" w:rsidR="00011DE9" w:rsidRPr="005463E9" w:rsidRDefault="00011DE9">
      <w:pPr>
        <w:pStyle w:val="P68B1DB1-Normal7"/>
        <w:keepNext/>
        <w:spacing w:before="120" w:after="120" w:line="240" w:lineRule="auto"/>
        <w:jc w:val="both"/>
        <w:rPr>
          <w:rFonts w:cs="Times New Roman"/>
          <w:bCs/>
          <w:noProof/>
        </w:rPr>
      </w:pPr>
      <w:r w:rsidRPr="005463E9">
        <w:rPr>
          <w:bCs/>
          <w:noProof/>
        </w:rPr>
        <w:t>Investiția 2 (C14.I2) – Platforma pentru destinații inteligente și digitalizarea sectorului turismului</w:t>
      </w:r>
    </w:p>
    <w:p w14:paraId="43A694C4" w14:textId="77777777" w:rsidR="00011DE9" w:rsidRPr="005463E9" w:rsidRDefault="00011DE9">
      <w:pPr>
        <w:pStyle w:val="P68B1DB1-Normal8"/>
        <w:keepNext/>
        <w:spacing w:before="120" w:after="120" w:line="240" w:lineRule="auto"/>
        <w:jc w:val="both"/>
        <w:rPr>
          <w:rFonts w:cs="Times New Roman"/>
          <w:bCs/>
          <w:noProof/>
        </w:rPr>
      </w:pPr>
      <w:r w:rsidRPr="005463E9">
        <w:rPr>
          <w:bCs/>
          <w:noProof/>
        </w:rPr>
        <w:t>Obiectivul acestei investiții este de a dezvolta o platformă pentru destinații inteligente, care să pună la dispoziția turiștilor servicii publice și private interoperabile. Invadele constau în punerea online a platformei destinațiilor inteligente și în realizarea de proiecte legate de inteligența artificială și de alte tehnologii generice din sectorul turismului.</w:t>
      </w:r>
    </w:p>
    <w:p w14:paraId="68A5F15A" w14:textId="77777777" w:rsidR="00011DE9" w:rsidRPr="005463E9" w:rsidRDefault="00011DE9">
      <w:pPr>
        <w:pStyle w:val="P68B1DB1-Normal7"/>
        <w:spacing w:before="120" w:after="120" w:line="240" w:lineRule="auto"/>
        <w:jc w:val="both"/>
        <w:rPr>
          <w:rFonts w:cs="Times New Roman"/>
          <w:bCs/>
          <w:noProof/>
        </w:rPr>
      </w:pPr>
      <w:r w:rsidRPr="005463E9">
        <w:rPr>
          <w:bCs/>
          <w:noProof/>
        </w:rPr>
        <w:t>Investiția 3 (C14.I3) – Reziliența turismului pentru teritoriile extra-peninsulare</w:t>
      </w:r>
    </w:p>
    <w:p w14:paraId="4128F4D8" w14:textId="77777777" w:rsidR="00011DE9" w:rsidRPr="005463E9" w:rsidRDefault="00011DE9">
      <w:pPr>
        <w:pStyle w:val="P68B1DB1-Normal8"/>
        <w:spacing w:before="120" w:after="120" w:line="240" w:lineRule="auto"/>
        <w:jc w:val="both"/>
        <w:rPr>
          <w:rFonts w:cs="Times New Roman"/>
          <w:bCs/>
          <w:noProof/>
        </w:rPr>
      </w:pPr>
      <w:r w:rsidRPr="005463E9">
        <w:rPr>
          <w:bCs/>
          <w:noProof/>
        </w:rPr>
        <w:t xml:space="preserve">Obiectivul acestei investiții este de a aborda provocările specifice cu care se confruntă industria turismului în Insulele Baleare, Insulele Canare, Ceuta și Melilla. Investiția constă în acțiuni de sprijinire a turismului în Insulele Baleare, Insulele Canare, Ceuta și Melilla. </w:t>
      </w:r>
    </w:p>
    <w:p w14:paraId="5B45D291" w14:textId="77777777" w:rsidR="00011DE9" w:rsidRDefault="00011DE9">
      <w:pPr>
        <w:pStyle w:val="P68B1DB1-Normal7"/>
        <w:spacing w:before="120" w:after="120" w:line="240" w:lineRule="auto"/>
        <w:jc w:val="both"/>
        <w:rPr>
          <w:rFonts w:cs="Times New Roman"/>
          <w:noProof/>
        </w:rPr>
      </w:pPr>
      <w:r>
        <w:rPr>
          <w:noProof/>
        </w:rPr>
        <w:t>Investiția 4 (C14.I4) – Acțiuni speciale în domeniul competitivității</w:t>
      </w:r>
    </w:p>
    <w:p w14:paraId="20ABE530" w14:textId="77777777" w:rsidR="00011DE9" w:rsidRDefault="00011DE9">
      <w:pPr>
        <w:pStyle w:val="P68B1DB1-Normal8"/>
        <w:spacing w:before="120" w:after="120" w:line="240" w:lineRule="auto"/>
        <w:jc w:val="both"/>
        <w:rPr>
          <w:rFonts w:cs="Times New Roman"/>
          <w:noProof/>
        </w:rPr>
      </w:pPr>
      <w:r>
        <w:rPr>
          <w:noProof/>
        </w:rPr>
        <w:t xml:space="preserve">Obiectivul acestei investiții este de a îmbunătăți competitivitatea sectorului turismului. Investiția constă în (i) activități legate de programul „Experiencias Turismo España”; (II) acțiuni în materie de durabilitate în unitățile turistice; și (iii) regenerarea siturilor de patrimoniu istoric. </w:t>
      </w:r>
    </w:p>
    <w:p w14:paraId="7D84141D" w14:textId="77777777" w:rsidR="00011DE9" w:rsidRDefault="00011DE9">
      <w:pPr>
        <w:spacing w:before="120" w:after="120" w:line="240" w:lineRule="auto"/>
        <w:jc w:val="both"/>
        <w:rPr>
          <w:rFonts w:ascii="Times New Roman" w:eastAsia="Calibri" w:hAnsi="Times New Roman" w:cs="Times New Roman"/>
          <w:noProof/>
          <w:kern w:val="0"/>
          <w:szCs w:val="22"/>
          <w14:ligatures w14:val="none"/>
        </w:rPr>
      </w:pPr>
    </w:p>
    <w:p w14:paraId="4F0486C8" w14:textId="002396C2" w:rsidR="00011DE9" w:rsidRDefault="00011DE9">
      <w:pPr>
        <w:pStyle w:val="P68B1DB1-Normal6"/>
        <w:keepNext/>
        <w:spacing w:before="120" w:after="120" w:line="240" w:lineRule="auto"/>
        <w:ind w:left="709"/>
        <w:jc w:val="both"/>
        <w:rPr>
          <w:rFonts w:ascii="Times New Roman" w:eastAsia="Calibri" w:hAnsi="Times New Roman" w:cs="Times New Roman"/>
          <w:b/>
          <w:noProof/>
          <w:u w:val="single"/>
        </w:rPr>
      </w:pPr>
      <w:r>
        <w:rPr>
          <w:rFonts w:ascii="Times New Roman" w:eastAsia="Calibri" w:hAnsi="Times New Roman" w:cs="Arial"/>
          <w:b/>
          <w:noProof/>
          <w:u w:val="single"/>
        </w:rPr>
        <w:t>N.2.</w:t>
      </w:r>
      <w:r w:rsidR="00971820">
        <w:rPr>
          <w:rFonts w:ascii="Times New Roman" w:eastAsia="Calibri" w:hAnsi="Times New Roman" w:cs="Arial"/>
          <w:b/>
          <w:noProof/>
          <w:u w:val="single"/>
        </w:rPr>
        <w:t xml:space="preserve"> </w:t>
      </w:r>
      <w:r>
        <w:rPr>
          <w:rFonts w:ascii="Times New Roman" w:eastAsia="Calibri" w:hAnsi="Times New Roman" w:cs="Arial"/>
          <w:b/>
          <w:noProof/>
          <w:u w:val="single"/>
        </w:rPr>
        <w:t>Jaloane, ținte, indicatori și calendarul de monitorizare și implementare aplicabile sprijinului financiar nerambursabil</w:t>
      </w:r>
    </w:p>
    <w:p w14:paraId="7BB3965F" w14:textId="77777777" w:rsidR="00011DE9" w:rsidRPr="005463E9" w:rsidRDefault="00011DE9">
      <w:pPr>
        <w:pStyle w:val="P68B1DB1-Normal5"/>
        <w:keepNext/>
        <w:spacing w:before="120" w:after="120" w:line="240" w:lineRule="auto"/>
        <w:jc w:val="both"/>
        <w:rPr>
          <w:rFonts w:cs="Times New Roman"/>
          <w:b w:val="0"/>
          <w:bCs/>
          <w:noProof/>
          <w:sz w:val="24"/>
        </w:rPr>
      </w:pPr>
      <w:r w:rsidRPr="005463E9">
        <w:rPr>
          <w:b w:val="0"/>
          <w:bCs/>
          <w:i/>
          <w:noProof/>
          <w:sz w:val="24"/>
        </w:rPr>
        <w:t>A se vedea tabelul de mai jos.</w:t>
      </w:r>
      <w:r w:rsidRPr="005463E9">
        <w:rPr>
          <w:b w:val="0"/>
          <w:bCs/>
          <w:noProof/>
          <w:sz w:val="24"/>
        </w:rPr>
        <w:t xml:space="preserve"> </w:t>
      </w:r>
      <w:r w:rsidRPr="005463E9">
        <w:rPr>
          <w:b w:val="0"/>
          <w:bCs/>
          <w:i/>
          <w:noProof/>
          <w:sz w:val="24"/>
        </w:rPr>
        <w:t>Data de referință pentru toți indicatorii este 1 februarie 2020, cu excepția cazului în care se indică altfel în descrierea acțiunii. Sumele din tabel nu includ TVA.</w:t>
      </w:r>
    </w:p>
    <w:p w14:paraId="339CB40C" w14:textId="77777777" w:rsidR="00011DE9" w:rsidRDefault="00011DE9">
      <w:pPr>
        <w:spacing w:before="120" w:after="120" w:line="240" w:lineRule="auto"/>
        <w:jc w:val="both"/>
        <w:rPr>
          <w:rFonts w:ascii="Times New Roman" w:eastAsia="Calibri" w:hAnsi="Times New Roman" w:cs="Times New Roman"/>
          <w:b/>
          <w:bCs/>
          <w:noProof/>
          <w:kern w:val="0"/>
          <w:szCs w:val="22"/>
          <w:u w:val="single"/>
          <w14:ligatures w14:val="none"/>
        </w:rPr>
      </w:pPr>
    </w:p>
    <w:p w14:paraId="1DB3FBD1" w14:textId="77777777" w:rsidR="00011DE9" w:rsidRDefault="00011DE9">
      <w:pPr>
        <w:spacing w:before="120" w:after="120" w:line="240" w:lineRule="auto"/>
        <w:ind w:left="709"/>
        <w:jc w:val="both"/>
        <w:rPr>
          <w:rFonts w:ascii="Times New Roman" w:eastAsia="Calibri" w:hAnsi="Times New Roman" w:cs="Times New Roman"/>
          <w:noProof/>
          <w:kern w:val="0"/>
          <w:szCs w:val="22"/>
          <w14:ligatures w14:val="none"/>
        </w:rPr>
      </w:pPr>
    </w:p>
    <w:p w14:paraId="1CD03108" w14:textId="77777777" w:rsidR="00011DE9" w:rsidRDefault="00011DE9">
      <w:pPr>
        <w:spacing w:before="120" w:after="120" w:line="240" w:lineRule="auto"/>
        <w:ind w:left="709"/>
        <w:jc w:val="both"/>
        <w:rPr>
          <w:rFonts w:ascii="Times New Roman" w:eastAsia="Calibri" w:hAnsi="Times New Roman" w:cs="Times New Roman"/>
          <w:noProof/>
          <w:kern w:val="0"/>
          <w:szCs w:val="22"/>
          <w14:ligatures w14:val="none"/>
        </w:rPr>
        <w:sectPr w:rsidR="00011DE9" w:rsidSect="00011DE9">
          <w:headerReference w:type="default" r:id="rId198"/>
          <w:footerReference w:type="default" r:id="rId199"/>
          <w:pgSz w:w="11907" w:h="16839"/>
          <w:pgMar w:top="1134" w:right="1134" w:bottom="1134" w:left="1134" w:header="567" w:footer="567" w:gutter="0"/>
          <w:cols w:space="720"/>
          <w:docGrid w:linePitch="360"/>
        </w:sectPr>
      </w:pP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703"/>
        <w:gridCol w:w="1276"/>
        <w:gridCol w:w="1134"/>
        <w:gridCol w:w="851"/>
        <w:gridCol w:w="992"/>
        <w:gridCol w:w="997"/>
        <w:gridCol w:w="583"/>
        <w:gridCol w:w="709"/>
        <w:gridCol w:w="6079"/>
      </w:tblGrid>
      <w:tr w:rsidR="00011DE9" w:rsidRPr="005463E9" w14:paraId="77BDA417" w14:textId="77777777" w:rsidTr="005463E9">
        <w:trPr>
          <w:trHeight w:val="309"/>
          <w:tblHeader/>
          <w:jc w:val="center"/>
        </w:trPr>
        <w:tc>
          <w:tcPr>
            <w:tcW w:w="709" w:type="dxa"/>
            <w:vMerge w:val="restart"/>
            <w:shd w:val="clear" w:color="auto" w:fill="C6D9F1"/>
            <w:noWrap/>
            <w:vAlign w:val="center"/>
          </w:tcPr>
          <w:p w14:paraId="79F5CAE8" w14:textId="77777777" w:rsidR="00011DE9" w:rsidRPr="005463E9" w:rsidRDefault="00011DE9">
            <w:pPr>
              <w:pStyle w:val="P68B1DB1-Normal12"/>
              <w:spacing w:after="0" w:line="240" w:lineRule="auto"/>
              <w:jc w:val="center"/>
              <w:rPr>
                <w:bCs/>
                <w:noProof/>
                <w:sz w:val="20"/>
                <w:szCs w:val="20"/>
              </w:rPr>
            </w:pPr>
            <w:r w:rsidRPr="005463E9">
              <w:rPr>
                <w:noProof/>
                <w:sz w:val="20"/>
                <w:szCs w:val="20"/>
              </w:rPr>
              <w:t>Număr</w:t>
            </w:r>
          </w:p>
        </w:tc>
        <w:tc>
          <w:tcPr>
            <w:tcW w:w="851" w:type="dxa"/>
            <w:vMerge w:val="restart"/>
            <w:shd w:val="clear" w:color="auto" w:fill="C6D9F1"/>
            <w:noWrap/>
            <w:vAlign w:val="center"/>
          </w:tcPr>
          <w:p w14:paraId="65761FAA" w14:textId="77777777" w:rsidR="00011DE9" w:rsidRPr="005463E9" w:rsidRDefault="00011DE9">
            <w:pPr>
              <w:pStyle w:val="P68B1DB1-Normal12"/>
              <w:spacing w:after="0" w:line="240" w:lineRule="auto"/>
              <w:jc w:val="center"/>
              <w:rPr>
                <w:bCs/>
                <w:noProof/>
                <w:sz w:val="20"/>
                <w:szCs w:val="20"/>
              </w:rPr>
            </w:pPr>
            <w:r w:rsidRPr="005463E9">
              <w:rPr>
                <w:noProof/>
                <w:sz w:val="20"/>
                <w:szCs w:val="20"/>
              </w:rPr>
              <w:t>Măsură</w:t>
            </w:r>
          </w:p>
        </w:tc>
        <w:tc>
          <w:tcPr>
            <w:tcW w:w="703" w:type="dxa"/>
            <w:vMerge w:val="restart"/>
            <w:shd w:val="clear" w:color="auto" w:fill="C6D9F1"/>
            <w:noWrap/>
            <w:vAlign w:val="center"/>
          </w:tcPr>
          <w:p w14:paraId="7FA9A07C" w14:textId="75E0B51E" w:rsidR="00011DE9" w:rsidRPr="005463E9" w:rsidRDefault="00011DE9">
            <w:pPr>
              <w:pStyle w:val="P68B1DB1-Normal6"/>
              <w:spacing w:after="0" w:line="240" w:lineRule="auto"/>
              <w:jc w:val="center"/>
              <w:rPr>
                <w:rFonts w:ascii="Times New Roman" w:eastAsia="Calibri" w:hAnsi="Times New Roman" w:cs="Times New Roman"/>
                <w:b/>
                <w:bCs/>
                <w:noProof/>
                <w:sz w:val="20"/>
                <w:szCs w:val="20"/>
              </w:rPr>
            </w:pPr>
            <w:r w:rsidRPr="005463E9">
              <w:rPr>
                <w:rFonts w:ascii="Times New Roman" w:eastAsia="Calibri" w:hAnsi="Times New Roman" w:cs="Arial"/>
                <w:b/>
                <w:noProof/>
                <w:sz w:val="20"/>
                <w:szCs w:val="20"/>
              </w:rPr>
              <w:t>Etapă</w:t>
            </w:r>
            <w:r w:rsidR="00971820" w:rsidRPr="005463E9">
              <w:rPr>
                <w:rFonts w:ascii="Calibri" w:eastAsia="Calibri" w:hAnsi="Calibri" w:cs="Arial"/>
                <w:noProof/>
                <w:sz w:val="20"/>
                <w:szCs w:val="20"/>
              </w:rPr>
              <w:t xml:space="preserve"> </w:t>
            </w:r>
            <w:r w:rsidRPr="005463E9">
              <w:rPr>
                <w:rFonts w:ascii="Calibri" w:eastAsia="Calibri" w:hAnsi="Calibri" w:cs="Arial"/>
                <w:noProof/>
                <w:sz w:val="20"/>
                <w:szCs w:val="20"/>
              </w:rPr>
              <w:br/>
            </w:r>
            <w:r w:rsidRPr="005463E9">
              <w:rPr>
                <w:rFonts w:ascii="Times New Roman" w:eastAsia="Calibri" w:hAnsi="Times New Roman" w:cs="Arial"/>
                <w:b/>
                <w:noProof/>
                <w:sz w:val="20"/>
                <w:szCs w:val="20"/>
              </w:rPr>
              <w:t xml:space="preserve"> /Țintei</w:t>
            </w:r>
          </w:p>
        </w:tc>
        <w:tc>
          <w:tcPr>
            <w:tcW w:w="1276" w:type="dxa"/>
            <w:vMerge w:val="restart"/>
            <w:shd w:val="clear" w:color="auto" w:fill="C6D9F1"/>
            <w:noWrap/>
            <w:vAlign w:val="center"/>
          </w:tcPr>
          <w:p w14:paraId="297EAC2F" w14:textId="77777777" w:rsidR="00011DE9" w:rsidRPr="005463E9" w:rsidRDefault="00011DE9">
            <w:pPr>
              <w:pStyle w:val="P68B1DB1-Normal12"/>
              <w:spacing w:after="0" w:line="240" w:lineRule="auto"/>
              <w:jc w:val="center"/>
              <w:rPr>
                <w:bCs/>
                <w:noProof/>
                <w:sz w:val="20"/>
                <w:szCs w:val="20"/>
              </w:rPr>
            </w:pPr>
            <w:r w:rsidRPr="005463E9">
              <w:rPr>
                <w:noProof/>
                <w:sz w:val="20"/>
                <w:szCs w:val="20"/>
              </w:rPr>
              <w:t>Nume</w:t>
            </w:r>
          </w:p>
        </w:tc>
        <w:tc>
          <w:tcPr>
            <w:tcW w:w="1134" w:type="dxa"/>
            <w:vMerge w:val="restart"/>
            <w:shd w:val="clear" w:color="auto" w:fill="C6D9F1"/>
            <w:noWrap/>
            <w:vAlign w:val="center"/>
          </w:tcPr>
          <w:p w14:paraId="7BA059B8" w14:textId="77777777" w:rsidR="00011DE9" w:rsidRPr="005463E9" w:rsidRDefault="00011DE9">
            <w:pPr>
              <w:pStyle w:val="P68B1DB1-Normal12"/>
              <w:spacing w:after="0" w:line="240" w:lineRule="auto"/>
              <w:jc w:val="center"/>
              <w:rPr>
                <w:bCs/>
                <w:noProof/>
                <w:sz w:val="20"/>
                <w:szCs w:val="20"/>
              </w:rPr>
            </w:pPr>
            <w:r w:rsidRPr="005463E9">
              <w:rPr>
                <w:noProof/>
                <w:sz w:val="20"/>
                <w:szCs w:val="20"/>
              </w:rPr>
              <w:t>Indicator calitativ pentru jaloane</w:t>
            </w:r>
          </w:p>
        </w:tc>
        <w:tc>
          <w:tcPr>
            <w:tcW w:w="2840" w:type="dxa"/>
            <w:gridSpan w:val="3"/>
            <w:shd w:val="clear" w:color="auto" w:fill="C6D9F1"/>
            <w:noWrap/>
            <w:vAlign w:val="center"/>
          </w:tcPr>
          <w:p w14:paraId="519ECF18" w14:textId="77777777" w:rsidR="00011DE9" w:rsidRPr="005463E9" w:rsidRDefault="00011DE9">
            <w:pPr>
              <w:pStyle w:val="P68B1DB1-Normal12"/>
              <w:spacing w:after="0" w:line="240" w:lineRule="auto"/>
              <w:jc w:val="center"/>
              <w:rPr>
                <w:bCs/>
                <w:noProof/>
                <w:sz w:val="20"/>
                <w:szCs w:val="20"/>
              </w:rPr>
            </w:pPr>
            <w:r w:rsidRPr="005463E9">
              <w:rPr>
                <w:noProof/>
                <w:sz w:val="20"/>
                <w:szCs w:val="20"/>
              </w:rPr>
              <w:t>Indicator cantitativ pentru ținte</w:t>
            </w:r>
          </w:p>
        </w:tc>
        <w:tc>
          <w:tcPr>
            <w:tcW w:w="1292" w:type="dxa"/>
            <w:gridSpan w:val="2"/>
            <w:shd w:val="clear" w:color="auto" w:fill="C6D9F1"/>
            <w:noWrap/>
            <w:vAlign w:val="center"/>
          </w:tcPr>
          <w:p w14:paraId="547BB13F" w14:textId="77777777" w:rsidR="00011DE9" w:rsidRPr="005463E9" w:rsidRDefault="00011DE9">
            <w:pPr>
              <w:pStyle w:val="P68B1DB1-Normal12"/>
              <w:spacing w:after="0" w:line="240" w:lineRule="auto"/>
              <w:jc w:val="center"/>
              <w:rPr>
                <w:bCs/>
                <w:noProof/>
                <w:sz w:val="20"/>
                <w:szCs w:val="20"/>
              </w:rPr>
            </w:pPr>
            <w:r w:rsidRPr="005463E9">
              <w:rPr>
                <w:noProof/>
                <w:sz w:val="20"/>
                <w:szCs w:val="20"/>
              </w:rPr>
              <w:t>Timp</w:t>
            </w:r>
          </w:p>
        </w:tc>
        <w:tc>
          <w:tcPr>
            <w:tcW w:w="6079" w:type="dxa"/>
            <w:vMerge w:val="restart"/>
            <w:shd w:val="clear" w:color="auto" w:fill="C6D9F1"/>
            <w:noWrap/>
            <w:vAlign w:val="center"/>
          </w:tcPr>
          <w:p w14:paraId="284B9C73" w14:textId="77777777" w:rsidR="00011DE9" w:rsidRPr="005463E9" w:rsidRDefault="00011DE9">
            <w:pPr>
              <w:pStyle w:val="P68B1DB1-Normal12"/>
              <w:spacing w:after="0" w:line="240" w:lineRule="auto"/>
              <w:jc w:val="center"/>
              <w:rPr>
                <w:noProof/>
                <w:sz w:val="20"/>
                <w:szCs w:val="20"/>
              </w:rPr>
            </w:pPr>
            <w:r w:rsidRPr="005463E9">
              <w:rPr>
                <w:noProof/>
                <w:sz w:val="20"/>
                <w:szCs w:val="20"/>
              </w:rPr>
              <w:t>Descrierea fiecărui jalon și a fiecărei ținte</w:t>
            </w:r>
          </w:p>
        </w:tc>
      </w:tr>
      <w:tr w:rsidR="00011DE9" w:rsidRPr="005463E9" w14:paraId="30B15A82" w14:textId="77777777" w:rsidTr="005463E9">
        <w:trPr>
          <w:trHeight w:val="309"/>
          <w:tblHeader/>
          <w:jc w:val="center"/>
        </w:trPr>
        <w:tc>
          <w:tcPr>
            <w:tcW w:w="709" w:type="dxa"/>
            <w:vMerge/>
            <w:noWrap/>
          </w:tcPr>
          <w:p w14:paraId="414D0F06" w14:textId="77777777" w:rsidR="00011DE9" w:rsidRPr="005463E9" w:rsidRDefault="00011DE9">
            <w:pPr>
              <w:spacing w:after="0" w:line="240" w:lineRule="auto"/>
              <w:jc w:val="center"/>
              <w:rPr>
                <w:rFonts w:ascii="Times New Roman" w:eastAsia="Calibri" w:hAnsi="Times New Roman" w:cs="Times New Roman"/>
                <w:b/>
                <w:noProof/>
                <w:kern w:val="0"/>
                <w:sz w:val="20"/>
                <w:szCs w:val="20"/>
                <w14:ligatures w14:val="none"/>
              </w:rPr>
            </w:pPr>
          </w:p>
        </w:tc>
        <w:tc>
          <w:tcPr>
            <w:tcW w:w="851" w:type="dxa"/>
            <w:vMerge/>
            <w:noWrap/>
          </w:tcPr>
          <w:p w14:paraId="44463F02" w14:textId="77777777" w:rsidR="00011DE9" w:rsidRPr="005463E9" w:rsidRDefault="00011DE9">
            <w:pPr>
              <w:spacing w:after="0" w:line="240" w:lineRule="auto"/>
              <w:jc w:val="center"/>
              <w:rPr>
                <w:rFonts w:ascii="Times New Roman" w:eastAsia="Calibri" w:hAnsi="Times New Roman" w:cs="Times New Roman"/>
                <w:b/>
                <w:noProof/>
                <w:kern w:val="0"/>
                <w:sz w:val="20"/>
                <w:szCs w:val="20"/>
                <w14:ligatures w14:val="none"/>
              </w:rPr>
            </w:pPr>
          </w:p>
        </w:tc>
        <w:tc>
          <w:tcPr>
            <w:tcW w:w="703" w:type="dxa"/>
            <w:vMerge/>
            <w:noWrap/>
          </w:tcPr>
          <w:p w14:paraId="55EC03CC" w14:textId="77777777" w:rsidR="00011DE9" w:rsidRPr="005463E9" w:rsidRDefault="00011DE9">
            <w:pPr>
              <w:spacing w:after="0" w:line="240" w:lineRule="auto"/>
              <w:jc w:val="center"/>
              <w:rPr>
                <w:rFonts w:ascii="Times New Roman" w:eastAsia="Calibri" w:hAnsi="Times New Roman" w:cs="Times New Roman"/>
                <w:b/>
                <w:noProof/>
                <w:kern w:val="0"/>
                <w:sz w:val="20"/>
                <w:szCs w:val="20"/>
                <w14:ligatures w14:val="none"/>
              </w:rPr>
            </w:pPr>
          </w:p>
        </w:tc>
        <w:tc>
          <w:tcPr>
            <w:tcW w:w="1276" w:type="dxa"/>
            <w:vMerge/>
            <w:noWrap/>
          </w:tcPr>
          <w:p w14:paraId="5A5A7B4E" w14:textId="77777777" w:rsidR="00011DE9" w:rsidRPr="005463E9" w:rsidRDefault="00011DE9">
            <w:pPr>
              <w:spacing w:after="0" w:line="240" w:lineRule="auto"/>
              <w:rPr>
                <w:rFonts w:ascii="Times New Roman" w:eastAsia="Calibri" w:hAnsi="Times New Roman" w:cs="Times New Roman"/>
                <w:b/>
                <w:noProof/>
                <w:kern w:val="0"/>
                <w:sz w:val="20"/>
                <w:szCs w:val="20"/>
                <w14:ligatures w14:val="none"/>
              </w:rPr>
            </w:pPr>
          </w:p>
        </w:tc>
        <w:tc>
          <w:tcPr>
            <w:tcW w:w="1134" w:type="dxa"/>
            <w:vMerge/>
            <w:noWrap/>
          </w:tcPr>
          <w:p w14:paraId="5C394324" w14:textId="77777777" w:rsidR="00011DE9" w:rsidRPr="005463E9" w:rsidRDefault="00011DE9">
            <w:pPr>
              <w:spacing w:after="0" w:line="240" w:lineRule="auto"/>
              <w:jc w:val="center"/>
              <w:rPr>
                <w:rFonts w:ascii="Times New Roman" w:eastAsia="Calibri" w:hAnsi="Times New Roman" w:cs="Times New Roman"/>
                <w:b/>
                <w:noProof/>
                <w:kern w:val="0"/>
                <w:sz w:val="20"/>
                <w:szCs w:val="20"/>
                <w14:ligatures w14:val="none"/>
              </w:rPr>
            </w:pPr>
          </w:p>
        </w:tc>
        <w:tc>
          <w:tcPr>
            <w:tcW w:w="851" w:type="dxa"/>
            <w:shd w:val="clear" w:color="auto" w:fill="C6D9F1"/>
            <w:noWrap/>
            <w:vAlign w:val="center"/>
          </w:tcPr>
          <w:p w14:paraId="1BD193D2" w14:textId="77777777" w:rsidR="00011DE9" w:rsidRPr="005463E9" w:rsidRDefault="00011DE9">
            <w:pPr>
              <w:pStyle w:val="P68B1DB1-Normal12"/>
              <w:spacing w:after="0" w:line="240" w:lineRule="auto"/>
              <w:jc w:val="center"/>
              <w:rPr>
                <w:bCs/>
                <w:noProof/>
                <w:sz w:val="20"/>
                <w:szCs w:val="20"/>
              </w:rPr>
            </w:pPr>
            <w:r w:rsidRPr="005463E9">
              <w:rPr>
                <w:noProof/>
                <w:sz w:val="20"/>
                <w:szCs w:val="20"/>
              </w:rPr>
              <w:t>Unitate</w:t>
            </w:r>
          </w:p>
          <w:p w14:paraId="5220ADAA" w14:textId="77777777" w:rsidR="00011DE9" w:rsidRPr="005463E9" w:rsidRDefault="00011DE9">
            <w:pPr>
              <w:spacing w:after="0" w:line="240" w:lineRule="auto"/>
              <w:jc w:val="center"/>
              <w:rPr>
                <w:rFonts w:ascii="Times New Roman" w:eastAsia="Calibri" w:hAnsi="Times New Roman" w:cs="Times New Roman"/>
                <w:b/>
                <w:bCs/>
                <w:noProof/>
                <w:kern w:val="0"/>
                <w:sz w:val="20"/>
                <w:szCs w:val="20"/>
                <w14:ligatures w14:val="none"/>
              </w:rPr>
            </w:pPr>
          </w:p>
        </w:tc>
        <w:tc>
          <w:tcPr>
            <w:tcW w:w="992" w:type="dxa"/>
            <w:shd w:val="clear" w:color="auto" w:fill="C6D9F1"/>
            <w:noWrap/>
            <w:vAlign w:val="center"/>
          </w:tcPr>
          <w:p w14:paraId="4AB32C72" w14:textId="77777777" w:rsidR="00011DE9" w:rsidRPr="005463E9" w:rsidRDefault="00011DE9">
            <w:pPr>
              <w:pStyle w:val="P68B1DB1-Normal12"/>
              <w:spacing w:after="0" w:line="240" w:lineRule="auto"/>
              <w:jc w:val="center"/>
              <w:rPr>
                <w:bCs/>
                <w:noProof/>
                <w:sz w:val="20"/>
                <w:szCs w:val="20"/>
              </w:rPr>
            </w:pPr>
            <w:r w:rsidRPr="005463E9">
              <w:rPr>
                <w:noProof/>
                <w:sz w:val="20"/>
                <w:szCs w:val="20"/>
              </w:rPr>
              <w:t>Situația de referință</w:t>
            </w:r>
          </w:p>
          <w:p w14:paraId="56BCFB83" w14:textId="77777777" w:rsidR="00011DE9" w:rsidRPr="005463E9" w:rsidRDefault="00011DE9">
            <w:pPr>
              <w:spacing w:after="0" w:line="240" w:lineRule="auto"/>
              <w:jc w:val="center"/>
              <w:rPr>
                <w:rFonts w:ascii="Times New Roman" w:eastAsia="Calibri" w:hAnsi="Times New Roman" w:cs="Times New Roman"/>
                <w:b/>
                <w:bCs/>
                <w:noProof/>
                <w:kern w:val="0"/>
                <w:sz w:val="20"/>
                <w:szCs w:val="20"/>
                <w14:ligatures w14:val="none"/>
              </w:rPr>
            </w:pPr>
          </w:p>
        </w:tc>
        <w:tc>
          <w:tcPr>
            <w:tcW w:w="997" w:type="dxa"/>
            <w:shd w:val="clear" w:color="auto" w:fill="C6D9F1"/>
            <w:noWrap/>
            <w:vAlign w:val="center"/>
          </w:tcPr>
          <w:p w14:paraId="2B09B239" w14:textId="77777777" w:rsidR="00011DE9" w:rsidRPr="005463E9" w:rsidRDefault="00011DE9">
            <w:pPr>
              <w:pStyle w:val="P68B1DB1-Normal12"/>
              <w:spacing w:after="0" w:line="240" w:lineRule="auto"/>
              <w:jc w:val="center"/>
              <w:rPr>
                <w:bCs/>
                <w:noProof/>
                <w:sz w:val="20"/>
                <w:szCs w:val="20"/>
              </w:rPr>
            </w:pPr>
            <w:r w:rsidRPr="005463E9">
              <w:rPr>
                <w:noProof/>
                <w:sz w:val="20"/>
                <w:szCs w:val="20"/>
              </w:rPr>
              <w:t>Obiectiv</w:t>
            </w:r>
          </w:p>
          <w:p w14:paraId="2E07022F" w14:textId="77777777" w:rsidR="00011DE9" w:rsidRPr="005463E9" w:rsidRDefault="00011DE9">
            <w:pPr>
              <w:spacing w:after="0" w:line="240" w:lineRule="auto"/>
              <w:jc w:val="center"/>
              <w:rPr>
                <w:rFonts w:ascii="Times New Roman" w:eastAsia="Calibri" w:hAnsi="Times New Roman" w:cs="Times New Roman"/>
                <w:b/>
                <w:bCs/>
                <w:noProof/>
                <w:kern w:val="0"/>
                <w:sz w:val="20"/>
                <w:szCs w:val="20"/>
                <w14:ligatures w14:val="none"/>
              </w:rPr>
            </w:pPr>
          </w:p>
        </w:tc>
        <w:tc>
          <w:tcPr>
            <w:tcW w:w="583" w:type="dxa"/>
            <w:shd w:val="clear" w:color="auto" w:fill="C6D9F1"/>
            <w:noWrap/>
            <w:vAlign w:val="center"/>
          </w:tcPr>
          <w:p w14:paraId="5DEB97DE" w14:textId="6FBB015B" w:rsidR="00011DE9" w:rsidRPr="005463E9" w:rsidRDefault="005463E9">
            <w:pPr>
              <w:pStyle w:val="P68B1DB1-Normal12"/>
              <w:spacing w:after="0" w:line="240" w:lineRule="auto"/>
              <w:jc w:val="center"/>
              <w:rPr>
                <w:bCs/>
                <w:noProof/>
                <w:sz w:val="20"/>
                <w:szCs w:val="20"/>
              </w:rPr>
            </w:pPr>
            <w:r w:rsidRPr="005463E9">
              <w:rPr>
                <w:noProof/>
                <w:sz w:val="20"/>
                <w:szCs w:val="20"/>
              </w:rPr>
              <w:t>T</w:t>
            </w:r>
          </w:p>
          <w:p w14:paraId="322E14D6" w14:textId="77777777" w:rsidR="00011DE9" w:rsidRPr="005463E9" w:rsidRDefault="00011DE9">
            <w:pPr>
              <w:spacing w:after="0" w:line="240" w:lineRule="auto"/>
              <w:jc w:val="center"/>
              <w:rPr>
                <w:rFonts w:ascii="Times New Roman" w:eastAsia="Calibri" w:hAnsi="Times New Roman" w:cs="Times New Roman"/>
                <w:b/>
                <w:bCs/>
                <w:noProof/>
                <w:kern w:val="0"/>
                <w:sz w:val="20"/>
                <w:szCs w:val="20"/>
                <w14:ligatures w14:val="none"/>
              </w:rPr>
            </w:pPr>
          </w:p>
        </w:tc>
        <w:tc>
          <w:tcPr>
            <w:tcW w:w="709" w:type="dxa"/>
            <w:shd w:val="clear" w:color="auto" w:fill="C6D9F1"/>
            <w:noWrap/>
            <w:vAlign w:val="center"/>
          </w:tcPr>
          <w:p w14:paraId="2CE232E1" w14:textId="77777777" w:rsidR="00011DE9" w:rsidRPr="005463E9" w:rsidRDefault="00011DE9">
            <w:pPr>
              <w:pStyle w:val="P68B1DB1-Normal12"/>
              <w:spacing w:after="0" w:line="240" w:lineRule="auto"/>
              <w:jc w:val="center"/>
              <w:rPr>
                <w:bCs/>
                <w:noProof/>
                <w:sz w:val="20"/>
                <w:szCs w:val="20"/>
              </w:rPr>
            </w:pPr>
            <w:r w:rsidRPr="005463E9">
              <w:rPr>
                <w:noProof/>
                <w:sz w:val="20"/>
                <w:szCs w:val="20"/>
              </w:rPr>
              <w:t>Anul</w:t>
            </w:r>
          </w:p>
          <w:p w14:paraId="7CC6B31B" w14:textId="77777777" w:rsidR="00011DE9" w:rsidRPr="005463E9" w:rsidRDefault="00011DE9">
            <w:pPr>
              <w:spacing w:after="0" w:line="240" w:lineRule="auto"/>
              <w:jc w:val="center"/>
              <w:rPr>
                <w:rFonts w:ascii="Times New Roman" w:eastAsia="Calibri" w:hAnsi="Times New Roman" w:cs="Times New Roman"/>
                <w:b/>
                <w:bCs/>
                <w:noProof/>
                <w:kern w:val="0"/>
                <w:sz w:val="20"/>
                <w:szCs w:val="20"/>
                <w14:ligatures w14:val="none"/>
              </w:rPr>
            </w:pPr>
          </w:p>
        </w:tc>
        <w:tc>
          <w:tcPr>
            <w:tcW w:w="6079" w:type="dxa"/>
            <w:vMerge/>
            <w:noWrap/>
          </w:tcPr>
          <w:p w14:paraId="6DD21D0C" w14:textId="77777777" w:rsidR="00011DE9" w:rsidRPr="005463E9" w:rsidRDefault="00011DE9">
            <w:pPr>
              <w:spacing w:after="0" w:line="240" w:lineRule="auto"/>
              <w:rPr>
                <w:rFonts w:ascii="Times New Roman" w:eastAsia="Calibri" w:hAnsi="Times New Roman" w:cs="Times New Roman"/>
                <w:b/>
                <w:noProof/>
                <w:kern w:val="0"/>
                <w:sz w:val="20"/>
                <w:szCs w:val="20"/>
                <w14:ligatures w14:val="none"/>
              </w:rPr>
            </w:pPr>
          </w:p>
        </w:tc>
      </w:tr>
      <w:tr w:rsidR="00011DE9" w:rsidRPr="005463E9" w14:paraId="059F2CCD" w14:textId="77777777" w:rsidTr="005463E9">
        <w:trPr>
          <w:trHeight w:val="309"/>
          <w:jc w:val="center"/>
        </w:trPr>
        <w:tc>
          <w:tcPr>
            <w:tcW w:w="709" w:type="dxa"/>
            <w:shd w:val="clear" w:color="auto" w:fill="C6EFCE"/>
            <w:noWrap/>
          </w:tcPr>
          <w:p w14:paraId="1EE9FE87" w14:textId="77777777" w:rsidR="00011DE9" w:rsidRPr="005463E9" w:rsidRDefault="00011DE9">
            <w:pPr>
              <w:pStyle w:val="P68B1DB1-Normal13"/>
              <w:spacing w:after="0" w:line="240" w:lineRule="auto"/>
              <w:jc w:val="center"/>
              <w:rPr>
                <w:rFonts w:eastAsia="Times New Roman" w:cs="Times New Roman"/>
                <w:noProof/>
                <w:sz w:val="20"/>
                <w:szCs w:val="20"/>
              </w:rPr>
            </w:pPr>
            <w:r w:rsidRPr="005463E9">
              <w:rPr>
                <w:noProof/>
                <w:sz w:val="20"/>
                <w:szCs w:val="20"/>
              </w:rPr>
              <w:t>214</w:t>
            </w:r>
          </w:p>
        </w:tc>
        <w:tc>
          <w:tcPr>
            <w:tcW w:w="851" w:type="dxa"/>
            <w:shd w:val="clear" w:color="auto" w:fill="C6EFCE"/>
            <w:noWrap/>
          </w:tcPr>
          <w:p w14:paraId="11D63798" w14:textId="77777777" w:rsidR="00011DE9" w:rsidRPr="005463E9" w:rsidRDefault="00011DE9">
            <w:pPr>
              <w:pStyle w:val="P68B1DB1-Normal13"/>
              <w:spacing w:after="0" w:line="240" w:lineRule="auto"/>
              <w:jc w:val="center"/>
              <w:rPr>
                <w:rFonts w:eastAsia="Times New Roman" w:cs="Times New Roman"/>
                <w:noProof/>
                <w:sz w:val="20"/>
                <w:szCs w:val="20"/>
              </w:rPr>
            </w:pPr>
            <w:r w:rsidRPr="005463E9">
              <w:rPr>
                <w:noProof/>
                <w:sz w:val="20"/>
                <w:szCs w:val="20"/>
              </w:rPr>
              <w:t>C14.R1</w:t>
            </w:r>
          </w:p>
        </w:tc>
        <w:tc>
          <w:tcPr>
            <w:tcW w:w="703" w:type="dxa"/>
            <w:shd w:val="clear" w:color="auto" w:fill="C6EFCE"/>
            <w:noWrap/>
          </w:tcPr>
          <w:p w14:paraId="621F7EAF" w14:textId="77777777" w:rsidR="00011DE9" w:rsidRPr="005463E9" w:rsidRDefault="00011DE9">
            <w:pPr>
              <w:pStyle w:val="P68B1DB1-Normal13"/>
              <w:spacing w:after="0" w:line="240" w:lineRule="auto"/>
              <w:jc w:val="center"/>
              <w:rPr>
                <w:rFonts w:eastAsia="Times New Roman" w:cs="Times New Roman"/>
                <w:noProof/>
                <w:sz w:val="20"/>
                <w:szCs w:val="20"/>
              </w:rPr>
            </w:pPr>
            <w:r w:rsidRPr="005463E9">
              <w:rPr>
                <w:noProof/>
                <w:sz w:val="20"/>
                <w:szCs w:val="20"/>
              </w:rPr>
              <w:t>M</w:t>
            </w:r>
          </w:p>
        </w:tc>
        <w:tc>
          <w:tcPr>
            <w:tcW w:w="1276" w:type="dxa"/>
            <w:shd w:val="clear" w:color="auto" w:fill="C6EFCE"/>
            <w:noWrap/>
          </w:tcPr>
          <w:p w14:paraId="6D4BEFD0" w14:textId="77777777" w:rsidR="00011DE9" w:rsidRPr="005463E9" w:rsidRDefault="00011DE9">
            <w:pPr>
              <w:pStyle w:val="P68B1DB1-Normal13"/>
              <w:spacing w:after="0" w:line="240" w:lineRule="auto"/>
              <w:rPr>
                <w:rFonts w:eastAsia="Times New Roman" w:cs="Times New Roman"/>
                <w:noProof/>
                <w:sz w:val="20"/>
                <w:szCs w:val="20"/>
              </w:rPr>
            </w:pPr>
            <w:r w:rsidRPr="005463E9">
              <w:rPr>
                <w:noProof/>
                <w:sz w:val="20"/>
                <w:szCs w:val="20"/>
              </w:rPr>
              <w:t>Plan de promovare a sectorului turismului</w:t>
            </w:r>
          </w:p>
        </w:tc>
        <w:tc>
          <w:tcPr>
            <w:tcW w:w="1134" w:type="dxa"/>
            <w:shd w:val="clear" w:color="auto" w:fill="C6EFCE"/>
            <w:noWrap/>
          </w:tcPr>
          <w:p w14:paraId="153C0284" w14:textId="77777777" w:rsidR="00011DE9" w:rsidRPr="005463E9" w:rsidRDefault="00011DE9">
            <w:pPr>
              <w:pStyle w:val="P68B1DB1-Normal13"/>
              <w:spacing w:after="0" w:line="240" w:lineRule="auto"/>
              <w:rPr>
                <w:rFonts w:eastAsia="Times New Roman" w:cs="Times New Roman"/>
                <w:noProof/>
                <w:sz w:val="20"/>
                <w:szCs w:val="20"/>
              </w:rPr>
            </w:pPr>
            <w:r w:rsidRPr="005463E9">
              <w:rPr>
                <w:noProof/>
                <w:sz w:val="20"/>
                <w:szCs w:val="20"/>
              </w:rPr>
              <w:t>Pagina web a publicației</w:t>
            </w:r>
          </w:p>
        </w:tc>
        <w:tc>
          <w:tcPr>
            <w:tcW w:w="851" w:type="dxa"/>
            <w:shd w:val="clear" w:color="auto" w:fill="C6EFCE"/>
            <w:noWrap/>
          </w:tcPr>
          <w:p w14:paraId="3A39307C" w14:textId="77777777" w:rsidR="00011DE9" w:rsidRPr="005463E9" w:rsidRDefault="00011DE9">
            <w:pPr>
              <w:pStyle w:val="P68B1DB1-Normal13"/>
              <w:spacing w:after="0" w:line="240" w:lineRule="auto"/>
              <w:jc w:val="right"/>
              <w:rPr>
                <w:rFonts w:eastAsia="Times New Roman" w:cs="Times New Roman"/>
                <w:noProof/>
                <w:sz w:val="20"/>
                <w:szCs w:val="20"/>
              </w:rPr>
            </w:pPr>
            <w:r w:rsidRPr="005463E9">
              <w:rPr>
                <w:noProof/>
                <w:sz w:val="20"/>
                <w:szCs w:val="20"/>
              </w:rPr>
              <w:t xml:space="preserve"> </w:t>
            </w:r>
          </w:p>
        </w:tc>
        <w:tc>
          <w:tcPr>
            <w:tcW w:w="992" w:type="dxa"/>
            <w:shd w:val="clear" w:color="auto" w:fill="C6EFCE"/>
            <w:noWrap/>
          </w:tcPr>
          <w:p w14:paraId="3F05D72B" w14:textId="77777777" w:rsidR="00011DE9" w:rsidRPr="005463E9" w:rsidRDefault="00011DE9">
            <w:pPr>
              <w:pStyle w:val="P68B1DB1-Normal13"/>
              <w:spacing w:after="0" w:line="240" w:lineRule="auto"/>
              <w:jc w:val="right"/>
              <w:rPr>
                <w:rFonts w:eastAsia="Times New Roman" w:cs="Times New Roman"/>
                <w:noProof/>
                <w:sz w:val="20"/>
                <w:szCs w:val="20"/>
              </w:rPr>
            </w:pPr>
            <w:r w:rsidRPr="005463E9">
              <w:rPr>
                <w:noProof/>
                <w:sz w:val="20"/>
                <w:szCs w:val="20"/>
              </w:rPr>
              <w:t xml:space="preserve"> </w:t>
            </w:r>
          </w:p>
        </w:tc>
        <w:tc>
          <w:tcPr>
            <w:tcW w:w="997" w:type="dxa"/>
            <w:shd w:val="clear" w:color="auto" w:fill="C6EFCE"/>
            <w:noWrap/>
          </w:tcPr>
          <w:p w14:paraId="5E1C6975" w14:textId="77777777" w:rsidR="00011DE9" w:rsidRPr="005463E9" w:rsidRDefault="00011DE9">
            <w:pPr>
              <w:pStyle w:val="P68B1DB1-Normal13"/>
              <w:spacing w:after="0" w:line="240" w:lineRule="auto"/>
              <w:jc w:val="right"/>
              <w:rPr>
                <w:rFonts w:eastAsia="Times New Roman" w:cs="Times New Roman"/>
                <w:noProof/>
                <w:sz w:val="20"/>
                <w:szCs w:val="20"/>
              </w:rPr>
            </w:pPr>
            <w:r w:rsidRPr="005463E9">
              <w:rPr>
                <w:noProof/>
                <w:sz w:val="20"/>
                <w:szCs w:val="20"/>
              </w:rPr>
              <w:t xml:space="preserve"> </w:t>
            </w:r>
          </w:p>
        </w:tc>
        <w:tc>
          <w:tcPr>
            <w:tcW w:w="583" w:type="dxa"/>
            <w:shd w:val="clear" w:color="auto" w:fill="C6EFCE"/>
            <w:noWrap/>
          </w:tcPr>
          <w:p w14:paraId="0306895F" w14:textId="62D450DE" w:rsidR="00011DE9" w:rsidRPr="005463E9" w:rsidRDefault="005701C9">
            <w:pPr>
              <w:pStyle w:val="P68B1DB1-Normal13"/>
              <w:spacing w:after="0" w:line="240" w:lineRule="auto"/>
              <w:jc w:val="center"/>
              <w:rPr>
                <w:rFonts w:eastAsia="Times New Roman" w:cs="Times New Roman"/>
                <w:noProof/>
                <w:sz w:val="20"/>
                <w:szCs w:val="20"/>
              </w:rPr>
            </w:pPr>
            <w:r w:rsidRPr="005463E9">
              <w:rPr>
                <w:noProof/>
                <w:sz w:val="20"/>
                <w:szCs w:val="20"/>
              </w:rPr>
              <w:t>T2</w:t>
            </w:r>
          </w:p>
        </w:tc>
        <w:tc>
          <w:tcPr>
            <w:tcW w:w="709" w:type="dxa"/>
            <w:shd w:val="clear" w:color="auto" w:fill="C6EFCE"/>
            <w:noWrap/>
          </w:tcPr>
          <w:p w14:paraId="2CD0A926" w14:textId="77777777" w:rsidR="00011DE9" w:rsidRPr="005463E9" w:rsidRDefault="00011DE9">
            <w:pPr>
              <w:pStyle w:val="P68B1DB1-Normal13"/>
              <w:spacing w:after="0" w:line="240" w:lineRule="auto"/>
              <w:jc w:val="center"/>
              <w:rPr>
                <w:rFonts w:eastAsia="Times New Roman" w:cs="Times New Roman"/>
                <w:noProof/>
                <w:sz w:val="20"/>
                <w:szCs w:val="20"/>
              </w:rPr>
            </w:pPr>
            <w:r w:rsidRPr="005463E9">
              <w:rPr>
                <w:noProof/>
                <w:sz w:val="20"/>
                <w:szCs w:val="20"/>
              </w:rPr>
              <w:t>2020</w:t>
            </w:r>
          </w:p>
        </w:tc>
        <w:tc>
          <w:tcPr>
            <w:tcW w:w="6079" w:type="dxa"/>
            <w:shd w:val="clear" w:color="auto" w:fill="C6EFCE"/>
            <w:noWrap/>
          </w:tcPr>
          <w:p w14:paraId="5BF5F404" w14:textId="77777777" w:rsidR="00011DE9" w:rsidRPr="005463E9" w:rsidRDefault="00011DE9">
            <w:pPr>
              <w:pStyle w:val="P68B1DB1-Normal13"/>
              <w:spacing w:after="0" w:line="240" w:lineRule="auto"/>
              <w:rPr>
                <w:rFonts w:eastAsia="Times New Roman" w:cs="Times New Roman"/>
                <w:noProof/>
                <w:sz w:val="20"/>
                <w:szCs w:val="20"/>
              </w:rPr>
            </w:pPr>
            <w:r w:rsidRPr="005463E9">
              <w:rPr>
                <w:noProof/>
                <w:sz w:val="20"/>
                <w:szCs w:val="20"/>
              </w:rPr>
              <w:t>Planul descrie măsurile de stimulare a sectorului turismului și definește cadrul pentru punerea în aplicare a măsurilor legate de turism.</w:t>
            </w:r>
          </w:p>
        </w:tc>
      </w:tr>
      <w:tr w:rsidR="00011DE9" w:rsidRPr="005463E9" w14:paraId="20BBDB26" w14:textId="77777777" w:rsidTr="005463E9">
        <w:trPr>
          <w:trHeight w:val="881"/>
          <w:jc w:val="center"/>
        </w:trPr>
        <w:tc>
          <w:tcPr>
            <w:tcW w:w="709" w:type="dxa"/>
            <w:shd w:val="clear" w:color="auto" w:fill="C6EFCE"/>
            <w:noWrap/>
          </w:tcPr>
          <w:p w14:paraId="468664CD" w14:textId="77777777" w:rsidR="00011DE9" w:rsidRPr="005463E9" w:rsidRDefault="00011DE9">
            <w:pPr>
              <w:pStyle w:val="P68B1DB1-Normal13"/>
              <w:spacing w:after="0" w:line="240" w:lineRule="auto"/>
              <w:jc w:val="center"/>
              <w:rPr>
                <w:rFonts w:eastAsia="Times New Roman" w:cs="Times New Roman"/>
                <w:noProof/>
                <w:sz w:val="20"/>
                <w:szCs w:val="20"/>
              </w:rPr>
            </w:pPr>
            <w:r w:rsidRPr="005463E9">
              <w:rPr>
                <w:noProof/>
                <w:sz w:val="20"/>
                <w:szCs w:val="20"/>
              </w:rPr>
              <w:t>215</w:t>
            </w:r>
          </w:p>
        </w:tc>
        <w:tc>
          <w:tcPr>
            <w:tcW w:w="851" w:type="dxa"/>
            <w:shd w:val="clear" w:color="auto" w:fill="C6EFCE"/>
            <w:noWrap/>
          </w:tcPr>
          <w:p w14:paraId="2CD5EC62" w14:textId="77777777" w:rsidR="00011DE9" w:rsidRPr="005463E9" w:rsidRDefault="00011DE9">
            <w:pPr>
              <w:pStyle w:val="P68B1DB1-Normal13"/>
              <w:spacing w:after="0" w:line="240" w:lineRule="auto"/>
              <w:jc w:val="center"/>
              <w:rPr>
                <w:rFonts w:eastAsia="Times New Roman" w:cs="Times New Roman"/>
                <w:noProof/>
                <w:sz w:val="20"/>
                <w:szCs w:val="20"/>
              </w:rPr>
            </w:pPr>
            <w:r w:rsidRPr="005463E9">
              <w:rPr>
                <w:noProof/>
                <w:sz w:val="20"/>
                <w:szCs w:val="20"/>
              </w:rPr>
              <w:t>C14.R1</w:t>
            </w:r>
          </w:p>
        </w:tc>
        <w:tc>
          <w:tcPr>
            <w:tcW w:w="703" w:type="dxa"/>
            <w:shd w:val="clear" w:color="auto" w:fill="C6EFCE"/>
            <w:noWrap/>
          </w:tcPr>
          <w:p w14:paraId="25DA3243" w14:textId="77777777" w:rsidR="00011DE9" w:rsidRPr="005463E9" w:rsidRDefault="00011DE9">
            <w:pPr>
              <w:pStyle w:val="P68B1DB1-Normal13"/>
              <w:spacing w:after="0" w:line="240" w:lineRule="auto"/>
              <w:jc w:val="center"/>
              <w:rPr>
                <w:rFonts w:eastAsia="Times New Roman" w:cs="Times New Roman"/>
                <w:noProof/>
                <w:sz w:val="20"/>
                <w:szCs w:val="20"/>
              </w:rPr>
            </w:pPr>
            <w:r w:rsidRPr="005463E9">
              <w:rPr>
                <w:noProof/>
                <w:sz w:val="20"/>
                <w:szCs w:val="20"/>
              </w:rPr>
              <w:t>M</w:t>
            </w:r>
          </w:p>
        </w:tc>
        <w:tc>
          <w:tcPr>
            <w:tcW w:w="1276" w:type="dxa"/>
            <w:shd w:val="clear" w:color="auto" w:fill="C6EFCE"/>
            <w:noWrap/>
          </w:tcPr>
          <w:p w14:paraId="3EC6F2D5" w14:textId="77777777" w:rsidR="00011DE9" w:rsidRPr="005463E9" w:rsidRDefault="00011DE9">
            <w:pPr>
              <w:pStyle w:val="P68B1DB1-Normal13"/>
              <w:spacing w:after="0" w:line="240" w:lineRule="auto"/>
              <w:rPr>
                <w:rFonts w:eastAsia="Times New Roman" w:cs="Times New Roman"/>
                <w:noProof/>
                <w:sz w:val="20"/>
                <w:szCs w:val="20"/>
              </w:rPr>
            </w:pPr>
            <w:r w:rsidRPr="005463E9">
              <w:rPr>
                <w:noProof/>
                <w:sz w:val="20"/>
                <w:szCs w:val="20"/>
              </w:rPr>
              <w:t>Lansarea site-ului „DATAESTUR”, care colectează date privind turismul</w:t>
            </w:r>
          </w:p>
        </w:tc>
        <w:tc>
          <w:tcPr>
            <w:tcW w:w="1134" w:type="dxa"/>
            <w:shd w:val="clear" w:color="auto" w:fill="C6EFCE"/>
            <w:noWrap/>
          </w:tcPr>
          <w:p w14:paraId="715E9B96" w14:textId="77777777" w:rsidR="00011DE9" w:rsidRPr="005463E9" w:rsidRDefault="00011DE9">
            <w:pPr>
              <w:pStyle w:val="P68B1DB1-Normal13"/>
              <w:spacing w:after="0" w:line="240" w:lineRule="auto"/>
              <w:rPr>
                <w:rFonts w:eastAsia="Times New Roman" w:cs="Times New Roman"/>
                <w:noProof/>
                <w:sz w:val="20"/>
                <w:szCs w:val="20"/>
              </w:rPr>
            </w:pPr>
            <w:r w:rsidRPr="005463E9">
              <w:rPr>
                <w:noProof/>
                <w:sz w:val="20"/>
                <w:szCs w:val="20"/>
              </w:rPr>
              <w:t>Link către site-ul Dataestur</w:t>
            </w:r>
          </w:p>
        </w:tc>
        <w:tc>
          <w:tcPr>
            <w:tcW w:w="851" w:type="dxa"/>
            <w:shd w:val="clear" w:color="auto" w:fill="C6EFCE"/>
            <w:noWrap/>
          </w:tcPr>
          <w:p w14:paraId="5583AAE6" w14:textId="77777777" w:rsidR="00011DE9" w:rsidRPr="005463E9" w:rsidRDefault="00011DE9">
            <w:pPr>
              <w:pStyle w:val="P68B1DB1-Normal13"/>
              <w:spacing w:after="0" w:line="240" w:lineRule="auto"/>
              <w:jc w:val="right"/>
              <w:rPr>
                <w:rFonts w:eastAsia="Times New Roman" w:cs="Times New Roman"/>
                <w:noProof/>
                <w:sz w:val="20"/>
                <w:szCs w:val="20"/>
              </w:rPr>
            </w:pPr>
            <w:r w:rsidRPr="005463E9">
              <w:rPr>
                <w:noProof/>
                <w:sz w:val="20"/>
                <w:szCs w:val="20"/>
              </w:rPr>
              <w:t xml:space="preserve"> </w:t>
            </w:r>
          </w:p>
        </w:tc>
        <w:tc>
          <w:tcPr>
            <w:tcW w:w="992" w:type="dxa"/>
            <w:shd w:val="clear" w:color="auto" w:fill="C6EFCE"/>
            <w:noWrap/>
          </w:tcPr>
          <w:p w14:paraId="3740187D" w14:textId="77777777" w:rsidR="00011DE9" w:rsidRPr="005463E9" w:rsidRDefault="00011DE9">
            <w:pPr>
              <w:pStyle w:val="P68B1DB1-Normal13"/>
              <w:spacing w:after="0" w:line="240" w:lineRule="auto"/>
              <w:jc w:val="right"/>
              <w:rPr>
                <w:rFonts w:eastAsia="Times New Roman" w:cs="Times New Roman"/>
                <w:noProof/>
                <w:sz w:val="20"/>
                <w:szCs w:val="20"/>
              </w:rPr>
            </w:pPr>
            <w:r w:rsidRPr="005463E9">
              <w:rPr>
                <w:noProof/>
                <w:sz w:val="20"/>
                <w:szCs w:val="20"/>
              </w:rPr>
              <w:t xml:space="preserve"> </w:t>
            </w:r>
          </w:p>
        </w:tc>
        <w:tc>
          <w:tcPr>
            <w:tcW w:w="997" w:type="dxa"/>
            <w:shd w:val="clear" w:color="auto" w:fill="C6EFCE"/>
            <w:noWrap/>
          </w:tcPr>
          <w:p w14:paraId="30F85292" w14:textId="77777777" w:rsidR="00011DE9" w:rsidRPr="005463E9" w:rsidRDefault="00011DE9">
            <w:pPr>
              <w:pStyle w:val="P68B1DB1-Normal13"/>
              <w:spacing w:after="0" w:line="240" w:lineRule="auto"/>
              <w:jc w:val="right"/>
              <w:rPr>
                <w:rFonts w:eastAsia="Times New Roman" w:cs="Times New Roman"/>
                <w:noProof/>
                <w:sz w:val="20"/>
                <w:szCs w:val="20"/>
              </w:rPr>
            </w:pPr>
            <w:r w:rsidRPr="005463E9">
              <w:rPr>
                <w:noProof/>
                <w:sz w:val="20"/>
                <w:szCs w:val="20"/>
              </w:rPr>
              <w:t xml:space="preserve"> </w:t>
            </w:r>
          </w:p>
        </w:tc>
        <w:tc>
          <w:tcPr>
            <w:tcW w:w="583" w:type="dxa"/>
            <w:shd w:val="clear" w:color="auto" w:fill="C6EFCE"/>
            <w:noWrap/>
          </w:tcPr>
          <w:p w14:paraId="418478BD" w14:textId="08F09B87" w:rsidR="00011DE9" w:rsidRPr="005463E9" w:rsidRDefault="005701C9">
            <w:pPr>
              <w:pStyle w:val="P68B1DB1-Normal13"/>
              <w:spacing w:after="0" w:line="240" w:lineRule="auto"/>
              <w:jc w:val="center"/>
              <w:rPr>
                <w:rFonts w:eastAsia="Times New Roman" w:cs="Times New Roman"/>
                <w:noProof/>
                <w:sz w:val="20"/>
                <w:szCs w:val="20"/>
              </w:rPr>
            </w:pPr>
            <w:r w:rsidRPr="005463E9">
              <w:rPr>
                <w:noProof/>
                <w:sz w:val="20"/>
                <w:szCs w:val="20"/>
              </w:rPr>
              <w:t>T4</w:t>
            </w:r>
          </w:p>
        </w:tc>
        <w:tc>
          <w:tcPr>
            <w:tcW w:w="709" w:type="dxa"/>
            <w:shd w:val="clear" w:color="auto" w:fill="C6EFCE"/>
            <w:noWrap/>
          </w:tcPr>
          <w:p w14:paraId="1218D25D" w14:textId="77777777" w:rsidR="00011DE9" w:rsidRPr="005463E9" w:rsidRDefault="00011DE9">
            <w:pPr>
              <w:pStyle w:val="P68B1DB1-Normal13"/>
              <w:spacing w:after="0" w:line="240" w:lineRule="auto"/>
              <w:jc w:val="center"/>
              <w:rPr>
                <w:rFonts w:eastAsia="Times New Roman" w:cs="Times New Roman"/>
                <w:noProof/>
                <w:sz w:val="20"/>
                <w:szCs w:val="20"/>
              </w:rPr>
            </w:pPr>
            <w:r w:rsidRPr="005463E9">
              <w:rPr>
                <w:noProof/>
                <w:sz w:val="20"/>
                <w:szCs w:val="20"/>
              </w:rPr>
              <w:t>2020</w:t>
            </w:r>
          </w:p>
        </w:tc>
        <w:tc>
          <w:tcPr>
            <w:tcW w:w="6079" w:type="dxa"/>
            <w:shd w:val="clear" w:color="auto" w:fill="C6EFCE"/>
            <w:noWrap/>
          </w:tcPr>
          <w:p w14:paraId="5D4AFC3F" w14:textId="77777777" w:rsidR="00011DE9" w:rsidRPr="005463E9" w:rsidRDefault="00011DE9">
            <w:pPr>
              <w:pStyle w:val="P68B1DB1-Normal13"/>
              <w:spacing w:after="0" w:line="240" w:lineRule="auto"/>
              <w:rPr>
                <w:rFonts w:eastAsia="Times New Roman" w:cs="Times New Roman"/>
                <w:noProof/>
                <w:sz w:val="20"/>
                <w:szCs w:val="20"/>
              </w:rPr>
            </w:pPr>
            <w:r w:rsidRPr="005463E9">
              <w:rPr>
                <w:noProof/>
                <w:sz w:val="20"/>
                <w:szCs w:val="20"/>
              </w:rPr>
              <w:t>Site-ul va colecta date privind turismul în Spania din diferite surse de statistici privind turismul, inclusiv de la organisme publice și private precum INE, Turespaña, Banca Spaniei, AENA sau RENFE, și va fi operațional.</w:t>
            </w:r>
          </w:p>
        </w:tc>
      </w:tr>
      <w:tr w:rsidR="00011DE9" w:rsidRPr="005463E9" w14:paraId="1DF49652" w14:textId="77777777" w:rsidTr="005463E9">
        <w:trPr>
          <w:trHeight w:val="881"/>
          <w:jc w:val="center"/>
        </w:trPr>
        <w:tc>
          <w:tcPr>
            <w:tcW w:w="709" w:type="dxa"/>
            <w:shd w:val="clear" w:color="auto" w:fill="C6EFCE"/>
            <w:noWrap/>
          </w:tcPr>
          <w:p w14:paraId="61D3079C"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216</w:t>
            </w:r>
          </w:p>
        </w:tc>
        <w:tc>
          <w:tcPr>
            <w:tcW w:w="851" w:type="dxa"/>
            <w:shd w:val="clear" w:color="auto" w:fill="C6EFCE"/>
            <w:noWrap/>
          </w:tcPr>
          <w:p w14:paraId="77D7DE75"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C14.R1</w:t>
            </w:r>
          </w:p>
        </w:tc>
        <w:tc>
          <w:tcPr>
            <w:tcW w:w="703" w:type="dxa"/>
            <w:shd w:val="clear" w:color="auto" w:fill="C6EFCE"/>
            <w:noWrap/>
          </w:tcPr>
          <w:p w14:paraId="2F7E3933"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M</w:t>
            </w:r>
          </w:p>
        </w:tc>
        <w:tc>
          <w:tcPr>
            <w:tcW w:w="1276" w:type="dxa"/>
            <w:shd w:val="clear" w:color="auto" w:fill="C6EFCE"/>
            <w:noWrap/>
          </w:tcPr>
          <w:p w14:paraId="18651566" w14:textId="77777777" w:rsidR="00011DE9" w:rsidRPr="005463E9" w:rsidRDefault="00011DE9">
            <w:pPr>
              <w:pStyle w:val="P68B1DB1-Normal13"/>
              <w:spacing w:after="0" w:line="240" w:lineRule="auto"/>
              <w:rPr>
                <w:rFonts w:cs="Times New Roman"/>
                <w:noProof/>
                <w:sz w:val="20"/>
                <w:szCs w:val="20"/>
              </w:rPr>
            </w:pPr>
            <w:r w:rsidRPr="005463E9">
              <w:rPr>
                <w:noProof/>
                <w:sz w:val="20"/>
                <w:szCs w:val="20"/>
              </w:rPr>
              <w:t xml:space="preserve">Intrarea în vigoare a Decretului regal de punere în aplicare a Fondului financiar de stat pentru competitivitatea turismului </w:t>
            </w:r>
          </w:p>
        </w:tc>
        <w:tc>
          <w:tcPr>
            <w:tcW w:w="1134" w:type="dxa"/>
            <w:shd w:val="clear" w:color="auto" w:fill="C6EFCE"/>
            <w:noWrap/>
          </w:tcPr>
          <w:p w14:paraId="78F2A28C" w14:textId="77777777" w:rsidR="00011DE9" w:rsidRPr="005463E9" w:rsidRDefault="00011DE9">
            <w:pPr>
              <w:pStyle w:val="P68B1DB1-Normal13"/>
              <w:spacing w:after="0" w:line="240" w:lineRule="auto"/>
              <w:rPr>
                <w:rFonts w:cs="Times New Roman"/>
                <w:noProof/>
                <w:sz w:val="20"/>
                <w:szCs w:val="20"/>
              </w:rPr>
            </w:pPr>
            <w:r w:rsidRPr="005463E9">
              <w:rPr>
                <w:noProof/>
                <w:sz w:val="20"/>
                <w:szCs w:val="20"/>
              </w:rPr>
              <w:t>Dispoziție din decretul regal care indică intrarea în vigoare a legii</w:t>
            </w:r>
          </w:p>
        </w:tc>
        <w:tc>
          <w:tcPr>
            <w:tcW w:w="851" w:type="dxa"/>
            <w:shd w:val="clear" w:color="auto" w:fill="C6EFCE"/>
            <w:noWrap/>
          </w:tcPr>
          <w:p w14:paraId="0F52D36B"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 xml:space="preserve"> </w:t>
            </w:r>
          </w:p>
        </w:tc>
        <w:tc>
          <w:tcPr>
            <w:tcW w:w="992" w:type="dxa"/>
            <w:shd w:val="clear" w:color="auto" w:fill="C6EFCE"/>
            <w:noWrap/>
          </w:tcPr>
          <w:p w14:paraId="77855B67"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 xml:space="preserve"> </w:t>
            </w:r>
          </w:p>
        </w:tc>
        <w:tc>
          <w:tcPr>
            <w:tcW w:w="997" w:type="dxa"/>
            <w:shd w:val="clear" w:color="auto" w:fill="C6EFCE"/>
            <w:noWrap/>
          </w:tcPr>
          <w:p w14:paraId="52106CB6"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 xml:space="preserve"> </w:t>
            </w:r>
          </w:p>
        </w:tc>
        <w:tc>
          <w:tcPr>
            <w:tcW w:w="583" w:type="dxa"/>
            <w:shd w:val="clear" w:color="auto" w:fill="C6EFCE"/>
            <w:noWrap/>
          </w:tcPr>
          <w:p w14:paraId="5B276A57" w14:textId="2802CF20" w:rsidR="00011DE9" w:rsidRPr="005463E9" w:rsidRDefault="005701C9">
            <w:pPr>
              <w:pStyle w:val="P68B1DB1-Normal13"/>
              <w:spacing w:after="0" w:line="240" w:lineRule="auto"/>
              <w:jc w:val="center"/>
              <w:rPr>
                <w:rFonts w:cs="Times New Roman"/>
                <w:noProof/>
                <w:sz w:val="20"/>
                <w:szCs w:val="20"/>
              </w:rPr>
            </w:pPr>
            <w:r w:rsidRPr="005463E9">
              <w:rPr>
                <w:noProof/>
                <w:sz w:val="20"/>
                <w:szCs w:val="20"/>
              </w:rPr>
              <w:t>T4</w:t>
            </w:r>
          </w:p>
        </w:tc>
        <w:tc>
          <w:tcPr>
            <w:tcW w:w="709" w:type="dxa"/>
            <w:shd w:val="clear" w:color="auto" w:fill="C6EFCE"/>
            <w:noWrap/>
          </w:tcPr>
          <w:p w14:paraId="12277ED9"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2021</w:t>
            </w:r>
          </w:p>
        </w:tc>
        <w:tc>
          <w:tcPr>
            <w:tcW w:w="6079" w:type="dxa"/>
            <w:shd w:val="clear" w:color="auto" w:fill="C6EFCE"/>
            <w:noWrap/>
          </w:tcPr>
          <w:p w14:paraId="103A0C3F" w14:textId="77777777" w:rsidR="00011DE9" w:rsidRPr="005463E9" w:rsidRDefault="00011DE9">
            <w:pPr>
              <w:pStyle w:val="P68B1DB1-Normal13"/>
              <w:spacing w:after="0" w:line="240" w:lineRule="auto"/>
              <w:rPr>
                <w:rFonts w:cs="Times New Roman"/>
                <w:noProof/>
                <w:sz w:val="20"/>
                <w:szCs w:val="20"/>
              </w:rPr>
            </w:pPr>
            <w:r w:rsidRPr="005463E9">
              <w:rPr>
                <w:noProof/>
                <w:sz w:val="20"/>
                <w:szCs w:val="20"/>
              </w:rPr>
              <w:t xml:space="preserve">Decretul regal de punere în aplicare a Fondului financiar de stat pentru competitivitatea turismului va îmbunătăți accesul la finanțare publică pentru întreprinderile din domeniul economiei circulare și al eficienței energetice. </w:t>
            </w:r>
          </w:p>
        </w:tc>
      </w:tr>
      <w:tr w:rsidR="00011DE9" w:rsidRPr="005463E9" w14:paraId="4E062457" w14:textId="77777777" w:rsidTr="005463E9">
        <w:trPr>
          <w:trHeight w:val="881"/>
          <w:jc w:val="center"/>
        </w:trPr>
        <w:tc>
          <w:tcPr>
            <w:tcW w:w="709" w:type="dxa"/>
            <w:shd w:val="clear" w:color="auto" w:fill="C6EFCE"/>
            <w:noWrap/>
          </w:tcPr>
          <w:p w14:paraId="4B377B90"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217</w:t>
            </w:r>
          </w:p>
        </w:tc>
        <w:tc>
          <w:tcPr>
            <w:tcW w:w="851" w:type="dxa"/>
            <w:shd w:val="clear" w:color="auto" w:fill="C6EFCE"/>
            <w:noWrap/>
          </w:tcPr>
          <w:p w14:paraId="2A8C30DC"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C14.I1</w:t>
            </w:r>
          </w:p>
        </w:tc>
        <w:tc>
          <w:tcPr>
            <w:tcW w:w="703" w:type="dxa"/>
            <w:shd w:val="clear" w:color="auto" w:fill="C6EFCE"/>
            <w:noWrap/>
          </w:tcPr>
          <w:p w14:paraId="5F3B30D3"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T</w:t>
            </w:r>
          </w:p>
        </w:tc>
        <w:tc>
          <w:tcPr>
            <w:tcW w:w="1276" w:type="dxa"/>
            <w:shd w:val="clear" w:color="auto" w:fill="C6EFCE"/>
            <w:noWrap/>
          </w:tcPr>
          <w:p w14:paraId="7CCD04BC" w14:textId="77777777" w:rsidR="00011DE9" w:rsidRPr="005463E9" w:rsidRDefault="00011DE9">
            <w:pPr>
              <w:pStyle w:val="P68B1DB1-Normal13"/>
              <w:spacing w:after="0" w:line="240" w:lineRule="auto"/>
              <w:rPr>
                <w:rFonts w:cs="Times New Roman"/>
                <w:noProof/>
                <w:sz w:val="20"/>
                <w:szCs w:val="20"/>
              </w:rPr>
            </w:pPr>
            <w:r w:rsidRPr="005463E9">
              <w:rPr>
                <w:noProof/>
                <w:sz w:val="20"/>
                <w:szCs w:val="20"/>
              </w:rPr>
              <w:t>Atribuirea bugetară a planurilor de promovare a sustenabilității turismului la destinație</w:t>
            </w:r>
          </w:p>
        </w:tc>
        <w:tc>
          <w:tcPr>
            <w:tcW w:w="1134" w:type="dxa"/>
            <w:shd w:val="clear" w:color="auto" w:fill="C6EFCE"/>
            <w:noWrap/>
          </w:tcPr>
          <w:p w14:paraId="603BAAB0"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w:t>
            </w:r>
          </w:p>
        </w:tc>
        <w:tc>
          <w:tcPr>
            <w:tcW w:w="851" w:type="dxa"/>
            <w:shd w:val="clear" w:color="auto" w:fill="C6EFCE"/>
            <w:noWrap/>
          </w:tcPr>
          <w:p w14:paraId="6C100EA8"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EUR (milioane)</w:t>
            </w:r>
          </w:p>
        </w:tc>
        <w:tc>
          <w:tcPr>
            <w:tcW w:w="992" w:type="dxa"/>
            <w:shd w:val="clear" w:color="auto" w:fill="C6EFCE"/>
            <w:noWrap/>
          </w:tcPr>
          <w:p w14:paraId="3F0F3260"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0</w:t>
            </w:r>
          </w:p>
        </w:tc>
        <w:tc>
          <w:tcPr>
            <w:tcW w:w="997" w:type="dxa"/>
            <w:shd w:val="clear" w:color="auto" w:fill="C6EFCE"/>
            <w:noWrap/>
          </w:tcPr>
          <w:p w14:paraId="450C63B8"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561</w:t>
            </w:r>
          </w:p>
        </w:tc>
        <w:tc>
          <w:tcPr>
            <w:tcW w:w="583" w:type="dxa"/>
            <w:shd w:val="clear" w:color="auto" w:fill="C6EFCE"/>
            <w:noWrap/>
          </w:tcPr>
          <w:p w14:paraId="075A5154" w14:textId="7A32FFBF" w:rsidR="00011DE9" w:rsidRPr="005463E9" w:rsidRDefault="005701C9">
            <w:pPr>
              <w:pStyle w:val="P68B1DB1-Normal13"/>
              <w:spacing w:after="0" w:line="240" w:lineRule="auto"/>
              <w:jc w:val="center"/>
              <w:rPr>
                <w:rFonts w:cs="Times New Roman"/>
                <w:noProof/>
                <w:sz w:val="20"/>
                <w:szCs w:val="20"/>
              </w:rPr>
            </w:pPr>
            <w:r w:rsidRPr="005463E9">
              <w:rPr>
                <w:noProof/>
                <w:sz w:val="20"/>
                <w:szCs w:val="20"/>
              </w:rPr>
              <w:t>T4</w:t>
            </w:r>
          </w:p>
        </w:tc>
        <w:tc>
          <w:tcPr>
            <w:tcW w:w="709" w:type="dxa"/>
            <w:shd w:val="clear" w:color="auto" w:fill="C6EFCE"/>
            <w:noWrap/>
          </w:tcPr>
          <w:p w14:paraId="2EEEC1EF"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2021</w:t>
            </w:r>
          </w:p>
        </w:tc>
        <w:tc>
          <w:tcPr>
            <w:tcW w:w="6079" w:type="dxa"/>
            <w:shd w:val="clear" w:color="auto" w:fill="C6EFCE"/>
            <w:noWrap/>
          </w:tcPr>
          <w:p w14:paraId="1892AD11" w14:textId="043B9AE4" w:rsidR="00011DE9" w:rsidRPr="005463E9" w:rsidRDefault="00011DE9">
            <w:pPr>
              <w:pStyle w:val="P68B1DB1-Normal5"/>
              <w:spacing w:after="0" w:line="240" w:lineRule="auto"/>
              <w:rPr>
                <w:rFonts w:cs="Arial"/>
                <w:b w:val="0"/>
                <w:smallCaps w:val="0"/>
                <w:noProof/>
                <w:kern w:val="2"/>
                <w:sz w:val="20"/>
                <w:szCs w:val="20"/>
                <w14:ligatures w14:val="standardContextual"/>
              </w:rPr>
            </w:pPr>
            <w:r w:rsidRPr="005463E9">
              <w:rPr>
                <w:rFonts w:cs="Arial"/>
                <w:b w:val="0"/>
                <w:smallCaps w:val="0"/>
                <w:noProof/>
                <w:kern w:val="2"/>
                <w:sz w:val="20"/>
                <w:szCs w:val="20"/>
                <w14:ligatures w14:val="standardContextual"/>
              </w:rPr>
              <w:t>Publicarea în JO a acordării de sprijin autorităților locale pentru punerea în aplicare a „Planurilor teritoriale pentru durabilitatea turismului la destinație”, în valoare de cel puțin 561</w:t>
            </w:r>
            <w:r w:rsidR="00971820" w:rsidRPr="005463E9">
              <w:rPr>
                <w:rFonts w:cs="Arial"/>
                <w:b w:val="0"/>
                <w:smallCaps w:val="0"/>
                <w:noProof/>
                <w:kern w:val="2"/>
                <w:sz w:val="20"/>
                <w:szCs w:val="20"/>
                <w14:ligatures w14:val="standardContextual"/>
              </w:rPr>
              <w:t xml:space="preserve"> </w:t>
            </w:r>
            <w:r w:rsidRPr="005463E9">
              <w:rPr>
                <w:rFonts w:cs="Arial"/>
                <w:b w:val="0"/>
                <w:smallCaps w:val="0"/>
                <w:noProof/>
                <w:kern w:val="2"/>
                <w:sz w:val="20"/>
                <w:szCs w:val="20"/>
                <w14:ligatures w14:val="standardContextual"/>
              </w:rPr>
              <w:t>000 000 EUR și cu 35 % din fonduri pentru măsuri care vizează tranziția verde, durabilitatea și eficiența energetică/electromobilitatea la destinații. Criteriile de selecție vor asigura conformitatea cu Orientările tehnice de „a nu prejudicia în mod semnificativ” (2021/C58/01) prin utilizarea unei liste de excludere și a cerinței de conformitate cu legislația UE și națională relevantă în materie de mediu. Criteriile de selecție asigură faptul că, din bugetul total final acordat pentru măsură, cel puțin 359 000 000 EUR din această măsură contribuie la obiectivele privind schimbările climatice cu un coeficient climatic de 100 % și cel puțin 519 000 000 EUR cu un coeficient climatic de 40 %, în conformitate cu anexa VI la Regulamentul (UE) 2021/241 privind Mecanismul de redresare și reziliență. Alternativ, criteriile de selecție asigură faptul că cel puțin 1 788 de milioane EUR contribuie la obiectivele privind schimbările climatice cu un coeficient climatic mediu de cel puțin 31,7 % în conformitate cu anexa VI la Regulamentul (UE) 2021/241 al Parlamentului European și al Consiliului. Această rată medie a contribuției poate fi atinsă pe baza domeniilor de intervenție stabilite în anexa VI la Regulamentul (UE) 2021/241.</w:t>
            </w:r>
          </w:p>
        </w:tc>
      </w:tr>
      <w:tr w:rsidR="00011DE9" w:rsidRPr="005463E9" w14:paraId="427DBFC2" w14:textId="77777777" w:rsidTr="005463E9">
        <w:trPr>
          <w:trHeight w:val="881"/>
          <w:jc w:val="center"/>
        </w:trPr>
        <w:tc>
          <w:tcPr>
            <w:tcW w:w="709" w:type="dxa"/>
            <w:shd w:val="clear" w:color="auto" w:fill="C6EFCE"/>
            <w:noWrap/>
          </w:tcPr>
          <w:p w14:paraId="5CACFC2A"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218</w:t>
            </w:r>
          </w:p>
        </w:tc>
        <w:tc>
          <w:tcPr>
            <w:tcW w:w="851" w:type="dxa"/>
            <w:shd w:val="clear" w:color="auto" w:fill="C6EFCE"/>
            <w:noWrap/>
          </w:tcPr>
          <w:p w14:paraId="7352B9F0"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C14.I1</w:t>
            </w:r>
          </w:p>
        </w:tc>
        <w:tc>
          <w:tcPr>
            <w:tcW w:w="703" w:type="dxa"/>
            <w:shd w:val="clear" w:color="auto" w:fill="C6EFCE"/>
            <w:noWrap/>
          </w:tcPr>
          <w:p w14:paraId="47B40E7E"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T</w:t>
            </w:r>
          </w:p>
        </w:tc>
        <w:tc>
          <w:tcPr>
            <w:tcW w:w="1276" w:type="dxa"/>
            <w:shd w:val="clear" w:color="auto" w:fill="C6EFCE"/>
            <w:noWrap/>
          </w:tcPr>
          <w:p w14:paraId="619CDD99" w14:textId="77777777" w:rsidR="00011DE9" w:rsidRPr="005463E9" w:rsidRDefault="00011DE9">
            <w:pPr>
              <w:pStyle w:val="P68B1DB1-Normal13"/>
              <w:spacing w:after="0" w:line="240" w:lineRule="auto"/>
              <w:rPr>
                <w:rFonts w:cs="Times New Roman"/>
                <w:noProof/>
                <w:sz w:val="20"/>
                <w:szCs w:val="20"/>
              </w:rPr>
            </w:pPr>
            <w:r w:rsidRPr="005463E9">
              <w:rPr>
                <w:noProof/>
                <w:sz w:val="20"/>
                <w:szCs w:val="20"/>
              </w:rPr>
              <w:t>Atribuirea bugetară a planurilor de promovare a sustenabilității turismului la destinație</w:t>
            </w:r>
          </w:p>
        </w:tc>
        <w:tc>
          <w:tcPr>
            <w:tcW w:w="1134" w:type="dxa"/>
            <w:shd w:val="clear" w:color="auto" w:fill="C6EFCE"/>
            <w:noWrap/>
          </w:tcPr>
          <w:p w14:paraId="59EE3103"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w:t>
            </w:r>
          </w:p>
        </w:tc>
        <w:tc>
          <w:tcPr>
            <w:tcW w:w="851" w:type="dxa"/>
            <w:shd w:val="clear" w:color="auto" w:fill="C6EFCE"/>
            <w:noWrap/>
          </w:tcPr>
          <w:p w14:paraId="21DB38A7"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EUR (milioane)</w:t>
            </w:r>
          </w:p>
        </w:tc>
        <w:tc>
          <w:tcPr>
            <w:tcW w:w="992" w:type="dxa"/>
            <w:shd w:val="clear" w:color="auto" w:fill="C6EFCE"/>
            <w:noWrap/>
          </w:tcPr>
          <w:p w14:paraId="72191C1B"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561</w:t>
            </w:r>
          </w:p>
        </w:tc>
        <w:tc>
          <w:tcPr>
            <w:tcW w:w="997" w:type="dxa"/>
            <w:shd w:val="clear" w:color="auto" w:fill="C6EFCE"/>
            <w:noWrap/>
          </w:tcPr>
          <w:p w14:paraId="485835EA"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1 173</w:t>
            </w:r>
          </w:p>
        </w:tc>
        <w:tc>
          <w:tcPr>
            <w:tcW w:w="583" w:type="dxa"/>
            <w:shd w:val="clear" w:color="auto" w:fill="C6EFCE"/>
            <w:noWrap/>
          </w:tcPr>
          <w:p w14:paraId="7B192074" w14:textId="01BBDA80" w:rsidR="00011DE9" w:rsidRPr="005463E9" w:rsidRDefault="005701C9">
            <w:pPr>
              <w:pStyle w:val="P68B1DB1-Normal13"/>
              <w:spacing w:after="0" w:line="240" w:lineRule="auto"/>
              <w:jc w:val="center"/>
              <w:rPr>
                <w:rFonts w:cs="Times New Roman"/>
                <w:noProof/>
                <w:sz w:val="20"/>
                <w:szCs w:val="20"/>
              </w:rPr>
            </w:pPr>
            <w:r w:rsidRPr="005463E9">
              <w:rPr>
                <w:noProof/>
                <w:sz w:val="20"/>
                <w:szCs w:val="20"/>
              </w:rPr>
              <w:t>T4</w:t>
            </w:r>
          </w:p>
        </w:tc>
        <w:tc>
          <w:tcPr>
            <w:tcW w:w="709" w:type="dxa"/>
            <w:shd w:val="clear" w:color="auto" w:fill="C6EFCE"/>
            <w:noWrap/>
          </w:tcPr>
          <w:p w14:paraId="0DFF092A"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2022</w:t>
            </w:r>
          </w:p>
        </w:tc>
        <w:tc>
          <w:tcPr>
            <w:tcW w:w="6079" w:type="dxa"/>
            <w:shd w:val="clear" w:color="auto" w:fill="C6EFCE"/>
            <w:noWrap/>
          </w:tcPr>
          <w:p w14:paraId="0C0F5006" w14:textId="77777777" w:rsidR="00011DE9" w:rsidRPr="005463E9" w:rsidRDefault="00011DE9">
            <w:pPr>
              <w:pStyle w:val="P68B1DB1-Normal5"/>
              <w:spacing w:after="0" w:line="240" w:lineRule="auto"/>
              <w:rPr>
                <w:rFonts w:cs="Arial"/>
                <w:b w:val="0"/>
                <w:smallCaps w:val="0"/>
                <w:noProof/>
                <w:kern w:val="2"/>
                <w:sz w:val="20"/>
                <w:szCs w:val="20"/>
                <w14:ligatures w14:val="standardContextual"/>
              </w:rPr>
            </w:pPr>
            <w:r w:rsidRPr="005463E9">
              <w:rPr>
                <w:rFonts w:cs="Arial"/>
                <w:b w:val="0"/>
                <w:smallCaps w:val="0"/>
                <w:noProof/>
                <w:kern w:val="2"/>
                <w:sz w:val="20"/>
                <w:szCs w:val="20"/>
                <w14:ligatures w14:val="standardContextual"/>
              </w:rPr>
              <w:t>Publicarea în JO a acordării de sprijin autorităților locale pentru punerea în aplicare a „Planurilor teritoriale pentru durabilitatea turismului la destinație”, în valoare de cel puțin 1 173 000 000 EUR (referință: 31 decembrie 2021) și cu 35 % din fonduri pentru măsuri care vizează tranziția verde, durabilitatea și eficiența energetică/electromobilitatea la destinații. Criteriile de selecție asigură conformitatea cu Orientările tehnice de „a nu prejudicia în mod semnificativ” (2021/C58/01) prin utilizarea unei liste de excludere și a cerinței de conformitate cu legislația UE și națională relevantă în materie de mediu. Criteriile de selecție asigură faptul că, din bugetul total final acordat pentru măsură, cel puțin 359 000 000 EUR din această măsură contribuie la obiectivele privind schimbările climatice cu un coeficient climatic de 100 % și cel puțin 519 000 000 EUR cu un coeficient climatic de 40 %, în conformitate cu anexa VI la Regulamentul (UE) 2021/241 privind Mecanismul de redresare și reziliență. Alternativ, criteriile de selecție asigură faptul că cel puțin 1 788.6 de milioane EUR contribuie la obiectivele privind schimbările climatice cu un coeficient climatic mediu de cel puțin 31,7 % în conformitate cu anexa VI la Regulamentul (UE) 2021/241 al Parlamentului European și al Consiliului. Această rată medie a contribuției poate fi atinsă pe baza domeniilor de intervenție stabilite în anexa VI la Regulamentul (UE) 2021/241.</w:t>
            </w:r>
          </w:p>
        </w:tc>
      </w:tr>
      <w:tr w:rsidR="00011DE9" w:rsidRPr="005463E9" w14:paraId="37721757" w14:textId="77777777" w:rsidTr="005463E9">
        <w:trPr>
          <w:trHeight w:val="881"/>
          <w:jc w:val="center"/>
        </w:trPr>
        <w:tc>
          <w:tcPr>
            <w:tcW w:w="709" w:type="dxa"/>
            <w:shd w:val="clear" w:color="auto" w:fill="C6EFCE"/>
            <w:noWrap/>
          </w:tcPr>
          <w:p w14:paraId="6D325D8D"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219</w:t>
            </w:r>
          </w:p>
        </w:tc>
        <w:tc>
          <w:tcPr>
            <w:tcW w:w="851" w:type="dxa"/>
            <w:shd w:val="clear" w:color="auto" w:fill="C6EFCE"/>
            <w:noWrap/>
          </w:tcPr>
          <w:p w14:paraId="403BCF87"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C14.I1</w:t>
            </w:r>
          </w:p>
        </w:tc>
        <w:tc>
          <w:tcPr>
            <w:tcW w:w="703" w:type="dxa"/>
            <w:shd w:val="clear" w:color="auto" w:fill="C6EFCE"/>
            <w:noWrap/>
          </w:tcPr>
          <w:p w14:paraId="519537B2"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T</w:t>
            </w:r>
          </w:p>
        </w:tc>
        <w:tc>
          <w:tcPr>
            <w:tcW w:w="1276" w:type="dxa"/>
            <w:shd w:val="clear" w:color="auto" w:fill="C6EFCE"/>
            <w:noWrap/>
          </w:tcPr>
          <w:p w14:paraId="648696B5" w14:textId="77777777" w:rsidR="00011DE9" w:rsidRPr="005463E9" w:rsidRDefault="00011DE9">
            <w:pPr>
              <w:pStyle w:val="P68B1DB1-Normal13"/>
              <w:spacing w:after="0" w:line="240" w:lineRule="auto"/>
              <w:rPr>
                <w:rFonts w:cs="Times New Roman"/>
                <w:noProof/>
                <w:sz w:val="20"/>
                <w:szCs w:val="20"/>
              </w:rPr>
            </w:pPr>
            <w:r w:rsidRPr="005463E9">
              <w:rPr>
                <w:noProof/>
                <w:sz w:val="20"/>
                <w:szCs w:val="20"/>
              </w:rPr>
              <w:t>Atribuirea bugetară a planurilor de promovare a sustenabilității turismului la destinație</w:t>
            </w:r>
          </w:p>
        </w:tc>
        <w:tc>
          <w:tcPr>
            <w:tcW w:w="1134" w:type="dxa"/>
            <w:shd w:val="clear" w:color="auto" w:fill="C6EFCE"/>
            <w:noWrap/>
          </w:tcPr>
          <w:p w14:paraId="1A507EF0"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w:t>
            </w:r>
          </w:p>
        </w:tc>
        <w:tc>
          <w:tcPr>
            <w:tcW w:w="851" w:type="dxa"/>
            <w:shd w:val="clear" w:color="auto" w:fill="C6EFCE"/>
            <w:noWrap/>
          </w:tcPr>
          <w:p w14:paraId="1D228738"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EUR (milioane)</w:t>
            </w:r>
          </w:p>
        </w:tc>
        <w:tc>
          <w:tcPr>
            <w:tcW w:w="992" w:type="dxa"/>
            <w:shd w:val="clear" w:color="auto" w:fill="C6EFCE"/>
            <w:noWrap/>
          </w:tcPr>
          <w:p w14:paraId="50AA3480"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1 173</w:t>
            </w:r>
          </w:p>
        </w:tc>
        <w:tc>
          <w:tcPr>
            <w:tcW w:w="997" w:type="dxa"/>
            <w:shd w:val="clear" w:color="auto" w:fill="C6EFCE"/>
            <w:noWrap/>
          </w:tcPr>
          <w:p w14:paraId="2CAD0571"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 xml:space="preserve">1 788,6 </w:t>
            </w:r>
          </w:p>
        </w:tc>
        <w:tc>
          <w:tcPr>
            <w:tcW w:w="583" w:type="dxa"/>
            <w:shd w:val="clear" w:color="auto" w:fill="C6EFCE"/>
            <w:noWrap/>
          </w:tcPr>
          <w:p w14:paraId="04B68BF5" w14:textId="5B3CA166" w:rsidR="00011DE9" w:rsidRPr="005463E9" w:rsidRDefault="005701C9">
            <w:pPr>
              <w:pStyle w:val="P68B1DB1-Normal13"/>
              <w:spacing w:after="0" w:line="240" w:lineRule="auto"/>
              <w:jc w:val="center"/>
              <w:rPr>
                <w:rFonts w:cs="Times New Roman"/>
                <w:noProof/>
                <w:sz w:val="20"/>
                <w:szCs w:val="20"/>
              </w:rPr>
            </w:pPr>
            <w:r w:rsidRPr="005463E9">
              <w:rPr>
                <w:noProof/>
                <w:sz w:val="20"/>
                <w:szCs w:val="20"/>
              </w:rPr>
              <w:t>T2</w:t>
            </w:r>
          </w:p>
        </w:tc>
        <w:tc>
          <w:tcPr>
            <w:tcW w:w="709" w:type="dxa"/>
            <w:shd w:val="clear" w:color="auto" w:fill="C6EFCE"/>
            <w:noWrap/>
          </w:tcPr>
          <w:p w14:paraId="6A23E98D"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2023</w:t>
            </w:r>
          </w:p>
        </w:tc>
        <w:tc>
          <w:tcPr>
            <w:tcW w:w="6079" w:type="dxa"/>
            <w:shd w:val="clear" w:color="auto" w:fill="C6EFCE"/>
            <w:noWrap/>
          </w:tcPr>
          <w:p w14:paraId="7EC3C539" w14:textId="77777777" w:rsidR="00011DE9" w:rsidRPr="005463E9" w:rsidRDefault="00011DE9">
            <w:pPr>
              <w:pStyle w:val="P68B1DB1-Normal5"/>
              <w:spacing w:after="0" w:line="240" w:lineRule="auto"/>
              <w:rPr>
                <w:rFonts w:cs="Arial"/>
                <w:b w:val="0"/>
                <w:smallCaps w:val="0"/>
                <w:noProof/>
                <w:kern w:val="2"/>
                <w:sz w:val="20"/>
                <w:szCs w:val="20"/>
                <w14:ligatures w14:val="standardContextual"/>
              </w:rPr>
            </w:pPr>
            <w:r w:rsidRPr="005463E9">
              <w:rPr>
                <w:rFonts w:cs="Arial"/>
                <w:b w:val="0"/>
                <w:smallCaps w:val="0"/>
                <w:noProof/>
                <w:kern w:val="2"/>
                <w:sz w:val="20"/>
                <w:szCs w:val="20"/>
                <w14:ligatures w14:val="standardContextual"/>
              </w:rPr>
              <w:t>Publicarea în JO a acordării de sprijin autorităților locale pentru punerea în aplicare a „Planurilor teritoriale pentru durabilitatea turismului la destinație pentru o sumă de cel puțin 1 788 600 000 EUR (referință: 31 decembrie 2022) și cu 35 % din fonduri pentru măsuri care vizează tranziția verde, durabilitatea și eficiența energetică/electromobilitatea în destinații. Criteriile de selecție asigură conformitatea cu Orientările tehnice de „a nu prejudicia în mod semnificativ” (2021/C58/01) prin utilizarea unei liste de excludere și a cerinței de conformitate cu legislația UE și națională relevantă în materie de mediu. Criteriile de selecție asigură faptul că, din bugetul total final acordat pentru măsură, cel puțin 359 000 000 EUR din această măsură contribuie la obiectivele privind schimbările climatice cu un coeficient climatic de 100 % și cel puțin 519 000 000 EUR cu un coeficient climatic de 40 %, în conformitate cu anexa VI la Regulamentul (UE) 2021/241 privind Mecanismul de redresare și reziliență. Alternativ, criteriile de selecție asigură faptul că cel puțin 1 788.6 de milioane EUR contribuie la obiectivele privind schimbările climatice cu un coeficient climatic mediu de cel puțin 31,7 % în conformitate cu anexa VI la Regulamentul (UE) 2021/241 al Parlamentului European și al Consiliului. Această rată medie a contribuției poate fi atinsă pe baza domeniilor de intervenție stabilite în anexa VI la Regulamentul (UE) 2021/241.</w:t>
            </w:r>
          </w:p>
        </w:tc>
      </w:tr>
      <w:tr w:rsidR="00011DE9" w:rsidRPr="005463E9" w14:paraId="6FC09548" w14:textId="77777777" w:rsidTr="005463E9">
        <w:trPr>
          <w:trHeight w:val="881"/>
          <w:jc w:val="center"/>
        </w:trPr>
        <w:tc>
          <w:tcPr>
            <w:tcW w:w="709" w:type="dxa"/>
            <w:shd w:val="clear" w:color="auto" w:fill="C6EFCE"/>
            <w:noWrap/>
          </w:tcPr>
          <w:p w14:paraId="2EF6335B"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221</w:t>
            </w:r>
          </w:p>
        </w:tc>
        <w:tc>
          <w:tcPr>
            <w:tcW w:w="851" w:type="dxa"/>
            <w:shd w:val="clear" w:color="auto" w:fill="C6EFCE"/>
            <w:noWrap/>
          </w:tcPr>
          <w:p w14:paraId="361D003A"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C14.I1</w:t>
            </w:r>
          </w:p>
        </w:tc>
        <w:tc>
          <w:tcPr>
            <w:tcW w:w="703" w:type="dxa"/>
            <w:shd w:val="clear" w:color="auto" w:fill="C6EFCE"/>
            <w:noWrap/>
          </w:tcPr>
          <w:p w14:paraId="119E8691"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M</w:t>
            </w:r>
          </w:p>
        </w:tc>
        <w:tc>
          <w:tcPr>
            <w:tcW w:w="1276" w:type="dxa"/>
            <w:shd w:val="clear" w:color="auto" w:fill="C6EFCE"/>
            <w:noWrap/>
          </w:tcPr>
          <w:p w14:paraId="099D25D2" w14:textId="77777777" w:rsidR="00011DE9" w:rsidRPr="005463E9" w:rsidRDefault="00011DE9">
            <w:pPr>
              <w:pStyle w:val="P68B1DB1-Normal13"/>
              <w:spacing w:after="0" w:line="240" w:lineRule="auto"/>
              <w:rPr>
                <w:rFonts w:cs="Times New Roman"/>
                <w:noProof/>
                <w:sz w:val="20"/>
                <w:szCs w:val="20"/>
              </w:rPr>
            </w:pPr>
            <w:r w:rsidRPr="005463E9">
              <w:rPr>
                <w:noProof/>
                <w:sz w:val="20"/>
                <w:szCs w:val="20"/>
              </w:rPr>
              <w:t>Acțiuni legate de „Planurile teritoriale pentru sustenabilitatea turismului la destinație”</w:t>
            </w:r>
          </w:p>
        </w:tc>
        <w:tc>
          <w:tcPr>
            <w:tcW w:w="1134" w:type="dxa"/>
            <w:shd w:val="clear" w:color="auto" w:fill="C6EFCE"/>
            <w:noWrap/>
          </w:tcPr>
          <w:p w14:paraId="6CC0A528" w14:textId="77777777" w:rsidR="00011DE9" w:rsidRPr="005463E9" w:rsidRDefault="00011DE9">
            <w:pPr>
              <w:pStyle w:val="P68B1DB1-Normal13"/>
              <w:spacing w:after="0" w:line="240" w:lineRule="auto"/>
              <w:rPr>
                <w:i/>
                <w:iCs/>
                <w:noProof/>
                <w:sz w:val="20"/>
                <w:szCs w:val="20"/>
              </w:rPr>
            </w:pPr>
            <w:r w:rsidRPr="005463E9">
              <w:rPr>
                <w:noProof/>
                <w:sz w:val="20"/>
                <w:szCs w:val="20"/>
              </w:rPr>
              <w:t>Rapoartele finale privind plățile aferente granturilor; sau certificate de recepție, declarații de conformitate, certificate de finalizare a lucrărilor sau echivalente care atestă executarea contractelor</w:t>
            </w:r>
          </w:p>
          <w:p w14:paraId="358CCE64" w14:textId="77777777" w:rsidR="00011DE9" w:rsidRPr="005463E9" w:rsidRDefault="00011DE9">
            <w:pPr>
              <w:spacing w:after="0" w:line="240" w:lineRule="auto"/>
              <w:rPr>
                <w:rFonts w:ascii="Times New Roman" w:eastAsia="Calibri" w:hAnsi="Times New Roman" w:cs="Times New Roman"/>
                <w:noProof/>
                <w:kern w:val="0"/>
                <w:sz w:val="20"/>
                <w:szCs w:val="20"/>
                <w14:ligatures w14:val="none"/>
              </w:rPr>
            </w:pPr>
          </w:p>
        </w:tc>
        <w:tc>
          <w:tcPr>
            <w:tcW w:w="851" w:type="dxa"/>
            <w:shd w:val="clear" w:color="auto" w:fill="C6EFCE"/>
            <w:noWrap/>
          </w:tcPr>
          <w:p w14:paraId="75D6AAAA"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 xml:space="preserve"> </w:t>
            </w:r>
          </w:p>
        </w:tc>
        <w:tc>
          <w:tcPr>
            <w:tcW w:w="992" w:type="dxa"/>
            <w:shd w:val="clear" w:color="auto" w:fill="C6EFCE"/>
            <w:noWrap/>
          </w:tcPr>
          <w:p w14:paraId="475E41E1"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 xml:space="preserve"> </w:t>
            </w:r>
          </w:p>
        </w:tc>
        <w:tc>
          <w:tcPr>
            <w:tcW w:w="997" w:type="dxa"/>
            <w:shd w:val="clear" w:color="auto" w:fill="C6EFCE"/>
            <w:noWrap/>
          </w:tcPr>
          <w:p w14:paraId="061233FA"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 xml:space="preserve"> </w:t>
            </w:r>
          </w:p>
        </w:tc>
        <w:tc>
          <w:tcPr>
            <w:tcW w:w="583" w:type="dxa"/>
            <w:shd w:val="clear" w:color="auto" w:fill="C6EFCE"/>
            <w:noWrap/>
          </w:tcPr>
          <w:p w14:paraId="0360AC21" w14:textId="2951DEAE" w:rsidR="00011DE9" w:rsidRPr="005463E9" w:rsidRDefault="005701C9">
            <w:pPr>
              <w:pStyle w:val="P68B1DB1-Normal13"/>
              <w:spacing w:after="0" w:line="240" w:lineRule="auto"/>
              <w:jc w:val="center"/>
              <w:rPr>
                <w:rFonts w:cs="Times New Roman"/>
                <w:noProof/>
                <w:sz w:val="20"/>
                <w:szCs w:val="20"/>
              </w:rPr>
            </w:pPr>
            <w:r w:rsidRPr="005463E9">
              <w:rPr>
                <w:noProof/>
                <w:sz w:val="20"/>
                <w:szCs w:val="20"/>
              </w:rPr>
              <w:t>T2</w:t>
            </w:r>
          </w:p>
        </w:tc>
        <w:tc>
          <w:tcPr>
            <w:tcW w:w="709" w:type="dxa"/>
            <w:shd w:val="clear" w:color="auto" w:fill="C6EFCE"/>
            <w:noWrap/>
          </w:tcPr>
          <w:p w14:paraId="2EB82B35"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2026</w:t>
            </w:r>
          </w:p>
        </w:tc>
        <w:tc>
          <w:tcPr>
            <w:tcW w:w="6079" w:type="dxa"/>
            <w:shd w:val="clear" w:color="auto" w:fill="C6EFCE"/>
            <w:noWrap/>
          </w:tcPr>
          <w:p w14:paraId="6A5E5316" w14:textId="77777777" w:rsidR="00011DE9" w:rsidRPr="005463E9" w:rsidRDefault="00011DE9" w:rsidP="005463E9">
            <w:pPr>
              <w:pStyle w:val="P68B1DB1-Normal5"/>
              <w:spacing w:after="0" w:line="240" w:lineRule="auto"/>
              <w:rPr>
                <w:rFonts w:cs="Arial"/>
                <w:b w:val="0"/>
                <w:smallCaps w:val="0"/>
                <w:noProof/>
                <w:kern w:val="2"/>
                <w:sz w:val="20"/>
                <w:szCs w:val="20"/>
                <w14:ligatures w14:val="standardContextual"/>
              </w:rPr>
            </w:pPr>
            <w:r w:rsidRPr="005463E9">
              <w:rPr>
                <w:rFonts w:cs="Arial"/>
                <w:b w:val="0"/>
                <w:smallCaps w:val="0"/>
                <w:noProof/>
                <w:kern w:val="2"/>
                <w:sz w:val="20"/>
                <w:szCs w:val="20"/>
                <w14:ligatures w14:val="standardContextual"/>
              </w:rPr>
              <w:t>Rapoartele finale care confirmă finalizarea activităților atribuite au fost prezentate de entități sau persoane beneficiare pentru granturi legate de „Planurile teritoriale pentru durabilitatea turismului la destinație” sau confirmarea de către administrație a executării contractelor legate de „Planurile teritoriale pentru durabilitatea turismului la destinație” sau furnizarea de certificate de finalizare a lucrărilor legate de „Planurile teritoriale pentru durabilitatea turismului la destinație”, pentru un număr total cumulat de 4 200 de acțiuni.</w:t>
            </w:r>
          </w:p>
          <w:p w14:paraId="3FA67418" w14:textId="77777777" w:rsidR="00011DE9" w:rsidRPr="005463E9" w:rsidRDefault="00011DE9" w:rsidP="005463E9">
            <w:pPr>
              <w:pStyle w:val="P68B1DB1-Normal5"/>
              <w:spacing w:after="0" w:line="240" w:lineRule="auto"/>
              <w:rPr>
                <w:rFonts w:cs="Arial"/>
                <w:b w:val="0"/>
                <w:smallCaps w:val="0"/>
                <w:noProof/>
                <w:kern w:val="2"/>
                <w:sz w:val="20"/>
                <w:szCs w:val="20"/>
                <w14:ligatures w14:val="standardContextual"/>
              </w:rPr>
            </w:pPr>
          </w:p>
        </w:tc>
      </w:tr>
      <w:tr w:rsidR="00011DE9" w:rsidRPr="005463E9" w14:paraId="56C429FF" w14:textId="77777777" w:rsidTr="005463E9">
        <w:trPr>
          <w:trHeight w:val="881"/>
          <w:jc w:val="center"/>
        </w:trPr>
        <w:tc>
          <w:tcPr>
            <w:tcW w:w="709" w:type="dxa"/>
            <w:shd w:val="clear" w:color="auto" w:fill="C6EFCE"/>
            <w:noWrap/>
          </w:tcPr>
          <w:p w14:paraId="4A2BDFD2"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222</w:t>
            </w:r>
          </w:p>
        </w:tc>
        <w:tc>
          <w:tcPr>
            <w:tcW w:w="851" w:type="dxa"/>
            <w:shd w:val="clear" w:color="auto" w:fill="C6EFCE"/>
            <w:noWrap/>
          </w:tcPr>
          <w:p w14:paraId="10364E17"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C14.I2</w:t>
            </w:r>
          </w:p>
        </w:tc>
        <w:tc>
          <w:tcPr>
            <w:tcW w:w="703" w:type="dxa"/>
            <w:shd w:val="clear" w:color="auto" w:fill="C6EFCE"/>
            <w:noWrap/>
          </w:tcPr>
          <w:p w14:paraId="0E5E70D2"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M</w:t>
            </w:r>
          </w:p>
        </w:tc>
        <w:tc>
          <w:tcPr>
            <w:tcW w:w="1276" w:type="dxa"/>
            <w:shd w:val="clear" w:color="auto" w:fill="C6EFCE"/>
            <w:noWrap/>
          </w:tcPr>
          <w:p w14:paraId="581ADF0F" w14:textId="77777777" w:rsidR="00011DE9" w:rsidRPr="005463E9" w:rsidRDefault="00011DE9">
            <w:pPr>
              <w:pStyle w:val="P68B1DB1-Normal13"/>
              <w:spacing w:after="0" w:line="240" w:lineRule="auto"/>
              <w:rPr>
                <w:rFonts w:cs="Times New Roman"/>
                <w:noProof/>
                <w:sz w:val="20"/>
                <w:szCs w:val="20"/>
              </w:rPr>
            </w:pPr>
            <w:r w:rsidRPr="005463E9">
              <w:rPr>
                <w:noProof/>
                <w:sz w:val="20"/>
                <w:szCs w:val="20"/>
              </w:rPr>
              <w:t>Platforma „Destinație inteligentă” este online</w:t>
            </w:r>
          </w:p>
        </w:tc>
        <w:tc>
          <w:tcPr>
            <w:tcW w:w="1134" w:type="dxa"/>
            <w:shd w:val="clear" w:color="auto" w:fill="C6EFCE"/>
            <w:noWrap/>
          </w:tcPr>
          <w:p w14:paraId="19EC3A30" w14:textId="77777777" w:rsidR="00011DE9" w:rsidRPr="005463E9" w:rsidRDefault="00011DE9">
            <w:pPr>
              <w:pStyle w:val="P68B1DB1-Normal13"/>
              <w:spacing w:after="0" w:line="240" w:lineRule="auto"/>
              <w:rPr>
                <w:rFonts w:cs="Times New Roman"/>
                <w:noProof/>
                <w:sz w:val="20"/>
                <w:szCs w:val="20"/>
              </w:rPr>
            </w:pPr>
            <w:r w:rsidRPr="005463E9">
              <w:rPr>
                <w:noProof/>
                <w:sz w:val="20"/>
                <w:szCs w:val="20"/>
              </w:rPr>
              <w:t>Link către platformă</w:t>
            </w:r>
          </w:p>
        </w:tc>
        <w:tc>
          <w:tcPr>
            <w:tcW w:w="851" w:type="dxa"/>
            <w:shd w:val="clear" w:color="auto" w:fill="C6EFCE"/>
            <w:noWrap/>
          </w:tcPr>
          <w:p w14:paraId="168100F5"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 xml:space="preserve"> </w:t>
            </w:r>
          </w:p>
        </w:tc>
        <w:tc>
          <w:tcPr>
            <w:tcW w:w="992" w:type="dxa"/>
            <w:shd w:val="clear" w:color="auto" w:fill="C6EFCE"/>
            <w:noWrap/>
          </w:tcPr>
          <w:p w14:paraId="6E0E6F59"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 xml:space="preserve"> </w:t>
            </w:r>
          </w:p>
        </w:tc>
        <w:tc>
          <w:tcPr>
            <w:tcW w:w="997" w:type="dxa"/>
            <w:shd w:val="clear" w:color="auto" w:fill="C6EFCE"/>
            <w:noWrap/>
          </w:tcPr>
          <w:p w14:paraId="3AD299F3"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 xml:space="preserve"> </w:t>
            </w:r>
          </w:p>
        </w:tc>
        <w:tc>
          <w:tcPr>
            <w:tcW w:w="583" w:type="dxa"/>
            <w:shd w:val="clear" w:color="auto" w:fill="C6EFCE"/>
            <w:noWrap/>
          </w:tcPr>
          <w:p w14:paraId="3C68D96B" w14:textId="645DC6D4" w:rsidR="00011DE9" w:rsidRPr="005463E9" w:rsidRDefault="005701C9">
            <w:pPr>
              <w:pStyle w:val="P68B1DB1-Normal13"/>
              <w:spacing w:after="0" w:line="240" w:lineRule="auto"/>
              <w:jc w:val="center"/>
              <w:rPr>
                <w:rFonts w:cs="Times New Roman"/>
                <w:noProof/>
                <w:sz w:val="20"/>
                <w:szCs w:val="20"/>
              </w:rPr>
            </w:pPr>
            <w:r w:rsidRPr="005463E9">
              <w:rPr>
                <w:noProof/>
                <w:sz w:val="20"/>
                <w:szCs w:val="20"/>
              </w:rPr>
              <w:t>T4</w:t>
            </w:r>
          </w:p>
        </w:tc>
        <w:tc>
          <w:tcPr>
            <w:tcW w:w="709" w:type="dxa"/>
            <w:shd w:val="clear" w:color="auto" w:fill="C6EFCE"/>
            <w:noWrap/>
          </w:tcPr>
          <w:p w14:paraId="1D69A50E"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2025</w:t>
            </w:r>
          </w:p>
        </w:tc>
        <w:tc>
          <w:tcPr>
            <w:tcW w:w="6079" w:type="dxa"/>
            <w:shd w:val="clear" w:color="auto" w:fill="C6EFCE"/>
            <w:noWrap/>
          </w:tcPr>
          <w:p w14:paraId="78EDD2FD" w14:textId="77777777" w:rsidR="00011DE9" w:rsidRPr="005463E9" w:rsidRDefault="00011DE9">
            <w:pPr>
              <w:pStyle w:val="P68B1DB1-Normal13"/>
              <w:spacing w:after="0" w:line="240" w:lineRule="auto"/>
              <w:rPr>
                <w:rFonts w:cs="Times New Roman"/>
                <w:noProof/>
                <w:sz w:val="20"/>
                <w:szCs w:val="20"/>
              </w:rPr>
            </w:pPr>
            <w:r w:rsidRPr="005463E9">
              <w:rPr>
                <w:noProof/>
                <w:sz w:val="20"/>
                <w:szCs w:val="20"/>
              </w:rPr>
              <w:t xml:space="preserve">Platforma „Destinație inteligentă” este disponibilă online. </w:t>
            </w:r>
          </w:p>
        </w:tc>
      </w:tr>
      <w:tr w:rsidR="00011DE9" w:rsidRPr="005463E9" w14:paraId="13C8BD1A" w14:textId="77777777" w:rsidTr="005463E9">
        <w:trPr>
          <w:trHeight w:val="171"/>
          <w:jc w:val="center"/>
        </w:trPr>
        <w:tc>
          <w:tcPr>
            <w:tcW w:w="709" w:type="dxa"/>
            <w:shd w:val="clear" w:color="auto" w:fill="C6EFCE"/>
            <w:noWrap/>
          </w:tcPr>
          <w:p w14:paraId="3E8BFFAB"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223</w:t>
            </w:r>
          </w:p>
        </w:tc>
        <w:tc>
          <w:tcPr>
            <w:tcW w:w="851" w:type="dxa"/>
            <w:shd w:val="clear" w:color="auto" w:fill="C6EFCE"/>
            <w:noWrap/>
          </w:tcPr>
          <w:p w14:paraId="1BDC0968"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C14.I2</w:t>
            </w:r>
          </w:p>
        </w:tc>
        <w:tc>
          <w:tcPr>
            <w:tcW w:w="703" w:type="dxa"/>
            <w:shd w:val="clear" w:color="auto" w:fill="C6EFCE"/>
            <w:noWrap/>
          </w:tcPr>
          <w:p w14:paraId="63619CCB"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M</w:t>
            </w:r>
          </w:p>
        </w:tc>
        <w:tc>
          <w:tcPr>
            <w:tcW w:w="1276" w:type="dxa"/>
            <w:shd w:val="clear" w:color="auto" w:fill="C6EFCE"/>
            <w:noWrap/>
          </w:tcPr>
          <w:p w14:paraId="32C8F28F" w14:textId="77777777" w:rsidR="00011DE9" w:rsidRPr="005463E9" w:rsidRDefault="00011DE9">
            <w:pPr>
              <w:pStyle w:val="P68B1DB1-Normal13"/>
              <w:spacing w:after="0" w:line="240" w:lineRule="auto"/>
              <w:rPr>
                <w:rFonts w:cs="Times New Roman"/>
                <w:noProof/>
                <w:sz w:val="20"/>
                <w:szCs w:val="20"/>
              </w:rPr>
            </w:pPr>
            <w:r w:rsidRPr="005463E9">
              <w:rPr>
                <w:noProof/>
                <w:sz w:val="20"/>
                <w:szCs w:val="20"/>
              </w:rPr>
              <w:t>Proiecte legate de inteligența artificială și de alte tehnologii generice în sectorul turismului</w:t>
            </w:r>
          </w:p>
        </w:tc>
        <w:tc>
          <w:tcPr>
            <w:tcW w:w="1134" w:type="dxa"/>
            <w:shd w:val="clear" w:color="auto" w:fill="C6EFCE"/>
            <w:noWrap/>
          </w:tcPr>
          <w:p w14:paraId="620E377B" w14:textId="77777777" w:rsidR="00011DE9" w:rsidRPr="005463E9" w:rsidRDefault="00011DE9">
            <w:pPr>
              <w:pStyle w:val="P68B1DB1-Normal14"/>
              <w:spacing w:after="0" w:line="240" w:lineRule="auto"/>
              <w:rPr>
                <w:noProof/>
                <w:sz w:val="20"/>
                <w:szCs w:val="20"/>
              </w:rPr>
            </w:pPr>
            <w:r w:rsidRPr="005463E9">
              <w:rPr>
                <w:noProof/>
                <w:sz w:val="20"/>
                <w:szCs w:val="20"/>
              </w:rPr>
              <w:t>Rapoarte finale care confirmă finalizarea proiectelor atribuite</w:t>
            </w:r>
          </w:p>
        </w:tc>
        <w:tc>
          <w:tcPr>
            <w:tcW w:w="851" w:type="dxa"/>
            <w:shd w:val="clear" w:color="auto" w:fill="C6EFCE"/>
            <w:noWrap/>
          </w:tcPr>
          <w:p w14:paraId="56735A3A" w14:textId="77777777" w:rsidR="00011DE9" w:rsidRPr="005463E9" w:rsidRDefault="00011DE9">
            <w:pPr>
              <w:spacing w:after="0" w:line="240" w:lineRule="auto"/>
              <w:jc w:val="right"/>
              <w:rPr>
                <w:rFonts w:ascii="Times New Roman" w:eastAsia="Calibri" w:hAnsi="Times New Roman" w:cs="Times New Roman"/>
                <w:noProof/>
                <w:kern w:val="0"/>
                <w:sz w:val="20"/>
                <w:szCs w:val="20"/>
                <w14:ligatures w14:val="none"/>
              </w:rPr>
            </w:pPr>
          </w:p>
        </w:tc>
        <w:tc>
          <w:tcPr>
            <w:tcW w:w="992" w:type="dxa"/>
            <w:shd w:val="clear" w:color="auto" w:fill="C6EFCE"/>
            <w:noWrap/>
          </w:tcPr>
          <w:p w14:paraId="2259362B" w14:textId="77777777" w:rsidR="00011DE9" w:rsidRPr="005463E9" w:rsidRDefault="00011DE9">
            <w:pPr>
              <w:spacing w:after="0" w:line="240" w:lineRule="auto"/>
              <w:jc w:val="right"/>
              <w:rPr>
                <w:rFonts w:ascii="Times New Roman" w:eastAsia="Calibri" w:hAnsi="Times New Roman" w:cs="Times New Roman"/>
                <w:noProof/>
                <w:kern w:val="0"/>
                <w:sz w:val="20"/>
                <w:szCs w:val="20"/>
                <w14:ligatures w14:val="none"/>
              </w:rPr>
            </w:pPr>
          </w:p>
        </w:tc>
        <w:tc>
          <w:tcPr>
            <w:tcW w:w="997" w:type="dxa"/>
            <w:shd w:val="clear" w:color="auto" w:fill="C6EFCE"/>
            <w:noWrap/>
          </w:tcPr>
          <w:p w14:paraId="537FD3F4" w14:textId="77777777" w:rsidR="00011DE9" w:rsidRPr="005463E9" w:rsidRDefault="00011DE9">
            <w:pPr>
              <w:spacing w:after="0" w:line="240" w:lineRule="auto"/>
              <w:jc w:val="right"/>
              <w:rPr>
                <w:rFonts w:ascii="Times New Roman" w:eastAsia="Calibri" w:hAnsi="Times New Roman" w:cs="Times New Roman"/>
                <w:noProof/>
                <w:kern w:val="0"/>
                <w:sz w:val="20"/>
                <w:szCs w:val="20"/>
                <w14:ligatures w14:val="none"/>
              </w:rPr>
            </w:pPr>
          </w:p>
        </w:tc>
        <w:tc>
          <w:tcPr>
            <w:tcW w:w="583" w:type="dxa"/>
            <w:shd w:val="clear" w:color="auto" w:fill="C6EFCE"/>
            <w:noWrap/>
          </w:tcPr>
          <w:p w14:paraId="69F32AA7" w14:textId="5EE4655D" w:rsidR="00011DE9" w:rsidRPr="005463E9" w:rsidRDefault="005701C9">
            <w:pPr>
              <w:pStyle w:val="P68B1DB1-Normal13"/>
              <w:spacing w:after="0" w:line="240" w:lineRule="auto"/>
              <w:jc w:val="center"/>
              <w:rPr>
                <w:rFonts w:cs="Times New Roman"/>
                <w:noProof/>
                <w:sz w:val="20"/>
                <w:szCs w:val="20"/>
              </w:rPr>
            </w:pPr>
            <w:r w:rsidRPr="005463E9">
              <w:rPr>
                <w:noProof/>
                <w:sz w:val="20"/>
                <w:szCs w:val="20"/>
              </w:rPr>
              <w:t>T4</w:t>
            </w:r>
          </w:p>
        </w:tc>
        <w:tc>
          <w:tcPr>
            <w:tcW w:w="709" w:type="dxa"/>
            <w:shd w:val="clear" w:color="auto" w:fill="C6EFCE"/>
            <w:noWrap/>
          </w:tcPr>
          <w:p w14:paraId="30B841E7"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2025</w:t>
            </w:r>
          </w:p>
        </w:tc>
        <w:tc>
          <w:tcPr>
            <w:tcW w:w="6079" w:type="dxa"/>
            <w:shd w:val="clear" w:color="auto" w:fill="C6EFCE"/>
            <w:noWrap/>
          </w:tcPr>
          <w:p w14:paraId="27C510B6" w14:textId="77777777" w:rsidR="00011DE9" w:rsidRPr="005463E9" w:rsidRDefault="00011DE9">
            <w:pPr>
              <w:pStyle w:val="P68B1DB1-Normal15"/>
              <w:spacing w:after="0" w:line="240" w:lineRule="auto"/>
              <w:rPr>
                <w:noProof/>
                <w:sz w:val="20"/>
                <w:szCs w:val="20"/>
              </w:rPr>
            </w:pPr>
            <w:r w:rsidRPr="005463E9">
              <w:rPr>
                <w:noProof/>
                <w:sz w:val="20"/>
                <w:szCs w:val="20"/>
              </w:rPr>
              <w:t>331 entitățile sau persoanele beneficiare prezintă rapoarte finale care confirmă finalizarea proiectelor atribuite pentru granturi legate de inteligența artificială și de alte tehnologii generice din sectorul turismului.</w:t>
            </w:r>
          </w:p>
          <w:p w14:paraId="4E1EEF22" w14:textId="77777777" w:rsidR="00011DE9" w:rsidRPr="005463E9" w:rsidRDefault="00011DE9">
            <w:pPr>
              <w:spacing w:after="0" w:line="240" w:lineRule="auto"/>
              <w:rPr>
                <w:rFonts w:ascii="Times New Roman" w:eastAsia="Calibri" w:hAnsi="Times New Roman" w:cs="Times New Roman"/>
                <w:noProof/>
                <w:kern w:val="0"/>
                <w:sz w:val="20"/>
                <w:szCs w:val="20"/>
                <w14:ligatures w14:val="none"/>
              </w:rPr>
            </w:pPr>
          </w:p>
        </w:tc>
      </w:tr>
      <w:tr w:rsidR="00011DE9" w:rsidRPr="005463E9" w14:paraId="7D27F07A" w14:textId="77777777" w:rsidTr="005463E9">
        <w:trPr>
          <w:trHeight w:val="881"/>
          <w:jc w:val="center"/>
        </w:trPr>
        <w:tc>
          <w:tcPr>
            <w:tcW w:w="709" w:type="dxa"/>
            <w:shd w:val="clear" w:color="auto" w:fill="C6EFCE"/>
            <w:noWrap/>
          </w:tcPr>
          <w:p w14:paraId="170B4871"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224</w:t>
            </w:r>
          </w:p>
        </w:tc>
        <w:tc>
          <w:tcPr>
            <w:tcW w:w="851" w:type="dxa"/>
            <w:shd w:val="clear" w:color="auto" w:fill="C6EFCE"/>
            <w:noWrap/>
          </w:tcPr>
          <w:p w14:paraId="26E6E128"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C14.I3</w:t>
            </w:r>
          </w:p>
        </w:tc>
        <w:tc>
          <w:tcPr>
            <w:tcW w:w="703" w:type="dxa"/>
            <w:shd w:val="clear" w:color="auto" w:fill="C6EFCE"/>
            <w:noWrap/>
          </w:tcPr>
          <w:p w14:paraId="025887AA"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M</w:t>
            </w:r>
          </w:p>
        </w:tc>
        <w:tc>
          <w:tcPr>
            <w:tcW w:w="1276" w:type="dxa"/>
            <w:shd w:val="clear" w:color="auto" w:fill="C6EFCE"/>
            <w:noWrap/>
          </w:tcPr>
          <w:p w14:paraId="195926DA" w14:textId="77777777" w:rsidR="00011DE9" w:rsidRPr="005463E9" w:rsidRDefault="00011DE9">
            <w:pPr>
              <w:pStyle w:val="P68B1DB1-Normal15"/>
              <w:spacing w:after="0" w:line="240" w:lineRule="auto"/>
              <w:rPr>
                <w:noProof/>
                <w:sz w:val="20"/>
                <w:szCs w:val="20"/>
              </w:rPr>
            </w:pPr>
            <w:r w:rsidRPr="005463E9">
              <w:rPr>
                <w:noProof/>
                <w:sz w:val="20"/>
                <w:szCs w:val="20"/>
              </w:rPr>
              <w:t xml:space="preserve">Activități în domeniul turismului în Insulele Baleare, Insulele Canare, Ceuta și Melilla </w:t>
            </w:r>
          </w:p>
        </w:tc>
        <w:tc>
          <w:tcPr>
            <w:tcW w:w="1134" w:type="dxa"/>
            <w:shd w:val="clear" w:color="auto" w:fill="C6EFCE"/>
            <w:noWrap/>
          </w:tcPr>
          <w:p w14:paraId="0C34457A" w14:textId="77777777" w:rsidR="00011DE9" w:rsidRPr="005463E9" w:rsidRDefault="00011DE9">
            <w:pPr>
              <w:pStyle w:val="P68B1DB1-Normal15"/>
              <w:spacing w:after="0" w:line="240" w:lineRule="auto"/>
              <w:rPr>
                <w:noProof/>
                <w:sz w:val="20"/>
                <w:szCs w:val="20"/>
              </w:rPr>
            </w:pPr>
            <w:r w:rsidRPr="005463E9">
              <w:rPr>
                <w:noProof/>
                <w:sz w:val="20"/>
                <w:szCs w:val="20"/>
              </w:rPr>
              <w:t>Rapoartele finale privind plățile aferente granturilor; sau certificate de recepție, declarații de conformitate, certificate de încheiere a execuției lucrărilor, rapoarte de regularizare sau alte documente echivalente care atestă executarea contractelor</w:t>
            </w:r>
          </w:p>
        </w:tc>
        <w:tc>
          <w:tcPr>
            <w:tcW w:w="851" w:type="dxa"/>
            <w:shd w:val="clear" w:color="auto" w:fill="C6EFCE"/>
            <w:noWrap/>
          </w:tcPr>
          <w:p w14:paraId="4C5A205A" w14:textId="77777777" w:rsidR="00011DE9" w:rsidRPr="005463E9" w:rsidRDefault="00011DE9">
            <w:pPr>
              <w:spacing w:after="0" w:line="240" w:lineRule="auto"/>
              <w:jc w:val="right"/>
              <w:rPr>
                <w:rFonts w:ascii="Times New Roman" w:eastAsia="Calibri" w:hAnsi="Times New Roman" w:cs="Times New Roman"/>
                <w:noProof/>
                <w:kern w:val="0"/>
                <w:sz w:val="20"/>
                <w:szCs w:val="20"/>
                <w14:ligatures w14:val="none"/>
              </w:rPr>
            </w:pPr>
          </w:p>
        </w:tc>
        <w:tc>
          <w:tcPr>
            <w:tcW w:w="992" w:type="dxa"/>
            <w:shd w:val="clear" w:color="auto" w:fill="C6EFCE"/>
            <w:noWrap/>
          </w:tcPr>
          <w:p w14:paraId="3897FE07" w14:textId="77777777" w:rsidR="00011DE9" w:rsidRPr="005463E9" w:rsidRDefault="00011DE9">
            <w:pPr>
              <w:spacing w:after="0" w:line="240" w:lineRule="auto"/>
              <w:jc w:val="right"/>
              <w:rPr>
                <w:rFonts w:ascii="Times New Roman" w:eastAsia="Calibri" w:hAnsi="Times New Roman" w:cs="Times New Roman"/>
                <w:noProof/>
                <w:kern w:val="0"/>
                <w:sz w:val="20"/>
                <w:szCs w:val="20"/>
                <w14:ligatures w14:val="none"/>
              </w:rPr>
            </w:pPr>
          </w:p>
        </w:tc>
        <w:tc>
          <w:tcPr>
            <w:tcW w:w="997" w:type="dxa"/>
            <w:shd w:val="clear" w:color="auto" w:fill="C6EFCE"/>
            <w:noWrap/>
          </w:tcPr>
          <w:p w14:paraId="39F92A82" w14:textId="77777777" w:rsidR="00011DE9" w:rsidRPr="005463E9" w:rsidRDefault="00011DE9">
            <w:pPr>
              <w:spacing w:after="0" w:line="240" w:lineRule="auto"/>
              <w:jc w:val="right"/>
              <w:rPr>
                <w:rFonts w:ascii="Times New Roman" w:eastAsia="Calibri" w:hAnsi="Times New Roman" w:cs="Times New Roman"/>
                <w:noProof/>
                <w:kern w:val="0"/>
                <w:sz w:val="20"/>
                <w:szCs w:val="20"/>
                <w14:ligatures w14:val="none"/>
              </w:rPr>
            </w:pPr>
          </w:p>
        </w:tc>
        <w:tc>
          <w:tcPr>
            <w:tcW w:w="583" w:type="dxa"/>
            <w:shd w:val="clear" w:color="auto" w:fill="C6EFCE"/>
            <w:noWrap/>
          </w:tcPr>
          <w:p w14:paraId="26E0A082" w14:textId="6B857C2B" w:rsidR="00011DE9" w:rsidRPr="005463E9" w:rsidRDefault="005701C9">
            <w:pPr>
              <w:pStyle w:val="P68B1DB1-Normal13"/>
              <w:spacing w:after="0" w:line="240" w:lineRule="auto"/>
              <w:jc w:val="center"/>
              <w:rPr>
                <w:rFonts w:cs="Times New Roman"/>
                <w:noProof/>
                <w:sz w:val="20"/>
                <w:szCs w:val="20"/>
              </w:rPr>
            </w:pPr>
            <w:r w:rsidRPr="005463E9">
              <w:rPr>
                <w:noProof/>
                <w:sz w:val="20"/>
                <w:szCs w:val="20"/>
              </w:rPr>
              <w:t>T4</w:t>
            </w:r>
          </w:p>
        </w:tc>
        <w:tc>
          <w:tcPr>
            <w:tcW w:w="709" w:type="dxa"/>
            <w:shd w:val="clear" w:color="auto" w:fill="C6EFCE"/>
            <w:noWrap/>
          </w:tcPr>
          <w:p w14:paraId="127A688E"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2025</w:t>
            </w:r>
          </w:p>
        </w:tc>
        <w:tc>
          <w:tcPr>
            <w:tcW w:w="6079" w:type="dxa"/>
            <w:shd w:val="clear" w:color="auto" w:fill="C6EFCE"/>
            <w:noWrap/>
          </w:tcPr>
          <w:p w14:paraId="7D09D471" w14:textId="77777777" w:rsidR="00011DE9" w:rsidRPr="005463E9" w:rsidRDefault="00011DE9">
            <w:pPr>
              <w:pStyle w:val="P68B1DB1-Normal15"/>
              <w:spacing w:after="0" w:line="240" w:lineRule="auto"/>
              <w:rPr>
                <w:noProof/>
                <w:sz w:val="20"/>
                <w:szCs w:val="20"/>
              </w:rPr>
            </w:pPr>
            <w:r w:rsidRPr="005463E9">
              <w:rPr>
                <w:noProof/>
                <w:sz w:val="20"/>
                <w:szCs w:val="20"/>
              </w:rPr>
              <w:t>400 activități în domeniul turismului desfășurate în Insulele Baleare, Insulele Canare, Ceuta și Melilla.</w:t>
            </w:r>
          </w:p>
        </w:tc>
      </w:tr>
      <w:tr w:rsidR="00011DE9" w:rsidRPr="005463E9" w14:paraId="2BA67AB9" w14:textId="77777777" w:rsidTr="005463E9">
        <w:trPr>
          <w:trHeight w:val="881"/>
          <w:jc w:val="center"/>
        </w:trPr>
        <w:tc>
          <w:tcPr>
            <w:tcW w:w="709" w:type="dxa"/>
            <w:shd w:val="clear" w:color="auto" w:fill="C6EFCE"/>
            <w:noWrap/>
          </w:tcPr>
          <w:p w14:paraId="00417B39"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226</w:t>
            </w:r>
          </w:p>
        </w:tc>
        <w:tc>
          <w:tcPr>
            <w:tcW w:w="851" w:type="dxa"/>
            <w:shd w:val="clear" w:color="auto" w:fill="C6EFCE"/>
            <w:noWrap/>
          </w:tcPr>
          <w:p w14:paraId="6B20F9C5"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C14.I4</w:t>
            </w:r>
          </w:p>
        </w:tc>
        <w:tc>
          <w:tcPr>
            <w:tcW w:w="703" w:type="dxa"/>
            <w:shd w:val="clear" w:color="auto" w:fill="C6EFCE"/>
            <w:noWrap/>
          </w:tcPr>
          <w:p w14:paraId="6B1AE005"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M</w:t>
            </w:r>
          </w:p>
        </w:tc>
        <w:tc>
          <w:tcPr>
            <w:tcW w:w="1276" w:type="dxa"/>
            <w:shd w:val="clear" w:color="auto" w:fill="C6EFCE"/>
            <w:noWrap/>
          </w:tcPr>
          <w:p w14:paraId="011105CC" w14:textId="77777777" w:rsidR="00011DE9" w:rsidRPr="005463E9" w:rsidRDefault="00011DE9">
            <w:pPr>
              <w:pStyle w:val="P68B1DB1-Normal15"/>
              <w:spacing w:after="0" w:line="240" w:lineRule="auto"/>
              <w:rPr>
                <w:noProof/>
                <w:sz w:val="20"/>
                <w:szCs w:val="20"/>
              </w:rPr>
            </w:pPr>
            <w:r w:rsidRPr="005463E9">
              <w:rPr>
                <w:noProof/>
                <w:sz w:val="20"/>
                <w:szCs w:val="20"/>
              </w:rPr>
              <w:t>Activități legate de programul „Experiencias Turismo España”</w:t>
            </w:r>
          </w:p>
        </w:tc>
        <w:tc>
          <w:tcPr>
            <w:tcW w:w="1134" w:type="dxa"/>
            <w:shd w:val="clear" w:color="auto" w:fill="C6EFCE"/>
            <w:noWrap/>
          </w:tcPr>
          <w:p w14:paraId="05181ED5" w14:textId="77777777" w:rsidR="00011DE9" w:rsidRPr="005463E9" w:rsidRDefault="00011DE9">
            <w:pPr>
              <w:pStyle w:val="P68B1DB1-Normal13"/>
              <w:spacing w:after="0" w:line="240" w:lineRule="auto"/>
              <w:rPr>
                <w:rFonts w:cs="Times New Roman"/>
                <w:noProof/>
                <w:sz w:val="20"/>
                <w:szCs w:val="20"/>
              </w:rPr>
            </w:pPr>
            <w:r w:rsidRPr="005463E9">
              <w:rPr>
                <w:noProof/>
                <w:sz w:val="20"/>
                <w:szCs w:val="20"/>
              </w:rPr>
              <w:t xml:space="preserve">Rapoarte finale care confirmă finalizarea activităților atribuite </w:t>
            </w:r>
          </w:p>
        </w:tc>
        <w:tc>
          <w:tcPr>
            <w:tcW w:w="851" w:type="dxa"/>
            <w:shd w:val="clear" w:color="auto" w:fill="C6EFCE"/>
            <w:noWrap/>
          </w:tcPr>
          <w:p w14:paraId="09637BF1" w14:textId="77777777" w:rsidR="00011DE9" w:rsidRPr="005463E9" w:rsidRDefault="00011DE9">
            <w:pPr>
              <w:spacing w:after="0" w:line="240" w:lineRule="auto"/>
              <w:jc w:val="right"/>
              <w:rPr>
                <w:rFonts w:ascii="Times New Roman" w:eastAsia="Calibri" w:hAnsi="Times New Roman" w:cs="Times New Roman"/>
                <w:noProof/>
                <w:kern w:val="0"/>
                <w:sz w:val="20"/>
                <w:szCs w:val="20"/>
                <w14:ligatures w14:val="none"/>
              </w:rPr>
            </w:pPr>
          </w:p>
        </w:tc>
        <w:tc>
          <w:tcPr>
            <w:tcW w:w="992" w:type="dxa"/>
            <w:shd w:val="clear" w:color="auto" w:fill="C6EFCE"/>
            <w:noWrap/>
          </w:tcPr>
          <w:p w14:paraId="4896921E" w14:textId="77777777" w:rsidR="00011DE9" w:rsidRPr="005463E9" w:rsidRDefault="00011DE9">
            <w:pPr>
              <w:spacing w:after="0" w:line="240" w:lineRule="auto"/>
              <w:jc w:val="right"/>
              <w:rPr>
                <w:rFonts w:ascii="Times New Roman" w:eastAsia="Calibri" w:hAnsi="Times New Roman" w:cs="Times New Roman"/>
                <w:noProof/>
                <w:kern w:val="0"/>
                <w:sz w:val="20"/>
                <w:szCs w:val="20"/>
                <w14:ligatures w14:val="none"/>
              </w:rPr>
            </w:pPr>
          </w:p>
        </w:tc>
        <w:tc>
          <w:tcPr>
            <w:tcW w:w="997" w:type="dxa"/>
            <w:shd w:val="clear" w:color="auto" w:fill="C6EFCE"/>
            <w:noWrap/>
          </w:tcPr>
          <w:p w14:paraId="537060FF" w14:textId="77777777" w:rsidR="00011DE9" w:rsidRPr="005463E9" w:rsidRDefault="00011DE9">
            <w:pPr>
              <w:spacing w:after="0" w:line="240" w:lineRule="auto"/>
              <w:jc w:val="right"/>
              <w:rPr>
                <w:rFonts w:ascii="Times New Roman" w:eastAsia="Calibri" w:hAnsi="Times New Roman" w:cs="Times New Roman"/>
                <w:noProof/>
                <w:kern w:val="0"/>
                <w:sz w:val="20"/>
                <w:szCs w:val="20"/>
                <w14:ligatures w14:val="none"/>
              </w:rPr>
            </w:pPr>
          </w:p>
        </w:tc>
        <w:tc>
          <w:tcPr>
            <w:tcW w:w="583" w:type="dxa"/>
            <w:shd w:val="clear" w:color="auto" w:fill="C6EFCE"/>
            <w:noWrap/>
          </w:tcPr>
          <w:p w14:paraId="1945E95C" w14:textId="50B8D543" w:rsidR="00011DE9" w:rsidRPr="005463E9" w:rsidRDefault="005701C9">
            <w:pPr>
              <w:pStyle w:val="P68B1DB1-Normal13"/>
              <w:spacing w:after="0" w:line="240" w:lineRule="auto"/>
              <w:jc w:val="center"/>
              <w:rPr>
                <w:rFonts w:cs="Times New Roman"/>
                <w:noProof/>
                <w:sz w:val="20"/>
                <w:szCs w:val="20"/>
              </w:rPr>
            </w:pPr>
            <w:r w:rsidRPr="005463E9">
              <w:rPr>
                <w:noProof/>
                <w:sz w:val="20"/>
                <w:szCs w:val="20"/>
              </w:rPr>
              <w:t>T4</w:t>
            </w:r>
          </w:p>
        </w:tc>
        <w:tc>
          <w:tcPr>
            <w:tcW w:w="709" w:type="dxa"/>
            <w:shd w:val="clear" w:color="auto" w:fill="C6EFCE"/>
            <w:noWrap/>
          </w:tcPr>
          <w:p w14:paraId="2A163648"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2025</w:t>
            </w:r>
          </w:p>
        </w:tc>
        <w:tc>
          <w:tcPr>
            <w:tcW w:w="6079" w:type="dxa"/>
            <w:shd w:val="clear" w:color="auto" w:fill="C6EFCE"/>
            <w:noWrap/>
          </w:tcPr>
          <w:p w14:paraId="312D230D" w14:textId="77777777" w:rsidR="00011DE9" w:rsidRPr="005463E9" w:rsidRDefault="00011DE9">
            <w:pPr>
              <w:pStyle w:val="P68B1DB1-Normal15"/>
              <w:spacing w:after="0" w:line="240" w:lineRule="auto"/>
              <w:rPr>
                <w:noProof/>
                <w:sz w:val="20"/>
                <w:szCs w:val="20"/>
              </w:rPr>
            </w:pPr>
            <w:r w:rsidRPr="005463E9">
              <w:rPr>
                <w:noProof/>
                <w:sz w:val="20"/>
                <w:szCs w:val="20"/>
              </w:rPr>
              <w:t xml:space="preserve">45 entitățile beneficiare sau persoanele fizice care primesc granturi legate de programul „Experiencias Turismo España” prezintă rapoarte finale care confirmă finalizarea activităților atribuite. </w:t>
            </w:r>
          </w:p>
        </w:tc>
      </w:tr>
      <w:tr w:rsidR="00011DE9" w:rsidRPr="005463E9" w14:paraId="750EEB59" w14:textId="77777777" w:rsidTr="005463E9">
        <w:trPr>
          <w:trHeight w:val="881"/>
          <w:jc w:val="center"/>
        </w:trPr>
        <w:tc>
          <w:tcPr>
            <w:tcW w:w="709" w:type="dxa"/>
            <w:shd w:val="clear" w:color="auto" w:fill="C6EFCE"/>
            <w:noWrap/>
          </w:tcPr>
          <w:p w14:paraId="2CBECC3F"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227</w:t>
            </w:r>
          </w:p>
        </w:tc>
        <w:tc>
          <w:tcPr>
            <w:tcW w:w="851" w:type="dxa"/>
            <w:shd w:val="clear" w:color="auto" w:fill="C6EFCE"/>
            <w:noWrap/>
          </w:tcPr>
          <w:p w14:paraId="2EAE59D7"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C14.I4</w:t>
            </w:r>
          </w:p>
        </w:tc>
        <w:tc>
          <w:tcPr>
            <w:tcW w:w="703" w:type="dxa"/>
            <w:shd w:val="clear" w:color="auto" w:fill="C6EFCE"/>
            <w:noWrap/>
          </w:tcPr>
          <w:p w14:paraId="71B9557C" w14:textId="77777777" w:rsidR="00011DE9" w:rsidRPr="005463E9" w:rsidRDefault="00011DE9">
            <w:pPr>
              <w:pStyle w:val="P68B1DB1-Normal14"/>
              <w:spacing w:after="0" w:line="240" w:lineRule="auto"/>
              <w:jc w:val="center"/>
              <w:rPr>
                <w:noProof/>
                <w:sz w:val="20"/>
                <w:szCs w:val="20"/>
              </w:rPr>
            </w:pPr>
            <w:r w:rsidRPr="005463E9">
              <w:rPr>
                <w:noProof/>
                <w:sz w:val="20"/>
                <w:szCs w:val="20"/>
              </w:rPr>
              <w:t>T</w:t>
            </w:r>
          </w:p>
        </w:tc>
        <w:tc>
          <w:tcPr>
            <w:tcW w:w="1276" w:type="dxa"/>
            <w:shd w:val="clear" w:color="auto" w:fill="C6EFCE"/>
            <w:noWrap/>
          </w:tcPr>
          <w:p w14:paraId="6E1161B7" w14:textId="77777777" w:rsidR="00011DE9" w:rsidRPr="005463E9" w:rsidRDefault="00011DE9">
            <w:pPr>
              <w:pStyle w:val="P68B1DB1-Normal15"/>
              <w:spacing w:after="0" w:line="240" w:lineRule="auto"/>
              <w:rPr>
                <w:noProof/>
                <w:sz w:val="20"/>
                <w:szCs w:val="20"/>
              </w:rPr>
            </w:pPr>
            <w:r w:rsidRPr="005463E9">
              <w:rPr>
                <w:noProof/>
                <w:sz w:val="20"/>
                <w:szCs w:val="20"/>
              </w:rPr>
              <w:t xml:space="preserve">Acțiuni în materie de durabilitate în unitățile turistice </w:t>
            </w:r>
          </w:p>
        </w:tc>
        <w:tc>
          <w:tcPr>
            <w:tcW w:w="1134" w:type="dxa"/>
            <w:shd w:val="clear" w:color="auto" w:fill="C6EFCE"/>
            <w:noWrap/>
          </w:tcPr>
          <w:p w14:paraId="2BDEAA6F" w14:textId="77777777" w:rsidR="00011DE9" w:rsidRPr="005463E9" w:rsidRDefault="00011DE9">
            <w:pPr>
              <w:pStyle w:val="P68B1DB1-Normal13"/>
              <w:spacing w:after="0" w:line="240" w:lineRule="auto"/>
              <w:rPr>
                <w:rFonts w:cs="Times New Roman"/>
                <w:noProof/>
                <w:sz w:val="20"/>
                <w:szCs w:val="20"/>
              </w:rPr>
            </w:pPr>
            <w:r w:rsidRPr="005463E9">
              <w:rPr>
                <w:noProof/>
                <w:sz w:val="20"/>
                <w:szCs w:val="20"/>
              </w:rPr>
              <w:t xml:space="preserve"> </w:t>
            </w:r>
          </w:p>
        </w:tc>
        <w:tc>
          <w:tcPr>
            <w:tcW w:w="851" w:type="dxa"/>
            <w:shd w:val="clear" w:color="auto" w:fill="C6EFCE"/>
            <w:noWrap/>
          </w:tcPr>
          <w:p w14:paraId="183D2F08"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Număr</w:t>
            </w:r>
          </w:p>
        </w:tc>
        <w:tc>
          <w:tcPr>
            <w:tcW w:w="992" w:type="dxa"/>
            <w:shd w:val="clear" w:color="auto" w:fill="C6EFCE"/>
            <w:noWrap/>
          </w:tcPr>
          <w:p w14:paraId="7E41FD0D"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0</w:t>
            </w:r>
          </w:p>
        </w:tc>
        <w:tc>
          <w:tcPr>
            <w:tcW w:w="997" w:type="dxa"/>
            <w:shd w:val="clear" w:color="auto" w:fill="C6EFCE"/>
            <w:noWrap/>
          </w:tcPr>
          <w:p w14:paraId="4495CFF0" w14:textId="77777777" w:rsidR="00011DE9" w:rsidRPr="005463E9" w:rsidRDefault="00011DE9">
            <w:pPr>
              <w:pStyle w:val="P68B1DB1-Normal13"/>
              <w:spacing w:after="0" w:line="240" w:lineRule="auto"/>
              <w:jc w:val="right"/>
              <w:rPr>
                <w:rFonts w:cs="Times New Roman"/>
                <w:noProof/>
                <w:sz w:val="20"/>
                <w:szCs w:val="20"/>
              </w:rPr>
            </w:pPr>
            <w:r w:rsidRPr="005463E9">
              <w:rPr>
                <w:noProof/>
                <w:sz w:val="20"/>
                <w:szCs w:val="20"/>
              </w:rPr>
              <w:t>3 400</w:t>
            </w:r>
          </w:p>
        </w:tc>
        <w:tc>
          <w:tcPr>
            <w:tcW w:w="583" w:type="dxa"/>
            <w:shd w:val="clear" w:color="auto" w:fill="C6EFCE"/>
            <w:noWrap/>
          </w:tcPr>
          <w:p w14:paraId="4256F989" w14:textId="40553083" w:rsidR="00011DE9" w:rsidRPr="005463E9" w:rsidRDefault="005701C9">
            <w:pPr>
              <w:pStyle w:val="P68B1DB1-Normal13"/>
              <w:spacing w:after="0" w:line="240" w:lineRule="auto"/>
              <w:jc w:val="center"/>
              <w:rPr>
                <w:rFonts w:cs="Times New Roman"/>
                <w:noProof/>
                <w:sz w:val="20"/>
                <w:szCs w:val="20"/>
              </w:rPr>
            </w:pPr>
            <w:r w:rsidRPr="005463E9">
              <w:rPr>
                <w:noProof/>
                <w:sz w:val="20"/>
                <w:szCs w:val="20"/>
              </w:rPr>
              <w:t>T2</w:t>
            </w:r>
          </w:p>
        </w:tc>
        <w:tc>
          <w:tcPr>
            <w:tcW w:w="709" w:type="dxa"/>
            <w:shd w:val="clear" w:color="auto" w:fill="C6EFCE"/>
            <w:noWrap/>
          </w:tcPr>
          <w:p w14:paraId="1DAFE453"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2026</w:t>
            </w:r>
          </w:p>
        </w:tc>
        <w:tc>
          <w:tcPr>
            <w:tcW w:w="6079" w:type="dxa"/>
            <w:shd w:val="clear" w:color="auto" w:fill="C6EFCE"/>
            <w:noWrap/>
          </w:tcPr>
          <w:p w14:paraId="7FD6F8AC" w14:textId="77777777" w:rsidR="00011DE9" w:rsidRPr="005463E9" w:rsidRDefault="00011DE9">
            <w:pPr>
              <w:pStyle w:val="P68B1DB1-Normal13"/>
              <w:spacing w:after="0" w:line="240" w:lineRule="auto"/>
              <w:rPr>
                <w:rFonts w:cs="Times New Roman"/>
                <w:noProof/>
                <w:sz w:val="20"/>
                <w:szCs w:val="20"/>
              </w:rPr>
            </w:pPr>
            <w:r w:rsidRPr="005463E9">
              <w:rPr>
                <w:noProof/>
                <w:sz w:val="20"/>
                <w:szCs w:val="20"/>
              </w:rPr>
              <w:t>3 400 de unități turistice care au beneficiat de acțiuni în domeniul durabilității.</w:t>
            </w:r>
          </w:p>
        </w:tc>
      </w:tr>
      <w:tr w:rsidR="00011DE9" w:rsidRPr="005463E9" w14:paraId="22782E6D" w14:textId="77777777" w:rsidTr="005463E9">
        <w:trPr>
          <w:trHeight w:val="881"/>
          <w:jc w:val="center"/>
        </w:trPr>
        <w:tc>
          <w:tcPr>
            <w:tcW w:w="709" w:type="dxa"/>
            <w:shd w:val="clear" w:color="auto" w:fill="C6EFCE"/>
            <w:noWrap/>
          </w:tcPr>
          <w:p w14:paraId="5867A1C1"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228</w:t>
            </w:r>
          </w:p>
        </w:tc>
        <w:tc>
          <w:tcPr>
            <w:tcW w:w="851" w:type="dxa"/>
            <w:shd w:val="clear" w:color="auto" w:fill="C6EFCE"/>
            <w:noWrap/>
          </w:tcPr>
          <w:p w14:paraId="1AB53CA9"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C14.I4</w:t>
            </w:r>
          </w:p>
        </w:tc>
        <w:tc>
          <w:tcPr>
            <w:tcW w:w="703" w:type="dxa"/>
            <w:shd w:val="clear" w:color="auto" w:fill="C6EFCE"/>
            <w:noWrap/>
          </w:tcPr>
          <w:p w14:paraId="35E4E72D"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M</w:t>
            </w:r>
          </w:p>
        </w:tc>
        <w:tc>
          <w:tcPr>
            <w:tcW w:w="1276" w:type="dxa"/>
            <w:shd w:val="clear" w:color="auto" w:fill="C6EFCE"/>
            <w:noWrap/>
          </w:tcPr>
          <w:p w14:paraId="298583A3" w14:textId="77777777" w:rsidR="00011DE9" w:rsidRPr="005463E9" w:rsidRDefault="00011DE9">
            <w:pPr>
              <w:pStyle w:val="P68B1DB1-Normal13"/>
              <w:spacing w:after="0" w:line="240" w:lineRule="auto"/>
              <w:rPr>
                <w:rFonts w:cs="Times New Roman"/>
                <w:noProof/>
                <w:sz w:val="20"/>
                <w:szCs w:val="20"/>
              </w:rPr>
            </w:pPr>
            <w:r w:rsidRPr="005463E9">
              <w:rPr>
                <w:noProof/>
                <w:sz w:val="20"/>
                <w:szCs w:val="20"/>
              </w:rPr>
              <w:t>Regenerarea siturilor de patrimoniu istoric</w:t>
            </w:r>
          </w:p>
        </w:tc>
        <w:tc>
          <w:tcPr>
            <w:tcW w:w="1134" w:type="dxa"/>
            <w:shd w:val="clear" w:color="auto" w:fill="C6EFCE"/>
            <w:noWrap/>
          </w:tcPr>
          <w:p w14:paraId="0217D956" w14:textId="77777777" w:rsidR="00011DE9" w:rsidRPr="005463E9" w:rsidRDefault="00011DE9">
            <w:pPr>
              <w:pStyle w:val="P68B1DB1-Normal13"/>
              <w:spacing w:after="0" w:line="240" w:lineRule="auto"/>
              <w:rPr>
                <w:rFonts w:cs="Times New Roman"/>
                <w:noProof/>
                <w:sz w:val="20"/>
                <w:szCs w:val="20"/>
              </w:rPr>
            </w:pPr>
            <w:r w:rsidRPr="005463E9">
              <w:rPr>
                <w:noProof/>
                <w:sz w:val="20"/>
                <w:szCs w:val="20"/>
              </w:rPr>
              <w:t>Certificate de încheiere a execuției lucrărilor</w:t>
            </w:r>
          </w:p>
        </w:tc>
        <w:tc>
          <w:tcPr>
            <w:tcW w:w="851" w:type="dxa"/>
            <w:shd w:val="clear" w:color="auto" w:fill="C6EFCE"/>
            <w:noWrap/>
          </w:tcPr>
          <w:p w14:paraId="67F978E7" w14:textId="77777777" w:rsidR="00011DE9" w:rsidRPr="005463E9" w:rsidRDefault="00011DE9">
            <w:pPr>
              <w:spacing w:after="0" w:line="240" w:lineRule="auto"/>
              <w:jc w:val="right"/>
              <w:rPr>
                <w:rFonts w:ascii="Times New Roman" w:eastAsia="Calibri" w:hAnsi="Times New Roman" w:cs="Times New Roman"/>
                <w:noProof/>
                <w:kern w:val="0"/>
                <w:sz w:val="20"/>
                <w:szCs w:val="20"/>
                <w14:ligatures w14:val="none"/>
              </w:rPr>
            </w:pPr>
          </w:p>
        </w:tc>
        <w:tc>
          <w:tcPr>
            <w:tcW w:w="992" w:type="dxa"/>
            <w:shd w:val="clear" w:color="auto" w:fill="C6EFCE"/>
            <w:noWrap/>
          </w:tcPr>
          <w:p w14:paraId="68A02CC1" w14:textId="77777777" w:rsidR="00011DE9" w:rsidRPr="005463E9" w:rsidRDefault="00011DE9">
            <w:pPr>
              <w:spacing w:after="0" w:line="240" w:lineRule="auto"/>
              <w:jc w:val="right"/>
              <w:rPr>
                <w:rFonts w:ascii="Times New Roman" w:eastAsia="Calibri" w:hAnsi="Times New Roman" w:cs="Times New Roman"/>
                <w:noProof/>
                <w:kern w:val="0"/>
                <w:sz w:val="20"/>
                <w:szCs w:val="20"/>
                <w14:ligatures w14:val="none"/>
              </w:rPr>
            </w:pPr>
          </w:p>
        </w:tc>
        <w:tc>
          <w:tcPr>
            <w:tcW w:w="997" w:type="dxa"/>
            <w:shd w:val="clear" w:color="auto" w:fill="C6EFCE"/>
            <w:noWrap/>
          </w:tcPr>
          <w:p w14:paraId="63E1DC1A" w14:textId="77777777" w:rsidR="00011DE9" w:rsidRPr="005463E9" w:rsidRDefault="00011DE9">
            <w:pPr>
              <w:spacing w:after="0" w:line="240" w:lineRule="auto"/>
              <w:jc w:val="right"/>
              <w:rPr>
                <w:rFonts w:ascii="Times New Roman" w:eastAsia="Calibri" w:hAnsi="Times New Roman" w:cs="Times New Roman"/>
                <w:noProof/>
                <w:kern w:val="0"/>
                <w:sz w:val="20"/>
                <w:szCs w:val="20"/>
                <w14:ligatures w14:val="none"/>
              </w:rPr>
            </w:pPr>
          </w:p>
        </w:tc>
        <w:tc>
          <w:tcPr>
            <w:tcW w:w="583" w:type="dxa"/>
            <w:shd w:val="clear" w:color="auto" w:fill="C6EFCE"/>
            <w:noWrap/>
          </w:tcPr>
          <w:p w14:paraId="6AC5B22D" w14:textId="7E7358A8" w:rsidR="00011DE9" w:rsidRPr="005463E9" w:rsidRDefault="005701C9">
            <w:pPr>
              <w:pStyle w:val="P68B1DB1-Normal13"/>
              <w:spacing w:after="0" w:line="240" w:lineRule="auto"/>
              <w:jc w:val="center"/>
              <w:rPr>
                <w:rFonts w:cs="Times New Roman"/>
                <w:noProof/>
                <w:sz w:val="20"/>
                <w:szCs w:val="20"/>
              </w:rPr>
            </w:pPr>
            <w:r w:rsidRPr="005463E9">
              <w:rPr>
                <w:noProof/>
                <w:sz w:val="20"/>
                <w:szCs w:val="20"/>
              </w:rPr>
              <w:t>T2</w:t>
            </w:r>
          </w:p>
        </w:tc>
        <w:tc>
          <w:tcPr>
            <w:tcW w:w="709" w:type="dxa"/>
            <w:shd w:val="clear" w:color="auto" w:fill="C6EFCE"/>
            <w:noWrap/>
          </w:tcPr>
          <w:p w14:paraId="3D51554B" w14:textId="77777777" w:rsidR="00011DE9" w:rsidRPr="005463E9" w:rsidRDefault="00011DE9">
            <w:pPr>
              <w:pStyle w:val="P68B1DB1-Normal13"/>
              <w:spacing w:after="0" w:line="240" w:lineRule="auto"/>
              <w:jc w:val="center"/>
              <w:rPr>
                <w:rFonts w:cs="Times New Roman"/>
                <w:noProof/>
                <w:sz w:val="20"/>
                <w:szCs w:val="20"/>
              </w:rPr>
            </w:pPr>
            <w:r w:rsidRPr="005463E9">
              <w:rPr>
                <w:noProof/>
                <w:sz w:val="20"/>
                <w:szCs w:val="20"/>
              </w:rPr>
              <w:t>2026</w:t>
            </w:r>
          </w:p>
        </w:tc>
        <w:tc>
          <w:tcPr>
            <w:tcW w:w="6079" w:type="dxa"/>
            <w:shd w:val="clear" w:color="auto" w:fill="C6EFCE"/>
            <w:noWrap/>
          </w:tcPr>
          <w:p w14:paraId="7441FC47" w14:textId="77777777" w:rsidR="00011DE9" w:rsidRPr="005463E9" w:rsidRDefault="00011DE9">
            <w:pPr>
              <w:pStyle w:val="P68B1DB1-Normal13"/>
              <w:spacing w:after="0" w:line="240" w:lineRule="auto"/>
              <w:rPr>
                <w:rFonts w:cs="Times New Roman"/>
                <w:noProof/>
                <w:sz w:val="20"/>
                <w:szCs w:val="20"/>
              </w:rPr>
            </w:pPr>
            <w:r w:rsidRPr="005463E9">
              <w:rPr>
                <w:noProof/>
                <w:sz w:val="20"/>
                <w:szCs w:val="20"/>
              </w:rPr>
              <w:t xml:space="preserve">50 certificate de finalizare a lucrărilor emise pentru regenerarea siturilor de patrimoniu istoric. </w:t>
            </w:r>
          </w:p>
        </w:tc>
      </w:tr>
    </w:tbl>
    <w:p w14:paraId="7799BE2C" w14:textId="77777777" w:rsidR="00011DE9" w:rsidRDefault="00011DE9">
      <w:pPr>
        <w:spacing w:before="120" w:after="120" w:line="240" w:lineRule="auto"/>
        <w:ind w:left="709"/>
        <w:jc w:val="both"/>
        <w:rPr>
          <w:rFonts w:ascii="Times New Roman" w:eastAsia="Calibri" w:hAnsi="Times New Roman" w:cs="Times New Roman"/>
          <w:noProof/>
          <w:kern w:val="0"/>
          <w14:ligatures w14:val="none"/>
        </w:rPr>
      </w:pPr>
    </w:p>
    <w:p w14:paraId="60218F20" w14:textId="77777777" w:rsidR="00011DE9" w:rsidRDefault="00011DE9">
      <w:pPr>
        <w:rPr>
          <w:noProof/>
        </w:rPr>
        <w:sectPr w:rsidR="00011DE9" w:rsidSect="00011DE9">
          <w:headerReference w:type="even" r:id="rId200"/>
          <w:headerReference w:type="default" r:id="rId201"/>
          <w:footerReference w:type="even" r:id="rId202"/>
          <w:footerReference w:type="default" r:id="rId203"/>
          <w:headerReference w:type="first" r:id="rId204"/>
          <w:footerReference w:type="first" r:id="rId205"/>
          <w:pgSz w:w="16839" w:h="11907" w:orient="landscape"/>
          <w:pgMar w:top="1134" w:right="1134" w:bottom="1134" w:left="1134" w:header="567" w:footer="567" w:gutter="0"/>
          <w:cols w:space="720"/>
          <w:docGrid w:linePitch="360"/>
        </w:sectPr>
      </w:pPr>
    </w:p>
    <w:p w14:paraId="027CA342" w14:textId="77777777" w:rsidR="00011DE9" w:rsidRDefault="00011DE9">
      <w:pPr>
        <w:pStyle w:val="Heading1"/>
        <w:rPr>
          <w:rFonts w:cs="Times New Roman"/>
          <w:noProof/>
        </w:rPr>
      </w:pPr>
      <w:r>
        <w:rPr>
          <w:noProof/>
        </w:rPr>
        <w:t>O. COMPONENTA 15: Conectivitatea digitală</w:t>
      </w:r>
    </w:p>
    <w:p w14:paraId="028FCC49" w14:textId="77777777" w:rsidR="00011DE9" w:rsidRDefault="00011DE9">
      <w:pPr>
        <w:pStyle w:val="P68B1DB1-Normal16"/>
        <w:spacing w:before="120" w:after="120" w:line="240" w:lineRule="auto"/>
        <w:jc w:val="both"/>
        <w:rPr>
          <w:rFonts w:cs="Times New Roman"/>
          <w:noProof/>
        </w:rPr>
      </w:pPr>
      <w:r>
        <w:rPr>
          <w:noProof/>
        </w:rPr>
        <w:t>Conectivitatea digitală este un factor-cheie pentru dezvoltarea activității economice, pentru creșterea productivității, pentru stimularea inovării și pentru coeziunea teritorială și socială. Accesul la rețelele digitale este din ce în ce mai necesar pentru a putea avea acces la serviciile publice, pentru a dezvolta activități economice și pentru a participa activ în societate.</w:t>
      </w:r>
    </w:p>
    <w:p w14:paraId="619CAD90" w14:textId="77777777" w:rsidR="00011DE9" w:rsidRDefault="00011DE9">
      <w:pPr>
        <w:pStyle w:val="P68B1DB1-Normal16"/>
        <w:spacing w:before="120" w:after="120" w:line="240" w:lineRule="auto"/>
        <w:jc w:val="both"/>
        <w:rPr>
          <w:rFonts w:cs="Times New Roman"/>
          <w:noProof/>
        </w:rPr>
      </w:pPr>
      <w:r>
        <w:rPr>
          <w:noProof/>
        </w:rPr>
        <w:t>Această componentă a planului spaniol de redresare și reziliență abordează provocările legate de conectivitate în ceea ce privește acoperirea rețelelor fixe ultrarapide, cu peste 100 Mbps/s, și a rețelelor 5G în Spania și, în special, în zonele rurale și în principalele coridoare de transport transfrontalier. Din perspectiva securității cibernetice, principala provocare abordată de componentă este de a crea un mediu de încredere și sigur pentru ca cetățenii și întreprinderile să contribuie la procesul de digitalizare și hiperconectivitate asociat cu implementarea tehnologiei 5G și a serviciilor care vor fi furnizate de această tehnologie, cum ar fi aplicațiile internetului obiectelor (IoT).</w:t>
      </w:r>
    </w:p>
    <w:p w14:paraId="52BB621F" w14:textId="77777777" w:rsidR="00011DE9" w:rsidRDefault="00011DE9">
      <w:pPr>
        <w:pStyle w:val="P68B1DB1-Normal16"/>
        <w:spacing w:before="120" w:after="120" w:line="240" w:lineRule="auto"/>
        <w:jc w:val="both"/>
        <w:rPr>
          <w:rFonts w:cs="Times New Roman"/>
          <w:noProof/>
        </w:rPr>
      </w:pPr>
      <w:r>
        <w:rPr>
          <w:noProof/>
        </w:rPr>
        <w:t>Obiectivele acestei componente sunt de a alinia sectorul telecomunicațiilor la cerințele Strategiei digitale europene și de a consolida coeziunea economică, socială și teritorială prin eliminarea decalajelor digitale și creșterea accesului la acoperire ultrarapidă pe întreg teritoriul național. Componenta sprijină implementarea accelerată a tehnologiei 5G, prin: 1) punerea la dispoziție a resurselor de spectru necesare în benzile prioritare 5G; 2) dezvoltarea unui mediu de implementare fiabil și sigur și 3) promovarea dezvoltării aplicațiilor tehnologice 5G. Aceasta urmărește, de asemenea, să sprijine o cultură durabilă a securității cibernetice pentru cetățeni și întreprinderi.</w:t>
      </w:r>
    </w:p>
    <w:p w14:paraId="79B01846" w14:textId="77777777" w:rsidR="00011DE9" w:rsidRDefault="00011DE9">
      <w:pPr>
        <w:pStyle w:val="P68B1DB1-Normal16"/>
        <w:spacing w:before="120" w:after="120" w:line="240" w:lineRule="auto"/>
        <w:jc w:val="both"/>
        <w:rPr>
          <w:rFonts w:cs="Times New Roman"/>
          <w:noProof/>
        </w:rPr>
      </w:pPr>
      <w:r>
        <w:rPr>
          <w:noProof/>
        </w:rPr>
        <w:t>Componenta abordează recomandările specifice fiecărei țări privind concentrarea politicii economice de investiții pe promovarea inovării (Recomandarea specifică fiecărei țări 3 2019), concentrarea la începutul perioadei a proiectelor de investiții publice mature și concentrarea investițiilor pe tranziția digitală (Recomandările specifice fiecărei țări 3 2020, 1 2022, 1 2023).</w:t>
      </w:r>
    </w:p>
    <w:p w14:paraId="73A02D89" w14:textId="77777777" w:rsidR="00011DE9" w:rsidRDefault="00011DE9">
      <w:pPr>
        <w:pStyle w:val="P68B1DB1-Normal16"/>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62FFE790" w14:textId="2885BE09" w:rsidR="00011DE9" w:rsidRDefault="00011DE9">
      <w:pPr>
        <w:ind w:left="720"/>
        <w:rPr>
          <w:rFonts w:ascii="Times New Roman" w:hAnsi="Times New Roman" w:cs="Times New Roman"/>
          <w:noProof/>
          <w:u w:val="single"/>
        </w:rPr>
      </w:pPr>
      <w:r>
        <w:rPr>
          <w:rFonts w:ascii="Times New Roman" w:hAnsi="Times New Roman"/>
          <w:b/>
          <w:noProof/>
          <w:u w:val="single"/>
        </w:rPr>
        <w:t>O.1.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0E6376D4" w14:textId="77777777" w:rsidR="00011DE9" w:rsidRPr="00A636A7" w:rsidRDefault="00011DE9">
      <w:pPr>
        <w:pStyle w:val="P68B1DB1-Normal17"/>
        <w:spacing w:before="120" w:after="120" w:line="240" w:lineRule="auto"/>
        <w:jc w:val="both"/>
        <w:rPr>
          <w:rFonts w:cs="Times New Roman"/>
          <w:b w:val="0"/>
          <w:bCs/>
          <w:noProof/>
          <w:sz w:val="24"/>
          <w:u w:val="single"/>
        </w:rPr>
      </w:pPr>
      <w:r w:rsidRPr="00A636A7">
        <w:rPr>
          <w:b w:val="0"/>
          <w:bCs/>
          <w:noProof/>
          <w:sz w:val="24"/>
          <w:u w:val="single"/>
        </w:rPr>
        <w:t>Reforma 1 (C15.R1) – Reforma cadrului de reglementare în domeniul telecomunicațiilor: Drept general, instrumente de reglementare și instrumente de punere în aplicare</w:t>
      </w:r>
    </w:p>
    <w:p w14:paraId="18D24BA1" w14:textId="77777777" w:rsidR="00011DE9" w:rsidRDefault="00011DE9">
      <w:pPr>
        <w:pStyle w:val="P68B1DB1-Normal16"/>
        <w:spacing w:before="120" w:after="120" w:line="240" w:lineRule="auto"/>
        <w:jc w:val="both"/>
        <w:rPr>
          <w:rFonts w:cs="Times New Roman"/>
          <w:noProof/>
        </w:rPr>
      </w:pPr>
      <w:r>
        <w:rPr>
          <w:noProof/>
        </w:rPr>
        <w:t>Obiectivele măsurii sunt de a transpune Directiva 2018/1972 din Codul european al comunicațiilor electronice, de a dezvolta cele mai bune practici pentru implementarea rețelelor de mare capacitate și a rețelelor fixe și mobile 5G și de a elabora acțiunile necesare pentru punerea în aplicare în cadrul național a setului de instrumente care rezultă din Recomandarea Comisiei Europene privind conectivitatea C (2020) 6270.</w:t>
      </w:r>
    </w:p>
    <w:p w14:paraId="56AC2432" w14:textId="77777777" w:rsidR="00011DE9" w:rsidRDefault="00011DE9">
      <w:pPr>
        <w:pStyle w:val="P68B1DB1-Normal16"/>
        <w:spacing w:before="120" w:after="120" w:line="240" w:lineRule="auto"/>
        <w:jc w:val="both"/>
        <w:rPr>
          <w:rFonts w:cs="Times New Roman"/>
          <w:noProof/>
        </w:rPr>
      </w:pPr>
      <w:r>
        <w:rPr>
          <w:noProof/>
        </w:rPr>
        <w:t xml:space="preserve">Setul de instrumente care rezultă din punerea în aplicare a Recomandării C (2020) 6270 a Comisiei Europene privind conectivitatea trebuie încorporat în cadrul juridic spaniol în legislația generală privind telecomunicațiile în acele elemente care necesită statutul juridic. </w:t>
      </w:r>
    </w:p>
    <w:p w14:paraId="24F581A9" w14:textId="77777777" w:rsidR="00011DE9" w:rsidRDefault="00011DE9">
      <w:pPr>
        <w:pStyle w:val="P68B1DB1-Normal16"/>
        <w:autoSpaceDE w:val="0"/>
        <w:autoSpaceDN w:val="0"/>
        <w:spacing w:before="40" w:after="40" w:line="240" w:lineRule="auto"/>
        <w:jc w:val="both"/>
        <w:rPr>
          <w:rFonts w:cs="Times New Roman"/>
          <w:noProof/>
        </w:rPr>
      </w:pPr>
      <w:r>
        <w:rPr>
          <w:noProof/>
        </w:rPr>
        <w:t>Punerea în aplicare a măsurii se finalizează până la 30 iunie 2022.</w:t>
      </w:r>
      <w:r>
        <w:rPr>
          <w:noProof/>
          <w:sz w:val="20"/>
        </w:rPr>
        <w:t xml:space="preserve"> </w:t>
      </w:r>
    </w:p>
    <w:p w14:paraId="797BEEA8" w14:textId="77777777" w:rsidR="00011DE9" w:rsidRPr="00A636A7" w:rsidRDefault="00011DE9" w:rsidP="00A636A7">
      <w:pPr>
        <w:pStyle w:val="P68B1DB1-Normal17"/>
        <w:spacing w:before="120" w:after="120" w:line="240" w:lineRule="auto"/>
        <w:jc w:val="both"/>
        <w:rPr>
          <w:b w:val="0"/>
          <w:bCs/>
          <w:noProof/>
          <w:sz w:val="24"/>
          <w:u w:val="single"/>
        </w:rPr>
      </w:pPr>
      <w:r w:rsidRPr="00A636A7">
        <w:rPr>
          <w:b w:val="0"/>
          <w:bCs/>
          <w:noProof/>
          <w:sz w:val="24"/>
          <w:u w:val="single"/>
        </w:rPr>
        <w:t>Reforma 2 (C15.R2) – Foaia de parcurs 5G: Gestionarea și alocarea spectrului, reducerea sarcinii de implementare, Legea privind securitatea cibernetică 5G și sprijinirea autorităților locale</w:t>
      </w:r>
    </w:p>
    <w:p w14:paraId="227FA110" w14:textId="77777777" w:rsidR="00011DE9" w:rsidRDefault="00011DE9">
      <w:pPr>
        <w:pStyle w:val="P68B1DB1-Normal16"/>
        <w:keepNext/>
        <w:spacing w:before="120" w:after="120" w:line="240" w:lineRule="auto"/>
        <w:jc w:val="both"/>
        <w:rPr>
          <w:rFonts w:cs="Times New Roman"/>
          <w:noProof/>
        </w:rPr>
      </w:pPr>
      <w:r>
        <w:rPr>
          <w:noProof/>
        </w:rPr>
        <w:t>Obiectivele măsurii sunt: 1) finalizarea „celui de al doilea dividend digital” și a procedurii de licitație pentru banda de frecvențe de 700 MHz și banda de frecvențe de 26 GHz; 2) reducerea temporară a impozitării spectrului pentru operatorii de telecomunicații pentru 2022 și 2023, pentru a accelera implementarea tehnologiei 5G; 3) să integreze setul de instrumente al UE pentru securitatea cibernetică a rețelelor 5G în corpusul legislativ național; și 4) diseminarea către administrațiile publice locale a bunelor practici privind telecomunicațiile și planificarea urbană.</w:t>
      </w:r>
    </w:p>
    <w:p w14:paraId="1552AA5F" w14:textId="77777777" w:rsidR="00011DE9" w:rsidRDefault="00011DE9">
      <w:pPr>
        <w:pStyle w:val="P68B1DB1-Normal16"/>
        <w:spacing w:before="120" w:after="120" w:line="240" w:lineRule="auto"/>
        <w:jc w:val="both"/>
        <w:rPr>
          <w:rFonts w:cs="Times New Roman"/>
          <w:noProof/>
        </w:rPr>
      </w:pPr>
      <w:r>
        <w:rPr>
          <w:noProof/>
        </w:rPr>
        <w:t>În ceea ce privește punerea în aplicare, sunt identificate următoarele etape:</w:t>
      </w:r>
    </w:p>
    <w:p w14:paraId="1F5EC3E6" w14:textId="77777777" w:rsidR="00011DE9" w:rsidRDefault="00011DE9">
      <w:pPr>
        <w:pStyle w:val="P68B1DB1-Normal16"/>
        <w:numPr>
          <w:ilvl w:val="0"/>
          <w:numId w:val="126"/>
        </w:numPr>
        <w:spacing w:before="120" w:line="256" w:lineRule="auto"/>
        <w:contextualSpacing/>
        <w:jc w:val="both"/>
        <w:rPr>
          <w:rFonts w:cs="Times New Roman"/>
          <w:noProof/>
        </w:rPr>
      </w:pPr>
      <w:r>
        <w:rPr>
          <w:noProof/>
        </w:rPr>
        <w:t>Finalizarea celui de-al doilea dividend digital</w:t>
      </w:r>
    </w:p>
    <w:p w14:paraId="118E09AD" w14:textId="77777777" w:rsidR="00011DE9" w:rsidRDefault="00011DE9">
      <w:pPr>
        <w:pStyle w:val="P68B1DB1-Normal16"/>
        <w:numPr>
          <w:ilvl w:val="0"/>
          <w:numId w:val="126"/>
        </w:numPr>
        <w:spacing w:before="120" w:line="256" w:lineRule="auto"/>
        <w:contextualSpacing/>
        <w:jc w:val="both"/>
        <w:rPr>
          <w:rFonts w:cs="Times New Roman"/>
          <w:noProof/>
        </w:rPr>
      </w:pPr>
      <w:r>
        <w:rPr>
          <w:noProof/>
        </w:rPr>
        <w:t>Strategia de promovare a tehnologiei 5G</w:t>
      </w:r>
    </w:p>
    <w:p w14:paraId="1115F164" w14:textId="77777777" w:rsidR="00011DE9" w:rsidRDefault="00011DE9">
      <w:pPr>
        <w:pStyle w:val="P68B1DB1-Normal16"/>
        <w:numPr>
          <w:ilvl w:val="0"/>
          <w:numId w:val="126"/>
        </w:numPr>
        <w:spacing w:before="120" w:line="256" w:lineRule="auto"/>
        <w:contextualSpacing/>
        <w:jc w:val="both"/>
        <w:rPr>
          <w:rFonts w:cs="Times New Roman"/>
          <w:noProof/>
        </w:rPr>
      </w:pPr>
      <w:r>
        <w:rPr>
          <w:noProof/>
        </w:rPr>
        <w:t xml:space="preserve">Licitație pentru banda de 700 MHz </w:t>
      </w:r>
    </w:p>
    <w:p w14:paraId="11DA3E02" w14:textId="77777777" w:rsidR="00011DE9" w:rsidRDefault="00011DE9">
      <w:pPr>
        <w:pStyle w:val="P68B1DB1-Normal16"/>
        <w:numPr>
          <w:ilvl w:val="0"/>
          <w:numId w:val="126"/>
        </w:numPr>
        <w:spacing w:before="120" w:line="256" w:lineRule="auto"/>
        <w:contextualSpacing/>
        <w:jc w:val="both"/>
        <w:rPr>
          <w:rFonts w:cs="Times New Roman"/>
          <w:noProof/>
        </w:rPr>
      </w:pPr>
      <w:r>
        <w:rPr>
          <w:noProof/>
        </w:rPr>
        <w:t>Cerere de oferte pentru banda de 26 GHz</w:t>
      </w:r>
    </w:p>
    <w:p w14:paraId="7C897A6F" w14:textId="77777777" w:rsidR="00011DE9" w:rsidRDefault="00011DE9">
      <w:pPr>
        <w:pStyle w:val="P68B1DB1-Normal16"/>
        <w:numPr>
          <w:ilvl w:val="0"/>
          <w:numId w:val="126"/>
        </w:numPr>
        <w:spacing w:before="120" w:line="256" w:lineRule="auto"/>
        <w:contextualSpacing/>
        <w:jc w:val="both"/>
        <w:rPr>
          <w:rFonts w:cs="Times New Roman"/>
          <w:noProof/>
        </w:rPr>
      </w:pPr>
      <w:r>
        <w:rPr>
          <w:noProof/>
        </w:rPr>
        <w:t>Reducerea temporară a impozitării spectrului</w:t>
      </w:r>
    </w:p>
    <w:p w14:paraId="412AFEDE" w14:textId="77777777" w:rsidR="00011DE9" w:rsidRDefault="00011DE9">
      <w:pPr>
        <w:pStyle w:val="P68B1DB1-Normal16"/>
        <w:numPr>
          <w:ilvl w:val="0"/>
          <w:numId w:val="126"/>
        </w:numPr>
        <w:spacing w:before="120" w:line="256" w:lineRule="auto"/>
        <w:contextualSpacing/>
        <w:jc w:val="both"/>
        <w:rPr>
          <w:rFonts w:cs="Times New Roman"/>
          <w:noProof/>
        </w:rPr>
      </w:pPr>
      <w:r>
        <w:rPr>
          <w:noProof/>
        </w:rPr>
        <w:t>Regulamentul privind securitatea cibernetică 5G</w:t>
      </w:r>
    </w:p>
    <w:p w14:paraId="29805EF2" w14:textId="77777777" w:rsidR="00011DE9" w:rsidRDefault="00011DE9">
      <w:pPr>
        <w:pStyle w:val="P68B1DB1-Normal16"/>
        <w:autoSpaceDE w:val="0"/>
        <w:autoSpaceDN w:val="0"/>
        <w:spacing w:before="40" w:after="40" w:line="240" w:lineRule="auto"/>
        <w:jc w:val="both"/>
        <w:rPr>
          <w:rFonts w:cs="Times New Roman"/>
          <w:noProof/>
        </w:rPr>
      </w:pPr>
      <w:r>
        <w:rPr>
          <w:noProof/>
        </w:rPr>
        <w:t>Punerea în aplicare a măsurii se finalizează până la 31 decembrie 2022.</w:t>
      </w:r>
      <w:r>
        <w:rPr>
          <w:noProof/>
          <w:sz w:val="20"/>
        </w:rPr>
        <w:t xml:space="preserve"> </w:t>
      </w:r>
    </w:p>
    <w:p w14:paraId="3CC72AA7" w14:textId="77777777" w:rsidR="00011DE9" w:rsidRPr="00A636A7" w:rsidRDefault="00011DE9">
      <w:pPr>
        <w:pStyle w:val="P68B1DB1-Normal17"/>
        <w:spacing w:before="120" w:after="120" w:line="240" w:lineRule="auto"/>
        <w:jc w:val="both"/>
        <w:rPr>
          <w:b w:val="0"/>
          <w:bCs/>
          <w:noProof/>
          <w:sz w:val="24"/>
          <w:u w:val="single"/>
        </w:rPr>
      </w:pPr>
      <w:r w:rsidRPr="00A636A7">
        <w:rPr>
          <w:b w:val="0"/>
          <w:bCs/>
          <w:noProof/>
          <w:sz w:val="24"/>
          <w:u w:val="single"/>
        </w:rPr>
        <w:t>Investiția 1 (C15.I1) – Extinderea benzii largi ultrarapide</w:t>
      </w:r>
    </w:p>
    <w:p w14:paraId="3FBC201C" w14:textId="77777777" w:rsidR="00011DE9" w:rsidRDefault="00011DE9">
      <w:pPr>
        <w:pStyle w:val="P68B1DB1-Normal16"/>
        <w:spacing w:before="120" w:after="120" w:line="240" w:lineRule="auto"/>
        <w:jc w:val="both"/>
        <w:rPr>
          <w:noProof/>
        </w:rPr>
      </w:pPr>
      <w:r>
        <w:rPr>
          <w:noProof/>
        </w:rPr>
        <w:t>Obiectivul măsurii este de a îmbunătăți acoperirea conectivității în bandă largă la 100 Mbps în zonele albe și gri. </w:t>
      </w:r>
    </w:p>
    <w:p w14:paraId="2F28AB0A" w14:textId="77777777" w:rsidR="00011DE9" w:rsidRDefault="00011DE9">
      <w:pPr>
        <w:pStyle w:val="P68B1DB1-Normal16"/>
        <w:spacing w:before="120" w:after="120" w:line="240" w:lineRule="auto"/>
        <w:jc w:val="both"/>
        <w:rPr>
          <w:noProof/>
        </w:rPr>
      </w:pPr>
      <w:r>
        <w:rPr>
          <w:noProof/>
        </w:rPr>
        <w:t>Măsura constă în furnizarea de conectivitate în bandă largă ultrarapidă în zonele albe și gri.</w:t>
      </w:r>
    </w:p>
    <w:p w14:paraId="46366271" w14:textId="77777777" w:rsidR="00011DE9" w:rsidRDefault="00011DE9">
      <w:pPr>
        <w:spacing w:before="120" w:after="120" w:line="240" w:lineRule="auto"/>
        <w:jc w:val="both"/>
        <w:rPr>
          <w:rFonts w:ascii="Times New Roman" w:hAnsi="Times New Roman"/>
          <w:noProof/>
        </w:rPr>
      </w:pPr>
    </w:p>
    <w:p w14:paraId="2F6B71A7" w14:textId="77777777" w:rsidR="00011DE9" w:rsidRPr="00A636A7" w:rsidRDefault="00011DE9">
      <w:pPr>
        <w:pStyle w:val="P68B1DB1-Normal17"/>
        <w:spacing w:before="120" w:after="120" w:line="240" w:lineRule="auto"/>
        <w:jc w:val="both"/>
        <w:rPr>
          <w:b w:val="0"/>
          <w:bCs/>
          <w:noProof/>
          <w:sz w:val="24"/>
          <w:u w:val="single"/>
        </w:rPr>
      </w:pPr>
      <w:r w:rsidRPr="00A636A7">
        <w:rPr>
          <w:b w:val="0"/>
          <w:bCs/>
          <w:noProof/>
          <w:sz w:val="24"/>
          <w:u w:val="single"/>
        </w:rPr>
        <w:t>Investiția 2 (C15.I2) Îmbunătățirea conectivității în centrele de referință</w:t>
      </w:r>
    </w:p>
    <w:p w14:paraId="47F3DD06" w14:textId="77777777" w:rsidR="00011DE9" w:rsidRDefault="00011DE9">
      <w:pPr>
        <w:pStyle w:val="P68B1DB1-Normal16"/>
        <w:spacing w:before="120" w:after="120" w:line="240" w:lineRule="auto"/>
        <w:jc w:val="both"/>
        <w:rPr>
          <w:noProof/>
        </w:rPr>
      </w:pPr>
      <w:r>
        <w:rPr>
          <w:noProof/>
        </w:rPr>
        <w:t>Obiectivul măsurii este de a promova digitalizarea în centrele de referință. </w:t>
      </w:r>
    </w:p>
    <w:p w14:paraId="71730259" w14:textId="5AF6FA23" w:rsidR="00011DE9" w:rsidRDefault="00011DE9">
      <w:pPr>
        <w:pStyle w:val="NormalWeb"/>
        <w:spacing w:before="120" w:after="120" w:line="240" w:lineRule="auto"/>
        <w:jc w:val="both"/>
        <w:rPr>
          <w:noProof/>
        </w:rPr>
      </w:pPr>
      <w:r>
        <w:rPr>
          <w:noProof/>
        </w:rPr>
        <w:t>Investiția constă în desfășurarea de acțiuni de îmbunătățire a conectivității în centre și servicii publice, precum și în situri industriale și de afaceri și în furnizarea de puncte de conectare pentru locații legate de apărare.</w:t>
      </w:r>
      <w:r w:rsidR="00971820">
        <w:rPr>
          <w:noProof/>
        </w:rPr>
        <w:t xml:space="preserve"> </w:t>
      </w:r>
    </w:p>
    <w:p w14:paraId="642E01FF" w14:textId="77777777" w:rsidR="00011DE9" w:rsidRPr="00A636A7" w:rsidRDefault="00011DE9">
      <w:pPr>
        <w:pStyle w:val="P68B1DB1-Normal17"/>
        <w:spacing w:before="120" w:after="120" w:line="240" w:lineRule="auto"/>
        <w:jc w:val="both"/>
        <w:rPr>
          <w:b w:val="0"/>
          <w:bCs/>
          <w:noProof/>
          <w:sz w:val="24"/>
          <w:u w:val="single"/>
        </w:rPr>
      </w:pPr>
      <w:r w:rsidRPr="00A636A7">
        <w:rPr>
          <w:b w:val="0"/>
          <w:bCs/>
          <w:noProof/>
          <w:sz w:val="24"/>
          <w:u w:val="single"/>
        </w:rPr>
        <w:t>Investiția 3 (C15.I3) – vouchere de conectivitate pentru IMM-uri și persoane fizice</w:t>
      </w:r>
    </w:p>
    <w:p w14:paraId="540F829B" w14:textId="77777777" w:rsidR="00011DE9" w:rsidRDefault="00011DE9">
      <w:pPr>
        <w:pStyle w:val="P68B1DB1-Normal16"/>
        <w:spacing w:before="120" w:after="120" w:line="240" w:lineRule="auto"/>
        <w:jc w:val="both"/>
        <w:rPr>
          <w:noProof/>
        </w:rPr>
      </w:pPr>
      <w:r>
        <w:rPr>
          <w:noProof/>
        </w:rPr>
        <w:t xml:space="preserve">Obiectivul măsurii este de a facilita conectivitatea pentru persoane fizice și IMM-uri. </w:t>
      </w:r>
    </w:p>
    <w:p w14:paraId="72124E85" w14:textId="77777777" w:rsidR="00011DE9" w:rsidRDefault="00011DE9">
      <w:pPr>
        <w:pStyle w:val="P68B1DB1-Normal16"/>
        <w:spacing w:before="120" w:after="120" w:line="240" w:lineRule="auto"/>
        <w:jc w:val="both"/>
        <w:rPr>
          <w:rFonts w:cs="Times New Roman"/>
          <w:noProof/>
        </w:rPr>
      </w:pPr>
      <w:r>
        <w:rPr>
          <w:noProof/>
        </w:rPr>
        <w:t>Investiția constă în furnizarea de cupoane valorice persoanelor fizice și IMM-urilor în cadrul programului UNICO Bono Social și al programului UNICO Bono PYME.</w:t>
      </w:r>
    </w:p>
    <w:p w14:paraId="435B38D4" w14:textId="77777777" w:rsidR="00011DE9" w:rsidRPr="00A636A7" w:rsidRDefault="00011DE9">
      <w:pPr>
        <w:pStyle w:val="P68B1DB1-Normal17"/>
        <w:spacing w:before="120" w:after="120" w:line="240" w:lineRule="auto"/>
        <w:jc w:val="both"/>
        <w:rPr>
          <w:b w:val="0"/>
          <w:bCs/>
          <w:noProof/>
          <w:sz w:val="24"/>
          <w:u w:val="single"/>
        </w:rPr>
      </w:pPr>
      <w:r w:rsidRPr="00A636A7">
        <w:rPr>
          <w:b w:val="0"/>
          <w:bCs/>
          <w:noProof/>
          <w:sz w:val="24"/>
          <w:u w:val="single"/>
        </w:rPr>
        <w:t>Investiția 5 (C15.I5) – Implementarea infrastructurii digitale transfrontaliere</w:t>
      </w:r>
    </w:p>
    <w:p w14:paraId="1DA0083E" w14:textId="77777777" w:rsidR="00011DE9" w:rsidRDefault="00011DE9">
      <w:pPr>
        <w:pStyle w:val="P68B1DB1-Normal16"/>
        <w:spacing w:before="120" w:after="120" w:line="240" w:lineRule="auto"/>
        <w:jc w:val="both"/>
        <w:rPr>
          <w:noProof/>
        </w:rPr>
      </w:pPr>
      <w:r>
        <w:rPr>
          <w:noProof/>
        </w:rPr>
        <w:t>Obiectivul acestei măsuri este de a îmbunătăți infrastructura digitală. Măsura constă în investiții în cabluri submarine și în finanțare pentru proiecte de C &amp; D în (i) infrastructura de cloud, (ii) procesoarele avansate și semiconductorii și (iii) comunicațiile cuantice și prin satelit.</w:t>
      </w:r>
    </w:p>
    <w:p w14:paraId="1F68E33B" w14:textId="77777777" w:rsidR="00011DE9" w:rsidRDefault="00011DE9">
      <w:pPr>
        <w:pStyle w:val="P68B1DB1-Normal17"/>
        <w:spacing w:before="120" w:after="120" w:line="240" w:lineRule="auto"/>
        <w:jc w:val="both"/>
        <w:rPr>
          <w:rFonts w:cs="Times New Roman"/>
          <w:noProof/>
        </w:rPr>
      </w:pPr>
      <w:r>
        <w:rPr>
          <w:noProof/>
        </w:rPr>
        <w:t>Investiția 6 (C15.I6) – Implementarea tehnologiei 5G: rețele, schimbări tehnologice și inovare</w:t>
      </w:r>
    </w:p>
    <w:p w14:paraId="15E20476" w14:textId="77777777" w:rsidR="00011DE9" w:rsidRDefault="00011DE9">
      <w:pPr>
        <w:pStyle w:val="P68B1DB1-Normal16"/>
        <w:spacing w:before="120" w:after="120" w:line="240" w:lineRule="auto"/>
        <w:jc w:val="both"/>
        <w:rPr>
          <w:noProof/>
        </w:rPr>
      </w:pPr>
      <w:r>
        <w:rPr>
          <w:noProof/>
        </w:rPr>
        <w:t>Obiectivul acestei măsuri este de a sprijini tehnologiile 5G pe întreg teritoriul Spaniei. </w:t>
      </w:r>
    </w:p>
    <w:p w14:paraId="1AD1D4EC" w14:textId="77777777" w:rsidR="00011DE9" w:rsidRDefault="00011DE9">
      <w:pPr>
        <w:pStyle w:val="P68B1DB1-Normal16"/>
        <w:spacing w:before="120" w:after="120" w:line="240" w:lineRule="auto"/>
        <w:jc w:val="both"/>
        <w:rPr>
          <w:noProof/>
        </w:rPr>
      </w:pPr>
      <w:r>
        <w:rPr>
          <w:noProof/>
        </w:rPr>
        <w:t>Investiția constă în implementarea tehnologiei 5G și în sprijinirea proiectelor de C &amp; D în domeniul 5G și 6G.</w:t>
      </w:r>
    </w:p>
    <w:p w14:paraId="7EE22218" w14:textId="77777777" w:rsidR="00011DE9" w:rsidRPr="00A636A7" w:rsidRDefault="00011DE9">
      <w:pPr>
        <w:pStyle w:val="P68B1DB1-Normal17"/>
        <w:spacing w:before="120" w:after="120" w:line="240" w:lineRule="auto"/>
        <w:jc w:val="both"/>
        <w:rPr>
          <w:b w:val="0"/>
          <w:bCs/>
          <w:noProof/>
          <w:sz w:val="24"/>
          <w:u w:val="single"/>
        </w:rPr>
      </w:pPr>
      <w:r w:rsidRPr="00A636A7">
        <w:rPr>
          <w:b w:val="0"/>
          <w:bCs/>
          <w:noProof/>
          <w:sz w:val="24"/>
          <w:u w:val="single"/>
        </w:rPr>
        <w:t>Investiția 7 (C15.I7) Securitatea cibernetică: Consolidarea capacităților cetățenilor, ale IMM-urilor și ale profesioniștilor; îmbunătățirea ecosistemului sectorului</w:t>
      </w:r>
    </w:p>
    <w:p w14:paraId="4442F40C" w14:textId="691D171E" w:rsidR="00011DE9" w:rsidRDefault="00011DE9">
      <w:pPr>
        <w:pStyle w:val="P68B1DB1-Normal16"/>
        <w:spacing w:before="120" w:after="120" w:line="240" w:lineRule="auto"/>
        <w:jc w:val="both"/>
        <w:rPr>
          <w:noProof/>
        </w:rPr>
      </w:pPr>
      <w:r>
        <w:rPr>
          <w:noProof/>
        </w:rPr>
        <w:t>Obiectivul măsurii este de a promova capacitățile în materie de securitate cibernetică și sectorul securității cibernetice.</w:t>
      </w:r>
      <w:r w:rsidR="00971820">
        <w:rPr>
          <w:noProof/>
        </w:rPr>
        <w:t xml:space="preserve"> </w:t>
      </w:r>
    </w:p>
    <w:p w14:paraId="5799379D" w14:textId="3182C6DD" w:rsidR="00011DE9" w:rsidRDefault="00011DE9">
      <w:pPr>
        <w:pStyle w:val="P68B1DB1-Normal16"/>
        <w:spacing w:before="120" w:after="120" w:line="240" w:lineRule="auto"/>
        <w:jc w:val="both"/>
        <w:rPr>
          <w:noProof/>
        </w:rPr>
      </w:pPr>
      <w:r>
        <w:rPr>
          <w:noProof/>
        </w:rPr>
        <w:t>Investiția constă în dezvoltarea capacităților în materie de securitate cibernetică atât ale cetățenilor, cât și ale întreprinderilor și în stimularea ecosistemului spaniol de securitate cibernetică.</w:t>
      </w:r>
      <w:r w:rsidR="00971820">
        <w:rPr>
          <w:noProof/>
        </w:rPr>
        <w:t xml:space="preserve"> </w:t>
      </w:r>
    </w:p>
    <w:p w14:paraId="2BF77846" w14:textId="77777777" w:rsidR="00011DE9" w:rsidRPr="00A636A7" w:rsidRDefault="00011DE9">
      <w:pPr>
        <w:pStyle w:val="P68B1DB1-Normal17"/>
        <w:spacing w:before="120" w:after="120" w:line="240" w:lineRule="auto"/>
        <w:jc w:val="both"/>
        <w:rPr>
          <w:b w:val="0"/>
          <w:bCs/>
          <w:noProof/>
          <w:sz w:val="24"/>
          <w:u w:val="single"/>
        </w:rPr>
      </w:pPr>
      <w:r w:rsidRPr="00A636A7">
        <w:rPr>
          <w:b w:val="0"/>
          <w:bCs/>
          <w:noProof/>
          <w:sz w:val="24"/>
          <w:u w:val="single"/>
        </w:rPr>
        <w:t>Investiția 8 (C15.I8) – Chip PERTE: Consolidarea ecosistemului științific și tehnologic. Capacități de proiectare sporite</w:t>
      </w:r>
    </w:p>
    <w:p w14:paraId="4FCDE108" w14:textId="77777777" w:rsidR="00011DE9" w:rsidRDefault="00011DE9">
      <w:pPr>
        <w:pStyle w:val="P68B1DB1-Normal16"/>
        <w:spacing w:before="120" w:after="120" w:line="240" w:lineRule="auto"/>
        <w:jc w:val="both"/>
        <w:rPr>
          <w:rFonts w:cs="Times New Roman"/>
          <w:noProof/>
        </w:rPr>
      </w:pPr>
      <w:r>
        <w:rPr>
          <w:noProof/>
        </w:rPr>
        <w:t xml:space="preserve">Această măsură face parte din cipul PERTE, care urmărește să promoveze industria microelectronică și a semiconductorilor în Spania. </w:t>
      </w:r>
    </w:p>
    <w:p w14:paraId="283ED450" w14:textId="71AFBF78" w:rsidR="00011DE9" w:rsidRDefault="00011DE9">
      <w:pPr>
        <w:pStyle w:val="P68B1DB1-Normal16"/>
        <w:spacing w:before="120" w:after="120" w:line="240" w:lineRule="auto"/>
        <w:jc w:val="both"/>
        <w:rPr>
          <w:rFonts w:cs="Times New Roman"/>
          <w:noProof/>
        </w:rPr>
      </w:pPr>
      <w:r>
        <w:rPr>
          <w:noProof/>
        </w:rPr>
        <w:t>Această investiție constă în finanțarea proiectelor de C &amp; D în domeniul microelectronicii și al semiconductorilor și în crearea de catedre academice.</w:t>
      </w:r>
      <w:r w:rsidR="00971820">
        <w:rPr>
          <w:noProof/>
        </w:rPr>
        <w:t xml:space="preserve"> </w:t>
      </w:r>
    </w:p>
    <w:p w14:paraId="0D63C3D4" w14:textId="1138E636" w:rsidR="00011DE9" w:rsidRDefault="00011DE9">
      <w:pPr>
        <w:ind w:left="720"/>
        <w:rPr>
          <w:rFonts w:ascii="Times New Roman" w:hAnsi="Times New Roman" w:cs="Times New Roman"/>
          <w:noProof/>
          <w:u w:val="single"/>
        </w:rPr>
      </w:pPr>
      <w:r>
        <w:rPr>
          <w:rFonts w:ascii="Times New Roman" w:hAnsi="Times New Roman"/>
          <w:b/>
          <w:noProof/>
          <w:u w:val="single"/>
        </w:rPr>
        <w:t>O.2.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475C496C" w14:textId="77777777" w:rsidR="00011DE9" w:rsidRDefault="00011DE9">
      <w:pPr>
        <w:pStyle w:val="P68B1DB1-Normal16"/>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3A7990EC" w14:textId="77777777" w:rsidR="00011DE9" w:rsidRDefault="00011DE9">
      <w:pPr>
        <w:spacing w:before="120" w:after="120" w:line="240" w:lineRule="auto"/>
        <w:jc w:val="both"/>
        <w:rPr>
          <w:rFonts w:ascii="Times New Roman" w:hAnsi="Times New Roman" w:cs="Times New Roman"/>
          <w:b/>
          <w:bCs/>
          <w:noProof/>
          <w:u w:val="single"/>
        </w:rPr>
      </w:pPr>
    </w:p>
    <w:p w14:paraId="64B97BA8" w14:textId="77777777" w:rsidR="00011DE9" w:rsidRDefault="00011DE9">
      <w:pPr>
        <w:spacing w:before="120" w:after="120" w:line="240" w:lineRule="auto"/>
        <w:ind w:left="709"/>
        <w:jc w:val="both"/>
        <w:rPr>
          <w:rFonts w:ascii="Times New Roman" w:hAnsi="Times New Roman" w:cs="Times New Roman"/>
          <w:noProof/>
        </w:rPr>
        <w:sectPr w:rsidR="00011DE9" w:rsidSect="00011DE9">
          <w:headerReference w:type="default" r:id="rId206"/>
          <w:footerReference w:type="default" r:id="rId207"/>
          <w:pgSz w:w="11907" w:h="16839"/>
          <w:pgMar w:top="1134" w:right="1134" w:bottom="1134" w:left="1134" w:header="567" w:footer="567" w:gutter="0"/>
          <w:cols w:space="720"/>
          <w:docGrid w:linePitch="360"/>
        </w:sectPr>
      </w:pPr>
    </w:p>
    <w:tbl>
      <w:tblPr>
        <w:tblW w:w="15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00"/>
        <w:gridCol w:w="945"/>
        <w:gridCol w:w="812"/>
        <w:gridCol w:w="2445"/>
        <w:gridCol w:w="1181"/>
        <w:gridCol w:w="692"/>
        <w:gridCol w:w="966"/>
        <w:gridCol w:w="757"/>
        <w:gridCol w:w="489"/>
        <w:gridCol w:w="691"/>
        <w:gridCol w:w="5563"/>
        <w:gridCol w:w="82"/>
      </w:tblGrid>
      <w:tr w:rsidR="00011DE9" w14:paraId="44A812C5" w14:textId="77777777">
        <w:trPr>
          <w:trHeight w:val="300"/>
          <w:tblHeader/>
          <w:jc w:val="center"/>
        </w:trPr>
        <w:tc>
          <w:tcPr>
            <w:tcW w:w="800" w:type="dxa"/>
            <w:vMerge w:val="restart"/>
            <w:tcBorders>
              <w:top w:val="single" w:sz="4" w:space="0" w:color="auto"/>
              <w:left w:val="single" w:sz="4" w:space="0" w:color="auto"/>
              <w:right w:val="single" w:sz="4" w:space="0" w:color="auto"/>
            </w:tcBorders>
            <w:shd w:val="clear" w:color="auto" w:fill="B7D4EF"/>
            <w:noWrap/>
            <w:vAlign w:val="center"/>
            <w:hideMark/>
          </w:tcPr>
          <w:p w14:paraId="3AC9D8A3" w14:textId="77777777" w:rsidR="00011DE9" w:rsidRDefault="00011DE9">
            <w:pPr>
              <w:pStyle w:val="P68B1DB1-Normal18"/>
              <w:spacing w:after="0"/>
              <w:jc w:val="center"/>
              <w:rPr>
                <w:rFonts w:cs="Times New Roman"/>
                <w:bCs/>
                <w:noProof/>
                <w:szCs w:val="18"/>
              </w:rPr>
            </w:pPr>
            <w:r>
              <w:rPr>
                <w:noProof/>
              </w:rPr>
              <w:t>Număr</w:t>
            </w:r>
          </w:p>
        </w:tc>
        <w:tc>
          <w:tcPr>
            <w:tcW w:w="945" w:type="dxa"/>
            <w:vMerge w:val="restart"/>
            <w:tcBorders>
              <w:top w:val="single" w:sz="4" w:space="0" w:color="auto"/>
              <w:left w:val="single" w:sz="4" w:space="0" w:color="auto"/>
              <w:right w:val="single" w:sz="4" w:space="0" w:color="auto"/>
            </w:tcBorders>
            <w:shd w:val="clear" w:color="auto" w:fill="B7D4EF"/>
            <w:noWrap/>
            <w:vAlign w:val="center"/>
            <w:hideMark/>
          </w:tcPr>
          <w:p w14:paraId="6C88C1AD" w14:textId="77777777" w:rsidR="00011DE9" w:rsidRDefault="00011DE9">
            <w:pPr>
              <w:pStyle w:val="P68B1DB1-Normal18"/>
              <w:spacing w:after="0"/>
              <w:jc w:val="center"/>
              <w:rPr>
                <w:rFonts w:cs="Times New Roman"/>
                <w:bCs/>
                <w:noProof/>
                <w:szCs w:val="18"/>
              </w:rPr>
            </w:pPr>
            <w:r>
              <w:rPr>
                <w:noProof/>
              </w:rPr>
              <w:t>Măsură</w:t>
            </w:r>
          </w:p>
        </w:tc>
        <w:tc>
          <w:tcPr>
            <w:tcW w:w="812" w:type="dxa"/>
            <w:vMerge w:val="restart"/>
            <w:tcBorders>
              <w:top w:val="single" w:sz="4" w:space="0" w:color="auto"/>
              <w:left w:val="single" w:sz="4" w:space="0" w:color="auto"/>
              <w:right w:val="single" w:sz="4" w:space="0" w:color="auto"/>
            </w:tcBorders>
            <w:shd w:val="clear" w:color="auto" w:fill="B7D4EF"/>
            <w:noWrap/>
            <w:vAlign w:val="center"/>
            <w:hideMark/>
          </w:tcPr>
          <w:p w14:paraId="557AE93B" w14:textId="29DBB826" w:rsidR="00011DE9" w:rsidRDefault="00011DE9">
            <w:pPr>
              <w:spacing w:after="0"/>
              <w:jc w:val="center"/>
              <w:rPr>
                <w:rFonts w:ascii="Times New Roman" w:hAnsi="Times New Roman" w:cs="Times New Roman"/>
                <w:b/>
                <w:bCs/>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2445" w:type="dxa"/>
            <w:vMerge w:val="restart"/>
            <w:tcBorders>
              <w:top w:val="single" w:sz="4" w:space="0" w:color="auto"/>
              <w:left w:val="single" w:sz="4" w:space="0" w:color="auto"/>
              <w:right w:val="single" w:sz="4" w:space="0" w:color="auto"/>
            </w:tcBorders>
            <w:shd w:val="clear" w:color="auto" w:fill="B7D4EF"/>
            <w:noWrap/>
            <w:vAlign w:val="center"/>
            <w:hideMark/>
          </w:tcPr>
          <w:p w14:paraId="67525F1D" w14:textId="77777777" w:rsidR="00011DE9" w:rsidRDefault="00011DE9">
            <w:pPr>
              <w:pStyle w:val="P68B1DB1-Normal18"/>
              <w:spacing w:after="0"/>
              <w:jc w:val="center"/>
              <w:rPr>
                <w:rFonts w:cs="Times New Roman"/>
                <w:bCs/>
                <w:noProof/>
                <w:szCs w:val="18"/>
              </w:rPr>
            </w:pPr>
            <w:r>
              <w:rPr>
                <w:noProof/>
              </w:rPr>
              <w:t>Nume</w:t>
            </w:r>
          </w:p>
        </w:tc>
        <w:tc>
          <w:tcPr>
            <w:tcW w:w="1181" w:type="dxa"/>
            <w:vMerge w:val="restart"/>
            <w:tcBorders>
              <w:top w:val="single" w:sz="4" w:space="0" w:color="auto"/>
              <w:left w:val="single" w:sz="4" w:space="0" w:color="auto"/>
              <w:right w:val="single" w:sz="4" w:space="0" w:color="auto"/>
            </w:tcBorders>
            <w:shd w:val="clear" w:color="auto" w:fill="B7D4EF"/>
            <w:noWrap/>
            <w:vAlign w:val="center"/>
            <w:hideMark/>
          </w:tcPr>
          <w:p w14:paraId="5E17BDD7" w14:textId="77777777" w:rsidR="00011DE9" w:rsidRDefault="00011DE9">
            <w:pPr>
              <w:pStyle w:val="P68B1DB1-Normal18"/>
              <w:spacing w:after="0"/>
              <w:jc w:val="center"/>
              <w:rPr>
                <w:rFonts w:cs="Times New Roman"/>
                <w:bCs/>
                <w:noProof/>
                <w:szCs w:val="18"/>
              </w:rPr>
            </w:pPr>
            <w:r>
              <w:rPr>
                <w:noProof/>
              </w:rPr>
              <w:t>Indicator calitativ pentru jaloane</w:t>
            </w:r>
          </w:p>
        </w:tc>
        <w:tc>
          <w:tcPr>
            <w:tcW w:w="2415" w:type="dxa"/>
            <w:gridSpan w:val="3"/>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4FDAC6EF" w14:textId="77777777" w:rsidR="00011DE9" w:rsidRDefault="00011DE9">
            <w:pPr>
              <w:pStyle w:val="P68B1DB1-Normal18"/>
              <w:spacing w:after="0"/>
              <w:jc w:val="center"/>
              <w:rPr>
                <w:rFonts w:cs="Times New Roman"/>
                <w:bCs/>
                <w:noProof/>
                <w:szCs w:val="18"/>
              </w:rPr>
            </w:pPr>
            <w:r>
              <w:rPr>
                <w:noProof/>
              </w:rPr>
              <w:t>Indicator cantitativ pentru ținte</w:t>
            </w:r>
          </w:p>
        </w:tc>
        <w:tc>
          <w:tcPr>
            <w:tcW w:w="1180" w:type="dxa"/>
            <w:gridSpan w:val="2"/>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170E92E6" w14:textId="77777777" w:rsidR="00011DE9" w:rsidRDefault="00011DE9">
            <w:pPr>
              <w:pStyle w:val="P68B1DB1-Normal18"/>
              <w:spacing w:after="0"/>
              <w:jc w:val="center"/>
              <w:rPr>
                <w:rFonts w:cs="Times New Roman"/>
                <w:bCs/>
                <w:noProof/>
                <w:szCs w:val="18"/>
              </w:rPr>
            </w:pPr>
            <w:r>
              <w:rPr>
                <w:noProof/>
              </w:rPr>
              <w:t>Timp</w:t>
            </w:r>
          </w:p>
        </w:tc>
        <w:tc>
          <w:tcPr>
            <w:tcW w:w="5645" w:type="dxa"/>
            <w:gridSpan w:val="2"/>
            <w:vMerge w:val="restart"/>
            <w:tcBorders>
              <w:top w:val="single" w:sz="4" w:space="0" w:color="auto"/>
              <w:left w:val="single" w:sz="4" w:space="0" w:color="auto"/>
              <w:right w:val="single" w:sz="4" w:space="0" w:color="auto"/>
            </w:tcBorders>
            <w:shd w:val="clear" w:color="auto" w:fill="B7D4EF"/>
            <w:noWrap/>
            <w:vAlign w:val="center"/>
            <w:hideMark/>
          </w:tcPr>
          <w:p w14:paraId="25262D64" w14:textId="77777777" w:rsidR="00011DE9" w:rsidRDefault="00011DE9">
            <w:pPr>
              <w:pStyle w:val="P68B1DB1-Normal18"/>
              <w:spacing w:after="0"/>
              <w:jc w:val="center"/>
              <w:rPr>
                <w:rFonts w:cs="Times New Roman"/>
                <w:noProof/>
                <w:szCs w:val="18"/>
              </w:rPr>
            </w:pPr>
            <w:r>
              <w:rPr>
                <w:noProof/>
              </w:rPr>
              <w:t>Descrierea fiecărui jalon și a fiecărei ținte</w:t>
            </w:r>
          </w:p>
        </w:tc>
      </w:tr>
      <w:tr w:rsidR="00011DE9" w14:paraId="5F187B86" w14:textId="77777777">
        <w:trPr>
          <w:trHeight w:val="300"/>
          <w:tblHeader/>
          <w:jc w:val="center"/>
        </w:trPr>
        <w:tc>
          <w:tcPr>
            <w:tcW w:w="800" w:type="dxa"/>
            <w:vMerge/>
            <w:noWrap/>
          </w:tcPr>
          <w:p w14:paraId="7EE4E74E" w14:textId="77777777" w:rsidR="00011DE9" w:rsidRDefault="00011DE9">
            <w:pPr>
              <w:spacing w:after="0"/>
              <w:jc w:val="center"/>
              <w:rPr>
                <w:rFonts w:ascii="Times New Roman" w:hAnsi="Times New Roman" w:cs="Times New Roman"/>
                <w:b/>
                <w:noProof/>
                <w:sz w:val="18"/>
                <w:szCs w:val="18"/>
              </w:rPr>
            </w:pPr>
          </w:p>
        </w:tc>
        <w:tc>
          <w:tcPr>
            <w:tcW w:w="945" w:type="dxa"/>
            <w:vMerge/>
            <w:noWrap/>
          </w:tcPr>
          <w:p w14:paraId="2E8A9013" w14:textId="77777777" w:rsidR="00011DE9" w:rsidRDefault="00011DE9">
            <w:pPr>
              <w:spacing w:after="0"/>
              <w:jc w:val="center"/>
              <w:rPr>
                <w:rFonts w:ascii="Times New Roman" w:hAnsi="Times New Roman" w:cs="Times New Roman"/>
                <w:b/>
                <w:noProof/>
                <w:sz w:val="18"/>
                <w:szCs w:val="18"/>
              </w:rPr>
            </w:pPr>
          </w:p>
        </w:tc>
        <w:tc>
          <w:tcPr>
            <w:tcW w:w="812" w:type="dxa"/>
            <w:vMerge/>
            <w:noWrap/>
          </w:tcPr>
          <w:p w14:paraId="14C602BF" w14:textId="77777777" w:rsidR="00011DE9" w:rsidRDefault="00011DE9">
            <w:pPr>
              <w:spacing w:after="0"/>
              <w:jc w:val="center"/>
              <w:rPr>
                <w:rFonts w:ascii="Times New Roman" w:hAnsi="Times New Roman" w:cs="Times New Roman"/>
                <w:b/>
                <w:noProof/>
                <w:sz w:val="18"/>
                <w:szCs w:val="18"/>
              </w:rPr>
            </w:pPr>
          </w:p>
        </w:tc>
        <w:tc>
          <w:tcPr>
            <w:tcW w:w="2445" w:type="dxa"/>
            <w:vMerge/>
            <w:noWrap/>
          </w:tcPr>
          <w:p w14:paraId="0B6404B3" w14:textId="77777777" w:rsidR="00011DE9" w:rsidRDefault="00011DE9">
            <w:pPr>
              <w:spacing w:after="0"/>
              <w:rPr>
                <w:rFonts w:ascii="Times New Roman" w:hAnsi="Times New Roman" w:cs="Times New Roman"/>
                <w:b/>
                <w:noProof/>
                <w:sz w:val="18"/>
                <w:szCs w:val="18"/>
              </w:rPr>
            </w:pPr>
          </w:p>
        </w:tc>
        <w:tc>
          <w:tcPr>
            <w:tcW w:w="1181" w:type="dxa"/>
            <w:vMerge/>
            <w:noWrap/>
          </w:tcPr>
          <w:p w14:paraId="1714FA0E" w14:textId="77777777" w:rsidR="00011DE9" w:rsidRDefault="00011DE9">
            <w:pPr>
              <w:spacing w:after="0"/>
              <w:jc w:val="center"/>
              <w:rPr>
                <w:rFonts w:ascii="Times New Roman" w:hAnsi="Times New Roman" w:cs="Times New Roman"/>
                <w:b/>
                <w:noProof/>
                <w:sz w:val="18"/>
                <w:szCs w:val="18"/>
              </w:rPr>
            </w:pPr>
          </w:p>
        </w:tc>
        <w:tc>
          <w:tcPr>
            <w:tcW w:w="692" w:type="dxa"/>
            <w:tcBorders>
              <w:top w:val="single" w:sz="4" w:space="0" w:color="auto"/>
              <w:left w:val="single" w:sz="4" w:space="0" w:color="auto"/>
              <w:bottom w:val="single" w:sz="4" w:space="0" w:color="auto"/>
              <w:right w:val="single" w:sz="4" w:space="0" w:color="auto"/>
            </w:tcBorders>
            <w:shd w:val="clear" w:color="auto" w:fill="B7D4EF"/>
            <w:noWrap/>
            <w:hideMark/>
          </w:tcPr>
          <w:p w14:paraId="1AC9B950" w14:textId="77777777" w:rsidR="00011DE9" w:rsidRDefault="00011DE9">
            <w:pPr>
              <w:pStyle w:val="P68B1DB1-Normal18"/>
              <w:spacing w:after="0"/>
              <w:jc w:val="center"/>
              <w:rPr>
                <w:rFonts w:cs="Times New Roman"/>
                <w:bCs/>
                <w:noProof/>
                <w:szCs w:val="18"/>
              </w:rPr>
            </w:pPr>
            <w:r>
              <w:rPr>
                <w:noProof/>
              </w:rPr>
              <w:t>Unitate</w:t>
            </w:r>
          </w:p>
        </w:tc>
        <w:tc>
          <w:tcPr>
            <w:tcW w:w="966" w:type="dxa"/>
            <w:tcBorders>
              <w:top w:val="single" w:sz="4" w:space="0" w:color="auto"/>
              <w:left w:val="single" w:sz="4" w:space="0" w:color="auto"/>
              <w:bottom w:val="single" w:sz="4" w:space="0" w:color="auto"/>
              <w:right w:val="single" w:sz="4" w:space="0" w:color="auto"/>
            </w:tcBorders>
            <w:shd w:val="clear" w:color="auto" w:fill="B7D4EF"/>
            <w:noWrap/>
            <w:hideMark/>
          </w:tcPr>
          <w:p w14:paraId="47D6FDD1" w14:textId="77777777" w:rsidR="00011DE9" w:rsidRDefault="00011DE9">
            <w:pPr>
              <w:pStyle w:val="P68B1DB1-Normal18"/>
              <w:spacing w:after="0"/>
              <w:jc w:val="center"/>
              <w:rPr>
                <w:rFonts w:cs="Times New Roman"/>
                <w:bCs/>
                <w:noProof/>
                <w:szCs w:val="18"/>
              </w:rPr>
            </w:pPr>
            <w:r>
              <w:rPr>
                <w:noProof/>
              </w:rPr>
              <w:t>Situația de referință</w:t>
            </w:r>
          </w:p>
        </w:tc>
        <w:tc>
          <w:tcPr>
            <w:tcW w:w="757" w:type="dxa"/>
            <w:tcBorders>
              <w:top w:val="single" w:sz="4" w:space="0" w:color="auto"/>
              <w:left w:val="single" w:sz="4" w:space="0" w:color="auto"/>
              <w:bottom w:val="single" w:sz="4" w:space="0" w:color="auto"/>
              <w:right w:val="single" w:sz="4" w:space="0" w:color="auto"/>
            </w:tcBorders>
            <w:shd w:val="clear" w:color="auto" w:fill="B7D4EF"/>
            <w:noWrap/>
            <w:hideMark/>
          </w:tcPr>
          <w:p w14:paraId="1DD406E8" w14:textId="77777777" w:rsidR="00011DE9" w:rsidRDefault="00011DE9">
            <w:pPr>
              <w:pStyle w:val="P68B1DB1-Normal18"/>
              <w:spacing w:after="0"/>
              <w:jc w:val="center"/>
              <w:rPr>
                <w:rFonts w:cs="Times New Roman"/>
                <w:bCs/>
                <w:noProof/>
                <w:szCs w:val="18"/>
              </w:rPr>
            </w:pPr>
            <w:r>
              <w:rPr>
                <w:noProof/>
              </w:rPr>
              <w:t>Obiectiv</w:t>
            </w:r>
          </w:p>
        </w:tc>
        <w:tc>
          <w:tcPr>
            <w:tcW w:w="489" w:type="dxa"/>
            <w:tcBorders>
              <w:top w:val="single" w:sz="4" w:space="0" w:color="auto"/>
              <w:left w:val="single" w:sz="4" w:space="0" w:color="auto"/>
              <w:bottom w:val="single" w:sz="4" w:space="0" w:color="auto"/>
              <w:right w:val="single" w:sz="4" w:space="0" w:color="auto"/>
            </w:tcBorders>
            <w:shd w:val="clear" w:color="auto" w:fill="B7D4EF"/>
            <w:noWrap/>
            <w:hideMark/>
          </w:tcPr>
          <w:p w14:paraId="6A19ACCC" w14:textId="0E2EF032" w:rsidR="00011DE9" w:rsidRDefault="00A636A7">
            <w:pPr>
              <w:pStyle w:val="P68B1DB1-Normal18"/>
              <w:spacing w:after="0"/>
              <w:jc w:val="center"/>
              <w:rPr>
                <w:rFonts w:cs="Times New Roman"/>
                <w:bCs/>
                <w:noProof/>
                <w:szCs w:val="18"/>
              </w:rPr>
            </w:pPr>
            <w:r>
              <w:rPr>
                <w:noProof/>
              </w:rPr>
              <w:t>T</w:t>
            </w:r>
          </w:p>
        </w:tc>
        <w:tc>
          <w:tcPr>
            <w:tcW w:w="691" w:type="dxa"/>
            <w:tcBorders>
              <w:top w:val="single" w:sz="4" w:space="0" w:color="auto"/>
              <w:left w:val="single" w:sz="4" w:space="0" w:color="auto"/>
              <w:bottom w:val="single" w:sz="4" w:space="0" w:color="auto"/>
              <w:right w:val="single" w:sz="4" w:space="0" w:color="auto"/>
            </w:tcBorders>
            <w:shd w:val="clear" w:color="auto" w:fill="B7D4EF"/>
            <w:noWrap/>
            <w:hideMark/>
          </w:tcPr>
          <w:p w14:paraId="760708FD" w14:textId="77777777" w:rsidR="00011DE9" w:rsidRDefault="00011DE9">
            <w:pPr>
              <w:pStyle w:val="P68B1DB1-Normal18"/>
              <w:spacing w:after="0"/>
              <w:jc w:val="center"/>
              <w:rPr>
                <w:rFonts w:cs="Times New Roman"/>
                <w:bCs/>
                <w:noProof/>
                <w:szCs w:val="18"/>
              </w:rPr>
            </w:pPr>
            <w:r>
              <w:rPr>
                <w:noProof/>
              </w:rPr>
              <w:t>Anul</w:t>
            </w:r>
          </w:p>
        </w:tc>
        <w:tc>
          <w:tcPr>
            <w:tcW w:w="5645" w:type="dxa"/>
            <w:gridSpan w:val="2"/>
            <w:vMerge/>
            <w:noWrap/>
          </w:tcPr>
          <w:p w14:paraId="06F0CDEC" w14:textId="77777777" w:rsidR="00011DE9" w:rsidRDefault="00011DE9">
            <w:pPr>
              <w:spacing w:after="0"/>
              <w:rPr>
                <w:rFonts w:ascii="Times New Roman" w:hAnsi="Times New Roman" w:cs="Times New Roman"/>
                <w:b/>
                <w:noProof/>
                <w:sz w:val="18"/>
                <w:szCs w:val="18"/>
              </w:rPr>
            </w:pPr>
          </w:p>
        </w:tc>
      </w:tr>
      <w:tr w:rsidR="00011DE9" w14:paraId="137299F9"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4947A4A3" w14:textId="77777777" w:rsidR="00011DE9" w:rsidRDefault="00011DE9">
            <w:pPr>
              <w:pStyle w:val="P68B1DB1-Normal19"/>
              <w:spacing w:after="0"/>
              <w:jc w:val="center"/>
              <w:rPr>
                <w:rFonts w:eastAsia="Times New Roman"/>
                <w:noProof/>
              </w:rPr>
            </w:pPr>
            <w:r>
              <w:rPr>
                <w:noProof/>
              </w:rPr>
              <w:t>229</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5C83DCB3" w14:textId="77777777" w:rsidR="00011DE9" w:rsidRDefault="00011DE9">
            <w:pPr>
              <w:pStyle w:val="P68B1DB1-Normal19"/>
              <w:spacing w:after="0"/>
              <w:jc w:val="center"/>
              <w:rPr>
                <w:rFonts w:eastAsia="Times New Roman"/>
                <w:noProof/>
              </w:rPr>
            </w:pPr>
            <w:r>
              <w:rPr>
                <w:noProof/>
              </w:rPr>
              <w:t>C15.R1</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49B6B6EA" w14:textId="77777777" w:rsidR="00011DE9" w:rsidRDefault="00011DE9">
            <w:pPr>
              <w:pStyle w:val="P68B1DB1-Normal19"/>
              <w:spacing w:after="0"/>
              <w:jc w:val="center"/>
              <w:rPr>
                <w:rFonts w:eastAsia="Times New Roman"/>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0193FA77" w14:textId="77777777" w:rsidR="00011DE9" w:rsidRDefault="00011DE9">
            <w:pPr>
              <w:pStyle w:val="P68B1DB1-Normal19"/>
              <w:spacing w:after="0"/>
              <w:rPr>
                <w:rFonts w:eastAsia="Times New Roman"/>
                <w:noProof/>
              </w:rPr>
            </w:pPr>
            <w:r>
              <w:rPr>
                <w:noProof/>
              </w:rPr>
              <w:t>Intrarea în vigoare a Legii privind telecomunicațiile</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24FC5756" w14:textId="77777777" w:rsidR="00011DE9" w:rsidRDefault="00011DE9">
            <w:pPr>
              <w:pStyle w:val="P68B1DB1-Normal19"/>
              <w:spacing w:after="0"/>
              <w:rPr>
                <w:rFonts w:eastAsia="Times New Roman"/>
                <w:noProof/>
              </w:rPr>
            </w:pPr>
            <w:r>
              <w:rPr>
                <w:noProof/>
              </w:rPr>
              <w:t xml:space="preserve">Dispoziție din legea care indică intrarea în vigoare a legii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7FAF493E" w14:textId="77777777" w:rsidR="00011DE9" w:rsidRDefault="00011DE9">
            <w:pPr>
              <w:pStyle w:val="P68B1DB1-Normal19"/>
              <w:spacing w:after="0"/>
              <w:jc w:val="center"/>
              <w:rPr>
                <w:rFonts w:eastAsia="Times New Roman"/>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0299D46A" w14:textId="77777777" w:rsidR="00011DE9" w:rsidRDefault="00011DE9">
            <w:pPr>
              <w:pStyle w:val="P68B1DB1-Normal19"/>
              <w:spacing w:after="0"/>
              <w:jc w:val="right"/>
              <w:rPr>
                <w:rFonts w:eastAsia="Times New Roman"/>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62768C32" w14:textId="77777777" w:rsidR="00011DE9" w:rsidRDefault="00011DE9">
            <w:pPr>
              <w:pStyle w:val="P68B1DB1-Normal19"/>
              <w:spacing w:after="0"/>
              <w:jc w:val="right"/>
              <w:rPr>
                <w:rFonts w:eastAsia="Times New Roman"/>
                <w:noProof/>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78ED4204" w14:textId="30129D95" w:rsidR="00011DE9" w:rsidRDefault="005701C9">
            <w:pPr>
              <w:pStyle w:val="P68B1DB1-Normal19"/>
              <w:spacing w:after="0"/>
              <w:jc w:val="center"/>
              <w:rPr>
                <w:rFonts w:eastAsia="Times New Roman"/>
                <w:noProof/>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10A7ADB" w14:textId="77777777" w:rsidR="00011DE9" w:rsidRDefault="00011DE9">
            <w:pPr>
              <w:pStyle w:val="P68B1DB1-Normal19"/>
              <w:spacing w:after="0"/>
              <w:jc w:val="center"/>
              <w:rPr>
                <w:rFonts w:eastAsia="Times New Roman"/>
                <w:noProof/>
              </w:rPr>
            </w:pPr>
            <w:r>
              <w:rPr>
                <w:noProof/>
              </w:rPr>
              <w:t>2022</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4A17F082" w14:textId="77777777" w:rsidR="00011DE9" w:rsidRDefault="00011DE9">
            <w:pPr>
              <w:pStyle w:val="P68B1DB1-Normal19"/>
              <w:spacing w:after="0"/>
              <w:rPr>
                <w:rFonts w:eastAsia="Times New Roman"/>
                <w:noProof/>
              </w:rPr>
            </w:pPr>
            <w:r>
              <w:rPr>
                <w:noProof/>
              </w:rPr>
              <w:t>Legea privind telecomunicațiile transpune, de asemenea, Directiva 2018/1972 din Codul european al comunicațiilor electronice (CECE). Legea include, de asemenea, recomandările privind setul de instrumente al UE pentru conectivitate care trebuie să fie prevăzut într-o lege în conformitate cu cadrul juridic spaniol. Pe lângă transpunerea Directivei 2018/1972 a Codului european al comunicațiilor electronice, legea include: (I) dispoziții privind inventarul cablurilor submarine și al IXP/centrelor de date; (II) precum și un sistem fiscal simplificat pentru impozitele locale pe instalarea rețelelor; și (iii) instituirea unui punct unic de contact pentru aplicarea licențelor și a autorizațiilor acordate de diferite niveluri de guvernare pentru instalarea rețelelor.</w:t>
            </w:r>
          </w:p>
        </w:tc>
      </w:tr>
      <w:tr w:rsidR="00011DE9" w14:paraId="7C209E10"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2E89AAC4" w14:textId="77777777" w:rsidR="00011DE9" w:rsidRDefault="00011DE9">
            <w:pPr>
              <w:pStyle w:val="P68B1DB1-Normal19"/>
              <w:spacing w:after="0"/>
              <w:jc w:val="center"/>
              <w:rPr>
                <w:rFonts w:eastAsia="Times New Roman"/>
                <w:noProof/>
              </w:rPr>
            </w:pPr>
            <w:r>
              <w:rPr>
                <w:noProof/>
              </w:rPr>
              <w:t>230</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7268FBB7" w14:textId="77777777" w:rsidR="00011DE9" w:rsidRDefault="00011DE9">
            <w:pPr>
              <w:pStyle w:val="P68B1DB1-Normal19"/>
              <w:spacing w:after="0"/>
              <w:jc w:val="center"/>
              <w:rPr>
                <w:rFonts w:eastAsia="Times New Roman"/>
                <w:noProof/>
              </w:rPr>
            </w:pPr>
            <w:r>
              <w:rPr>
                <w:noProof/>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408D8581" w14:textId="77777777" w:rsidR="00011DE9" w:rsidRDefault="00011DE9">
            <w:pPr>
              <w:pStyle w:val="P68B1DB1-Normal19"/>
              <w:spacing w:after="0"/>
              <w:jc w:val="center"/>
              <w:rPr>
                <w:rFonts w:eastAsia="Times New Roman"/>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1047809B" w14:textId="77777777" w:rsidR="00011DE9" w:rsidRDefault="00011DE9">
            <w:pPr>
              <w:pStyle w:val="P68B1DB1-Normal19"/>
              <w:spacing w:after="0"/>
              <w:rPr>
                <w:rFonts w:eastAsia="Times New Roman"/>
                <w:noProof/>
              </w:rPr>
            </w:pPr>
            <w:r>
              <w:rPr>
                <w:noProof/>
              </w:rPr>
              <w:t>Planul și Strategia digitală a Spaniei pentru 2025 pentru promovarea tehnologiei 5G</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221D6C83" w14:textId="77777777" w:rsidR="00011DE9" w:rsidRDefault="00011DE9">
            <w:pPr>
              <w:pStyle w:val="P68B1DB1-Normal19"/>
              <w:spacing w:after="0"/>
              <w:rPr>
                <w:rFonts w:eastAsia="Times New Roman"/>
                <w:noProof/>
              </w:rPr>
            </w:pPr>
            <w:r>
              <w:rPr>
                <w:noProof/>
              </w:rPr>
              <w:t>Publicare</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5DD8ABE3" w14:textId="77777777" w:rsidR="00011DE9" w:rsidRDefault="00011DE9">
            <w:pPr>
              <w:pStyle w:val="P68B1DB1-Normal19"/>
              <w:spacing w:after="0"/>
              <w:jc w:val="center"/>
              <w:rPr>
                <w:rFonts w:eastAsia="Times New Roman"/>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C471C8C" w14:textId="77777777" w:rsidR="00011DE9" w:rsidRDefault="00011DE9">
            <w:pPr>
              <w:pStyle w:val="P68B1DB1-Normal19"/>
              <w:spacing w:after="0"/>
              <w:jc w:val="right"/>
              <w:rPr>
                <w:rFonts w:eastAsia="Times New Roman"/>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2F1F1515" w14:textId="77777777" w:rsidR="00011DE9" w:rsidRDefault="00011DE9">
            <w:pPr>
              <w:pStyle w:val="P68B1DB1-Normal19"/>
              <w:spacing w:after="0"/>
              <w:jc w:val="right"/>
              <w:rPr>
                <w:rFonts w:eastAsia="Times New Roman"/>
                <w:noProof/>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56788186" w14:textId="482C3D51" w:rsidR="00011DE9" w:rsidRDefault="005701C9">
            <w:pPr>
              <w:pStyle w:val="P68B1DB1-Normal19"/>
              <w:spacing w:after="0"/>
              <w:jc w:val="center"/>
              <w:rPr>
                <w:rFonts w:eastAsia="Times New Roman"/>
                <w:noProof/>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80DC2AD" w14:textId="77777777" w:rsidR="00011DE9" w:rsidRDefault="00011DE9">
            <w:pPr>
              <w:pStyle w:val="P68B1DB1-Normal19"/>
              <w:spacing w:after="0"/>
              <w:jc w:val="center"/>
              <w:rPr>
                <w:rFonts w:eastAsia="Times New Roman"/>
                <w:noProof/>
              </w:rPr>
            </w:pPr>
            <w:r>
              <w:rPr>
                <w:noProof/>
              </w:rPr>
              <w:t>2020</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72F24E3F" w14:textId="77777777" w:rsidR="00011DE9" w:rsidRDefault="00011DE9">
            <w:pPr>
              <w:pStyle w:val="P68B1DB1-Normal19"/>
              <w:spacing w:after="0"/>
              <w:rPr>
                <w:noProof/>
              </w:rPr>
            </w:pPr>
            <w:r>
              <w:rPr>
                <w:noProof/>
              </w:rPr>
              <w:t>Publicarea Planului 2025 pentru Spania digitală și aprobarea de către Consiliul de Miniștri a „Strategiei pentru promovarea tehnologiei 5G”</w:t>
            </w:r>
          </w:p>
          <w:p w14:paraId="54B0BA33" w14:textId="77777777" w:rsidR="00011DE9" w:rsidRDefault="00011DE9">
            <w:pPr>
              <w:pStyle w:val="P68B1DB1-Normal19"/>
              <w:spacing w:after="0"/>
              <w:rPr>
                <w:noProof/>
              </w:rPr>
            </w:pPr>
            <w:r>
              <w:rPr>
                <w:noProof/>
              </w:rPr>
              <w:t>Aprobarea de către Consiliul de Miniștri poate avea loc sub forma unui acord formal sau sub forma unui raport către Consiliul de Miniștri. În cazul în care, printr-un acord formal, Spania furnizează un astfel de acord. Atunci când Consiliul de Miniștri este informat printr-un raport, Spania furnizează documente cu privire la (i) </w:t>
            </w:r>
          </w:p>
          <w:p w14:paraId="1AE42559" w14:textId="77777777" w:rsidR="00011DE9" w:rsidRDefault="00011DE9">
            <w:pPr>
              <w:pStyle w:val="P68B1DB1-Normal19"/>
              <w:spacing w:after="0"/>
              <w:rPr>
                <w:noProof/>
              </w:rPr>
            </w:pPr>
            <w:r>
              <w:rPr>
                <w:noProof/>
              </w:rPr>
              <w:t>data reuniunii, (ii) punctul de pe ordinea de zi și (iii) o certificare care să ateste că punctul a fost raportat Consiliului de Miniștri. </w:t>
            </w:r>
          </w:p>
          <w:p w14:paraId="3D79939C" w14:textId="77777777" w:rsidR="00011DE9" w:rsidRDefault="00011DE9">
            <w:pPr>
              <w:spacing w:after="0"/>
              <w:rPr>
                <w:rFonts w:ascii="Times New Roman" w:hAnsi="Times New Roman"/>
                <w:noProof/>
                <w:sz w:val="18"/>
              </w:rPr>
            </w:pPr>
          </w:p>
        </w:tc>
      </w:tr>
      <w:tr w:rsidR="00011DE9" w14:paraId="49E790D7"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0A5CB637" w14:textId="77777777" w:rsidR="00011DE9" w:rsidRDefault="00011DE9">
            <w:pPr>
              <w:pStyle w:val="P68B1DB1-Normal19"/>
              <w:spacing w:after="0"/>
              <w:jc w:val="center"/>
              <w:rPr>
                <w:rFonts w:eastAsia="Times New Roman"/>
                <w:noProof/>
              </w:rPr>
            </w:pPr>
            <w:r>
              <w:rPr>
                <w:noProof/>
              </w:rPr>
              <w:t>231</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21C70CC3" w14:textId="77777777" w:rsidR="00011DE9" w:rsidRDefault="00011DE9">
            <w:pPr>
              <w:pStyle w:val="P68B1DB1-Normal19"/>
              <w:spacing w:after="0"/>
              <w:jc w:val="center"/>
              <w:rPr>
                <w:rFonts w:eastAsia="Times New Roman"/>
                <w:noProof/>
              </w:rPr>
            </w:pPr>
            <w:r>
              <w:rPr>
                <w:noProof/>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6C4151D4" w14:textId="77777777" w:rsidR="00011DE9" w:rsidRDefault="00011DE9">
            <w:pPr>
              <w:pStyle w:val="P68B1DB1-Normal19"/>
              <w:spacing w:after="0"/>
              <w:jc w:val="center"/>
              <w:rPr>
                <w:rFonts w:eastAsia="Times New Roman"/>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20ED2CAD" w14:textId="77777777" w:rsidR="00011DE9" w:rsidRDefault="00011DE9">
            <w:pPr>
              <w:pStyle w:val="P68B1DB1-Normal19"/>
              <w:spacing w:after="0"/>
              <w:rPr>
                <w:rFonts w:eastAsia="Times New Roman"/>
                <w:noProof/>
              </w:rPr>
            </w:pPr>
            <w:r>
              <w:rPr>
                <w:noProof/>
              </w:rPr>
              <w:t>Eliberarea benzii de frecvențe de 700 MHz</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45D7A9A9" w14:textId="77777777" w:rsidR="00011DE9" w:rsidRDefault="00011DE9">
            <w:pPr>
              <w:pStyle w:val="P68B1DB1-Normal19"/>
              <w:spacing w:after="0"/>
              <w:rPr>
                <w:rFonts w:eastAsia="Times New Roman"/>
                <w:noProof/>
              </w:rPr>
            </w:pPr>
            <w:r>
              <w:rPr>
                <w:noProof/>
              </w:rPr>
              <w:t>Notificarea Comisiei Europene</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7D9496CD" w14:textId="77777777" w:rsidR="00011DE9" w:rsidRDefault="00011DE9">
            <w:pPr>
              <w:pStyle w:val="P68B1DB1-Normal19"/>
              <w:spacing w:after="0"/>
              <w:jc w:val="center"/>
              <w:rPr>
                <w:rFonts w:eastAsia="Times New Roman"/>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86A3194" w14:textId="77777777" w:rsidR="00011DE9" w:rsidRDefault="00011DE9">
            <w:pPr>
              <w:pStyle w:val="P68B1DB1-Normal19"/>
              <w:spacing w:after="0"/>
              <w:jc w:val="right"/>
              <w:rPr>
                <w:rFonts w:eastAsia="Times New Roman"/>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2CFCE564" w14:textId="77777777" w:rsidR="00011DE9" w:rsidRDefault="00011DE9">
            <w:pPr>
              <w:pStyle w:val="P68B1DB1-Normal19"/>
              <w:spacing w:after="0"/>
              <w:jc w:val="right"/>
              <w:rPr>
                <w:rFonts w:eastAsia="Times New Roman"/>
                <w:noProof/>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7CF8F302" w14:textId="7CDD2EA2" w:rsidR="00011DE9" w:rsidRDefault="005701C9">
            <w:pPr>
              <w:pStyle w:val="P68B1DB1-Normal19"/>
              <w:spacing w:after="0"/>
              <w:jc w:val="center"/>
              <w:rPr>
                <w:rFonts w:eastAsia="Times New Roman"/>
                <w:noProof/>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758F9114" w14:textId="77777777" w:rsidR="00011DE9" w:rsidRDefault="00011DE9">
            <w:pPr>
              <w:pStyle w:val="P68B1DB1-Normal19"/>
              <w:spacing w:after="0"/>
              <w:jc w:val="center"/>
              <w:rPr>
                <w:rFonts w:eastAsia="Times New Roman"/>
                <w:noProof/>
              </w:rPr>
            </w:pPr>
            <w:r>
              <w:rPr>
                <w:noProof/>
              </w:rPr>
              <w:t>2020</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1FBDA820" w14:textId="77777777" w:rsidR="00011DE9" w:rsidRDefault="00011DE9">
            <w:pPr>
              <w:pStyle w:val="P68B1DB1-Normal19"/>
              <w:spacing w:after="0"/>
              <w:rPr>
                <w:rFonts w:eastAsia="Times New Roman"/>
                <w:noProof/>
              </w:rPr>
            </w:pPr>
            <w:r>
              <w:rPr>
                <w:noProof/>
              </w:rPr>
              <w:t>Finalizarea procesului de eliberare a benzii de frecvențe de 700 MHz, în conformitate cu Decizia (UE) 2017/899 a Parlamentului European și a Consiliului din 17 mai 2017 privind utilizarea benzii de frecvențe de 470-790 MHz în Uniune</w:t>
            </w:r>
          </w:p>
        </w:tc>
      </w:tr>
      <w:tr w:rsidR="00011DE9" w14:paraId="65100058"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53AC714E" w14:textId="77777777" w:rsidR="00011DE9" w:rsidRDefault="00011DE9">
            <w:pPr>
              <w:pStyle w:val="P68B1DB1-Normal19"/>
              <w:spacing w:after="0"/>
              <w:jc w:val="center"/>
              <w:rPr>
                <w:rFonts w:eastAsia="Times New Roman"/>
                <w:noProof/>
              </w:rPr>
            </w:pPr>
            <w:r>
              <w:rPr>
                <w:noProof/>
              </w:rPr>
              <w:t>232</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19839814" w14:textId="77777777" w:rsidR="00011DE9" w:rsidRDefault="00011DE9">
            <w:pPr>
              <w:pStyle w:val="P68B1DB1-Normal19"/>
              <w:spacing w:after="0"/>
              <w:jc w:val="center"/>
              <w:rPr>
                <w:rFonts w:eastAsia="Times New Roman"/>
                <w:noProof/>
              </w:rPr>
            </w:pPr>
            <w:r>
              <w:rPr>
                <w:noProof/>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686DE977" w14:textId="77777777" w:rsidR="00011DE9" w:rsidRDefault="00011DE9">
            <w:pPr>
              <w:pStyle w:val="P68B1DB1-Normal19"/>
              <w:spacing w:after="0"/>
              <w:jc w:val="center"/>
              <w:rPr>
                <w:rFonts w:eastAsia="Times New Roman"/>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5BA26EE4" w14:textId="77777777" w:rsidR="00011DE9" w:rsidRDefault="00011DE9">
            <w:pPr>
              <w:pStyle w:val="P68B1DB1-Normal19"/>
              <w:spacing w:after="0"/>
              <w:rPr>
                <w:rFonts w:eastAsia="Times New Roman"/>
                <w:noProof/>
              </w:rPr>
            </w:pPr>
            <w:r>
              <w:rPr>
                <w:noProof/>
              </w:rPr>
              <w:t>Asignarea benzii de frecvențe de 700 MHz</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018519EB" w14:textId="77777777" w:rsidR="00011DE9" w:rsidRDefault="00011DE9">
            <w:pPr>
              <w:pStyle w:val="P68B1DB1-Normal19"/>
              <w:spacing w:after="0"/>
              <w:rPr>
                <w:rFonts w:eastAsia="Times New Roman"/>
                <w:noProof/>
              </w:rPr>
            </w:pPr>
            <w:r>
              <w:rPr>
                <w:noProof/>
              </w:rPr>
              <w:t>Publicarea în Jurnalul Oficial</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6A3FEDDD" w14:textId="77777777" w:rsidR="00011DE9" w:rsidRDefault="00011DE9">
            <w:pPr>
              <w:pStyle w:val="P68B1DB1-Normal19"/>
              <w:spacing w:after="0"/>
              <w:jc w:val="center"/>
              <w:rPr>
                <w:rFonts w:eastAsia="Times New Roman"/>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3195188B" w14:textId="77777777" w:rsidR="00011DE9" w:rsidRDefault="00011DE9">
            <w:pPr>
              <w:pStyle w:val="P68B1DB1-Normal19"/>
              <w:spacing w:after="0"/>
              <w:jc w:val="right"/>
              <w:rPr>
                <w:rFonts w:eastAsia="Times New Roman"/>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3FDB68F5" w14:textId="77777777" w:rsidR="00011DE9" w:rsidRDefault="00011DE9">
            <w:pPr>
              <w:pStyle w:val="P68B1DB1-Normal19"/>
              <w:spacing w:after="0"/>
              <w:jc w:val="right"/>
              <w:rPr>
                <w:rFonts w:eastAsia="Times New Roman"/>
                <w:noProof/>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5F565E63" w14:textId="277ACB8F" w:rsidR="00011DE9" w:rsidRDefault="005701C9">
            <w:pPr>
              <w:pStyle w:val="P68B1DB1-Normal19"/>
              <w:spacing w:after="0"/>
              <w:jc w:val="center"/>
              <w:rPr>
                <w:rFonts w:eastAsia="Times New Roman"/>
                <w:noProof/>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0F6FDE93" w14:textId="77777777" w:rsidR="00011DE9" w:rsidRDefault="00011DE9">
            <w:pPr>
              <w:pStyle w:val="P68B1DB1-Normal19"/>
              <w:spacing w:after="0"/>
              <w:jc w:val="center"/>
              <w:rPr>
                <w:rFonts w:eastAsia="Times New Roman"/>
                <w:noProof/>
              </w:rPr>
            </w:pPr>
            <w:r>
              <w:rPr>
                <w:noProof/>
              </w:rPr>
              <w:t>2021</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51BA6260" w14:textId="77777777" w:rsidR="00011DE9" w:rsidRDefault="00011DE9">
            <w:pPr>
              <w:pStyle w:val="P68B1DB1-Normal19"/>
              <w:spacing w:after="0"/>
              <w:rPr>
                <w:noProof/>
              </w:rPr>
            </w:pPr>
            <w:r>
              <w:rPr>
                <w:noProof/>
              </w:rPr>
              <w:t xml:space="preserve">Publicarea în Jurnalul Oficial a atribuirii benzii de frecvențe de 700 MHz ca urmare a licitației. </w:t>
            </w:r>
          </w:p>
          <w:p w14:paraId="765CE6D2" w14:textId="77777777" w:rsidR="00011DE9" w:rsidRDefault="00011DE9">
            <w:pPr>
              <w:pStyle w:val="P68B1DB1-Normal19"/>
              <w:spacing w:after="0"/>
              <w:rPr>
                <w:noProof/>
              </w:rPr>
            </w:pPr>
            <w:r>
              <w:rPr>
                <w:noProof/>
              </w:rPr>
              <w:t>O aprobare semnată de autoritatea competentă sau publicarea pe site-ul oficial relevant este considerată un indicator calitativ al intrării în vigoare. </w:t>
            </w:r>
          </w:p>
        </w:tc>
      </w:tr>
      <w:tr w:rsidR="00011DE9" w14:paraId="58F8BF1C"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31EA2C20" w14:textId="77777777" w:rsidR="00011DE9" w:rsidRDefault="00011DE9">
            <w:pPr>
              <w:pStyle w:val="P68B1DB1-Normal19"/>
              <w:spacing w:after="0"/>
              <w:jc w:val="center"/>
              <w:rPr>
                <w:rFonts w:eastAsia="Times New Roman"/>
                <w:noProof/>
              </w:rPr>
            </w:pPr>
            <w:r>
              <w:rPr>
                <w:noProof/>
              </w:rPr>
              <w:t>233</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7FABA0A3" w14:textId="77777777" w:rsidR="00011DE9" w:rsidRDefault="00011DE9">
            <w:pPr>
              <w:pStyle w:val="P68B1DB1-Normal19"/>
              <w:spacing w:after="0"/>
              <w:jc w:val="center"/>
              <w:rPr>
                <w:rFonts w:eastAsia="Times New Roman"/>
                <w:noProof/>
              </w:rPr>
            </w:pPr>
            <w:r>
              <w:rPr>
                <w:noProof/>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763E8552" w14:textId="77777777" w:rsidR="00011DE9" w:rsidRDefault="00011DE9">
            <w:pPr>
              <w:pStyle w:val="P68B1DB1-Normal19"/>
              <w:spacing w:after="0"/>
              <w:jc w:val="center"/>
              <w:rPr>
                <w:rFonts w:eastAsia="Times New Roman"/>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578DA195" w14:textId="77777777" w:rsidR="00011DE9" w:rsidRDefault="00011DE9">
            <w:pPr>
              <w:pStyle w:val="P68B1DB1-Normal19"/>
              <w:spacing w:after="0"/>
              <w:rPr>
                <w:rFonts w:eastAsia="Times New Roman"/>
                <w:noProof/>
              </w:rPr>
            </w:pPr>
            <w:r>
              <w:rPr>
                <w:noProof/>
              </w:rPr>
              <w:t>Intrarea în vigoare a actului juridic privind reducerea impozitării spectrului 5G</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6F7CC8A3" w14:textId="77777777" w:rsidR="00011DE9" w:rsidRDefault="00011DE9">
            <w:pPr>
              <w:pStyle w:val="P68B1DB1-Normal19"/>
              <w:spacing w:after="0"/>
              <w:rPr>
                <w:rFonts w:eastAsia="Times New Roman"/>
                <w:noProof/>
              </w:rPr>
            </w:pPr>
            <w:r>
              <w:rPr>
                <w:noProof/>
              </w:rPr>
              <w:t>Dispoziție din actul juridic privind intrarea în vigoare</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212A0A8E" w14:textId="77777777" w:rsidR="00011DE9" w:rsidRDefault="00011DE9">
            <w:pPr>
              <w:pStyle w:val="P68B1DB1-Normal19"/>
              <w:spacing w:after="0"/>
              <w:jc w:val="center"/>
              <w:rPr>
                <w:rFonts w:eastAsia="Times New Roman"/>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64E3AE71" w14:textId="77777777" w:rsidR="00011DE9" w:rsidRDefault="00011DE9">
            <w:pPr>
              <w:pStyle w:val="P68B1DB1-Normal19"/>
              <w:spacing w:after="0"/>
              <w:jc w:val="right"/>
              <w:rPr>
                <w:rFonts w:eastAsia="Times New Roman"/>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0DA8227C" w14:textId="77777777" w:rsidR="00011DE9" w:rsidRDefault="00011DE9">
            <w:pPr>
              <w:pStyle w:val="P68B1DB1-Normal19"/>
              <w:spacing w:after="0"/>
              <w:jc w:val="right"/>
              <w:rPr>
                <w:rFonts w:eastAsia="Times New Roman"/>
                <w:noProof/>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063FA513" w14:textId="256393BE" w:rsidR="00011DE9" w:rsidRDefault="005701C9">
            <w:pPr>
              <w:pStyle w:val="P68B1DB1-Normal19"/>
              <w:spacing w:after="0"/>
              <w:jc w:val="center"/>
              <w:rPr>
                <w:rFonts w:eastAsia="Times New Roman"/>
                <w:noProof/>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52AC7BF4" w14:textId="77777777" w:rsidR="00011DE9" w:rsidRDefault="00011DE9">
            <w:pPr>
              <w:pStyle w:val="P68B1DB1-Normal19"/>
              <w:spacing w:after="0"/>
              <w:jc w:val="center"/>
              <w:rPr>
                <w:rFonts w:eastAsia="Times New Roman"/>
                <w:noProof/>
              </w:rPr>
            </w:pPr>
            <w:r>
              <w:rPr>
                <w:noProof/>
              </w:rPr>
              <w:t>2021</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3E1C265E" w14:textId="77777777" w:rsidR="00011DE9" w:rsidRDefault="00011DE9">
            <w:pPr>
              <w:pStyle w:val="P68B1DB1-Normal19"/>
              <w:spacing w:after="0"/>
              <w:rPr>
                <w:rFonts w:eastAsia="Times New Roman"/>
                <w:noProof/>
              </w:rPr>
            </w:pPr>
            <w:r>
              <w:rPr>
                <w:noProof/>
              </w:rPr>
              <w:t>Adoptarea unui act juridic pentru reducerea impozitării spectrului 5G în vederea accelerării implementării tehnologiei 5G, definind accelerarea corespunzătoare a implementării tehnologiei 5G preconizată de la fiecare beneficiar. Actul juridic stabilește etapele juridice și de reglementare necesare pentru implementarea proiectului. </w:t>
            </w:r>
          </w:p>
        </w:tc>
      </w:tr>
      <w:tr w:rsidR="00011DE9" w14:paraId="57F586B5"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59C882A4" w14:textId="77777777" w:rsidR="00011DE9" w:rsidRDefault="00011DE9">
            <w:pPr>
              <w:pStyle w:val="P68B1DB1-Normal19"/>
              <w:spacing w:after="0"/>
              <w:jc w:val="center"/>
              <w:rPr>
                <w:noProof/>
              </w:rPr>
            </w:pPr>
            <w:r>
              <w:rPr>
                <w:noProof/>
              </w:rPr>
              <w:t>234</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7C48B5E0" w14:textId="77777777" w:rsidR="00011DE9" w:rsidRDefault="00011DE9">
            <w:pPr>
              <w:pStyle w:val="P68B1DB1-Normal19"/>
              <w:spacing w:after="0"/>
              <w:jc w:val="center"/>
              <w:rPr>
                <w:noProof/>
              </w:rPr>
            </w:pPr>
            <w:r>
              <w:rPr>
                <w:noProof/>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0C764C96" w14:textId="77777777" w:rsidR="00011DE9" w:rsidRDefault="00011DE9">
            <w:pPr>
              <w:pStyle w:val="P68B1DB1-Normal19"/>
              <w:spacing w:after="0"/>
              <w:jc w:val="center"/>
              <w:rPr>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3164D3DC" w14:textId="77777777" w:rsidR="00011DE9" w:rsidRDefault="00011DE9">
            <w:pPr>
              <w:pStyle w:val="P68B1DB1-Normal19"/>
              <w:spacing w:after="0"/>
              <w:rPr>
                <w:noProof/>
              </w:rPr>
            </w:pPr>
            <w:r>
              <w:rPr>
                <w:noProof/>
              </w:rPr>
              <w:t>Asignarea benzii de frecvențe de 26 GHz</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04206FB3" w14:textId="77777777" w:rsidR="00011DE9" w:rsidRDefault="00011DE9">
            <w:pPr>
              <w:pStyle w:val="P68B1DB1-Normal19"/>
              <w:spacing w:after="0"/>
              <w:rPr>
                <w:noProof/>
              </w:rPr>
            </w:pPr>
            <w:r>
              <w:rPr>
                <w:noProof/>
              </w:rPr>
              <w:t>Publicarea în Jurnalul Oficial</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6B69D228" w14:textId="77777777" w:rsidR="00011DE9" w:rsidRDefault="00011DE9">
            <w:pPr>
              <w:pStyle w:val="P68B1DB1-Normal19"/>
              <w:spacing w:after="0"/>
              <w:jc w:val="center"/>
              <w:rPr>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5B04835" w14:textId="77777777" w:rsidR="00011DE9" w:rsidRDefault="00011DE9">
            <w:pPr>
              <w:pStyle w:val="P68B1DB1-Normal19"/>
              <w:spacing w:after="0"/>
              <w:jc w:val="right"/>
              <w:rPr>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66CF06DF" w14:textId="77777777" w:rsidR="00011DE9" w:rsidRDefault="00011DE9">
            <w:pPr>
              <w:pStyle w:val="P68B1DB1-Normal19"/>
              <w:spacing w:after="0"/>
              <w:jc w:val="right"/>
              <w:rPr>
                <w:noProof/>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2F478F40" w14:textId="25BC1459" w:rsidR="00011DE9" w:rsidRDefault="005701C9">
            <w:pPr>
              <w:pStyle w:val="P68B1DB1-Normal19"/>
              <w:spacing w:after="0"/>
              <w:jc w:val="center"/>
              <w:rPr>
                <w:noProof/>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74F55DA" w14:textId="77777777" w:rsidR="00011DE9" w:rsidRDefault="00011DE9">
            <w:pPr>
              <w:pStyle w:val="P68B1DB1-Normal19"/>
              <w:spacing w:after="0"/>
              <w:jc w:val="center"/>
              <w:rPr>
                <w:noProof/>
              </w:rPr>
            </w:pPr>
            <w:r>
              <w:rPr>
                <w:noProof/>
              </w:rPr>
              <w:t>2022</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699D7099" w14:textId="77777777" w:rsidR="00011DE9" w:rsidRDefault="00011DE9">
            <w:pPr>
              <w:pStyle w:val="P68B1DB1-Normal19"/>
              <w:spacing w:after="0" w:line="256" w:lineRule="auto"/>
              <w:rPr>
                <w:noProof/>
              </w:rPr>
            </w:pPr>
            <w:r>
              <w:rPr>
                <w:noProof/>
              </w:rPr>
              <w:t>Publicarea în Jurnalul Oficial a atribuirii benzii de frecvențe de 26 GHz ca urmare a licitației. O aprobare semnată de autoritatea competentă sau publicarea pe site-ul oficial relevant este considerată un indicator calitativ al intrării în vigoare. </w:t>
            </w:r>
          </w:p>
        </w:tc>
      </w:tr>
      <w:tr w:rsidR="00011DE9" w14:paraId="6899E56B"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013DA187" w14:textId="77777777" w:rsidR="00011DE9" w:rsidRDefault="00011DE9">
            <w:pPr>
              <w:pStyle w:val="P68B1DB1-Normal19"/>
              <w:spacing w:after="0"/>
              <w:jc w:val="center"/>
              <w:rPr>
                <w:noProof/>
              </w:rPr>
            </w:pPr>
            <w:r>
              <w:rPr>
                <w:noProof/>
              </w:rPr>
              <w:t>235</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346A6E5E" w14:textId="77777777" w:rsidR="00011DE9" w:rsidRDefault="00011DE9">
            <w:pPr>
              <w:pStyle w:val="P68B1DB1-Normal19"/>
              <w:spacing w:after="0"/>
              <w:jc w:val="center"/>
              <w:rPr>
                <w:noProof/>
              </w:rPr>
            </w:pPr>
            <w:r>
              <w:rPr>
                <w:noProof/>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7218DA13" w14:textId="77777777" w:rsidR="00011DE9" w:rsidRDefault="00011DE9">
            <w:pPr>
              <w:pStyle w:val="P68B1DB1-Normal19"/>
              <w:spacing w:after="0"/>
              <w:jc w:val="center"/>
              <w:rPr>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3E72ECA6" w14:textId="77777777" w:rsidR="00011DE9" w:rsidRDefault="00011DE9">
            <w:pPr>
              <w:pStyle w:val="P68B1DB1-Normal19"/>
              <w:spacing w:after="0"/>
              <w:rPr>
                <w:noProof/>
              </w:rPr>
            </w:pPr>
            <w:r>
              <w:rPr>
                <w:noProof/>
              </w:rPr>
              <w:t xml:space="preserve">Intrarea în vigoare a Legii privind securitatea cibernetică a rețelelor 5G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59ED612A" w14:textId="77777777" w:rsidR="00011DE9" w:rsidRDefault="00011DE9">
            <w:pPr>
              <w:pStyle w:val="P68B1DB1-Normal19"/>
              <w:spacing w:after="0"/>
              <w:rPr>
                <w:noProof/>
              </w:rPr>
            </w:pPr>
            <w:r>
              <w:rPr>
                <w:noProof/>
              </w:rPr>
              <w:t xml:space="preserve">Dispoziție din Legea privind securitatea cibernetică a rețelelor 5G privind intrarea în vigoare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02B55F54" w14:textId="77777777" w:rsidR="00011DE9" w:rsidRDefault="00011DE9">
            <w:pPr>
              <w:pStyle w:val="P68B1DB1-Normal19"/>
              <w:spacing w:after="0"/>
              <w:jc w:val="center"/>
              <w:rPr>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0316CF8B" w14:textId="77777777" w:rsidR="00011DE9" w:rsidRDefault="00011DE9">
            <w:pPr>
              <w:pStyle w:val="P68B1DB1-Normal19"/>
              <w:spacing w:after="0"/>
              <w:jc w:val="right"/>
              <w:rPr>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1D24B98E" w14:textId="77777777" w:rsidR="00011DE9" w:rsidRDefault="00011DE9">
            <w:pPr>
              <w:pStyle w:val="P68B1DB1-Normal19"/>
              <w:spacing w:after="0"/>
              <w:jc w:val="right"/>
              <w:rPr>
                <w:noProof/>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24EF2D96" w14:textId="3CD91CA9" w:rsidR="00011DE9" w:rsidRDefault="005701C9">
            <w:pPr>
              <w:pStyle w:val="P68B1DB1-Normal19"/>
              <w:spacing w:after="0"/>
              <w:jc w:val="center"/>
              <w:rPr>
                <w:noProof/>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06B49DC0" w14:textId="77777777" w:rsidR="00011DE9" w:rsidRDefault="00011DE9">
            <w:pPr>
              <w:pStyle w:val="P68B1DB1-Normal19"/>
              <w:spacing w:after="0"/>
              <w:jc w:val="center"/>
              <w:rPr>
                <w:noProof/>
              </w:rPr>
            </w:pPr>
            <w:r>
              <w:rPr>
                <w:noProof/>
              </w:rPr>
              <w:t>2022</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5A148273" w14:textId="77777777" w:rsidR="00011DE9" w:rsidRDefault="00011DE9">
            <w:pPr>
              <w:pStyle w:val="P68B1DB1-Normal19"/>
              <w:spacing w:after="0" w:line="256" w:lineRule="auto"/>
              <w:rPr>
                <w:noProof/>
              </w:rPr>
            </w:pPr>
            <w:r>
              <w:rPr>
                <w:noProof/>
              </w:rPr>
              <w:t>Legea privind securitatea cibernetică a rețelelor 5G include și pune în aplicare recomandarea privind setul de instrumente al UE pentru securitatea cibernetică a rețelelor 5G.</w:t>
            </w:r>
          </w:p>
          <w:p w14:paraId="5FDD5C5A" w14:textId="77777777" w:rsidR="00011DE9" w:rsidRDefault="00011DE9">
            <w:pPr>
              <w:pStyle w:val="P68B1DB1-Normal19"/>
              <w:spacing w:after="0" w:line="256" w:lineRule="auto"/>
              <w:rPr>
                <w:noProof/>
              </w:rPr>
            </w:pPr>
            <w:r>
              <w:rPr>
                <w:noProof/>
              </w:rPr>
              <w:t>Legea conține cel puțin următoarele elemente:</w:t>
            </w:r>
          </w:p>
          <w:p w14:paraId="4A2CDC16" w14:textId="77777777" w:rsidR="00011DE9" w:rsidRDefault="00011DE9">
            <w:pPr>
              <w:pStyle w:val="P68B1DB1-Normal19"/>
              <w:spacing w:after="0" w:line="256" w:lineRule="auto"/>
              <w:rPr>
                <w:noProof/>
              </w:rPr>
            </w:pPr>
            <w:r>
              <w:rPr>
                <w:noProof/>
              </w:rPr>
              <w:t>— Obligațiile de evaluare și gestionare a riscurilor de securitate pentru operatorii de telecomunicații; Obligații de diversificare a lanțului de aprovizionare pentru a evita dependența tehnologică;</w:t>
            </w:r>
          </w:p>
          <w:p w14:paraId="36040758" w14:textId="77777777" w:rsidR="00011DE9" w:rsidRDefault="00011DE9">
            <w:pPr>
              <w:pStyle w:val="P68B1DB1-Normal19"/>
              <w:spacing w:after="0" w:line="256" w:lineRule="auto"/>
              <w:rPr>
                <w:noProof/>
              </w:rPr>
            </w:pPr>
            <w:r>
              <w:rPr>
                <w:noProof/>
              </w:rPr>
              <w:t xml:space="preserve">— Mijloacele de identificare a vânzătorilor cu risc ridicat și cu risc mediu și </w:t>
            </w:r>
          </w:p>
          <w:p w14:paraId="539A7C28" w14:textId="77777777" w:rsidR="00011DE9" w:rsidRDefault="00011DE9">
            <w:pPr>
              <w:pStyle w:val="P68B1DB1-Normal19"/>
              <w:spacing w:after="0" w:line="256" w:lineRule="auto"/>
              <w:rPr>
                <w:noProof/>
              </w:rPr>
            </w:pPr>
            <w:r>
              <w:rPr>
                <w:noProof/>
              </w:rPr>
              <w:t>posibile limitări ale utilizării acestora.</w:t>
            </w:r>
          </w:p>
        </w:tc>
      </w:tr>
      <w:tr w:rsidR="00011DE9" w14:paraId="2C6EE6A8"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303205F" w14:textId="77777777" w:rsidR="00011DE9" w:rsidRDefault="00011DE9">
            <w:pPr>
              <w:pStyle w:val="P68B1DB1-Normal19"/>
              <w:spacing w:after="0"/>
              <w:jc w:val="center"/>
              <w:rPr>
                <w:noProof/>
              </w:rPr>
            </w:pPr>
            <w:r>
              <w:rPr>
                <w:noProof/>
              </w:rPr>
              <w:t>237</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59FDC8EF" w14:textId="77777777" w:rsidR="00011DE9" w:rsidRDefault="00011DE9">
            <w:pPr>
              <w:pStyle w:val="P68B1DB1-Normal19"/>
              <w:spacing w:after="0"/>
              <w:jc w:val="center"/>
              <w:rPr>
                <w:noProof/>
              </w:rPr>
            </w:pPr>
            <w:r>
              <w:rPr>
                <w:noProof/>
              </w:rPr>
              <w:t>C15.I1</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78124C5E" w14:textId="77777777" w:rsidR="00011DE9" w:rsidRDefault="00011DE9">
            <w:pPr>
              <w:pStyle w:val="P68B1DB1-Normal19"/>
              <w:spacing w:after="0"/>
              <w:jc w:val="center"/>
              <w:rPr>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7108A04A" w14:textId="77777777" w:rsidR="00011DE9" w:rsidRDefault="00011DE9">
            <w:pPr>
              <w:pStyle w:val="P68B1DB1-Normal19"/>
              <w:spacing w:after="0"/>
              <w:rPr>
                <w:noProof/>
              </w:rPr>
            </w:pPr>
            <w:r>
              <w:rPr>
                <w:noProof/>
              </w:rPr>
              <w:t>Extinderea benzii largi în zonele albe și gri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72FA37AF" w14:textId="0DB7446D" w:rsidR="00011DE9" w:rsidRDefault="00011DE9">
            <w:pPr>
              <w:pStyle w:val="P68B1DB1-Normal19"/>
              <w:spacing w:after="0"/>
              <w:rPr>
                <w:noProof/>
              </w:rPr>
            </w:pPr>
            <w:r>
              <w:rPr>
                <w:noProof/>
              </w:rPr>
              <w:t>Rapoartele finale privind plățile aferente granturilor; sau certificate de acceptare, declarații de conformitate sau alte documente echivalente care atestă executarea contractelor.</w:t>
            </w:r>
            <w:r w:rsidR="00971820">
              <w:rPr>
                <w:noProof/>
              </w:rPr>
              <w:t xml:space="preserve">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043717B5" w14:textId="77777777" w:rsidR="00011DE9" w:rsidRDefault="00011DE9">
            <w:pPr>
              <w:pStyle w:val="P68B1DB1-Normal19"/>
              <w:spacing w:after="0"/>
              <w:jc w:val="center"/>
              <w:rPr>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0953A38" w14:textId="77777777" w:rsidR="00011DE9" w:rsidRDefault="00011DE9">
            <w:pPr>
              <w:pStyle w:val="P68B1DB1-Normal19"/>
              <w:spacing w:after="0"/>
              <w:jc w:val="right"/>
              <w:rPr>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07E74A6B" w14:textId="77777777" w:rsidR="00011DE9" w:rsidRDefault="00011DE9">
            <w:pPr>
              <w:pStyle w:val="P68B1DB1-Normal19"/>
              <w:spacing w:after="0"/>
              <w:jc w:val="right"/>
              <w:rPr>
                <w:noProof/>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4F1E96B4" w14:textId="4D25512C" w:rsidR="00011DE9" w:rsidRDefault="005701C9">
            <w:pPr>
              <w:pStyle w:val="P68B1DB1-Normal20"/>
              <w:spacing w:after="0"/>
              <w:jc w:val="center"/>
              <w:rPr>
                <w:rFonts w:cs="Times New Roman"/>
                <w:noProof/>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3885B31" w14:textId="77777777" w:rsidR="00011DE9" w:rsidRDefault="00011DE9">
            <w:pPr>
              <w:pStyle w:val="P68B1DB1-Normal20"/>
              <w:spacing w:after="0"/>
              <w:jc w:val="center"/>
              <w:rPr>
                <w:rFonts w:cs="Times New Roman"/>
                <w:noProof/>
              </w:rPr>
            </w:pPr>
            <w:r>
              <w:rPr>
                <w:noProof/>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011F64E9" w14:textId="77777777" w:rsidR="00011DE9" w:rsidRDefault="00011DE9">
            <w:pPr>
              <w:pStyle w:val="P68B1DB1-Normal20"/>
              <w:spacing w:after="0" w:line="256" w:lineRule="auto"/>
              <w:rPr>
                <w:rFonts w:cs="Times New Roman"/>
                <w:noProof/>
              </w:rPr>
            </w:pPr>
            <w:r>
              <w:rPr>
                <w:noProof/>
              </w:rPr>
              <w:t>Entitățile beneficiare sau persoanele fizice au prezentat rapoarte finale care confirmă finalizarea activităților atribuite pentru granturi legate de furnizarea unei conectivități în bandă largă de 100 Mbps în zonele albe și gri sau o confirmare din partea administrației că au fost executate contracte sau părți ale acestora legate de furnizarea unei conectivități în bandă largă de 100 Mbps în zonele albe și gri, pentru o sumă totală cumulată de 251 100 000 EUR sub formă de granturi și contracte atribuite (inclusiv orice modificări).</w:t>
            </w:r>
          </w:p>
        </w:tc>
      </w:tr>
      <w:tr w:rsidR="00011DE9" w14:paraId="5F3E60B3"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359394B9" w14:textId="77777777" w:rsidR="00011DE9" w:rsidRDefault="00011DE9">
            <w:pPr>
              <w:pStyle w:val="P68B1DB1-Normal19"/>
              <w:spacing w:after="0" w:line="256" w:lineRule="auto"/>
              <w:jc w:val="center"/>
              <w:rPr>
                <w:noProof/>
              </w:rPr>
            </w:pPr>
            <w:r>
              <w:rPr>
                <w:noProof/>
              </w:rPr>
              <w:t>238</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79BD4C71" w14:textId="77777777" w:rsidR="00011DE9" w:rsidRDefault="00011DE9">
            <w:pPr>
              <w:pStyle w:val="P68B1DB1-Normal19"/>
              <w:spacing w:after="0" w:line="256" w:lineRule="auto"/>
              <w:jc w:val="center"/>
              <w:rPr>
                <w:noProof/>
              </w:rPr>
            </w:pPr>
            <w:r>
              <w:rPr>
                <w:noProof/>
              </w:rPr>
              <w:t>C15.I2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6E2A7B4A" w14:textId="77777777" w:rsidR="00011DE9" w:rsidRDefault="00011DE9">
            <w:pPr>
              <w:pStyle w:val="P68B1DB1-Normal19"/>
              <w:spacing w:after="0" w:line="256" w:lineRule="auto"/>
              <w:jc w:val="center"/>
              <w:rPr>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6EC8C9FB" w14:textId="77777777" w:rsidR="00011DE9" w:rsidRDefault="00011DE9">
            <w:pPr>
              <w:pStyle w:val="P68B1DB1-Normal19"/>
              <w:spacing w:after="0" w:line="256" w:lineRule="auto"/>
              <w:rPr>
                <w:noProof/>
              </w:rPr>
            </w:pPr>
            <w:r>
              <w:rPr>
                <w:noProof/>
              </w:rPr>
              <w:t>Conectivitatea în centrele și serviciile publice, în siturile industriale și de afaceri și în punctele de conectare pentru locurile legate de apărare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27F98504" w14:textId="77777777" w:rsidR="00011DE9" w:rsidRDefault="00011DE9">
            <w:pPr>
              <w:pStyle w:val="P68B1DB1-Normal20"/>
              <w:spacing w:after="0" w:line="256" w:lineRule="auto"/>
              <w:rPr>
                <w:rFonts w:cs="Times New Roman"/>
                <w:noProof/>
              </w:rPr>
            </w:pPr>
            <w:r>
              <w:rPr>
                <w:noProof/>
              </w:rPr>
              <w:t>Verificarea de către administrație a plăților aferente granturilor; sau certificate de acceptare, declarații de conformitate, facturi semnate în mod corespunzător ca fiind conforme de către administrație, documente care atestă recunoașterea obligației de plată corespunzătoare, certificate de plată sau documente echivalente care atestă executarea contractelor sau a unor părți ale acestora.</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2A70B469" w14:textId="77777777" w:rsidR="00011DE9" w:rsidRDefault="00011DE9">
            <w:pPr>
              <w:spacing w:after="0" w:line="256" w:lineRule="auto"/>
              <w:jc w:val="center"/>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0C5DE56" w14:textId="77777777" w:rsidR="00011DE9" w:rsidRDefault="00011DE9">
            <w:pPr>
              <w:spacing w:after="0" w:line="256" w:lineRule="auto"/>
              <w:jc w:val="center"/>
              <w:rPr>
                <w:rFonts w:ascii="Times New Roman" w:hAnsi="Times New Roman" w:cs="Times New Roman"/>
                <w:noProof/>
                <w:sz w:val="18"/>
                <w:szCs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01EF59F2" w14:textId="77777777" w:rsidR="00011DE9" w:rsidRDefault="00011DE9">
            <w:pPr>
              <w:spacing w:after="0" w:line="256" w:lineRule="auto"/>
              <w:jc w:val="center"/>
              <w:rPr>
                <w:rFonts w:ascii="Times New Roman" w:hAnsi="Times New Roman" w:cs="Times New Roman"/>
                <w:noProof/>
                <w:sz w:val="18"/>
                <w:szCs w:val="18"/>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565A3E14" w14:textId="139A88F1" w:rsidR="00011DE9" w:rsidRDefault="005701C9">
            <w:pPr>
              <w:pStyle w:val="P68B1DB1-Normal19"/>
              <w:spacing w:after="0" w:line="256" w:lineRule="auto"/>
              <w:jc w:val="center"/>
              <w:rPr>
                <w:noProof/>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5F0C62B4" w14:textId="77777777" w:rsidR="00011DE9" w:rsidRDefault="00011DE9">
            <w:pPr>
              <w:pStyle w:val="P68B1DB1-Normal19"/>
              <w:spacing w:after="0" w:line="256" w:lineRule="auto"/>
              <w:jc w:val="center"/>
              <w:rPr>
                <w:noProof/>
              </w:rPr>
            </w:pPr>
            <w:r>
              <w:rPr>
                <w:noProof/>
              </w:rPr>
              <w:t>2025</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79337146" w14:textId="77777777" w:rsidR="00011DE9" w:rsidRDefault="00011DE9">
            <w:pPr>
              <w:pStyle w:val="P68B1DB1-Normal20"/>
              <w:spacing w:after="0" w:line="256" w:lineRule="auto"/>
              <w:rPr>
                <w:noProof/>
              </w:rPr>
            </w:pPr>
            <w:r>
              <w:rPr>
                <w:noProof/>
              </w:rPr>
              <w:t>Verificarea de către administrație a documentelor justificative pentru plata granturilor sau confirmarea de către administrație a executării contractelor sau a unor părți ale acestora, care acoperă: </w:t>
            </w:r>
          </w:p>
          <w:p w14:paraId="458D7B1F" w14:textId="14DEB2FD" w:rsidR="00011DE9" w:rsidRDefault="00011DE9">
            <w:pPr>
              <w:spacing w:after="0" w:line="256" w:lineRule="auto"/>
              <w:rPr>
                <w:rFonts w:ascii="Times New Roman" w:hAnsi="Times New Roman"/>
                <w:noProof/>
                <w:sz w:val="18"/>
                <w:szCs w:val="18"/>
              </w:rPr>
            </w:pPr>
            <w:r>
              <w:rPr>
                <w:noProof/>
              </w:rPr>
              <w:br/>
            </w:r>
            <w:r>
              <w:rPr>
                <w:rFonts w:ascii="Times New Roman" w:hAnsi="Times New Roman"/>
                <w:noProof/>
                <w:sz w:val="18"/>
                <w:szCs w:val="18"/>
              </w:rPr>
              <w:t xml:space="preserve">— 9 000 acțiuni de îmbunătățire a conectivității pentru centrele și serviciile publice </w:t>
            </w:r>
            <w:r>
              <w:rPr>
                <w:noProof/>
              </w:rPr>
              <w:br/>
              <w:t xml:space="preserve"> </w:t>
            </w:r>
            <w:r>
              <w:rPr>
                <w:rFonts w:ascii="Times New Roman" w:hAnsi="Times New Roman"/>
                <w:noProof/>
                <w:sz w:val="18"/>
                <w:szCs w:val="18"/>
              </w:rPr>
              <w:t>— 600 acțiuni de îmbunătățire a conectivității pentru siturile industriale și de afaceri;</w:t>
            </w:r>
            <w:r w:rsidR="00971820">
              <w:rPr>
                <w:rFonts w:ascii="Times New Roman" w:hAnsi="Times New Roman"/>
                <w:noProof/>
                <w:sz w:val="18"/>
                <w:szCs w:val="18"/>
              </w:rPr>
              <w:t xml:space="preserve"> </w:t>
            </w:r>
            <w:r>
              <w:rPr>
                <w:rFonts w:ascii="Times New Roman" w:hAnsi="Times New Roman"/>
                <w:noProof/>
                <w:sz w:val="18"/>
                <w:szCs w:val="18"/>
              </w:rPr>
              <w:t> </w:t>
            </w:r>
            <w:r>
              <w:rPr>
                <w:noProof/>
              </w:rPr>
              <w:br/>
            </w:r>
            <w:r>
              <w:rPr>
                <w:rFonts w:ascii="Times New Roman" w:hAnsi="Times New Roman"/>
                <w:noProof/>
                <w:sz w:val="18"/>
                <w:szCs w:val="18"/>
              </w:rPr>
              <w:t xml:space="preserve">— 5 500 puncte de conexiune prevăzute pentru locații legate de apărare. </w:t>
            </w:r>
          </w:p>
          <w:p w14:paraId="5FB9354B" w14:textId="77777777" w:rsidR="00011DE9" w:rsidRDefault="00011DE9">
            <w:pPr>
              <w:spacing w:after="0" w:line="256" w:lineRule="auto"/>
              <w:rPr>
                <w:rFonts w:ascii="Times New Roman" w:hAnsi="Times New Roman" w:cs="Times New Roman"/>
                <w:noProof/>
                <w:sz w:val="18"/>
                <w:szCs w:val="18"/>
              </w:rPr>
            </w:pPr>
          </w:p>
        </w:tc>
      </w:tr>
      <w:tr w:rsidR="00011DE9" w14:paraId="4EB4971F"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710A6CA" w14:textId="77777777" w:rsidR="00011DE9" w:rsidRDefault="00011DE9">
            <w:pPr>
              <w:pStyle w:val="P68B1DB1-Normal19"/>
              <w:spacing w:after="0" w:line="256" w:lineRule="auto"/>
              <w:jc w:val="center"/>
              <w:rPr>
                <w:noProof/>
              </w:rPr>
            </w:pPr>
            <w:r>
              <w:rPr>
                <w:noProof/>
              </w:rPr>
              <w:t>239</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54DB8593" w14:textId="77777777" w:rsidR="00011DE9" w:rsidRDefault="00011DE9">
            <w:pPr>
              <w:pStyle w:val="P68B1DB1-Normal19"/>
              <w:spacing w:after="0" w:line="256" w:lineRule="auto"/>
              <w:jc w:val="center"/>
              <w:rPr>
                <w:noProof/>
              </w:rPr>
            </w:pPr>
            <w:r>
              <w:rPr>
                <w:noProof/>
              </w:rPr>
              <w:t>C15.I3</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04A02B5A" w14:textId="77777777" w:rsidR="00011DE9" w:rsidRDefault="00011DE9">
            <w:pPr>
              <w:pStyle w:val="P68B1DB1-Normal19"/>
              <w:spacing w:after="0" w:line="256" w:lineRule="auto"/>
              <w:jc w:val="center"/>
              <w:rPr>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0FABD219" w14:textId="77777777" w:rsidR="00011DE9" w:rsidRDefault="00011DE9">
            <w:pPr>
              <w:pStyle w:val="P68B1DB1-Normal19"/>
              <w:spacing w:after="0" w:line="256" w:lineRule="auto"/>
              <w:rPr>
                <w:noProof/>
              </w:rPr>
            </w:pPr>
            <w:r>
              <w:rPr>
                <w:noProof/>
              </w:rPr>
              <w:t>Vouchere pentru conectivitate în cadrul UNICO Bono social și vouchere în cadrul UNICO Bono PYME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4DA7B79D" w14:textId="77777777" w:rsidR="00011DE9" w:rsidRDefault="00011DE9">
            <w:pPr>
              <w:pStyle w:val="P68B1DB1-Normal19"/>
              <w:spacing w:after="0" w:line="256" w:lineRule="auto"/>
              <w:rPr>
                <w:noProof/>
              </w:rPr>
            </w:pPr>
            <w:r>
              <w:rPr>
                <w:noProof/>
              </w:rPr>
              <w:t>Rapoarte finale pentru vouchere în cadrul UNICO Bono social; și rapoartele finale pentru vouchere în temeiul UNICO Bono PYME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363BD428" w14:textId="77777777" w:rsidR="00011DE9" w:rsidRDefault="00011DE9">
            <w:pPr>
              <w:spacing w:after="0" w:line="256" w:lineRule="auto"/>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3046DF5E" w14:textId="77777777" w:rsidR="00011DE9" w:rsidRDefault="00011DE9">
            <w:pPr>
              <w:spacing w:after="0" w:line="256" w:lineRule="auto"/>
              <w:jc w:val="center"/>
              <w:rPr>
                <w:rFonts w:ascii="Times New Roman" w:hAnsi="Times New Roman" w:cs="Times New Roman"/>
                <w:noProof/>
                <w:sz w:val="18"/>
                <w:szCs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29F3F503" w14:textId="77777777" w:rsidR="00011DE9" w:rsidRDefault="00011DE9">
            <w:pPr>
              <w:spacing w:after="0" w:line="256" w:lineRule="auto"/>
              <w:jc w:val="center"/>
              <w:rPr>
                <w:rFonts w:ascii="Times New Roman" w:hAnsi="Times New Roman" w:cs="Times New Roman"/>
                <w:noProof/>
                <w:sz w:val="18"/>
                <w:szCs w:val="18"/>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0F0B4218" w14:textId="649759BE" w:rsidR="00011DE9" w:rsidRDefault="005701C9">
            <w:pPr>
              <w:pStyle w:val="P68B1DB1-Normal19"/>
              <w:spacing w:after="0" w:line="256" w:lineRule="auto"/>
              <w:jc w:val="center"/>
              <w:rPr>
                <w:noProof/>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3DF34991" w14:textId="77777777" w:rsidR="00011DE9" w:rsidRDefault="00011DE9">
            <w:pPr>
              <w:pStyle w:val="P68B1DB1-Normal19"/>
              <w:spacing w:after="0" w:line="256" w:lineRule="auto"/>
              <w:jc w:val="center"/>
              <w:rPr>
                <w:noProof/>
              </w:rPr>
            </w:pPr>
            <w:r>
              <w:rPr>
                <w:noProof/>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395A1804" w14:textId="1997B812" w:rsidR="00011DE9" w:rsidRDefault="00011DE9">
            <w:pPr>
              <w:pStyle w:val="P68B1DB1-Normal20"/>
              <w:spacing w:after="0" w:line="256" w:lineRule="auto"/>
              <w:rPr>
                <w:noProof/>
              </w:rPr>
            </w:pPr>
            <w:r>
              <w:rPr>
                <w:noProof/>
              </w:rPr>
              <w:t>Entitățile sau persoanele beneficiare prezintă rapoarte finale care confirmă finalizarea activităților atribuite pentru granturi legate de un număr cumulat de 5 000 vouchere pentru conectivitate referitoare la „Unico Bono Social”.</w:t>
            </w:r>
            <w:r w:rsidR="00971820">
              <w:rPr>
                <w:noProof/>
              </w:rPr>
              <w:t xml:space="preserve"> </w:t>
            </w:r>
          </w:p>
          <w:p w14:paraId="50583136" w14:textId="77777777" w:rsidR="00011DE9" w:rsidRDefault="00011DE9">
            <w:pPr>
              <w:pStyle w:val="P68B1DB1-Normal20"/>
              <w:spacing w:after="0" w:line="256" w:lineRule="auto"/>
              <w:rPr>
                <w:noProof/>
              </w:rPr>
            </w:pPr>
            <w:r>
              <w:rPr>
                <w:noProof/>
              </w:rPr>
              <w:t> </w:t>
            </w:r>
          </w:p>
          <w:p w14:paraId="6264C3B3" w14:textId="77777777" w:rsidR="00011DE9" w:rsidRDefault="00011DE9">
            <w:pPr>
              <w:pStyle w:val="P68B1DB1-Normal20"/>
              <w:spacing w:after="0" w:line="256" w:lineRule="auto"/>
              <w:rPr>
                <w:noProof/>
              </w:rPr>
            </w:pPr>
            <w:r>
              <w:rPr>
                <w:noProof/>
              </w:rPr>
              <w:t>Entitățile sau persoanele beneficiare prezintă rapoarte finale care confirmă finalizarea activităților atribuite pentru granturi legate de un număr cumulat de 2 700 vouchere pentru conectivitate referitoare la „Unico Bono Pyme”.</w:t>
            </w:r>
          </w:p>
        </w:tc>
      </w:tr>
      <w:tr w:rsidR="00011DE9" w14:paraId="0C3DB629"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01166C16" w14:textId="77777777" w:rsidR="00011DE9" w:rsidRDefault="00011DE9">
            <w:pPr>
              <w:pStyle w:val="P68B1DB1-Normal19"/>
              <w:spacing w:after="0" w:line="256" w:lineRule="auto"/>
              <w:jc w:val="center"/>
              <w:rPr>
                <w:noProof/>
              </w:rPr>
            </w:pPr>
            <w:r>
              <w:rPr>
                <w:noProof/>
              </w:rPr>
              <w:t>242</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543D4A14" w14:textId="77777777" w:rsidR="00011DE9" w:rsidRDefault="00011DE9">
            <w:pPr>
              <w:pStyle w:val="P68B1DB1-Normal19"/>
              <w:spacing w:after="0" w:line="256" w:lineRule="auto"/>
              <w:jc w:val="center"/>
              <w:rPr>
                <w:noProof/>
              </w:rPr>
            </w:pPr>
            <w:r>
              <w:rPr>
                <w:noProof/>
              </w:rPr>
              <w:t>C15.I5</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4E4FC30C" w14:textId="77777777" w:rsidR="00011DE9" w:rsidRDefault="00011DE9">
            <w:pPr>
              <w:pStyle w:val="P68B1DB1-Normal19"/>
              <w:jc w:val="center"/>
              <w:rPr>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64FA8A3C" w14:textId="77777777" w:rsidR="00011DE9" w:rsidRDefault="00011DE9">
            <w:pPr>
              <w:pStyle w:val="P68B1DB1-Normal19"/>
              <w:rPr>
                <w:noProof/>
              </w:rPr>
            </w:pPr>
            <w:r>
              <w:rPr>
                <w:noProof/>
              </w:rPr>
              <w:t>Infrastructură digitală: cabluri submarine și proiecte de C &amp; D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7A9608B1" w14:textId="77777777" w:rsidR="00011DE9" w:rsidRDefault="00011DE9">
            <w:pPr>
              <w:pStyle w:val="P68B1DB1-Normal20"/>
              <w:rPr>
                <w:noProof/>
              </w:rPr>
            </w:pPr>
            <w:r>
              <w:rPr>
                <w:noProof/>
              </w:rPr>
              <w:t>Rapoartele finale privind plățile aferente granturilor; sau certificate de acceptare, declarații de conformitate sau alte documente echivalente care atestă executarea contractelor. </w:t>
            </w:r>
          </w:p>
          <w:p w14:paraId="68D879E4" w14:textId="77777777" w:rsidR="00011DE9" w:rsidRDefault="00011DE9">
            <w:pPr>
              <w:pStyle w:val="P68B1DB1-Normal20"/>
              <w:rPr>
                <w:rFonts w:cs="Times New Roman"/>
                <w:noProof/>
              </w:rPr>
            </w:pPr>
            <w:r>
              <w:rPr>
                <w:noProof/>
              </w:rPr>
              <w:t>Rezoluția de atribuire și documentul justificativ de plată pentru proiectele de C &amp; D &amp; I</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53C908F4" w14:textId="77777777" w:rsidR="00011DE9" w:rsidRDefault="00011DE9">
            <w:pPr>
              <w:pStyle w:val="P68B1DB1-Normal19"/>
              <w:spacing w:after="0" w:line="256" w:lineRule="auto"/>
              <w:rPr>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62694C69" w14:textId="77777777" w:rsidR="00011DE9" w:rsidRDefault="00011DE9">
            <w:pPr>
              <w:pStyle w:val="P68B1DB1-Normal19"/>
              <w:spacing w:after="0" w:line="256" w:lineRule="auto"/>
              <w:rPr>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7CA534D4" w14:textId="77777777" w:rsidR="00011DE9" w:rsidRDefault="00011DE9">
            <w:pPr>
              <w:pStyle w:val="P68B1DB1-Normal19"/>
              <w:spacing w:after="0" w:line="256" w:lineRule="auto"/>
              <w:rPr>
                <w:noProof/>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68E89D4D" w14:textId="3B53AA89" w:rsidR="00011DE9" w:rsidRDefault="005701C9">
            <w:pPr>
              <w:pStyle w:val="P68B1DB1-Normal19"/>
              <w:spacing w:after="0" w:line="256" w:lineRule="auto"/>
              <w:jc w:val="center"/>
              <w:rPr>
                <w:noProof/>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3EE78F94" w14:textId="77777777" w:rsidR="00011DE9" w:rsidRDefault="00011DE9">
            <w:pPr>
              <w:pStyle w:val="P68B1DB1-Normal19"/>
              <w:spacing w:after="0" w:line="256" w:lineRule="auto"/>
              <w:jc w:val="center"/>
              <w:rPr>
                <w:noProof/>
              </w:rPr>
            </w:pPr>
            <w:r>
              <w:rPr>
                <w:noProof/>
              </w:rPr>
              <w:t xml:space="preserve">2026 </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547BFD3A" w14:textId="1EA0D005" w:rsidR="00011DE9" w:rsidRDefault="00011DE9">
            <w:pPr>
              <w:pStyle w:val="P68B1DB1-Normal20"/>
              <w:spacing w:after="0" w:line="256" w:lineRule="auto"/>
              <w:rPr>
                <w:noProof/>
              </w:rPr>
            </w:pPr>
            <w:r>
              <w:rPr>
                <w:noProof/>
              </w:rPr>
              <w:t>Entitățile beneficiare sau persoanele fizice au prezentat rapoarte finale care confirmă finalizarea granturilor acordate pentru granturile legate de cablurile submarine sau administrația a confirmat executarea contractelor sau a unor părți ale acestora legate de cablurile submarine, pentru o sumă totală cumulată de 57 000 000 EUR sub formă de granturi și contracte atribuite (inclusiv eventualele modificări).</w:t>
            </w:r>
            <w:r w:rsidR="00971820">
              <w:rPr>
                <w:noProof/>
              </w:rPr>
              <w:t xml:space="preserve"> </w:t>
            </w:r>
          </w:p>
          <w:p w14:paraId="33AE7975" w14:textId="77777777" w:rsidR="00011DE9" w:rsidRDefault="00011DE9">
            <w:pPr>
              <w:pStyle w:val="P68B1DB1-Normal19"/>
              <w:spacing w:after="0" w:line="256" w:lineRule="auto"/>
              <w:rPr>
                <w:noProof/>
              </w:rPr>
            </w:pPr>
            <w:r>
              <w:rPr>
                <w:noProof/>
              </w:rPr>
              <w:t> </w:t>
            </w:r>
          </w:p>
          <w:p w14:paraId="477639BF" w14:textId="77777777" w:rsidR="00011DE9" w:rsidRDefault="00011DE9">
            <w:pPr>
              <w:spacing w:after="0" w:line="256" w:lineRule="auto"/>
              <w:rPr>
                <w:rFonts w:ascii="Times New Roman" w:hAnsi="Times New Roman"/>
                <w:noProof/>
                <w:sz w:val="18"/>
              </w:rPr>
            </w:pPr>
            <w:r>
              <w:rPr>
                <w:rFonts w:ascii="Times New Roman" w:hAnsi="Times New Roman"/>
                <w:noProof/>
                <w:sz w:val="18"/>
              </w:rPr>
              <w:t>Plata sumei de</w:t>
            </w:r>
            <w:r>
              <w:rPr>
                <w:rFonts w:ascii="Times New Roman" w:hAnsi="Times New Roman" w:cs="Times New Roman"/>
                <w:noProof/>
                <w:sz w:val="20"/>
                <w:szCs w:val="20"/>
              </w:rPr>
              <w:t xml:space="preserve"> </w:t>
            </w:r>
            <w:r>
              <w:rPr>
                <w:rFonts w:ascii="Times New Roman" w:hAnsi="Times New Roman"/>
                <w:noProof/>
                <w:sz w:val="18"/>
              </w:rPr>
              <w:t>393 000 000 EUR pentru proiecte de C &amp; D în ceea ce privește (i) infrastructura de cloud, (ii) procesoarele avansate și semiconductorii și (iii) comunicațiile cuantice și prin satelit. </w:t>
            </w:r>
          </w:p>
          <w:p w14:paraId="1D922FBA" w14:textId="77777777" w:rsidR="00011DE9" w:rsidRDefault="00011DE9">
            <w:pPr>
              <w:spacing w:after="0" w:line="256" w:lineRule="auto"/>
              <w:rPr>
                <w:rFonts w:ascii="Times New Roman" w:hAnsi="Times New Roman" w:cs="Times New Roman"/>
                <w:noProof/>
                <w:sz w:val="18"/>
                <w:szCs w:val="18"/>
              </w:rPr>
            </w:pPr>
          </w:p>
        </w:tc>
      </w:tr>
      <w:tr w:rsidR="00011DE9" w14:paraId="655B59E9"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3681F03A" w14:textId="77777777" w:rsidR="00011DE9" w:rsidRDefault="00011DE9">
            <w:pPr>
              <w:pStyle w:val="P68B1DB1-Normal19"/>
              <w:jc w:val="center"/>
              <w:rPr>
                <w:noProof/>
              </w:rPr>
            </w:pPr>
            <w:r>
              <w:rPr>
                <w:noProof/>
              </w:rPr>
              <w:t>243</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31E9B6CA" w14:textId="77777777" w:rsidR="00011DE9" w:rsidRDefault="00011DE9">
            <w:pPr>
              <w:pStyle w:val="P68B1DB1-Normal19"/>
              <w:jc w:val="center"/>
              <w:rPr>
                <w:noProof/>
              </w:rPr>
            </w:pPr>
            <w:r>
              <w:rPr>
                <w:noProof/>
              </w:rPr>
              <w:t>C15.I6</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6E16356D" w14:textId="77777777" w:rsidR="00011DE9" w:rsidRDefault="00011DE9">
            <w:pPr>
              <w:pStyle w:val="P68B1DB1-Normal19"/>
              <w:jc w:val="center"/>
              <w:rPr>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650C92D4" w14:textId="77777777" w:rsidR="00011DE9" w:rsidRDefault="00011DE9">
            <w:pPr>
              <w:pStyle w:val="P68B1DB1-Normal19"/>
              <w:rPr>
                <w:noProof/>
              </w:rPr>
            </w:pPr>
            <w:r>
              <w:rPr>
                <w:noProof/>
              </w:rPr>
              <w:t>Implementarea tehnologiei 5G: premiu</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2E69AF26" w14:textId="77777777" w:rsidR="00011DE9" w:rsidRDefault="00011DE9">
            <w:pPr>
              <w:pStyle w:val="P68B1DB1-Normal19"/>
              <w:rPr>
                <w:noProof/>
              </w:rPr>
            </w:pPr>
            <w:r>
              <w:rPr>
                <w:noProof/>
              </w:rPr>
              <w:t>Publicarea oficială a atribuirii granturilor; și contracte</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2771205E" w14:textId="77777777" w:rsidR="00011DE9" w:rsidRDefault="00011DE9">
            <w:pPr>
              <w:pStyle w:val="P68B1DB1-Normal19"/>
              <w:spacing w:after="0" w:line="256" w:lineRule="auto"/>
              <w:rPr>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39F38EA4" w14:textId="77777777" w:rsidR="00011DE9" w:rsidRDefault="00011DE9">
            <w:pPr>
              <w:pStyle w:val="P68B1DB1-Normal19"/>
              <w:spacing w:after="0" w:line="256" w:lineRule="auto"/>
              <w:rPr>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4FB3F0E9" w14:textId="77777777" w:rsidR="00011DE9" w:rsidRDefault="00011DE9">
            <w:pPr>
              <w:pStyle w:val="P68B1DB1-Normal19"/>
              <w:spacing w:after="0" w:line="256" w:lineRule="auto"/>
              <w:rPr>
                <w:noProof/>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452DF17D" w14:textId="2F2A8098" w:rsidR="00011DE9" w:rsidRDefault="005701C9">
            <w:pPr>
              <w:pStyle w:val="P68B1DB1-Normal19"/>
              <w:spacing w:after="0" w:line="256" w:lineRule="auto"/>
              <w:jc w:val="center"/>
              <w:rPr>
                <w:noProof/>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0E960FE5" w14:textId="77777777" w:rsidR="00011DE9" w:rsidRDefault="00011DE9">
            <w:pPr>
              <w:pStyle w:val="P68B1DB1-Normal19"/>
              <w:spacing w:after="0" w:line="256" w:lineRule="auto"/>
              <w:jc w:val="center"/>
              <w:rPr>
                <w:noProof/>
              </w:rPr>
            </w:pPr>
            <w:r>
              <w:rPr>
                <w:noProof/>
              </w:rPr>
              <w:t>2025</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2DEC829C" w14:textId="66B48553" w:rsidR="00011DE9" w:rsidRDefault="00011DE9">
            <w:pPr>
              <w:pStyle w:val="P68B1DB1-Normal20"/>
              <w:spacing w:after="0" w:line="256" w:lineRule="auto"/>
              <w:rPr>
                <w:rFonts w:cs="Times New Roman"/>
                <w:noProof/>
              </w:rPr>
            </w:pPr>
            <w:r>
              <w:rPr>
                <w:noProof/>
              </w:rPr>
              <w:t>Atribuirea contractelor și a granturilor (buget total atribuit: 1 171 000 000 EUR) pentru: (a) implementarea tehnologiei 5G pe coridoarele de transport naționale sau transfrontaliere; (b) implementarea tehnologiei 5G în municipalitățile cu mai puțin de 10 000 de locuitori; (c) implementarea tehnologiei 5G în proiecte prin intermediul programului SECTORIAL 5G al UNICO și în proiecte ale entităților publice; și (d) proiecte de C &amp; D în domeniul 5G și 6G și înființarea unui centru pentru securitatea cibernetică a rețelelor 5G.</w:t>
            </w:r>
            <w:r w:rsidR="00971820">
              <w:rPr>
                <w:noProof/>
              </w:rPr>
              <w:t xml:space="preserve"> </w:t>
            </w:r>
          </w:p>
        </w:tc>
      </w:tr>
      <w:tr w:rsidR="00011DE9" w14:paraId="643FFECE"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C95252B" w14:textId="77777777" w:rsidR="00011DE9" w:rsidRDefault="00011DE9">
            <w:pPr>
              <w:pStyle w:val="P68B1DB1-Normal19"/>
              <w:spacing w:after="0" w:line="256" w:lineRule="auto"/>
              <w:jc w:val="center"/>
              <w:rPr>
                <w:noProof/>
              </w:rPr>
            </w:pPr>
            <w:r>
              <w:rPr>
                <w:noProof/>
              </w:rPr>
              <w:t>244</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00BFE78C" w14:textId="77777777" w:rsidR="00011DE9" w:rsidRDefault="00011DE9">
            <w:pPr>
              <w:pStyle w:val="P68B1DB1-Normal19"/>
              <w:spacing w:after="0" w:line="256" w:lineRule="auto"/>
              <w:jc w:val="center"/>
              <w:rPr>
                <w:noProof/>
              </w:rPr>
            </w:pPr>
            <w:r>
              <w:rPr>
                <w:noProof/>
              </w:rPr>
              <w:t>C15.I6</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5D22A253" w14:textId="77777777" w:rsidR="00011DE9" w:rsidRDefault="00011DE9">
            <w:pPr>
              <w:pStyle w:val="P68B1DB1-Normal19"/>
              <w:jc w:val="center"/>
              <w:rPr>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14BA3A66" w14:textId="77777777" w:rsidR="00011DE9" w:rsidRDefault="00011DE9">
            <w:pPr>
              <w:pStyle w:val="P68B1DB1-Normal19"/>
              <w:rPr>
                <w:noProof/>
              </w:rPr>
            </w:pPr>
            <w:r>
              <w:rPr>
                <w:noProof/>
              </w:rPr>
              <w:t>Implementarea tehnologiei 5G</w:t>
            </w:r>
          </w:p>
          <w:p w14:paraId="475F1DBE" w14:textId="77777777" w:rsidR="00011DE9" w:rsidRDefault="00011DE9">
            <w:pPr>
              <w:pStyle w:val="P68B1DB1-Normal19"/>
              <w:rPr>
                <w:noProof/>
              </w:rPr>
            </w:pPr>
            <w:r>
              <w:rPr>
                <w:noProof/>
              </w:rPr>
              <w:t>Proiecte de C &amp; D &amp; I: plăți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2704CED4" w14:textId="5E6CD729" w:rsidR="00011DE9" w:rsidRDefault="00011DE9">
            <w:pPr>
              <w:pStyle w:val="P68B1DB1-Normal19"/>
              <w:rPr>
                <w:noProof/>
              </w:rPr>
            </w:pPr>
            <w:r>
              <w:rPr>
                <w:noProof/>
              </w:rPr>
              <w:t>Rapoartele finale privind plățile aferente granturilor; sau certificate de acceptare, declarații de conformitate sau alte documente echivalente care atestă executarea contractelor.</w:t>
            </w:r>
            <w:r w:rsidR="00971820">
              <w:rPr>
                <w:noProof/>
              </w:rPr>
              <w:t xml:space="preserve"> </w:t>
            </w:r>
          </w:p>
          <w:p w14:paraId="7E7F5575" w14:textId="77777777" w:rsidR="00011DE9" w:rsidRDefault="00011DE9">
            <w:pPr>
              <w:pStyle w:val="P68B1DB1-Normal20"/>
              <w:rPr>
                <w:rFonts w:cs="Times New Roman"/>
                <w:noProof/>
              </w:rPr>
            </w:pPr>
            <w:r>
              <w:rPr>
                <w:noProof/>
              </w:rPr>
              <w:t>Dovada plății pentru proiectele de C &amp; D &amp; I</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75FE5D6A" w14:textId="77777777" w:rsidR="00011DE9" w:rsidRDefault="00011DE9">
            <w:pPr>
              <w:pStyle w:val="P68B1DB1-Normal21"/>
              <w:rPr>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3A52ABB6" w14:textId="77777777" w:rsidR="00011DE9" w:rsidRDefault="00011DE9">
            <w:pPr>
              <w:pStyle w:val="P68B1DB1-Normal21"/>
              <w:rPr>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109236DE" w14:textId="77777777" w:rsidR="00011DE9" w:rsidRDefault="00011DE9">
            <w:pPr>
              <w:pStyle w:val="P68B1DB1-Normal19"/>
              <w:spacing w:after="0" w:line="256" w:lineRule="auto"/>
              <w:rPr>
                <w:noProof/>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544F9CA4" w14:textId="1619F4AC" w:rsidR="00011DE9" w:rsidRDefault="005701C9">
            <w:pPr>
              <w:pStyle w:val="P68B1DB1-Normal19"/>
              <w:spacing w:after="0" w:line="256" w:lineRule="auto"/>
              <w:jc w:val="center"/>
              <w:rPr>
                <w:noProof/>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0D39300D" w14:textId="77777777" w:rsidR="00011DE9" w:rsidRDefault="00011DE9">
            <w:pPr>
              <w:pStyle w:val="P68B1DB1-Normal19"/>
              <w:spacing w:after="0" w:line="256" w:lineRule="auto"/>
              <w:jc w:val="center"/>
              <w:rPr>
                <w:noProof/>
              </w:rPr>
            </w:pPr>
            <w:r>
              <w:rPr>
                <w:noProof/>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65F5087C" w14:textId="2CD2F1DD" w:rsidR="00011DE9" w:rsidRDefault="00011DE9">
            <w:pPr>
              <w:pStyle w:val="P68B1DB1-Normal20"/>
              <w:spacing w:after="0" w:line="256" w:lineRule="auto"/>
              <w:rPr>
                <w:noProof/>
              </w:rPr>
            </w:pPr>
            <w:r>
              <w:rPr>
                <w:noProof/>
              </w:rPr>
              <w:t>Entitățile sau persoanele beneficiare au prezentat rapoarte finale care confirmă finalizarea granturilor acordate în cadrul jalonului 243 pentru granturi sau au confirmat de către administrație sau de către entitatea din sectorul public că contractele atribuite în cadrul jalonului 243 au fost executate, pentru o sumă totală cumulată de 850 900 000 EUR sub formă de granturi și contracte atribuite (inclusiv eventualele modificări).</w:t>
            </w:r>
            <w:r w:rsidR="00971820">
              <w:rPr>
                <w:noProof/>
              </w:rPr>
              <w:t xml:space="preserve"> </w:t>
            </w:r>
          </w:p>
          <w:p w14:paraId="04536BDF" w14:textId="77777777" w:rsidR="00011DE9" w:rsidRDefault="00011DE9">
            <w:pPr>
              <w:pStyle w:val="P68B1DB1-Normal19"/>
              <w:spacing w:after="0" w:line="256" w:lineRule="auto"/>
              <w:rPr>
                <w:noProof/>
              </w:rPr>
            </w:pPr>
            <w:r>
              <w:rPr>
                <w:noProof/>
              </w:rPr>
              <w:t> </w:t>
            </w:r>
          </w:p>
          <w:p w14:paraId="0F5DEFEE" w14:textId="77777777" w:rsidR="00011DE9" w:rsidRDefault="00011DE9">
            <w:pPr>
              <w:pStyle w:val="P68B1DB1-Normal19"/>
              <w:spacing w:after="0" w:line="256" w:lineRule="auto"/>
              <w:rPr>
                <w:noProof/>
              </w:rPr>
            </w:pPr>
            <w:r>
              <w:rPr>
                <w:noProof/>
              </w:rPr>
              <w:t>Plata sumei de 203 000 000 EUR pentru proiecte de C &amp; D în ceea ce privește (a) implementarea tehnologiei 5G în cadrul proiectelor prin intermediul programului SECTORIAL 5G al UNICO; și (b) 5G și 6G prin intermediul programului UNICO I + D 5G/6G. </w:t>
            </w:r>
          </w:p>
          <w:p w14:paraId="21CA2D7E" w14:textId="77777777" w:rsidR="00011DE9" w:rsidRDefault="00011DE9">
            <w:pPr>
              <w:spacing w:after="0" w:line="256" w:lineRule="auto"/>
              <w:rPr>
                <w:rFonts w:ascii="Times New Roman" w:hAnsi="Times New Roman" w:cs="Times New Roman"/>
                <w:noProof/>
                <w:sz w:val="18"/>
                <w:szCs w:val="18"/>
              </w:rPr>
            </w:pPr>
          </w:p>
        </w:tc>
      </w:tr>
      <w:tr w:rsidR="00011DE9" w14:paraId="6ECFE6B7"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061F2258" w14:textId="77777777" w:rsidR="00011DE9" w:rsidRDefault="00011DE9">
            <w:pPr>
              <w:pStyle w:val="P68B1DB1-Normal19"/>
              <w:spacing w:after="0"/>
              <w:jc w:val="center"/>
              <w:rPr>
                <w:rFonts w:eastAsia="Times New Roman"/>
                <w:noProof/>
              </w:rPr>
            </w:pPr>
            <w:r>
              <w:rPr>
                <w:noProof/>
              </w:rPr>
              <w:t>245</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737546F5" w14:textId="77777777" w:rsidR="00011DE9" w:rsidRDefault="00011DE9">
            <w:pPr>
              <w:pStyle w:val="P68B1DB1-Normal19"/>
              <w:spacing w:after="0"/>
              <w:jc w:val="center"/>
              <w:rPr>
                <w:rFonts w:eastAsia="Times New Roman"/>
                <w:noProof/>
              </w:rPr>
            </w:pPr>
            <w:r>
              <w:rPr>
                <w:noProof/>
              </w:rPr>
              <w:t>C15.I7</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75301FA9" w14:textId="77777777" w:rsidR="00011DE9" w:rsidRDefault="00011DE9">
            <w:pPr>
              <w:pStyle w:val="P68B1DB1-Normal19"/>
              <w:spacing w:after="0"/>
              <w:jc w:val="center"/>
              <w:rPr>
                <w:rFonts w:eastAsia="Times New Roman"/>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523B7D92" w14:textId="77777777" w:rsidR="00011DE9" w:rsidRDefault="00011DE9">
            <w:pPr>
              <w:pStyle w:val="P68B1DB1-Normal19"/>
              <w:spacing w:after="0"/>
              <w:rPr>
                <w:rFonts w:eastAsia="Times New Roman"/>
                <w:noProof/>
              </w:rPr>
            </w:pPr>
            <w:r>
              <w:rPr>
                <w:noProof/>
              </w:rPr>
              <w:t>Lansarea programului național de sprijin pentru industria securității cibernetice, a Programului de inovare în domeniul securității globale și a acțiunilor conexe.</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4F4D2886" w14:textId="77777777" w:rsidR="00011DE9" w:rsidRDefault="00011DE9">
            <w:pPr>
              <w:pStyle w:val="P68B1DB1-Normal19"/>
              <w:spacing w:after="0"/>
              <w:rPr>
                <w:rFonts w:eastAsia="Times New Roman"/>
                <w:noProof/>
              </w:rPr>
            </w:pPr>
            <w:r>
              <w:rPr>
                <w:noProof/>
              </w:rPr>
              <w:t>Publicarea programelor</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5E187864" w14:textId="77777777" w:rsidR="00011DE9" w:rsidRDefault="00011DE9">
            <w:pPr>
              <w:spacing w:after="0"/>
              <w:jc w:val="center"/>
              <w:rPr>
                <w:rFonts w:ascii="Times New Roman" w:eastAsia="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6BCF7AC1" w14:textId="77777777" w:rsidR="00011DE9" w:rsidRDefault="00011DE9">
            <w:pPr>
              <w:spacing w:after="0"/>
              <w:jc w:val="center"/>
              <w:rPr>
                <w:rFonts w:ascii="Times New Roman" w:eastAsia="Times New Roman" w:hAnsi="Times New Roman" w:cs="Times New Roman"/>
                <w:noProof/>
                <w:sz w:val="18"/>
                <w:szCs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11A52392" w14:textId="77777777" w:rsidR="00011DE9" w:rsidRDefault="00011DE9">
            <w:pPr>
              <w:pStyle w:val="P68B1DB1-Normal19"/>
              <w:spacing w:after="0"/>
              <w:jc w:val="center"/>
              <w:rPr>
                <w:rFonts w:eastAsia="Times New Roman"/>
                <w:noProof/>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0752496C" w14:textId="2701EDF0" w:rsidR="00011DE9" w:rsidRDefault="005701C9">
            <w:pPr>
              <w:pStyle w:val="P68B1DB1-Normal19"/>
              <w:spacing w:after="0"/>
              <w:jc w:val="center"/>
              <w:rPr>
                <w:rFonts w:eastAsia="Times New Roman"/>
                <w:noProof/>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7AD75C3E" w14:textId="77777777" w:rsidR="00011DE9" w:rsidRDefault="00011DE9">
            <w:pPr>
              <w:pStyle w:val="P68B1DB1-Normal19"/>
              <w:spacing w:after="0"/>
              <w:jc w:val="center"/>
              <w:rPr>
                <w:noProof/>
              </w:rPr>
            </w:pPr>
            <w:r>
              <w:rPr>
                <w:noProof/>
              </w:rPr>
              <w:t>2022</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32FAB694" w14:textId="072FD02F" w:rsidR="00011DE9" w:rsidRDefault="00011DE9">
            <w:pPr>
              <w:spacing w:after="0"/>
              <w:rPr>
                <w:rFonts w:ascii="Times New Roman" w:hAnsi="Times New Roman"/>
                <w:noProof/>
                <w:sz w:val="18"/>
              </w:rPr>
            </w:pPr>
            <w:r>
              <w:rPr>
                <w:rFonts w:ascii="Times New Roman" w:hAnsi="Times New Roman"/>
                <w:noProof/>
                <w:sz w:val="18"/>
              </w:rPr>
              <w:t>Lansarea Programului național de sprijinire a industriei de securitate cibernetică și a Programului de inovare în domeniul securității globale, precum și a altor acțiuni conexe</w:t>
            </w:r>
            <w:r>
              <w:rPr>
                <w:noProof/>
              </w:rPr>
              <w:t xml:space="preserve"> </w:t>
            </w:r>
            <w:r>
              <w:rPr>
                <w:rFonts w:ascii="Times New Roman" w:hAnsi="Times New Roman"/>
                <w:noProof/>
                <w:sz w:val="18"/>
              </w:rPr>
              <w:t>(cu un buget acordat de 311 000 000 EUR), care vizează aspecte industriale esențiale, cum ar fi:</w:t>
            </w:r>
            <w:r w:rsidR="00971820">
              <w:rPr>
                <w:noProof/>
              </w:rPr>
              <w:t xml:space="preserve"> </w:t>
            </w:r>
            <w:r>
              <w:rPr>
                <w:noProof/>
              </w:rPr>
              <w:br/>
            </w:r>
            <w:r>
              <w:rPr>
                <w:rFonts w:ascii="Times New Roman" w:hAnsi="Times New Roman"/>
                <w:noProof/>
                <w:sz w:val="18"/>
              </w:rPr>
              <w:t>— stimularea sectorului securității cibernetice la nivel național pentru apariția, creșterea și dezvoltarea întreprinderilor din acest sector</w:t>
            </w:r>
            <w:r>
              <w:rPr>
                <w:noProof/>
              </w:rPr>
              <w:t xml:space="preserve"> </w:t>
            </w:r>
            <w:r>
              <w:rPr>
                <w:noProof/>
              </w:rPr>
              <w:br/>
              <w:t xml:space="preserve"> </w:t>
            </w:r>
            <w:r>
              <w:rPr>
                <w:rFonts w:ascii="Times New Roman" w:hAnsi="Times New Roman"/>
                <w:noProof/>
                <w:sz w:val="18"/>
              </w:rPr>
              <w:t>dezvoltarea de soluții și servicii cu valoare adăugată ridicată în domeniul securității cibernetice</w:t>
            </w:r>
            <w:r>
              <w:rPr>
                <w:noProof/>
              </w:rPr>
              <w:t xml:space="preserve"> </w:t>
            </w:r>
            <w:r>
              <w:rPr>
                <w:noProof/>
              </w:rPr>
              <w:br/>
              <w:t xml:space="preserve"> </w:t>
            </w:r>
            <w:r>
              <w:rPr>
                <w:rFonts w:ascii="Times New Roman" w:hAnsi="Times New Roman"/>
                <w:noProof/>
                <w:sz w:val="18"/>
              </w:rPr>
              <w:t>— formarea și dezvoltarea talentelor specializate în domeniul securității cibernetice</w:t>
            </w:r>
            <w:r>
              <w:rPr>
                <w:noProof/>
              </w:rPr>
              <w:t xml:space="preserve"> </w:t>
            </w:r>
            <w:r>
              <w:rPr>
                <w:noProof/>
              </w:rPr>
              <w:br/>
              <w:t xml:space="preserve"> </w:t>
            </w:r>
            <w:r>
              <w:rPr>
                <w:rFonts w:ascii="Times New Roman" w:hAnsi="Times New Roman"/>
                <w:noProof/>
                <w:sz w:val="18"/>
              </w:rPr>
              <w:t>— Acțiuni de internaționalizare în domeniul securității cibernetice</w:t>
            </w:r>
            <w:r>
              <w:rPr>
                <w:noProof/>
              </w:rPr>
              <w:t xml:space="preserve"> </w:t>
            </w:r>
            <w:r>
              <w:rPr>
                <w:noProof/>
              </w:rPr>
              <w:br/>
              <w:t xml:space="preserve"> </w:t>
            </w:r>
            <w:r>
              <w:rPr>
                <w:rFonts w:ascii="Times New Roman" w:hAnsi="Times New Roman"/>
                <w:noProof/>
                <w:sz w:val="18"/>
              </w:rPr>
              <w:t>— înființarea unui centru demonstrativ pentru dezvoltarea infrastructurii de securitate cibernetică și crearea de noi servicii de securitate cibernetică, inclusiv laboratoare de testare și simulatoare de atacuri de securitate cibernetică</w:t>
            </w:r>
            <w:r>
              <w:rPr>
                <w:noProof/>
              </w:rPr>
              <w:t xml:space="preserve"> </w:t>
            </w:r>
            <w:r>
              <w:rPr>
                <w:noProof/>
              </w:rPr>
              <w:br/>
              <w:t xml:space="preserve"> </w:t>
            </w:r>
            <w:r>
              <w:rPr>
                <w:rFonts w:ascii="Times New Roman" w:hAnsi="Times New Roman"/>
                <w:noProof/>
                <w:sz w:val="18"/>
              </w:rPr>
              <w:t>— elaborarea de certificări ale etichetelor de securitate cibernetică.</w:t>
            </w:r>
          </w:p>
          <w:p w14:paraId="573B0F93" w14:textId="77777777" w:rsidR="00011DE9" w:rsidRDefault="00011DE9">
            <w:pPr>
              <w:pStyle w:val="P68B1DB1-Normal22"/>
              <w:spacing w:after="0"/>
              <w:rPr>
                <w:noProof/>
              </w:rPr>
            </w:pPr>
            <w:r>
              <w:rPr>
                <w:noProof/>
              </w:rPr>
              <w:t>Eticheta de securitate cibernetică va recunoaște participanții la Programul național de sprijin pentru industrie (activități ale antreprenorilor). Acesta nu este un proces de certificare sau de standardizare. </w:t>
            </w:r>
          </w:p>
          <w:p w14:paraId="0FD16301" w14:textId="77777777" w:rsidR="00011DE9" w:rsidRDefault="00011DE9">
            <w:pPr>
              <w:spacing w:after="0"/>
              <w:rPr>
                <w:rFonts w:ascii="Times New Roman" w:eastAsia="Times New Roman" w:hAnsi="Times New Roman" w:cs="Times New Roman"/>
                <w:noProof/>
                <w:sz w:val="18"/>
                <w:szCs w:val="18"/>
              </w:rPr>
            </w:pPr>
          </w:p>
        </w:tc>
      </w:tr>
      <w:tr w:rsidR="00011DE9" w14:paraId="3C77B182" w14:textId="77777777">
        <w:trPr>
          <w:gridAfter w:val="1"/>
          <w:wAfter w:w="82" w:type="dxa"/>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38D2F404" w14:textId="77777777" w:rsidR="00011DE9" w:rsidRDefault="00011DE9">
            <w:pPr>
              <w:pStyle w:val="P68B1DB1-Normal19"/>
              <w:spacing w:after="0"/>
              <w:jc w:val="center"/>
              <w:rPr>
                <w:noProof/>
              </w:rPr>
            </w:pPr>
            <w:r>
              <w:rPr>
                <w:noProof/>
              </w:rPr>
              <w:t>453</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0FE808E9" w14:textId="77777777" w:rsidR="00011DE9" w:rsidRDefault="00011DE9">
            <w:pPr>
              <w:pStyle w:val="P68B1DB1-Normal19"/>
              <w:spacing w:after="0"/>
              <w:jc w:val="center"/>
              <w:rPr>
                <w:noProof/>
              </w:rPr>
            </w:pPr>
            <w:r>
              <w:rPr>
                <w:noProof/>
              </w:rPr>
              <w:t>C15.I7</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53AA82BF" w14:textId="77777777" w:rsidR="00011DE9" w:rsidRDefault="00011DE9">
            <w:pPr>
              <w:pStyle w:val="P68B1DB1-Normal19"/>
              <w:spacing w:after="0"/>
              <w:jc w:val="center"/>
              <w:rPr>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4F66CAC1" w14:textId="77777777" w:rsidR="00011DE9" w:rsidRDefault="00011DE9">
            <w:pPr>
              <w:pStyle w:val="P68B1DB1-Normal19"/>
              <w:spacing w:after="0"/>
              <w:rPr>
                <w:noProof/>
              </w:rPr>
            </w:pPr>
            <w:r>
              <w:rPr>
                <w:noProof/>
              </w:rPr>
              <w:t>Lansarea programului național de sprijin pentru industria securității cibernetice, a Programului de inovare în domeniul securității globale și a acțiunilor conexe.</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357D2123" w14:textId="77777777" w:rsidR="00011DE9" w:rsidRDefault="00011DE9">
            <w:pPr>
              <w:pStyle w:val="P68B1DB1-Normal19"/>
              <w:spacing w:after="0"/>
              <w:rPr>
                <w:noProof/>
              </w:rPr>
            </w:pPr>
            <w:r>
              <w:rPr>
                <w:noProof/>
              </w:rPr>
              <w:t>Publicarea programelor</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1C6CF915" w14:textId="77777777" w:rsidR="00011DE9" w:rsidRDefault="00011DE9">
            <w:pPr>
              <w:spacing w:after="0"/>
              <w:jc w:val="center"/>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1B9C6B67" w14:textId="77777777" w:rsidR="00011DE9" w:rsidRDefault="00011DE9">
            <w:pPr>
              <w:spacing w:after="0"/>
              <w:jc w:val="center"/>
              <w:rPr>
                <w:rFonts w:ascii="Times New Roman" w:hAnsi="Times New Roman" w:cs="Times New Roman"/>
                <w:noProof/>
                <w:sz w:val="18"/>
                <w:szCs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5AD120EA" w14:textId="77777777" w:rsidR="00011DE9" w:rsidRDefault="00011DE9">
            <w:pPr>
              <w:spacing w:after="0"/>
              <w:jc w:val="center"/>
              <w:rPr>
                <w:rFonts w:ascii="Times New Roman" w:hAnsi="Times New Roman" w:cs="Times New Roman"/>
                <w:noProof/>
                <w:sz w:val="18"/>
                <w:szCs w:val="18"/>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23E88A53" w14:textId="3D80D9B9" w:rsidR="00011DE9" w:rsidRDefault="005701C9">
            <w:pPr>
              <w:pStyle w:val="P68B1DB1-Normal19"/>
              <w:spacing w:after="0"/>
              <w:jc w:val="center"/>
              <w:rPr>
                <w:noProof/>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2B0F5969" w14:textId="77777777" w:rsidR="00011DE9" w:rsidRDefault="00011DE9">
            <w:pPr>
              <w:pStyle w:val="P68B1DB1-Normal19"/>
              <w:spacing w:after="0"/>
              <w:jc w:val="center"/>
              <w:rPr>
                <w:noProof/>
              </w:rPr>
            </w:pPr>
            <w:r>
              <w:rPr>
                <w:noProof/>
              </w:rPr>
              <w:t>2023</w:t>
            </w:r>
          </w:p>
        </w:tc>
        <w:tc>
          <w:tcPr>
            <w:tcW w:w="5563" w:type="dxa"/>
            <w:tcBorders>
              <w:top w:val="single" w:sz="4" w:space="0" w:color="auto"/>
              <w:left w:val="single" w:sz="4" w:space="0" w:color="auto"/>
              <w:bottom w:val="single" w:sz="4" w:space="0" w:color="auto"/>
              <w:right w:val="single" w:sz="4" w:space="0" w:color="auto"/>
            </w:tcBorders>
            <w:shd w:val="clear" w:color="auto" w:fill="C6EFCE"/>
            <w:noWrap/>
          </w:tcPr>
          <w:p w14:paraId="06E5E106" w14:textId="77777777" w:rsidR="00011DE9" w:rsidRDefault="00011DE9">
            <w:pPr>
              <w:spacing w:after="0"/>
              <w:rPr>
                <w:rFonts w:ascii="Times New Roman" w:hAnsi="Times New Roman" w:cs="Times New Roman"/>
                <w:noProof/>
                <w:sz w:val="18"/>
                <w:szCs w:val="18"/>
              </w:rPr>
            </w:pPr>
            <w:r>
              <w:rPr>
                <w:rFonts w:ascii="Times New Roman" w:hAnsi="Times New Roman"/>
                <w:noProof/>
                <w:sz w:val="18"/>
              </w:rPr>
              <w:t>Continuarea din jalonul 245 a implementării Programului național de sprijin pentru industria cibernetică și a Programului de inovare în domeniul securității globale și a altor acțiuni conexe</w:t>
            </w:r>
            <w:r>
              <w:rPr>
                <w:noProof/>
              </w:rPr>
              <w:t xml:space="preserve"> </w:t>
            </w:r>
            <w:r>
              <w:rPr>
                <w:rFonts w:ascii="Times New Roman" w:hAnsi="Times New Roman"/>
                <w:noProof/>
                <w:sz w:val="18"/>
              </w:rPr>
              <w:t>(cu un buget acordat de 107 000 000 EUR, în plus față de suma de 311 000</w:t>
            </w:r>
            <w:r>
              <w:rPr>
                <w:noProof/>
              </w:rPr>
              <w:t xml:space="preserve"> </w:t>
            </w:r>
            <w:r>
              <w:rPr>
                <w:rFonts w:ascii="Times New Roman" w:hAnsi="Times New Roman"/>
                <w:noProof/>
                <w:sz w:val="18"/>
              </w:rPr>
              <w:t>000 EUR din cadrul jalonului 245 pentru o atribuire totală de 418 000</w:t>
            </w:r>
            <w:r>
              <w:rPr>
                <w:noProof/>
              </w:rPr>
              <w:t xml:space="preserve"> </w:t>
            </w:r>
            <w:r>
              <w:rPr>
                <w:rFonts w:ascii="Times New Roman" w:hAnsi="Times New Roman"/>
                <w:noProof/>
                <w:sz w:val="18"/>
              </w:rPr>
              <w:t>000</w:t>
            </w:r>
            <w:r>
              <w:rPr>
                <w:noProof/>
              </w:rPr>
              <w:t xml:space="preserve"> </w:t>
            </w:r>
            <w:r>
              <w:rPr>
                <w:rFonts w:ascii="Times New Roman" w:hAnsi="Times New Roman"/>
                <w:noProof/>
                <w:sz w:val="18"/>
              </w:rPr>
              <w:t xml:space="preserve">EUR), care vizează aspecte industriale esențiale, cum ar fi: </w:t>
            </w:r>
          </w:p>
          <w:p w14:paraId="3BF6486B" w14:textId="77777777" w:rsidR="00011DE9" w:rsidRDefault="00011DE9">
            <w:pPr>
              <w:pStyle w:val="P68B1DB1-Normal19"/>
              <w:spacing w:after="0"/>
              <w:rPr>
                <w:noProof/>
              </w:rPr>
            </w:pPr>
            <w:r>
              <w:rPr>
                <w:noProof/>
              </w:rPr>
              <w:t xml:space="preserve">— stimularea sectorului național al securității cibernetice pentru apariția, creșterea și dezvoltarea întreprinderilor din acest sector; </w:t>
            </w:r>
          </w:p>
          <w:p w14:paraId="72451546" w14:textId="77777777" w:rsidR="00011DE9" w:rsidRDefault="00011DE9">
            <w:pPr>
              <w:pStyle w:val="P68B1DB1-Normal19"/>
              <w:spacing w:after="0"/>
              <w:rPr>
                <w:noProof/>
              </w:rPr>
            </w:pPr>
            <w:r>
              <w:rPr>
                <w:noProof/>
              </w:rPr>
              <w:t xml:space="preserve">dezvoltarea de soluții și servicii cu valoare adăugată ridicată în domeniul securității cibernetice </w:t>
            </w:r>
          </w:p>
          <w:p w14:paraId="5F4E078D" w14:textId="77777777" w:rsidR="00011DE9" w:rsidRDefault="00011DE9">
            <w:pPr>
              <w:pStyle w:val="P68B1DB1-Normal19"/>
              <w:spacing w:after="0"/>
              <w:rPr>
                <w:noProof/>
              </w:rPr>
            </w:pPr>
            <w:r>
              <w:rPr>
                <w:noProof/>
              </w:rPr>
              <w:t xml:space="preserve">— formarea și dezvoltarea talentelor specializate în domeniul securității cibernetice </w:t>
            </w:r>
          </w:p>
          <w:p w14:paraId="4F84A66E" w14:textId="77777777" w:rsidR="00011DE9" w:rsidRDefault="00011DE9">
            <w:pPr>
              <w:pStyle w:val="P68B1DB1-Normal19"/>
              <w:spacing w:after="0"/>
              <w:rPr>
                <w:noProof/>
              </w:rPr>
            </w:pPr>
            <w:r>
              <w:rPr>
                <w:noProof/>
              </w:rPr>
              <w:t xml:space="preserve">— acțiuni de internaționalizare în domeniul securității cibernetice; </w:t>
            </w:r>
          </w:p>
          <w:p w14:paraId="2EF1AD9E" w14:textId="77777777" w:rsidR="00011DE9" w:rsidRDefault="00011DE9">
            <w:pPr>
              <w:pStyle w:val="P68B1DB1-Normal19"/>
              <w:spacing w:after="0"/>
              <w:rPr>
                <w:noProof/>
              </w:rPr>
            </w:pPr>
            <w:r>
              <w:rPr>
                <w:noProof/>
              </w:rPr>
              <w:t xml:space="preserve">— înființarea unui centru demonstrativ pentru dezvoltarea infrastructurii de securitate cibernetică și crearea de noi servicii de securitate cibernetică, inclusiv laboratoare de testare și simulatoare de atacuri de securitate cibernetică </w:t>
            </w:r>
          </w:p>
          <w:p w14:paraId="089E5035" w14:textId="77777777" w:rsidR="00011DE9" w:rsidRDefault="00011DE9">
            <w:pPr>
              <w:pStyle w:val="P68B1DB1-Normal19"/>
              <w:spacing w:after="0"/>
              <w:rPr>
                <w:noProof/>
              </w:rPr>
            </w:pPr>
            <w:r>
              <w:rPr>
                <w:noProof/>
              </w:rPr>
              <w:t>— elaborarea de certificări ale etichetelor de securitate cibernetică.</w:t>
            </w:r>
          </w:p>
        </w:tc>
      </w:tr>
      <w:tr w:rsidR="00011DE9" w14:paraId="4E6CA300"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56E1A12A" w14:textId="77777777" w:rsidR="00011DE9" w:rsidRDefault="00011DE9">
            <w:pPr>
              <w:pStyle w:val="P68B1DB1-Normal19"/>
              <w:spacing w:after="0"/>
              <w:jc w:val="center"/>
              <w:rPr>
                <w:rFonts w:eastAsia="Times New Roman"/>
                <w:noProof/>
              </w:rPr>
            </w:pPr>
            <w:r>
              <w:rPr>
                <w:noProof/>
              </w:rPr>
              <w:t>246</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28F0B967" w14:textId="77777777" w:rsidR="00011DE9" w:rsidRDefault="00011DE9">
            <w:pPr>
              <w:pStyle w:val="P68B1DB1-Normal19"/>
              <w:spacing w:after="0"/>
              <w:jc w:val="center"/>
              <w:rPr>
                <w:rFonts w:eastAsia="Times New Roman"/>
                <w:noProof/>
              </w:rPr>
            </w:pPr>
            <w:r>
              <w:rPr>
                <w:noProof/>
              </w:rPr>
              <w:t>C15.I7</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36056289" w14:textId="77777777" w:rsidR="00011DE9" w:rsidRDefault="00011DE9">
            <w:pPr>
              <w:pStyle w:val="P68B1DB1-Normal19"/>
              <w:spacing w:after="0"/>
              <w:jc w:val="center"/>
              <w:rPr>
                <w:rFonts w:eastAsia="Times New Roman"/>
                <w:noProof/>
              </w:rPr>
            </w:pPr>
            <w:r>
              <w:rPr>
                <w:noProof/>
              </w:rPr>
              <w:t>T</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07A1EB81" w14:textId="77777777" w:rsidR="00011DE9" w:rsidRDefault="00011DE9">
            <w:pPr>
              <w:pStyle w:val="P68B1DB1-Normal19"/>
              <w:spacing w:after="0"/>
              <w:rPr>
                <w:rFonts w:eastAsia="Times New Roman"/>
                <w:noProof/>
              </w:rPr>
            </w:pPr>
            <w:r>
              <w:rPr>
                <w:noProof/>
              </w:rPr>
              <w:t>Consolidarea și îmbunătățirea capacităților în materie de securitate cibernetică: Resurse</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69D45D26" w14:textId="77777777" w:rsidR="00011DE9" w:rsidRDefault="00011DE9">
            <w:pPr>
              <w:pStyle w:val="P68B1DB1-Normal19"/>
              <w:spacing w:after="0"/>
              <w:jc w:val="center"/>
              <w:rPr>
                <w:rFonts w:eastAsia="Times New Roman"/>
                <w:noProof/>
              </w:rPr>
            </w:pPr>
            <w:r>
              <w:rPr>
                <w:noProof/>
              </w:rPr>
              <w:t>—</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130657DE" w14:textId="77777777" w:rsidR="00011DE9" w:rsidRDefault="00011DE9">
            <w:pPr>
              <w:pStyle w:val="P68B1DB1-Normal19"/>
              <w:spacing w:after="0"/>
              <w:jc w:val="right"/>
              <w:rPr>
                <w:rFonts w:eastAsia="Times New Roman"/>
                <w:noProof/>
              </w:rPr>
            </w:pPr>
            <w:r>
              <w:rPr>
                <w:noProof/>
              </w:rPr>
              <w:t>Număr</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565AA0D" w14:textId="77777777" w:rsidR="00011DE9" w:rsidRDefault="00011DE9">
            <w:pPr>
              <w:pStyle w:val="P68B1DB1-Normal19"/>
              <w:spacing w:after="0"/>
              <w:jc w:val="right"/>
              <w:rPr>
                <w:rFonts w:eastAsia="Times New Roman"/>
                <w:noProof/>
              </w:rPr>
            </w:pPr>
            <w:r>
              <w:rPr>
                <w:noProof/>
              </w:rPr>
              <w:t>0</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58399CB9" w14:textId="77777777" w:rsidR="00011DE9" w:rsidRDefault="00011DE9">
            <w:pPr>
              <w:pStyle w:val="P68B1DB1-Normal19"/>
              <w:spacing w:after="0"/>
              <w:jc w:val="right"/>
              <w:rPr>
                <w:rFonts w:eastAsia="Times New Roman"/>
                <w:noProof/>
              </w:rPr>
            </w:pPr>
            <w:r>
              <w:rPr>
                <w:noProof/>
              </w:rPr>
              <w:t>100</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353E438B" w14:textId="4C76CEA4" w:rsidR="00011DE9" w:rsidRDefault="005701C9">
            <w:pPr>
              <w:pStyle w:val="P68B1DB1-Normal19"/>
              <w:spacing w:after="0"/>
              <w:jc w:val="center"/>
              <w:rPr>
                <w:rFonts w:eastAsia="Times New Roman"/>
                <w:noProof/>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30B1F946" w14:textId="77777777" w:rsidR="00011DE9" w:rsidRDefault="00011DE9">
            <w:pPr>
              <w:pStyle w:val="P68B1DB1-Normal19"/>
              <w:spacing w:after="0"/>
              <w:jc w:val="center"/>
              <w:rPr>
                <w:rFonts w:eastAsia="Times New Roman"/>
                <w:noProof/>
              </w:rPr>
            </w:pPr>
            <w:r>
              <w:rPr>
                <w:noProof/>
              </w:rPr>
              <w:t>2023</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36B4BABD" w14:textId="77777777" w:rsidR="00011DE9" w:rsidRDefault="00011DE9">
            <w:pPr>
              <w:pStyle w:val="P68B1DB1-Normal19"/>
              <w:spacing w:after="0"/>
              <w:rPr>
                <w:rFonts w:eastAsia="Times New Roman"/>
                <w:noProof/>
              </w:rPr>
            </w:pPr>
            <w:r>
              <w:rPr>
                <w:noProof/>
              </w:rPr>
              <w:t>Consolidarea și îmbunătățirea capacităților în materie de securitate cibernetică prin furnizarea a cel puțin 100 de resurse pentru acțiuni de sensibilizare și comunicare în domeniul securității cibernetice. Competențele digitale în materie de securitate cibernetică sunt dezvoltate la toate nivelurile educaționale, prin dezvoltarea de resurse, instrumente și materiale specifice. În plus, se instituie un centru internațional de securitate cibernetică care participă la Rețeaua europeană a centrelor de securitate cibernetică.</w:t>
            </w:r>
          </w:p>
        </w:tc>
      </w:tr>
      <w:tr w:rsidR="00011DE9" w14:paraId="69412C16"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38B615A3" w14:textId="77777777" w:rsidR="00011DE9" w:rsidRDefault="00011DE9">
            <w:pPr>
              <w:pStyle w:val="P68B1DB1-Normal19"/>
              <w:spacing w:after="0"/>
              <w:jc w:val="center"/>
              <w:rPr>
                <w:noProof/>
              </w:rPr>
            </w:pPr>
            <w:r>
              <w:rPr>
                <w:noProof/>
              </w:rPr>
              <w:t>247</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3C68D180" w14:textId="77777777" w:rsidR="00011DE9" w:rsidRDefault="00011DE9">
            <w:pPr>
              <w:pStyle w:val="P68B1DB1-Normal19"/>
              <w:spacing w:after="0"/>
              <w:jc w:val="center"/>
              <w:rPr>
                <w:noProof/>
              </w:rPr>
            </w:pPr>
            <w:r>
              <w:rPr>
                <w:noProof/>
              </w:rPr>
              <w:t>C15.I7</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1C39F9B0" w14:textId="77777777" w:rsidR="00011DE9" w:rsidRDefault="00011DE9">
            <w:pPr>
              <w:pStyle w:val="P68B1DB1-Normal19"/>
              <w:spacing w:after="0"/>
              <w:jc w:val="center"/>
              <w:rPr>
                <w:noProof/>
              </w:rPr>
            </w:pPr>
            <w:r>
              <w:rPr>
                <w:noProof/>
              </w:rPr>
              <w:t>T</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772C94C6" w14:textId="77777777" w:rsidR="00011DE9" w:rsidRDefault="00011DE9">
            <w:pPr>
              <w:pStyle w:val="P68B1DB1-Normal19"/>
              <w:spacing w:after="0"/>
              <w:rPr>
                <w:noProof/>
              </w:rPr>
            </w:pPr>
            <w:r>
              <w:rPr>
                <w:noProof/>
              </w:rPr>
              <w:t>Consolidarea și îmbunătățirea capacităților în materie de securitate cibernetică: Linia de asistență în materie de securitate cibernetică</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045466D8" w14:textId="77777777" w:rsidR="00011DE9" w:rsidRDefault="00011DE9">
            <w:pPr>
              <w:pStyle w:val="P68B1DB1-Normal19"/>
              <w:spacing w:after="0"/>
              <w:jc w:val="center"/>
              <w:rPr>
                <w:noProof/>
              </w:rPr>
            </w:pPr>
            <w:r>
              <w:rPr>
                <w:noProof/>
              </w:rPr>
              <w:t xml:space="preserve">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34FA2A23" w14:textId="77777777" w:rsidR="00011DE9" w:rsidRDefault="00011DE9">
            <w:pPr>
              <w:pStyle w:val="P68B1DB1-Normal19"/>
              <w:spacing w:after="0"/>
              <w:jc w:val="right"/>
              <w:rPr>
                <w:noProof/>
              </w:rPr>
            </w:pPr>
            <w:r>
              <w:rPr>
                <w:noProof/>
              </w:rPr>
              <w:t>Număr</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C2F46FF" w14:textId="77777777" w:rsidR="00011DE9" w:rsidRDefault="00011DE9">
            <w:pPr>
              <w:pStyle w:val="P68B1DB1-Normal16"/>
              <w:spacing w:after="0"/>
              <w:jc w:val="right"/>
              <w:rPr>
                <w:rFonts w:cs="Times New Roman"/>
                <w:noProof/>
                <w:sz w:val="18"/>
                <w:szCs w:val="18"/>
              </w:rPr>
            </w:pPr>
            <w:r>
              <w:rPr>
                <w:noProof/>
                <w:sz w:val="18"/>
              </w:rPr>
              <w:t>5</w:t>
            </w:r>
            <w:r>
              <w:rPr>
                <w:noProof/>
                <w:sz w:val="20"/>
              </w:rPr>
              <w:t xml:space="preserve"> </w:t>
            </w:r>
            <w:r>
              <w:rPr>
                <w:noProof/>
                <w:sz w:val="18"/>
              </w:rPr>
              <w:t>000</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3CC38D03" w14:textId="77777777" w:rsidR="00011DE9" w:rsidRDefault="00011DE9">
            <w:pPr>
              <w:pStyle w:val="P68B1DB1-Normal19"/>
              <w:spacing w:after="0"/>
              <w:jc w:val="right"/>
              <w:rPr>
                <w:noProof/>
              </w:rPr>
            </w:pPr>
            <w:r>
              <w:rPr>
                <w:noProof/>
              </w:rPr>
              <w:t>20 000</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350586FB" w14:textId="16ED8704" w:rsidR="00011DE9" w:rsidRDefault="005701C9">
            <w:pPr>
              <w:pStyle w:val="P68B1DB1-Normal19"/>
              <w:spacing w:after="0"/>
              <w:jc w:val="center"/>
              <w:rPr>
                <w:noProof/>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30180B53" w14:textId="77777777" w:rsidR="00011DE9" w:rsidRDefault="00011DE9">
            <w:pPr>
              <w:pStyle w:val="P68B1DB1-Normal19"/>
              <w:spacing w:after="0"/>
              <w:jc w:val="center"/>
              <w:rPr>
                <w:noProof/>
              </w:rPr>
            </w:pPr>
            <w:r>
              <w:rPr>
                <w:noProof/>
              </w:rPr>
              <w:t>2022</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25773536" w14:textId="77777777" w:rsidR="00011DE9" w:rsidRDefault="00011DE9">
            <w:pPr>
              <w:pStyle w:val="P68B1DB1-Normal19"/>
              <w:spacing w:after="0"/>
              <w:rPr>
                <w:noProof/>
              </w:rPr>
            </w:pPr>
            <w:r>
              <w:rPr>
                <w:noProof/>
              </w:rPr>
              <w:t>Consolidarea capacităților în materie de securitate cibernetică prin îmbunătățirea liniei de asistență în materie de securitate cibernetică a Institutului Național pentru Securitate Cibernetică (INCIBE), cu o capacitate lunară de cel puțin 20 000 de apeluri prelucrate pe lună. Această linie de asistență telefonică sprijină, de asemenea, eliminarea materialelor care conțin abuzuri sexuale asupra copiilor din resursele web (CSAM).</w:t>
            </w:r>
          </w:p>
        </w:tc>
      </w:tr>
      <w:tr w:rsidR="00011DE9" w14:paraId="7B642667"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04452F2C" w14:textId="77777777" w:rsidR="00011DE9" w:rsidRDefault="00011DE9">
            <w:pPr>
              <w:pStyle w:val="P68B1DB1-Normal19"/>
              <w:spacing w:after="0"/>
              <w:jc w:val="center"/>
              <w:rPr>
                <w:noProof/>
              </w:rPr>
            </w:pPr>
            <w:r>
              <w:rPr>
                <w:noProof/>
              </w:rPr>
              <w:t>248</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6D2F6307" w14:textId="77777777" w:rsidR="00011DE9" w:rsidRDefault="00011DE9">
            <w:pPr>
              <w:pStyle w:val="P68B1DB1-Normal19"/>
              <w:spacing w:after="0"/>
              <w:jc w:val="center"/>
              <w:rPr>
                <w:noProof/>
              </w:rPr>
            </w:pPr>
            <w:r>
              <w:rPr>
                <w:noProof/>
              </w:rPr>
              <w:t>C15.I7</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4DF6FEA6" w14:textId="77777777" w:rsidR="00011DE9" w:rsidRDefault="00011DE9">
            <w:pPr>
              <w:pStyle w:val="P68B1DB1-Normal19"/>
              <w:spacing w:after="0"/>
              <w:jc w:val="center"/>
              <w:rPr>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179410EE" w14:textId="77777777" w:rsidR="00011DE9" w:rsidRDefault="00011DE9">
            <w:pPr>
              <w:pStyle w:val="P68B1DB1-Normal19"/>
              <w:spacing w:after="0"/>
              <w:rPr>
                <w:noProof/>
              </w:rPr>
            </w:pPr>
            <w:r>
              <w:rPr>
                <w:noProof/>
              </w:rPr>
              <w:t>Contractele și acordurile (</w:t>
            </w:r>
            <w:r>
              <w:rPr>
                <w:i/>
                <w:noProof/>
              </w:rPr>
              <w:t>convenios</w:t>
            </w:r>
            <w:r>
              <w:rPr>
                <w:noProof/>
              </w:rPr>
              <w:t>) atribuite în cadrul jaloanelor 245 și 453 au fost executate.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265A4025" w14:textId="015FC01B" w:rsidR="00011DE9" w:rsidRDefault="00011DE9">
            <w:pPr>
              <w:pStyle w:val="P68B1DB1-Normal19"/>
              <w:spacing w:after="0"/>
              <w:rPr>
                <w:noProof/>
              </w:rPr>
            </w:pPr>
            <w:r>
              <w:rPr>
                <w:noProof/>
              </w:rPr>
              <w:t>Certificate de acceptare, declarații de conformitate sau documente echivalente care certifică executarea contractelor și a acordurilor (</w:t>
            </w:r>
            <w:r>
              <w:rPr>
                <w:i/>
                <w:noProof/>
              </w:rPr>
              <w:t>convenios</w:t>
            </w:r>
            <w:r>
              <w:rPr>
                <w:noProof/>
              </w:rPr>
              <w:t>)</w:t>
            </w:r>
            <w:r w:rsidR="00971820">
              <w:rPr>
                <w:noProof/>
              </w:rPr>
              <w:t xml:space="preserve"> </w:t>
            </w:r>
            <w:r>
              <w:rPr>
                <w:noProof/>
              </w:rPr>
              <w:t>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6F5BA26E" w14:textId="77777777" w:rsidR="00011DE9" w:rsidRDefault="00011DE9">
            <w:pPr>
              <w:pStyle w:val="P68B1DB1-Normal19"/>
              <w:spacing w:after="0"/>
              <w:jc w:val="right"/>
              <w:rPr>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297351BF" w14:textId="77777777" w:rsidR="00011DE9" w:rsidRDefault="00011DE9">
            <w:pPr>
              <w:pStyle w:val="P68B1DB1-Normal19"/>
              <w:spacing w:after="0"/>
              <w:jc w:val="right"/>
              <w:rPr>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4813C28F" w14:textId="77777777" w:rsidR="00011DE9" w:rsidRDefault="00011DE9">
            <w:pPr>
              <w:pStyle w:val="P68B1DB1-Normal19"/>
              <w:spacing w:after="0"/>
              <w:jc w:val="right"/>
              <w:rPr>
                <w:noProof/>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391BCE4D" w14:textId="75A3442A" w:rsidR="00011DE9" w:rsidRDefault="005701C9">
            <w:pPr>
              <w:pStyle w:val="P68B1DB1-Normal19"/>
              <w:spacing w:after="0"/>
              <w:jc w:val="center"/>
              <w:rPr>
                <w:noProof/>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7AC63E74" w14:textId="77777777" w:rsidR="00011DE9" w:rsidRDefault="00011DE9">
            <w:pPr>
              <w:pStyle w:val="P68B1DB1-Normal19"/>
              <w:spacing w:after="0"/>
              <w:jc w:val="center"/>
              <w:rPr>
                <w:noProof/>
              </w:rPr>
            </w:pPr>
            <w:r>
              <w:rPr>
                <w:noProof/>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2256EA38" w14:textId="77777777" w:rsidR="00011DE9" w:rsidRDefault="00011DE9">
            <w:pPr>
              <w:spacing w:after="0"/>
              <w:rPr>
                <w:rFonts w:ascii="Times New Roman" w:hAnsi="Times New Roman" w:cs="Times New Roman"/>
                <w:noProof/>
                <w:sz w:val="18"/>
                <w:szCs w:val="18"/>
              </w:rPr>
            </w:pPr>
            <w:r>
              <w:rPr>
                <w:noProof/>
              </w:rPr>
              <w:t>Confirmarea din partea administrației sau a entității publice sau a comitetului de monitorizare corespunzător că au fost executate contractele și acordurile (</w:t>
            </w:r>
            <w:r>
              <w:rPr>
                <w:rFonts w:ascii="Times New Roman" w:hAnsi="Times New Roman"/>
                <w:i/>
                <w:noProof/>
                <w:sz w:val="18"/>
                <w:szCs w:val="18"/>
              </w:rPr>
              <w:t>convenios</w:t>
            </w:r>
            <w:r>
              <w:rPr>
                <w:noProof/>
              </w:rPr>
              <w:t xml:space="preserve">) atribuite în cadrul jaloanelor 245 și, respectiv, 453, în valoare totală de 325 008 900 EUR. </w:t>
            </w:r>
            <w:r>
              <w:rPr>
                <w:noProof/>
              </w:rPr>
              <w:br/>
            </w:r>
          </w:p>
        </w:tc>
      </w:tr>
      <w:tr w:rsidR="00011DE9" w14:paraId="22424686"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4C22493C" w14:textId="77777777" w:rsidR="00011DE9" w:rsidRDefault="00011DE9">
            <w:pPr>
              <w:pStyle w:val="P68B1DB1-Normal19"/>
              <w:spacing w:after="0"/>
              <w:jc w:val="center"/>
              <w:rPr>
                <w:noProof/>
              </w:rPr>
            </w:pPr>
            <w:r>
              <w:rPr>
                <w:noProof/>
              </w:rPr>
              <w:t>455</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5A605A89" w14:textId="77777777" w:rsidR="00011DE9" w:rsidRDefault="00011DE9">
            <w:pPr>
              <w:pStyle w:val="P68B1DB1-Normal19"/>
              <w:spacing w:after="0"/>
              <w:jc w:val="center"/>
              <w:rPr>
                <w:noProof/>
              </w:rPr>
            </w:pPr>
            <w:r>
              <w:rPr>
                <w:noProof/>
              </w:rPr>
              <w:t>C15.I8</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3D7E2E82" w14:textId="77777777" w:rsidR="00011DE9" w:rsidRDefault="00011DE9">
            <w:pPr>
              <w:pStyle w:val="P68B1DB1-Normal19"/>
              <w:spacing w:after="0"/>
              <w:jc w:val="both"/>
              <w:rPr>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2CCB0AEB" w14:textId="77777777" w:rsidR="00011DE9" w:rsidRDefault="00011DE9">
            <w:pPr>
              <w:pStyle w:val="P68B1DB1-Normal19"/>
              <w:spacing w:after="0"/>
              <w:rPr>
                <w:noProof/>
              </w:rPr>
            </w:pPr>
            <w:r>
              <w:rPr>
                <w:noProof/>
              </w:rPr>
              <w:t>CIP PERTE. C &amp; d</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046E9D1C" w14:textId="77777777" w:rsidR="00011DE9" w:rsidRDefault="00011DE9">
            <w:pPr>
              <w:pStyle w:val="P68B1DB1-Normal23"/>
              <w:spacing w:after="0"/>
              <w:rPr>
                <w:noProof/>
              </w:rPr>
            </w:pPr>
            <w:r>
              <w:rPr>
                <w:noProof/>
              </w:rPr>
              <w:t>Hotărârea de atribuire și dovada plății</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228DF671" w14:textId="77777777" w:rsidR="00011DE9" w:rsidRDefault="00011DE9">
            <w:pPr>
              <w:spacing w:after="0"/>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3B341A87" w14:textId="77777777" w:rsidR="00011DE9" w:rsidRDefault="00011DE9">
            <w:pPr>
              <w:spacing w:after="0"/>
              <w:jc w:val="right"/>
              <w:rPr>
                <w:rFonts w:ascii="Times New Roman" w:hAnsi="Times New Roman" w:cs="Times New Roman"/>
                <w:noProof/>
                <w:sz w:val="18"/>
                <w:szCs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58EA7FD6" w14:textId="77777777" w:rsidR="00011DE9" w:rsidRDefault="00011DE9">
            <w:pPr>
              <w:spacing w:after="0"/>
              <w:jc w:val="right"/>
              <w:rPr>
                <w:rFonts w:ascii="Times New Roman" w:hAnsi="Times New Roman" w:cs="Times New Roman"/>
                <w:noProof/>
                <w:sz w:val="18"/>
                <w:szCs w:val="18"/>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373729EE" w14:textId="6D880790" w:rsidR="00011DE9" w:rsidRDefault="005701C9">
            <w:pPr>
              <w:pStyle w:val="P68B1DB1-Normal19"/>
              <w:spacing w:after="0"/>
              <w:jc w:val="center"/>
              <w:rPr>
                <w:noProof/>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5A506C98" w14:textId="77777777" w:rsidR="00011DE9" w:rsidRDefault="00011DE9">
            <w:pPr>
              <w:pStyle w:val="P68B1DB1-Normal19"/>
              <w:spacing w:after="0"/>
              <w:jc w:val="center"/>
              <w:rPr>
                <w:noProof/>
              </w:rPr>
            </w:pPr>
            <w:r>
              <w:rPr>
                <w:noProof/>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5A62FAF4" w14:textId="6FA33A24" w:rsidR="00011DE9" w:rsidRDefault="00011DE9">
            <w:pPr>
              <w:pStyle w:val="P68B1DB1-Normal20"/>
              <w:spacing w:after="0"/>
              <w:rPr>
                <w:rFonts w:cs="Times New Roman"/>
                <w:noProof/>
              </w:rPr>
            </w:pPr>
            <w:r>
              <w:rPr>
                <w:noProof/>
              </w:rPr>
              <w:t>Plata sumei de 75 820 000 EUR pentru proiecte de C &amp; D în domeniul microelectronicii și al semiconductorilor.</w:t>
            </w:r>
            <w:r w:rsidR="00971820">
              <w:rPr>
                <w:noProof/>
              </w:rPr>
              <w:t xml:space="preserve"> </w:t>
            </w:r>
          </w:p>
        </w:tc>
      </w:tr>
      <w:tr w:rsidR="00011DE9" w14:paraId="76EAFED3"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63983B06" w14:textId="77777777" w:rsidR="00011DE9" w:rsidRDefault="00011DE9">
            <w:pPr>
              <w:pStyle w:val="P68B1DB1-Normal20"/>
              <w:spacing w:after="0"/>
              <w:jc w:val="center"/>
              <w:rPr>
                <w:noProof/>
              </w:rPr>
            </w:pPr>
            <w:r>
              <w:rPr>
                <w:noProof/>
              </w:rPr>
              <w:t>455a</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621D45CC" w14:textId="77777777" w:rsidR="00011DE9" w:rsidRDefault="00011DE9">
            <w:pPr>
              <w:pStyle w:val="P68B1DB1-Normal19"/>
              <w:spacing w:after="0"/>
              <w:jc w:val="center"/>
              <w:rPr>
                <w:noProof/>
              </w:rPr>
            </w:pPr>
            <w:r>
              <w:rPr>
                <w:noProof/>
              </w:rPr>
              <w:t>C15.I8 </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180B7D2D" w14:textId="77777777" w:rsidR="00011DE9" w:rsidRDefault="00011DE9">
            <w:pPr>
              <w:pStyle w:val="P68B1DB1-Normal19"/>
              <w:spacing w:after="0"/>
              <w:jc w:val="both"/>
              <w:rPr>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0BCDE791" w14:textId="77777777" w:rsidR="00011DE9" w:rsidRDefault="00011DE9">
            <w:pPr>
              <w:pStyle w:val="P68B1DB1-Normal19"/>
              <w:spacing w:after="0"/>
              <w:rPr>
                <w:noProof/>
              </w:rPr>
            </w:pPr>
            <w:r>
              <w:rPr>
                <w:noProof/>
              </w:rPr>
              <w:t>CIP PERTE. </w:t>
            </w:r>
          </w:p>
          <w:p w14:paraId="75394C56" w14:textId="77777777" w:rsidR="00011DE9" w:rsidRDefault="00011DE9">
            <w:pPr>
              <w:pStyle w:val="P68B1DB1-Normal19"/>
              <w:spacing w:after="0"/>
              <w:rPr>
                <w:noProof/>
              </w:rPr>
            </w:pPr>
            <w:r>
              <w:rPr>
                <w:noProof/>
              </w:rPr>
              <w:t>Injecție de capital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323274F5" w14:textId="77777777" w:rsidR="00011DE9" w:rsidRDefault="00011DE9">
            <w:pPr>
              <w:pStyle w:val="P68B1DB1-Normal20"/>
              <w:spacing w:after="0"/>
              <w:rPr>
                <w:rFonts w:cs="Times New Roman"/>
                <w:noProof/>
              </w:rPr>
            </w:pPr>
            <w:r>
              <w:rPr>
                <w:noProof/>
              </w:rPr>
              <w:t>Certificatul de transfer</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54BD9C44" w14:textId="77777777" w:rsidR="00011DE9" w:rsidRDefault="00011DE9">
            <w:pPr>
              <w:spacing w:after="0"/>
              <w:rPr>
                <w:rFonts w:ascii="Times New Roman" w:hAnsi="Times New Roman"/>
                <w:noProof/>
                <w:sz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0920BE90" w14:textId="77777777" w:rsidR="00011DE9" w:rsidRDefault="00011DE9">
            <w:pPr>
              <w:spacing w:after="0"/>
              <w:jc w:val="right"/>
              <w:rPr>
                <w:rFonts w:ascii="Times New Roman" w:hAnsi="Times New Roman"/>
                <w:noProof/>
                <w:sz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483B5654" w14:textId="77777777" w:rsidR="00011DE9" w:rsidRDefault="00011DE9">
            <w:pPr>
              <w:spacing w:after="0"/>
              <w:jc w:val="right"/>
              <w:rPr>
                <w:rFonts w:ascii="Times New Roman" w:hAnsi="Times New Roman"/>
                <w:noProof/>
                <w:sz w:val="18"/>
                <w:szCs w:val="18"/>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276BC150" w14:textId="3ED1BA6D" w:rsidR="00011DE9" w:rsidRDefault="005701C9">
            <w:pPr>
              <w:pStyle w:val="P68B1DB1-Normal19"/>
              <w:spacing w:after="0"/>
              <w:jc w:val="center"/>
              <w:rPr>
                <w:noProof/>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BE3EA02" w14:textId="77777777" w:rsidR="00011DE9" w:rsidRDefault="00011DE9">
            <w:pPr>
              <w:pStyle w:val="P68B1DB1-Normal19"/>
              <w:spacing w:after="0"/>
              <w:jc w:val="center"/>
              <w:rPr>
                <w:noProof/>
              </w:rPr>
            </w:pPr>
            <w:r>
              <w:rPr>
                <w:noProof/>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219547AA" w14:textId="77777777" w:rsidR="00011DE9" w:rsidRDefault="00011DE9">
            <w:pPr>
              <w:pStyle w:val="P68B1DB1-Normal20"/>
              <w:spacing w:after="0"/>
              <w:rPr>
                <w:noProof/>
              </w:rPr>
            </w:pPr>
            <w:r>
              <w:rPr>
                <w:noProof/>
              </w:rPr>
              <w:t>Acordarea unui grant în valoare de 401 100 000 EUR pentru SETT, care îmbunătățește poziția capitalului propriu al SETT.</w:t>
            </w:r>
          </w:p>
        </w:tc>
      </w:tr>
      <w:tr w:rsidR="00011DE9" w14:paraId="475E2532"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303EDC17" w14:textId="77777777" w:rsidR="00011DE9" w:rsidRDefault="00011DE9">
            <w:pPr>
              <w:pStyle w:val="P68B1DB1-Normal20"/>
              <w:spacing w:after="0"/>
              <w:jc w:val="center"/>
              <w:rPr>
                <w:noProof/>
              </w:rPr>
            </w:pPr>
            <w:r>
              <w:rPr>
                <w:noProof/>
              </w:rPr>
              <w:t>455b</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768E2682" w14:textId="77777777" w:rsidR="00011DE9" w:rsidRDefault="00011DE9">
            <w:pPr>
              <w:pStyle w:val="P68B1DB1-Normal19"/>
              <w:spacing w:after="0"/>
              <w:jc w:val="center"/>
              <w:rPr>
                <w:noProof/>
              </w:rPr>
            </w:pPr>
            <w:r>
              <w:rPr>
                <w:noProof/>
              </w:rPr>
              <w:t>C15.I8 </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4668465B" w14:textId="77777777" w:rsidR="00011DE9" w:rsidRDefault="00011DE9">
            <w:pPr>
              <w:pStyle w:val="P68B1DB1-Normal19"/>
              <w:spacing w:after="0"/>
              <w:jc w:val="both"/>
              <w:rPr>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295FF816" w14:textId="77777777" w:rsidR="00011DE9" w:rsidRDefault="00011DE9">
            <w:pPr>
              <w:pStyle w:val="P68B1DB1-Normal19"/>
              <w:spacing w:after="0"/>
              <w:rPr>
                <w:noProof/>
              </w:rPr>
            </w:pPr>
            <w:r>
              <w:rPr>
                <w:noProof/>
              </w:rPr>
              <w:t>CIP PERTE. </w:t>
            </w:r>
          </w:p>
          <w:p w14:paraId="61BD3477" w14:textId="77777777" w:rsidR="00011DE9" w:rsidRDefault="00011DE9">
            <w:pPr>
              <w:pStyle w:val="P68B1DB1-Normal19"/>
              <w:spacing w:after="0"/>
              <w:rPr>
                <w:noProof/>
              </w:rPr>
            </w:pPr>
            <w:r>
              <w:rPr>
                <w:noProof/>
              </w:rPr>
              <w:t>Crearea unei infrastructuri pentru camere curate: contracte semnate și memorandum de înțelegere semnat.   </w:t>
            </w:r>
          </w:p>
          <w:p w14:paraId="32929638" w14:textId="77777777" w:rsidR="00011DE9" w:rsidRDefault="00011DE9">
            <w:pPr>
              <w:spacing w:after="0"/>
              <w:rPr>
                <w:rFonts w:ascii="Times New Roman" w:hAnsi="Times New Roman"/>
                <w:noProof/>
                <w:sz w:val="18"/>
              </w:rPr>
            </w:pP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3C99A5C8" w14:textId="77777777" w:rsidR="00011DE9" w:rsidRDefault="00011DE9">
            <w:pPr>
              <w:pStyle w:val="P68B1DB1-Normal19"/>
              <w:spacing w:after="0"/>
              <w:rPr>
                <w:rFonts w:eastAsia="Times New Roman"/>
                <w:noProof/>
              </w:rPr>
            </w:pPr>
            <w:r>
              <w:rPr>
                <w:noProof/>
              </w:rPr>
              <w:t>Contract (e) semnat (e) pentru crearea de infrastructură pentru camere curate și memorandum de înțelegere semnat cu utilizatorul infrastructurii.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6D79AF69" w14:textId="77777777" w:rsidR="00011DE9" w:rsidRDefault="00011DE9">
            <w:pPr>
              <w:spacing w:after="0"/>
              <w:jc w:val="both"/>
              <w:rPr>
                <w:rFonts w:ascii="Times New Roman" w:hAnsi="Times New Roman"/>
                <w:noProof/>
                <w:sz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04B5377" w14:textId="77777777" w:rsidR="00011DE9" w:rsidRDefault="00011DE9">
            <w:pPr>
              <w:spacing w:after="0"/>
              <w:jc w:val="right"/>
              <w:rPr>
                <w:rFonts w:ascii="Times New Roman" w:hAnsi="Times New Roman"/>
                <w:noProof/>
                <w:sz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14CDF40B" w14:textId="77777777" w:rsidR="00011DE9" w:rsidRDefault="00011DE9">
            <w:pPr>
              <w:spacing w:after="0"/>
              <w:jc w:val="right"/>
              <w:rPr>
                <w:rFonts w:ascii="Times New Roman" w:hAnsi="Times New Roman"/>
                <w:noProof/>
                <w:sz w:val="18"/>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3C180E8E" w14:textId="399D4CA0" w:rsidR="00011DE9" w:rsidRDefault="005701C9">
            <w:pPr>
              <w:pStyle w:val="P68B1DB1-Normal19"/>
              <w:spacing w:after="0"/>
              <w:jc w:val="center"/>
              <w:rPr>
                <w:noProof/>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01F33F26" w14:textId="77777777" w:rsidR="00011DE9" w:rsidRDefault="00011DE9">
            <w:pPr>
              <w:pStyle w:val="P68B1DB1-Normal19"/>
              <w:spacing w:after="0"/>
              <w:jc w:val="center"/>
              <w:rPr>
                <w:noProof/>
              </w:rPr>
            </w:pPr>
            <w:r>
              <w:rPr>
                <w:noProof/>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6BCA34F2" w14:textId="77777777" w:rsidR="00011DE9" w:rsidRDefault="00011DE9">
            <w:pPr>
              <w:pStyle w:val="P68B1DB1-Normal20"/>
              <w:spacing w:after="0"/>
              <w:rPr>
                <w:noProof/>
              </w:rPr>
            </w:pPr>
            <w:r>
              <w:rPr>
                <w:noProof/>
              </w:rPr>
              <w:t>Semnarea contractului (contractelor) de către SETT cu contractantul (contractanții) pentru crearea de infrastructură (infrastructuri) pentru camere curate, reprezentând 360 990 000 EUR, și semnarea memorandumului de înțelegere cu utilizatorul infrastructurii. </w:t>
            </w:r>
          </w:p>
        </w:tc>
      </w:tr>
      <w:tr w:rsidR="00011DE9" w14:paraId="6C09EEE5"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01C5D4B2" w14:textId="77777777" w:rsidR="00011DE9" w:rsidRDefault="00011DE9">
            <w:pPr>
              <w:pStyle w:val="P68B1DB1-Normal19"/>
              <w:spacing w:after="0"/>
              <w:jc w:val="center"/>
              <w:rPr>
                <w:rFonts w:eastAsia="Times New Roman"/>
                <w:noProof/>
              </w:rPr>
            </w:pPr>
            <w:r>
              <w:rPr>
                <w:noProof/>
              </w:rPr>
              <w:t>456</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1D7D68DD" w14:textId="77777777" w:rsidR="00011DE9" w:rsidRDefault="00011DE9">
            <w:pPr>
              <w:pStyle w:val="P68B1DB1-Normal19"/>
              <w:spacing w:after="0"/>
              <w:jc w:val="center"/>
              <w:rPr>
                <w:rFonts w:eastAsia="Times New Roman"/>
                <w:noProof/>
              </w:rPr>
            </w:pPr>
            <w:r>
              <w:rPr>
                <w:noProof/>
              </w:rPr>
              <w:t>C15.I8</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6F2CA29A" w14:textId="77777777" w:rsidR="00011DE9" w:rsidRDefault="00011DE9">
            <w:pPr>
              <w:pStyle w:val="P68B1DB1-Normal19"/>
              <w:spacing w:after="0"/>
              <w:jc w:val="both"/>
              <w:rPr>
                <w:rFonts w:eastAsia="Times New Roman"/>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1E66E742" w14:textId="77777777" w:rsidR="00011DE9" w:rsidRDefault="00011DE9">
            <w:pPr>
              <w:pStyle w:val="P68B1DB1-Normal19"/>
              <w:spacing w:after="0"/>
              <w:rPr>
                <w:rFonts w:eastAsia="Times New Roman"/>
                <w:noProof/>
              </w:rPr>
            </w:pPr>
            <w:r>
              <w:rPr>
                <w:noProof/>
              </w:rPr>
              <w:t>CIP PERTE. Crearea de catedre academice axate pe microelectronică</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6CC28572" w14:textId="77777777" w:rsidR="00011DE9" w:rsidRDefault="00011DE9">
            <w:pPr>
              <w:pStyle w:val="P68B1DB1-Normal22"/>
              <w:spacing w:after="0"/>
              <w:rPr>
                <w:noProof/>
              </w:rPr>
            </w:pPr>
            <w:r>
              <w:rPr>
                <w:noProof/>
              </w:rPr>
              <w:t>Soluționarea atribuirii, dovada plății.</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7D8668A3" w14:textId="77777777" w:rsidR="00011DE9" w:rsidRDefault="00011DE9">
            <w:pPr>
              <w:spacing w:after="0"/>
              <w:jc w:val="both"/>
              <w:rPr>
                <w:rFonts w:ascii="Times New Roman" w:eastAsia="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286929BB" w14:textId="77777777" w:rsidR="00011DE9" w:rsidRDefault="00011DE9">
            <w:pPr>
              <w:spacing w:after="0"/>
              <w:jc w:val="right"/>
              <w:rPr>
                <w:rFonts w:ascii="Times New Roman" w:eastAsia="Times New Roman" w:hAnsi="Times New Roman" w:cs="Times New Roman"/>
                <w:noProof/>
                <w:sz w:val="18"/>
                <w:szCs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6572AFCA" w14:textId="77777777" w:rsidR="00011DE9" w:rsidRDefault="00011DE9">
            <w:pPr>
              <w:spacing w:after="0"/>
              <w:jc w:val="right"/>
              <w:rPr>
                <w:rFonts w:ascii="Times New Roman" w:eastAsia="Times New Roman" w:hAnsi="Times New Roman" w:cs="Times New Roman"/>
                <w:noProof/>
                <w:sz w:val="18"/>
                <w:szCs w:val="18"/>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7BCED5CF" w14:textId="00EB839F" w:rsidR="00011DE9" w:rsidRDefault="005701C9">
            <w:pPr>
              <w:pStyle w:val="P68B1DB1-Normal19"/>
              <w:spacing w:after="0"/>
              <w:jc w:val="center"/>
              <w:rPr>
                <w:rFonts w:eastAsia="Times New Roman"/>
                <w:noProof/>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8ED68F3" w14:textId="77777777" w:rsidR="00011DE9" w:rsidRDefault="00011DE9">
            <w:pPr>
              <w:pStyle w:val="P68B1DB1-Normal19"/>
              <w:spacing w:after="0"/>
              <w:jc w:val="center"/>
              <w:rPr>
                <w:rFonts w:eastAsia="Times New Roman"/>
                <w:noProof/>
              </w:rPr>
            </w:pPr>
            <w:r>
              <w:rPr>
                <w:noProof/>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56E00AC4" w14:textId="77777777" w:rsidR="00011DE9" w:rsidRDefault="00011DE9">
            <w:pPr>
              <w:pStyle w:val="P68B1DB1-Normal20"/>
              <w:spacing w:after="0"/>
              <w:rPr>
                <w:rFonts w:cs="Times New Roman"/>
                <w:noProof/>
              </w:rPr>
            </w:pPr>
            <w:r>
              <w:rPr>
                <w:noProof/>
              </w:rPr>
              <w:t xml:space="preserve">Crearea a 13 de catedre universitare în domeniul microelectronicii </w:t>
            </w:r>
          </w:p>
        </w:tc>
      </w:tr>
    </w:tbl>
    <w:p w14:paraId="541EC465" w14:textId="77777777" w:rsidR="00011DE9" w:rsidRDefault="00011DE9">
      <w:pPr>
        <w:rPr>
          <w:noProof/>
        </w:rPr>
      </w:pPr>
    </w:p>
    <w:p w14:paraId="3B61449D" w14:textId="77777777" w:rsidR="00011DE9" w:rsidRDefault="00011DE9">
      <w:pPr>
        <w:rPr>
          <w:rFonts w:ascii="Times New Roman" w:hAnsi="Times New Roman" w:cs="Times New Roman"/>
          <w:noProof/>
        </w:rPr>
        <w:sectPr w:rsidR="00011DE9" w:rsidSect="00011DE9">
          <w:headerReference w:type="even" r:id="rId208"/>
          <w:headerReference w:type="default" r:id="rId209"/>
          <w:footerReference w:type="even" r:id="rId210"/>
          <w:footerReference w:type="default" r:id="rId211"/>
          <w:headerReference w:type="first" r:id="rId212"/>
          <w:footerReference w:type="first" r:id="rId213"/>
          <w:pgSz w:w="16839" w:h="11907" w:orient="landscape"/>
          <w:pgMar w:top="1134" w:right="1134" w:bottom="1134" w:left="1134" w:header="567" w:footer="567" w:gutter="0"/>
          <w:cols w:space="720"/>
          <w:docGrid w:linePitch="360"/>
        </w:sectPr>
      </w:pPr>
    </w:p>
    <w:p w14:paraId="1D92006C" w14:textId="18F5CB65" w:rsidR="00011DE9" w:rsidRDefault="00011DE9">
      <w:pPr>
        <w:pStyle w:val="Heading2blue"/>
        <w:ind w:left="0"/>
        <w:rPr>
          <w:noProof/>
          <w:color w:val="auto"/>
          <w:sz w:val="24"/>
          <w:szCs w:val="24"/>
        </w:rPr>
      </w:pPr>
      <w:r>
        <w:rPr>
          <w:noProof/>
          <w:color w:val="auto"/>
          <w:sz w:val="24"/>
          <w:szCs w:val="24"/>
        </w:rPr>
        <w:t>O.3.</w:t>
      </w:r>
      <w:r w:rsidR="00971820">
        <w:rPr>
          <w:noProof/>
          <w:color w:val="auto"/>
          <w:sz w:val="24"/>
          <w:szCs w:val="24"/>
        </w:rPr>
        <w:t xml:space="preserve"> </w:t>
      </w:r>
      <w:r>
        <w:rPr>
          <w:noProof/>
          <w:color w:val="auto"/>
          <w:sz w:val="24"/>
          <w:szCs w:val="24"/>
        </w:rPr>
        <w:t>Descrierea reformelor și a investițiilor pentru care se acordă sprijin sub formă de împrumut</w:t>
      </w:r>
    </w:p>
    <w:p w14:paraId="0526EA5B" w14:textId="77777777" w:rsidR="00011DE9" w:rsidRDefault="00011DE9">
      <w:pPr>
        <w:pStyle w:val="P68B1DB1-Heading3blue24"/>
        <w:rPr>
          <w:noProof/>
          <w:shd w:val="clear" w:color="auto" w:fill="E6E6E6"/>
        </w:rPr>
      </w:pPr>
      <w:r>
        <w:rPr>
          <w:noProof/>
        </w:rPr>
        <w:t>Investiția 9 (C15.I9) – Mecanismul de finanțare CHIP</w:t>
      </w:r>
    </w:p>
    <w:p w14:paraId="40F96499" w14:textId="77777777" w:rsidR="00011DE9" w:rsidRDefault="00011DE9">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 xml:space="preserve">Această măsură constă într-o investiție publică într-un mecanism, mecanismul de finanțare CHIP, pentru a stimula investițiile private și a îmbunătăți accesul la finanțare </w:t>
      </w:r>
      <w:r>
        <w:rPr>
          <w:rFonts w:ascii="Times New Roman" w:hAnsi="Times New Roman"/>
          <w:noProof/>
        </w:rPr>
        <w:t>în sectorul semiconductorilor din Spania, inclusiv în instalațiile de producție la scară largă</w:t>
      </w:r>
      <w:r>
        <w:rPr>
          <w:rStyle w:val="normaltextrun"/>
          <w:rFonts w:ascii="Times New Roman" w:hAnsi="Times New Roman"/>
          <w:noProof/>
          <w:shd w:val="clear" w:color="auto" w:fill="FFFFFF"/>
        </w:rPr>
        <w:t>. Mecanismul respectiv funcționează prin acordarea de împrumuturi, investiții de capital și de cvasicapital (sau o combinație a acestora) sectorului privat, precum și entităților din sectorul public implicate în activități similare. Pe baza investițiilor MRR, mecanismul urmărește să ofere inițial o finanțare de cel puțin 920 000 000 EUR.</w:t>
      </w:r>
    </w:p>
    <w:p w14:paraId="3A951C9F" w14:textId="77777777" w:rsidR="00011DE9" w:rsidRDefault="00011DE9">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 xml:space="preserve">Facilitatea este gestionată de </w:t>
      </w:r>
      <w:r>
        <w:rPr>
          <w:rFonts w:ascii="Times New Roman" w:hAnsi="Times New Roman"/>
          <w:noProof/>
        </w:rPr>
        <w:t xml:space="preserve">Sociedad Española para la Transformación Tecnológica (SETT) în </w:t>
      </w:r>
      <w:r>
        <w:rPr>
          <w:rStyle w:val="normaltextrun"/>
          <w:rFonts w:ascii="Times New Roman" w:hAnsi="Times New Roman"/>
          <w:noProof/>
          <w:shd w:val="clear" w:color="auto" w:fill="FFFFFF"/>
        </w:rPr>
        <w:t xml:space="preserve">calitate de partener de implementare. Fondul include următoarele linii de produse: </w:t>
      </w:r>
    </w:p>
    <w:p w14:paraId="0577CDD7" w14:textId="77777777" w:rsidR="00011DE9" w:rsidRDefault="00011DE9">
      <w:pPr>
        <w:pStyle w:val="ListParagraph"/>
        <w:numPr>
          <w:ilvl w:val="0"/>
          <w:numId w:val="124"/>
        </w:numPr>
        <w:spacing w:line="240" w:lineRule="auto"/>
        <w:jc w:val="both"/>
        <w:rPr>
          <w:rStyle w:val="eop"/>
          <w:rFonts w:ascii="Times New Roman" w:hAnsi="Times New Roman" w:cs="Times New Roman"/>
          <w:noProof/>
        </w:rPr>
      </w:pPr>
      <w:r>
        <w:rPr>
          <w:rStyle w:val="normaltextrun"/>
          <w:rFonts w:ascii="Times New Roman" w:hAnsi="Times New Roman"/>
          <w:noProof/>
        </w:rPr>
        <w:t>Linie directă: Investiții directe în societăți care utilizează împrumuturi obișnuite, împrumuturi participative și participarea la capitalul temporar și minoritar. Investițiile de capital efectuate de fond nu trebuie să conducă la situația în care cota de capital deținut de stat în cadrul unui beneficiar final să depășească 49 % din capitalul propriu total.</w:t>
      </w:r>
    </w:p>
    <w:p w14:paraId="60206EEB" w14:textId="77777777" w:rsidR="00011DE9" w:rsidRDefault="00011DE9">
      <w:pPr>
        <w:pStyle w:val="ListParagraph"/>
        <w:numPr>
          <w:ilvl w:val="0"/>
          <w:numId w:val="124"/>
        </w:numPr>
        <w:spacing w:line="240" w:lineRule="auto"/>
        <w:jc w:val="both"/>
        <w:rPr>
          <w:rStyle w:val="normaltextrun"/>
          <w:rFonts w:ascii="Times New Roman" w:hAnsi="Times New Roman" w:cs="Times New Roman"/>
          <w:noProof/>
        </w:rPr>
      </w:pPr>
      <w:r>
        <w:rPr>
          <w:rStyle w:val="normaltextrun"/>
          <w:rFonts w:ascii="Times New Roman" w:hAnsi="Times New Roman"/>
          <w:noProof/>
        </w:rPr>
        <w:t xml:space="preserve">Coinvestiții în „turnătoriile deschise ale UE” și „instalațiile de producție integrate”: Pentru a sprijini industria producătoare de semiconductori din Spania, fondul este în măsură să ofere sprijin instrumentelor financiare mixte, prin împrumuturi, capital propriu și cvasicapital (sau o combinație a acestora), care integrează capital privat și public în coordonare cu programele de sprijin public, sub rezerva cerințelor de guvernanță prezentate mai jos. </w:t>
      </w:r>
    </w:p>
    <w:p w14:paraId="574C27F4" w14:textId="77777777" w:rsidR="00011DE9" w:rsidRDefault="00011DE9">
      <w:pPr>
        <w:pStyle w:val="P68B1DB1-Normal16"/>
        <w:spacing w:line="240" w:lineRule="auto"/>
        <w:jc w:val="both"/>
        <w:rPr>
          <w:rFonts w:eastAsia="Times New Roman" w:cs="Times New Roman"/>
          <w:noProof/>
        </w:rPr>
      </w:pPr>
      <w:r>
        <w:rPr>
          <w:noProof/>
        </w:rPr>
        <w:t xml:space="preserve">Pentru a pune în aplicare investiția în facilitate, Spania și SETT semnează un acord de punere în aplicare sau Spania aprobă instrumentul juridic corespunzător și documentele asociate, care includ următorul conținut: </w:t>
      </w:r>
    </w:p>
    <w:p w14:paraId="1FA59BC7" w14:textId="77777777" w:rsidR="00011DE9" w:rsidRDefault="00011DE9">
      <w:pPr>
        <w:pStyle w:val="P68B1DB1-ListParagraph25"/>
        <w:numPr>
          <w:ilvl w:val="0"/>
          <w:numId w:val="128"/>
        </w:numPr>
        <w:spacing w:line="240" w:lineRule="auto"/>
        <w:contextualSpacing w:val="0"/>
        <w:jc w:val="both"/>
        <w:rPr>
          <w:rFonts w:eastAsia="Times New Roman" w:cs="Times New Roman"/>
          <w:noProof/>
        </w:rPr>
      </w:pPr>
      <w:r>
        <w:rPr>
          <w:noProof/>
        </w:rPr>
        <w:t>Descrierea procesului decizional al instrumentului: Decizia inițială de investiție a facilității este luată de un comitet pentru investiții sau de un alt organ de conducere echivalent relevant și este aprobată cu o majoritate de voturi de către membri care sunt independenți de guvernul spaniol. Decizia finală de investiții a facilității se limitează la aprobarea (fără modificări) sau la exercitarea unui drept de veto cu privire la o decizie de investiții propusă de comitetul pentru investiții sau de organul de conducere echivalent relevant.</w:t>
      </w:r>
    </w:p>
    <w:p w14:paraId="2F55D67E" w14:textId="77777777" w:rsidR="00011DE9" w:rsidRDefault="00011DE9">
      <w:pPr>
        <w:pStyle w:val="P68B1DB1-ListParagraph25"/>
        <w:numPr>
          <w:ilvl w:val="0"/>
          <w:numId w:val="128"/>
        </w:numPr>
        <w:spacing w:line="240" w:lineRule="auto"/>
        <w:jc w:val="both"/>
        <w:rPr>
          <w:rFonts w:eastAsia="Times New Roman" w:cs="Times New Roman"/>
          <w:noProof/>
        </w:rPr>
      </w:pPr>
      <w:r>
        <w:rPr>
          <w:noProof/>
        </w:rPr>
        <w:t>Cerințele-cheie ale politicii de investiții asociate, care includ:</w:t>
      </w:r>
    </w:p>
    <w:p w14:paraId="0B127844" w14:textId="1B33FFC5" w:rsidR="00011DE9" w:rsidRDefault="00011DE9">
      <w:pPr>
        <w:pStyle w:val="P68B1DB1-ListParagraph25"/>
        <w:numPr>
          <w:ilvl w:val="1"/>
          <w:numId w:val="128"/>
        </w:numPr>
        <w:spacing w:line="240" w:lineRule="auto"/>
        <w:jc w:val="both"/>
        <w:rPr>
          <w:rFonts w:eastAsia="Times New Roman" w:cs="Times New Roman"/>
          <w:noProof/>
        </w:rPr>
      </w:pPr>
      <w:r>
        <w:rPr>
          <w:noProof/>
        </w:rPr>
        <w:t>Descrierea produselor financiare și a beneficiarilor finali eligibili în conformitate cu descrierea măsurii.</w:t>
      </w:r>
      <w:r w:rsidR="00971820">
        <w:rPr>
          <w:noProof/>
        </w:rPr>
        <w:t xml:space="preserve"> </w:t>
      </w:r>
    </w:p>
    <w:p w14:paraId="5E9C9009" w14:textId="77777777" w:rsidR="00011DE9" w:rsidRDefault="00011DE9">
      <w:pPr>
        <w:pStyle w:val="P68B1DB1-ListParagraph25"/>
        <w:numPr>
          <w:ilvl w:val="1"/>
          <w:numId w:val="128"/>
        </w:numPr>
        <w:spacing w:line="240" w:lineRule="auto"/>
        <w:jc w:val="both"/>
        <w:rPr>
          <w:rFonts w:eastAsia="Times New Roman" w:cs="Times New Roman"/>
          <w:noProof/>
        </w:rPr>
      </w:pPr>
      <w:r>
        <w:rPr>
          <w:noProof/>
        </w:rPr>
        <w:t>Cerința ca toate investițiile care beneficiază de sprijin să fie viabile din punct de vedere economic.</w:t>
      </w:r>
    </w:p>
    <w:p w14:paraId="374E801D" w14:textId="3F41B48A" w:rsidR="00011DE9" w:rsidRDefault="00011DE9">
      <w:pPr>
        <w:pStyle w:val="P68B1DB1-ListParagraph25"/>
        <w:numPr>
          <w:ilvl w:val="1"/>
          <w:numId w:val="128"/>
        </w:numPr>
        <w:spacing w:line="240" w:lineRule="auto"/>
        <w:jc w:val="both"/>
        <w:rPr>
          <w:rFonts w:eastAsia="Times New Roman" w:cs="Times New Roman"/>
          <w:noProof/>
        </w:rPr>
      </w:pPr>
      <w:r>
        <w:rPr>
          <w:noProof/>
        </w:rPr>
        <w:t>Interdicția de a refinanța orice împrumut restant.</w:t>
      </w:r>
      <w:r w:rsidR="00971820">
        <w:rPr>
          <w:noProof/>
        </w:rPr>
        <w:t xml:space="preserve"> </w:t>
      </w:r>
    </w:p>
    <w:p w14:paraId="5995A004" w14:textId="77777777" w:rsidR="00011DE9" w:rsidRDefault="00011DE9">
      <w:pPr>
        <w:pStyle w:val="P68B1DB1-ListParagraph25"/>
        <w:numPr>
          <w:ilvl w:val="1"/>
          <w:numId w:val="128"/>
        </w:numPr>
        <w:spacing w:line="240" w:lineRule="auto"/>
        <w:jc w:val="both"/>
        <w:rPr>
          <w:rFonts w:eastAsia="Times New Roman" w:cs="Times New Roman"/>
          <w:noProof/>
        </w:rPr>
      </w:pPr>
      <w:r>
        <w:rPr>
          <w:noProof/>
        </w:rPr>
        <w:t>Cerința de a respecta principiul de „a nu prejudicia în mod semnificativ”, astfel cum este prevăzut în Orientările tehnice privind principiul de „a nu prejudicia în mod semnificativ” (2021/C58/01), în special investițiile în instalații noi trebuie să utilizeze cea mai bună tehnologie disponibilă cu cel mai mic impact asupra mediului din sector. În plus, politica de investiții impune respectarea legislației UE și naționale relevante în materie de mediu de către beneficiarii finali ai facilității.</w:t>
      </w:r>
    </w:p>
    <w:p w14:paraId="5C289E3B" w14:textId="77777777" w:rsidR="00011DE9" w:rsidRDefault="00011DE9">
      <w:pPr>
        <w:pStyle w:val="P68B1DB1-ListParagraph25"/>
        <w:numPr>
          <w:ilvl w:val="1"/>
          <w:numId w:val="128"/>
        </w:numPr>
        <w:spacing w:line="259" w:lineRule="auto"/>
        <w:rPr>
          <w:rFonts w:eastAsia="Times New Roman" w:cs="Times New Roman"/>
          <w:noProof/>
        </w:rPr>
      </w:pPr>
      <w:r>
        <w:rPr>
          <w:noProof/>
        </w:rPr>
        <w:t>Cerința ca beneficiarii finali ai mecanismului să nu primească sprijin din partea altor instrumente ale Uniunii pentru a acoperi aceleași costuri.</w:t>
      </w:r>
    </w:p>
    <w:p w14:paraId="1D4B230A" w14:textId="77777777" w:rsidR="00011DE9" w:rsidRDefault="00011DE9">
      <w:pPr>
        <w:pStyle w:val="P68B1DB1-ListParagraph25"/>
        <w:numPr>
          <w:ilvl w:val="0"/>
          <w:numId w:val="128"/>
        </w:numPr>
        <w:spacing w:line="259" w:lineRule="auto"/>
        <w:jc w:val="both"/>
        <w:rPr>
          <w:rFonts w:eastAsia="Times New Roman" w:cs="Times New Roman"/>
          <w:noProof/>
        </w:rPr>
      </w:pPr>
      <w:r>
        <w:rPr>
          <w:noProof/>
        </w:rPr>
        <w:t>Suma acoperită de instrumentul juridic și de documentele asociate de instituire a mecanismului, structura comisioanelor pentru partenerul de implementare și cerința de a reinvesti orice restituiri în conformitate cu politica de investiții a mecanismului, cu excepția cazului în care acestea sunt utilizate pentru a rambursa împrumuturile din cadrul Mecanismului de redresare și reziliență.</w:t>
      </w:r>
    </w:p>
    <w:p w14:paraId="668BF5CC" w14:textId="77777777" w:rsidR="00011DE9" w:rsidRDefault="00011DE9">
      <w:pPr>
        <w:pStyle w:val="P68B1DB1-ListParagraph25"/>
        <w:numPr>
          <w:ilvl w:val="0"/>
          <w:numId w:val="128"/>
        </w:numPr>
        <w:spacing w:line="259" w:lineRule="auto"/>
        <w:jc w:val="both"/>
        <w:rPr>
          <w:rFonts w:eastAsia="Times New Roman" w:cs="Times New Roman"/>
          <w:noProof/>
        </w:rPr>
      </w:pPr>
      <w:r>
        <w:rPr>
          <w:noProof/>
        </w:rPr>
        <w:t>Cerințe de monitorizare, audit și control, inclusiv:</w:t>
      </w:r>
    </w:p>
    <w:p w14:paraId="226171AC" w14:textId="77777777" w:rsidR="00011DE9" w:rsidRDefault="00011DE9">
      <w:pPr>
        <w:pStyle w:val="P68B1DB1-ListParagraph25"/>
        <w:numPr>
          <w:ilvl w:val="1"/>
          <w:numId w:val="128"/>
        </w:numPr>
        <w:spacing w:line="259" w:lineRule="auto"/>
        <w:jc w:val="both"/>
        <w:rPr>
          <w:rFonts w:eastAsia="Times New Roman" w:cs="Times New Roman"/>
          <w:noProof/>
        </w:rPr>
      </w:pPr>
      <w:r>
        <w:rPr>
          <w:noProof/>
        </w:rPr>
        <w:t>Descrierea sistemului de monitorizare al partenerului de implementare pentru raportarea cu privire la investițiile mobilizate.</w:t>
      </w:r>
    </w:p>
    <w:p w14:paraId="0F528FCE" w14:textId="77777777" w:rsidR="00011DE9" w:rsidRDefault="00011DE9">
      <w:pPr>
        <w:pStyle w:val="P68B1DB1-ListParagraph25"/>
        <w:numPr>
          <w:ilvl w:val="1"/>
          <w:numId w:val="128"/>
        </w:numPr>
        <w:spacing w:line="259" w:lineRule="auto"/>
        <w:jc w:val="both"/>
        <w:rPr>
          <w:rFonts w:eastAsia="Times New Roman" w:cs="Times New Roman"/>
          <w:noProof/>
        </w:rPr>
      </w:pPr>
      <w:r>
        <w:rPr>
          <w:noProof/>
        </w:rPr>
        <w:t xml:space="preserve">Descrierea procedurilor partenerului de implementare care vor asigura prevenirea, detectarea și corectarea fraudei, a corupției și a conflictelor de interese. </w:t>
      </w:r>
    </w:p>
    <w:p w14:paraId="6D638DC7" w14:textId="77777777" w:rsidR="00011DE9" w:rsidRDefault="00011DE9">
      <w:pPr>
        <w:pStyle w:val="P68B1DB1-ListParagraph25"/>
        <w:numPr>
          <w:ilvl w:val="1"/>
          <w:numId w:val="128"/>
        </w:numPr>
        <w:spacing w:line="259" w:lineRule="auto"/>
        <w:jc w:val="both"/>
        <w:rPr>
          <w:rFonts w:eastAsia="Times New Roman" w:cs="Times New Roman"/>
          <w:noProof/>
        </w:rPr>
      </w:pPr>
      <w:r>
        <w:rPr>
          <w:noProof/>
        </w:rPr>
        <w:t>Obligația de a verifica eligibilitatea fiecărei operațiuni în conformitate cu cerințele prevăzute în regulamentele de instituire a instrumentului înainte de a se angaja să finanțeze o operațiune.</w:t>
      </w:r>
    </w:p>
    <w:p w14:paraId="1F42F11F" w14:textId="658EC789" w:rsidR="00011DE9" w:rsidRDefault="00011DE9">
      <w:pPr>
        <w:pStyle w:val="P68B1DB1-ListParagraph25"/>
        <w:numPr>
          <w:ilvl w:val="1"/>
          <w:numId w:val="128"/>
        </w:numPr>
        <w:spacing w:line="259" w:lineRule="auto"/>
        <w:jc w:val="both"/>
        <w:rPr>
          <w:rFonts w:eastAsia="Times New Roman" w:cs="Times New Roman"/>
          <w:noProof/>
        </w:rPr>
      </w:pPr>
      <w:r>
        <w:rPr>
          <w:noProof/>
        </w:rPr>
        <w:t>Obligația de a efectua audituri ex post bazate pe riscuri, în conformitate cu un plan de audit al SETT. Aceste audituri verifică i) dacă sistemele de control sunt eficace, inclusiv detectarea fraudei, a corupției și a conflictelor de interese; respectarea principiului DNSH, a normelor privind ajutoarele de stat, a cerințelor privind țintele climatice și digitale; și iii) respectarea cerinței ca intermediarul să verifice dacă beneficiarul final prezintă o declarație responsabilă pentru a verifica dacă același cost este acoperit de un alt instrument al Uniunii.</w:t>
      </w:r>
      <w:r w:rsidR="00971820">
        <w:rPr>
          <w:noProof/>
        </w:rPr>
        <w:t xml:space="preserve"> </w:t>
      </w:r>
      <w:r>
        <w:rPr>
          <w:noProof/>
        </w:rPr>
        <w:t xml:space="preserve"> Auditurile verifică, de asemenea, legalitatea tranzacțiilor și respectarea condițiilor prevăzute în acordul de punere în aplicare aplicabil sau în regulamentul și documentele conexe de instituire a mecanismului și în acordurile de finanțare. </w:t>
      </w:r>
    </w:p>
    <w:p w14:paraId="66290667" w14:textId="77777777" w:rsidR="00011DE9" w:rsidRDefault="00011DE9">
      <w:pPr>
        <w:pStyle w:val="ListParagraph"/>
        <w:numPr>
          <w:ilvl w:val="0"/>
          <w:numId w:val="128"/>
        </w:numPr>
        <w:spacing w:line="240" w:lineRule="auto"/>
        <w:jc w:val="both"/>
        <w:rPr>
          <w:rFonts w:ascii="Times New Roman" w:eastAsia="Times New Roman" w:hAnsi="Times New Roman" w:cs="Times New Roman"/>
          <w:noProof/>
          <w:shd w:val="clear" w:color="auto" w:fill="FFFFFF"/>
        </w:rPr>
      </w:pPr>
      <w:r>
        <w:rPr>
          <w:rFonts w:ascii="Times New Roman" w:hAnsi="Times New Roman"/>
          <w:noProof/>
        </w:rPr>
        <w:t>Cerințe pentru investițiile digitale efectuate de partenerul de implementare: cel puțin</w:t>
      </w:r>
      <w:r>
        <w:rPr>
          <w:rFonts w:ascii="Times New Roman" w:hAnsi="Times New Roman"/>
          <w:noProof/>
          <w:sz w:val="20"/>
          <w:szCs w:val="20"/>
        </w:rPr>
        <w:t xml:space="preserve"> </w:t>
      </w:r>
      <w:r>
        <w:rPr>
          <w:rFonts w:ascii="Times New Roman" w:hAnsi="Times New Roman"/>
          <w:noProof/>
        </w:rPr>
        <w:t xml:space="preserve">920 000 000 EUR din investițiile MRR în mecanism contribuie la obiectivele tranziției digitale în conformitate cu anexa VII la Regulamentul privind MRR. </w:t>
      </w:r>
      <w:r>
        <w:rPr>
          <w:rStyle w:val="FootnoteReference"/>
          <w:rFonts w:ascii="Times New Roman" w:eastAsia="Times New Roman" w:hAnsi="Times New Roman" w:cs="Times New Roman"/>
          <w:noProof/>
          <w:sz w:val="28"/>
          <w:szCs w:val="28"/>
        </w:rPr>
        <w:footnoteReference w:id="117"/>
      </w:r>
      <w:r>
        <w:rPr>
          <w:rFonts w:ascii="Times New Roman" w:hAnsi="Times New Roman" w:cs="Times New Roman"/>
          <w:noProof/>
        </w:rPr>
        <w:t xml:space="preserve"> </w:t>
      </w:r>
    </w:p>
    <w:p w14:paraId="4EE79CF2" w14:textId="77777777" w:rsidR="00011DE9" w:rsidRDefault="00011DE9">
      <w:pPr>
        <w:ind w:left="720"/>
        <w:rPr>
          <w:rFonts w:ascii="Times New Roman" w:hAnsi="Times New Roman"/>
          <w:b/>
          <w:bCs/>
          <w:noProof/>
          <w:u w:val="single"/>
        </w:rPr>
      </w:pPr>
    </w:p>
    <w:p w14:paraId="267CCF99" w14:textId="0ED1533F" w:rsidR="00011DE9" w:rsidRDefault="00011DE9">
      <w:pPr>
        <w:ind w:left="720"/>
        <w:rPr>
          <w:rFonts w:ascii="Times New Roman" w:hAnsi="Times New Roman" w:cs="Times New Roman"/>
          <w:noProof/>
        </w:rPr>
      </w:pPr>
      <w:r>
        <w:rPr>
          <w:rFonts w:ascii="Times New Roman" w:hAnsi="Times New Roman"/>
          <w:b/>
          <w:noProof/>
          <w:u w:val="single"/>
        </w:rPr>
        <w:t>O.4.</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pentru sprijinul financiar rambursabil</w:t>
      </w:r>
    </w:p>
    <w:p w14:paraId="1D34F8B3" w14:textId="77777777" w:rsidR="00011DE9" w:rsidRDefault="00011DE9">
      <w:pPr>
        <w:pStyle w:val="P68B1DB1-Normal26"/>
        <w:rPr>
          <w:noProof/>
        </w:rPr>
      </w:pPr>
      <w:r>
        <w:rPr>
          <w:noProof/>
        </w:rPr>
        <w:t xml:space="preserve">A se vedea tabelul de mai jos. Data de referință pentru toți indicatorii este 1 februarie 2020, cu excepția cazului în care se indică altfel în descrierea acțiunii. </w:t>
      </w:r>
    </w:p>
    <w:p w14:paraId="1435B5E2" w14:textId="77777777" w:rsidR="00011DE9" w:rsidRDefault="00011DE9">
      <w:pPr>
        <w:spacing w:line="240" w:lineRule="auto"/>
        <w:rPr>
          <w:rFonts w:ascii="Times New Roman" w:hAnsi="Times New Roman" w:cs="Times New Roman"/>
          <w:noProof/>
        </w:rPr>
      </w:pPr>
    </w:p>
    <w:p w14:paraId="6B8F642F" w14:textId="77777777" w:rsidR="00011DE9" w:rsidRDefault="00011DE9">
      <w:pPr>
        <w:spacing w:before="120" w:after="120" w:line="240" w:lineRule="auto"/>
        <w:ind w:left="709"/>
        <w:jc w:val="both"/>
        <w:rPr>
          <w:rFonts w:ascii="Times New Roman" w:hAnsi="Times New Roman" w:cs="Times New Roman"/>
          <w:noProof/>
        </w:rPr>
        <w:sectPr w:rsidR="00011DE9" w:rsidSect="00011DE9">
          <w:headerReference w:type="even" r:id="rId214"/>
          <w:headerReference w:type="default" r:id="rId215"/>
          <w:footerReference w:type="even" r:id="rId216"/>
          <w:footerReference w:type="default" r:id="rId217"/>
          <w:headerReference w:type="first" r:id="rId218"/>
          <w:footerReference w:type="first" r:id="rId219"/>
          <w:pgSz w:w="11907" w:h="16839"/>
          <w:pgMar w:top="1134" w:right="1134" w:bottom="1134" w:left="1134" w:header="567" w:footer="567" w:gutter="0"/>
          <w:cols w:space="720"/>
          <w:docGrid w:linePitch="360"/>
        </w:sectPr>
      </w:pPr>
    </w:p>
    <w:tbl>
      <w:tblPr>
        <w:tblW w:w="13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0"/>
        <w:gridCol w:w="972"/>
        <w:gridCol w:w="972"/>
        <w:gridCol w:w="1667"/>
        <w:gridCol w:w="1251"/>
        <w:gridCol w:w="695"/>
        <w:gridCol w:w="972"/>
        <w:gridCol w:w="694"/>
        <w:gridCol w:w="418"/>
        <w:gridCol w:w="556"/>
        <w:gridCol w:w="4857"/>
      </w:tblGrid>
      <w:tr w:rsidR="00011DE9" w14:paraId="6C69879C" w14:textId="77777777">
        <w:trPr>
          <w:trHeight w:val="340"/>
          <w:tblHeader/>
        </w:trPr>
        <w:tc>
          <w:tcPr>
            <w:tcW w:w="830" w:type="dxa"/>
            <w:vMerge w:val="restart"/>
            <w:shd w:val="clear" w:color="auto" w:fill="BDD7EE"/>
            <w:vAlign w:val="center"/>
            <w:hideMark/>
          </w:tcPr>
          <w:p w14:paraId="77034B0B" w14:textId="77777777" w:rsidR="00011DE9" w:rsidRDefault="00011DE9">
            <w:pPr>
              <w:pStyle w:val="P68B1DB1-Normal18"/>
              <w:jc w:val="center"/>
              <w:rPr>
                <w:rFonts w:eastAsia="Times New Roman" w:cs="Times New Roman"/>
                <w:noProof/>
                <w:szCs w:val="18"/>
              </w:rPr>
            </w:pPr>
            <w:r>
              <w:rPr>
                <w:noProof/>
              </w:rPr>
              <w:t>Număr</w:t>
            </w:r>
          </w:p>
        </w:tc>
        <w:tc>
          <w:tcPr>
            <w:tcW w:w="972" w:type="dxa"/>
            <w:vMerge w:val="restart"/>
            <w:shd w:val="clear" w:color="auto" w:fill="BDD7EE"/>
            <w:vAlign w:val="center"/>
            <w:hideMark/>
          </w:tcPr>
          <w:p w14:paraId="5462DB75" w14:textId="77777777" w:rsidR="00011DE9" w:rsidRDefault="00011DE9">
            <w:pPr>
              <w:pStyle w:val="P68B1DB1-Normal18"/>
              <w:jc w:val="center"/>
              <w:rPr>
                <w:rFonts w:eastAsia="Times New Roman" w:cs="Times New Roman"/>
                <w:noProof/>
                <w:szCs w:val="18"/>
              </w:rPr>
            </w:pPr>
            <w:r>
              <w:rPr>
                <w:noProof/>
              </w:rPr>
              <w:t>Măsură</w:t>
            </w:r>
          </w:p>
        </w:tc>
        <w:tc>
          <w:tcPr>
            <w:tcW w:w="972" w:type="dxa"/>
            <w:vMerge w:val="restart"/>
            <w:shd w:val="clear" w:color="auto" w:fill="BDD7EE"/>
            <w:vAlign w:val="center"/>
            <w:hideMark/>
          </w:tcPr>
          <w:p w14:paraId="6F89F815" w14:textId="5486A74F" w:rsidR="00011DE9" w:rsidRDefault="00011DE9">
            <w:pPr>
              <w:jc w:val="center"/>
              <w:rPr>
                <w:rFonts w:ascii="Times New Roman" w:eastAsia="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1667" w:type="dxa"/>
            <w:vMerge w:val="restart"/>
            <w:shd w:val="clear" w:color="auto" w:fill="BDD7EE"/>
            <w:vAlign w:val="center"/>
            <w:hideMark/>
          </w:tcPr>
          <w:p w14:paraId="1AFF4301" w14:textId="77777777" w:rsidR="00011DE9" w:rsidRDefault="00011DE9">
            <w:pPr>
              <w:pStyle w:val="P68B1DB1-Normal18"/>
              <w:jc w:val="center"/>
              <w:rPr>
                <w:rFonts w:eastAsia="Times New Roman" w:cs="Times New Roman"/>
                <w:noProof/>
                <w:szCs w:val="18"/>
              </w:rPr>
            </w:pPr>
            <w:r>
              <w:rPr>
                <w:noProof/>
              </w:rPr>
              <w:t>Nume</w:t>
            </w:r>
          </w:p>
        </w:tc>
        <w:tc>
          <w:tcPr>
            <w:tcW w:w="1251" w:type="dxa"/>
            <w:vMerge w:val="restart"/>
            <w:shd w:val="clear" w:color="auto" w:fill="BDD7EE"/>
            <w:vAlign w:val="center"/>
            <w:hideMark/>
          </w:tcPr>
          <w:p w14:paraId="4DBA3D20" w14:textId="77777777" w:rsidR="00011DE9" w:rsidRDefault="00011DE9">
            <w:pPr>
              <w:pStyle w:val="P68B1DB1-Normal18"/>
              <w:jc w:val="center"/>
              <w:rPr>
                <w:rFonts w:eastAsia="Times New Roman" w:cs="Times New Roman"/>
                <w:noProof/>
                <w:szCs w:val="18"/>
              </w:rPr>
            </w:pPr>
            <w:r>
              <w:rPr>
                <w:noProof/>
              </w:rPr>
              <w:t>Indicator calitativ pentru jaloane</w:t>
            </w:r>
          </w:p>
        </w:tc>
        <w:tc>
          <w:tcPr>
            <w:tcW w:w="2361" w:type="dxa"/>
            <w:gridSpan w:val="3"/>
            <w:shd w:val="clear" w:color="auto" w:fill="BDD7EE"/>
            <w:vAlign w:val="center"/>
            <w:hideMark/>
          </w:tcPr>
          <w:p w14:paraId="7CC7E491" w14:textId="77777777" w:rsidR="00011DE9" w:rsidRDefault="00011DE9">
            <w:pPr>
              <w:pStyle w:val="P68B1DB1-Normal18"/>
              <w:jc w:val="center"/>
              <w:rPr>
                <w:rFonts w:eastAsia="Times New Roman" w:cs="Times New Roman"/>
                <w:noProof/>
                <w:szCs w:val="18"/>
              </w:rPr>
            </w:pPr>
            <w:r>
              <w:rPr>
                <w:noProof/>
              </w:rPr>
              <w:t>Indicator cantitativ pentru ținte</w:t>
            </w:r>
          </w:p>
        </w:tc>
        <w:tc>
          <w:tcPr>
            <w:tcW w:w="974" w:type="dxa"/>
            <w:gridSpan w:val="2"/>
            <w:shd w:val="clear" w:color="auto" w:fill="BDD7EE"/>
            <w:vAlign w:val="center"/>
            <w:hideMark/>
          </w:tcPr>
          <w:p w14:paraId="1B9876C1" w14:textId="77777777" w:rsidR="00011DE9" w:rsidRDefault="00011DE9">
            <w:pPr>
              <w:pStyle w:val="P68B1DB1-Normal18"/>
              <w:jc w:val="center"/>
              <w:rPr>
                <w:rFonts w:eastAsia="Times New Roman" w:cs="Times New Roman"/>
                <w:noProof/>
                <w:szCs w:val="18"/>
              </w:rPr>
            </w:pPr>
            <w:r>
              <w:rPr>
                <w:noProof/>
              </w:rPr>
              <w:t>Timp</w:t>
            </w:r>
          </w:p>
        </w:tc>
        <w:tc>
          <w:tcPr>
            <w:tcW w:w="4857" w:type="dxa"/>
            <w:vMerge w:val="restart"/>
            <w:shd w:val="clear" w:color="auto" w:fill="BDD7EE"/>
            <w:vAlign w:val="center"/>
            <w:hideMark/>
          </w:tcPr>
          <w:p w14:paraId="43108921" w14:textId="77777777" w:rsidR="00011DE9" w:rsidRDefault="00011DE9">
            <w:pPr>
              <w:pStyle w:val="P68B1DB1-Normal18"/>
              <w:jc w:val="center"/>
              <w:rPr>
                <w:rFonts w:eastAsia="Times New Roman" w:cs="Times New Roman"/>
                <w:noProof/>
                <w:szCs w:val="18"/>
              </w:rPr>
            </w:pPr>
            <w:r>
              <w:rPr>
                <w:noProof/>
              </w:rPr>
              <w:t>Descrierea fiecărui jalon și a fiecărei ținte</w:t>
            </w:r>
          </w:p>
        </w:tc>
      </w:tr>
      <w:tr w:rsidR="00011DE9" w14:paraId="26082DA1" w14:textId="77777777">
        <w:trPr>
          <w:trHeight w:val="991"/>
        </w:trPr>
        <w:tc>
          <w:tcPr>
            <w:tcW w:w="830" w:type="dxa"/>
            <w:vMerge/>
            <w:hideMark/>
          </w:tcPr>
          <w:p w14:paraId="27845699" w14:textId="77777777" w:rsidR="00011DE9" w:rsidRDefault="00011DE9">
            <w:pPr>
              <w:jc w:val="center"/>
              <w:rPr>
                <w:rFonts w:ascii="Times New Roman" w:eastAsia="Times New Roman" w:hAnsi="Times New Roman" w:cs="Times New Roman"/>
                <w:b/>
                <w:noProof/>
                <w:sz w:val="18"/>
                <w:szCs w:val="18"/>
              </w:rPr>
            </w:pPr>
          </w:p>
        </w:tc>
        <w:tc>
          <w:tcPr>
            <w:tcW w:w="972" w:type="dxa"/>
            <w:vMerge/>
            <w:hideMark/>
          </w:tcPr>
          <w:p w14:paraId="1AFAE6DA" w14:textId="77777777" w:rsidR="00011DE9" w:rsidRDefault="00011DE9">
            <w:pPr>
              <w:jc w:val="center"/>
              <w:rPr>
                <w:rFonts w:ascii="Times New Roman" w:eastAsia="Times New Roman" w:hAnsi="Times New Roman" w:cs="Times New Roman"/>
                <w:b/>
                <w:noProof/>
                <w:sz w:val="18"/>
                <w:szCs w:val="18"/>
              </w:rPr>
            </w:pPr>
          </w:p>
        </w:tc>
        <w:tc>
          <w:tcPr>
            <w:tcW w:w="972" w:type="dxa"/>
            <w:vMerge/>
            <w:hideMark/>
          </w:tcPr>
          <w:p w14:paraId="267706AC" w14:textId="77777777" w:rsidR="00011DE9" w:rsidRDefault="00011DE9">
            <w:pPr>
              <w:jc w:val="center"/>
              <w:rPr>
                <w:rFonts w:ascii="Times New Roman" w:eastAsia="Times New Roman" w:hAnsi="Times New Roman" w:cs="Times New Roman"/>
                <w:b/>
                <w:noProof/>
                <w:sz w:val="18"/>
                <w:szCs w:val="18"/>
              </w:rPr>
            </w:pPr>
          </w:p>
        </w:tc>
        <w:tc>
          <w:tcPr>
            <w:tcW w:w="1667" w:type="dxa"/>
            <w:vMerge/>
            <w:hideMark/>
          </w:tcPr>
          <w:p w14:paraId="3F47C748" w14:textId="77777777" w:rsidR="00011DE9" w:rsidRDefault="00011DE9">
            <w:pPr>
              <w:jc w:val="center"/>
              <w:rPr>
                <w:rFonts w:ascii="Times New Roman" w:eastAsia="Times New Roman" w:hAnsi="Times New Roman" w:cs="Times New Roman"/>
                <w:b/>
                <w:noProof/>
                <w:sz w:val="18"/>
                <w:szCs w:val="18"/>
              </w:rPr>
            </w:pPr>
          </w:p>
        </w:tc>
        <w:tc>
          <w:tcPr>
            <w:tcW w:w="1251" w:type="dxa"/>
            <w:vMerge/>
            <w:hideMark/>
          </w:tcPr>
          <w:p w14:paraId="3FB4E3FB" w14:textId="77777777" w:rsidR="00011DE9" w:rsidRDefault="00011DE9">
            <w:pPr>
              <w:jc w:val="center"/>
              <w:rPr>
                <w:rFonts w:ascii="Times New Roman" w:eastAsia="Times New Roman" w:hAnsi="Times New Roman" w:cs="Times New Roman"/>
                <w:b/>
                <w:noProof/>
                <w:sz w:val="18"/>
                <w:szCs w:val="18"/>
              </w:rPr>
            </w:pPr>
          </w:p>
        </w:tc>
        <w:tc>
          <w:tcPr>
            <w:tcW w:w="695" w:type="dxa"/>
            <w:shd w:val="clear" w:color="auto" w:fill="BDD7EE"/>
            <w:vAlign w:val="center"/>
            <w:hideMark/>
          </w:tcPr>
          <w:p w14:paraId="199AF152" w14:textId="77777777" w:rsidR="00011DE9" w:rsidRDefault="00011DE9">
            <w:pPr>
              <w:pStyle w:val="P68B1DB1-Normal18"/>
              <w:jc w:val="center"/>
              <w:rPr>
                <w:rFonts w:eastAsia="Times New Roman" w:cs="Times New Roman"/>
                <w:noProof/>
                <w:szCs w:val="18"/>
              </w:rPr>
            </w:pPr>
            <w:r>
              <w:rPr>
                <w:noProof/>
              </w:rPr>
              <w:t>Unitate</w:t>
            </w:r>
          </w:p>
        </w:tc>
        <w:tc>
          <w:tcPr>
            <w:tcW w:w="972" w:type="dxa"/>
            <w:shd w:val="clear" w:color="auto" w:fill="BDD7EE"/>
            <w:vAlign w:val="center"/>
            <w:hideMark/>
          </w:tcPr>
          <w:p w14:paraId="6828A829" w14:textId="77777777" w:rsidR="00011DE9" w:rsidRDefault="00011DE9">
            <w:pPr>
              <w:pStyle w:val="P68B1DB1-Normal18"/>
              <w:jc w:val="center"/>
              <w:rPr>
                <w:rFonts w:eastAsia="Times New Roman" w:cs="Times New Roman"/>
                <w:noProof/>
                <w:szCs w:val="18"/>
              </w:rPr>
            </w:pPr>
            <w:r>
              <w:rPr>
                <w:noProof/>
              </w:rPr>
              <w:t>Situația de referință</w:t>
            </w:r>
          </w:p>
        </w:tc>
        <w:tc>
          <w:tcPr>
            <w:tcW w:w="694" w:type="dxa"/>
            <w:shd w:val="clear" w:color="auto" w:fill="BDD7EE"/>
            <w:vAlign w:val="center"/>
            <w:hideMark/>
          </w:tcPr>
          <w:p w14:paraId="7AC810C5" w14:textId="77777777" w:rsidR="00011DE9" w:rsidRDefault="00011DE9">
            <w:pPr>
              <w:pStyle w:val="P68B1DB1-Normal18"/>
              <w:jc w:val="center"/>
              <w:rPr>
                <w:rFonts w:eastAsia="Times New Roman" w:cs="Times New Roman"/>
                <w:noProof/>
                <w:szCs w:val="18"/>
              </w:rPr>
            </w:pPr>
            <w:r>
              <w:rPr>
                <w:noProof/>
              </w:rPr>
              <w:t>Obiectiv</w:t>
            </w:r>
          </w:p>
        </w:tc>
        <w:tc>
          <w:tcPr>
            <w:tcW w:w="418" w:type="dxa"/>
            <w:shd w:val="clear" w:color="auto" w:fill="BDD7EE"/>
            <w:vAlign w:val="center"/>
            <w:hideMark/>
          </w:tcPr>
          <w:p w14:paraId="68385AA3" w14:textId="4C415170" w:rsidR="00011DE9" w:rsidRDefault="00A636A7">
            <w:pPr>
              <w:pStyle w:val="P68B1DB1-Normal18"/>
              <w:jc w:val="center"/>
              <w:rPr>
                <w:rFonts w:eastAsia="Times New Roman" w:cs="Times New Roman"/>
                <w:noProof/>
                <w:szCs w:val="18"/>
              </w:rPr>
            </w:pPr>
            <w:r>
              <w:rPr>
                <w:noProof/>
              </w:rPr>
              <w:t>T</w:t>
            </w:r>
          </w:p>
        </w:tc>
        <w:tc>
          <w:tcPr>
            <w:tcW w:w="556" w:type="dxa"/>
            <w:shd w:val="clear" w:color="auto" w:fill="BDD7EE"/>
            <w:vAlign w:val="center"/>
            <w:hideMark/>
          </w:tcPr>
          <w:p w14:paraId="54FA0FD5" w14:textId="77777777" w:rsidR="00011DE9" w:rsidRDefault="00011DE9">
            <w:pPr>
              <w:pStyle w:val="P68B1DB1-Normal18"/>
              <w:jc w:val="center"/>
              <w:rPr>
                <w:rFonts w:eastAsia="Times New Roman" w:cs="Times New Roman"/>
                <w:noProof/>
                <w:szCs w:val="18"/>
              </w:rPr>
            </w:pPr>
            <w:r>
              <w:rPr>
                <w:noProof/>
              </w:rPr>
              <w:t>Anul</w:t>
            </w:r>
          </w:p>
        </w:tc>
        <w:tc>
          <w:tcPr>
            <w:tcW w:w="4857" w:type="dxa"/>
            <w:vMerge/>
            <w:hideMark/>
          </w:tcPr>
          <w:p w14:paraId="183E3872" w14:textId="77777777" w:rsidR="00011DE9" w:rsidRDefault="00011DE9">
            <w:pPr>
              <w:jc w:val="center"/>
              <w:rPr>
                <w:rFonts w:ascii="Times New Roman" w:eastAsia="Times New Roman" w:hAnsi="Times New Roman" w:cs="Times New Roman"/>
                <w:b/>
                <w:noProof/>
                <w:sz w:val="18"/>
                <w:szCs w:val="18"/>
              </w:rPr>
            </w:pPr>
          </w:p>
        </w:tc>
      </w:tr>
      <w:tr w:rsidR="00011DE9" w14:paraId="5686689D" w14:textId="77777777">
        <w:trPr>
          <w:trHeight w:val="300"/>
        </w:trPr>
        <w:tc>
          <w:tcPr>
            <w:tcW w:w="830" w:type="dxa"/>
            <w:shd w:val="clear" w:color="auto" w:fill="C6EFCE"/>
            <w:hideMark/>
          </w:tcPr>
          <w:p w14:paraId="22CB4684" w14:textId="77777777" w:rsidR="00011DE9" w:rsidRDefault="00011DE9">
            <w:pPr>
              <w:pStyle w:val="P68B1DB1-Normal19"/>
              <w:jc w:val="center"/>
              <w:rPr>
                <w:noProof/>
              </w:rPr>
            </w:pPr>
            <w:r>
              <w:rPr>
                <w:noProof/>
              </w:rPr>
              <w:t>L63</w:t>
            </w:r>
          </w:p>
        </w:tc>
        <w:tc>
          <w:tcPr>
            <w:tcW w:w="972" w:type="dxa"/>
            <w:shd w:val="clear" w:color="auto" w:fill="C6EFCE"/>
            <w:hideMark/>
          </w:tcPr>
          <w:p w14:paraId="6B5D054D" w14:textId="77777777" w:rsidR="00011DE9" w:rsidRDefault="00011DE9">
            <w:pPr>
              <w:pStyle w:val="P68B1DB1-Normal19"/>
              <w:jc w:val="center"/>
              <w:rPr>
                <w:noProof/>
              </w:rPr>
            </w:pPr>
            <w:r>
              <w:rPr>
                <w:noProof/>
              </w:rPr>
              <w:t>C15.I9</w:t>
            </w:r>
          </w:p>
        </w:tc>
        <w:tc>
          <w:tcPr>
            <w:tcW w:w="972" w:type="dxa"/>
            <w:shd w:val="clear" w:color="auto" w:fill="C6EFCE"/>
            <w:hideMark/>
          </w:tcPr>
          <w:p w14:paraId="6AA14285" w14:textId="77777777" w:rsidR="00011DE9" w:rsidRDefault="00011DE9">
            <w:pPr>
              <w:pStyle w:val="P68B1DB1-Normal19"/>
              <w:jc w:val="center"/>
              <w:rPr>
                <w:noProof/>
              </w:rPr>
            </w:pPr>
            <w:r>
              <w:rPr>
                <w:noProof/>
              </w:rPr>
              <w:t>M</w:t>
            </w:r>
          </w:p>
        </w:tc>
        <w:tc>
          <w:tcPr>
            <w:tcW w:w="1667" w:type="dxa"/>
            <w:shd w:val="clear" w:color="auto" w:fill="C6EFCE"/>
            <w:hideMark/>
          </w:tcPr>
          <w:p w14:paraId="4781E9B8" w14:textId="77777777" w:rsidR="00011DE9" w:rsidRDefault="00011DE9">
            <w:pPr>
              <w:pStyle w:val="P68B1DB1-Normal19"/>
              <w:rPr>
                <w:noProof/>
              </w:rPr>
            </w:pPr>
            <w:r>
              <w:rPr>
                <w:noProof/>
              </w:rPr>
              <w:t>Mecanismul de finanțare a cipurilor: Aprobarea oficială a mecanismului de finanțare</w:t>
            </w:r>
          </w:p>
        </w:tc>
        <w:tc>
          <w:tcPr>
            <w:tcW w:w="1251" w:type="dxa"/>
            <w:shd w:val="clear" w:color="auto" w:fill="C6EFCE"/>
            <w:hideMark/>
          </w:tcPr>
          <w:p w14:paraId="5DF005EB" w14:textId="77777777" w:rsidR="00011DE9" w:rsidRDefault="00011DE9">
            <w:pPr>
              <w:pStyle w:val="P68B1DB1-Normal19"/>
              <w:rPr>
                <w:noProof/>
              </w:rPr>
            </w:pPr>
            <w:r>
              <w:rPr>
                <w:noProof/>
              </w:rPr>
              <w:t>Semnarea acordului de punere în aplicare </w:t>
            </w:r>
          </w:p>
        </w:tc>
        <w:tc>
          <w:tcPr>
            <w:tcW w:w="695" w:type="dxa"/>
            <w:shd w:val="clear" w:color="auto" w:fill="C6EFCE"/>
            <w:hideMark/>
          </w:tcPr>
          <w:p w14:paraId="5C1FEC8D" w14:textId="77777777" w:rsidR="00011DE9" w:rsidRDefault="00011DE9">
            <w:pPr>
              <w:pStyle w:val="P68B1DB1-Normal19"/>
              <w:rPr>
                <w:noProof/>
              </w:rPr>
            </w:pPr>
            <w:r>
              <w:rPr>
                <w:noProof/>
              </w:rPr>
              <w:t xml:space="preserve"> </w:t>
            </w:r>
          </w:p>
        </w:tc>
        <w:tc>
          <w:tcPr>
            <w:tcW w:w="972" w:type="dxa"/>
            <w:shd w:val="clear" w:color="auto" w:fill="C6EFCE"/>
            <w:hideMark/>
          </w:tcPr>
          <w:p w14:paraId="4FC2B171" w14:textId="77777777" w:rsidR="00011DE9" w:rsidRDefault="00011DE9">
            <w:pPr>
              <w:pStyle w:val="P68B1DB1-Normal19"/>
              <w:rPr>
                <w:noProof/>
              </w:rPr>
            </w:pPr>
            <w:r>
              <w:rPr>
                <w:noProof/>
              </w:rPr>
              <w:t xml:space="preserve"> </w:t>
            </w:r>
          </w:p>
        </w:tc>
        <w:tc>
          <w:tcPr>
            <w:tcW w:w="694" w:type="dxa"/>
            <w:shd w:val="clear" w:color="auto" w:fill="C6EFCE"/>
            <w:hideMark/>
          </w:tcPr>
          <w:p w14:paraId="7B1E1C2E" w14:textId="77777777" w:rsidR="00011DE9" w:rsidRDefault="00011DE9">
            <w:pPr>
              <w:pStyle w:val="P68B1DB1-Normal19"/>
              <w:rPr>
                <w:noProof/>
              </w:rPr>
            </w:pPr>
            <w:r>
              <w:rPr>
                <w:noProof/>
              </w:rPr>
              <w:t xml:space="preserve"> </w:t>
            </w:r>
          </w:p>
        </w:tc>
        <w:tc>
          <w:tcPr>
            <w:tcW w:w="418" w:type="dxa"/>
            <w:shd w:val="clear" w:color="auto" w:fill="C6EFCE"/>
            <w:hideMark/>
          </w:tcPr>
          <w:p w14:paraId="4D2C12A3" w14:textId="4D084DF0" w:rsidR="00011DE9" w:rsidRDefault="005701C9">
            <w:pPr>
              <w:pStyle w:val="P68B1DB1-Normal19"/>
              <w:jc w:val="center"/>
              <w:rPr>
                <w:noProof/>
              </w:rPr>
            </w:pPr>
            <w:r>
              <w:rPr>
                <w:noProof/>
              </w:rPr>
              <w:t>T4</w:t>
            </w:r>
          </w:p>
        </w:tc>
        <w:tc>
          <w:tcPr>
            <w:tcW w:w="556" w:type="dxa"/>
            <w:shd w:val="clear" w:color="auto" w:fill="C6EFCE"/>
            <w:hideMark/>
          </w:tcPr>
          <w:p w14:paraId="2ED3CFDB" w14:textId="77777777" w:rsidR="00011DE9" w:rsidRDefault="00011DE9">
            <w:pPr>
              <w:pStyle w:val="P68B1DB1-Normal19"/>
              <w:jc w:val="center"/>
              <w:rPr>
                <w:rFonts w:eastAsia="Times New Roman"/>
                <w:noProof/>
              </w:rPr>
            </w:pPr>
            <w:r>
              <w:rPr>
                <w:noProof/>
              </w:rPr>
              <w:t>2023</w:t>
            </w:r>
          </w:p>
        </w:tc>
        <w:tc>
          <w:tcPr>
            <w:tcW w:w="4857" w:type="dxa"/>
            <w:shd w:val="clear" w:color="auto" w:fill="C6EFCE"/>
            <w:hideMark/>
          </w:tcPr>
          <w:p w14:paraId="0ED9D9D5" w14:textId="77777777" w:rsidR="00011DE9" w:rsidRDefault="00011DE9">
            <w:pPr>
              <w:pStyle w:val="P68B1DB1-Normal19"/>
              <w:rPr>
                <w:noProof/>
              </w:rPr>
            </w:pPr>
            <w:r>
              <w:rPr>
                <w:noProof/>
              </w:rPr>
              <w:t>Semnarea acordului de punere în aplicare de către minister și SETT sau intrarea în vigoare a regulamentului și a oricăror documente conexe de instituire a mecanismului.</w:t>
            </w:r>
          </w:p>
        </w:tc>
      </w:tr>
      <w:tr w:rsidR="00011DE9" w14:paraId="46F77D5D" w14:textId="77777777">
        <w:trPr>
          <w:trHeight w:val="300"/>
        </w:trPr>
        <w:tc>
          <w:tcPr>
            <w:tcW w:w="830" w:type="dxa"/>
            <w:shd w:val="clear" w:color="auto" w:fill="C6EFCE"/>
          </w:tcPr>
          <w:p w14:paraId="7D683DA0" w14:textId="77777777" w:rsidR="00011DE9" w:rsidRDefault="00011DE9">
            <w:pPr>
              <w:pStyle w:val="P68B1DB1-Normal19"/>
              <w:jc w:val="center"/>
              <w:rPr>
                <w:noProof/>
              </w:rPr>
            </w:pPr>
            <w:r>
              <w:rPr>
                <w:noProof/>
              </w:rPr>
              <w:t>L65</w:t>
            </w:r>
          </w:p>
        </w:tc>
        <w:tc>
          <w:tcPr>
            <w:tcW w:w="972" w:type="dxa"/>
            <w:shd w:val="clear" w:color="auto" w:fill="C6EFCE"/>
          </w:tcPr>
          <w:p w14:paraId="2311273A" w14:textId="77777777" w:rsidR="00011DE9" w:rsidRDefault="00011DE9">
            <w:pPr>
              <w:pStyle w:val="P68B1DB1-Normal19"/>
              <w:jc w:val="center"/>
              <w:rPr>
                <w:noProof/>
              </w:rPr>
            </w:pPr>
            <w:r>
              <w:rPr>
                <w:noProof/>
              </w:rPr>
              <w:t>C15.I9</w:t>
            </w:r>
          </w:p>
        </w:tc>
        <w:tc>
          <w:tcPr>
            <w:tcW w:w="972" w:type="dxa"/>
            <w:shd w:val="clear" w:color="auto" w:fill="C6EFCE"/>
          </w:tcPr>
          <w:p w14:paraId="641A9889" w14:textId="77777777" w:rsidR="00011DE9" w:rsidRDefault="00011DE9">
            <w:pPr>
              <w:pStyle w:val="P68B1DB1-Normal19"/>
              <w:jc w:val="center"/>
              <w:rPr>
                <w:rFonts w:eastAsia="Times New Roman"/>
                <w:noProof/>
              </w:rPr>
            </w:pPr>
            <w:r>
              <w:rPr>
                <w:noProof/>
              </w:rPr>
              <w:t>M</w:t>
            </w:r>
          </w:p>
        </w:tc>
        <w:tc>
          <w:tcPr>
            <w:tcW w:w="1667" w:type="dxa"/>
            <w:shd w:val="clear" w:color="auto" w:fill="C6EFCE"/>
          </w:tcPr>
          <w:p w14:paraId="6B5AB003" w14:textId="77777777" w:rsidR="00011DE9" w:rsidRDefault="00011DE9">
            <w:pPr>
              <w:pStyle w:val="P68B1DB1-Normal19"/>
              <w:rPr>
                <w:rFonts w:eastAsia="Times New Roman"/>
                <w:noProof/>
              </w:rPr>
            </w:pPr>
            <w:r>
              <w:rPr>
                <w:noProof/>
              </w:rPr>
              <w:t>Mecanismul de finanțare a cipurilor: Acorduri juridice semnate cu beneficiarii finali și finalizarea investiției</w:t>
            </w:r>
          </w:p>
        </w:tc>
        <w:tc>
          <w:tcPr>
            <w:tcW w:w="1251" w:type="dxa"/>
            <w:shd w:val="clear" w:color="auto" w:fill="C6EFCE"/>
          </w:tcPr>
          <w:p w14:paraId="111F40AE" w14:textId="77777777" w:rsidR="00011DE9" w:rsidRDefault="00011DE9">
            <w:pPr>
              <w:pStyle w:val="P68B1DB1-Normal22"/>
              <w:rPr>
                <w:noProof/>
              </w:rPr>
            </w:pPr>
            <w:r>
              <w:rPr>
                <w:noProof/>
              </w:rPr>
              <w:t>Acorduri de finanțare legală și certificat de transfer</w:t>
            </w:r>
          </w:p>
        </w:tc>
        <w:tc>
          <w:tcPr>
            <w:tcW w:w="695" w:type="dxa"/>
            <w:shd w:val="clear" w:color="auto" w:fill="C6EFCE"/>
          </w:tcPr>
          <w:p w14:paraId="770101BD" w14:textId="77777777" w:rsidR="00011DE9" w:rsidRDefault="00011DE9">
            <w:pPr>
              <w:rPr>
                <w:rFonts w:ascii="Times New Roman" w:hAnsi="Times New Roman" w:cs="Times New Roman"/>
                <w:noProof/>
                <w:sz w:val="18"/>
                <w:szCs w:val="18"/>
              </w:rPr>
            </w:pPr>
          </w:p>
        </w:tc>
        <w:tc>
          <w:tcPr>
            <w:tcW w:w="972" w:type="dxa"/>
            <w:shd w:val="clear" w:color="auto" w:fill="C6EFCE"/>
          </w:tcPr>
          <w:p w14:paraId="7CACA824" w14:textId="77777777" w:rsidR="00011DE9" w:rsidRDefault="00011DE9">
            <w:pPr>
              <w:jc w:val="center"/>
              <w:rPr>
                <w:rFonts w:ascii="Times New Roman" w:eastAsia="Times New Roman" w:hAnsi="Times New Roman" w:cs="Times New Roman"/>
                <w:noProof/>
                <w:sz w:val="18"/>
                <w:szCs w:val="18"/>
              </w:rPr>
            </w:pPr>
          </w:p>
        </w:tc>
        <w:tc>
          <w:tcPr>
            <w:tcW w:w="694" w:type="dxa"/>
            <w:shd w:val="clear" w:color="auto" w:fill="C6EFCE"/>
          </w:tcPr>
          <w:p w14:paraId="06BB7048" w14:textId="77777777" w:rsidR="00011DE9" w:rsidRDefault="00011DE9">
            <w:pPr>
              <w:jc w:val="center"/>
              <w:rPr>
                <w:rFonts w:ascii="Times New Roman" w:eastAsia="Times New Roman" w:hAnsi="Times New Roman" w:cs="Times New Roman"/>
                <w:noProof/>
                <w:sz w:val="18"/>
                <w:szCs w:val="18"/>
              </w:rPr>
            </w:pPr>
          </w:p>
        </w:tc>
        <w:tc>
          <w:tcPr>
            <w:tcW w:w="418" w:type="dxa"/>
            <w:shd w:val="clear" w:color="auto" w:fill="C6EFCE"/>
          </w:tcPr>
          <w:p w14:paraId="5FCF2FBA" w14:textId="2DCB82D9" w:rsidR="00011DE9" w:rsidRDefault="005701C9">
            <w:pPr>
              <w:pStyle w:val="P68B1DB1-Normal19"/>
              <w:jc w:val="center"/>
              <w:rPr>
                <w:noProof/>
              </w:rPr>
            </w:pPr>
            <w:r>
              <w:rPr>
                <w:noProof/>
              </w:rPr>
              <w:t>T2</w:t>
            </w:r>
          </w:p>
        </w:tc>
        <w:tc>
          <w:tcPr>
            <w:tcW w:w="556" w:type="dxa"/>
            <w:shd w:val="clear" w:color="auto" w:fill="C6EFCE"/>
          </w:tcPr>
          <w:p w14:paraId="2A66EDE7" w14:textId="77777777" w:rsidR="00011DE9" w:rsidRDefault="00011DE9">
            <w:pPr>
              <w:pStyle w:val="P68B1DB1-Normal19"/>
              <w:jc w:val="center"/>
              <w:rPr>
                <w:noProof/>
              </w:rPr>
            </w:pPr>
            <w:r>
              <w:rPr>
                <w:noProof/>
              </w:rPr>
              <w:t>2026</w:t>
            </w:r>
          </w:p>
        </w:tc>
        <w:tc>
          <w:tcPr>
            <w:tcW w:w="4857" w:type="dxa"/>
            <w:shd w:val="clear" w:color="auto" w:fill="C6EFCE"/>
          </w:tcPr>
          <w:p w14:paraId="49C19002" w14:textId="77777777" w:rsidR="00011DE9" w:rsidRDefault="00011DE9">
            <w:pPr>
              <w:pStyle w:val="P68B1DB1-Normal19"/>
              <w:rPr>
                <w:noProof/>
              </w:rPr>
            </w:pPr>
            <w:r>
              <w:rPr>
                <w:noProof/>
              </w:rPr>
              <w:t>Mecanismul trebuie să fi încheiat acorduri juridice de finanțare cu beneficiarii finali pentru o sumă necesară pentru a utiliza 100 % din investițiile MRR în mecanism (ținând seama de comisioanele de gestionare).</w:t>
            </w:r>
          </w:p>
          <w:p w14:paraId="21BE7572" w14:textId="77777777" w:rsidR="00011DE9" w:rsidRDefault="00011DE9">
            <w:pPr>
              <w:pStyle w:val="P68B1DB1-Normal19"/>
              <w:rPr>
                <w:noProof/>
              </w:rPr>
            </w:pPr>
            <w:r>
              <w:rPr>
                <w:noProof/>
              </w:rPr>
              <w:t>SETT elaborează un raport în care detaliază faptul că cel puțin 100 % din această finanțare contribuie la obiectivele tranziției digitale utilizând metodologia din anexa VII la Regulamentul privind MRR.</w:t>
            </w:r>
          </w:p>
          <w:p w14:paraId="22AC4C4A" w14:textId="77777777" w:rsidR="00011DE9" w:rsidRDefault="00011DE9">
            <w:pPr>
              <w:rPr>
                <w:rFonts w:ascii="Times New Roman" w:hAnsi="Times New Roman" w:cs="Times New Roman"/>
                <w:noProof/>
                <w:sz w:val="18"/>
                <w:szCs w:val="18"/>
              </w:rPr>
            </w:pPr>
            <w:r>
              <w:rPr>
                <w:rFonts w:ascii="Times New Roman" w:hAnsi="Times New Roman"/>
                <w:noProof/>
                <w:sz w:val="18"/>
              </w:rPr>
              <w:t>Spania transferă</w:t>
            </w:r>
            <w:r>
              <w:rPr>
                <w:rFonts w:ascii="Times New Roman" w:hAnsi="Times New Roman"/>
                <w:noProof/>
                <w:sz w:val="20"/>
              </w:rPr>
              <w:t xml:space="preserve"> </w:t>
            </w:r>
            <w:r>
              <w:rPr>
                <w:rFonts w:ascii="Times New Roman" w:hAnsi="Times New Roman"/>
                <w:noProof/>
                <w:sz w:val="18"/>
              </w:rPr>
              <w:t>920</w:t>
            </w:r>
            <w:r>
              <w:rPr>
                <w:rFonts w:ascii="Times New Roman" w:hAnsi="Times New Roman"/>
                <w:noProof/>
                <w:sz w:val="20"/>
              </w:rPr>
              <w:t xml:space="preserve"> </w:t>
            </w:r>
            <w:r>
              <w:rPr>
                <w:rFonts w:ascii="Times New Roman" w:hAnsi="Times New Roman"/>
                <w:noProof/>
                <w:sz w:val="18"/>
              </w:rPr>
              <w:t>000</w:t>
            </w:r>
            <w:r>
              <w:rPr>
                <w:rFonts w:ascii="Times New Roman" w:hAnsi="Times New Roman"/>
                <w:noProof/>
                <w:sz w:val="20"/>
              </w:rPr>
              <w:t xml:space="preserve"> </w:t>
            </w:r>
            <w:r>
              <w:rPr>
                <w:rFonts w:ascii="Times New Roman" w:hAnsi="Times New Roman"/>
                <w:noProof/>
                <w:sz w:val="18"/>
              </w:rPr>
              <w:t>000 EUR către SETT pentru facilitate</w:t>
            </w:r>
            <w:r>
              <w:rPr>
                <w:rFonts w:ascii="Times New Roman" w:hAnsi="Times New Roman" w:cs="Times New Roman"/>
                <w:noProof/>
                <w:sz w:val="18"/>
                <w:szCs w:val="18"/>
              </w:rPr>
              <w:t>.</w:t>
            </w:r>
          </w:p>
        </w:tc>
      </w:tr>
    </w:tbl>
    <w:p w14:paraId="1F912165" w14:textId="77777777" w:rsidR="00011DE9" w:rsidRDefault="00011DE9">
      <w:pPr>
        <w:rPr>
          <w:noProof/>
        </w:rPr>
        <w:sectPr w:rsidR="00011DE9" w:rsidSect="00011DE9">
          <w:headerReference w:type="even" r:id="rId220"/>
          <w:headerReference w:type="default" r:id="rId221"/>
          <w:footerReference w:type="even" r:id="rId222"/>
          <w:footerReference w:type="default" r:id="rId223"/>
          <w:headerReference w:type="first" r:id="rId224"/>
          <w:footerReference w:type="first" r:id="rId225"/>
          <w:pgSz w:w="16839" w:h="11907" w:orient="landscape"/>
          <w:pgMar w:top="1134" w:right="1134" w:bottom="1134" w:left="1134" w:header="567" w:footer="567" w:gutter="0"/>
          <w:cols w:space="720"/>
          <w:docGrid w:linePitch="360"/>
        </w:sectPr>
      </w:pPr>
    </w:p>
    <w:p w14:paraId="1DBAD38B" w14:textId="77777777" w:rsidR="00011DE9" w:rsidRDefault="00011DE9">
      <w:pPr>
        <w:pStyle w:val="Heading1"/>
        <w:rPr>
          <w:rFonts w:cs="Times New Roman"/>
          <w:noProof/>
        </w:rPr>
      </w:pPr>
      <w:r>
        <w:rPr>
          <w:noProof/>
        </w:rPr>
        <w:t>P. COMPONENTA 16: Inteligența artificială</w:t>
      </w:r>
    </w:p>
    <w:p w14:paraId="235249A6" w14:textId="77777777" w:rsidR="00011DE9" w:rsidRDefault="00011DE9">
      <w:pPr>
        <w:pStyle w:val="P68B1DB1-Normal16"/>
        <w:spacing w:before="120" w:after="120" w:line="240" w:lineRule="auto"/>
        <w:jc w:val="both"/>
        <w:rPr>
          <w:rFonts w:cs="Times New Roman"/>
          <w:noProof/>
        </w:rPr>
      </w:pPr>
      <w:r>
        <w:rPr>
          <w:noProof/>
        </w:rPr>
        <w:t xml:space="preserve">Inteligența artificială (IA) are un potențial semnificativ de transformare din punct de vedere tehnologic, economic și social, având în vedere pătrunderea sa transsectorială, impactul său ridicat, creșterea rapidă și contribuția sa la îmbunătățirea productivității și a competitivității. </w:t>
      </w:r>
    </w:p>
    <w:p w14:paraId="26E02A17" w14:textId="77777777" w:rsidR="00011DE9" w:rsidRDefault="00011DE9">
      <w:pPr>
        <w:pStyle w:val="P68B1DB1-Normal16"/>
        <w:spacing w:before="120" w:after="120" w:line="240" w:lineRule="auto"/>
        <w:jc w:val="both"/>
        <w:rPr>
          <w:rFonts w:cs="Times New Roman"/>
          <w:noProof/>
        </w:rPr>
      </w:pPr>
      <w:r>
        <w:rPr>
          <w:noProof/>
        </w:rPr>
        <w:t>Principalele provocări abordate de această componentă a planului spaniol de redresare și reziliență se referă la: (I) utilizarea limitată a IA în întreprinderi, în special în IMM-uri, (ii) crearea de depozite de date accesibile pe scară largă și (iii) promovarea investițiilor publice și private în inovarea în domeniul IA. Componenta este structurată în jurul Strategiei naționale privind inteligența artificială (ENIA), care este unul dintre principalele planuri ale agendei digitale a guvernului spaniol (</w:t>
      </w:r>
      <w:r>
        <w:rPr>
          <w:i/>
          <w:noProof/>
        </w:rPr>
        <w:t>España Digital 2025</w:t>
      </w:r>
      <w:r>
        <w:rPr>
          <w:noProof/>
        </w:rPr>
        <w:t xml:space="preserve">). Această componentă contribuie, de asemenea, la abordarea provocărilor cu care se confruntă societatea, în special reducerea disparității de gen (prin acțiuni care vizează femeile), decalajul digital, tranziția ecologică, precum și coeziunea teritorială. </w:t>
      </w:r>
    </w:p>
    <w:p w14:paraId="00BB8475" w14:textId="77777777" w:rsidR="00011DE9" w:rsidRDefault="00011DE9">
      <w:pPr>
        <w:pStyle w:val="P68B1DB1-Normal16"/>
        <w:spacing w:before="120" w:after="120" w:line="240" w:lineRule="auto"/>
        <w:jc w:val="both"/>
        <w:rPr>
          <w:rFonts w:cs="Times New Roman"/>
          <w:noProof/>
        </w:rPr>
      </w:pPr>
      <w:r>
        <w:rPr>
          <w:noProof/>
        </w:rPr>
        <w:t xml:space="preserve">Din această perspectivă, obiectivul acestei componente este: </w:t>
      </w:r>
    </w:p>
    <w:p w14:paraId="34D536A6" w14:textId="77777777" w:rsidR="00011DE9" w:rsidRDefault="00011DE9">
      <w:pPr>
        <w:pStyle w:val="P68B1DB1-Normal16"/>
        <w:numPr>
          <w:ilvl w:val="0"/>
          <w:numId w:val="130"/>
        </w:numPr>
        <w:spacing w:before="120" w:after="120" w:line="240" w:lineRule="auto"/>
        <w:ind w:left="426" w:hanging="426"/>
        <w:jc w:val="both"/>
        <w:rPr>
          <w:rFonts w:cs="Times New Roman"/>
          <w:noProof/>
        </w:rPr>
      </w:pPr>
      <w:r>
        <w:rPr>
          <w:noProof/>
        </w:rPr>
        <w:t>poziționarea Spaniei ca țară lider în ceea ce privește excelența științifică și inovarea în domeniul IA într-un mod interdisciplinar;</w:t>
      </w:r>
    </w:p>
    <w:p w14:paraId="729E5658" w14:textId="77777777" w:rsidR="00011DE9" w:rsidRDefault="00011DE9">
      <w:pPr>
        <w:pStyle w:val="P68B1DB1-Normal16"/>
        <w:numPr>
          <w:ilvl w:val="0"/>
          <w:numId w:val="130"/>
        </w:numPr>
        <w:spacing w:before="120" w:after="120" w:line="240" w:lineRule="auto"/>
        <w:ind w:left="426" w:hanging="426"/>
        <w:jc w:val="both"/>
        <w:rPr>
          <w:rFonts w:cs="Times New Roman"/>
          <w:noProof/>
        </w:rPr>
      </w:pPr>
      <w:r>
        <w:rPr>
          <w:noProof/>
        </w:rPr>
        <w:t>asumarea unui rol de lider la nivel mondial în dezvoltarea de instrumente, tehnologii și aplicații pentru proiectarea și utilizarea limbii spaniole în IA;</w:t>
      </w:r>
    </w:p>
    <w:p w14:paraId="3F6363B8" w14:textId="77777777" w:rsidR="00011DE9" w:rsidRDefault="00011DE9">
      <w:pPr>
        <w:pStyle w:val="P68B1DB1-Normal16"/>
        <w:numPr>
          <w:ilvl w:val="0"/>
          <w:numId w:val="130"/>
        </w:numPr>
        <w:spacing w:before="120" w:after="120" w:line="240" w:lineRule="auto"/>
        <w:ind w:left="426" w:hanging="426"/>
        <w:jc w:val="both"/>
        <w:rPr>
          <w:rFonts w:cs="Times New Roman"/>
          <w:noProof/>
        </w:rPr>
      </w:pPr>
      <w:r>
        <w:rPr>
          <w:noProof/>
        </w:rPr>
        <w:t>să promoveze crearea de locuri de muncă calificate, stimularea formării și a educației, stimularea talentelor spaniole și atragerea talentelor la nivel mondial;</w:t>
      </w:r>
    </w:p>
    <w:p w14:paraId="62F561BC" w14:textId="77777777" w:rsidR="00011DE9" w:rsidRDefault="00011DE9">
      <w:pPr>
        <w:pStyle w:val="P68B1DB1-Normal16"/>
        <w:numPr>
          <w:ilvl w:val="0"/>
          <w:numId w:val="130"/>
        </w:numPr>
        <w:spacing w:before="120" w:after="120" w:line="240" w:lineRule="auto"/>
        <w:ind w:left="426" w:hanging="426"/>
        <w:jc w:val="both"/>
        <w:rPr>
          <w:rFonts w:cs="Times New Roman"/>
          <w:noProof/>
        </w:rPr>
      </w:pPr>
      <w:r>
        <w:rPr>
          <w:noProof/>
        </w:rPr>
        <w:t>să integreze IA ca factor de îmbunătățire a productivității sectorului privat spaniol, a eficienței administrației publice și ca motor al creșterii economice durabile și favorabile incluziunii;</w:t>
      </w:r>
    </w:p>
    <w:p w14:paraId="7AB3459B" w14:textId="77777777" w:rsidR="00011DE9" w:rsidRDefault="00011DE9">
      <w:pPr>
        <w:pStyle w:val="P68B1DB1-Normal16"/>
        <w:numPr>
          <w:ilvl w:val="0"/>
          <w:numId w:val="130"/>
        </w:numPr>
        <w:spacing w:before="120" w:after="120" w:line="240" w:lineRule="auto"/>
        <w:ind w:left="426" w:hanging="426"/>
        <w:jc w:val="both"/>
        <w:rPr>
          <w:rFonts w:cs="Times New Roman"/>
          <w:noProof/>
        </w:rPr>
      </w:pPr>
      <w:r>
        <w:rPr>
          <w:noProof/>
        </w:rPr>
        <w:t>crearea unui mediu de încredere în ceea ce privește IA, atât în ceea ce privește dezvoltarea tehnologică, reglementarea, cât și impactul social;</w:t>
      </w:r>
    </w:p>
    <w:p w14:paraId="4A82431E" w14:textId="77777777" w:rsidR="00011DE9" w:rsidRDefault="00011DE9">
      <w:pPr>
        <w:pStyle w:val="P68B1DB1-Normal16"/>
        <w:numPr>
          <w:ilvl w:val="0"/>
          <w:numId w:val="130"/>
        </w:numPr>
        <w:spacing w:before="120" w:after="120" w:line="240" w:lineRule="auto"/>
        <w:ind w:left="426" w:hanging="426"/>
        <w:jc w:val="both"/>
        <w:rPr>
          <w:rFonts w:cs="Times New Roman"/>
          <w:noProof/>
        </w:rPr>
      </w:pPr>
      <w:r>
        <w:rPr>
          <w:noProof/>
        </w:rPr>
        <w:t>să stimuleze dezbaterea globală privind umanismul tehnologic prin crearea și participarea la forumuri și activități de informare pentru dezvoltarea unui cadru etic care să garanteze drepturile individuale și colective ale cetățenilor;</w:t>
      </w:r>
    </w:p>
    <w:p w14:paraId="0255C0D3" w14:textId="77777777" w:rsidR="00011DE9" w:rsidRDefault="00011DE9">
      <w:pPr>
        <w:pStyle w:val="P68B1DB1-Normal16"/>
        <w:numPr>
          <w:ilvl w:val="0"/>
          <w:numId w:val="130"/>
        </w:numPr>
        <w:spacing w:before="120" w:after="120" w:line="240" w:lineRule="auto"/>
        <w:ind w:left="426" w:hanging="426"/>
        <w:jc w:val="both"/>
        <w:rPr>
          <w:rFonts w:cs="Times New Roman"/>
          <w:noProof/>
        </w:rPr>
      </w:pPr>
      <w:r>
        <w:rPr>
          <w:noProof/>
        </w:rPr>
        <w:t>capacitarea IA ca vector transversal pentru a aborda marile provocări ale societății și, în special, pentru a reduce disparitatea de gen și decalajul digital, pentru a sprijini tranziția ecologică și coeziunea teritorială.</w:t>
      </w:r>
    </w:p>
    <w:p w14:paraId="2ED319D9" w14:textId="77777777" w:rsidR="00011DE9" w:rsidRDefault="00011DE9">
      <w:pPr>
        <w:pStyle w:val="P68B1DB1-Normal16"/>
        <w:spacing w:before="120" w:after="120" w:line="240" w:lineRule="auto"/>
        <w:jc w:val="both"/>
        <w:rPr>
          <w:rFonts w:cs="Times New Roman"/>
          <w:noProof/>
        </w:rPr>
      </w:pPr>
      <w:r>
        <w:rPr>
          <w:noProof/>
        </w:rPr>
        <w:t>Această componentă abordează recomandările specifice fiecărei țări privind promovarea investițiilor în inovare (Recomandarea specifică fiecărei țări 3 2019), îmbunătățirea accesului la învățarea digitală (Recomandarea specifică fiecărei țări 2 2020) și promovarea investițiilor publice și private și încurajarea tranziției digitale (Recomandarea specifică fiecărei țări 3 2020).</w:t>
      </w:r>
    </w:p>
    <w:p w14:paraId="73936057" w14:textId="77777777" w:rsidR="00011DE9" w:rsidRDefault="00011DE9">
      <w:pPr>
        <w:pStyle w:val="P68B1DB1-Normal16"/>
        <w:spacing w:before="120" w:after="120" w:line="240" w:lineRule="auto"/>
        <w:jc w:val="both"/>
        <w:rPr>
          <w:rFonts w:cs="Times New Roman"/>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77E3D786" w14:textId="77777777" w:rsidR="00011DE9" w:rsidRDefault="00011DE9">
      <w:pPr>
        <w:pStyle w:val="P68B1DB1-Heading227"/>
        <w:rPr>
          <w:bCs/>
          <w:noProof/>
        </w:rPr>
      </w:pPr>
      <w:r>
        <w:rPr>
          <w:noProof/>
        </w:rPr>
        <w:t>P.1. Descrierea reformelor și a investițiilor pentru sprijinul financiar nerambursabil</w:t>
      </w:r>
    </w:p>
    <w:p w14:paraId="7AD01B80" w14:textId="77777777" w:rsidR="00011DE9" w:rsidRDefault="00011DE9">
      <w:pPr>
        <w:rPr>
          <w:rFonts w:ascii="Times New Roman" w:eastAsia="Times New Roman" w:hAnsi="Times New Roman" w:cs="Times New Roman"/>
          <w:noProof/>
          <w:u w:val="single"/>
        </w:rPr>
      </w:pPr>
      <w:r>
        <w:rPr>
          <w:rFonts w:ascii="Times New Roman" w:eastAsia="Times New Roman" w:hAnsi="Times New Roman" w:cs="Times New Roman"/>
          <w:noProof/>
          <w:u w:val="single"/>
        </w:rPr>
        <w:t>Reforma 1 (C16.</w:t>
      </w:r>
      <w:r>
        <w:rPr>
          <w:noProof/>
        </w:rPr>
        <w:t xml:space="preserve"> R</w:t>
      </w:r>
      <w:r>
        <w:rPr>
          <w:rFonts w:ascii="Times New Roman" w:eastAsia="Times New Roman" w:hAnsi="Times New Roman" w:cs="Times New Roman"/>
          <w:noProof/>
          <w:u w:val="single"/>
        </w:rPr>
        <w:t xml:space="preserve"> 1) – Strategia națională privind IA</w:t>
      </w:r>
    </w:p>
    <w:p w14:paraId="1CBBE607" w14:textId="77777777" w:rsidR="00011DE9" w:rsidRDefault="00011DE9">
      <w:pPr>
        <w:pStyle w:val="P68B1DB1-Normal16"/>
        <w:rPr>
          <w:noProof/>
        </w:rPr>
      </w:pPr>
      <w:r>
        <w:rPr>
          <w:noProof/>
        </w:rPr>
        <w:t xml:space="preserve">Obiectivul acestei măsuri este de a publica strategia națională în domeniul IA și de a pune în aplicare proiecte de IA. Măsura constă în acțiuni de instituire a unui spațiu de testare în materie de reglementare, de aprobare a statutului Agencia Española de Supervisión de Inteligencia Artificial („AESIA”) și de sprijinire a proiectelor privind inteligența artificială și tehnologiile cuantice. </w:t>
      </w:r>
    </w:p>
    <w:p w14:paraId="6F745D00" w14:textId="77777777" w:rsidR="00011DE9" w:rsidRDefault="00011DE9">
      <w:pPr>
        <w:pStyle w:val="P68B1DB1-Normal17"/>
        <w:rPr>
          <w:noProof/>
        </w:rPr>
      </w:pPr>
      <w:r>
        <w:rPr>
          <w:noProof/>
        </w:rPr>
        <w:t>Investiții C16.I1: Contribuții voluntare la întreprinderea comună EuroHPC pentru gigafabricile de IA sau infrastructura de IA echivalentă și pentru dezvoltarea inițiativelor în domeniul tehnologiei cuantice</w:t>
      </w:r>
    </w:p>
    <w:p w14:paraId="5E20CD9F" w14:textId="77777777" w:rsidR="00011DE9" w:rsidRDefault="00011DE9">
      <w:pPr>
        <w:pStyle w:val="P68B1DB1-Normal16"/>
        <w:rPr>
          <w:noProof/>
        </w:rPr>
      </w:pPr>
      <w:r>
        <w:rPr>
          <w:noProof/>
        </w:rPr>
        <w:t xml:space="preserve">Această măsură urmărește să sprijine înființarea de către Spania a gigafabricilor de inteligență artificială și accesul Spaniei la acestea și la serviciile lor. Măsura constă într-o contribuție voluntară de 300 000 000 EUR la întreprinderea comună EuroHPC, pentru a oferi sprijin financiar unei gigafabrici de IA sau unor inițiative echivalente în domeniul infrastructurii de IA și al tehnologiei cuantice care urmează să fie dezvoltate și instituite în Uniune. </w:t>
      </w:r>
    </w:p>
    <w:p w14:paraId="2B7D3A15" w14:textId="0128C1AD" w:rsidR="00011DE9" w:rsidRDefault="00011DE9">
      <w:pPr>
        <w:rPr>
          <w:noProof/>
        </w:rPr>
      </w:pPr>
      <w:r>
        <w:rPr>
          <w:rFonts w:ascii="Times New Roman" w:hAnsi="Times New Roman"/>
          <w:b/>
          <w:noProof/>
          <w:u w:val="single"/>
        </w:rPr>
        <w:t>P.2.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7E2A11FD" w14:textId="77777777" w:rsidR="00011DE9" w:rsidRDefault="00011DE9">
      <w:pPr>
        <w:pStyle w:val="P68B1DB1-Normal16"/>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2F01195D" w14:textId="77777777" w:rsidR="00011DE9" w:rsidRDefault="00011DE9">
      <w:pPr>
        <w:spacing w:before="120" w:after="120" w:line="240" w:lineRule="auto"/>
        <w:jc w:val="both"/>
        <w:rPr>
          <w:rFonts w:ascii="Times New Roman" w:hAnsi="Times New Roman" w:cs="Times New Roman"/>
          <w:b/>
          <w:noProof/>
          <w:u w:val="single"/>
        </w:rPr>
      </w:pPr>
    </w:p>
    <w:p w14:paraId="5836C167" w14:textId="77777777" w:rsidR="00011DE9" w:rsidRDefault="00011DE9">
      <w:pPr>
        <w:spacing w:before="120" w:after="120" w:line="240" w:lineRule="auto"/>
        <w:ind w:left="709"/>
        <w:jc w:val="both"/>
        <w:rPr>
          <w:rFonts w:ascii="Times New Roman" w:hAnsi="Times New Roman" w:cs="Times New Roman"/>
          <w:noProof/>
        </w:rPr>
        <w:sectPr w:rsidR="00011DE9" w:rsidSect="00011DE9">
          <w:headerReference w:type="default" r:id="rId226"/>
          <w:footerReference w:type="default" r:id="rId227"/>
          <w:pgSz w:w="11907" w:h="16839"/>
          <w:pgMar w:top="1134" w:right="1134" w:bottom="1134" w:left="1134" w:header="567" w:footer="567" w:gutter="0"/>
          <w:cols w:space="720"/>
          <w:docGrid w:linePitch="360"/>
        </w:sectPr>
      </w:pPr>
    </w:p>
    <w:tbl>
      <w:tblPr>
        <w:tblW w:w="15452"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014"/>
        <w:gridCol w:w="1846"/>
        <w:gridCol w:w="705"/>
        <w:gridCol w:w="851"/>
        <w:gridCol w:w="792"/>
        <w:gridCol w:w="553"/>
        <w:gridCol w:w="930"/>
        <w:gridCol w:w="5271"/>
      </w:tblGrid>
      <w:tr w:rsidR="00011DE9" w:rsidRPr="00A636A7" w14:paraId="4B64F148" w14:textId="77777777">
        <w:trPr>
          <w:trHeight w:val="300"/>
          <w:tblHeader/>
        </w:trPr>
        <w:tc>
          <w:tcPr>
            <w:tcW w:w="833" w:type="dxa"/>
            <w:vMerge w:val="restart"/>
            <w:shd w:val="clear" w:color="auto" w:fill="B7D4EF"/>
            <w:noWrap/>
            <w:vAlign w:val="center"/>
          </w:tcPr>
          <w:p w14:paraId="47A6643C" w14:textId="77777777" w:rsidR="00011DE9" w:rsidRPr="00A636A7" w:rsidRDefault="00011DE9">
            <w:pPr>
              <w:pStyle w:val="P68B1DB1-Normal18"/>
              <w:spacing w:after="0" w:line="240" w:lineRule="auto"/>
              <w:jc w:val="center"/>
              <w:rPr>
                <w:rFonts w:cs="Times New Roman"/>
                <w:noProof/>
                <w:sz w:val="20"/>
                <w:szCs w:val="20"/>
              </w:rPr>
            </w:pPr>
            <w:r w:rsidRPr="00A636A7">
              <w:rPr>
                <w:noProof/>
                <w:sz w:val="20"/>
                <w:szCs w:val="20"/>
              </w:rPr>
              <w:t>Număr</w:t>
            </w:r>
          </w:p>
        </w:tc>
        <w:tc>
          <w:tcPr>
            <w:tcW w:w="829" w:type="dxa"/>
            <w:vMerge w:val="restart"/>
            <w:shd w:val="clear" w:color="auto" w:fill="B7D4EF"/>
            <w:noWrap/>
            <w:vAlign w:val="center"/>
          </w:tcPr>
          <w:p w14:paraId="55602724" w14:textId="77777777" w:rsidR="00011DE9" w:rsidRPr="00A636A7" w:rsidRDefault="00011DE9">
            <w:pPr>
              <w:pStyle w:val="P68B1DB1-Normal18"/>
              <w:spacing w:after="0" w:line="240" w:lineRule="auto"/>
              <w:jc w:val="center"/>
              <w:rPr>
                <w:rFonts w:cs="Times New Roman"/>
                <w:noProof/>
                <w:sz w:val="20"/>
                <w:szCs w:val="20"/>
              </w:rPr>
            </w:pPr>
            <w:r w:rsidRPr="00A636A7">
              <w:rPr>
                <w:noProof/>
                <w:sz w:val="20"/>
                <w:szCs w:val="20"/>
              </w:rPr>
              <w:t>Măsură</w:t>
            </w:r>
          </w:p>
        </w:tc>
        <w:tc>
          <w:tcPr>
            <w:tcW w:w="828" w:type="dxa"/>
            <w:vMerge w:val="restart"/>
            <w:shd w:val="clear" w:color="auto" w:fill="B7D4EF"/>
            <w:noWrap/>
            <w:vAlign w:val="center"/>
          </w:tcPr>
          <w:p w14:paraId="64CA65A5" w14:textId="2F7B2C10" w:rsidR="00011DE9" w:rsidRPr="00A636A7" w:rsidRDefault="00011DE9">
            <w:pPr>
              <w:spacing w:after="0" w:line="240" w:lineRule="auto"/>
              <w:jc w:val="center"/>
              <w:rPr>
                <w:rFonts w:ascii="Times New Roman" w:hAnsi="Times New Roman" w:cs="Times New Roman"/>
                <w:b/>
                <w:noProof/>
                <w:sz w:val="20"/>
                <w:szCs w:val="20"/>
              </w:rPr>
            </w:pPr>
            <w:r w:rsidRPr="00A636A7">
              <w:rPr>
                <w:rFonts w:ascii="Times New Roman" w:hAnsi="Times New Roman"/>
                <w:b/>
                <w:noProof/>
                <w:sz w:val="20"/>
                <w:szCs w:val="20"/>
              </w:rPr>
              <w:t>Etapă</w:t>
            </w:r>
            <w:r w:rsidR="00971820" w:rsidRPr="00A636A7">
              <w:rPr>
                <w:noProof/>
                <w:sz w:val="20"/>
                <w:szCs w:val="20"/>
              </w:rPr>
              <w:t xml:space="preserve"> </w:t>
            </w:r>
            <w:r w:rsidRPr="00A636A7">
              <w:rPr>
                <w:noProof/>
                <w:sz w:val="20"/>
                <w:szCs w:val="20"/>
              </w:rPr>
              <w:br/>
            </w:r>
            <w:r w:rsidRPr="00A636A7">
              <w:rPr>
                <w:rFonts w:ascii="Times New Roman" w:hAnsi="Times New Roman"/>
                <w:b/>
                <w:noProof/>
                <w:sz w:val="20"/>
                <w:szCs w:val="20"/>
              </w:rPr>
              <w:t xml:space="preserve"> /Țintei</w:t>
            </w:r>
          </w:p>
        </w:tc>
        <w:tc>
          <w:tcPr>
            <w:tcW w:w="2014" w:type="dxa"/>
            <w:vMerge w:val="restart"/>
            <w:shd w:val="clear" w:color="auto" w:fill="B7D4EF"/>
            <w:noWrap/>
            <w:vAlign w:val="center"/>
          </w:tcPr>
          <w:p w14:paraId="43AA556A" w14:textId="77777777" w:rsidR="00011DE9" w:rsidRPr="00A636A7" w:rsidRDefault="00011DE9">
            <w:pPr>
              <w:pStyle w:val="P68B1DB1-Normal18"/>
              <w:spacing w:after="0" w:line="240" w:lineRule="auto"/>
              <w:jc w:val="center"/>
              <w:rPr>
                <w:rFonts w:cs="Times New Roman"/>
                <w:noProof/>
                <w:sz w:val="20"/>
                <w:szCs w:val="20"/>
              </w:rPr>
            </w:pPr>
            <w:r w:rsidRPr="00A636A7">
              <w:rPr>
                <w:noProof/>
                <w:sz w:val="20"/>
                <w:szCs w:val="20"/>
              </w:rPr>
              <w:t>Nume</w:t>
            </w:r>
          </w:p>
        </w:tc>
        <w:tc>
          <w:tcPr>
            <w:tcW w:w="1846" w:type="dxa"/>
            <w:vMerge w:val="restart"/>
            <w:shd w:val="clear" w:color="auto" w:fill="B7D4EF"/>
            <w:noWrap/>
            <w:vAlign w:val="center"/>
          </w:tcPr>
          <w:p w14:paraId="789BA19D" w14:textId="77777777" w:rsidR="00011DE9" w:rsidRPr="00A636A7" w:rsidRDefault="00011DE9">
            <w:pPr>
              <w:pStyle w:val="P68B1DB1-Normal18"/>
              <w:spacing w:after="0" w:line="240" w:lineRule="auto"/>
              <w:jc w:val="center"/>
              <w:rPr>
                <w:rFonts w:cs="Times New Roman"/>
                <w:noProof/>
                <w:sz w:val="20"/>
                <w:szCs w:val="20"/>
              </w:rPr>
            </w:pPr>
            <w:r w:rsidRPr="00A636A7">
              <w:rPr>
                <w:noProof/>
                <w:sz w:val="20"/>
                <w:szCs w:val="20"/>
              </w:rPr>
              <w:t>Indicator calitativ pentru jaloane</w:t>
            </w:r>
          </w:p>
        </w:tc>
        <w:tc>
          <w:tcPr>
            <w:tcW w:w="2348" w:type="dxa"/>
            <w:gridSpan w:val="3"/>
            <w:shd w:val="clear" w:color="auto" w:fill="B7D4EF"/>
            <w:noWrap/>
            <w:vAlign w:val="center"/>
          </w:tcPr>
          <w:p w14:paraId="059409A3" w14:textId="77777777" w:rsidR="00011DE9" w:rsidRPr="00A636A7" w:rsidRDefault="00011DE9">
            <w:pPr>
              <w:pStyle w:val="P68B1DB1-Normal18"/>
              <w:spacing w:after="0" w:line="240" w:lineRule="auto"/>
              <w:jc w:val="center"/>
              <w:rPr>
                <w:rFonts w:cs="Times New Roman"/>
                <w:noProof/>
                <w:sz w:val="20"/>
                <w:szCs w:val="20"/>
              </w:rPr>
            </w:pPr>
            <w:r w:rsidRPr="00A636A7">
              <w:rPr>
                <w:noProof/>
                <w:sz w:val="20"/>
                <w:szCs w:val="20"/>
              </w:rPr>
              <w:t>Indicator cantitativ pentru ținte</w:t>
            </w:r>
          </w:p>
        </w:tc>
        <w:tc>
          <w:tcPr>
            <w:tcW w:w="1483" w:type="dxa"/>
            <w:gridSpan w:val="2"/>
            <w:shd w:val="clear" w:color="auto" w:fill="B7D4EF"/>
            <w:noWrap/>
          </w:tcPr>
          <w:p w14:paraId="1B426099" w14:textId="77777777" w:rsidR="00011DE9" w:rsidRPr="00A636A7" w:rsidRDefault="00011DE9">
            <w:pPr>
              <w:pStyle w:val="P68B1DB1-Normal18"/>
              <w:spacing w:after="0" w:line="240" w:lineRule="auto"/>
              <w:jc w:val="center"/>
              <w:rPr>
                <w:rFonts w:cs="Times New Roman"/>
                <w:noProof/>
                <w:sz w:val="20"/>
                <w:szCs w:val="20"/>
              </w:rPr>
            </w:pPr>
            <w:r w:rsidRPr="00A636A7">
              <w:rPr>
                <w:noProof/>
                <w:sz w:val="20"/>
                <w:szCs w:val="20"/>
              </w:rPr>
              <w:t>Timp</w:t>
            </w:r>
          </w:p>
        </w:tc>
        <w:tc>
          <w:tcPr>
            <w:tcW w:w="5271" w:type="dxa"/>
            <w:vMerge w:val="restart"/>
            <w:shd w:val="clear" w:color="auto" w:fill="B7D4EF"/>
            <w:noWrap/>
            <w:vAlign w:val="center"/>
          </w:tcPr>
          <w:p w14:paraId="5C8091C4" w14:textId="77777777" w:rsidR="00011DE9" w:rsidRPr="00A636A7" w:rsidRDefault="00011DE9">
            <w:pPr>
              <w:pStyle w:val="P68B1DB1-Normal18"/>
              <w:spacing w:after="0" w:line="240" w:lineRule="auto"/>
              <w:jc w:val="center"/>
              <w:rPr>
                <w:rFonts w:cs="Times New Roman"/>
                <w:noProof/>
                <w:sz w:val="20"/>
                <w:szCs w:val="20"/>
              </w:rPr>
            </w:pPr>
            <w:r w:rsidRPr="00A636A7">
              <w:rPr>
                <w:noProof/>
                <w:sz w:val="20"/>
                <w:szCs w:val="20"/>
              </w:rPr>
              <w:t>Descrierea fiecărui jalon și a fiecărei ținte</w:t>
            </w:r>
          </w:p>
        </w:tc>
      </w:tr>
      <w:tr w:rsidR="00011DE9" w:rsidRPr="00A636A7" w14:paraId="5C950E62" w14:textId="77777777" w:rsidTr="00A636A7">
        <w:trPr>
          <w:trHeight w:val="300"/>
          <w:tblHeader/>
        </w:trPr>
        <w:tc>
          <w:tcPr>
            <w:tcW w:w="833" w:type="dxa"/>
            <w:vMerge/>
            <w:noWrap/>
          </w:tcPr>
          <w:p w14:paraId="7A893244" w14:textId="77777777" w:rsidR="00011DE9" w:rsidRPr="00A636A7" w:rsidRDefault="00011DE9">
            <w:pPr>
              <w:spacing w:after="0" w:line="240" w:lineRule="auto"/>
              <w:jc w:val="center"/>
              <w:rPr>
                <w:rFonts w:ascii="Times New Roman" w:hAnsi="Times New Roman" w:cs="Times New Roman"/>
                <w:b/>
                <w:noProof/>
                <w:sz w:val="20"/>
                <w:szCs w:val="20"/>
              </w:rPr>
            </w:pPr>
          </w:p>
        </w:tc>
        <w:tc>
          <w:tcPr>
            <w:tcW w:w="829" w:type="dxa"/>
            <w:vMerge/>
            <w:noWrap/>
          </w:tcPr>
          <w:p w14:paraId="7C5A561B" w14:textId="77777777" w:rsidR="00011DE9" w:rsidRPr="00A636A7" w:rsidRDefault="00011DE9">
            <w:pPr>
              <w:spacing w:after="0" w:line="240" w:lineRule="auto"/>
              <w:jc w:val="center"/>
              <w:rPr>
                <w:rFonts w:ascii="Times New Roman" w:hAnsi="Times New Roman" w:cs="Times New Roman"/>
                <w:b/>
                <w:noProof/>
                <w:sz w:val="20"/>
                <w:szCs w:val="20"/>
              </w:rPr>
            </w:pPr>
          </w:p>
        </w:tc>
        <w:tc>
          <w:tcPr>
            <w:tcW w:w="828" w:type="dxa"/>
            <w:vMerge/>
            <w:noWrap/>
          </w:tcPr>
          <w:p w14:paraId="30A6504E" w14:textId="77777777" w:rsidR="00011DE9" w:rsidRPr="00A636A7" w:rsidRDefault="00011DE9">
            <w:pPr>
              <w:spacing w:after="0" w:line="240" w:lineRule="auto"/>
              <w:jc w:val="center"/>
              <w:rPr>
                <w:rFonts w:ascii="Times New Roman" w:hAnsi="Times New Roman" w:cs="Times New Roman"/>
                <w:b/>
                <w:noProof/>
                <w:sz w:val="20"/>
                <w:szCs w:val="20"/>
              </w:rPr>
            </w:pPr>
          </w:p>
        </w:tc>
        <w:tc>
          <w:tcPr>
            <w:tcW w:w="2014" w:type="dxa"/>
            <w:vMerge/>
            <w:noWrap/>
          </w:tcPr>
          <w:p w14:paraId="77639BF8" w14:textId="77777777" w:rsidR="00011DE9" w:rsidRPr="00A636A7" w:rsidRDefault="00011DE9">
            <w:pPr>
              <w:spacing w:after="0" w:line="240" w:lineRule="auto"/>
              <w:rPr>
                <w:rFonts w:ascii="Times New Roman" w:hAnsi="Times New Roman" w:cs="Times New Roman"/>
                <w:b/>
                <w:noProof/>
                <w:sz w:val="20"/>
                <w:szCs w:val="20"/>
              </w:rPr>
            </w:pPr>
          </w:p>
        </w:tc>
        <w:tc>
          <w:tcPr>
            <w:tcW w:w="1846" w:type="dxa"/>
            <w:vMerge/>
            <w:noWrap/>
          </w:tcPr>
          <w:p w14:paraId="43637EEA" w14:textId="77777777" w:rsidR="00011DE9" w:rsidRPr="00A636A7" w:rsidRDefault="00011DE9">
            <w:pPr>
              <w:spacing w:after="0" w:line="240" w:lineRule="auto"/>
              <w:jc w:val="center"/>
              <w:rPr>
                <w:rFonts w:ascii="Times New Roman" w:hAnsi="Times New Roman" w:cs="Times New Roman"/>
                <w:b/>
                <w:noProof/>
                <w:sz w:val="20"/>
                <w:szCs w:val="20"/>
              </w:rPr>
            </w:pPr>
          </w:p>
        </w:tc>
        <w:tc>
          <w:tcPr>
            <w:tcW w:w="705" w:type="dxa"/>
            <w:shd w:val="clear" w:color="auto" w:fill="B7D4EF"/>
            <w:noWrap/>
          </w:tcPr>
          <w:p w14:paraId="5B08C0BB" w14:textId="77777777" w:rsidR="00011DE9" w:rsidRPr="00A636A7" w:rsidRDefault="00011DE9">
            <w:pPr>
              <w:pStyle w:val="P68B1DB1-Normal18"/>
              <w:spacing w:after="0" w:line="240" w:lineRule="auto"/>
              <w:jc w:val="center"/>
              <w:rPr>
                <w:rFonts w:cs="Times New Roman"/>
                <w:noProof/>
                <w:sz w:val="20"/>
                <w:szCs w:val="20"/>
              </w:rPr>
            </w:pPr>
            <w:r w:rsidRPr="00A636A7">
              <w:rPr>
                <w:noProof/>
                <w:sz w:val="20"/>
                <w:szCs w:val="20"/>
              </w:rPr>
              <w:t>Unitate</w:t>
            </w:r>
          </w:p>
        </w:tc>
        <w:tc>
          <w:tcPr>
            <w:tcW w:w="851" w:type="dxa"/>
            <w:shd w:val="clear" w:color="auto" w:fill="B7D4EF"/>
            <w:noWrap/>
          </w:tcPr>
          <w:p w14:paraId="79D6AB15" w14:textId="77777777" w:rsidR="00011DE9" w:rsidRPr="00A636A7" w:rsidRDefault="00011DE9">
            <w:pPr>
              <w:pStyle w:val="P68B1DB1-Normal18"/>
              <w:spacing w:after="0" w:line="240" w:lineRule="auto"/>
              <w:jc w:val="center"/>
              <w:rPr>
                <w:rFonts w:cs="Times New Roman"/>
                <w:noProof/>
                <w:sz w:val="20"/>
                <w:szCs w:val="20"/>
              </w:rPr>
            </w:pPr>
            <w:r w:rsidRPr="00A636A7">
              <w:rPr>
                <w:noProof/>
                <w:sz w:val="20"/>
                <w:szCs w:val="20"/>
              </w:rPr>
              <w:t>Situația de referință</w:t>
            </w:r>
          </w:p>
        </w:tc>
        <w:tc>
          <w:tcPr>
            <w:tcW w:w="792" w:type="dxa"/>
            <w:shd w:val="clear" w:color="auto" w:fill="B7D4EF"/>
            <w:noWrap/>
          </w:tcPr>
          <w:p w14:paraId="3B6E4D13" w14:textId="77777777" w:rsidR="00011DE9" w:rsidRPr="00A636A7" w:rsidRDefault="00011DE9">
            <w:pPr>
              <w:pStyle w:val="P68B1DB1-Normal18"/>
              <w:spacing w:after="0" w:line="240" w:lineRule="auto"/>
              <w:jc w:val="center"/>
              <w:rPr>
                <w:rFonts w:cs="Times New Roman"/>
                <w:noProof/>
                <w:sz w:val="20"/>
                <w:szCs w:val="20"/>
              </w:rPr>
            </w:pPr>
            <w:r w:rsidRPr="00A636A7">
              <w:rPr>
                <w:noProof/>
                <w:sz w:val="20"/>
                <w:szCs w:val="20"/>
              </w:rPr>
              <w:t>Obiectiv</w:t>
            </w:r>
          </w:p>
        </w:tc>
        <w:tc>
          <w:tcPr>
            <w:tcW w:w="553" w:type="dxa"/>
            <w:shd w:val="clear" w:color="auto" w:fill="B7D4EF"/>
            <w:noWrap/>
          </w:tcPr>
          <w:p w14:paraId="118FA2E7" w14:textId="0F367B88" w:rsidR="00011DE9" w:rsidRPr="00A636A7" w:rsidRDefault="00A636A7">
            <w:pPr>
              <w:pStyle w:val="P68B1DB1-Normal18"/>
              <w:spacing w:after="0" w:line="240" w:lineRule="auto"/>
              <w:jc w:val="center"/>
              <w:rPr>
                <w:rFonts w:cs="Times New Roman"/>
                <w:noProof/>
                <w:sz w:val="20"/>
                <w:szCs w:val="20"/>
              </w:rPr>
            </w:pPr>
            <w:r w:rsidRPr="00A636A7">
              <w:rPr>
                <w:noProof/>
                <w:sz w:val="20"/>
                <w:szCs w:val="20"/>
              </w:rPr>
              <w:t>T</w:t>
            </w:r>
          </w:p>
        </w:tc>
        <w:tc>
          <w:tcPr>
            <w:tcW w:w="930" w:type="dxa"/>
            <w:shd w:val="clear" w:color="auto" w:fill="B7D4EF"/>
            <w:noWrap/>
          </w:tcPr>
          <w:p w14:paraId="4E6938F5" w14:textId="77777777" w:rsidR="00011DE9" w:rsidRPr="00A636A7" w:rsidRDefault="00011DE9">
            <w:pPr>
              <w:pStyle w:val="P68B1DB1-Normal18"/>
              <w:spacing w:after="0" w:line="240" w:lineRule="auto"/>
              <w:jc w:val="center"/>
              <w:rPr>
                <w:rFonts w:cs="Times New Roman"/>
                <w:noProof/>
                <w:sz w:val="20"/>
                <w:szCs w:val="20"/>
              </w:rPr>
            </w:pPr>
            <w:r w:rsidRPr="00A636A7">
              <w:rPr>
                <w:noProof/>
                <w:sz w:val="20"/>
                <w:szCs w:val="20"/>
              </w:rPr>
              <w:t>Anul</w:t>
            </w:r>
          </w:p>
        </w:tc>
        <w:tc>
          <w:tcPr>
            <w:tcW w:w="5271" w:type="dxa"/>
            <w:vMerge/>
            <w:noWrap/>
          </w:tcPr>
          <w:p w14:paraId="35BADBF5" w14:textId="77777777" w:rsidR="00011DE9" w:rsidRPr="00A636A7" w:rsidRDefault="00011DE9">
            <w:pPr>
              <w:spacing w:after="0" w:line="240" w:lineRule="auto"/>
              <w:rPr>
                <w:rFonts w:ascii="Times New Roman" w:hAnsi="Times New Roman" w:cs="Times New Roman"/>
                <w:b/>
                <w:noProof/>
                <w:sz w:val="20"/>
                <w:szCs w:val="20"/>
              </w:rPr>
            </w:pPr>
          </w:p>
        </w:tc>
      </w:tr>
      <w:tr w:rsidR="00011DE9" w:rsidRPr="00A636A7" w14:paraId="0E797C2F" w14:textId="77777777" w:rsidTr="00A636A7">
        <w:trPr>
          <w:trHeight w:val="300"/>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5D55B146" w14:textId="77777777" w:rsidR="00011DE9" w:rsidRPr="00A636A7" w:rsidRDefault="00011DE9">
            <w:pPr>
              <w:pStyle w:val="P68B1DB1-Normal20"/>
              <w:spacing w:after="0" w:line="240" w:lineRule="auto"/>
              <w:jc w:val="center"/>
              <w:rPr>
                <w:rFonts w:eastAsia="Times New Roman" w:cs="Times New Roman"/>
                <w:noProof/>
                <w:sz w:val="20"/>
                <w:szCs w:val="20"/>
              </w:rPr>
            </w:pPr>
            <w:r w:rsidRPr="00A636A7">
              <w:rPr>
                <w:noProof/>
                <w:sz w:val="20"/>
                <w:szCs w:val="20"/>
              </w:rPr>
              <w:t>249</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3B7EA4F2" w14:textId="77777777" w:rsidR="00011DE9" w:rsidRPr="00A636A7" w:rsidRDefault="00011DE9">
            <w:pPr>
              <w:pStyle w:val="P68B1DB1-Normal20"/>
              <w:spacing w:after="0" w:line="240" w:lineRule="auto"/>
              <w:jc w:val="center"/>
              <w:rPr>
                <w:rFonts w:eastAsia="Times New Roman" w:cs="Times New Roman"/>
                <w:noProof/>
                <w:sz w:val="20"/>
                <w:szCs w:val="20"/>
              </w:rPr>
            </w:pPr>
            <w:r w:rsidRPr="00A636A7">
              <w:rPr>
                <w:noProof/>
                <w:sz w:val="20"/>
                <w:szCs w:val="20"/>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048A9B94" w14:textId="77777777" w:rsidR="00011DE9" w:rsidRPr="00A636A7" w:rsidRDefault="00011DE9">
            <w:pPr>
              <w:pStyle w:val="P68B1DB1-Normal20"/>
              <w:spacing w:after="0" w:line="240" w:lineRule="auto"/>
              <w:jc w:val="center"/>
              <w:rPr>
                <w:rFonts w:eastAsia="Times New Roman" w:cs="Times New Roman"/>
                <w:noProof/>
                <w:sz w:val="20"/>
                <w:szCs w:val="20"/>
              </w:rPr>
            </w:pPr>
            <w:r w:rsidRPr="00A636A7">
              <w:rPr>
                <w:noProof/>
                <w:sz w:val="20"/>
                <w:szCs w:val="20"/>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547F3111" w14:textId="77777777" w:rsidR="00011DE9" w:rsidRPr="00A636A7" w:rsidRDefault="00011DE9">
            <w:pPr>
              <w:pStyle w:val="P68B1DB1-Normal20"/>
              <w:spacing w:after="0" w:line="240" w:lineRule="auto"/>
              <w:rPr>
                <w:rFonts w:eastAsia="Times New Roman" w:cs="Times New Roman"/>
                <w:noProof/>
                <w:sz w:val="20"/>
                <w:szCs w:val="20"/>
              </w:rPr>
            </w:pPr>
            <w:r w:rsidRPr="00A636A7">
              <w:rPr>
                <w:noProof/>
                <w:sz w:val="20"/>
                <w:szCs w:val="20"/>
              </w:rPr>
              <w:t xml:space="preserve">Strategia națională pentru inteligența artificială </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2E8A2AC6" w14:textId="77777777" w:rsidR="00011DE9" w:rsidRPr="00A636A7" w:rsidRDefault="00011DE9">
            <w:pPr>
              <w:pStyle w:val="P68B1DB1-Normal20"/>
              <w:spacing w:after="0" w:line="240" w:lineRule="auto"/>
              <w:jc w:val="center"/>
              <w:rPr>
                <w:rFonts w:eastAsia="Times New Roman" w:cs="Times New Roman"/>
                <w:noProof/>
                <w:sz w:val="20"/>
                <w:szCs w:val="20"/>
              </w:rPr>
            </w:pPr>
            <w:r w:rsidRPr="00A636A7">
              <w:rPr>
                <w:noProof/>
                <w:sz w:val="20"/>
                <w:szCs w:val="20"/>
              </w:rPr>
              <w:t>Publicarea în JO</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0597C05B" w14:textId="77777777" w:rsidR="00011DE9" w:rsidRPr="00A636A7" w:rsidRDefault="00011DE9">
            <w:pPr>
              <w:pStyle w:val="P68B1DB1-Normal20"/>
              <w:spacing w:after="0" w:line="240" w:lineRule="auto"/>
              <w:jc w:val="center"/>
              <w:rPr>
                <w:rFonts w:eastAsia="Times New Roman" w:cs="Times New Roman"/>
                <w:noProof/>
                <w:sz w:val="20"/>
                <w:szCs w:val="20"/>
              </w:rPr>
            </w:pPr>
            <w:r w:rsidRPr="00A636A7">
              <w:rPr>
                <w:noProof/>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9BB0F0B" w14:textId="77777777" w:rsidR="00011DE9" w:rsidRPr="00A636A7" w:rsidRDefault="00011DE9">
            <w:pPr>
              <w:pStyle w:val="P68B1DB1-Normal20"/>
              <w:spacing w:after="0" w:line="240" w:lineRule="auto"/>
              <w:jc w:val="right"/>
              <w:rPr>
                <w:rFonts w:eastAsia="Times New Roman" w:cs="Times New Roman"/>
                <w:noProof/>
                <w:sz w:val="20"/>
                <w:szCs w:val="20"/>
              </w:rPr>
            </w:pPr>
            <w:r w:rsidRPr="00A636A7">
              <w:rPr>
                <w:noProof/>
                <w:sz w:val="20"/>
                <w:szCs w:val="20"/>
              </w:rPr>
              <w:t xml:space="preserve"> </w:t>
            </w:r>
          </w:p>
        </w:tc>
        <w:tc>
          <w:tcPr>
            <w:tcW w:w="792" w:type="dxa"/>
            <w:tcBorders>
              <w:top w:val="single" w:sz="4" w:space="0" w:color="auto"/>
              <w:left w:val="single" w:sz="4" w:space="0" w:color="auto"/>
              <w:bottom w:val="single" w:sz="4" w:space="0" w:color="auto"/>
              <w:right w:val="single" w:sz="4" w:space="0" w:color="auto"/>
            </w:tcBorders>
            <w:shd w:val="clear" w:color="auto" w:fill="C6EFCE"/>
            <w:noWrap/>
          </w:tcPr>
          <w:p w14:paraId="083CE461" w14:textId="77777777" w:rsidR="00011DE9" w:rsidRPr="00A636A7" w:rsidRDefault="00011DE9">
            <w:pPr>
              <w:pStyle w:val="P68B1DB1-Normal20"/>
              <w:spacing w:after="0" w:line="240" w:lineRule="auto"/>
              <w:jc w:val="right"/>
              <w:rPr>
                <w:rFonts w:eastAsia="Times New Roman" w:cs="Times New Roman"/>
                <w:noProof/>
                <w:sz w:val="20"/>
                <w:szCs w:val="20"/>
              </w:rPr>
            </w:pPr>
            <w:r w:rsidRPr="00A636A7">
              <w:rPr>
                <w:noProof/>
                <w:sz w:val="20"/>
                <w:szCs w:val="20"/>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23120660" w14:textId="08F90BCF" w:rsidR="00011DE9" w:rsidRPr="00A636A7" w:rsidRDefault="005701C9">
            <w:pPr>
              <w:pStyle w:val="P68B1DB1-Normal20"/>
              <w:spacing w:after="0" w:line="240" w:lineRule="auto"/>
              <w:jc w:val="center"/>
              <w:rPr>
                <w:rFonts w:eastAsia="Times New Roman" w:cs="Times New Roman"/>
                <w:noProof/>
                <w:sz w:val="20"/>
                <w:szCs w:val="20"/>
              </w:rPr>
            </w:pPr>
            <w:r w:rsidRPr="00A636A7">
              <w:rPr>
                <w:noProof/>
                <w:sz w:val="20"/>
                <w:szCs w:val="20"/>
              </w:rPr>
              <w:t>T3</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058B6001" w14:textId="77777777" w:rsidR="00011DE9" w:rsidRPr="00A636A7" w:rsidRDefault="00011DE9">
            <w:pPr>
              <w:pStyle w:val="P68B1DB1-Normal20"/>
              <w:spacing w:after="0" w:line="240" w:lineRule="auto"/>
              <w:jc w:val="center"/>
              <w:rPr>
                <w:rFonts w:eastAsia="Times New Roman" w:cs="Times New Roman"/>
                <w:noProof/>
                <w:sz w:val="20"/>
                <w:szCs w:val="20"/>
              </w:rPr>
            </w:pPr>
            <w:r w:rsidRPr="00A636A7">
              <w:rPr>
                <w:noProof/>
                <w:sz w:val="20"/>
                <w:szCs w:val="20"/>
              </w:rPr>
              <w:t>2020</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4EEEB2A5" w14:textId="5F04AFDC" w:rsidR="00011DE9" w:rsidRPr="00A636A7" w:rsidRDefault="00011DE9">
            <w:pPr>
              <w:spacing w:after="0" w:line="240" w:lineRule="auto"/>
              <w:rPr>
                <w:rFonts w:ascii="Times New Roman" w:hAnsi="Times New Roman"/>
                <w:noProof/>
                <w:sz w:val="20"/>
                <w:szCs w:val="20"/>
              </w:rPr>
            </w:pPr>
            <w:r w:rsidRPr="00A636A7">
              <w:rPr>
                <w:rFonts w:ascii="Times New Roman" w:hAnsi="Times New Roman"/>
                <w:noProof/>
                <w:sz w:val="20"/>
                <w:szCs w:val="20"/>
              </w:rPr>
              <w:t>Publicarea Strategiei naționale privind IA. Strategia are următoarele obiective:</w:t>
            </w:r>
            <w:r w:rsidR="00971820" w:rsidRPr="00A636A7">
              <w:rPr>
                <w:rFonts w:ascii="Times New Roman" w:hAnsi="Times New Roman"/>
                <w:noProof/>
                <w:sz w:val="20"/>
                <w:szCs w:val="20"/>
              </w:rPr>
              <w:t xml:space="preserve"> </w:t>
            </w:r>
            <w:r w:rsidRPr="00A636A7">
              <w:rPr>
                <w:noProof/>
                <w:sz w:val="20"/>
                <w:szCs w:val="20"/>
              </w:rPr>
              <w:t xml:space="preserve"> </w:t>
            </w:r>
            <w:r w:rsidRPr="00A636A7">
              <w:rPr>
                <w:noProof/>
                <w:sz w:val="20"/>
                <w:szCs w:val="20"/>
              </w:rPr>
              <w:br/>
            </w:r>
            <w:r w:rsidRPr="00A636A7">
              <w:rPr>
                <w:rFonts w:ascii="Times New Roman" w:hAnsi="Times New Roman"/>
                <w:noProof/>
                <w:sz w:val="20"/>
                <w:szCs w:val="20"/>
              </w:rPr>
              <w:t>1. Poziționarea Spaniei ca țară angajată în promovarea excelenței științifice și a inovării în domeniul IA.</w:t>
            </w:r>
            <w:r w:rsidR="00971820" w:rsidRPr="00A636A7">
              <w:rPr>
                <w:noProof/>
                <w:sz w:val="20"/>
                <w:szCs w:val="20"/>
              </w:rPr>
              <w:t xml:space="preserve"> </w:t>
            </w:r>
            <w:r w:rsidRPr="00A636A7">
              <w:rPr>
                <w:noProof/>
                <w:sz w:val="20"/>
                <w:szCs w:val="20"/>
              </w:rPr>
              <w:br/>
            </w:r>
            <w:r w:rsidRPr="00A636A7">
              <w:rPr>
                <w:rFonts w:ascii="Times New Roman" w:hAnsi="Times New Roman"/>
                <w:noProof/>
                <w:sz w:val="20"/>
                <w:szCs w:val="20"/>
              </w:rPr>
              <w:t>2. Proiecția limbii spaniole în IA.</w:t>
            </w:r>
            <w:r w:rsidR="00971820" w:rsidRPr="00A636A7">
              <w:rPr>
                <w:rFonts w:ascii="Times New Roman" w:hAnsi="Times New Roman"/>
                <w:noProof/>
                <w:sz w:val="20"/>
                <w:szCs w:val="20"/>
              </w:rPr>
              <w:t xml:space="preserve"> </w:t>
            </w:r>
            <w:r w:rsidRPr="00A636A7">
              <w:rPr>
                <w:noProof/>
                <w:sz w:val="20"/>
                <w:szCs w:val="20"/>
              </w:rPr>
              <w:br/>
            </w:r>
            <w:r w:rsidRPr="00A636A7">
              <w:rPr>
                <w:rFonts w:ascii="Times New Roman" w:hAnsi="Times New Roman"/>
                <w:noProof/>
                <w:sz w:val="20"/>
                <w:szCs w:val="20"/>
              </w:rPr>
              <w:t>3. Crearea de locuri de muncă calificate, stimularea și atragerea talentelor, acordând o atenție deosebită femeilor.</w:t>
            </w:r>
            <w:r w:rsidR="00971820" w:rsidRPr="00A636A7">
              <w:rPr>
                <w:noProof/>
                <w:sz w:val="20"/>
                <w:szCs w:val="20"/>
              </w:rPr>
              <w:t xml:space="preserve"> </w:t>
            </w:r>
            <w:r w:rsidRPr="00A636A7">
              <w:rPr>
                <w:noProof/>
                <w:sz w:val="20"/>
                <w:szCs w:val="20"/>
              </w:rPr>
              <w:br/>
            </w:r>
            <w:r w:rsidRPr="00A636A7">
              <w:rPr>
                <w:rFonts w:ascii="Times New Roman" w:hAnsi="Times New Roman"/>
                <w:noProof/>
                <w:sz w:val="20"/>
                <w:szCs w:val="20"/>
              </w:rPr>
              <w:t>4. Încorporarea IA în sistemul de producție pentru a îmbunătăți productivitatea întreprinderilor spaniole.</w:t>
            </w:r>
            <w:r w:rsidR="00971820" w:rsidRPr="00A636A7">
              <w:rPr>
                <w:noProof/>
                <w:sz w:val="20"/>
                <w:szCs w:val="20"/>
              </w:rPr>
              <w:t xml:space="preserve"> </w:t>
            </w:r>
            <w:r w:rsidRPr="00A636A7">
              <w:rPr>
                <w:noProof/>
                <w:sz w:val="20"/>
                <w:szCs w:val="20"/>
              </w:rPr>
              <w:br/>
            </w:r>
            <w:r w:rsidRPr="00A636A7">
              <w:rPr>
                <w:rFonts w:ascii="Times New Roman" w:hAnsi="Times New Roman"/>
                <w:noProof/>
                <w:sz w:val="20"/>
                <w:szCs w:val="20"/>
              </w:rPr>
              <w:t>5. Crearea unui mediu de încredere în ceea ce privește IA.</w:t>
            </w:r>
            <w:r w:rsidR="00971820" w:rsidRPr="00A636A7">
              <w:rPr>
                <w:noProof/>
                <w:sz w:val="20"/>
                <w:szCs w:val="20"/>
              </w:rPr>
              <w:t xml:space="preserve"> </w:t>
            </w:r>
            <w:r w:rsidRPr="00A636A7">
              <w:rPr>
                <w:noProof/>
                <w:sz w:val="20"/>
                <w:szCs w:val="20"/>
              </w:rPr>
              <w:br/>
            </w:r>
            <w:r w:rsidRPr="00A636A7">
              <w:rPr>
                <w:rFonts w:ascii="Times New Roman" w:hAnsi="Times New Roman"/>
                <w:noProof/>
                <w:sz w:val="20"/>
                <w:szCs w:val="20"/>
              </w:rPr>
              <w:t>6. Dezvoltarea unui cadru etic care să garanteze drepturile individuale și colective ale cetățenilor în domeniul IA.</w:t>
            </w:r>
            <w:r w:rsidR="00971820" w:rsidRPr="00A636A7">
              <w:rPr>
                <w:noProof/>
                <w:sz w:val="20"/>
                <w:szCs w:val="20"/>
              </w:rPr>
              <w:t xml:space="preserve"> </w:t>
            </w:r>
            <w:r w:rsidRPr="00A636A7">
              <w:rPr>
                <w:noProof/>
                <w:sz w:val="20"/>
                <w:szCs w:val="20"/>
              </w:rPr>
              <w:br/>
            </w:r>
            <w:r w:rsidRPr="00A636A7">
              <w:rPr>
                <w:rFonts w:ascii="Times New Roman" w:hAnsi="Times New Roman"/>
                <w:noProof/>
                <w:sz w:val="20"/>
                <w:szCs w:val="20"/>
              </w:rPr>
              <w:t>7. Consolidarea unei IA durabile și favorabile incluziunii; în special pentru a reduce disparitatea de gen și decalajul digital și pentru a sprijini tranziția ecologică și coeziunea teritorială.</w:t>
            </w:r>
          </w:p>
          <w:p w14:paraId="36484B32" w14:textId="77777777" w:rsidR="00011DE9" w:rsidRPr="00A636A7" w:rsidRDefault="00011DE9">
            <w:pPr>
              <w:pStyle w:val="P68B1DB1-Normal22"/>
              <w:spacing w:after="0" w:line="240" w:lineRule="auto"/>
              <w:rPr>
                <w:noProof/>
                <w:sz w:val="20"/>
                <w:szCs w:val="20"/>
              </w:rPr>
            </w:pPr>
            <w:r w:rsidRPr="00A636A7">
              <w:rPr>
                <w:noProof/>
                <w:sz w:val="20"/>
                <w:szCs w:val="20"/>
              </w:rPr>
              <w:t>Publicarea pe site-ul oficial relevant este considerată un indicator calitativ al intrării în vigoare. </w:t>
            </w:r>
          </w:p>
        </w:tc>
      </w:tr>
      <w:tr w:rsidR="00011DE9" w:rsidRPr="00A636A7" w14:paraId="3E68E859" w14:textId="77777777" w:rsidTr="00A636A7">
        <w:trPr>
          <w:trHeight w:val="300"/>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659DC155" w14:textId="77777777" w:rsidR="00011DE9" w:rsidRPr="00A636A7" w:rsidRDefault="00011DE9">
            <w:pPr>
              <w:pStyle w:val="P68B1DB1-Normal20"/>
              <w:spacing w:after="0" w:line="240" w:lineRule="auto"/>
              <w:jc w:val="center"/>
              <w:rPr>
                <w:rFonts w:eastAsia="Times New Roman" w:cs="Times New Roman"/>
                <w:noProof/>
                <w:sz w:val="20"/>
                <w:szCs w:val="20"/>
              </w:rPr>
            </w:pPr>
            <w:r w:rsidRPr="00A636A7">
              <w:rPr>
                <w:noProof/>
                <w:sz w:val="20"/>
                <w:szCs w:val="20"/>
              </w:rPr>
              <w:t>250</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700EC4CD" w14:textId="77777777" w:rsidR="00011DE9" w:rsidRPr="00A636A7" w:rsidRDefault="00011DE9">
            <w:pPr>
              <w:pStyle w:val="P68B1DB1-Normal20"/>
              <w:spacing w:after="0" w:line="240" w:lineRule="auto"/>
              <w:jc w:val="center"/>
              <w:rPr>
                <w:rFonts w:eastAsia="Times New Roman" w:cs="Times New Roman"/>
                <w:noProof/>
                <w:sz w:val="20"/>
                <w:szCs w:val="20"/>
              </w:rPr>
            </w:pPr>
            <w:r w:rsidRPr="00A636A7">
              <w:rPr>
                <w:noProof/>
                <w:sz w:val="20"/>
                <w:szCs w:val="20"/>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01A0CE09" w14:textId="77777777" w:rsidR="00011DE9" w:rsidRPr="00A636A7" w:rsidRDefault="00011DE9">
            <w:pPr>
              <w:pStyle w:val="P68B1DB1-Normal20"/>
              <w:spacing w:after="0" w:line="240" w:lineRule="auto"/>
              <w:jc w:val="center"/>
              <w:rPr>
                <w:rFonts w:eastAsia="Times New Roman" w:cs="Times New Roman"/>
                <w:noProof/>
                <w:sz w:val="20"/>
                <w:szCs w:val="20"/>
              </w:rPr>
            </w:pPr>
            <w:r w:rsidRPr="00A636A7">
              <w:rPr>
                <w:noProof/>
                <w:sz w:val="20"/>
                <w:szCs w:val="20"/>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110CCF91" w14:textId="77777777" w:rsidR="00011DE9" w:rsidRPr="00A636A7" w:rsidRDefault="00011DE9">
            <w:pPr>
              <w:pStyle w:val="P68B1DB1-Normal20"/>
              <w:spacing w:after="0" w:line="240" w:lineRule="auto"/>
              <w:rPr>
                <w:rFonts w:eastAsia="Times New Roman" w:cs="Times New Roman"/>
                <w:noProof/>
                <w:sz w:val="20"/>
                <w:szCs w:val="20"/>
              </w:rPr>
            </w:pPr>
            <w:r w:rsidRPr="00A636A7">
              <w:rPr>
                <w:noProof/>
                <w:sz w:val="20"/>
                <w:szCs w:val="20"/>
              </w:rPr>
              <w:t>Carta drepturilor digitale</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3383AC2B" w14:textId="77777777" w:rsidR="00011DE9" w:rsidRPr="00A636A7" w:rsidRDefault="00011DE9">
            <w:pPr>
              <w:pStyle w:val="P68B1DB1-Normal20"/>
              <w:spacing w:after="0" w:line="240" w:lineRule="auto"/>
              <w:jc w:val="center"/>
              <w:rPr>
                <w:rFonts w:eastAsia="Times New Roman" w:cs="Times New Roman"/>
                <w:noProof/>
                <w:sz w:val="20"/>
                <w:szCs w:val="20"/>
              </w:rPr>
            </w:pPr>
            <w:r w:rsidRPr="00A636A7">
              <w:rPr>
                <w:noProof/>
                <w:sz w:val="20"/>
                <w:szCs w:val="20"/>
              </w:rPr>
              <w:t>Publicarea în JO</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5D70BF54" w14:textId="77777777" w:rsidR="00011DE9" w:rsidRPr="00A636A7" w:rsidRDefault="00011DE9">
            <w:pPr>
              <w:pStyle w:val="P68B1DB1-Normal20"/>
              <w:spacing w:after="0" w:line="240" w:lineRule="auto"/>
              <w:jc w:val="center"/>
              <w:rPr>
                <w:rFonts w:eastAsia="Times New Roman" w:cs="Times New Roman"/>
                <w:noProof/>
                <w:sz w:val="20"/>
                <w:szCs w:val="20"/>
              </w:rPr>
            </w:pPr>
            <w:r w:rsidRPr="00A636A7">
              <w:rPr>
                <w:noProof/>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968E992" w14:textId="77777777" w:rsidR="00011DE9" w:rsidRPr="00A636A7" w:rsidRDefault="00011DE9">
            <w:pPr>
              <w:pStyle w:val="P68B1DB1-Normal20"/>
              <w:spacing w:after="0" w:line="240" w:lineRule="auto"/>
              <w:jc w:val="right"/>
              <w:rPr>
                <w:rFonts w:eastAsia="Times New Roman" w:cs="Times New Roman"/>
                <w:noProof/>
                <w:sz w:val="20"/>
                <w:szCs w:val="20"/>
              </w:rPr>
            </w:pPr>
            <w:r w:rsidRPr="00A636A7">
              <w:rPr>
                <w:noProof/>
                <w:sz w:val="20"/>
                <w:szCs w:val="20"/>
              </w:rPr>
              <w:t xml:space="preserve"> </w:t>
            </w:r>
          </w:p>
        </w:tc>
        <w:tc>
          <w:tcPr>
            <w:tcW w:w="792" w:type="dxa"/>
            <w:tcBorders>
              <w:top w:val="single" w:sz="4" w:space="0" w:color="auto"/>
              <w:left w:val="single" w:sz="4" w:space="0" w:color="auto"/>
              <w:bottom w:val="single" w:sz="4" w:space="0" w:color="auto"/>
              <w:right w:val="single" w:sz="4" w:space="0" w:color="auto"/>
            </w:tcBorders>
            <w:shd w:val="clear" w:color="auto" w:fill="C6EFCE"/>
            <w:noWrap/>
          </w:tcPr>
          <w:p w14:paraId="58D56559" w14:textId="77777777" w:rsidR="00011DE9" w:rsidRPr="00A636A7" w:rsidRDefault="00011DE9">
            <w:pPr>
              <w:pStyle w:val="P68B1DB1-Normal20"/>
              <w:spacing w:after="0" w:line="240" w:lineRule="auto"/>
              <w:jc w:val="right"/>
              <w:rPr>
                <w:rFonts w:eastAsia="Times New Roman" w:cs="Times New Roman"/>
                <w:noProof/>
                <w:sz w:val="20"/>
                <w:szCs w:val="20"/>
              </w:rPr>
            </w:pPr>
            <w:r w:rsidRPr="00A636A7">
              <w:rPr>
                <w:noProof/>
                <w:sz w:val="20"/>
                <w:szCs w:val="20"/>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0D9DE2F9" w14:textId="3DA1A972" w:rsidR="00011DE9" w:rsidRPr="00A636A7" w:rsidRDefault="005701C9">
            <w:pPr>
              <w:pStyle w:val="P68B1DB1-Normal20"/>
              <w:spacing w:after="0" w:line="240" w:lineRule="auto"/>
              <w:jc w:val="center"/>
              <w:rPr>
                <w:rFonts w:eastAsia="Times New Roman" w:cs="Times New Roman"/>
                <w:noProof/>
                <w:sz w:val="20"/>
                <w:szCs w:val="20"/>
              </w:rPr>
            </w:pPr>
            <w:r w:rsidRPr="00A636A7">
              <w:rPr>
                <w:noProof/>
                <w:sz w:val="20"/>
                <w:szCs w:val="20"/>
              </w:rPr>
              <w:t>T4</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7D19238D" w14:textId="77777777" w:rsidR="00011DE9" w:rsidRPr="00A636A7" w:rsidRDefault="00011DE9">
            <w:pPr>
              <w:pStyle w:val="P68B1DB1-Normal20"/>
              <w:spacing w:after="0" w:line="240" w:lineRule="auto"/>
              <w:jc w:val="center"/>
              <w:rPr>
                <w:rFonts w:eastAsia="Times New Roman" w:cs="Times New Roman"/>
                <w:noProof/>
                <w:sz w:val="20"/>
                <w:szCs w:val="20"/>
              </w:rPr>
            </w:pPr>
            <w:r w:rsidRPr="00A636A7">
              <w:rPr>
                <w:noProof/>
                <w:sz w:val="20"/>
                <w:szCs w:val="20"/>
              </w:rPr>
              <w:t>2021</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4875C1CC" w14:textId="77777777" w:rsidR="00011DE9" w:rsidRPr="00A636A7" w:rsidRDefault="00011DE9">
            <w:pPr>
              <w:pStyle w:val="P68B1DB1-Normal20"/>
              <w:spacing w:after="0" w:line="240" w:lineRule="auto"/>
              <w:rPr>
                <w:noProof/>
                <w:sz w:val="20"/>
                <w:szCs w:val="20"/>
              </w:rPr>
            </w:pPr>
            <w:r w:rsidRPr="00A636A7">
              <w:rPr>
                <w:noProof/>
                <w:sz w:val="20"/>
                <w:szCs w:val="20"/>
              </w:rPr>
              <w:t xml:space="preserve">Adoptarea de către guvernul spaniol și publicarea pe pagina web oficială a Cartei drepturilor digitale. Carta nu are un caracter normativ, ci urmărește să recunoască noile provocări în materie de aplicare și interpretare pe care le prezintă adaptarea drepturilor la mediul digital și să sugereze principii și politici legate de acestea în acest context. În paralel, Comisia propune, de asemenea, un cadru de referință pentru acțiunea autorităților publice, valorificând și dezvoltând toate posibilitățile și oportunitățile oferite de mediul digital actual, evitând în același timp riscurile acestuia. </w:t>
            </w:r>
          </w:p>
          <w:p w14:paraId="68988666" w14:textId="77777777" w:rsidR="00011DE9" w:rsidRPr="00A636A7" w:rsidRDefault="00011DE9">
            <w:pPr>
              <w:pStyle w:val="P68B1DB1-Normal22"/>
              <w:spacing w:after="0" w:line="240" w:lineRule="auto"/>
              <w:rPr>
                <w:noProof/>
                <w:sz w:val="20"/>
                <w:szCs w:val="20"/>
              </w:rPr>
            </w:pPr>
            <w:r w:rsidRPr="00A636A7">
              <w:rPr>
                <w:noProof/>
                <w:sz w:val="20"/>
                <w:szCs w:val="20"/>
              </w:rPr>
              <w:t>Publicarea pe site-ul oficial relevant este considerată un indicator calitativ al intrării în vigoare. </w:t>
            </w:r>
          </w:p>
        </w:tc>
      </w:tr>
      <w:tr w:rsidR="00011DE9" w:rsidRPr="00A636A7" w14:paraId="3D83B2CF" w14:textId="77777777" w:rsidTr="00A636A7">
        <w:trPr>
          <w:trHeight w:val="300"/>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59A66A62" w14:textId="77777777" w:rsidR="00011DE9" w:rsidRPr="00A636A7" w:rsidRDefault="00011DE9">
            <w:pPr>
              <w:pStyle w:val="P68B1DB1-Normal19"/>
              <w:spacing w:after="0" w:line="240" w:lineRule="auto"/>
              <w:jc w:val="center"/>
              <w:rPr>
                <w:noProof/>
                <w:sz w:val="20"/>
                <w:szCs w:val="20"/>
              </w:rPr>
            </w:pPr>
            <w:r w:rsidRPr="00A636A7">
              <w:rPr>
                <w:noProof/>
                <w:sz w:val="20"/>
                <w:szCs w:val="20"/>
              </w:rPr>
              <w:t>458</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604C1973" w14:textId="77777777" w:rsidR="00011DE9" w:rsidRPr="00A636A7" w:rsidRDefault="00011DE9">
            <w:pPr>
              <w:pStyle w:val="P68B1DB1-Normal19"/>
              <w:spacing w:after="0" w:line="240" w:lineRule="auto"/>
              <w:jc w:val="center"/>
              <w:rPr>
                <w:noProof/>
                <w:sz w:val="20"/>
                <w:szCs w:val="20"/>
              </w:rPr>
            </w:pPr>
            <w:r w:rsidRPr="00A636A7">
              <w:rPr>
                <w:noProof/>
                <w:sz w:val="20"/>
                <w:szCs w:val="20"/>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62794789" w14:textId="77777777" w:rsidR="00011DE9" w:rsidRPr="00A636A7" w:rsidRDefault="00011DE9">
            <w:pPr>
              <w:pStyle w:val="P68B1DB1-Normal19"/>
              <w:spacing w:after="0" w:line="240" w:lineRule="auto"/>
              <w:jc w:val="center"/>
              <w:rPr>
                <w:noProof/>
                <w:sz w:val="20"/>
                <w:szCs w:val="20"/>
              </w:rPr>
            </w:pPr>
            <w:r w:rsidRPr="00A636A7">
              <w:rPr>
                <w:noProof/>
                <w:sz w:val="20"/>
                <w:szCs w:val="20"/>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61BA4F26" w14:textId="77777777" w:rsidR="00011DE9" w:rsidRPr="00A636A7" w:rsidRDefault="00011DE9">
            <w:pPr>
              <w:pStyle w:val="P68B1DB1-Normal20"/>
              <w:spacing w:after="0" w:line="240" w:lineRule="auto"/>
              <w:rPr>
                <w:rFonts w:cs="Times New Roman"/>
                <w:noProof/>
                <w:sz w:val="20"/>
                <w:szCs w:val="20"/>
              </w:rPr>
            </w:pPr>
            <w:r w:rsidRPr="00A636A7">
              <w:rPr>
                <w:noProof/>
                <w:sz w:val="20"/>
                <w:szCs w:val="20"/>
              </w:rPr>
              <w:t xml:space="preserve">Spațiul de testare în materie de reglementare și statutul Agencia Española de Supervisión de Inteligencia Artificial („AESIA”) </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437B52B9" w14:textId="77777777" w:rsidR="00011DE9" w:rsidRPr="00A636A7" w:rsidRDefault="00011DE9">
            <w:pPr>
              <w:pStyle w:val="P68B1DB1-Normal19"/>
              <w:spacing w:after="0" w:line="240" w:lineRule="auto"/>
              <w:jc w:val="center"/>
              <w:rPr>
                <w:noProof/>
                <w:sz w:val="20"/>
                <w:szCs w:val="20"/>
              </w:rPr>
            </w:pPr>
            <w:r w:rsidRPr="00A636A7">
              <w:rPr>
                <w:noProof/>
                <w:sz w:val="20"/>
                <w:szCs w:val="20"/>
              </w:rPr>
              <w:t>Publicarea în JO</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6D216EF4" w14:textId="77777777" w:rsidR="00011DE9" w:rsidRPr="00A636A7" w:rsidRDefault="00011DE9">
            <w:pPr>
              <w:spacing w:after="0" w:line="240" w:lineRule="auto"/>
              <w:jc w:val="center"/>
              <w:rPr>
                <w:rFonts w:ascii="Times New Roman" w:hAnsi="Times New Roman" w:cs="Times New Roman"/>
                <w:noProof/>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6AA6820" w14:textId="77777777" w:rsidR="00011DE9" w:rsidRPr="00A636A7" w:rsidRDefault="00011DE9">
            <w:pPr>
              <w:spacing w:after="0" w:line="240" w:lineRule="auto"/>
              <w:jc w:val="right"/>
              <w:rPr>
                <w:rFonts w:ascii="Times New Roman" w:hAnsi="Times New Roman" w:cs="Times New Roman"/>
                <w:noProof/>
                <w:sz w:val="20"/>
                <w:szCs w:val="20"/>
              </w:rPr>
            </w:pPr>
          </w:p>
        </w:tc>
        <w:tc>
          <w:tcPr>
            <w:tcW w:w="792" w:type="dxa"/>
            <w:tcBorders>
              <w:top w:val="single" w:sz="4" w:space="0" w:color="auto"/>
              <w:left w:val="single" w:sz="4" w:space="0" w:color="auto"/>
              <w:bottom w:val="single" w:sz="4" w:space="0" w:color="auto"/>
              <w:right w:val="single" w:sz="4" w:space="0" w:color="auto"/>
            </w:tcBorders>
            <w:shd w:val="clear" w:color="auto" w:fill="C6EFCE"/>
            <w:noWrap/>
          </w:tcPr>
          <w:p w14:paraId="4269533D" w14:textId="77777777" w:rsidR="00011DE9" w:rsidRPr="00A636A7" w:rsidRDefault="00011DE9">
            <w:pPr>
              <w:spacing w:after="0" w:line="240" w:lineRule="auto"/>
              <w:jc w:val="right"/>
              <w:rPr>
                <w:rFonts w:ascii="Times New Roman" w:hAnsi="Times New Roman" w:cs="Times New Roman"/>
                <w:noProof/>
                <w:sz w:val="20"/>
                <w:szCs w:val="20"/>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5DAB2D2A" w14:textId="3CD7FFA1" w:rsidR="00011DE9" w:rsidRPr="00A636A7" w:rsidRDefault="005701C9">
            <w:pPr>
              <w:pStyle w:val="P68B1DB1-Normal19"/>
              <w:spacing w:after="0" w:line="240" w:lineRule="auto"/>
              <w:jc w:val="center"/>
              <w:rPr>
                <w:noProof/>
                <w:sz w:val="20"/>
                <w:szCs w:val="20"/>
              </w:rPr>
            </w:pPr>
            <w:r w:rsidRPr="00A636A7">
              <w:rPr>
                <w:noProof/>
                <w:sz w:val="20"/>
                <w:szCs w:val="20"/>
              </w:rPr>
              <w:t>T4</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0AF09494" w14:textId="77777777" w:rsidR="00011DE9" w:rsidRPr="00A636A7" w:rsidRDefault="00011DE9">
            <w:pPr>
              <w:pStyle w:val="P68B1DB1-Normal20"/>
              <w:spacing w:after="0" w:line="240" w:lineRule="auto"/>
              <w:jc w:val="center"/>
              <w:rPr>
                <w:noProof/>
                <w:sz w:val="20"/>
                <w:szCs w:val="20"/>
              </w:rPr>
            </w:pPr>
            <w:r w:rsidRPr="00A636A7">
              <w:rPr>
                <w:noProof/>
                <w:sz w:val="20"/>
                <w:szCs w:val="20"/>
              </w:rPr>
              <w:t>2025</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4A80AFF5" w14:textId="77777777" w:rsidR="00011DE9" w:rsidRPr="00A636A7" w:rsidRDefault="00011DE9">
            <w:pPr>
              <w:pStyle w:val="P68B1DB1-Normal20"/>
              <w:spacing w:after="0" w:line="240" w:lineRule="auto"/>
              <w:rPr>
                <w:noProof/>
                <w:sz w:val="20"/>
                <w:szCs w:val="20"/>
              </w:rPr>
            </w:pPr>
            <w:r w:rsidRPr="00A636A7">
              <w:rPr>
                <w:noProof/>
                <w:sz w:val="20"/>
                <w:szCs w:val="20"/>
              </w:rPr>
              <w:t xml:space="preserve">Intrarea în vigoare a unui act juridic de instituire a unui spațiu de testare în materie de reglementare privind IA până la intrarea în vigoare a Regulamentului (UE) 2024/1689 („Regulamentul privind IA”). </w:t>
            </w:r>
          </w:p>
          <w:p w14:paraId="45EB1AB4" w14:textId="77777777" w:rsidR="00011DE9" w:rsidRPr="00A636A7" w:rsidRDefault="00011DE9">
            <w:pPr>
              <w:spacing w:after="0" w:line="240" w:lineRule="auto"/>
              <w:rPr>
                <w:rFonts w:ascii="Times New Roman" w:hAnsi="Times New Roman"/>
                <w:noProof/>
                <w:sz w:val="20"/>
                <w:szCs w:val="20"/>
              </w:rPr>
            </w:pPr>
          </w:p>
          <w:p w14:paraId="676C36EB" w14:textId="6A8CC94D" w:rsidR="00011DE9" w:rsidRPr="00A636A7" w:rsidRDefault="00011DE9">
            <w:pPr>
              <w:pStyle w:val="P68B1DB1-Normal20"/>
              <w:spacing w:after="0" w:line="240" w:lineRule="auto"/>
              <w:rPr>
                <w:noProof/>
                <w:sz w:val="20"/>
                <w:szCs w:val="20"/>
              </w:rPr>
            </w:pPr>
            <w:r w:rsidRPr="00A636A7">
              <w:rPr>
                <w:noProof/>
                <w:sz w:val="20"/>
                <w:szCs w:val="20"/>
              </w:rPr>
              <w:t>Intrarea în vigoare a unui act juridic de aprobare a statutului Agencia Española de Supervisión de Inteligencia Artificial („AESIA”)</w:t>
            </w:r>
            <w:r w:rsidR="00971820" w:rsidRPr="00A636A7">
              <w:rPr>
                <w:noProof/>
                <w:sz w:val="20"/>
                <w:szCs w:val="20"/>
              </w:rPr>
              <w:t xml:space="preserve"> </w:t>
            </w:r>
          </w:p>
        </w:tc>
      </w:tr>
      <w:tr w:rsidR="00011DE9" w:rsidRPr="00A636A7" w14:paraId="49BABA1B" w14:textId="77777777" w:rsidTr="00A636A7">
        <w:trPr>
          <w:trHeight w:val="300"/>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006F7616" w14:textId="77777777" w:rsidR="00011DE9" w:rsidRPr="00A636A7" w:rsidRDefault="00011DE9">
            <w:pPr>
              <w:pStyle w:val="P68B1DB1-Normal19"/>
              <w:spacing w:after="0" w:line="240" w:lineRule="auto"/>
              <w:jc w:val="center"/>
              <w:rPr>
                <w:noProof/>
                <w:sz w:val="20"/>
                <w:szCs w:val="20"/>
              </w:rPr>
            </w:pPr>
            <w:r w:rsidRPr="00A636A7">
              <w:rPr>
                <w:noProof/>
                <w:sz w:val="20"/>
                <w:szCs w:val="20"/>
              </w:rPr>
              <w:t>253</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F11D706" w14:textId="77777777" w:rsidR="00011DE9" w:rsidRPr="00A636A7" w:rsidRDefault="00011DE9">
            <w:pPr>
              <w:pStyle w:val="P68B1DB1-Normal19"/>
              <w:spacing w:after="0" w:line="240" w:lineRule="auto"/>
              <w:jc w:val="center"/>
              <w:rPr>
                <w:noProof/>
                <w:sz w:val="20"/>
                <w:szCs w:val="20"/>
              </w:rPr>
            </w:pPr>
            <w:r w:rsidRPr="00A636A7">
              <w:rPr>
                <w:noProof/>
                <w:sz w:val="20"/>
                <w:szCs w:val="20"/>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7A72E163" w14:textId="77777777" w:rsidR="00011DE9" w:rsidRPr="00A636A7" w:rsidRDefault="00011DE9">
            <w:pPr>
              <w:pStyle w:val="P68B1DB1-Normal20"/>
              <w:spacing w:after="0" w:line="240" w:lineRule="auto"/>
              <w:jc w:val="center"/>
              <w:rPr>
                <w:rFonts w:cs="Times New Roman"/>
                <w:noProof/>
                <w:sz w:val="20"/>
                <w:szCs w:val="20"/>
              </w:rPr>
            </w:pPr>
            <w:r w:rsidRPr="00A636A7">
              <w:rPr>
                <w:noProof/>
                <w:sz w:val="20"/>
                <w:szCs w:val="20"/>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243D80F6" w14:textId="77777777" w:rsidR="00011DE9" w:rsidRPr="00A636A7" w:rsidRDefault="00011DE9">
            <w:pPr>
              <w:pStyle w:val="P68B1DB1-Normal20"/>
              <w:spacing w:after="0" w:line="240" w:lineRule="auto"/>
              <w:rPr>
                <w:rFonts w:cs="Times New Roman"/>
                <w:noProof/>
                <w:sz w:val="20"/>
                <w:szCs w:val="20"/>
              </w:rPr>
            </w:pPr>
            <w:r w:rsidRPr="00A636A7">
              <w:rPr>
                <w:noProof/>
                <w:sz w:val="20"/>
                <w:szCs w:val="20"/>
              </w:rPr>
              <w:t>Acțiuni privind inteligența artificială și tehnologiile cuantice</w:t>
            </w:r>
          </w:p>
          <w:p w14:paraId="668929B8" w14:textId="77777777" w:rsidR="00011DE9" w:rsidRPr="00A636A7" w:rsidRDefault="00011DE9">
            <w:pPr>
              <w:spacing w:after="0" w:line="240" w:lineRule="auto"/>
              <w:rPr>
                <w:rFonts w:ascii="Times New Roman" w:hAnsi="Times New Roman"/>
                <w:noProof/>
                <w:sz w:val="20"/>
                <w:szCs w:val="20"/>
              </w:rPr>
            </w:pPr>
          </w:p>
          <w:p w14:paraId="37125535" w14:textId="77777777" w:rsidR="00011DE9" w:rsidRPr="00A636A7" w:rsidRDefault="00011DE9">
            <w:pPr>
              <w:spacing w:after="0" w:line="240" w:lineRule="auto"/>
              <w:rPr>
                <w:rFonts w:ascii="Times New Roman" w:hAnsi="Times New Roman" w:cs="Times New Roman"/>
                <w:noProof/>
                <w:sz w:val="20"/>
                <w:szCs w:val="20"/>
              </w:rPr>
            </w:pP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555B922B" w14:textId="77777777" w:rsidR="00011DE9" w:rsidRPr="00A636A7" w:rsidRDefault="00011DE9">
            <w:pPr>
              <w:pStyle w:val="P68B1DB1-Normal20"/>
              <w:spacing w:after="0" w:line="240" w:lineRule="auto"/>
              <w:jc w:val="center"/>
              <w:rPr>
                <w:rFonts w:cs="Times New Roman"/>
                <w:noProof/>
                <w:sz w:val="20"/>
                <w:szCs w:val="20"/>
              </w:rPr>
            </w:pPr>
            <w:r w:rsidRPr="00A636A7">
              <w:rPr>
                <w:noProof/>
                <w:sz w:val="20"/>
                <w:szCs w:val="20"/>
              </w:rPr>
              <w:t>Dovada plății</w:t>
            </w:r>
            <w:r w:rsidRPr="00A636A7">
              <w:rPr>
                <w:noProof/>
                <w:color w:val="000000" w:themeColor="text1"/>
                <w:sz w:val="20"/>
                <w:szCs w:val="20"/>
              </w:rPr>
              <w:t xml:space="preserve"> pentru proiectele de C &amp; D în domeniul inteligenței artificiale și al tehnologiilor cuantice</w:t>
            </w:r>
          </w:p>
          <w:p w14:paraId="35035323" w14:textId="77777777" w:rsidR="00011DE9" w:rsidRPr="00A636A7" w:rsidRDefault="00011DE9">
            <w:pPr>
              <w:spacing w:after="0" w:line="240" w:lineRule="auto"/>
              <w:jc w:val="center"/>
              <w:rPr>
                <w:rFonts w:ascii="Times New Roman" w:hAnsi="Times New Roman"/>
                <w:noProof/>
                <w:color w:val="000000" w:themeColor="text1"/>
                <w:sz w:val="20"/>
                <w:szCs w:val="20"/>
              </w:rPr>
            </w:pPr>
          </w:p>
          <w:p w14:paraId="5B99458C" w14:textId="77777777" w:rsidR="00011DE9" w:rsidRPr="00A636A7" w:rsidRDefault="00011DE9">
            <w:pPr>
              <w:pStyle w:val="P68B1DB1-Normal23"/>
              <w:spacing w:after="0" w:line="240" w:lineRule="auto"/>
              <w:jc w:val="center"/>
              <w:rPr>
                <w:noProof/>
                <w:sz w:val="20"/>
                <w:szCs w:val="20"/>
              </w:rPr>
            </w:pPr>
            <w:r w:rsidRPr="00A636A7">
              <w:rPr>
                <w:noProof/>
                <w:sz w:val="20"/>
                <w:szCs w:val="20"/>
              </w:rPr>
              <w:t>Dovada plății către Centrul de supercalcul din Barcelona.</w:t>
            </w:r>
          </w:p>
          <w:p w14:paraId="220DF1EA" w14:textId="77777777" w:rsidR="00011DE9" w:rsidRPr="00A636A7" w:rsidRDefault="00011DE9">
            <w:pPr>
              <w:spacing w:after="0" w:line="240" w:lineRule="auto"/>
              <w:jc w:val="center"/>
              <w:rPr>
                <w:rFonts w:ascii="Times New Roman" w:hAnsi="Times New Roman" w:cs="Times New Roman"/>
                <w:noProof/>
                <w:sz w:val="20"/>
                <w:szCs w:val="20"/>
              </w:rPr>
            </w:pPr>
          </w:p>
          <w:p w14:paraId="0C06609F" w14:textId="77777777" w:rsidR="00011DE9" w:rsidRPr="00A636A7" w:rsidRDefault="00011DE9">
            <w:pPr>
              <w:pStyle w:val="P68B1DB1-Normal23"/>
              <w:spacing w:after="0" w:line="240" w:lineRule="auto"/>
              <w:jc w:val="center"/>
              <w:rPr>
                <w:noProof/>
                <w:sz w:val="20"/>
                <w:szCs w:val="20"/>
              </w:rPr>
            </w:pPr>
            <w:r w:rsidRPr="00A636A7">
              <w:rPr>
                <w:noProof/>
                <w:sz w:val="20"/>
                <w:szCs w:val="20"/>
              </w:rPr>
              <w:t>Rezoluția de acordare a premiului și dovada plății pentru președinții universitari</w:t>
            </w:r>
          </w:p>
          <w:p w14:paraId="6BB57998" w14:textId="77777777" w:rsidR="00011DE9" w:rsidRPr="00A636A7" w:rsidRDefault="00011DE9">
            <w:pPr>
              <w:spacing w:after="0" w:line="240" w:lineRule="auto"/>
              <w:jc w:val="center"/>
              <w:rPr>
                <w:rFonts w:ascii="Times New Roman" w:hAnsi="Times New Roman" w:cs="Times New Roman"/>
                <w:noProof/>
                <w:sz w:val="20"/>
                <w:szCs w:val="20"/>
              </w:rPr>
            </w:pPr>
          </w:p>
          <w:p w14:paraId="2C06A126" w14:textId="77777777" w:rsidR="00011DE9" w:rsidRPr="00A636A7" w:rsidRDefault="00011DE9">
            <w:pPr>
              <w:pStyle w:val="P68B1DB1-Normal23"/>
              <w:spacing w:after="0" w:line="240" w:lineRule="auto"/>
              <w:jc w:val="center"/>
              <w:rPr>
                <w:noProof/>
                <w:sz w:val="20"/>
                <w:szCs w:val="20"/>
              </w:rPr>
            </w:pPr>
            <w:r w:rsidRPr="00A636A7">
              <w:rPr>
                <w:noProof/>
                <w:sz w:val="20"/>
                <w:szCs w:val="20"/>
              </w:rPr>
              <w:t>Semnarea acordului privind Institutul de neurotehnologie</w:t>
            </w:r>
          </w:p>
          <w:p w14:paraId="1560FC0F" w14:textId="77777777" w:rsidR="00011DE9" w:rsidRPr="00A636A7" w:rsidRDefault="00011DE9">
            <w:pPr>
              <w:spacing w:after="0" w:line="240" w:lineRule="auto"/>
              <w:jc w:val="center"/>
              <w:rPr>
                <w:rFonts w:ascii="Times New Roman" w:hAnsi="Times New Roman" w:cs="Times New Roman"/>
                <w:noProof/>
                <w:sz w:val="20"/>
                <w:szCs w:val="20"/>
              </w:rPr>
            </w:pPr>
          </w:p>
          <w:p w14:paraId="44B28957" w14:textId="77777777" w:rsidR="00011DE9" w:rsidRPr="00A636A7" w:rsidRDefault="00011DE9">
            <w:pPr>
              <w:pStyle w:val="P68B1DB1-Normal23"/>
              <w:spacing w:after="0" w:line="240" w:lineRule="auto"/>
              <w:jc w:val="center"/>
              <w:rPr>
                <w:noProof/>
                <w:sz w:val="20"/>
                <w:szCs w:val="20"/>
              </w:rPr>
            </w:pPr>
            <w:r w:rsidRPr="00A636A7">
              <w:rPr>
                <w:noProof/>
                <w:sz w:val="20"/>
                <w:szCs w:val="20"/>
              </w:rPr>
              <w:t>Rapoarte finale privind plățile aferente granturilor sau certificate de acceptare, declarații de conformitate, certificate de finalizare a lucrărilor sau documente echivalente care atestă executarea contractelor</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04BA9CC" w14:textId="77777777" w:rsidR="00011DE9" w:rsidRPr="00A636A7" w:rsidRDefault="00011DE9">
            <w:pPr>
              <w:pStyle w:val="P68B1DB1-Normal19"/>
              <w:spacing w:after="0" w:line="240" w:lineRule="auto"/>
              <w:jc w:val="center"/>
              <w:rPr>
                <w:noProof/>
                <w:sz w:val="20"/>
                <w:szCs w:val="20"/>
              </w:rPr>
            </w:pPr>
            <w:r w:rsidRPr="00A636A7">
              <w:rPr>
                <w:noProof/>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1BDACC2" w14:textId="77777777" w:rsidR="00011DE9" w:rsidRPr="00A636A7" w:rsidRDefault="00011DE9">
            <w:pPr>
              <w:pStyle w:val="P68B1DB1-Normal19"/>
              <w:spacing w:after="0" w:line="240" w:lineRule="auto"/>
              <w:jc w:val="right"/>
              <w:rPr>
                <w:noProof/>
                <w:sz w:val="20"/>
                <w:szCs w:val="20"/>
              </w:rPr>
            </w:pPr>
            <w:r w:rsidRPr="00A636A7">
              <w:rPr>
                <w:noProof/>
                <w:sz w:val="20"/>
                <w:szCs w:val="20"/>
              </w:rPr>
              <w:t xml:space="preserve"> </w:t>
            </w:r>
          </w:p>
        </w:tc>
        <w:tc>
          <w:tcPr>
            <w:tcW w:w="792" w:type="dxa"/>
            <w:tcBorders>
              <w:top w:val="single" w:sz="4" w:space="0" w:color="auto"/>
              <w:left w:val="single" w:sz="4" w:space="0" w:color="auto"/>
              <w:bottom w:val="single" w:sz="4" w:space="0" w:color="auto"/>
              <w:right w:val="single" w:sz="4" w:space="0" w:color="auto"/>
            </w:tcBorders>
            <w:shd w:val="clear" w:color="auto" w:fill="C6EFCE"/>
            <w:noWrap/>
          </w:tcPr>
          <w:p w14:paraId="24996A6A" w14:textId="77777777" w:rsidR="00011DE9" w:rsidRPr="00A636A7" w:rsidRDefault="00011DE9">
            <w:pPr>
              <w:pStyle w:val="P68B1DB1-Normal19"/>
              <w:spacing w:after="0" w:line="240" w:lineRule="auto"/>
              <w:jc w:val="right"/>
              <w:rPr>
                <w:noProof/>
                <w:sz w:val="20"/>
                <w:szCs w:val="20"/>
              </w:rPr>
            </w:pPr>
            <w:r w:rsidRPr="00A636A7">
              <w:rPr>
                <w:noProof/>
                <w:sz w:val="20"/>
                <w:szCs w:val="20"/>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2C94397A" w14:textId="7F091732" w:rsidR="00011DE9" w:rsidRPr="00A636A7" w:rsidRDefault="005701C9">
            <w:pPr>
              <w:pStyle w:val="P68B1DB1-Normal20"/>
              <w:spacing w:after="0" w:line="240" w:lineRule="auto"/>
              <w:jc w:val="center"/>
              <w:rPr>
                <w:rFonts w:cs="Times New Roman"/>
                <w:noProof/>
                <w:sz w:val="20"/>
                <w:szCs w:val="20"/>
              </w:rPr>
            </w:pPr>
            <w:r w:rsidRPr="00A636A7">
              <w:rPr>
                <w:noProof/>
                <w:sz w:val="20"/>
                <w:szCs w:val="20"/>
              </w:rPr>
              <w:t>T2</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4D6DD669" w14:textId="77777777" w:rsidR="00011DE9" w:rsidRPr="00A636A7" w:rsidRDefault="00011DE9">
            <w:pPr>
              <w:pStyle w:val="P68B1DB1-Normal19"/>
              <w:spacing w:after="0" w:line="240" w:lineRule="auto"/>
              <w:jc w:val="center"/>
              <w:rPr>
                <w:noProof/>
                <w:sz w:val="20"/>
                <w:szCs w:val="20"/>
              </w:rPr>
            </w:pPr>
            <w:r w:rsidRPr="00A636A7">
              <w:rPr>
                <w:noProof/>
                <w:sz w:val="20"/>
                <w:szCs w:val="20"/>
              </w:rPr>
              <w:t>2026</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09C752DD" w14:textId="77777777" w:rsidR="00011DE9" w:rsidRPr="00A636A7" w:rsidRDefault="00011DE9">
            <w:pPr>
              <w:pStyle w:val="P68B1DB1-Normal28"/>
              <w:spacing w:after="0" w:line="240" w:lineRule="auto"/>
              <w:rPr>
                <w:noProof/>
                <w:sz w:val="20"/>
                <w:szCs w:val="20"/>
              </w:rPr>
            </w:pPr>
            <w:r w:rsidRPr="00A636A7">
              <w:rPr>
                <w:noProof/>
                <w:sz w:val="20"/>
                <w:szCs w:val="20"/>
              </w:rPr>
              <w:t xml:space="preserve">Plata sumei de 202 447 959,00 EUR pentru proiecte de C &amp; D în domeniul inteligenței artificiale și al tehnologiilor cuantice. </w:t>
            </w:r>
          </w:p>
          <w:p w14:paraId="3EC29E29" w14:textId="77777777" w:rsidR="00011DE9" w:rsidRPr="00A636A7" w:rsidRDefault="00011DE9">
            <w:pPr>
              <w:spacing w:after="0" w:line="240" w:lineRule="auto"/>
              <w:rPr>
                <w:rFonts w:ascii="Times New Roman" w:hAnsi="Times New Roman"/>
                <w:noProof/>
                <w:color w:val="000000" w:themeColor="text1"/>
                <w:sz w:val="20"/>
                <w:szCs w:val="20"/>
              </w:rPr>
            </w:pPr>
          </w:p>
          <w:p w14:paraId="4B3A555F" w14:textId="77777777" w:rsidR="00011DE9" w:rsidRPr="00A636A7" w:rsidRDefault="00011DE9">
            <w:pPr>
              <w:pStyle w:val="P68B1DB1-Normal29"/>
              <w:spacing w:after="0" w:line="240" w:lineRule="auto"/>
              <w:jc w:val="both"/>
              <w:rPr>
                <w:noProof/>
                <w:sz w:val="20"/>
                <w:szCs w:val="20"/>
              </w:rPr>
            </w:pPr>
            <w:r w:rsidRPr="00A636A7">
              <w:rPr>
                <w:noProof/>
                <w:sz w:val="20"/>
                <w:szCs w:val="20"/>
              </w:rPr>
              <w:t xml:space="preserve">Plata sumei de 40 369 050 EUR către Centrul de supercalcul pentru supercalcul și IA din Barcelona. </w:t>
            </w:r>
          </w:p>
          <w:p w14:paraId="17EA0C7C" w14:textId="77777777" w:rsidR="00011DE9" w:rsidRPr="00A636A7" w:rsidRDefault="00011DE9">
            <w:pPr>
              <w:spacing w:after="0" w:line="240" w:lineRule="auto"/>
              <w:rPr>
                <w:rFonts w:ascii="Times New Roman" w:hAnsi="Times New Roman"/>
                <w:noProof/>
                <w:color w:val="000000" w:themeColor="text1"/>
                <w:sz w:val="20"/>
                <w:szCs w:val="20"/>
              </w:rPr>
            </w:pPr>
          </w:p>
          <w:p w14:paraId="08EDA4E7" w14:textId="77777777" w:rsidR="00011DE9" w:rsidRPr="00A636A7" w:rsidRDefault="00011DE9">
            <w:pPr>
              <w:pStyle w:val="P68B1DB1-Normal29"/>
              <w:spacing w:after="0" w:line="240" w:lineRule="auto"/>
              <w:rPr>
                <w:noProof/>
                <w:sz w:val="20"/>
                <w:szCs w:val="20"/>
              </w:rPr>
            </w:pPr>
            <w:r w:rsidRPr="00A636A7">
              <w:rPr>
                <w:noProof/>
                <w:sz w:val="20"/>
                <w:szCs w:val="20"/>
              </w:rPr>
              <w:t>Crearea a 10 de catedre universitare în domeniul inteligenței artificiale.</w:t>
            </w:r>
          </w:p>
          <w:p w14:paraId="1FDBD9B5" w14:textId="77777777" w:rsidR="00011DE9" w:rsidRPr="00A636A7" w:rsidRDefault="00011DE9">
            <w:pPr>
              <w:spacing w:after="0" w:line="240" w:lineRule="auto"/>
              <w:rPr>
                <w:rFonts w:ascii="Times New Roman" w:hAnsi="Times New Roman"/>
                <w:noProof/>
                <w:color w:val="000000" w:themeColor="text1"/>
                <w:sz w:val="20"/>
                <w:szCs w:val="20"/>
              </w:rPr>
            </w:pPr>
          </w:p>
          <w:p w14:paraId="503BB98A" w14:textId="77777777" w:rsidR="00011DE9" w:rsidRPr="00A636A7" w:rsidRDefault="00011DE9">
            <w:pPr>
              <w:pStyle w:val="P68B1DB1-Normal29"/>
              <w:rPr>
                <w:noProof/>
                <w:sz w:val="20"/>
                <w:szCs w:val="20"/>
              </w:rPr>
            </w:pPr>
            <w:r w:rsidRPr="00A636A7">
              <w:rPr>
                <w:noProof/>
                <w:sz w:val="20"/>
                <w:szCs w:val="20"/>
              </w:rPr>
              <w:t>Semnarea unui acord de creare a unui institut de neurotehnologie.</w:t>
            </w:r>
          </w:p>
          <w:p w14:paraId="1E49B33C" w14:textId="77777777" w:rsidR="00011DE9" w:rsidRPr="00A636A7" w:rsidRDefault="00011DE9">
            <w:pPr>
              <w:pStyle w:val="P68B1DB1-Normal30"/>
              <w:rPr>
                <w:noProof/>
                <w:sz w:val="20"/>
                <w:szCs w:val="20"/>
              </w:rPr>
            </w:pPr>
            <w:r w:rsidRPr="00A636A7">
              <w:rPr>
                <w:noProof/>
                <w:sz w:val="20"/>
                <w:szCs w:val="20"/>
              </w:rPr>
              <w:t>Rapoartele finale care confirmă finalizarea activităților atribuite au fost prezentate de entitățile sau persoanele beneficiare pentru granturi legate de rețelele teritoriale de specializare tehnologică în domeniul IA (Retech) sau confirmarea de către administrație a executării contractelor sau a unor părți ale acestora legate de rețelele teritoriale de specializare tehnologică în domeniul IA (Retech), pentru o sumă totală cumulată de 90 000 000,00 EUR sub formă de granturi și contracte atribuite (inclusiv eventualele modificări)</w:t>
            </w:r>
          </w:p>
          <w:p w14:paraId="0C6DBEF2" w14:textId="77777777" w:rsidR="00011DE9" w:rsidRPr="00A636A7" w:rsidRDefault="00011DE9">
            <w:pPr>
              <w:pStyle w:val="P68B1DB1-Normal30"/>
              <w:rPr>
                <w:noProof/>
                <w:sz w:val="20"/>
                <w:szCs w:val="20"/>
              </w:rPr>
            </w:pPr>
            <w:r w:rsidRPr="00A636A7">
              <w:rPr>
                <w:noProof/>
                <w:sz w:val="20"/>
                <w:szCs w:val="20"/>
              </w:rPr>
              <w:t>5 entitățile sau persoanele beneficiare prezintă rapoarte finale care confirmă finalizarea activităților atribuite pentru granturi legate de tehnologiile lingvistice și de limba spaniolă și inteligența artificială.</w:t>
            </w:r>
          </w:p>
          <w:p w14:paraId="6942FB97" w14:textId="77777777" w:rsidR="00011DE9" w:rsidRPr="00A636A7" w:rsidRDefault="00011DE9">
            <w:pPr>
              <w:pStyle w:val="P68B1DB1-Normal30"/>
              <w:rPr>
                <w:noProof/>
                <w:sz w:val="20"/>
                <w:szCs w:val="20"/>
              </w:rPr>
            </w:pPr>
            <w:r w:rsidRPr="00A636A7">
              <w:rPr>
                <w:noProof/>
                <w:sz w:val="20"/>
                <w:szCs w:val="20"/>
              </w:rPr>
              <w:t>Confirmarea de către administrație a executării contractelor sau a unor părți ale acestora legate de programul de algoritmi verzi și de planurile privind impactul inteligenței artificiale, pentru o sumă totală cumulată de 5 395 100,00 EUR în contractele atribuite (inclusiv eventualele modificări).</w:t>
            </w:r>
          </w:p>
        </w:tc>
      </w:tr>
      <w:tr w:rsidR="00011DE9" w:rsidRPr="00A636A7" w14:paraId="73957137" w14:textId="77777777" w:rsidTr="00A636A7">
        <w:trPr>
          <w:trHeight w:val="300"/>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1B826704" w14:textId="77777777" w:rsidR="00011DE9" w:rsidRPr="00A636A7" w:rsidRDefault="00011DE9">
            <w:pPr>
              <w:pStyle w:val="P68B1DB1-Normal20"/>
              <w:spacing w:after="0" w:line="240" w:lineRule="auto"/>
              <w:jc w:val="center"/>
              <w:rPr>
                <w:rFonts w:cs="Times New Roman"/>
                <w:noProof/>
                <w:sz w:val="20"/>
                <w:szCs w:val="20"/>
              </w:rPr>
            </w:pPr>
            <w:r w:rsidRPr="00A636A7">
              <w:rPr>
                <w:noProof/>
                <w:sz w:val="20"/>
                <w:szCs w:val="20"/>
              </w:rPr>
              <w:t>253a</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74B6C9AF" w14:textId="77777777" w:rsidR="00011DE9" w:rsidRPr="00A636A7" w:rsidRDefault="00011DE9">
            <w:pPr>
              <w:pStyle w:val="P68B1DB1-Normal20"/>
              <w:spacing w:after="0" w:line="240" w:lineRule="auto"/>
              <w:jc w:val="center"/>
              <w:rPr>
                <w:rFonts w:cs="Times New Roman"/>
                <w:noProof/>
                <w:sz w:val="20"/>
                <w:szCs w:val="20"/>
              </w:rPr>
            </w:pPr>
            <w:r w:rsidRPr="00A636A7">
              <w:rPr>
                <w:noProof/>
                <w:sz w:val="20"/>
                <w:szCs w:val="20"/>
              </w:rPr>
              <w:t>C16.I1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2364387C" w14:textId="77777777" w:rsidR="00011DE9" w:rsidRPr="00A636A7" w:rsidRDefault="00011DE9">
            <w:pPr>
              <w:pStyle w:val="P68B1DB1-Normal20"/>
              <w:jc w:val="center"/>
              <w:rPr>
                <w:rFonts w:cs="Times New Roman"/>
                <w:noProof/>
                <w:sz w:val="20"/>
                <w:szCs w:val="20"/>
              </w:rPr>
            </w:pPr>
            <w:r w:rsidRPr="00A636A7">
              <w:rPr>
                <w:noProof/>
                <w:sz w:val="20"/>
                <w:szCs w:val="20"/>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56D7B4E7" w14:textId="77777777" w:rsidR="00011DE9" w:rsidRPr="00A636A7" w:rsidRDefault="00011DE9">
            <w:pPr>
              <w:pStyle w:val="P68B1DB1-Normal20"/>
              <w:spacing w:after="0" w:line="240" w:lineRule="auto"/>
              <w:rPr>
                <w:rFonts w:cs="Times New Roman"/>
                <w:noProof/>
                <w:sz w:val="20"/>
                <w:szCs w:val="20"/>
              </w:rPr>
            </w:pPr>
            <w:r w:rsidRPr="00A636A7">
              <w:rPr>
                <w:noProof/>
                <w:sz w:val="20"/>
                <w:szCs w:val="20"/>
              </w:rPr>
              <w:t>Semnarea acordului de contribuție dintre Spania și întreprinderea comună EuroHPC și plata contribuției voluntare către întreprinderea comună EuroHPC</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2C43E32D" w14:textId="77777777" w:rsidR="00011DE9" w:rsidRPr="00A636A7" w:rsidRDefault="00011DE9">
            <w:pPr>
              <w:pStyle w:val="P68B1DB1-Normal23"/>
              <w:spacing w:after="0" w:line="240" w:lineRule="auto"/>
              <w:jc w:val="center"/>
              <w:rPr>
                <w:noProof/>
                <w:sz w:val="20"/>
                <w:szCs w:val="20"/>
              </w:rPr>
            </w:pPr>
            <w:r w:rsidRPr="00A636A7">
              <w:rPr>
                <w:noProof/>
                <w:sz w:val="20"/>
                <w:szCs w:val="20"/>
              </w:rPr>
              <w:t>Semnarea acordului de contribuție</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436F0658" w14:textId="77777777" w:rsidR="00011DE9" w:rsidRPr="00A636A7" w:rsidRDefault="00011DE9">
            <w:pPr>
              <w:spacing w:after="0" w:line="240" w:lineRule="auto"/>
              <w:jc w:val="center"/>
              <w:rPr>
                <w:rFonts w:ascii="Times New Roman" w:hAnsi="Times New Roman" w:cs="Times New Roman"/>
                <w:noProof/>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553455F" w14:textId="77777777" w:rsidR="00011DE9" w:rsidRPr="00A636A7" w:rsidRDefault="00011DE9">
            <w:pPr>
              <w:spacing w:after="0" w:line="240" w:lineRule="auto"/>
              <w:jc w:val="center"/>
              <w:rPr>
                <w:rFonts w:ascii="Times New Roman" w:hAnsi="Times New Roman" w:cs="Times New Roman"/>
                <w:noProof/>
                <w:sz w:val="20"/>
                <w:szCs w:val="20"/>
              </w:rPr>
            </w:pPr>
          </w:p>
        </w:tc>
        <w:tc>
          <w:tcPr>
            <w:tcW w:w="792" w:type="dxa"/>
            <w:tcBorders>
              <w:top w:val="single" w:sz="4" w:space="0" w:color="auto"/>
              <w:left w:val="single" w:sz="4" w:space="0" w:color="auto"/>
              <w:bottom w:val="single" w:sz="4" w:space="0" w:color="auto"/>
              <w:right w:val="single" w:sz="4" w:space="0" w:color="auto"/>
            </w:tcBorders>
            <w:shd w:val="clear" w:color="auto" w:fill="C6EFCE"/>
            <w:noWrap/>
          </w:tcPr>
          <w:p w14:paraId="36991A77" w14:textId="77777777" w:rsidR="00011DE9" w:rsidRPr="00A636A7" w:rsidRDefault="00011DE9">
            <w:pPr>
              <w:spacing w:after="0" w:line="240" w:lineRule="auto"/>
              <w:jc w:val="center"/>
              <w:rPr>
                <w:rFonts w:ascii="Times New Roman" w:hAnsi="Times New Roman" w:cs="Times New Roman"/>
                <w:noProof/>
                <w:sz w:val="20"/>
                <w:szCs w:val="20"/>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2A990F9D" w14:textId="1B8983DD" w:rsidR="00011DE9" w:rsidRPr="00A636A7" w:rsidRDefault="005701C9">
            <w:pPr>
              <w:pStyle w:val="P68B1DB1-Normal20"/>
              <w:spacing w:after="0" w:line="240" w:lineRule="auto"/>
              <w:jc w:val="center"/>
              <w:rPr>
                <w:rFonts w:cs="Times New Roman"/>
                <w:noProof/>
                <w:sz w:val="20"/>
                <w:szCs w:val="20"/>
              </w:rPr>
            </w:pPr>
            <w:r w:rsidRPr="00A636A7">
              <w:rPr>
                <w:noProof/>
                <w:sz w:val="20"/>
                <w:szCs w:val="20"/>
              </w:rPr>
              <w:t>T2</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4CF8BF58" w14:textId="77777777" w:rsidR="00011DE9" w:rsidRPr="00A636A7" w:rsidRDefault="00011DE9">
            <w:pPr>
              <w:pStyle w:val="P68B1DB1-Normal20"/>
              <w:spacing w:after="0" w:line="240" w:lineRule="auto"/>
              <w:jc w:val="center"/>
              <w:rPr>
                <w:rFonts w:cs="Times New Roman"/>
                <w:noProof/>
                <w:sz w:val="20"/>
                <w:szCs w:val="20"/>
              </w:rPr>
            </w:pPr>
            <w:r w:rsidRPr="00A636A7">
              <w:rPr>
                <w:noProof/>
                <w:sz w:val="20"/>
                <w:szCs w:val="20"/>
              </w:rPr>
              <w:t>2026</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7DD16D7B" w14:textId="77777777" w:rsidR="00011DE9" w:rsidRPr="00A636A7" w:rsidRDefault="00011DE9">
            <w:pPr>
              <w:pStyle w:val="P68B1DB1-Normal20"/>
              <w:spacing w:after="0" w:line="240" w:lineRule="auto"/>
              <w:rPr>
                <w:noProof/>
                <w:sz w:val="20"/>
                <w:szCs w:val="20"/>
              </w:rPr>
            </w:pPr>
            <w:r w:rsidRPr="00A636A7">
              <w:rPr>
                <w:noProof/>
                <w:sz w:val="20"/>
                <w:szCs w:val="20"/>
              </w:rPr>
              <w:t>Semnarea acordului de contribuție dintre Spania și întreprinderea comună EuroHPC. Acordul de contribuție respectiv include:</w:t>
            </w:r>
          </w:p>
          <w:p w14:paraId="6661F1B5" w14:textId="77777777" w:rsidR="00011DE9" w:rsidRPr="00A636A7" w:rsidRDefault="00011DE9">
            <w:pPr>
              <w:pStyle w:val="P68B1DB1-Normal20"/>
              <w:spacing w:after="0" w:line="240" w:lineRule="auto"/>
              <w:rPr>
                <w:noProof/>
                <w:sz w:val="20"/>
                <w:szCs w:val="20"/>
              </w:rPr>
            </w:pPr>
            <w:r w:rsidRPr="00A636A7">
              <w:rPr>
                <w:noProof/>
                <w:sz w:val="20"/>
                <w:szCs w:val="20"/>
              </w:rPr>
              <w:t>— Indicarea activităților care urmează să fie finanțate prin contribuția voluntară, și anume sprijinul financiar pentru o gigafabrică de IA (AIGF) sau pentru inițiative echivalente privind infrastructura de IA și tehnologia cuantică care urmează să fie dezvoltate și instituite în Uniune.</w:t>
            </w:r>
          </w:p>
          <w:p w14:paraId="5682877E" w14:textId="77777777" w:rsidR="00011DE9" w:rsidRPr="00A636A7" w:rsidRDefault="00011DE9">
            <w:pPr>
              <w:pStyle w:val="P68B1DB1-Normal20"/>
              <w:spacing w:after="0" w:line="240" w:lineRule="auto"/>
              <w:rPr>
                <w:noProof/>
                <w:sz w:val="20"/>
                <w:szCs w:val="20"/>
              </w:rPr>
            </w:pPr>
            <w:r w:rsidRPr="00A636A7">
              <w:rPr>
                <w:noProof/>
                <w:sz w:val="20"/>
                <w:szCs w:val="20"/>
              </w:rPr>
              <w:t>— Cerința ca respectiva contribuție voluntară să fie utilizată în conformitate cu principiul de „a nu prejudicia în mod semnificativ”, astfel cum este prevăzut în Orientările tehnice 2021/C58/01.</w:t>
            </w:r>
          </w:p>
          <w:p w14:paraId="6894C556" w14:textId="77777777" w:rsidR="00011DE9" w:rsidRPr="00A636A7" w:rsidRDefault="00011DE9">
            <w:pPr>
              <w:pStyle w:val="P68B1DB1-Normal20"/>
              <w:spacing w:after="0" w:line="240" w:lineRule="auto"/>
              <w:rPr>
                <w:noProof/>
                <w:sz w:val="20"/>
                <w:szCs w:val="20"/>
              </w:rPr>
            </w:pPr>
            <w:r w:rsidRPr="00A636A7">
              <w:rPr>
                <w:noProof/>
                <w:sz w:val="20"/>
                <w:szCs w:val="20"/>
              </w:rPr>
              <w:t>— Cuantumul exact al contribuției voluntare din fondurile MRR.</w:t>
            </w:r>
          </w:p>
          <w:p w14:paraId="2E6368E8" w14:textId="77777777" w:rsidR="00011DE9" w:rsidRPr="00A636A7" w:rsidRDefault="00011DE9">
            <w:pPr>
              <w:pStyle w:val="P68B1DB1-Normal20"/>
              <w:spacing w:after="0" w:line="240" w:lineRule="auto"/>
              <w:rPr>
                <w:noProof/>
                <w:sz w:val="20"/>
                <w:szCs w:val="20"/>
              </w:rPr>
            </w:pPr>
            <w:r w:rsidRPr="00A636A7">
              <w:rPr>
                <w:noProof/>
                <w:sz w:val="20"/>
                <w:szCs w:val="20"/>
              </w:rPr>
              <w:t>— Cerința ca sumele neutilizate care fac obiectul acordului să fie utilizate de întreprinderea comună EuroHPC pentru a sprijini aceleași obiective de politică în beneficiul statului membru în cauză și să nu fie transferate înapoi statului membru.</w:t>
            </w:r>
          </w:p>
          <w:p w14:paraId="36BC5F01" w14:textId="77777777" w:rsidR="00011DE9" w:rsidRPr="00A636A7" w:rsidRDefault="00011DE9">
            <w:pPr>
              <w:pStyle w:val="P68B1DB1-Normal20"/>
              <w:spacing w:after="0" w:line="240" w:lineRule="auto"/>
              <w:rPr>
                <w:noProof/>
                <w:sz w:val="20"/>
                <w:szCs w:val="20"/>
              </w:rPr>
            </w:pPr>
            <w:r w:rsidRPr="00A636A7">
              <w:rPr>
                <w:noProof/>
                <w:sz w:val="20"/>
                <w:szCs w:val="20"/>
              </w:rPr>
              <w:t>— Spania transferă 300 000 000,00 EUR către întreprinderea comună pentru calculul european de înaltă performanță.</w:t>
            </w:r>
          </w:p>
        </w:tc>
      </w:tr>
    </w:tbl>
    <w:p w14:paraId="4725529A" w14:textId="77777777" w:rsidR="00011DE9" w:rsidRDefault="00011DE9">
      <w:pPr>
        <w:rPr>
          <w:rFonts w:ascii="Times New Roman" w:eastAsia="Calibri" w:hAnsi="Times New Roman" w:cs="Symbol"/>
          <w:b/>
          <w:bCs/>
          <w:smallCaps/>
          <w:noProof/>
          <w:kern w:val="0"/>
          <w:sz w:val="28"/>
          <w:szCs w:val="28"/>
          <w14:ligatures w14:val="none"/>
        </w:rPr>
        <w:sectPr w:rsidR="00011DE9" w:rsidSect="00011DE9">
          <w:headerReference w:type="even" r:id="rId228"/>
          <w:headerReference w:type="default" r:id="rId229"/>
          <w:footerReference w:type="even" r:id="rId230"/>
          <w:footerReference w:type="default" r:id="rId231"/>
          <w:headerReference w:type="first" r:id="rId232"/>
          <w:footerReference w:type="first" r:id="rId233"/>
          <w:pgSz w:w="16839" w:h="11907" w:orient="landscape"/>
          <w:pgMar w:top="1134" w:right="1134" w:bottom="1134" w:left="1134" w:header="567" w:footer="567" w:gutter="0"/>
          <w:cols w:space="720"/>
          <w:docGrid w:linePitch="360"/>
        </w:sectPr>
      </w:pPr>
    </w:p>
    <w:p w14:paraId="7DDEAF17" w14:textId="77777777" w:rsidR="00011DE9" w:rsidRDefault="00011DE9">
      <w:pPr>
        <w:pStyle w:val="P68B1DB1-Normal31"/>
        <w:keepNext/>
        <w:spacing w:before="360" w:after="360" w:line="240" w:lineRule="auto"/>
        <w:jc w:val="center"/>
        <w:outlineLvl w:val="0"/>
        <w:rPr>
          <w:rFonts w:cs="Times New Roman"/>
          <w:bCs/>
          <w:noProof/>
        </w:rPr>
      </w:pPr>
      <w:r>
        <w:rPr>
          <w:noProof/>
        </w:rPr>
        <w:t>Q. COMPONENTA 17: Știință, tehnologie și inovare</w:t>
      </w:r>
    </w:p>
    <w:p w14:paraId="62EFFAB1" w14:textId="77777777" w:rsidR="00011DE9" w:rsidRDefault="00011DE9">
      <w:pPr>
        <w:pStyle w:val="P68B1DB1-Normal32"/>
        <w:spacing w:before="120" w:after="120" w:line="240" w:lineRule="auto"/>
        <w:jc w:val="both"/>
        <w:rPr>
          <w:noProof/>
        </w:rPr>
      </w:pPr>
      <w:r>
        <w:rPr>
          <w:noProof/>
        </w:rPr>
        <w:t xml:space="preserve">Strategia Spaniei pentru știință, tehnologie și inovare pentru perioada 2021-2027 preconizează o creștere semnificativă a investițiilor în cercetare, dezvoltare și inovare („C &amp; D &amp; I”) în Spania, ajungând la 2,12 % din PIB în 2027. În acest context, principalul obiectiv al acestei componente a planului spaniol de redresare și reziliență este de </w:t>
      </w:r>
      <w:r>
        <w:rPr>
          <w:noProof/>
          <w:shd w:val="clear" w:color="auto" w:fill="FFFFFF"/>
        </w:rPr>
        <w:t xml:space="preserve">a îmbunătăți </w:t>
      </w:r>
      <w:r>
        <w:rPr>
          <w:noProof/>
        </w:rPr>
        <w:t xml:space="preserve">sistemul spaniol de știință, tehnologie și inovare prin reformarea guvernanței sale, îmbunătățirea coordonării între actori, sporirea eficacității sale și accelerarea investițiilor în C &amp; D &amp; I prin următoarele elemente: </w:t>
      </w:r>
    </w:p>
    <w:p w14:paraId="2B714386" w14:textId="77777777" w:rsidR="00011DE9" w:rsidRDefault="00011DE9">
      <w:pPr>
        <w:pStyle w:val="P68B1DB1-Normal32"/>
        <w:numPr>
          <w:ilvl w:val="0"/>
          <w:numId w:val="135"/>
        </w:numPr>
        <w:spacing w:before="120" w:after="120" w:line="240" w:lineRule="auto"/>
        <w:jc w:val="both"/>
        <w:rPr>
          <w:noProof/>
        </w:rPr>
      </w:pPr>
      <w:r>
        <w:rPr>
          <w:noProof/>
        </w:rPr>
        <w:t xml:space="preserve">Dezvoltarea unui cadru de reglementare clar și previzibil care să consolideze guvernanța sectorului, să sporească eficacitatea politicilor publice în domeniul C &amp; D &amp; I, să îmbunătățească transferul de cunoștințe și să promoveze investițiile în C &amp; D &amp; </w:t>
      </w:r>
    </w:p>
    <w:p w14:paraId="333842BF" w14:textId="77777777" w:rsidR="00011DE9" w:rsidRDefault="00011DE9">
      <w:pPr>
        <w:pStyle w:val="P68B1DB1-Normal32"/>
        <w:numPr>
          <w:ilvl w:val="0"/>
          <w:numId w:val="135"/>
        </w:numPr>
        <w:spacing w:before="120" w:after="120" w:line="240" w:lineRule="auto"/>
        <w:jc w:val="both"/>
        <w:rPr>
          <w:noProof/>
        </w:rPr>
      </w:pPr>
      <w:r>
        <w:rPr>
          <w:noProof/>
        </w:rPr>
        <w:t xml:space="preserve">investițiile în infrastructură, echipamente și capital uman; </w:t>
      </w:r>
    </w:p>
    <w:p w14:paraId="106575C7" w14:textId="77777777" w:rsidR="00011DE9" w:rsidRDefault="00011DE9">
      <w:pPr>
        <w:pStyle w:val="P68B1DB1-Normal32"/>
        <w:numPr>
          <w:ilvl w:val="0"/>
          <w:numId w:val="135"/>
        </w:numPr>
        <w:spacing w:before="120" w:after="120" w:line="240" w:lineRule="auto"/>
        <w:jc w:val="both"/>
        <w:rPr>
          <w:noProof/>
        </w:rPr>
      </w:pPr>
      <w:r>
        <w:rPr>
          <w:noProof/>
        </w:rPr>
        <w:t xml:space="preserve">investițiile în transferul de cunoștințe, C &amp; D &amp; I regionale, proiectele naționale de C &amp; D &amp; I și parteneriatele public-privat; și </w:t>
      </w:r>
    </w:p>
    <w:p w14:paraId="1F640559" w14:textId="77777777" w:rsidR="00011DE9" w:rsidRDefault="00011DE9">
      <w:pPr>
        <w:pStyle w:val="P68B1DB1-Normal32"/>
        <w:numPr>
          <w:ilvl w:val="0"/>
          <w:numId w:val="135"/>
        </w:numPr>
        <w:spacing w:before="120" w:after="120" w:line="240" w:lineRule="auto"/>
        <w:jc w:val="both"/>
        <w:rPr>
          <w:noProof/>
        </w:rPr>
      </w:pPr>
      <w:r>
        <w:rPr>
          <w:noProof/>
        </w:rPr>
        <w:t xml:space="preserve">investițiile în C &amp; D &amp; I în sectoarele strategice ale sănătății, mediului, schimbărilor climatice și energiei, microelectronicii și semiconductorilor, autovehiculelor durabile și industriei aerospațiale. </w:t>
      </w:r>
    </w:p>
    <w:p w14:paraId="5B2DE7B2" w14:textId="77777777" w:rsidR="00011DE9" w:rsidRDefault="00011DE9">
      <w:pPr>
        <w:pStyle w:val="P68B1DB1-Normal32"/>
        <w:spacing w:before="120" w:after="0" w:line="240" w:lineRule="auto"/>
        <w:jc w:val="both"/>
        <w:rPr>
          <w:noProof/>
        </w:rPr>
      </w:pPr>
      <w:r>
        <w:rPr>
          <w:noProof/>
        </w:rPr>
        <w:t xml:space="preserve">Această componentă abordează recomandările specifice fiecărei țări privind promovarea investițiilor în inovare și în eficiența energetică și privind sporirea eficacității politicilor de sprijinire a cercetării și inovării (Recomandarea specifică fiecărei țări 3 2019), </w:t>
      </w:r>
      <w:r>
        <w:rPr>
          <w:noProof/>
          <w:shd w:val="clear" w:color="auto" w:fill="FFFFFF"/>
        </w:rPr>
        <w:t xml:space="preserve">promovarea investițiilor publice și private și a cercetării și inovării </w:t>
      </w:r>
      <w:r>
        <w:rPr>
          <w:noProof/>
        </w:rPr>
        <w:t>(Recomandarea specifică fiecărei țări 3 2020)</w:t>
      </w:r>
      <w:r>
        <w:rPr>
          <w:noProof/>
          <w:shd w:val="clear" w:color="auto" w:fill="FFFFFF"/>
        </w:rPr>
        <w:t xml:space="preserve">, îmbunătățirea coordonării tuturor nivelurilor de guvernare (Recomandarea specifică </w:t>
      </w:r>
      <w:r>
        <w:rPr>
          <w:noProof/>
        </w:rPr>
        <w:t>fiecărei țări 4 2020) și concentrarea investițiilor în tranziția verde și cea digitală, în special pe încurajarea cercetării și inovării (Recomandarea specifică fiecărei țări 3 2021).</w:t>
      </w:r>
    </w:p>
    <w:p w14:paraId="0B1E72A1" w14:textId="77777777" w:rsidR="00011DE9" w:rsidRDefault="00011DE9">
      <w:pPr>
        <w:pStyle w:val="P68B1DB1-Normal32"/>
        <w:spacing w:before="120" w:after="0" w:line="240" w:lineRule="auto"/>
        <w:jc w:val="both"/>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2A205199" w14:textId="23CAECAA" w:rsidR="00011DE9" w:rsidRDefault="00011DE9">
      <w:pPr>
        <w:pStyle w:val="P68B1DB1-Normal33"/>
        <w:spacing w:before="120" w:after="120" w:line="240" w:lineRule="auto"/>
        <w:ind w:left="709"/>
        <w:jc w:val="both"/>
        <w:rPr>
          <w:rFonts w:eastAsia="Calibri" w:cs="Times New Roman"/>
          <w:b w:val="0"/>
          <w:i/>
          <w:noProof/>
        </w:rPr>
      </w:pPr>
      <w:r>
        <w:rPr>
          <w:rFonts w:eastAsia="Calibri" w:cs="Arial"/>
          <w:noProof/>
        </w:rPr>
        <w:t>ÎNTREBAREA 1</w:t>
      </w:r>
      <w:r w:rsidR="00971820">
        <w:rPr>
          <w:rFonts w:eastAsia="Calibri" w:cs="Arial"/>
          <w:noProof/>
        </w:rPr>
        <w:t xml:space="preserve"> </w:t>
      </w:r>
      <w:r>
        <w:rPr>
          <w:rFonts w:eastAsia="Calibri" w:cs="Arial"/>
          <w:noProof/>
        </w:rPr>
        <w:t>Descrierea reformelor și a investițiilor pentru sprijinul financiar nerambursabil</w:t>
      </w:r>
    </w:p>
    <w:p w14:paraId="34E71C85" w14:textId="77777777" w:rsidR="00011DE9" w:rsidRDefault="00011DE9">
      <w:pPr>
        <w:pStyle w:val="P68B1DB1-Normal34"/>
        <w:spacing w:before="120" w:after="120" w:line="240" w:lineRule="auto"/>
        <w:jc w:val="both"/>
        <w:rPr>
          <w:rFonts w:cs="Times New Roman"/>
          <w:noProof/>
        </w:rPr>
      </w:pPr>
      <w:r>
        <w:rPr>
          <w:noProof/>
        </w:rPr>
        <w:t xml:space="preserve">Reforma 1 (C17.R1): Reforma legislației privind știința, tehnologia și inovarea </w:t>
      </w:r>
    </w:p>
    <w:p w14:paraId="213DEE2A" w14:textId="77777777" w:rsidR="00011DE9" w:rsidRDefault="00011DE9">
      <w:pPr>
        <w:pStyle w:val="P68B1DB1-Normal32"/>
        <w:spacing w:before="120" w:after="120" w:line="240" w:lineRule="auto"/>
        <w:jc w:val="both"/>
        <w:rPr>
          <w:noProof/>
        </w:rPr>
      </w:pPr>
      <w:r>
        <w:rPr>
          <w:noProof/>
        </w:rPr>
        <w:t xml:space="preserve">Obiectivul acestei măsuri este de a consolida cadrul de reglementare pentru sectorul științei, tehnologiei și inovării, pentru a consolida guvernanța și coordonarea sectorului, pentru a crea o carieră științifică atractivă și pentru a îmbunătăți transferul de cunoștințe de la cercetare la produse/servicii aplicate pentru societate. În special, Spania actualizează Legea nr. 14/2011 privind știința, tehnologia și inovarea, îmbunătățind coordonarea politicilor în domeniul științei, cercetării și inovării, consolidând guvernanța și coordonarea sistemului spaniol de știință, tehnologie și inovare, introducând o nouă carieră științifică și consolidând transferul de cunoștințe. </w:t>
      </w:r>
    </w:p>
    <w:p w14:paraId="5FE67E8C" w14:textId="77777777" w:rsidR="00011DE9" w:rsidRDefault="00011DE9">
      <w:pPr>
        <w:pStyle w:val="P68B1DB1-Normal32"/>
        <w:spacing w:before="120" w:after="120" w:line="240" w:lineRule="auto"/>
        <w:jc w:val="both"/>
        <w:rPr>
          <w:noProof/>
        </w:rPr>
      </w:pPr>
      <w:r>
        <w:rPr>
          <w:noProof/>
        </w:rPr>
        <w:t>Această măsură este legată de investițiile incluse în C17.I1, C17.I4 și C17.I5 descrise mai jos.</w:t>
      </w:r>
    </w:p>
    <w:p w14:paraId="2891B107" w14:textId="77777777" w:rsidR="00011DE9" w:rsidRDefault="00011DE9">
      <w:pPr>
        <w:pStyle w:val="P68B1DB1-Normal32"/>
        <w:autoSpaceDE w:val="0"/>
        <w:autoSpaceDN w:val="0"/>
        <w:spacing w:before="40" w:after="40" w:line="276" w:lineRule="auto"/>
        <w:rPr>
          <w:noProof/>
        </w:rPr>
      </w:pPr>
      <w:r>
        <w:rPr>
          <w:noProof/>
        </w:rPr>
        <w:t xml:space="preserve">Punerea în aplicare a măsurii se finalizează până la 30 iunie 2022. </w:t>
      </w:r>
    </w:p>
    <w:p w14:paraId="78413028" w14:textId="77777777" w:rsidR="00011DE9" w:rsidRDefault="00011DE9">
      <w:pPr>
        <w:autoSpaceDE w:val="0"/>
        <w:autoSpaceDN w:val="0"/>
        <w:spacing w:before="40" w:after="40" w:line="276" w:lineRule="auto"/>
        <w:rPr>
          <w:rFonts w:ascii="Times New Roman" w:eastAsia="Calibri" w:hAnsi="Times New Roman" w:cs="Times New Roman"/>
          <w:noProof/>
          <w:kern w:val="0"/>
          <w14:ligatures w14:val="none"/>
        </w:rPr>
      </w:pPr>
    </w:p>
    <w:p w14:paraId="77E16DD5" w14:textId="77777777" w:rsidR="00011DE9" w:rsidRDefault="00011DE9">
      <w:pPr>
        <w:pStyle w:val="P68B1DB1-Normal34"/>
        <w:spacing w:before="120" w:after="120" w:line="240" w:lineRule="auto"/>
        <w:jc w:val="both"/>
        <w:rPr>
          <w:rFonts w:cs="Times New Roman"/>
          <w:noProof/>
        </w:rPr>
      </w:pPr>
      <w:r>
        <w:rPr>
          <w:noProof/>
        </w:rPr>
        <w:t>Reforma 2 (C17.R2): Strategia spaniolă pentru știință, tehnologie și inovare 2021-2027 și</w:t>
      </w:r>
      <w:r>
        <w:rPr>
          <w:b/>
          <w:noProof/>
        </w:rPr>
        <w:t xml:space="preserve"> </w:t>
      </w:r>
      <w:r>
        <w:rPr>
          <w:noProof/>
        </w:rPr>
        <w:t>dezvoltarea avansată a sistemului informatic pentru știință, tehnologie și inovare</w:t>
      </w:r>
    </w:p>
    <w:p w14:paraId="1E3F7599" w14:textId="77777777" w:rsidR="00011DE9" w:rsidRDefault="00011DE9">
      <w:pPr>
        <w:pStyle w:val="P68B1DB1-Normal32"/>
        <w:spacing w:before="120" w:after="120" w:line="240" w:lineRule="auto"/>
        <w:jc w:val="both"/>
        <w:rPr>
          <w:noProof/>
        </w:rPr>
      </w:pPr>
      <w:r>
        <w:rPr>
          <w:noProof/>
        </w:rPr>
        <w:t xml:space="preserve">Măsura include adoptarea de către guvernul spaniol a Strategiei spaniole pentru știință, tehnologie și inovare 2021-2027. Strategia stabilește obiectivele generale pentru acest sector în perioada 2021-2027. Cu obiectivul de a îmbunătăți transferul de cunoștințe, strategia a fuzionat strategii separate anterior privind știința și tehnologia și o strategie privind inovarea. Strategia oferă un cadru general pentru orientarea atât a planurilor naționale, cât și a celor regionale în materie de C &amp; D &amp; I. În acest scop, Spania a adoptat o strategie privind „Strategia de specializare inteligentă a Spaniei”, în cadrul Fondului european de dezvoltare regională (FEDR), oferind structura pentru viitoarele strategii regionale de specializare inteligentă. </w:t>
      </w:r>
    </w:p>
    <w:p w14:paraId="038F33BF" w14:textId="77777777" w:rsidR="00011DE9" w:rsidRDefault="00011DE9">
      <w:pPr>
        <w:pStyle w:val="P68B1DB1-Normal32"/>
        <w:spacing w:before="120" w:after="120" w:line="240" w:lineRule="auto"/>
        <w:jc w:val="both"/>
        <w:rPr>
          <w:noProof/>
        </w:rPr>
      </w:pPr>
      <w:r>
        <w:rPr>
          <w:noProof/>
        </w:rPr>
        <w:t xml:space="preserve">Consiliul pentru politica în domeniul științei, tehnologiei și inovării, prezidat de Ministerul Științei și Inovării, cu reprezentanți ai principalelor ministere și regiuni, a elaborat strategia. Strategia a fost consultată cu principalele părți interesate, inclusiv cu sectorul privat, cu organizațiile publice de cercetare și cu societatea civilă. Pentru a monitoriza și a evalua strategia, a fost înființat un comitet format din reprezentanți ai statului, ai regiunilor, ai agenților economici și sociali, ai comunității științifice și inovatoare și ai societății civile. </w:t>
      </w:r>
    </w:p>
    <w:p w14:paraId="27C0CC9A" w14:textId="77777777" w:rsidR="00011DE9" w:rsidRDefault="00011DE9">
      <w:pPr>
        <w:pStyle w:val="P68B1DB1-Normal32"/>
        <w:spacing w:before="120" w:after="120" w:line="240" w:lineRule="auto"/>
        <w:jc w:val="both"/>
        <w:rPr>
          <w:noProof/>
        </w:rPr>
      </w:pPr>
      <w:r>
        <w:rPr>
          <w:noProof/>
        </w:rPr>
        <w:t>Strategia prevede rapoarte anuale de monitorizare, o evaluare intermediară (până în decembrie 2023) și o evaluare finală a strategiei. Evaluările vor aborda, de asemenea, progresele înregistrate în direcția îndeplinirii recomandărilor specifice fiecărei țări adresate Spaniei în domeniul cercetării și dezvoltării. În plus, această măsură urmărește în mod specific să consolideze sistemul de informații în domeniul științei, tehnologiei și inovării, să îmbunătățească colectarea și analiza datelor pentru monitorizarea Strategiei spaniole pentru știință, tehnologie și inovare.</w:t>
      </w:r>
    </w:p>
    <w:p w14:paraId="2A75FBD9" w14:textId="77777777" w:rsidR="00011DE9" w:rsidRDefault="00011DE9">
      <w:pPr>
        <w:pStyle w:val="P68B1DB1-Normal32"/>
        <w:autoSpaceDE w:val="0"/>
        <w:autoSpaceDN w:val="0"/>
        <w:spacing w:before="40" w:after="40" w:line="276" w:lineRule="auto"/>
        <w:rPr>
          <w:noProof/>
        </w:rPr>
      </w:pPr>
      <w:r>
        <w:rPr>
          <w:noProof/>
        </w:rPr>
        <w:t xml:space="preserve">Punerea în aplicare a măsurii se finalizează până la 30 iunie 2023. </w:t>
      </w:r>
    </w:p>
    <w:p w14:paraId="0B4B8DC0" w14:textId="77777777" w:rsidR="00011DE9" w:rsidRDefault="00011DE9">
      <w:pPr>
        <w:pStyle w:val="P68B1DB1-Normal34"/>
        <w:spacing w:before="120" w:after="120" w:line="240" w:lineRule="auto"/>
        <w:jc w:val="both"/>
        <w:rPr>
          <w:rFonts w:cs="Times New Roman"/>
          <w:noProof/>
        </w:rPr>
      </w:pPr>
      <w:r>
        <w:rPr>
          <w:noProof/>
        </w:rPr>
        <w:t>Reforma 3 (C17.R3): Reorganizarea organizațiilor publice de cercetare și raționalizarea structurii și funcționării acestora</w:t>
      </w:r>
    </w:p>
    <w:p w14:paraId="6C89B106" w14:textId="77777777" w:rsidR="00011DE9" w:rsidRDefault="00011DE9">
      <w:pPr>
        <w:pStyle w:val="P68B1DB1-Normal32"/>
        <w:spacing w:before="120" w:after="120" w:line="240" w:lineRule="auto"/>
        <w:jc w:val="both"/>
        <w:rPr>
          <w:noProof/>
        </w:rPr>
      </w:pPr>
      <w:r>
        <w:rPr>
          <w:noProof/>
        </w:rPr>
        <w:t xml:space="preserve">Obiectivul acestei măsuri este de a spori eficacitatea organizațiilor publice de cercetare, după o analiză a provocărilor, prin reorganizarea organizațiilor publice de cercetare, inclusiv a structurii lor de guvernanță. La începutul anului 2021, un comitet de experți a efectuat o analiză a organizațiilor care implementează răspunderea extinsă a producătorilor și a concluzionat că agențiile de cercetare mai mari, independente și flexibile dispun de structuri mai bune pentru a concura. </w:t>
      </w:r>
    </w:p>
    <w:p w14:paraId="79592ECF" w14:textId="77777777" w:rsidR="00011DE9" w:rsidRDefault="00011DE9">
      <w:pPr>
        <w:pStyle w:val="P68B1DB1-Normal32"/>
        <w:spacing w:before="120" w:after="120" w:line="240" w:lineRule="auto"/>
        <w:jc w:val="both"/>
        <w:rPr>
          <w:noProof/>
        </w:rPr>
      </w:pPr>
      <w:r>
        <w:rPr>
          <w:noProof/>
        </w:rPr>
        <w:t>În urma acestei analize, Spania integrează în Consiliul Național de Cercetare din Spania (</w:t>
      </w:r>
      <w:r>
        <w:rPr>
          <w:i/>
          <w:noProof/>
        </w:rPr>
        <w:t>Centro Superior de Investigaciones Científicas</w:t>
      </w:r>
      <w:r>
        <w:rPr>
          <w:noProof/>
        </w:rPr>
        <w:t>, CSIC) trei PROS: Institutul Național de Cercetare Agricolă și Alimentară (</w:t>
      </w:r>
      <w:r>
        <w:rPr>
          <w:i/>
          <w:noProof/>
        </w:rPr>
        <w:t>Instituto Nacional de Investigación y Tecnología Agraria</w:t>
      </w:r>
      <w:r>
        <w:rPr>
          <w:noProof/>
        </w:rPr>
        <w:t>, INIA), Institutul spaniol de oceanografie (</w:t>
      </w:r>
      <w:r>
        <w:rPr>
          <w:i/>
          <w:noProof/>
        </w:rPr>
        <w:t>Instituto Español de Oceanografía</w:t>
      </w:r>
      <w:r>
        <w:rPr>
          <w:noProof/>
        </w:rPr>
        <w:t>,</w:t>
      </w:r>
      <w:r>
        <w:rPr>
          <w:noProof/>
          <w:shd w:val="clear" w:color="auto" w:fill="E6E6E6"/>
        </w:rPr>
        <w:t xml:space="preserve"> </w:t>
      </w:r>
      <w:r>
        <w:rPr>
          <w:noProof/>
        </w:rPr>
        <w:t>IEO) și Institutul Geologic și Minier din Spania (</w:t>
      </w:r>
      <w:r>
        <w:rPr>
          <w:i/>
          <w:noProof/>
        </w:rPr>
        <w:t>Instituto Geológico Minero de España</w:t>
      </w:r>
      <w:r>
        <w:rPr>
          <w:noProof/>
        </w:rPr>
        <w:t xml:space="preserve">, IGME). Această reorganizare consolidează capacitatea de expertiză a Spaniei în ceea ce privește politica în domeniul pescuitului și tranziția agroalimentară și ecologică. Cele trei organizații care implementează răspunderea extinsă a producătorilor au regimul juridic al unei agenții de stat, care oferă o mai mare flexibilitate și un cadru bazat pe performanță stabilit într-un contract de gestionare multianual. În plus, Spania introduce întocmirea bugetului în funcție de performanțe. Reforma consolidează guvernanța, evaluarea performanței și controlul entității rezultate. </w:t>
      </w:r>
    </w:p>
    <w:p w14:paraId="6D65B04F" w14:textId="77777777" w:rsidR="00011DE9" w:rsidRDefault="00011DE9">
      <w:pPr>
        <w:pStyle w:val="P68B1DB1-Normal35"/>
        <w:spacing w:before="120" w:after="120" w:line="240" w:lineRule="auto"/>
        <w:jc w:val="both"/>
        <w:rPr>
          <w:rFonts w:cs="Times New Roman"/>
          <w:noProof/>
        </w:rPr>
      </w:pPr>
      <w:r>
        <w:rPr>
          <w:noProof/>
        </w:rPr>
        <w:t xml:space="preserve">Punerea în aplicare a măsurii se finalizează până la 31 decembrie 2022. </w:t>
      </w:r>
    </w:p>
    <w:p w14:paraId="7129C34D" w14:textId="77777777" w:rsidR="00011DE9" w:rsidRDefault="00011DE9">
      <w:pPr>
        <w:pStyle w:val="P68B1DB1-Normal34"/>
        <w:keepNext/>
        <w:spacing w:before="120" w:after="120" w:line="240" w:lineRule="auto"/>
        <w:jc w:val="both"/>
        <w:rPr>
          <w:rFonts w:cs="Times New Roman"/>
          <w:noProof/>
        </w:rPr>
      </w:pPr>
      <w:r>
        <w:rPr>
          <w:noProof/>
        </w:rPr>
        <w:t>Investiția 1 (C17.I1): Planuri complementare de cercetare și dezvoltare cu comunitățile autonome</w:t>
      </w:r>
    </w:p>
    <w:p w14:paraId="6A3663DF" w14:textId="77777777" w:rsidR="00011DE9" w:rsidRDefault="00011DE9">
      <w:pPr>
        <w:pStyle w:val="P68B1DB1-Normal32"/>
        <w:keepNext/>
        <w:spacing w:before="120" w:after="120" w:line="240" w:lineRule="auto"/>
        <w:jc w:val="both"/>
        <w:rPr>
          <w:noProof/>
        </w:rPr>
      </w:pPr>
      <w:r>
        <w:rPr>
          <w:noProof/>
        </w:rPr>
        <w:t xml:space="preserve">Obiectivul acestei măsuri este de a promova coordonarea la nivel de stat cu regiunile în domeniul C &amp; D &amp; I prin stabilirea unor planuri complementare de C &amp; D &amp; I care să fie cofinanțate de MRR și de regiuni. Acest nou instrument va continua, de asemenea, colaborarea dintre regiuni, deoarece acestea stabilesc priorități comune în cadrul strategiilor lor regionale de specializare inteligentă (RIS3). </w:t>
      </w:r>
    </w:p>
    <w:p w14:paraId="43A24870" w14:textId="77777777" w:rsidR="00011DE9" w:rsidRDefault="00011DE9">
      <w:pPr>
        <w:pStyle w:val="P68B1DB1-Normal32"/>
        <w:spacing w:before="120" w:after="120" w:line="240" w:lineRule="auto"/>
        <w:jc w:val="both"/>
        <w:rPr>
          <w:noProof/>
        </w:rPr>
      </w:pPr>
      <w:r>
        <w:rPr>
          <w:noProof/>
        </w:rPr>
        <w:t>În conformitate cu Strategia spaniolă pentru știință, tehnologie și inovare 2021-2027, planurile complementare îmbunătățesc generarea de cunoștințe și inovarea tehnologică, coordonarea diferitelor niveluri de guvernare și stimulează transformarea economică teritorială în următoarele domenii strategice: comunicarea cuantică, energia și hidrogenul verde, sectorul agroalimentar, biodiversitatea, astrofizica și fizica de înaltă energie, știința marină, știința materialelor și biotehnologia aplicată sănătății. Pentru a construi sinergii teritoriale, planurile complementare au în vedere participarea mai multor regiuni la un program, cu posibilitatea de a participa la mai multe programe. Astfel, este posibil să se includă și să se mobilizeze capacități regionale specifice în mai multe planuri. Planurile au o durată de doi sau trei ani și necesită angajamente de cofinanțare din partea regiunilor.</w:t>
      </w:r>
    </w:p>
    <w:p w14:paraId="43C1D624" w14:textId="77777777" w:rsidR="00011DE9" w:rsidRDefault="00011DE9">
      <w:pPr>
        <w:pStyle w:val="P68B1DB1-Normal32"/>
        <w:spacing w:before="120" w:after="120" w:line="240" w:lineRule="auto"/>
        <w:jc w:val="both"/>
        <w:rPr>
          <w:noProof/>
        </w:rPr>
      </w:pPr>
      <w:r>
        <w:rPr>
          <w:noProof/>
        </w:rPr>
        <w:t xml:space="preserve">Acțiunile din cadrul acestei investiții includ semnarea a opt acorduri financiare între Ministerul Științei și Inovării și regiuni. </w:t>
      </w:r>
    </w:p>
    <w:p w14:paraId="7E40FAAA" w14:textId="77777777" w:rsidR="00011DE9" w:rsidRDefault="00011DE9">
      <w:pPr>
        <w:pStyle w:val="P68B1DB1-Normal35"/>
        <w:spacing w:before="120" w:after="120" w:line="240" w:lineRule="auto"/>
        <w:jc w:val="both"/>
        <w:rPr>
          <w:rFonts w:cs="Times New Roman"/>
          <w:noProof/>
        </w:rPr>
      </w:pPr>
      <w:r>
        <w:rPr>
          <w:noProof/>
        </w:rPr>
        <w:t xml:space="preserve">Punerea în aplicare a investiției se finalizează până la 31 decembrie 2025. </w:t>
      </w:r>
    </w:p>
    <w:p w14:paraId="1DDD58ED" w14:textId="24844E31" w:rsidR="00011DE9" w:rsidRDefault="00011DE9">
      <w:pPr>
        <w:pStyle w:val="P68B1DB1-Normal34"/>
        <w:spacing w:before="120" w:after="120" w:line="240" w:lineRule="auto"/>
        <w:jc w:val="both"/>
        <w:rPr>
          <w:rFonts w:cs="Times New Roman"/>
          <w:noProof/>
        </w:rPr>
      </w:pPr>
      <w:r>
        <w:rPr>
          <w:noProof/>
        </w:rPr>
        <w:t>Investiția 2 (C17.I2): Infrastructurile de cercetare</w:t>
      </w:r>
      <w:r w:rsidR="00971820">
        <w:rPr>
          <w:noProof/>
        </w:rPr>
        <w:t xml:space="preserve"> </w:t>
      </w:r>
    </w:p>
    <w:p w14:paraId="4FA937AA" w14:textId="77777777" w:rsidR="00011DE9" w:rsidRDefault="00011DE9">
      <w:pPr>
        <w:pStyle w:val="P68B1DB1-Normal32"/>
        <w:spacing w:before="120" w:after="120" w:line="240" w:lineRule="auto"/>
        <w:jc w:val="both"/>
        <w:rPr>
          <w:noProof/>
        </w:rPr>
      </w:pPr>
      <w:r>
        <w:rPr>
          <w:noProof/>
        </w:rPr>
        <w:t xml:space="preserve">Obiectivul acestei măsuri este de a investi în echipamentele științifice tehnice și în infrastructura sistemului de cercetare, dezvoltare și inovare. Această măsură constă în acțiuni de cercetare, dezvoltare și inovare pentru a sprijini dezvoltarea infrastructurilor științifice naționale și internaționale și capacitatea sistemului spaniol de știință, tehnologie și inovare. </w:t>
      </w:r>
    </w:p>
    <w:p w14:paraId="29C95E1C" w14:textId="77777777" w:rsidR="00011DE9" w:rsidRDefault="00011DE9">
      <w:pPr>
        <w:pStyle w:val="P68B1DB1-Normal34"/>
        <w:spacing w:before="120" w:after="120" w:line="240" w:lineRule="auto"/>
        <w:jc w:val="both"/>
        <w:rPr>
          <w:rFonts w:cs="Times New Roman"/>
          <w:noProof/>
        </w:rPr>
      </w:pPr>
      <w:r>
        <w:rPr>
          <w:noProof/>
        </w:rPr>
        <w:t>Investiția 3 (C17.I3): Noi proiecte private, interdisciplinare și publice de C &amp; D &amp; I, teste de concept și acordarea de ajutoare ca urmare a unor cereri competitive internaționale. C &amp; D de vârf orientată către provocările societale. Achiziții publice anterioare comercializării</w:t>
      </w:r>
    </w:p>
    <w:p w14:paraId="2D2C1A7C" w14:textId="77777777" w:rsidR="00011DE9" w:rsidRDefault="00011DE9">
      <w:pPr>
        <w:pStyle w:val="P68B1DB1-Normal32"/>
        <w:spacing w:before="120" w:after="120" w:line="240" w:lineRule="auto"/>
        <w:jc w:val="both"/>
        <w:rPr>
          <w:noProof/>
        </w:rPr>
      </w:pPr>
      <w:r>
        <w:rPr>
          <w:noProof/>
        </w:rPr>
        <w:t xml:space="preserve">Obiectivul acțiunilor din cadrul acestei investiții este de a consolida generarea de cunoștințe, transferul de cunoștințe și parteneriatele public-privat în domeniul C &amp; D &amp; I. Prin acțiunile din cadrul acestei investiții, se intensifică activitatea de cercetare și inovare în sectorul privat și se consolidează colaborarea dintre organizațiile publice de cercetare și sectorul privat. Măsura urmărește, de asemenea, să intensifice activitatea de C &amp; D &amp; I în domenii strategice, cum ar fi tranziția verde și cea digitală, precum și să sporească internaționalizarea grupurilor de cercetare spaniole. </w:t>
      </w:r>
    </w:p>
    <w:p w14:paraId="1000D760" w14:textId="77777777" w:rsidR="00011DE9" w:rsidRDefault="00011DE9">
      <w:pPr>
        <w:pStyle w:val="P68B1DB1-Normal32"/>
        <w:spacing w:before="120" w:after="120" w:line="240" w:lineRule="auto"/>
        <w:jc w:val="both"/>
        <w:rPr>
          <w:rFonts w:eastAsia="Times New Roman"/>
          <w:noProof/>
        </w:rPr>
      </w:pPr>
      <w:r>
        <w:rPr>
          <w:noProof/>
        </w:rPr>
        <w:t xml:space="preserve">În cadrul acestei investiții sunt prevăzute nouă cereri de propuneri: 1) o cerere de validare a </w:t>
      </w:r>
      <w:r>
        <w:rPr>
          <w:i/>
          <w:noProof/>
        </w:rPr>
        <w:t>conceptului</w:t>
      </w:r>
      <w:r>
        <w:rPr>
          <w:noProof/>
        </w:rPr>
        <w:t xml:space="preserve"> finanțează proiecte în primele etape ale dezvoltării preconcurențiale pentru a accelera transformarea cunoștințelor științifice în produse sau servicii, 2) o cerere de proiecte </w:t>
      </w:r>
      <w:r>
        <w:rPr>
          <w:i/>
          <w:noProof/>
        </w:rPr>
        <w:t>interdisciplinare finanțează</w:t>
      </w:r>
      <w:r>
        <w:rPr>
          <w:noProof/>
        </w:rPr>
        <w:t xml:space="preserve"> proiecte ale consorțiilor public-privat care consolidează competitivitatea C &amp; D &amp; I din Spania, 3) o cerere de proiecte </w:t>
      </w:r>
      <w:r>
        <w:rPr>
          <w:i/>
          <w:noProof/>
        </w:rPr>
        <w:t>C &amp; D &amp; I legate de tranziția verde și digitală, 4) o cerere de proiecte</w:t>
      </w:r>
      <w:r>
        <w:rPr>
          <w:noProof/>
        </w:rPr>
        <w:t xml:space="preserve"> de </w:t>
      </w:r>
      <w:r>
        <w:rPr>
          <w:i/>
          <w:noProof/>
        </w:rPr>
        <w:t>colaborare public-privat pentru a finanța</w:t>
      </w:r>
      <w:r>
        <w:rPr>
          <w:noProof/>
        </w:rPr>
        <w:t xml:space="preserve"> proiecte cu un nivel mai ridicat de pregătire tehnologică orientate către obținerea unor rezultate apropiate de piață, 5) o cerere de proiecte de </w:t>
      </w:r>
      <w:r>
        <w:rPr>
          <w:i/>
          <w:noProof/>
        </w:rPr>
        <w:t>colaborare internațională pentru a finanța</w:t>
      </w:r>
      <w:r>
        <w:rPr>
          <w:noProof/>
        </w:rPr>
        <w:t xml:space="preserve"> proiecte ale cercetătorilor publici spanioli care fac parte din proiectele selectate pentru finanțare prin parteneriatele Orizont 2020 și Orizont Europa, 6) o cerere de proiecte de C &amp; D pentru a viza provocările societale, inclusiv, de exemplu, energia sigură, eficientă și curată sau securitatea cibernetică</w:t>
      </w:r>
      <w:r>
        <w:rPr>
          <w:i/>
          <w:noProof/>
        </w:rPr>
        <w:t>, 7) o cerere de finanțare a achizițiilor publice precomerciale,</w:t>
      </w:r>
      <w:r>
        <w:rPr>
          <w:noProof/>
        </w:rPr>
        <w:t xml:space="preserve"> 8) o cerere de proiecte de C &amp; D &amp; I în domeniul semiconductorilor („Misiuni pentru știință și inovare legate de PERChiTE”) și 9) o cerere de validare a conceptului în domeniul semiconductorilor legate de ERPTE Chip. </w:t>
      </w:r>
    </w:p>
    <w:p w14:paraId="0B532691" w14:textId="779265CA" w:rsidR="00011DE9" w:rsidRDefault="00011DE9">
      <w:pPr>
        <w:pStyle w:val="P68B1DB1-Normal32"/>
        <w:spacing w:before="120" w:after="120" w:line="240" w:lineRule="auto"/>
        <w:jc w:val="both"/>
        <w:rPr>
          <w:noProof/>
        </w:rPr>
      </w:pPr>
      <w:r>
        <w:rPr>
          <w:noProof/>
        </w:rPr>
        <w:t>Investițiile din cadrul acestei măsuri vor avea loc în perioada 2020-2026, cererile de propuneri și achizițiile publice înainte de comercializare urmând să fie concentrate în perioada 2020-2025, iar punerea în aplicare a unora dintre investițiile mai complexe urmând să se întindă până în 2026.</w:t>
      </w:r>
      <w:r w:rsidR="00971820">
        <w:rPr>
          <w:noProof/>
        </w:rPr>
        <w:t xml:space="preserve"> </w:t>
      </w:r>
      <w:r>
        <w:rPr>
          <w:noProof/>
        </w:rPr>
        <w:t xml:space="preserve"> </w:t>
      </w:r>
    </w:p>
    <w:p w14:paraId="0FFB2DFE" w14:textId="77777777" w:rsidR="00011DE9" w:rsidRDefault="00011DE9">
      <w:pPr>
        <w:pStyle w:val="P68B1DB1-Normal36"/>
        <w:spacing w:before="120" w:after="120" w:line="240" w:lineRule="auto"/>
        <w:jc w:val="both"/>
        <w:rPr>
          <w:rFonts w:cs="Times New Roman"/>
          <w:noProof/>
        </w:rPr>
      </w:pPr>
      <w:r>
        <w:rPr>
          <w:noProof/>
        </w:rPr>
        <w:t>Pentru a se asigura că măsura respectă Orientările tehnice de „a nu prejudicia în mod semnificativ” (2021/C58/01), criteriile de eligibilitate cuprinse în termenii de referință pentru viitoarele cereri de proiecte exclud următoarea listă de activități: (I) activități legate de combustibilii fosili, inclusiv utilizarea în aval</w:t>
      </w:r>
      <w:r>
        <w:rPr>
          <w:noProof/>
        </w:rPr>
        <w:footnoteReference w:id="118"/>
      </w:r>
      <w:r>
        <w:rPr>
          <w:noProof/>
        </w:rPr>
        <w:t>; (II) activitățile din cadrul schemei UE de comercializare a certificatelor de emisii (ETS) care realizează emisii preconizate de gaze cu efect de seră care nu sunt mai mici decât valorile de referință relevante</w:t>
      </w:r>
      <w:r>
        <w:rPr>
          <w:noProof/>
        </w:rPr>
        <w:footnoteReference w:id="119"/>
      </w:r>
      <w:r>
        <w:rPr>
          <w:noProof/>
        </w:rPr>
        <w:t>; (III) activități legate de depozitele de deșeuri, incineratoare</w:t>
      </w:r>
      <w:r>
        <w:rPr>
          <w:noProof/>
        </w:rPr>
        <w:footnoteReference w:id="120"/>
      </w:r>
      <w:r>
        <w:rPr>
          <w:noProof/>
        </w:rPr>
        <w:t xml:space="preserve"> și stații de tratare mecano-biologică</w:t>
      </w:r>
      <w:r>
        <w:rPr>
          <w:noProof/>
        </w:rPr>
        <w:footnoteReference w:id="121"/>
      </w:r>
      <w:r>
        <w:rPr>
          <w:noProof/>
        </w:rPr>
        <w:t>; și (iv) activități în care eliminarea pe termen lung a deșeurilor poate dăuna mediului. În plus, termenii de referință prevăd că pot fi selectate numai activitățile care respectă legislația UE și națională relevantă în materie de mediu.</w:t>
      </w:r>
    </w:p>
    <w:p w14:paraId="32202E49" w14:textId="77777777" w:rsidR="00011DE9" w:rsidRDefault="00011DE9">
      <w:pPr>
        <w:pStyle w:val="P68B1DB1-Normal32"/>
        <w:spacing w:before="120" w:after="120" w:line="240" w:lineRule="auto"/>
        <w:jc w:val="both"/>
        <w:rPr>
          <w:noProof/>
        </w:rPr>
      </w:pPr>
      <w:r>
        <w:rPr>
          <w:noProof/>
        </w:rPr>
        <w:t>Următoarele acțiuni de C &amp; D &amp; I din cadrul acestei investiții sunt considerate conforme cu Orientările tehnice de „a nu prejudicia în mod semnificativ” (2021/C58/01): (I) acele acțiuni de C &amp; D &amp; I din cadrul acestei investiții care au ca rezultat rezultate neutre din punct de vedere tehnologic la nivelul aplicării lor; (II) acțiunile de C &amp; D &amp; I din cadrul acestei investiții care sprijină alternative cu impact redus asupra mediului pentru care acestea există; sau (iii) acele acțiuni de C &amp; D &amp; I din cadrul acestei investiții care se axează în principal pe dezvoltarea de alternative cu cel mai mic impact posibil asupra mediului în acest sector pentru activitățile pentru care nu există alternative cu impact redus fezabile din punct de vedere tehnologic și economic.</w:t>
      </w:r>
    </w:p>
    <w:p w14:paraId="179C652A" w14:textId="77777777" w:rsidR="00011DE9" w:rsidRDefault="00011DE9">
      <w:pPr>
        <w:pStyle w:val="P68B1DB1-Normal32"/>
        <w:autoSpaceDE w:val="0"/>
        <w:autoSpaceDN w:val="0"/>
        <w:spacing w:before="40" w:after="40" w:line="276" w:lineRule="auto"/>
        <w:rPr>
          <w:noProof/>
        </w:rPr>
      </w:pPr>
      <w:r>
        <w:rPr>
          <w:noProof/>
        </w:rPr>
        <w:t xml:space="preserve">Punerea în aplicare a investiției se finalizează până la 30 iunie 2023. </w:t>
      </w:r>
    </w:p>
    <w:p w14:paraId="65E1AA09" w14:textId="77777777" w:rsidR="00011DE9" w:rsidRDefault="00011DE9">
      <w:pPr>
        <w:pStyle w:val="P68B1DB1-Normal34"/>
        <w:keepNext/>
        <w:spacing w:before="120" w:after="120" w:line="240" w:lineRule="auto"/>
        <w:jc w:val="both"/>
        <w:rPr>
          <w:noProof/>
        </w:rPr>
      </w:pPr>
      <w:r>
        <w:rPr>
          <w:noProof/>
        </w:rPr>
        <w:t>Investiția 4 (C17.I4): O nouă carieră științifică</w:t>
      </w:r>
    </w:p>
    <w:p w14:paraId="1D451ACD" w14:textId="77777777" w:rsidR="00011DE9" w:rsidRDefault="00011DE9">
      <w:pPr>
        <w:pStyle w:val="P68B1DB1-Normal32"/>
        <w:spacing w:before="120" w:after="120" w:line="240" w:lineRule="auto"/>
        <w:jc w:val="both"/>
        <w:rPr>
          <w:noProof/>
        </w:rPr>
      </w:pPr>
      <w:r>
        <w:rPr>
          <w:noProof/>
        </w:rPr>
        <w:t xml:space="preserve">Obiectivul acestei măsuri este de a investi în cariera științifică a cercetătorilor. Această măsură constă în acțiuni de cercetare, dezvoltare și inovare menite să sprijine carierele științifice prin acordarea de granturi și contracte. </w:t>
      </w:r>
    </w:p>
    <w:p w14:paraId="7F21E3CA" w14:textId="77777777" w:rsidR="00011DE9" w:rsidRDefault="00011DE9">
      <w:pPr>
        <w:pStyle w:val="P68B1DB1-Normal34"/>
        <w:spacing w:before="120" w:after="120" w:line="240" w:lineRule="auto"/>
        <w:jc w:val="both"/>
        <w:rPr>
          <w:rFonts w:cs="Times New Roman"/>
          <w:noProof/>
        </w:rPr>
      </w:pPr>
      <w:r>
        <w:rPr>
          <w:noProof/>
        </w:rPr>
        <w:t>Investiția 5 (C17.I5): Transfer de cunoștințe</w:t>
      </w:r>
    </w:p>
    <w:p w14:paraId="522CBADC" w14:textId="77777777" w:rsidR="00011DE9" w:rsidRDefault="00011DE9">
      <w:pPr>
        <w:pStyle w:val="P68B1DB1-Normal32"/>
        <w:spacing w:before="120" w:after="120" w:line="240" w:lineRule="auto"/>
        <w:jc w:val="both"/>
        <w:rPr>
          <w:noProof/>
        </w:rPr>
      </w:pPr>
      <w:r>
        <w:rPr>
          <w:noProof/>
        </w:rPr>
        <w:t xml:space="preserve">Obiectivul acestei măsuri este de a investi în transferul rezultatelor cercetării în domeniul tehnologiilor. Această măsură constă în acțiuni de cercetare, dezvoltare și inovare pentru a sprijini transferul de cunoștințe, inclusiv activități de consolidare a capacităților. </w:t>
      </w:r>
    </w:p>
    <w:p w14:paraId="19097B24" w14:textId="77777777" w:rsidR="00011DE9" w:rsidRDefault="00011DE9">
      <w:pPr>
        <w:pStyle w:val="P68B1DB1-Normal34"/>
        <w:spacing w:before="120" w:after="120" w:line="240" w:lineRule="auto"/>
        <w:jc w:val="both"/>
        <w:rPr>
          <w:rFonts w:cs="Times New Roman"/>
          <w:noProof/>
        </w:rPr>
      </w:pPr>
      <w:r>
        <w:rPr>
          <w:noProof/>
        </w:rPr>
        <w:t>Investiția 6 (C17.I6): Sănătate</w:t>
      </w:r>
    </w:p>
    <w:p w14:paraId="1BC5D92A" w14:textId="77777777" w:rsidR="00011DE9" w:rsidRDefault="00011DE9">
      <w:pPr>
        <w:pStyle w:val="P68B1DB1-Normal8"/>
        <w:spacing w:before="120" w:after="120" w:line="240" w:lineRule="auto"/>
        <w:jc w:val="both"/>
        <w:rPr>
          <w:noProof/>
        </w:rPr>
      </w:pPr>
      <w:r>
        <w:rPr>
          <w:noProof/>
        </w:rPr>
        <w:t>Obiectivul acestei măsuri este de a investi în cercetare, dezvoltare și inovare în sectorul sănătății. Această măsură constă în acțiuni de sprijinire a PERTE Health și a cercetării, dezvoltării și inovării în domeniul sănătății. .</w:t>
      </w:r>
    </w:p>
    <w:p w14:paraId="1028E5DF" w14:textId="77777777" w:rsidR="00011DE9" w:rsidRDefault="00011DE9">
      <w:pPr>
        <w:pStyle w:val="P68B1DB1-Normal34"/>
        <w:spacing w:before="120" w:after="120" w:line="240" w:lineRule="auto"/>
        <w:jc w:val="both"/>
        <w:rPr>
          <w:rFonts w:cs="Times New Roman"/>
          <w:noProof/>
        </w:rPr>
      </w:pPr>
      <w:r>
        <w:rPr>
          <w:noProof/>
        </w:rPr>
        <w:t>Investiția 7 (C17.I7): Mediu, schimbări climatice și energie</w:t>
      </w:r>
    </w:p>
    <w:p w14:paraId="0C0745AD" w14:textId="77777777" w:rsidR="00011DE9" w:rsidRDefault="00011DE9">
      <w:pPr>
        <w:pStyle w:val="P68B1DB1-Normal32"/>
        <w:spacing w:before="120" w:after="120" w:line="240" w:lineRule="auto"/>
        <w:jc w:val="both"/>
        <w:rPr>
          <w:noProof/>
        </w:rPr>
      </w:pPr>
      <w:r>
        <w:rPr>
          <w:noProof/>
        </w:rPr>
        <w:t xml:space="preserve">Obiectivul acestei măsuri este de a investi în cercetare, dezvoltare și inovare în sectoarele mediului, schimbărilor climatice și energiei. Această măsură constă în acțiuni de cercetare, dezvoltare și inovare pentru a sprijini consolidarea capacităților și construirea unui echipament tehnic pentru tranziția energetică și stocarea energiei. </w:t>
      </w:r>
    </w:p>
    <w:p w14:paraId="0E08B107" w14:textId="348264DD" w:rsidR="00011DE9" w:rsidRDefault="00011DE9">
      <w:pPr>
        <w:pStyle w:val="P68B1DB1-Normal34"/>
        <w:keepNext/>
        <w:spacing w:before="120" w:after="120" w:line="240" w:lineRule="auto"/>
        <w:jc w:val="both"/>
        <w:rPr>
          <w:rFonts w:cs="Times New Roman"/>
          <w:noProof/>
        </w:rPr>
      </w:pPr>
      <w:r>
        <w:rPr>
          <w:noProof/>
        </w:rPr>
        <w:t>Investiția 8 (C17.I8): C &amp; D &amp; I durabile în sectorul autovehiculelor</w:t>
      </w:r>
      <w:r w:rsidR="00971820">
        <w:rPr>
          <w:noProof/>
        </w:rPr>
        <w:t xml:space="preserve"> </w:t>
      </w:r>
    </w:p>
    <w:p w14:paraId="7E7C0F57" w14:textId="77777777" w:rsidR="00011DE9" w:rsidRDefault="00011DE9">
      <w:pPr>
        <w:pStyle w:val="P68B1DB1-Normal32"/>
        <w:keepNext/>
        <w:spacing w:before="120" w:after="120" w:line="240" w:lineRule="auto"/>
        <w:jc w:val="both"/>
        <w:rPr>
          <w:noProof/>
        </w:rPr>
      </w:pPr>
      <w:r>
        <w:rPr>
          <w:noProof/>
        </w:rPr>
        <w:t xml:space="preserve">Obiectivul acestei măsuri este de a promova cercetarea, dezvoltarea și inovarea în sectorul autovehiculelor durabile. În special, măsura urmărește: 1) sprijinirea dezvoltării de componente și platforme exclusiv pentru vehiculele electrice, hibride reîncărcabile și pe bază de hidrogen, 2) promovarea cercetării și dezvoltării în domeniul conducerii autonome și al mobilității conectate prin dezvoltarea unei noi arhitecturi a vehiculelor hardware și software și 3) adaptarea zonelor de producție a componentelor și sistemelor exclusiv pentru vehiculele electrice, hibride reîncărcabile și pe bază de hidrogen. Proiectele sunt puse în aplicare de consorții de întreprinderi formate din trei până la opt întreprinderi (cel puțin una trebuie să fie un IMM), cu o durată maximă de trei ani. </w:t>
      </w:r>
    </w:p>
    <w:p w14:paraId="7865667A" w14:textId="77777777" w:rsidR="00011DE9" w:rsidRDefault="00011DE9">
      <w:pPr>
        <w:pStyle w:val="P68B1DB1-Normal32"/>
        <w:spacing w:before="120" w:after="120" w:line="240" w:lineRule="auto"/>
        <w:jc w:val="both"/>
        <w:rPr>
          <w:noProof/>
        </w:rPr>
      </w:pPr>
      <w:r>
        <w:rPr>
          <w:noProof/>
        </w:rPr>
        <w:t xml:space="preserve">Acțiunile din cadrul acestei investiții se desfășoară prin cereri de propuneri. </w:t>
      </w:r>
    </w:p>
    <w:p w14:paraId="6519497C" w14:textId="77777777" w:rsidR="00011DE9" w:rsidRDefault="00011DE9">
      <w:pPr>
        <w:pStyle w:val="P68B1DB1-Normal36"/>
        <w:spacing w:before="120" w:after="120" w:line="240" w:lineRule="auto"/>
        <w:jc w:val="both"/>
        <w:rPr>
          <w:rFonts w:cs="Times New Roman"/>
          <w:noProof/>
        </w:rPr>
      </w:pPr>
      <w:r>
        <w:rPr>
          <w:noProof/>
        </w:rPr>
        <w:t>Pentru a se asigura că măsura respectă Orientările tehnice de „a nu prejudicia în mod semnificativ” (2021/C58/01), criteriile de eligibilitate cuprinse în termenii de referință pentru viitoarele cereri de proiecte exclud următoarea listă de activități: (I) activități legate de combustibilii fosili, inclusiv utilizarea în aval</w:t>
      </w:r>
      <w:r>
        <w:rPr>
          <w:noProof/>
        </w:rPr>
        <w:footnoteReference w:id="122"/>
      </w:r>
      <w:r>
        <w:rPr>
          <w:noProof/>
        </w:rPr>
        <w:t>; (II) activitățile din cadrul schemei UE de comercializare a certificatelor de emisii (ETS) care realizează emisii preconizate de gaze cu efect de seră care nu sunt mai mici decât valorile de referință relevante</w:t>
      </w:r>
      <w:r>
        <w:rPr>
          <w:noProof/>
        </w:rPr>
        <w:footnoteReference w:id="123"/>
      </w:r>
      <w:r>
        <w:rPr>
          <w:noProof/>
        </w:rPr>
        <w:t>; (III) activități legate de depozitele de deșeuri, incineratoare</w:t>
      </w:r>
      <w:r>
        <w:rPr>
          <w:noProof/>
        </w:rPr>
        <w:footnoteReference w:id="124"/>
      </w:r>
      <w:r>
        <w:rPr>
          <w:noProof/>
        </w:rPr>
        <w:t xml:space="preserve"> și stații de tratare mecano-biologică</w:t>
      </w:r>
      <w:r>
        <w:rPr>
          <w:noProof/>
        </w:rPr>
        <w:footnoteReference w:id="125"/>
      </w:r>
      <w:r>
        <w:rPr>
          <w:noProof/>
        </w:rPr>
        <w:t>; și (iv) activități în care eliminarea pe termen lung a deșeurilor poate dăuna mediului. În plus, termenii de referință prevăd că pot fi selectate numai activitățile care respectă legislația UE și națională relevantă în materie de mediu.</w:t>
      </w:r>
    </w:p>
    <w:p w14:paraId="1624FAEF" w14:textId="77777777" w:rsidR="00011DE9" w:rsidRDefault="00011DE9">
      <w:pPr>
        <w:pStyle w:val="P68B1DB1-Normal32"/>
        <w:spacing w:before="120" w:after="120" w:line="240" w:lineRule="auto"/>
        <w:jc w:val="both"/>
        <w:rPr>
          <w:noProof/>
        </w:rPr>
      </w:pPr>
      <w:r>
        <w:rPr>
          <w:noProof/>
        </w:rPr>
        <w:t>Următoarele acțiuni de C &amp; D &amp; I din cadrul acestei investiții sunt considerate conforme cu Orientările tehnice de „a nu prejudicia în mod semnificativ” (2021/C58/01): (I) acele acțiuni de C &amp; D &amp; I din cadrul acestei investiții care au ca rezultat rezultate neutre din punct de vedere tehnologic la nivelul aplicării lor; (II) acțiunile de C &amp; D &amp; I din cadrul acestei investiții care sprijină alternative cu impact redus asupra mediului pentru care acestea există; sau (iii) acele acțiuni de C &amp; D &amp; I din cadrul acestei investiții care se axează în principal pe dezvoltarea de alternative cu cel mai mic impact posibil asupra mediului în acest sector pentru activitățile pentru care nu există alternative cu impact redus fezabile din punct de vedere tehnologic și economic.</w:t>
      </w:r>
    </w:p>
    <w:p w14:paraId="23BB50FB" w14:textId="77777777" w:rsidR="00011DE9" w:rsidRDefault="00011DE9">
      <w:pPr>
        <w:pStyle w:val="P68B1DB1-Normal32"/>
        <w:autoSpaceDE w:val="0"/>
        <w:autoSpaceDN w:val="0"/>
        <w:spacing w:before="40" w:after="40" w:line="276" w:lineRule="auto"/>
        <w:rPr>
          <w:noProof/>
        </w:rPr>
      </w:pPr>
      <w:r>
        <w:rPr>
          <w:noProof/>
        </w:rPr>
        <w:t xml:space="preserve">Punerea în aplicare a investiției se finalizează până la 30 iunie 2024. </w:t>
      </w:r>
    </w:p>
    <w:p w14:paraId="641E82D3" w14:textId="77777777" w:rsidR="00011DE9" w:rsidRDefault="00011DE9">
      <w:pPr>
        <w:pStyle w:val="P68B1DB1-Normal34"/>
        <w:spacing w:before="120" w:after="120" w:line="240" w:lineRule="auto"/>
        <w:jc w:val="both"/>
        <w:rPr>
          <w:rFonts w:cs="Times New Roman"/>
          <w:noProof/>
        </w:rPr>
      </w:pPr>
      <w:r>
        <w:rPr>
          <w:noProof/>
        </w:rPr>
        <w:t>Investiția 9 (C17.I9): Aerospace</w:t>
      </w:r>
    </w:p>
    <w:p w14:paraId="018DCA19" w14:textId="77777777" w:rsidR="00011DE9" w:rsidRDefault="00011DE9">
      <w:pPr>
        <w:pStyle w:val="P68B1DB1-Normal8"/>
        <w:spacing w:before="120" w:after="120" w:line="240" w:lineRule="auto"/>
        <w:jc w:val="both"/>
        <w:rPr>
          <w:noProof/>
        </w:rPr>
      </w:pPr>
      <w:r>
        <w:rPr>
          <w:noProof/>
        </w:rPr>
        <w:t xml:space="preserve">Obiectivul acestei măsuri este de a investi în cercetare, dezvoltare și inovare în sectorul aerospațial. Această măsură constă în acțiuni de sprijinire a Programului tehnologic aeronautic și a PERTE Aerospace. </w:t>
      </w:r>
    </w:p>
    <w:p w14:paraId="378ED4B5" w14:textId="77777777" w:rsidR="00011DE9" w:rsidRDefault="00011DE9">
      <w:pPr>
        <w:pStyle w:val="P68B1DB1-Normal17"/>
        <w:spacing w:before="120" w:after="120" w:line="240" w:lineRule="auto"/>
        <w:jc w:val="both"/>
        <w:rPr>
          <w:noProof/>
        </w:rPr>
      </w:pPr>
      <w:r>
        <w:rPr>
          <w:noProof/>
        </w:rPr>
        <w:t xml:space="preserve">Investiția 11 (C17.I11): Contribuție voluntară la ESA pentru FutureNav, Programul UE privind conectivitatea securizată și Programul european de lansare a provocărilor </w:t>
      </w:r>
    </w:p>
    <w:p w14:paraId="7D83035C" w14:textId="77777777" w:rsidR="00011DE9" w:rsidRDefault="00011DE9">
      <w:pPr>
        <w:pStyle w:val="P68B1DB1-Normal16"/>
        <w:jc w:val="both"/>
        <w:rPr>
          <w:rFonts w:cs="Times New Roman"/>
          <w:noProof/>
        </w:rPr>
      </w:pPr>
      <w:bookmarkStart w:id="8" w:name="_Hlk216434787"/>
      <w:r>
        <w:rPr>
          <w:noProof/>
        </w:rPr>
        <w:t>Obiectivul acestei măsuri este de a sprijini autonomia strategică a Spaniei și accesul său la spațiu prin dezvoltarea de sisteme prin satelit, de sisteme de comunicații securizate și de tehnologii de lansare, precum și de a sprijini și a aduce beneficii programelor spațiale ale Uniunii. Măsura constă într-o contribuție voluntară de 300 000 000 EUR la Agenția Spațială Europeană (ESA) pentru a extinde sprijinul Spaniei pentru următoarele programe ESA: a) programul FutureNAV, în componenta sa de element 1 LEO PNT; b) Programul privind conectivitatea securizată a UE, în elementul său 3 (LEO IRIS 2 scăzut) și c) Programul european de lansare în provocare, în elementul său ELC Element 2 MIURA Launch Service Component B.</w:t>
      </w:r>
    </w:p>
    <w:bookmarkEnd w:id="8"/>
    <w:p w14:paraId="2624E366" w14:textId="77777777" w:rsidR="00011DE9" w:rsidRDefault="00011DE9">
      <w:pPr>
        <w:spacing w:before="120" w:after="120" w:line="240" w:lineRule="auto"/>
        <w:jc w:val="both"/>
        <w:rPr>
          <w:rFonts w:ascii="Times New Roman" w:eastAsia="Calibri" w:hAnsi="Times New Roman" w:cs="Arial"/>
          <w:noProof/>
          <w:kern w:val="0"/>
          <w:u w:val="single"/>
          <w14:ligatures w14:val="none"/>
        </w:rPr>
      </w:pPr>
    </w:p>
    <w:p w14:paraId="70348702" w14:textId="6456C0FF" w:rsidR="00011DE9" w:rsidRDefault="00011DE9">
      <w:pPr>
        <w:pStyle w:val="P68B1DB1-Normal33"/>
        <w:spacing w:before="120" w:after="120" w:line="240" w:lineRule="auto"/>
        <w:ind w:left="720"/>
        <w:jc w:val="both"/>
        <w:rPr>
          <w:rFonts w:eastAsia="Calibri" w:cs="Times New Roman"/>
          <w:b w:val="0"/>
          <w:noProof/>
        </w:rPr>
      </w:pPr>
      <w:r>
        <w:rPr>
          <w:rFonts w:eastAsia="Calibri" w:cs="Arial"/>
          <w:noProof/>
        </w:rPr>
        <w:t>ÎNTREBAREA 2</w:t>
      </w:r>
      <w:r w:rsidR="00971820">
        <w:rPr>
          <w:rFonts w:eastAsia="Calibri" w:cs="Arial"/>
          <w:noProof/>
        </w:rPr>
        <w:t xml:space="preserve"> </w:t>
      </w:r>
      <w:r>
        <w:rPr>
          <w:rFonts w:eastAsia="Calibri" w:cs="Arial"/>
          <w:noProof/>
        </w:rPr>
        <w:t>Jaloane, ținte, indicatori și calendarul de monitorizare și implementare aplicabile sprijinului financiar nerambursabil</w:t>
      </w:r>
    </w:p>
    <w:p w14:paraId="2A2C5874" w14:textId="77777777" w:rsidR="00011DE9" w:rsidRDefault="00011DE9">
      <w:pPr>
        <w:pStyle w:val="P68B1DB1-Normal32"/>
        <w:spacing w:before="120" w:after="120" w:line="240" w:lineRule="auto"/>
        <w:jc w:val="both"/>
        <w:rPr>
          <w:noProof/>
        </w:rPr>
        <w:sectPr w:rsidR="00011DE9" w:rsidSect="00011DE9">
          <w:headerReference w:type="default" r:id="rId234"/>
          <w:footerReference w:type="default" r:id="rId235"/>
          <w:pgSz w:w="11907" w:h="16839"/>
          <w:pgMar w:top="1134" w:right="1134" w:bottom="1134" w:left="1134" w:header="567" w:footer="567" w:gutter="0"/>
          <w:cols w:space="720"/>
          <w:docGrid w:linePitch="360"/>
        </w:sect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tbl>
      <w:tblPr>
        <w:tblW w:w="15418"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69"/>
        <w:gridCol w:w="818"/>
        <w:gridCol w:w="941"/>
        <w:gridCol w:w="1950"/>
        <w:gridCol w:w="1810"/>
        <w:gridCol w:w="850"/>
        <w:gridCol w:w="993"/>
        <w:gridCol w:w="992"/>
        <w:gridCol w:w="425"/>
        <w:gridCol w:w="709"/>
        <w:gridCol w:w="4961"/>
      </w:tblGrid>
      <w:tr w:rsidR="00011DE9" w:rsidRPr="00A636A7" w14:paraId="50133316" w14:textId="77777777" w:rsidTr="00A636A7">
        <w:trPr>
          <w:trHeight w:val="309"/>
          <w:tblHeader/>
        </w:trPr>
        <w:tc>
          <w:tcPr>
            <w:tcW w:w="969" w:type="dxa"/>
            <w:vMerge w:val="restart"/>
            <w:tcBorders>
              <w:top w:val="single" w:sz="4" w:space="0" w:color="auto"/>
            </w:tcBorders>
            <w:shd w:val="clear" w:color="auto" w:fill="C6D9F1"/>
            <w:noWrap/>
            <w:vAlign w:val="center"/>
          </w:tcPr>
          <w:p w14:paraId="024A3662" w14:textId="77777777" w:rsidR="00011DE9" w:rsidRPr="00A636A7" w:rsidRDefault="00011DE9">
            <w:pPr>
              <w:pStyle w:val="P68B1DB1-Normal37"/>
              <w:spacing w:after="0" w:line="240" w:lineRule="auto"/>
              <w:jc w:val="center"/>
              <w:rPr>
                <w:rFonts w:cs="Times New Roman"/>
                <w:b/>
                <w:bCs/>
                <w:noProof/>
                <w:sz w:val="20"/>
                <w:szCs w:val="20"/>
              </w:rPr>
            </w:pPr>
            <w:r w:rsidRPr="00A636A7">
              <w:rPr>
                <w:b/>
                <w:bCs/>
                <w:noProof/>
                <w:sz w:val="20"/>
                <w:szCs w:val="20"/>
              </w:rPr>
              <w:t>Număr</w:t>
            </w:r>
          </w:p>
        </w:tc>
        <w:tc>
          <w:tcPr>
            <w:tcW w:w="818" w:type="dxa"/>
            <w:vMerge w:val="restart"/>
            <w:tcBorders>
              <w:top w:val="single" w:sz="4" w:space="0" w:color="auto"/>
            </w:tcBorders>
            <w:shd w:val="clear" w:color="auto" w:fill="C6D9F1"/>
            <w:noWrap/>
            <w:vAlign w:val="center"/>
          </w:tcPr>
          <w:p w14:paraId="7414F1B7" w14:textId="77777777" w:rsidR="00011DE9" w:rsidRPr="00A636A7" w:rsidRDefault="00011DE9">
            <w:pPr>
              <w:pStyle w:val="P68B1DB1-Normal37"/>
              <w:spacing w:after="0" w:line="240" w:lineRule="auto"/>
              <w:jc w:val="center"/>
              <w:rPr>
                <w:rFonts w:cs="Times New Roman"/>
                <w:b/>
                <w:bCs/>
                <w:noProof/>
                <w:sz w:val="20"/>
                <w:szCs w:val="20"/>
              </w:rPr>
            </w:pPr>
            <w:r w:rsidRPr="00A636A7">
              <w:rPr>
                <w:b/>
                <w:bCs/>
                <w:noProof/>
                <w:sz w:val="20"/>
                <w:szCs w:val="20"/>
              </w:rPr>
              <w:t>Măsură</w:t>
            </w:r>
          </w:p>
        </w:tc>
        <w:tc>
          <w:tcPr>
            <w:tcW w:w="941" w:type="dxa"/>
            <w:vMerge w:val="restart"/>
            <w:tcBorders>
              <w:top w:val="single" w:sz="4" w:space="0" w:color="auto"/>
            </w:tcBorders>
            <w:shd w:val="clear" w:color="auto" w:fill="C6D9F1"/>
            <w:noWrap/>
            <w:vAlign w:val="center"/>
          </w:tcPr>
          <w:p w14:paraId="6289E873" w14:textId="2A7789FA" w:rsidR="00011DE9" w:rsidRPr="00A636A7" w:rsidRDefault="00011DE9">
            <w:pPr>
              <w:pStyle w:val="P68B1DB1-Normal33"/>
              <w:spacing w:after="0" w:line="240" w:lineRule="auto"/>
              <w:jc w:val="center"/>
              <w:rPr>
                <w:rFonts w:eastAsia="Calibri" w:cs="Times New Roman"/>
                <w:bCs/>
                <w:noProof/>
                <w:sz w:val="20"/>
                <w:szCs w:val="20"/>
              </w:rPr>
            </w:pPr>
            <w:r w:rsidRPr="00A636A7">
              <w:rPr>
                <w:rFonts w:eastAsia="Calibri" w:cs="Arial"/>
                <w:bCs/>
                <w:noProof/>
                <w:sz w:val="20"/>
                <w:szCs w:val="20"/>
              </w:rPr>
              <w:t>Etapă</w:t>
            </w:r>
            <w:r w:rsidR="00971820" w:rsidRPr="00A636A7">
              <w:rPr>
                <w:rFonts w:ascii="Calibri" w:eastAsia="Calibri" w:hAnsi="Calibri" w:cs="Arial"/>
                <w:bCs/>
                <w:noProof/>
                <w:sz w:val="20"/>
                <w:szCs w:val="20"/>
              </w:rPr>
              <w:t xml:space="preserve"> </w:t>
            </w:r>
            <w:r w:rsidRPr="00A636A7">
              <w:rPr>
                <w:rFonts w:ascii="Calibri" w:eastAsia="Calibri" w:hAnsi="Calibri" w:cs="Arial"/>
                <w:bCs/>
                <w:noProof/>
                <w:sz w:val="20"/>
                <w:szCs w:val="20"/>
              </w:rPr>
              <w:br/>
            </w:r>
            <w:r w:rsidRPr="00A636A7">
              <w:rPr>
                <w:rFonts w:eastAsia="Calibri" w:cs="Arial"/>
                <w:bCs/>
                <w:noProof/>
                <w:sz w:val="20"/>
                <w:szCs w:val="20"/>
              </w:rPr>
              <w:t xml:space="preserve"> /Țintei</w:t>
            </w:r>
          </w:p>
        </w:tc>
        <w:tc>
          <w:tcPr>
            <w:tcW w:w="1950" w:type="dxa"/>
            <w:vMerge w:val="restart"/>
            <w:tcBorders>
              <w:top w:val="single" w:sz="4" w:space="0" w:color="auto"/>
            </w:tcBorders>
            <w:shd w:val="clear" w:color="auto" w:fill="C6D9F1"/>
            <w:noWrap/>
            <w:vAlign w:val="center"/>
          </w:tcPr>
          <w:p w14:paraId="5FA774FE" w14:textId="77777777" w:rsidR="00011DE9" w:rsidRPr="00A636A7" w:rsidRDefault="00011DE9">
            <w:pPr>
              <w:pStyle w:val="P68B1DB1-Normal37"/>
              <w:spacing w:after="0" w:line="240" w:lineRule="auto"/>
              <w:jc w:val="center"/>
              <w:rPr>
                <w:rFonts w:cs="Times New Roman"/>
                <w:b/>
                <w:bCs/>
                <w:noProof/>
                <w:sz w:val="20"/>
                <w:szCs w:val="20"/>
              </w:rPr>
            </w:pPr>
            <w:r w:rsidRPr="00A636A7">
              <w:rPr>
                <w:b/>
                <w:bCs/>
                <w:noProof/>
                <w:sz w:val="20"/>
                <w:szCs w:val="20"/>
              </w:rPr>
              <w:t>Nume</w:t>
            </w:r>
          </w:p>
        </w:tc>
        <w:tc>
          <w:tcPr>
            <w:tcW w:w="1810" w:type="dxa"/>
            <w:vMerge w:val="restart"/>
            <w:tcBorders>
              <w:top w:val="single" w:sz="4" w:space="0" w:color="auto"/>
            </w:tcBorders>
            <w:shd w:val="clear" w:color="auto" w:fill="C6D9F1"/>
            <w:noWrap/>
            <w:vAlign w:val="center"/>
          </w:tcPr>
          <w:p w14:paraId="36401FB9" w14:textId="77777777" w:rsidR="00011DE9" w:rsidRPr="00A636A7" w:rsidRDefault="00011DE9">
            <w:pPr>
              <w:pStyle w:val="P68B1DB1-Normal37"/>
              <w:spacing w:after="0" w:line="240" w:lineRule="auto"/>
              <w:jc w:val="center"/>
              <w:rPr>
                <w:rFonts w:cs="Times New Roman"/>
                <w:b/>
                <w:bCs/>
                <w:noProof/>
                <w:sz w:val="20"/>
                <w:szCs w:val="20"/>
              </w:rPr>
            </w:pPr>
            <w:r w:rsidRPr="00A636A7">
              <w:rPr>
                <w:b/>
                <w:bCs/>
                <w:noProof/>
                <w:sz w:val="20"/>
                <w:szCs w:val="20"/>
              </w:rPr>
              <w:t>Indicator calitativ pentru jaloane</w:t>
            </w:r>
          </w:p>
        </w:tc>
        <w:tc>
          <w:tcPr>
            <w:tcW w:w="2835" w:type="dxa"/>
            <w:gridSpan w:val="3"/>
            <w:tcBorders>
              <w:top w:val="single" w:sz="4" w:space="0" w:color="auto"/>
            </w:tcBorders>
            <w:shd w:val="clear" w:color="auto" w:fill="C6D9F1"/>
            <w:noWrap/>
            <w:vAlign w:val="center"/>
          </w:tcPr>
          <w:p w14:paraId="550DC1D1" w14:textId="77777777" w:rsidR="00011DE9" w:rsidRPr="00A636A7" w:rsidRDefault="00011DE9">
            <w:pPr>
              <w:pStyle w:val="P68B1DB1-Normal37"/>
              <w:spacing w:after="0" w:line="240" w:lineRule="auto"/>
              <w:jc w:val="center"/>
              <w:rPr>
                <w:rFonts w:cs="Times New Roman"/>
                <w:b/>
                <w:bCs/>
                <w:noProof/>
                <w:sz w:val="20"/>
                <w:szCs w:val="20"/>
              </w:rPr>
            </w:pPr>
            <w:r w:rsidRPr="00A636A7">
              <w:rPr>
                <w:b/>
                <w:bCs/>
                <w:noProof/>
                <w:sz w:val="20"/>
                <w:szCs w:val="20"/>
              </w:rPr>
              <w:t>Indicator cantitativ pentru ținte</w:t>
            </w:r>
          </w:p>
        </w:tc>
        <w:tc>
          <w:tcPr>
            <w:tcW w:w="1134" w:type="dxa"/>
            <w:gridSpan w:val="2"/>
            <w:tcBorders>
              <w:top w:val="single" w:sz="4" w:space="0" w:color="auto"/>
            </w:tcBorders>
            <w:shd w:val="clear" w:color="auto" w:fill="C6D9F1"/>
            <w:vAlign w:val="center"/>
          </w:tcPr>
          <w:p w14:paraId="0BD13EF4" w14:textId="77777777" w:rsidR="00011DE9" w:rsidRPr="00A636A7" w:rsidRDefault="00011DE9">
            <w:pPr>
              <w:pStyle w:val="P68B1DB1-Normal37"/>
              <w:spacing w:after="0" w:line="240" w:lineRule="auto"/>
              <w:jc w:val="center"/>
              <w:rPr>
                <w:rFonts w:cs="Times New Roman"/>
                <w:b/>
                <w:bCs/>
                <w:noProof/>
                <w:sz w:val="20"/>
                <w:szCs w:val="20"/>
              </w:rPr>
            </w:pPr>
            <w:r w:rsidRPr="00A636A7">
              <w:rPr>
                <w:b/>
                <w:bCs/>
                <w:noProof/>
                <w:sz w:val="20"/>
                <w:szCs w:val="20"/>
              </w:rPr>
              <w:t>Timp</w:t>
            </w:r>
          </w:p>
        </w:tc>
        <w:tc>
          <w:tcPr>
            <w:tcW w:w="4961" w:type="dxa"/>
            <w:vMerge w:val="restart"/>
            <w:tcBorders>
              <w:top w:val="single" w:sz="4" w:space="0" w:color="auto"/>
            </w:tcBorders>
            <w:shd w:val="clear" w:color="auto" w:fill="C6D9F1"/>
            <w:noWrap/>
            <w:vAlign w:val="center"/>
          </w:tcPr>
          <w:p w14:paraId="7568C9D0" w14:textId="77777777" w:rsidR="00011DE9" w:rsidRPr="00A636A7" w:rsidRDefault="00011DE9">
            <w:pPr>
              <w:pStyle w:val="P68B1DB1-Normal37"/>
              <w:spacing w:after="0" w:line="240" w:lineRule="auto"/>
              <w:jc w:val="center"/>
              <w:rPr>
                <w:rFonts w:cs="Times New Roman"/>
                <w:b/>
                <w:bCs/>
                <w:noProof/>
                <w:sz w:val="20"/>
                <w:szCs w:val="20"/>
              </w:rPr>
            </w:pPr>
            <w:r w:rsidRPr="00A636A7">
              <w:rPr>
                <w:b/>
                <w:bCs/>
                <w:noProof/>
                <w:sz w:val="20"/>
                <w:szCs w:val="20"/>
              </w:rPr>
              <w:t>Descrierea fiecărui jalon și a fiecărei ținte</w:t>
            </w:r>
          </w:p>
        </w:tc>
      </w:tr>
      <w:tr w:rsidR="00011DE9" w:rsidRPr="00A636A7" w14:paraId="71EEFDB6" w14:textId="77777777" w:rsidTr="00A636A7">
        <w:trPr>
          <w:trHeight w:val="309"/>
          <w:tblHeader/>
        </w:trPr>
        <w:tc>
          <w:tcPr>
            <w:tcW w:w="969" w:type="dxa"/>
            <w:vMerge/>
            <w:noWrap/>
            <w:vAlign w:val="center"/>
          </w:tcPr>
          <w:p w14:paraId="0B9BBD05" w14:textId="77777777" w:rsidR="00011DE9" w:rsidRPr="00A636A7" w:rsidRDefault="00011DE9">
            <w:pPr>
              <w:spacing w:after="0" w:line="240" w:lineRule="auto"/>
              <w:jc w:val="center"/>
              <w:rPr>
                <w:rFonts w:ascii="Times New Roman" w:eastAsia="Calibri" w:hAnsi="Times New Roman" w:cs="Times New Roman"/>
                <w:b/>
                <w:noProof/>
                <w:kern w:val="0"/>
                <w:sz w:val="20"/>
                <w:szCs w:val="20"/>
                <w14:ligatures w14:val="none"/>
              </w:rPr>
            </w:pPr>
          </w:p>
        </w:tc>
        <w:tc>
          <w:tcPr>
            <w:tcW w:w="818" w:type="dxa"/>
            <w:vMerge/>
            <w:noWrap/>
            <w:vAlign w:val="center"/>
          </w:tcPr>
          <w:p w14:paraId="70AF1D1D" w14:textId="77777777" w:rsidR="00011DE9" w:rsidRPr="00A636A7" w:rsidRDefault="00011DE9">
            <w:pPr>
              <w:spacing w:after="0" w:line="240" w:lineRule="auto"/>
              <w:jc w:val="center"/>
              <w:rPr>
                <w:rFonts w:ascii="Times New Roman" w:eastAsia="Calibri" w:hAnsi="Times New Roman" w:cs="Times New Roman"/>
                <w:b/>
                <w:noProof/>
                <w:kern w:val="0"/>
                <w:sz w:val="20"/>
                <w:szCs w:val="20"/>
                <w14:ligatures w14:val="none"/>
              </w:rPr>
            </w:pPr>
          </w:p>
        </w:tc>
        <w:tc>
          <w:tcPr>
            <w:tcW w:w="941" w:type="dxa"/>
            <w:vMerge/>
            <w:noWrap/>
            <w:vAlign w:val="center"/>
          </w:tcPr>
          <w:p w14:paraId="08FCD980" w14:textId="77777777" w:rsidR="00011DE9" w:rsidRPr="00A636A7" w:rsidRDefault="00011DE9">
            <w:pPr>
              <w:spacing w:after="0" w:line="240" w:lineRule="auto"/>
              <w:jc w:val="center"/>
              <w:rPr>
                <w:rFonts w:ascii="Times New Roman" w:eastAsia="Calibri" w:hAnsi="Times New Roman" w:cs="Times New Roman"/>
                <w:b/>
                <w:noProof/>
                <w:kern w:val="0"/>
                <w:sz w:val="20"/>
                <w:szCs w:val="20"/>
                <w14:ligatures w14:val="none"/>
              </w:rPr>
            </w:pPr>
          </w:p>
        </w:tc>
        <w:tc>
          <w:tcPr>
            <w:tcW w:w="1950" w:type="dxa"/>
            <w:vMerge/>
            <w:noWrap/>
            <w:vAlign w:val="center"/>
          </w:tcPr>
          <w:p w14:paraId="6730AFA1" w14:textId="77777777" w:rsidR="00011DE9" w:rsidRPr="00A636A7" w:rsidRDefault="00011DE9">
            <w:pPr>
              <w:spacing w:after="0" w:line="240" w:lineRule="auto"/>
              <w:rPr>
                <w:rFonts w:ascii="Times New Roman" w:eastAsia="Calibri" w:hAnsi="Times New Roman" w:cs="Times New Roman"/>
                <w:b/>
                <w:noProof/>
                <w:kern w:val="0"/>
                <w:sz w:val="20"/>
                <w:szCs w:val="20"/>
                <w14:ligatures w14:val="none"/>
              </w:rPr>
            </w:pPr>
          </w:p>
        </w:tc>
        <w:tc>
          <w:tcPr>
            <w:tcW w:w="1810" w:type="dxa"/>
            <w:vMerge/>
            <w:noWrap/>
            <w:vAlign w:val="center"/>
          </w:tcPr>
          <w:p w14:paraId="51CEB32A" w14:textId="77777777" w:rsidR="00011DE9" w:rsidRPr="00A636A7" w:rsidRDefault="00011DE9">
            <w:pPr>
              <w:spacing w:after="0" w:line="240" w:lineRule="auto"/>
              <w:jc w:val="center"/>
              <w:rPr>
                <w:rFonts w:ascii="Times New Roman" w:eastAsia="Calibri" w:hAnsi="Times New Roman" w:cs="Times New Roman"/>
                <w:b/>
                <w:noProof/>
                <w:kern w:val="0"/>
                <w:sz w:val="20"/>
                <w:szCs w:val="20"/>
                <w14:ligatures w14:val="none"/>
              </w:rPr>
            </w:pPr>
          </w:p>
        </w:tc>
        <w:tc>
          <w:tcPr>
            <w:tcW w:w="850" w:type="dxa"/>
            <w:shd w:val="clear" w:color="auto" w:fill="C6D9F1"/>
            <w:noWrap/>
            <w:vAlign w:val="center"/>
          </w:tcPr>
          <w:p w14:paraId="01BC3FE2" w14:textId="77777777" w:rsidR="00011DE9" w:rsidRPr="00A636A7" w:rsidRDefault="00011DE9">
            <w:pPr>
              <w:pStyle w:val="P68B1DB1-Normal37"/>
              <w:spacing w:after="0" w:line="240" w:lineRule="auto"/>
              <w:jc w:val="center"/>
              <w:rPr>
                <w:rFonts w:cs="Times New Roman"/>
                <w:b/>
                <w:bCs/>
                <w:noProof/>
                <w:sz w:val="20"/>
                <w:szCs w:val="20"/>
              </w:rPr>
            </w:pPr>
            <w:r w:rsidRPr="00A636A7">
              <w:rPr>
                <w:b/>
                <w:bCs/>
                <w:noProof/>
                <w:sz w:val="20"/>
                <w:szCs w:val="20"/>
              </w:rPr>
              <w:t>Unitate</w:t>
            </w:r>
          </w:p>
        </w:tc>
        <w:tc>
          <w:tcPr>
            <w:tcW w:w="993" w:type="dxa"/>
            <w:shd w:val="clear" w:color="auto" w:fill="C6D9F1"/>
            <w:vAlign w:val="center"/>
          </w:tcPr>
          <w:p w14:paraId="2DEB6A9D" w14:textId="77777777" w:rsidR="00011DE9" w:rsidRPr="00A636A7" w:rsidRDefault="00011DE9">
            <w:pPr>
              <w:pStyle w:val="P68B1DB1-Normal37"/>
              <w:spacing w:after="0" w:line="240" w:lineRule="auto"/>
              <w:jc w:val="center"/>
              <w:rPr>
                <w:rFonts w:eastAsia="Times New Roman" w:cs="Times New Roman"/>
                <w:b/>
                <w:bCs/>
                <w:noProof/>
                <w:sz w:val="20"/>
                <w:szCs w:val="20"/>
              </w:rPr>
            </w:pPr>
            <w:r w:rsidRPr="00A636A7">
              <w:rPr>
                <w:b/>
                <w:bCs/>
                <w:noProof/>
                <w:sz w:val="20"/>
                <w:szCs w:val="20"/>
              </w:rPr>
              <w:t xml:space="preserve">Situația de referință </w:t>
            </w:r>
          </w:p>
        </w:tc>
        <w:tc>
          <w:tcPr>
            <w:tcW w:w="992" w:type="dxa"/>
            <w:shd w:val="clear" w:color="auto" w:fill="C6D9F1"/>
            <w:vAlign w:val="center"/>
          </w:tcPr>
          <w:p w14:paraId="3B65D4A4" w14:textId="77777777" w:rsidR="00011DE9" w:rsidRPr="00A636A7" w:rsidRDefault="00011DE9">
            <w:pPr>
              <w:pStyle w:val="P68B1DB1-Normal37"/>
              <w:spacing w:after="0" w:line="240" w:lineRule="auto"/>
              <w:rPr>
                <w:rFonts w:cs="Times New Roman"/>
                <w:b/>
                <w:bCs/>
                <w:noProof/>
                <w:sz w:val="20"/>
                <w:szCs w:val="20"/>
              </w:rPr>
            </w:pPr>
            <w:r w:rsidRPr="00A636A7">
              <w:rPr>
                <w:b/>
                <w:bCs/>
                <w:noProof/>
                <w:sz w:val="20"/>
                <w:szCs w:val="20"/>
              </w:rPr>
              <w:t>Obiectiv</w:t>
            </w:r>
          </w:p>
        </w:tc>
        <w:tc>
          <w:tcPr>
            <w:tcW w:w="425" w:type="dxa"/>
            <w:shd w:val="clear" w:color="auto" w:fill="C6D9F1"/>
            <w:vAlign w:val="center"/>
          </w:tcPr>
          <w:p w14:paraId="4C9B6C9F" w14:textId="711D1573" w:rsidR="00011DE9" w:rsidRPr="00A636A7" w:rsidRDefault="00A636A7">
            <w:pPr>
              <w:pStyle w:val="P68B1DB1-Normal37"/>
              <w:spacing w:after="0" w:line="240" w:lineRule="auto"/>
              <w:jc w:val="center"/>
              <w:rPr>
                <w:rFonts w:cs="Times New Roman"/>
                <w:b/>
                <w:bCs/>
                <w:noProof/>
                <w:sz w:val="20"/>
                <w:szCs w:val="20"/>
              </w:rPr>
            </w:pPr>
            <w:r w:rsidRPr="00A636A7">
              <w:rPr>
                <w:b/>
                <w:bCs/>
                <w:noProof/>
                <w:sz w:val="20"/>
                <w:szCs w:val="20"/>
              </w:rPr>
              <w:t>T</w:t>
            </w:r>
          </w:p>
        </w:tc>
        <w:tc>
          <w:tcPr>
            <w:tcW w:w="709" w:type="dxa"/>
            <w:shd w:val="clear" w:color="auto" w:fill="C6D9F1"/>
            <w:vAlign w:val="center"/>
          </w:tcPr>
          <w:p w14:paraId="01A2EFD3" w14:textId="77777777" w:rsidR="00011DE9" w:rsidRPr="00A636A7" w:rsidRDefault="00011DE9">
            <w:pPr>
              <w:pStyle w:val="P68B1DB1-Normal37"/>
              <w:spacing w:after="0" w:line="240" w:lineRule="auto"/>
              <w:jc w:val="center"/>
              <w:rPr>
                <w:rFonts w:cs="Times New Roman"/>
                <w:b/>
                <w:bCs/>
                <w:noProof/>
                <w:sz w:val="20"/>
                <w:szCs w:val="20"/>
              </w:rPr>
            </w:pPr>
            <w:r w:rsidRPr="00A636A7">
              <w:rPr>
                <w:b/>
                <w:bCs/>
                <w:noProof/>
                <w:sz w:val="20"/>
                <w:szCs w:val="20"/>
              </w:rPr>
              <w:t>Anul</w:t>
            </w:r>
          </w:p>
        </w:tc>
        <w:tc>
          <w:tcPr>
            <w:tcW w:w="4961" w:type="dxa"/>
            <w:vMerge/>
            <w:noWrap/>
            <w:vAlign w:val="center"/>
          </w:tcPr>
          <w:p w14:paraId="62D71FE2" w14:textId="77777777" w:rsidR="00011DE9" w:rsidRPr="00A636A7" w:rsidRDefault="00011DE9">
            <w:pPr>
              <w:spacing w:after="0" w:line="240" w:lineRule="auto"/>
              <w:rPr>
                <w:rFonts w:ascii="Times New Roman" w:eastAsia="Times New Roman" w:hAnsi="Times New Roman" w:cs="Times New Roman"/>
                <w:b/>
                <w:bCs/>
                <w:noProof/>
                <w:kern w:val="0"/>
                <w:sz w:val="20"/>
                <w:szCs w:val="20"/>
                <w14:ligatures w14:val="none"/>
              </w:rPr>
            </w:pPr>
          </w:p>
        </w:tc>
      </w:tr>
      <w:tr w:rsidR="00011DE9" w:rsidRPr="00A636A7" w14:paraId="5AD561D7" w14:textId="77777777" w:rsidTr="00A636A7">
        <w:trPr>
          <w:trHeight w:val="309"/>
        </w:trPr>
        <w:tc>
          <w:tcPr>
            <w:tcW w:w="969" w:type="dxa"/>
            <w:shd w:val="clear" w:color="auto" w:fill="C6EFCE"/>
            <w:noWrap/>
          </w:tcPr>
          <w:p w14:paraId="788827E6"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254</w:t>
            </w:r>
          </w:p>
        </w:tc>
        <w:tc>
          <w:tcPr>
            <w:tcW w:w="818" w:type="dxa"/>
            <w:shd w:val="clear" w:color="auto" w:fill="C6EFCE"/>
            <w:noWrap/>
          </w:tcPr>
          <w:p w14:paraId="1A6F9B44"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C17.R1</w:t>
            </w:r>
          </w:p>
        </w:tc>
        <w:tc>
          <w:tcPr>
            <w:tcW w:w="941" w:type="dxa"/>
            <w:shd w:val="clear" w:color="auto" w:fill="C6EFCE"/>
            <w:noWrap/>
          </w:tcPr>
          <w:p w14:paraId="46A44B28"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M</w:t>
            </w:r>
          </w:p>
        </w:tc>
        <w:tc>
          <w:tcPr>
            <w:tcW w:w="1950" w:type="dxa"/>
            <w:shd w:val="clear" w:color="auto" w:fill="C6EFCE"/>
            <w:noWrap/>
          </w:tcPr>
          <w:p w14:paraId="27E41400" w14:textId="77777777" w:rsidR="00011DE9" w:rsidRPr="00A636A7" w:rsidRDefault="00011DE9">
            <w:pPr>
              <w:pStyle w:val="P68B1DB1-Normal38"/>
              <w:spacing w:after="0" w:line="240" w:lineRule="auto"/>
              <w:rPr>
                <w:rFonts w:eastAsia="Times New Roman" w:cs="Times New Roman"/>
                <w:noProof/>
                <w:sz w:val="20"/>
                <w:szCs w:val="20"/>
              </w:rPr>
            </w:pPr>
            <w:r w:rsidRPr="00A636A7">
              <w:rPr>
                <w:noProof/>
                <w:sz w:val="20"/>
                <w:szCs w:val="20"/>
              </w:rPr>
              <w:t>Intrarea în vigoare a modificării Legii nr. 14/2011 din 1 iunie privind știința, tehnologia și inovarea.</w:t>
            </w:r>
          </w:p>
        </w:tc>
        <w:tc>
          <w:tcPr>
            <w:tcW w:w="1810" w:type="dxa"/>
            <w:shd w:val="clear" w:color="auto" w:fill="C6EFCE"/>
            <w:noWrap/>
          </w:tcPr>
          <w:p w14:paraId="73E00F00"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Dispoziția din lege privind intrarea în vigoare</w:t>
            </w:r>
          </w:p>
        </w:tc>
        <w:tc>
          <w:tcPr>
            <w:tcW w:w="850" w:type="dxa"/>
            <w:shd w:val="clear" w:color="auto" w:fill="C6EFCE"/>
            <w:noWrap/>
          </w:tcPr>
          <w:p w14:paraId="75AC6C62"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 xml:space="preserve"> </w:t>
            </w:r>
          </w:p>
        </w:tc>
        <w:tc>
          <w:tcPr>
            <w:tcW w:w="993" w:type="dxa"/>
            <w:shd w:val="clear" w:color="auto" w:fill="C6EFCE"/>
          </w:tcPr>
          <w:p w14:paraId="72C6CF54"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500CC0BA" w14:textId="77777777" w:rsidR="00011DE9" w:rsidRPr="00A636A7" w:rsidRDefault="00011DE9">
            <w:pPr>
              <w:spacing w:after="0" w:line="240" w:lineRule="auto"/>
              <w:jc w:val="center"/>
              <w:rPr>
                <w:rFonts w:ascii="Times New Roman" w:eastAsia="Calibri" w:hAnsi="Times New Roman" w:cs="Times New Roman"/>
                <w:noProof/>
                <w:kern w:val="0"/>
                <w:sz w:val="20"/>
                <w:szCs w:val="20"/>
                <w14:ligatures w14:val="none"/>
              </w:rPr>
            </w:pPr>
          </w:p>
        </w:tc>
        <w:tc>
          <w:tcPr>
            <w:tcW w:w="425" w:type="dxa"/>
            <w:shd w:val="clear" w:color="auto" w:fill="C6EFCE"/>
          </w:tcPr>
          <w:p w14:paraId="144A791D" w14:textId="488E6247" w:rsidR="00011DE9" w:rsidRPr="00A636A7" w:rsidRDefault="005701C9">
            <w:pPr>
              <w:pStyle w:val="P68B1DB1-Normal38"/>
              <w:spacing w:after="0" w:line="240" w:lineRule="auto"/>
              <w:jc w:val="center"/>
              <w:rPr>
                <w:rFonts w:cs="Times New Roman"/>
                <w:noProof/>
                <w:sz w:val="20"/>
                <w:szCs w:val="20"/>
              </w:rPr>
            </w:pPr>
            <w:r w:rsidRPr="00A636A7">
              <w:rPr>
                <w:noProof/>
                <w:sz w:val="20"/>
                <w:szCs w:val="20"/>
              </w:rPr>
              <w:t>T2</w:t>
            </w:r>
          </w:p>
        </w:tc>
        <w:tc>
          <w:tcPr>
            <w:tcW w:w="709" w:type="dxa"/>
            <w:shd w:val="clear" w:color="auto" w:fill="C6EFCE"/>
          </w:tcPr>
          <w:p w14:paraId="08150356"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2022</w:t>
            </w:r>
          </w:p>
        </w:tc>
        <w:tc>
          <w:tcPr>
            <w:tcW w:w="4961" w:type="dxa"/>
            <w:shd w:val="clear" w:color="auto" w:fill="C6EFCE"/>
            <w:noWrap/>
          </w:tcPr>
          <w:p w14:paraId="292DBDC1" w14:textId="77777777" w:rsidR="00011DE9" w:rsidRPr="00A636A7" w:rsidRDefault="00011DE9">
            <w:pPr>
              <w:pStyle w:val="P68B1DB1-Normal38"/>
              <w:spacing w:after="0" w:line="240" w:lineRule="auto"/>
              <w:rPr>
                <w:rFonts w:cs="Times New Roman"/>
                <w:noProof/>
                <w:sz w:val="20"/>
                <w:szCs w:val="20"/>
              </w:rPr>
            </w:pPr>
            <w:r w:rsidRPr="00A636A7">
              <w:rPr>
                <w:noProof/>
                <w:sz w:val="20"/>
                <w:szCs w:val="20"/>
              </w:rPr>
              <w:t xml:space="preserve">Intrarea în vigoare a modificării Legii privind știința, tehnologia și inovarea, îmbunătățind coordonarea între diferitele niveluri de guvernare a politicilor în domeniul științei, cercetării și inovării, consolidând guvernanța și coordonarea sistemului spaniol de tehnologie și inovare științifică, introducând o nouă carieră științifică și îmbunătățind transferul de cunoștințe. </w:t>
            </w:r>
          </w:p>
        </w:tc>
      </w:tr>
      <w:tr w:rsidR="00011DE9" w:rsidRPr="00A636A7" w14:paraId="5C0A1253" w14:textId="77777777" w:rsidTr="00A636A7">
        <w:trPr>
          <w:trHeight w:val="309"/>
        </w:trPr>
        <w:tc>
          <w:tcPr>
            <w:tcW w:w="969" w:type="dxa"/>
            <w:shd w:val="clear" w:color="auto" w:fill="C6EFCE"/>
            <w:noWrap/>
          </w:tcPr>
          <w:p w14:paraId="47174EF2" w14:textId="77777777" w:rsidR="00011DE9" w:rsidRPr="00A636A7" w:rsidRDefault="00011DE9">
            <w:pPr>
              <w:pStyle w:val="P68B1DB1-Normal38"/>
              <w:spacing w:after="200" w:line="276" w:lineRule="auto"/>
              <w:jc w:val="center"/>
              <w:rPr>
                <w:rFonts w:cs="Times New Roman"/>
                <w:noProof/>
                <w:sz w:val="20"/>
                <w:szCs w:val="20"/>
              </w:rPr>
            </w:pPr>
            <w:r w:rsidRPr="00A636A7">
              <w:rPr>
                <w:noProof/>
                <w:sz w:val="20"/>
                <w:szCs w:val="20"/>
              </w:rPr>
              <w:t>255</w:t>
            </w:r>
          </w:p>
        </w:tc>
        <w:tc>
          <w:tcPr>
            <w:tcW w:w="818" w:type="dxa"/>
            <w:shd w:val="clear" w:color="auto" w:fill="C6EFCE"/>
            <w:noWrap/>
          </w:tcPr>
          <w:p w14:paraId="643C6B96" w14:textId="77777777" w:rsidR="00011DE9" w:rsidRPr="00A636A7" w:rsidRDefault="00011DE9">
            <w:pPr>
              <w:pStyle w:val="P68B1DB1-Normal38"/>
              <w:spacing w:after="200" w:line="276" w:lineRule="auto"/>
              <w:jc w:val="center"/>
              <w:rPr>
                <w:rFonts w:cs="Times New Roman"/>
                <w:noProof/>
                <w:sz w:val="20"/>
                <w:szCs w:val="20"/>
              </w:rPr>
            </w:pPr>
            <w:r w:rsidRPr="00A636A7">
              <w:rPr>
                <w:noProof/>
                <w:sz w:val="20"/>
                <w:szCs w:val="20"/>
              </w:rPr>
              <w:t>C17.R2</w:t>
            </w:r>
          </w:p>
        </w:tc>
        <w:tc>
          <w:tcPr>
            <w:tcW w:w="941" w:type="dxa"/>
            <w:shd w:val="clear" w:color="auto" w:fill="C6EFCE"/>
            <w:noWrap/>
          </w:tcPr>
          <w:p w14:paraId="7CF832E1" w14:textId="77777777" w:rsidR="00011DE9" w:rsidRPr="00A636A7" w:rsidRDefault="00011DE9">
            <w:pPr>
              <w:pStyle w:val="P68B1DB1-Normal38"/>
              <w:spacing w:after="200" w:line="276" w:lineRule="auto"/>
              <w:jc w:val="center"/>
              <w:rPr>
                <w:rFonts w:cs="Times New Roman"/>
                <w:noProof/>
                <w:sz w:val="20"/>
                <w:szCs w:val="20"/>
              </w:rPr>
            </w:pPr>
            <w:r w:rsidRPr="00A636A7">
              <w:rPr>
                <w:noProof/>
                <w:sz w:val="20"/>
                <w:szCs w:val="20"/>
              </w:rPr>
              <w:t>M</w:t>
            </w:r>
          </w:p>
        </w:tc>
        <w:tc>
          <w:tcPr>
            <w:tcW w:w="1950" w:type="dxa"/>
            <w:shd w:val="clear" w:color="auto" w:fill="C6EFCE"/>
            <w:noWrap/>
          </w:tcPr>
          <w:p w14:paraId="58C4D653" w14:textId="77777777" w:rsidR="00011DE9" w:rsidRPr="00A636A7" w:rsidRDefault="00011DE9">
            <w:pPr>
              <w:pStyle w:val="P68B1DB1-Normal38"/>
              <w:spacing w:after="200" w:line="276" w:lineRule="auto"/>
              <w:rPr>
                <w:rFonts w:cs="Times New Roman"/>
                <w:noProof/>
                <w:sz w:val="20"/>
                <w:szCs w:val="20"/>
              </w:rPr>
            </w:pPr>
            <w:r w:rsidRPr="00A636A7">
              <w:rPr>
                <w:noProof/>
                <w:sz w:val="20"/>
                <w:szCs w:val="20"/>
              </w:rPr>
              <w:t>Publicarea Strategiei spaniole pentru știință, tehnologie și inovare 2021-2027</w:t>
            </w:r>
          </w:p>
        </w:tc>
        <w:tc>
          <w:tcPr>
            <w:tcW w:w="1810" w:type="dxa"/>
            <w:shd w:val="clear" w:color="auto" w:fill="C6EFCE"/>
            <w:noWrap/>
          </w:tcPr>
          <w:p w14:paraId="125F2045" w14:textId="77777777" w:rsidR="00011DE9" w:rsidRPr="00A636A7" w:rsidRDefault="00011DE9">
            <w:pPr>
              <w:pStyle w:val="P68B1DB1-Normal38"/>
              <w:spacing w:after="200" w:line="276" w:lineRule="auto"/>
              <w:rPr>
                <w:rFonts w:cs="Times New Roman"/>
                <w:noProof/>
                <w:sz w:val="20"/>
                <w:szCs w:val="20"/>
              </w:rPr>
            </w:pPr>
            <w:r w:rsidRPr="00A636A7">
              <w:rPr>
                <w:noProof/>
                <w:sz w:val="20"/>
                <w:szCs w:val="20"/>
              </w:rPr>
              <w:t>Publicarea Strategiei spaniole pentru știință, tehnologie și inovare 2021-2027</w:t>
            </w:r>
          </w:p>
        </w:tc>
        <w:tc>
          <w:tcPr>
            <w:tcW w:w="850" w:type="dxa"/>
            <w:shd w:val="clear" w:color="auto" w:fill="C6EFCE"/>
            <w:noWrap/>
          </w:tcPr>
          <w:p w14:paraId="6665C30B" w14:textId="77777777" w:rsidR="00011DE9" w:rsidRPr="00A636A7" w:rsidRDefault="00011DE9">
            <w:pPr>
              <w:pStyle w:val="P68B1DB1-Normal38"/>
              <w:spacing w:after="200" w:line="276" w:lineRule="auto"/>
              <w:rPr>
                <w:rFonts w:cs="Times New Roman"/>
                <w:noProof/>
                <w:sz w:val="20"/>
                <w:szCs w:val="20"/>
              </w:rPr>
            </w:pPr>
            <w:r w:rsidRPr="00A636A7">
              <w:rPr>
                <w:noProof/>
                <w:sz w:val="20"/>
                <w:szCs w:val="20"/>
              </w:rPr>
              <w:t xml:space="preserve"> </w:t>
            </w:r>
          </w:p>
        </w:tc>
        <w:tc>
          <w:tcPr>
            <w:tcW w:w="993" w:type="dxa"/>
            <w:shd w:val="clear" w:color="auto" w:fill="C6EFCE"/>
          </w:tcPr>
          <w:p w14:paraId="68F85DE0" w14:textId="77777777" w:rsidR="00011DE9" w:rsidRPr="00A636A7" w:rsidRDefault="00011DE9">
            <w:pPr>
              <w:spacing w:after="200" w:line="276"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1B365543" w14:textId="77777777" w:rsidR="00011DE9" w:rsidRPr="00A636A7" w:rsidRDefault="00011DE9">
            <w:pPr>
              <w:spacing w:after="200" w:line="276" w:lineRule="auto"/>
              <w:jc w:val="center"/>
              <w:rPr>
                <w:rFonts w:ascii="Times New Roman" w:eastAsia="Calibri" w:hAnsi="Times New Roman" w:cs="Times New Roman"/>
                <w:noProof/>
                <w:kern w:val="0"/>
                <w:sz w:val="20"/>
                <w:szCs w:val="20"/>
                <w14:ligatures w14:val="none"/>
              </w:rPr>
            </w:pPr>
          </w:p>
        </w:tc>
        <w:tc>
          <w:tcPr>
            <w:tcW w:w="425" w:type="dxa"/>
            <w:shd w:val="clear" w:color="auto" w:fill="C6EFCE"/>
          </w:tcPr>
          <w:p w14:paraId="0E719A9F" w14:textId="545EC1C1" w:rsidR="00011DE9" w:rsidRPr="00A636A7" w:rsidRDefault="005701C9">
            <w:pPr>
              <w:pStyle w:val="P68B1DB1-Normal38"/>
              <w:spacing w:after="200" w:line="276" w:lineRule="auto"/>
              <w:jc w:val="center"/>
              <w:rPr>
                <w:rFonts w:cs="Times New Roman"/>
                <w:noProof/>
                <w:sz w:val="20"/>
                <w:szCs w:val="20"/>
              </w:rPr>
            </w:pPr>
            <w:r w:rsidRPr="00A636A7">
              <w:rPr>
                <w:noProof/>
                <w:sz w:val="20"/>
                <w:szCs w:val="20"/>
              </w:rPr>
              <w:t>T4</w:t>
            </w:r>
          </w:p>
        </w:tc>
        <w:tc>
          <w:tcPr>
            <w:tcW w:w="709" w:type="dxa"/>
            <w:shd w:val="clear" w:color="auto" w:fill="C6EFCE"/>
          </w:tcPr>
          <w:p w14:paraId="374590D7" w14:textId="77777777" w:rsidR="00011DE9" w:rsidRPr="00A636A7" w:rsidRDefault="00011DE9">
            <w:pPr>
              <w:pStyle w:val="P68B1DB1-Normal38"/>
              <w:spacing w:after="200" w:line="276" w:lineRule="auto"/>
              <w:jc w:val="center"/>
              <w:rPr>
                <w:rFonts w:cs="Times New Roman"/>
                <w:noProof/>
                <w:sz w:val="20"/>
                <w:szCs w:val="20"/>
              </w:rPr>
            </w:pPr>
            <w:r w:rsidRPr="00A636A7">
              <w:rPr>
                <w:noProof/>
                <w:sz w:val="20"/>
                <w:szCs w:val="20"/>
              </w:rPr>
              <w:t>2020</w:t>
            </w:r>
          </w:p>
        </w:tc>
        <w:tc>
          <w:tcPr>
            <w:tcW w:w="4961" w:type="dxa"/>
            <w:shd w:val="clear" w:color="auto" w:fill="C6EFCE"/>
            <w:noWrap/>
          </w:tcPr>
          <w:p w14:paraId="02D26219" w14:textId="77777777" w:rsidR="00011DE9" w:rsidRPr="00A636A7" w:rsidRDefault="00011DE9">
            <w:pPr>
              <w:pStyle w:val="P68B1DB1-Normal38"/>
              <w:spacing w:after="200" w:line="240" w:lineRule="auto"/>
              <w:rPr>
                <w:rFonts w:cs="Times New Roman"/>
                <w:noProof/>
                <w:sz w:val="20"/>
                <w:szCs w:val="20"/>
              </w:rPr>
            </w:pPr>
            <w:r w:rsidRPr="00A636A7">
              <w:rPr>
                <w:noProof/>
                <w:sz w:val="20"/>
                <w:szCs w:val="20"/>
              </w:rPr>
              <w:t xml:space="preserve">Strategia spaniolă pentru știință, tehnologie și inovare (EECTI) stabilește strategia generală care trebuie urmată în domeniul cercetării, dezvoltării și inovării de către toate administrațiile publice, inclusiv la nivel regional și local. Strategia este Strategia de specializare inteligentă pentru Spania. Se instituie un comitet de monitorizare a strategiei, care include reprezentanți ai statului, ai regiunilor, ai actorilor economici și sociali și ai comunității științifice. Strategia se bazează pe principiul coordonării diferitelor niveluri ale administrației și este concepută pentru a asigura perspectiva de gen în C &amp; I. Ea urmărește să consolideze colaborarea dintre sectorul public și cel privat, să promoveze transferul de cunoștințe, să păstreze talentele științifice și să dezvolte o carieră științifică, să asigure stimulente fiscale adecvate pentru a sprijini C &amp; D &amp; I în sectorul privat și să includă o perspectivă de gen. </w:t>
            </w:r>
          </w:p>
        </w:tc>
      </w:tr>
      <w:tr w:rsidR="00011DE9" w:rsidRPr="00A636A7" w14:paraId="69C2F795" w14:textId="77777777" w:rsidTr="00A636A7">
        <w:trPr>
          <w:trHeight w:val="309"/>
        </w:trPr>
        <w:tc>
          <w:tcPr>
            <w:tcW w:w="969" w:type="dxa"/>
            <w:shd w:val="clear" w:color="auto" w:fill="C6EFCE"/>
            <w:noWrap/>
          </w:tcPr>
          <w:p w14:paraId="096DF1AB"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256</w:t>
            </w:r>
          </w:p>
        </w:tc>
        <w:tc>
          <w:tcPr>
            <w:tcW w:w="818" w:type="dxa"/>
            <w:shd w:val="clear" w:color="auto" w:fill="C6EFCE"/>
            <w:noWrap/>
          </w:tcPr>
          <w:p w14:paraId="59DCECBC"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C17.R2</w:t>
            </w:r>
          </w:p>
        </w:tc>
        <w:tc>
          <w:tcPr>
            <w:tcW w:w="941" w:type="dxa"/>
            <w:shd w:val="clear" w:color="auto" w:fill="C6EFCE"/>
            <w:noWrap/>
          </w:tcPr>
          <w:p w14:paraId="0B72CA4E"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M</w:t>
            </w:r>
          </w:p>
        </w:tc>
        <w:tc>
          <w:tcPr>
            <w:tcW w:w="1950" w:type="dxa"/>
            <w:shd w:val="clear" w:color="auto" w:fill="C6EFCE"/>
            <w:noWrap/>
          </w:tcPr>
          <w:p w14:paraId="4DC7DC4A" w14:textId="77777777" w:rsidR="00011DE9" w:rsidRPr="00A636A7" w:rsidRDefault="00011DE9">
            <w:pPr>
              <w:pStyle w:val="P68B1DB1-Normal38"/>
              <w:spacing w:after="0" w:line="240" w:lineRule="auto"/>
              <w:rPr>
                <w:rFonts w:eastAsia="Times New Roman" w:cs="Times New Roman"/>
                <w:noProof/>
                <w:sz w:val="20"/>
                <w:szCs w:val="20"/>
              </w:rPr>
            </w:pPr>
            <w:r w:rsidRPr="00A636A7">
              <w:rPr>
                <w:noProof/>
                <w:sz w:val="20"/>
                <w:szCs w:val="20"/>
              </w:rPr>
              <w:t xml:space="preserve">Evaluarea la jumătatea perioadei a Strategiei spaniole pentru știință, tehnologie și inovare 2021-2027 </w:t>
            </w:r>
          </w:p>
        </w:tc>
        <w:tc>
          <w:tcPr>
            <w:tcW w:w="1810" w:type="dxa"/>
            <w:shd w:val="clear" w:color="auto" w:fill="C6EFCE"/>
            <w:noWrap/>
          </w:tcPr>
          <w:p w14:paraId="075AE771" w14:textId="423E9239" w:rsidR="00011DE9" w:rsidRPr="00A636A7" w:rsidRDefault="00011DE9">
            <w:pPr>
              <w:pStyle w:val="P68B1DB1-Normal38"/>
              <w:spacing w:after="0" w:line="240" w:lineRule="auto"/>
              <w:rPr>
                <w:rFonts w:eastAsia="Times New Roman" w:cs="Times New Roman"/>
                <w:noProof/>
                <w:sz w:val="20"/>
                <w:szCs w:val="20"/>
              </w:rPr>
            </w:pPr>
            <w:r w:rsidRPr="00A636A7">
              <w:rPr>
                <w:noProof/>
                <w:sz w:val="20"/>
                <w:szCs w:val="20"/>
              </w:rPr>
              <w:t xml:space="preserve">Acordul la Consejo de </w:t>
            </w:r>
            <w:r w:rsidRPr="00A636A7">
              <w:rPr>
                <w:i/>
                <w:noProof/>
                <w:sz w:val="20"/>
                <w:szCs w:val="20"/>
              </w:rPr>
              <w:t>Política Científica, Tecnológica y de Innovación</w:t>
            </w:r>
            <w:r w:rsidRPr="00A636A7">
              <w:rPr>
                <w:noProof/>
                <w:sz w:val="20"/>
                <w:szCs w:val="20"/>
              </w:rPr>
              <w:t xml:space="preserve"> și publicarea evaluării pe site-ul Ministerului Științei și Inovării.</w:t>
            </w:r>
            <w:r w:rsidR="00971820" w:rsidRPr="00A636A7">
              <w:rPr>
                <w:noProof/>
                <w:sz w:val="20"/>
                <w:szCs w:val="20"/>
              </w:rPr>
              <w:t xml:space="preserve"> </w:t>
            </w:r>
          </w:p>
        </w:tc>
        <w:tc>
          <w:tcPr>
            <w:tcW w:w="850" w:type="dxa"/>
            <w:shd w:val="clear" w:color="auto" w:fill="C6EFCE"/>
            <w:noWrap/>
          </w:tcPr>
          <w:p w14:paraId="456D8463"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 xml:space="preserve"> </w:t>
            </w:r>
          </w:p>
        </w:tc>
        <w:tc>
          <w:tcPr>
            <w:tcW w:w="993" w:type="dxa"/>
            <w:shd w:val="clear" w:color="auto" w:fill="C6EFCE"/>
          </w:tcPr>
          <w:p w14:paraId="157C957F"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677FE035" w14:textId="77777777" w:rsidR="00011DE9" w:rsidRPr="00A636A7" w:rsidRDefault="00011DE9">
            <w:pPr>
              <w:spacing w:after="0" w:line="240" w:lineRule="auto"/>
              <w:jc w:val="center"/>
              <w:rPr>
                <w:rFonts w:ascii="Times New Roman" w:eastAsia="Calibri" w:hAnsi="Times New Roman" w:cs="Times New Roman"/>
                <w:noProof/>
                <w:kern w:val="0"/>
                <w:sz w:val="20"/>
                <w:szCs w:val="20"/>
                <w14:ligatures w14:val="none"/>
              </w:rPr>
            </w:pPr>
          </w:p>
        </w:tc>
        <w:tc>
          <w:tcPr>
            <w:tcW w:w="425" w:type="dxa"/>
            <w:shd w:val="clear" w:color="auto" w:fill="C6EFCE"/>
          </w:tcPr>
          <w:p w14:paraId="2FC93E80" w14:textId="20F66F55" w:rsidR="00011DE9" w:rsidRPr="00A636A7" w:rsidRDefault="005701C9">
            <w:pPr>
              <w:pStyle w:val="P68B1DB1-Normal38"/>
              <w:spacing w:after="0" w:line="240" w:lineRule="auto"/>
              <w:jc w:val="center"/>
              <w:rPr>
                <w:rFonts w:cs="Times New Roman"/>
                <w:noProof/>
                <w:sz w:val="20"/>
                <w:szCs w:val="20"/>
              </w:rPr>
            </w:pPr>
            <w:r w:rsidRPr="00A636A7">
              <w:rPr>
                <w:noProof/>
                <w:sz w:val="20"/>
                <w:szCs w:val="20"/>
              </w:rPr>
              <w:t>T2</w:t>
            </w:r>
          </w:p>
        </w:tc>
        <w:tc>
          <w:tcPr>
            <w:tcW w:w="709" w:type="dxa"/>
            <w:shd w:val="clear" w:color="auto" w:fill="C6EFCE"/>
          </w:tcPr>
          <w:p w14:paraId="566F87E5"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2023</w:t>
            </w:r>
          </w:p>
        </w:tc>
        <w:tc>
          <w:tcPr>
            <w:tcW w:w="4961" w:type="dxa"/>
            <w:shd w:val="clear" w:color="auto" w:fill="C6EFCE"/>
            <w:noWrap/>
          </w:tcPr>
          <w:p w14:paraId="0FBD3C67" w14:textId="77777777" w:rsidR="00011DE9" w:rsidRPr="00A636A7" w:rsidRDefault="00011DE9">
            <w:pPr>
              <w:pStyle w:val="P68B1DB1-Normal38"/>
              <w:spacing w:after="0" w:line="240" w:lineRule="auto"/>
              <w:rPr>
                <w:rFonts w:eastAsia="Times New Roman" w:cs="Times New Roman"/>
                <w:noProof/>
                <w:sz w:val="20"/>
                <w:szCs w:val="20"/>
              </w:rPr>
            </w:pPr>
            <w:r w:rsidRPr="00A636A7">
              <w:rPr>
                <w:noProof/>
                <w:sz w:val="20"/>
                <w:szCs w:val="20"/>
              </w:rPr>
              <w:t xml:space="preserve">Evaluarea intermediară efectuată de comitetul de monitorizare a Strategiei spaniole pentru știință, tehnologie și inovare 2021-2027 va fi publicată în decembrie 2023. Indicatorii care urmează să fie utilizați în evaluare sunt conveniți în </w:t>
            </w:r>
            <w:r w:rsidRPr="00A636A7">
              <w:rPr>
                <w:i/>
                <w:noProof/>
                <w:sz w:val="20"/>
                <w:szCs w:val="20"/>
              </w:rPr>
              <w:t>Consejo de Política Científica, Tecnológica y de Innovación</w:t>
            </w:r>
            <w:r w:rsidRPr="00A636A7">
              <w:rPr>
                <w:noProof/>
                <w:sz w:val="20"/>
                <w:szCs w:val="20"/>
              </w:rPr>
              <w:t xml:space="preserve"> (în care sunt reprezentate cele 17 comunități autonome), o listă orientativă a acestor indicatori și căutarea de date sunt stabilite în Strategia spaniolă pentru știință, tehnologie și inovare 2021-2027. Sistemul pentru știință, tehnologie și inovare este utilizat pentru a colecta date privind progresele înregistrate în punerea în aplicare a strategiei. </w:t>
            </w:r>
          </w:p>
        </w:tc>
      </w:tr>
      <w:tr w:rsidR="00011DE9" w:rsidRPr="00A636A7" w14:paraId="75172B9E" w14:textId="77777777" w:rsidTr="00A636A7">
        <w:trPr>
          <w:trHeight w:val="309"/>
        </w:trPr>
        <w:tc>
          <w:tcPr>
            <w:tcW w:w="969" w:type="dxa"/>
            <w:shd w:val="clear" w:color="auto" w:fill="C6EFCE"/>
            <w:noWrap/>
          </w:tcPr>
          <w:p w14:paraId="77A109DC"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257</w:t>
            </w:r>
          </w:p>
        </w:tc>
        <w:tc>
          <w:tcPr>
            <w:tcW w:w="818" w:type="dxa"/>
            <w:shd w:val="clear" w:color="auto" w:fill="C6EFCE"/>
            <w:noWrap/>
          </w:tcPr>
          <w:p w14:paraId="78042AFD"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C17.R3</w:t>
            </w:r>
          </w:p>
        </w:tc>
        <w:tc>
          <w:tcPr>
            <w:tcW w:w="941" w:type="dxa"/>
            <w:shd w:val="clear" w:color="auto" w:fill="C6EFCE"/>
            <w:noWrap/>
          </w:tcPr>
          <w:p w14:paraId="52F225AB"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M</w:t>
            </w:r>
          </w:p>
        </w:tc>
        <w:tc>
          <w:tcPr>
            <w:tcW w:w="1950" w:type="dxa"/>
            <w:shd w:val="clear" w:color="auto" w:fill="C6EFCE"/>
            <w:noWrap/>
          </w:tcPr>
          <w:p w14:paraId="2E9BF168" w14:textId="77777777" w:rsidR="00011DE9" w:rsidRPr="00A636A7" w:rsidRDefault="00011DE9">
            <w:pPr>
              <w:pStyle w:val="P68B1DB1-Normal38"/>
              <w:spacing w:after="0" w:line="240" w:lineRule="auto"/>
              <w:rPr>
                <w:rFonts w:eastAsia="Times New Roman" w:cs="Times New Roman"/>
                <w:noProof/>
                <w:sz w:val="20"/>
                <w:szCs w:val="20"/>
              </w:rPr>
            </w:pPr>
            <w:r w:rsidRPr="00A636A7">
              <w:rPr>
                <w:noProof/>
                <w:sz w:val="20"/>
                <w:szCs w:val="20"/>
              </w:rPr>
              <w:t xml:space="preserve">Intrarea în vigoare a Decretului regal privind reorganizarea organizațiilor publice de cercetare. </w:t>
            </w:r>
          </w:p>
        </w:tc>
        <w:tc>
          <w:tcPr>
            <w:tcW w:w="1810" w:type="dxa"/>
            <w:shd w:val="clear" w:color="auto" w:fill="C6EFCE"/>
            <w:noWrap/>
          </w:tcPr>
          <w:p w14:paraId="2F88E5EB"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Dispoziția din Decretul regal privind intrarea în vigoare</w:t>
            </w:r>
          </w:p>
        </w:tc>
        <w:tc>
          <w:tcPr>
            <w:tcW w:w="850" w:type="dxa"/>
            <w:shd w:val="clear" w:color="auto" w:fill="C6EFCE"/>
            <w:noWrap/>
          </w:tcPr>
          <w:p w14:paraId="31E9389F"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 xml:space="preserve"> </w:t>
            </w:r>
          </w:p>
        </w:tc>
        <w:tc>
          <w:tcPr>
            <w:tcW w:w="993" w:type="dxa"/>
            <w:shd w:val="clear" w:color="auto" w:fill="C6EFCE"/>
          </w:tcPr>
          <w:p w14:paraId="5B2DF3D7"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0CF07545" w14:textId="77777777" w:rsidR="00011DE9" w:rsidRPr="00A636A7" w:rsidRDefault="00011DE9">
            <w:pPr>
              <w:spacing w:after="0" w:line="240" w:lineRule="auto"/>
              <w:jc w:val="center"/>
              <w:rPr>
                <w:rFonts w:ascii="Times New Roman" w:eastAsia="Calibri" w:hAnsi="Times New Roman" w:cs="Times New Roman"/>
                <w:noProof/>
                <w:kern w:val="0"/>
                <w:sz w:val="20"/>
                <w:szCs w:val="20"/>
                <w14:ligatures w14:val="none"/>
              </w:rPr>
            </w:pPr>
          </w:p>
        </w:tc>
        <w:tc>
          <w:tcPr>
            <w:tcW w:w="425" w:type="dxa"/>
            <w:shd w:val="clear" w:color="auto" w:fill="C6EFCE"/>
          </w:tcPr>
          <w:p w14:paraId="7FCF9CB2" w14:textId="5FAB6CC9" w:rsidR="00011DE9" w:rsidRPr="00A636A7" w:rsidRDefault="003010A3">
            <w:pPr>
              <w:pStyle w:val="P68B1DB1-Normal38"/>
              <w:spacing w:after="0" w:line="240" w:lineRule="auto"/>
              <w:jc w:val="center"/>
              <w:rPr>
                <w:rFonts w:cs="Times New Roman"/>
                <w:noProof/>
                <w:sz w:val="20"/>
                <w:szCs w:val="20"/>
              </w:rPr>
            </w:pPr>
            <w:r>
              <w:rPr>
                <w:noProof/>
                <w:sz w:val="20"/>
                <w:szCs w:val="20"/>
              </w:rPr>
              <w:t>T1</w:t>
            </w:r>
          </w:p>
        </w:tc>
        <w:tc>
          <w:tcPr>
            <w:tcW w:w="709" w:type="dxa"/>
            <w:shd w:val="clear" w:color="auto" w:fill="C6EFCE"/>
          </w:tcPr>
          <w:p w14:paraId="5ABB678D"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2021</w:t>
            </w:r>
          </w:p>
        </w:tc>
        <w:tc>
          <w:tcPr>
            <w:tcW w:w="4961" w:type="dxa"/>
            <w:shd w:val="clear" w:color="auto" w:fill="C6EFCE"/>
            <w:noWrap/>
          </w:tcPr>
          <w:p w14:paraId="6280750C" w14:textId="77777777" w:rsidR="00011DE9" w:rsidRPr="00A636A7" w:rsidRDefault="00011DE9">
            <w:pPr>
              <w:pStyle w:val="P68B1DB1-Normal38"/>
              <w:spacing w:after="0" w:line="240" w:lineRule="auto"/>
              <w:rPr>
                <w:rFonts w:eastAsia="Times New Roman" w:cs="Times New Roman"/>
                <w:noProof/>
                <w:sz w:val="20"/>
                <w:szCs w:val="20"/>
              </w:rPr>
            </w:pPr>
            <w:r w:rsidRPr="00A636A7">
              <w:rPr>
                <w:noProof/>
                <w:sz w:val="20"/>
                <w:szCs w:val="20"/>
              </w:rPr>
              <w:t>Intrarea în vigoare a Decretului regal privind reorganizarea organizațiilor publice de cercetare (ORP). Aceasta vizează îmbunătățirea capacității de gestionare și de consiliere științifică a celor trei organizații care implementează răspunderea extinsă a producătorilor cu masă critică redusă prin integrarea într-o organizație mai mare care implementează răspunderea extinsă a producătorilor, prin: I) îmbunătățirea poziției concurențiale a PRO rezultate, ii) sporirea eficienței acestora și iii) asigurarea flexibilității administrative.</w:t>
            </w:r>
          </w:p>
        </w:tc>
      </w:tr>
      <w:tr w:rsidR="00011DE9" w:rsidRPr="00A636A7" w14:paraId="01B76A6C" w14:textId="77777777" w:rsidTr="00A636A7">
        <w:trPr>
          <w:trHeight w:val="309"/>
        </w:trPr>
        <w:tc>
          <w:tcPr>
            <w:tcW w:w="969" w:type="dxa"/>
            <w:shd w:val="clear" w:color="auto" w:fill="C6EFCE"/>
            <w:noWrap/>
          </w:tcPr>
          <w:p w14:paraId="14F13992"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258</w:t>
            </w:r>
          </w:p>
        </w:tc>
        <w:tc>
          <w:tcPr>
            <w:tcW w:w="818" w:type="dxa"/>
            <w:shd w:val="clear" w:color="auto" w:fill="C6EFCE"/>
            <w:noWrap/>
          </w:tcPr>
          <w:p w14:paraId="053A628B"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C17.I1</w:t>
            </w:r>
          </w:p>
        </w:tc>
        <w:tc>
          <w:tcPr>
            <w:tcW w:w="941" w:type="dxa"/>
            <w:shd w:val="clear" w:color="auto" w:fill="C6EFCE"/>
            <w:noWrap/>
          </w:tcPr>
          <w:p w14:paraId="2BE3336F"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T</w:t>
            </w:r>
          </w:p>
        </w:tc>
        <w:tc>
          <w:tcPr>
            <w:tcW w:w="1950" w:type="dxa"/>
            <w:shd w:val="clear" w:color="auto" w:fill="C6EFCE"/>
            <w:noWrap/>
          </w:tcPr>
          <w:p w14:paraId="4638E0FF" w14:textId="77777777" w:rsidR="00011DE9" w:rsidRPr="00A636A7" w:rsidRDefault="00011DE9">
            <w:pPr>
              <w:pStyle w:val="P68B1DB1-Normal38"/>
              <w:spacing w:after="0" w:line="240" w:lineRule="auto"/>
              <w:rPr>
                <w:rFonts w:eastAsia="Times New Roman" w:cs="Times New Roman"/>
                <w:noProof/>
                <w:sz w:val="20"/>
                <w:szCs w:val="20"/>
              </w:rPr>
            </w:pPr>
            <w:r w:rsidRPr="00A636A7">
              <w:rPr>
                <w:noProof/>
                <w:sz w:val="20"/>
                <w:szCs w:val="20"/>
              </w:rPr>
              <w:t xml:space="preserve">Acorduri semnate de Ministerul Științei și Inovării cu comunitățile autonome pentru punerea în aplicare a „planurilor complementare de C &amp; D”. </w:t>
            </w:r>
          </w:p>
        </w:tc>
        <w:tc>
          <w:tcPr>
            <w:tcW w:w="1810" w:type="dxa"/>
            <w:shd w:val="clear" w:color="auto" w:fill="C6EFCE"/>
            <w:noWrap/>
          </w:tcPr>
          <w:p w14:paraId="0F1C6EE8"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w:t>
            </w:r>
          </w:p>
        </w:tc>
        <w:tc>
          <w:tcPr>
            <w:tcW w:w="850" w:type="dxa"/>
            <w:shd w:val="clear" w:color="auto" w:fill="C6EFCE"/>
            <w:noWrap/>
          </w:tcPr>
          <w:p w14:paraId="50D76CB5"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Număr</w:t>
            </w:r>
          </w:p>
        </w:tc>
        <w:tc>
          <w:tcPr>
            <w:tcW w:w="993" w:type="dxa"/>
            <w:shd w:val="clear" w:color="auto" w:fill="C6EFCE"/>
          </w:tcPr>
          <w:p w14:paraId="73723EF5"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00E629BB"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4</w:t>
            </w:r>
          </w:p>
        </w:tc>
        <w:tc>
          <w:tcPr>
            <w:tcW w:w="425" w:type="dxa"/>
            <w:shd w:val="clear" w:color="auto" w:fill="C6EFCE"/>
          </w:tcPr>
          <w:p w14:paraId="18DB8DA1" w14:textId="5D50A9E4" w:rsidR="00011DE9" w:rsidRPr="00A636A7" w:rsidRDefault="005701C9">
            <w:pPr>
              <w:pStyle w:val="P68B1DB1-Normal38"/>
              <w:spacing w:after="0" w:line="240" w:lineRule="auto"/>
              <w:jc w:val="center"/>
              <w:rPr>
                <w:rFonts w:cs="Times New Roman"/>
                <w:noProof/>
                <w:sz w:val="20"/>
                <w:szCs w:val="20"/>
              </w:rPr>
            </w:pPr>
            <w:r w:rsidRPr="00A636A7">
              <w:rPr>
                <w:noProof/>
                <w:sz w:val="20"/>
                <w:szCs w:val="20"/>
              </w:rPr>
              <w:t>T4</w:t>
            </w:r>
          </w:p>
        </w:tc>
        <w:tc>
          <w:tcPr>
            <w:tcW w:w="709" w:type="dxa"/>
            <w:shd w:val="clear" w:color="auto" w:fill="C6EFCE"/>
          </w:tcPr>
          <w:p w14:paraId="39D510CA"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2021</w:t>
            </w:r>
          </w:p>
        </w:tc>
        <w:tc>
          <w:tcPr>
            <w:tcW w:w="4961" w:type="dxa"/>
            <w:shd w:val="clear" w:color="auto" w:fill="C6EFCE"/>
            <w:noWrap/>
          </w:tcPr>
          <w:p w14:paraId="3DF1D64F" w14:textId="77777777" w:rsidR="00011DE9" w:rsidRPr="00A636A7" w:rsidRDefault="00011DE9">
            <w:pPr>
              <w:pStyle w:val="P68B1DB1-Normal32"/>
              <w:spacing w:after="0" w:line="240" w:lineRule="auto"/>
              <w:rPr>
                <w:rFonts w:eastAsia="Times New Roman"/>
                <w:noProof/>
                <w:sz w:val="20"/>
                <w:szCs w:val="20"/>
              </w:rPr>
            </w:pPr>
            <w:r w:rsidRPr="00A636A7">
              <w:rPr>
                <w:noProof/>
                <w:sz w:val="20"/>
                <w:szCs w:val="20"/>
              </w:rPr>
              <w:t xml:space="preserve">Patru acorduri semnate de Ministerul Științei și Inovării cu comunitățile autonome pentru punerea în aplicare a „planurilor complementare de C &amp; D” în valoare de cel puțin 140 000 000 EUR. Acordurile permit coordonarea strategică și sinergiile dintre strategiile regionale și naționale de specializare inteligentă. </w:t>
            </w:r>
          </w:p>
        </w:tc>
      </w:tr>
      <w:tr w:rsidR="00011DE9" w:rsidRPr="00A636A7" w14:paraId="7CCF8025" w14:textId="77777777" w:rsidTr="00A636A7">
        <w:trPr>
          <w:trHeight w:val="309"/>
        </w:trPr>
        <w:tc>
          <w:tcPr>
            <w:tcW w:w="969" w:type="dxa"/>
            <w:shd w:val="clear" w:color="auto" w:fill="C6EFCE"/>
            <w:noWrap/>
          </w:tcPr>
          <w:p w14:paraId="747A5CEA"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259</w:t>
            </w:r>
          </w:p>
        </w:tc>
        <w:tc>
          <w:tcPr>
            <w:tcW w:w="818" w:type="dxa"/>
            <w:shd w:val="clear" w:color="auto" w:fill="C6EFCE"/>
            <w:noWrap/>
          </w:tcPr>
          <w:p w14:paraId="154B793F"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C17.I2</w:t>
            </w:r>
          </w:p>
        </w:tc>
        <w:tc>
          <w:tcPr>
            <w:tcW w:w="941" w:type="dxa"/>
            <w:shd w:val="clear" w:color="auto" w:fill="C6EFCE"/>
            <w:noWrap/>
          </w:tcPr>
          <w:p w14:paraId="0B77103A"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T</w:t>
            </w:r>
          </w:p>
        </w:tc>
        <w:tc>
          <w:tcPr>
            <w:tcW w:w="1950" w:type="dxa"/>
            <w:shd w:val="clear" w:color="auto" w:fill="C6EFCE"/>
            <w:noWrap/>
          </w:tcPr>
          <w:p w14:paraId="71B6263B" w14:textId="77777777" w:rsidR="00011DE9" w:rsidRPr="00A636A7" w:rsidRDefault="00011DE9">
            <w:pPr>
              <w:pStyle w:val="P68B1DB1-Normal38"/>
              <w:spacing w:after="0" w:line="240" w:lineRule="auto"/>
              <w:rPr>
                <w:rFonts w:eastAsia="Times New Roman" w:cs="Times New Roman"/>
                <w:noProof/>
                <w:sz w:val="20"/>
                <w:szCs w:val="20"/>
              </w:rPr>
            </w:pPr>
            <w:r w:rsidRPr="00A636A7">
              <w:rPr>
                <w:noProof/>
                <w:sz w:val="20"/>
                <w:szCs w:val="20"/>
              </w:rPr>
              <w:t xml:space="preserve">Premii pentru proiecte de consolidare a infrastructurilor științifice naționale și a capacității sistemului spaniol de tehnologie și inovare științifică, precum și acorduri bilaterale semnate cu entități internaționale și alte instrumente de finanțare a proiectelor de infrastructură europeană și internațională. </w:t>
            </w:r>
          </w:p>
        </w:tc>
        <w:tc>
          <w:tcPr>
            <w:tcW w:w="1810" w:type="dxa"/>
            <w:shd w:val="clear" w:color="auto" w:fill="C6EFCE"/>
            <w:noWrap/>
          </w:tcPr>
          <w:p w14:paraId="73E5A93B"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w:t>
            </w:r>
          </w:p>
        </w:tc>
        <w:tc>
          <w:tcPr>
            <w:tcW w:w="850" w:type="dxa"/>
            <w:shd w:val="clear" w:color="auto" w:fill="C6EFCE"/>
            <w:noWrap/>
          </w:tcPr>
          <w:p w14:paraId="4C9A29C1"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EUR (milioane)</w:t>
            </w:r>
          </w:p>
        </w:tc>
        <w:tc>
          <w:tcPr>
            <w:tcW w:w="993" w:type="dxa"/>
            <w:shd w:val="clear" w:color="auto" w:fill="C6EFCE"/>
          </w:tcPr>
          <w:p w14:paraId="5140AB8D"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39022347"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300,2</w:t>
            </w:r>
          </w:p>
        </w:tc>
        <w:tc>
          <w:tcPr>
            <w:tcW w:w="425" w:type="dxa"/>
            <w:shd w:val="clear" w:color="auto" w:fill="C6EFCE"/>
          </w:tcPr>
          <w:p w14:paraId="22103994" w14:textId="5F766513" w:rsidR="00011DE9" w:rsidRPr="00A636A7" w:rsidRDefault="005701C9">
            <w:pPr>
              <w:pStyle w:val="P68B1DB1-Normal38"/>
              <w:spacing w:after="0" w:line="240" w:lineRule="auto"/>
              <w:jc w:val="center"/>
              <w:rPr>
                <w:rFonts w:cs="Times New Roman"/>
                <w:noProof/>
                <w:sz w:val="20"/>
                <w:szCs w:val="20"/>
              </w:rPr>
            </w:pPr>
            <w:r w:rsidRPr="00A636A7">
              <w:rPr>
                <w:noProof/>
                <w:sz w:val="20"/>
                <w:szCs w:val="20"/>
              </w:rPr>
              <w:t>T4</w:t>
            </w:r>
          </w:p>
        </w:tc>
        <w:tc>
          <w:tcPr>
            <w:tcW w:w="709" w:type="dxa"/>
            <w:shd w:val="clear" w:color="auto" w:fill="C6EFCE"/>
          </w:tcPr>
          <w:p w14:paraId="637DB3FC"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2022</w:t>
            </w:r>
          </w:p>
        </w:tc>
        <w:tc>
          <w:tcPr>
            <w:tcW w:w="4961" w:type="dxa"/>
            <w:shd w:val="clear" w:color="auto" w:fill="C6EFCE"/>
            <w:noWrap/>
          </w:tcPr>
          <w:p w14:paraId="686EC6DA" w14:textId="42283CD7" w:rsidR="00011DE9" w:rsidRPr="00A636A7" w:rsidRDefault="00011DE9">
            <w:pPr>
              <w:pStyle w:val="P68B1DB1-Normal32"/>
              <w:spacing w:after="0" w:line="240" w:lineRule="auto"/>
              <w:rPr>
                <w:noProof/>
                <w:sz w:val="20"/>
                <w:szCs w:val="20"/>
              </w:rPr>
            </w:pPr>
            <w:r w:rsidRPr="00A636A7">
              <w:rPr>
                <w:noProof/>
                <w:sz w:val="20"/>
                <w:szCs w:val="20"/>
              </w:rPr>
              <w:t>Publicarea în baza de date națională a subvențiilor de cel puțin 255 155 000 EUR acordate pentru proiecte de consolidare a infrastructurilor științifice naționale, a capacității sistemului spaniol de tehnologie și inovare în domeniul științei și a acordurilor semnate cu entități internaționale și a altor instrumente de finanțare a proiectelor de cel puțin 45</w:t>
            </w:r>
            <w:r w:rsidR="00971820" w:rsidRPr="00A636A7">
              <w:rPr>
                <w:noProof/>
                <w:sz w:val="20"/>
                <w:szCs w:val="20"/>
              </w:rPr>
              <w:t xml:space="preserve"> </w:t>
            </w:r>
            <w:r w:rsidRPr="00A636A7">
              <w:rPr>
                <w:noProof/>
                <w:sz w:val="20"/>
                <w:szCs w:val="20"/>
              </w:rPr>
              <w:t>000 000 EUR în infrastructura europeană și internațională (CERN, DUNE, HKK, ESS-lund, Harmony și SKA).</w:t>
            </w:r>
          </w:p>
        </w:tc>
      </w:tr>
      <w:tr w:rsidR="00011DE9" w:rsidRPr="00A636A7" w14:paraId="09DBE955" w14:textId="77777777" w:rsidTr="00A636A7">
        <w:trPr>
          <w:trHeight w:val="309"/>
        </w:trPr>
        <w:tc>
          <w:tcPr>
            <w:tcW w:w="969" w:type="dxa"/>
            <w:shd w:val="clear" w:color="auto" w:fill="C6EFCE"/>
            <w:noWrap/>
          </w:tcPr>
          <w:p w14:paraId="3F73FB4F"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260</w:t>
            </w:r>
          </w:p>
        </w:tc>
        <w:tc>
          <w:tcPr>
            <w:tcW w:w="818" w:type="dxa"/>
            <w:shd w:val="clear" w:color="auto" w:fill="C6EFCE"/>
            <w:noWrap/>
          </w:tcPr>
          <w:p w14:paraId="5F7CE6E1"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C17.I2</w:t>
            </w:r>
          </w:p>
        </w:tc>
        <w:tc>
          <w:tcPr>
            <w:tcW w:w="941" w:type="dxa"/>
            <w:shd w:val="clear" w:color="auto" w:fill="C6EFCE"/>
            <w:noWrap/>
          </w:tcPr>
          <w:p w14:paraId="55B23621"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M</w:t>
            </w:r>
          </w:p>
        </w:tc>
        <w:tc>
          <w:tcPr>
            <w:tcW w:w="1950" w:type="dxa"/>
            <w:shd w:val="clear" w:color="auto" w:fill="C6EFCE"/>
            <w:noWrap/>
          </w:tcPr>
          <w:p w14:paraId="30D37B83" w14:textId="77777777" w:rsidR="00011DE9" w:rsidRPr="00A636A7" w:rsidRDefault="00011DE9">
            <w:pPr>
              <w:pStyle w:val="P68B1DB1-Normal39"/>
              <w:spacing w:after="0" w:line="240" w:lineRule="auto"/>
              <w:rPr>
                <w:rFonts w:ascii="Times New Roman" w:eastAsia="Times New Roman" w:hAnsi="Times New Roman" w:cs="Times New Roman"/>
                <w:noProof/>
                <w:kern w:val="0"/>
                <w:sz w:val="20"/>
                <w:szCs w:val="20"/>
                <w14:ligatures w14:val="none"/>
              </w:rPr>
            </w:pPr>
            <w:r w:rsidRPr="00A636A7">
              <w:rPr>
                <w:rFonts w:ascii="Times New Roman" w:hAnsi="Times New Roman"/>
                <w:noProof/>
                <w:sz w:val="20"/>
                <w:szCs w:val="20"/>
              </w:rPr>
              <w:t>Infrastructurile de cercetare</w:t>
            </w:r>
            <w:r w:rsidRPr="00A636A7">
              <w:rPr>
                <w:rFonts w:ascii="Times New Roman" w:eastAsia="Calibri" w:hAnsi="Times New Roman" w:cs="Arial"/>
                <w:noProof/>
                <w:kern w:val="0"/>
                <w:sz w:val="20"/>
                <w:szCs w:val="20"/>
                <w14:ligatures w14:val="none"/>
              </w:rPr>
              <w:t xml:space="preserve"> </w:t>
            </w:r>
          </w:p>
        </w:tc>
        <w:tc>
          <w:tcPr>
            <w:tcW w:w="1810" w:type="dxa"/>
            <w:shd w:val="clear" w:color="auto" w:fill="C6EFCE"/>
            <w:noWrap/>
          </w:tcPr>
          <w:p w14:paraId="3C361D2B" w14:textId="77777777" w:rsidR="00011DE9" w:rsidRPr="00A636A7" w:rsidRDefault="00011DE9">
            <w:pPr>
              <w:pStyle w:val="P68B1DB1-Normal20"/>
              <w:spacing w:after="0" w:line="240" w:lineRule="auto"/>
              <w:rPr>
                <w:noProof/>
                <w:sz w:val="20"/>
                <w:szCs w:val="20"/>
              </w:rPr>
            </w:pPr>
            <w:r w:rsidRPr="00A636A7">
              <w:rPr>
                <w:noProof/>
                <w:sz w:val="20"/>
                <w:szCs w:val="20"/>
              </w:rPr>
              <w:t>Rapoarte finale, declarații de conformitate sau documente echivalente care atestă executarea contractelor</w:t>
            </w:r>
          </w:p>
          <w:p w14:paraId="0309C687" w14:textId="77777777" w:rsidR="00011DE9" w:rsidRPr="00A636A7" w:rsidRDefault="00011DE9">
            <w:pPr>
              <w:pStyle w:val="P68B1DB1-Normal20"/>
              <w:spacing w:after="0" w:line="240" w:lineRule="auto"/>
              <w:rPr>
                <w:rFonts w:eastAsia="Times New Roman" w:cs="Times New Roman"/>
                <w:noProof/>
                <w:kern w:val="0"/>
                <w:sz w:val="20"/>
                <w:szCs w:val="20"/>
                <w14:ligatures w14:val="none"/>
              </w:rPr>
            </w:pPr>
            <w:r w:rsidRPr="00A636A7">
              <w:rPr>
                <w:noProof/>
                <w:sz w:val="20"/>
                <w:szCs w:val="20"/>
              </w:rPr>
              <w:t xml:space="preserve"> și dovada plății </w:t>
            </w:r>
          </w:p>
        </w:tc>
        <w:tc>
          <w:tcPr>
            <w:tcW w:w="850" w:type="dxa"/>
            <w:shd w:val="clear" w:color="auto" w:fill="C6EFCE"/>
            <w:noWrap/>
          </w:tcPr>
          <w:p w14:paraId="2911DC98" w14:textId="77777777" w:rsidR="00011DE9" w:rsidRPr="00A636A7" w:rsidRDefault="00011DE9">
            <w:pPr>
              <w:spacing w:after="0" w:line="240" w:lineRule="auto"/>
              <w:jc w:val="center"/>
              <w:rPr>
                <w:rFonts w:ascii="Times New Roman" w:eastAsia="Times New Roman" w:hAnsi="Times New Roman" w:cs="Times New Roman"/>
                <w:noProof/>
                <w:kern w:val="0"/>
                <w:sz w:val="20"/>
                <w:szCs w:val="20"/>
                <w14:ligatures w14:val="none"/>
              </w:rPr>
            </w:pPr>
          </w:p>
        </w:tc>
        <w:tc>
          <w:tcPr>
            <w:tcW w:w="993" w:type="dxa"/>
            <w:shd w:val="clear" w:color="auto" w:fill="C6EFCE"/>
          </w:tcPr>
          <w:p w14:paraId="2D488BDD"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532A6331" w14:textId="77777777" w:rsidR="00011DE9" w:rsidRPr="00A636A7" w:rsidRDefault="00011DE9">
            <w:pPr>
              <w:spacing w:after="0" w:line="240" w:lineRule="auto"/>
              <w:jc w:val="center"/>
              <w:rPr>
                <w:rFonts w:ascii="Times New Roman" w:eastAsia="Calibri" w:hAnsi="Times New Roman" w:cs="Times New Roman"/>
                <w:noProof/>
                <w:kern w:val="0"/>
                <w:sz w:val="20"/>
                <w:szCs w:val="20"/>
                <w14:ligatures w14:val="none"/>
              </w:rPr>
            </w:pPr>
          </w:p>
        </w:tc>
        <w:tc>
          <w:tcPr>
            <w:tcW w:w="425" w:type="dxa"/>
            <w:shd w:val="clear" w:color="auto" w:fill="C6EFCE"/>
          </w:tcPr>
          <w:p w14:paraId="1C2C3AB3" w14:textId="5CE3E62B" w:rsidR="00011DE9" w:rsidRPr="00A636A7" w:rsidRDefault="005701C9">
            <w:pPr>
              <w:pStyle w:val="P68B1DB1-Normal38"/>
              <w:spacing w:after="0" w:line="240" w:lineRule="auto"/>
              <w:jc w:val="center"/>
              <w:rPr>
                <w:rFonts w:cs="Times New Roman"/>
                <w:noProof/>
                <w:sz w:val="20"/>
                <w:szCs w:val="20"/>
              </w:rPr>
            </w:pPr>
            <w:r w:rsidRPr="00A636A7">
              <w:rPr>
                <w:noProof/>
                <w:sz w:val="20"/>
                <w:szCs w:val="20"/>
              </w:rPr>
              <w:t>T2</w:t>
            </w:r>
          </w:p>
        </w:tc>
        <w:tc>
          <w:tcPr>
            <w:tcW w:w="709" w:type="dxa"/>
            <w:shd w:val="clear" w:color="auto" w:fill="C6EFCE"/>
          </w:tcPr>
          <w:p w14:paraId="67D4AE15"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2026</w:t>
            </w:r>
          </w:p>
        </w:tc>
        <w:tc>
          <w:tcPr>
            <w:tcW w:w="4961" w:type="dxa"/>
            <w:shd w:val="clear" w:color="auto" w:fill="C6EFCE"/>
            <w:noWrap/>
          </w:tcPr>
          <w:p w14:paraId="6527394A" w14:textId="77777777" w:rsidR="00011DE9" w:rsidRPr="00A636A7" w:rsidRDefault="00011DE9">
            <w:pPr>
              <w:pStyle w:val="P68B1DB1-Normal15"/>
              <w:spacing w:after="0" w:line="240" w:lineRule="auto"/>
              <w:rPr>
                <w:noProof/>
                <w:sz w:val="20"/>
                <w:szCs w:val="20"/>
              </w:rPr>
            </w:pPr>
            <w:r w:rsidRPr="00A636A7">
              <w:rPr>
                <w:noProof/>
                <w:sz w:val="20"/>
                <w:szCs w:val="20"/>
              </w:rPr>
              <w:t>517 entitățile beneficiare prezintă rapoarte finale care confirmă finalizarea activităților atribuite pentru granturile legate de consolidarea capacităților de C &amp; D &amp; I și de infrastructura de cercetare.</w:t>
            </w:r>
          </w:p>
          <w:p w14:paraId="2CCDA7AC" w14:textId="77777777" w:rsidR="00011DE9" w:rsidRPr="00A636A7" w:rsidRDefault="00011DE9">
            <w:pPr>
              <w:spacing w:after="0" w:line="240" w:lineRule="auto"/>
              <w:rPr>
                <w:rFonts w:ascii="Times New Roman" w:eastAsia="Calibri" w:hAnsi="Times New Roman" w:cs="Arial"/>
                <w:noProof/>
                <w:sz w:val="20"/>
                <w:szCs w:val="20"/>
              </w:rPr>
            </w:pPr>
          </w:p>
          <w:p w14:paraId="68A63884" w14:textId="77777777" w:rsidR="00011DE9" w:rsidRPr="00A636A7" w:rsidRDefault="00011DE9">
            <w:pPr>
              <w:pStyle w:val="P68B1DB1-Normal15"/>
              <w:spacing w:after="0" w:line="240" w:lineRule="auto"/>
              <w:rPr>
                <w:noProof/>
                <w:sz w:val="20"/>
                <w:szCs w:val="20"/>
              </w:rPr>
            </w:pPr>
            <w:r w:rsidRPr="00A636A7">
              <w:rPr>
                <w:noProof/>
                <w:sz w:val="20"/>
                <w:szCs w:val="20"/>
              </w:rPr>
              <w:t>Confirmarea de către administrație a executării contractelor sau a unor părți ale acestora legate de consolidarea capacităților și de infrastructura de cercetare, pentru o sumă totală cumulată de 115 000 000 EUR în contractele atribuite (inclusiv eventualele modificări).</w:t>
            </w:r>
          </w:p>
          <w:p w14:paraId="4BD30149" w14:textId="77777777" w:rsidR="00011DE9" w:rsidRPr="00A636A7" w:rsidRDefault="00011DE9">
            <w:pPr>
              <w:spacing w:after="0" w:line="240" w:lineRule="auto"/>
              <w:rPr>
                <w:rFonts w:ascii="Times New Roman" w:eastAsia="Calibri" w:hAnsi="Times New Roman" w:cs="Arial"/>
                <w:noProof/>
                <w:sz w:val="20"/>
                <w:szCs w:val="20"/>
              </w:rPr>
            </w:pPr>
          </w:p>
          <w:p w14:paraId="78E5257B" w14:textId="77777777" w:rsidR="00011DE9" w:rsidRPr="00A636A7" w:rsidRDefault="00011DE9">
            <w:pPr>
              <w:pStyle w:val="P68B1DB1-Normal15"/>
              <w:spacing w:after="0" w:line="240" w:lineRule="auto"/>
              <w:rPr>
                <w:rFonts w:eastAsia="Times New Roman"/>
                <w:noProof/>
                <w:sz w:val="20"/>
                <w:szCs w:val="20"/>
              </w:rPr>
            </w:pPr>
            <w:r w:rsidRPr="00A636A7">
              <w:rPr>
                <w:noProof/>
                <w:sz w:val="20"/>
                <w:szCs w:val="20"/>
              </w:rPr>
              <w:t xml:space="preserve">Plata unei sume totale de 8 000 000 EUR pentru consolidarea capacităților de C &amp; I. </w:t>
            </w:r>
          </w:p>
        </w:tc>
      </w:tr>
      <w:tr w:rsidR="00011DE9" w:rsidRPr="00A636A7" w14:paraId="652908FD" w14:textId="77777777" w:rsidTr="00A636A7">
        <w:trPr>
          <w:trHeight w:val="309"/>
        </w:trPr>
        <w:tc>
          <w:tcPr>
            <w:tcW w:w="969" w:type="dxa"/>
            <w:shd w:val="clear" w:color="auto" w:fill="C6EFCE"/>
            <w:noWrap/>
          </w:tcPr>
          <w:p w14:paraId="549308EA"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261</w:t>
            </w:r>
          </w:p>
        </w:tc>
        <w:tc>
          <w:tcPr>
            <w:tcW w:w="818" w:type="dxa"/>
            <w:shd w:val="clear" w:color="auto" w:fill="C6EFCE"/>
            <w:noWrap/>
          </w:tcPr>
          <w:p w14:paraId="27C9EB33"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C17.I3</w:t>
            </w:r>
          </w:p>
        </w:tc>
        <w:tc>
          <w:tcPr>
            <w:tcW w:w="941" w:type="dxa"/>
            <w:shd w:val="clear" w:color="auto" w:fill="C6EFCE"/>
            <w:noWrap/>
          </w:tcPr>
          <w:p w14:paraId="0850D67A"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T</w:t>
            </w:r>
          </w:p>
        </w:tc>
        <w:tc>
          <w:tcPr>
            <w:tcW w:w="1950" w:type="dxa"/>
            <w:shd w:val="clear" w:color="auto" w:fill="C6EFCE"/>
            <w:noWrap/>
          </w:tcPr>
          <w:p w14:paraId="2040BCB8" w14:textId="77777777" w:rsidR="00011DE9" w:rsidRPr="00A636A7" w:rsidRDefault="00011DE9">
            <w:pPr>
              <w:pStyle w:val="P68B1DB1-Normal38"/>
              <w:spacing w:after="0" w:line="240" w:lineRule="auto"/>
              <w:rPr>
                <w:rFonts w:eastAsia="Times New Roman" w:cs="Times New Roman"/>
                <w:noProof/>
                <w:sz w:val="20"/>
                <w:szCs w:val="20"/>
              </w:rPr>
            </w:pPr>
            <w:r w:rsidRPr="00A636A7">
              <w:rPr>
                <w:noProof/>
                <w:sz w:val="20"/>
                <w:szCs w:val="20"/>
              </w:rPr>
              <w:t xml:space="preserve">Atribuirea de noi proiecte de C &amp; D &amp; I private, interdisciplinare și publice, teste de concept, cereri competitive internaționale și C &amp; D de vârf orientate către provocările sociale </w:t>
            </w:r>
          </w:p>
        </w:tc>
        <w:tc>
          <w:tcPr>
            <w:tcW w:w="1810" w:type="dxa"/>
            <w:shd w:val="clear" w:color="auto" w:fill="C6EFCE"/>
            <w:noWrap/>
          </w:tcPr>
          <w:p w14:paraId="6E94B3BC" w14:textId="77777777" w:rsidR="00011DE9" w:rsidRPr="00A636A7" w:rsidRDefault="00011DE9">
            <w:pPr>
              <w:spacing w:after="0" w:line="240" w:lineRule="auto"/>
              <w:jc w:val="center"/>
              <w:rPr>
                <w:rFonts w:ascii="Times New Roman" w:eastAsia="Times New Roman" w:hAnsi="Times New Roman" w:cs="Times New Roman"/>
                <w:noProof/>
                <w:kern w:val="0"/>
                <w:sz w:val="20"/>
                <w:szCs w:val="20"/>
                <w14:ligatures w14:val="none"/>
              </w:rPr>
            </w:pPr>
          </w:p>
        </w:tc>
        <w:tc>
          <w:tcPr>
            <w:tcW w:w="850" w:type="dxa"/>
            <w:shd w:val="clear" w:color="auto" w:fill="C6EFCE"/>
            <w:noWrap/>
          </w:tcPr>
          <w:p w14:paraId="59C02BC8"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EUR (milioane)</w:t>
            </w:r>
          </w:p>
        </w:tc>
        <w:tc>
          <w:tcPr>
            <w:tcW w:w="993" w:type="dxa"/>
            <w:shd w:val="clear" w:color="auto" w:fill="C6EFCE"/>
          </w:tcPr>
          <w:p w14:paraId="3C5C747E"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41EDE1A3"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897</w:t>
            </w:r>
          </w:p>
        </w:tc>
        <w:tc>
          <w:tcPr>
            <w:tcW w:w="425" w:type="dxa"/>
            <w:shd w:val="clear" w:color="auto" w:fill="C6EFCE"/>
          </w:tcPr>
          <w:p w14:paraId="5DF5F837" w14:textId="7D61AF96" w:rsidR="00011DE9" w:rsidRPr="00A636A7" w:rsidRDefault="005701C9">
            <w:pPr>
              <w:pStyle w:val="P68B1DB1-Normal38"/>
              <w:spacing w:after="0" w:line="240" w:lineRule="auto"/>
              <w:jc w:val="center"/>
              <w:rPr>
                <w:rFonts w:cs="Times New Roman"/>
                <w:noProof/>
                <w:sz w:val="20"/>
                <w:szCs w:val="20"/>
              </w:rPr>
            </w:pPr>
            <w:r w:rsidRPr="00A636A7">
              <w:rPr>
                <w:noProof/>
                <w:sz w:val="20"/>
                <w:szCs w:val="20"/>
              </w:rPr>
              <w:t>T4</w:t>
            </w:r>
          </w:p>
        </w:tc>
        <w:tc>
          <w:tcPr>
            <w:tcW w:w="709" w:type="dxa"/>
            <w:shd w:val="clear" w:color="auto" w:fill="C6EFCE"/>
          </w:tcPr>
          <w:p w14:paraId="40403331"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2022</w:t>
            </w:r>
          </w:p>
        </w:tc>
        <w:tc>
          <w:tcPr>
            <w:tcW w:w="4961" w:type="dxa"/>
            <w:shd w:val="clear" w:color="auto" w:fill="C6EFCE"/>
            <w:noWrap/>
          </w:tcPr>
          <w:p w14:paraId="79F8B723" w14:textId="77777777" w:rsidR="00011DE9" w:rsidRPr="00A636A7" w:rsidRDefault="00011DE9">
            <w:pPr>
              <w:pStyle w:val="P68B1DB1-Normal32"/>
              <w:spacing w:after="0" w:line="240" w:lineRule="auto"/>
              <w:jc w:val="both"/>
              <w:rPr>
                <w:noProof/>
                <w:sz w:val="20"/>
                <w:szCs w:val="20"/>
              </w:rPr>
            </w:pPr>
            <w:r w:rsidRPr="00A636A7">
              <w:rPr>
                <w:noProof/>
                <w:sz w:val="20"/>
                <w:szCs w:val="20"/>
              </w:rPr>
              <w:t>Publicarea în JO a atribuirii a cel puțin 897 000 000 EUR în cadrul următoarelor cereri de propuneri: cerere de proiecte de validare a conceptului (80 000 000 EUR), cerere de proiecte interdisciplinare în linii strategice (73 000 000 EUR), cerere de proiecte de C &amp; D legate de tranziția verde și digitală (296 000 000 EUR), cerere de proiecte de colaborare public-privat (140 000 000 EUR), cerere de proiecte de C &amp; D care să vizeze provocările societale (230 000 000 EUR) și cerere de proiecte de colaborare internațională (78 000 000 EUR). Evaluarea proiectelor în cadrul acestei investiții asigură conformitatea cu Orientările tehnice de „a nu prejudicia în mod semnificativ” (2021/C58/01), astfel cum se prevede în descrierea măsurii.</w:t>
            </w:r>
          </w:p>
          <w:p w14:paraId="5596BFD6" w14:textId="77777777" w:rsidR="00011DE9" w:rsidRPr="00A636A7" w:rsidRDefault="00011DE9">
            <w:pPr>
              <w:spacing w:after="0" w:line="240" w:lineRule="auto"/>
              <w:jc w:val="both"/>
              <w:rPr>
                <w:rFonts w:ascii="Times New Roman" w:eastAsia="Calibri" w:hAnsi="Times New Roman" w:cs="Arial"/>
                <w:noProof/>
                <w:kern w:val="0"/>
                <w:sz w:val="20"/>
                <w:szCs w:val="20"/>
                <w14:ligatures w14:val="none"/>
              </w:rPr>
            </w:pPr>
          </w:p>
          <w:p w14:paraId="134A53FB" w14:textId="77777777" w:rsidR="00011DE9" w:rsidRPr="00A636A7" w:rsidRDefault="00011DE9">
            <w:pPr>
              <w:pStyle w:val="P68B1DB1-Normal15"/>
              <w:rPr>
                <w:noProof/>
                <w:sz w:val="20"/>
                <w:szCs w:val="20"/>
              </w:rPr>
            </w:pPr>
            <w:r w:rsidRPr="00A636A7">
              <w:rPr>
                <w:noProof/>
                <w:sz w:val="20"/>
                <w:szCs w:val="20"/>
              </w:rPr>
              <w:t>JO pentru cererea de granturi și în baza de date națională a granturilor pentru premii sunt considerate mecanisme de verificare valabile.</w:t>
            </w:r>
          </w:p>
          <w:p w14:paraId="2584727E" w14:textId="77777777" w:rsidR="00011DE9" w:rsidRPr="00A636A7" w:rsidRDefault="00011DE9">
            <w:pPr>
              <w:pStyle w:val="P68B1DB1-Normal15"/>
              <w:rPr>
                <w:rFonts w:eastAsia="Times New Roman"/>
                <w:noProof/>
                <w:sz w:val="20"/>
                <w:szCs w:val="20"/>
              </w:rPr>
            </w:pPr>
            <w:r w:rsidRPr="00A636A7">
              <w:rPr>
                <w:noProof/>
                <w:sz w:val="20"/>
                <w:szCs w:val="20"/>
              </w:rPr>
              <w:t xml:space="preserve">Proiectele atribuite prin intermediul mai multor cereri de propuneri pentru fiecare domeniu tematic (proiecte de validare a conceptului, proiecte interdisciplinare în linii strategice, proiecte de C &amp; D legate de tranziția verde și digitală, proiecte de colaborare public-privat, proiecte de C &amp; D care vizează provocările societale și proiecte de colaborare internațională) sunt considerate mecanisme de verificare valabile. </w:t>
            </w:r>
          </w:p>
        </w:tc>
      </w:tr>
      <w:tr w:rsidR="00011DE9" w:rsidRPr="00A636A7" w14:paraId="49E0235A" w14:textId="77777777" w:rsidTr="00A636A7">
        <w:trPr>
          <w:trHeight w:val="309"/>
        </w:trPr>
        <w:tc>
          <w:tcPr>
            <w:tcW w:w="969" w:type="dxa"/>
            <w:shd w:val="clear" w:color="auto" w:fill="C6EFCE"/>
            <w:noWrap/>
          </w:tcPr>
          <w:p w14:paraId="724ABB1B"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262</w:t>
            </w:r>
          </w:p>
        </w:tc>
        <w:tc>
          <w:tcPr>
            <w:tcW w:w="818" w:type="dxa"/>
            <w:shd w:val="clear" w:color="auto" w:fill="C6EFCE"/>
            <w:noWrap/>
          </w:tcPr>
          <w:p w14:paraId="37F8FBE9"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C17.I3</w:t>
            </w:r>
          </w:p>
        </w:tc>
        <w:tc>
          <w:tcPr>
            <w:tcW w:w="941" w:type="dxa"/>
            <w:shd w:val="clear" w:color="auto" w:fill="C6EFCE"/>
            <w:noWrap/>
          </w:tcPr>
          <w:p w14:paraId="65E4F248"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T</w:t>
            </w:r>
          </w:p>
        </w:tc>
        <w:tc>
          <w:tcPr>
            <w:tcW w:w="1950" w:type="dxa"/>
            <w:shd w:val="clear" w:color="auto" w:fill="C6EFCE"/>
            <w:noWrap/>
          </w:tcPr>
          <w:p w14:paraId="1B2FAFCA" w14:textId="77777777" w:rsidR="00011DE9" w:rsidRPr="00A636A7" w:rsidRDefault="00011DE9">
            <w:pPr>
              <w:pStyle w:val="P68B1DB1-Normal38"/>
              <w:spacing w:after="0" w:line="240" w:lineRule="auto"/>
              <w:rPr>
                <w:rFonts w:eastAsia="Times New Roman" w:cs="Times New Roman"/>
                <w:noProof/>
                <w:sz w:val="20"/>
                <w:szCs w:val="20"/>
              </w:rPr>
            </w:pPr>
            <w:r w:rsidRPr="00A636A7">
              <w:rPr>
                <w:noProof/>
                <w:sz w:val="20"/>
                <w:szCs w:val="20"/>
              </w:rPr>
              <w:t>Atribuirea proiectelor de C &amp; I legate de semiconductori, cipul PERTE, colaborarea dintre sectorul public și cel privat și publicarea licitațiilor pentru finanțarea achizițiilor publice precomerciale</w:t>
            </w:r>
          </w:p>
        </w:tc>
        <w:tc>
          <w:tcPr>
            <w:tcW w:w="1810" w:type="dxa"/>
            <w:shd w:val="clear" w:color="auto" w:fill="C6EFCE"/>
            <w:noWrap/>
          </w:tcPr>
          <w:p w14:paraId="0F77A6FC"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Atribuirea proiectelor și publicarea ofertelor</w:t>
            </w:r>
          </w:p>
        </w:tc>
        <w:tc>
          <w:tcPr>
            <w:tcW w:w="850" w:type="dxa"/>
            <w:shd w:val="clear" w:color="auto" w:fill="C6EFCE"/>
            <w:noWrap/>
          </w:tcPr>
          <w:p w14:paraId="7C4DD9C6" w14:textId="77777777" w:rsidR="00011DE9" w:rsidRPr="00A636A7" w:rsidRDefault="00011DE9">
            <w:pPr>
              <w:spacing w:after="0" w:line="240" w:lineRule="auto"/>
              <w:rPr>
                <w:rFonts w:ascii="Times New Roman" w:eastAsia="Times New Roman" w:hAnsi="Times New Roman" w:cs="Times New Roman"/>
                <w:noProof/>
                <w:kern w:val="0"/>
                <w:sz w:val="20"/>
                <w:szCs w:val="20"/>
                <w14:ligatures w14:val="none"/>
              </w:rPr>
            </w:pPr>
          </w:p>
        </w:tc>
        <w:tc>
          <w:tcPr>
            <w:tcW w:w="993" w:type="dxa"/>
            <w:shd w:val="clear" w:color="auto" w:fill="C6EFCE"/>
          </w:tcPr>
          <w:p w14:paraId="51A88507"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49044060" w14:textId="77777777" w:rsidR="00011DE9" w:rsidRPr="00A636A7" w:rsidRDefault="00011DE9">
            <w:pPr>
              <w:spacing w:after="0" w:line="240" w:lineRule="auto"/>
              <w:jc w:val="center"/>
              <w:rPr>
                <w:rFonts w:ascii="Times New Roman" w:eastAsia="Calibri" w:hAnsi="Times New Roman" w:cs="Times New Roman"/>
                <w:noProof/>
                <w:kern w:val="0"/>
                <w:sz w:val="20"/>
                <w:szCs w:val="20"/>
                <w14:ligatures w14:val="none"/>
              </w:rPr>
            </w:pPr>
          </w:p>
        </w:tc>
        <w:tc>
          <w:tcPr>
            <w:tcW w:w="425" w:type="dxa"/>
            <w:shd w:val="clear" w:color="auto" w:fill="C6EFCE"/>
          </w:tcPr>
          <w:p w14:paraId="43266CC1" w14:textId="1A1F9D19" w:rsidR="00011DE9" w:rsidRPr="00A636A7" w:rsidRDefault="005701C9">
            <w:pPr>
              <w:pStyle w:val="P68B1DB1-Normal38"/>
              <w:spacing w:after="0" w:line="240" w:lineRule="auto"/>
              <w:jc w:val="center"/>
              <w:rPr>
                <w:rFonts w:cs="Times New Roman"/>
                <w:noProof/>
                <w:sz w:val="20"/>
                <w:szCs w:val="20"/>
              </w:rPr>
            </w:pPr>
            <w:r w:rsidRPr="00A636A7">
              <w:rPr>
                <w:noProof/>
                <w:sz w:val="20"/>
                <w:szCs w:val="20"/>
              </w:rPr>
              <w:t>T2</w:t>
            </w:r>
          </w:p>
        </w:tc>
        <w:tc>
          <w:tcPr>
            <w:tcW w:w="709" w:type="dxa"/>
            <w:shd w:val="clear" w:color="auto" w:fill="C6EFCE"/>
          </w:tcPr>
          <w:p w14:paraId="342705B3"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2023</w:t>
            </w:r>
          </w:p>
        </w:tc>
        <w:tc>
          <w:tcPr>
            <w:tcW w:w="4961" w:type="dxa"/>
            <w:shd w:val="clear" w:color="auto" w:fill="C6EFCE"/>
            <w:noWrap/>
          </w:tcPr>
          <w:p w14:paraId="581278D8" w14:textId="77777777" w:rsidR="00011DE9" w:rsidRPr="00A636A7" w:rsidRDefault="00011DE9">
            <w:pPr>
              <w:pStyle w:val="P68B1DB1-Normal38"/>
              <w:spacing w:after="0" w:line="240" w:lineRule="auto"/>
              <w:jc w:val="both"/>
              <w:rPr>
                <w:noProof/>
                <w:sz w:val="20"/>
                <w:szCs w:val="20"/>
              </w:rPr>
            </w:pPr>
            <w:r w:rsidRPr="00A636A7">
              <w:rPr>
                <w:noProof/>
                <w:sz w:val="20"/>
                <w:szCs w:val="20"/>
              </w:rPr>
              <w:t xml:space="preserve">Au fost atribuite cel puțin 377 de proiecte de C &amp; I, inclusiv 259 de proiecte în colaborare public-privat și 118 de proiecte în domeniul semiconductorilor legate de cipul PERTE. În plus, opt licitații au fost publicate pe Platforma spaniolă de achiziții publice oficiale pentru finanțarea achizițiilor publice înainte de comercializare. Evaluarea proiectelor și a ofertelor în cadrul acestei investiții asigură conformitatea cu Orientările tehnice de „a nu prejudicia în mod semnificativ” (2021/C58/01), astfel cum se prevede în descrierea măsurii. </w:t>
            </w:r>
          </w:p>
          <w:p w14:paraId="57B2E7FC" w14:textId="77777777" w:rsidR="00011DE9" w:rsidRPr="00A636A7" w:rsidRDefault="00011DE9">
            <w:pPr>
              <w:spacing w:after="0" w:line="240" w:lineRule="auto"/>
              <w:jc w:val="both"/>
              <w:rPr>
                <w:rFonts w:ascii="Times New Roman" w:eastAsia="Calibri" w:hAnsi="Times New Roman" w:cs="Arial"/>
                <w:noProof/>
                <w:kern w:val="0"/>
                <w:sz w:val="20"/>
                <w:szCs w:val="20"/>
                <w14:ligatures w14:val="none"/>
              </w:rPr>
            </w:pPr>
          </w:p>
          <w:p w14:paraId="057A8F82" w14:textId="77777777" w:rsidR="00011DE9" w:rsidRPr="00A636A7" w:rsidRDefault="00011DE9">
            <w:pPr>
              <w:pStyle w:val="P68B1DB1-Normal15"/>
              <w:spacing w:line="240" w:lineRule="auto"/>
              <w:rPr>
                <w:noProof/>
                <w:sz w:val="20"/>
                <w:szCs w:val="20"/>
              </w:rPr>
            </w:pPr>
            <w:r w:rsidRPr="00A636A7">
              <w:rPr>
                <w:noProof/>
                <w:sz w:val="20"/>
                <w:szCs w:val="20"/>
              </w:rPr>
              <w:t>Proiectele atribuite prin mai multe cereri de propuneri pentru fiecare domeniu tematic sunt considerate mecanisme de verificare valabile.</w:t>
            </w:r>
          </w:p>
        </w:tc>
      </w:tr>
      <w:tr w:rsidR="00011DE9" w:rsidRPr="00A636A7" w14:paraId="7F4C2C87" w14:textId="77777777" w:rsidTr="00A636A7">
        <w:trPr>
          <w:trHeight w:val="309"/>
        </w:trPr>
        <w:tc>
          <w:tcPr>
            <w:tcW w:w="969" w:type="dxa"/>
            <w:shd w:val="clear" w:color="auto" w:fill="C6EFCE"/>
            <w:noWrap/>
          </w:tcPr>
          <w:p w14:paraId="36B90538"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263</w:t>
            </w:r>
          </w:p>
        </w:tc>
        <w:tc>
          <w:tcPr>
            <w:tcW w:w="818" w:type="dxa"/>
            <w:shd w:val="clear" w:color="auto" w:fill="C6EFCE"/>
            <w:noWrap/>
          </w:tcPr>
          <w:p w14:paraId="730A00CB"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C17.I4</w:t>
            </w:r>
          </w:p>
        </w:tc>
        <w:tc>
          <w:tcPr>
            <w:tcW w:w="941" w:type="dxa"/>
            <w:shd w:val="clear" w:color="auto" w:fill="C6EFCE"/>
            <w:noWrap/>
          </w:tcPr>
          <w:p w14:paraId="61CD6893"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T</w:t>
            </w:r>
          </w:p>
        </w:tc>
        <w:tc>
          <w:tcPr>
            <w:tcW w:w="1950" w:type="dxa"/>
            <w:shd w:val="clear" w:color="auto" w:fill="C6EFCE"/>
            <w:noWrap/>
          </w:tcPr>
          <w:p w14:paraId="2031C0EC" w14:textId="77777777" w:rsidR="00011DE9" w:rsidRPr="00A636A7" w:rsidRDefault="00011DE9">
            <w:pPr>
              <w:pStyle w:val="P68B1DB1-Normal38"/>
              <w:spacing w:after="0" w:line="240" w:lineRule="auto"/>
              <w:rPr>
                <w:rFonts w:eastAsia="Times New Roman" w:cs="Times New Roman"/>
                <w:noProof/>
                <w:sz w:val="20"/>
                <w:szCs w:val="20"/>
              </w:rPr>
            </w:pPr>
            <w:r w:rsidRPr="00A636A7">
              <w:rPr>
                <w:noProof/>
                <w:sz w:val="20"/>
                <w:szCs w:val="20"/>
              </w:rPr>
              <w:t xml:space="preserve">Sprijin pentru cariera în domeniul cercetării științifice prin burse și granturi </w:t>
            </w:r>
          </w:p>
        </w:tc>
        <w:tc>
          <w:tcPr>
            <w:tcW w:w="1810" w:type="dxa"/>
            <w:shd w:val="clear" w:color="auto" w:fill="C6EFCE"/>
            <w:noWrap/>
          </w:tcPr>
          <w:p w14:paraId="2FC2D854"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w:t>
            </w:r>
          </w:p>
        </w:tc>
        <w:tc>
          <w:tcPr>
            <w:tcW w:w="850" w:type="dxa"/>
            <w:shd w:val="clear" w:color="auto" w:fill="C6EFCE"/>
            <w:noWrap/>
          </w:tcPr>
          <w:p w14:paraId="60F1EA00"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Număr</w:t>
            </w:r>
          </w:p>
        </w:tc>
        <w:tc>
          <w:tcPr>
            <w:tcW w:w="993" w:type="dxa"/>
            <w:shd w:val="clear" w:color="auto" w:fill="C6EFCE"/>
          </w:tcPr>
          <w:p w14:paraId="3BAAF9E3" w14:textId="77777777" w:rsidR="00011DE9" w:rsidRPr="00A636A7" w:rsidRDefault="00011DE9">
            <w:pPr>
              <w:pStyle w:val="P68B1DB1-Normal38"/>
              <w:spacing w:after="0" w:line="240" w:lineRule="auto"/>
              <w:rPr>
                <w:rFonts w:cs="Times New Roman"/>
                <w:noProof/>
                <w:sz w:val="20"/>
                <w:szCs w:val="20"/>
              </w:rPr>
            </w:pPr>
            <w:r w:rsidRPr="00A636A7">
              <w:rPr>
                <w:noProof/>
                <w:sz w:val="20"/>
                <w:szCs w:val="20"/>
              </w:rPr>
              <w:t>0</w:t>
            </w:r>
          </w:p>
        </w:tc>
        <w:tc>
          <w:tcPr>
            <w:tcW w:w="992" w:type="dxa"/>
            <w:shd w:val="clear" w:color="auto" w:fill="C6EFCE"/>
          </w:tcPr>
          <w:p w14:paraId="294144EB"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2 836</w:t>
            </w:r>
          </w:p>
        </w:tc>
        <w:tc>
          <w:tcPr>
            <w:tcW w:w="425" w:type="dxa"/>
            <w:shd w:val="clear" w:color="auto" w:fill="C6EFCE"/>
          </w:tcPr>
          <w:p w14:paraId="47FDC1D7" w14:textId="61B3E13A" w:rsidR="00011DE9" w:rsidRPr="00A636A7" w:rsidRDefault="005701C9">
            <w:pPr>
              <w:pStyle w:val="P68B1DB1-Normal38"/>
              <w:spacing w:after="0" w:line="240" w:lineRule="auto"/>
              <w:jc w:val="center"/>
              <w:rPr>
                <w:rFonts w:cs="Times New Roman"/>
                <w:noProof/>
                <w:sz w:val="20"/>
                <w:szCs w:val="20"/>
              </w:rPr>
            </w:pPr>
            <w:r w:rsidRPr="00A636A7">
              <w:rPr>
                <w:noProof/>
                <w:sz w:val="20"/>
                <w:szCs w:val="20"/>
              </w:rPr>
              <w:t>T2</w:t>
            </w:r>
          </w:p>
        </w:tc>
        <w:tc>
          <w:tcPr>
            <w:tcW w:w="709" w:type="dxa"/>
            <w:shd w:val="clear" w:color="auto" w:fill="C6EFCE"/>
          </w:tcPr>
          <w:p w14:paraId="6D02201B"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2023</w:t>
            </w:r>
          </w:p>
        </w:tc>
        <w:tc>
          <w:tcPr>
            <w:tcW w:w="4961" w:type="dxa"/>
            <w:shd w:val="clear" w:color="auto" w:fill="C6EFCE"/>
            <w:noWrap/>
          </w:tcPr>
          <w:p w14:paraId="0596A532" w14:textId="77777777" w:rsidR="00011DE9" w:rsidRPr="00A636A7" w:rsidRDefault="00011DE9">
            <w:pPr>
              <w:pStyle w:val="P68B1DB1-Normal38"/>
              <w:spacing w:after="0" w:line="240" w:lineRule="auto"/>
              <w:rPr>
                <w:rFonts w:cs="Times New Roman"/>
                <w:noProof/>
                <w:sz w:val="20"/>
                <w:szCs w:val="20"/>
              </w:rPr>
            </w:pPr>
            <w:r w:rsidRPr="00A636A7">
              <w:rPr>
                <w:noProof/>
                <w:sz w:val="20"/>
                <w:szCs w:val="20"/>
              </w:rPr>
              <w:t xml:space="preserve">Cariera de cercetare științifică din Spania este consolidată cu sprijinul a cel puțin 2 020 de cercetători prin programul de integrare Juan de la Cierva, programul de formare Juan de la Cierva, programul de doctorat industrial și programul Torres Quevedo. În plus, cel puțin 816 de cercetători au primit un „pachet de cercetare pentru întreprinderile nou-înființate” în cadrul contractului stabil similar Tenure Track, dintre care 26 cercetători au primit un pachet de cercetare pentru întreprinderile nou-înființate CHIP. </w:t>
            </w:r>
          </w:p>
        </w:tc>
      </w:tr>
      <w:tr w:rsidR="00011DE9" w:rsidRPr="00A636A7" w14:paraId="40EC8F14" w14:textId="77777777" w:rsidTr="00A636A7">
        <w:trPr>
          <w:trHeight w:val="309"/>
        </w:trPr>
        <w:tc>
          <w:tcPr>
            <w:tcW w:w="969" w:type="dxa"/>
            <w:shd w:val="clear" w:color="auto" w:fill="C6EFCE"/>
            <w:noWrap/>
          </w:tcPr>
          <w:p w14:paraId="28552E2E"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265</w:t>
            </w:r>
          </w:p>
        </w:tc>
        <w:tc>
          <w:tcPr>
            <w:tcW w:w="818" w:type="dxa"/>
            <w:shd w:val="clear" w:color="auto" w:fill="C6EFCE"/>
            <w:noWrap/>
          </w:tcPr>
          <w:p w14:paraId="66D96D5B"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C17.I5</w:t>
            </w:r>
          </w:p>
        </w:tc>
        <w:tc>
          <w:tcPr>
            <w:tcW w:w="941" w:type="dxa"/>
            <w:shd w:val="clear" w:color="auto" w:fill="C6EFCE"/>
            <w:noWrap/>
          </w:tcPr>
          <w:p w14:paraId="3E45234F"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T</w:t>
            </w:r>
          </w:p>
        </w:tc>
        <w:tc>
          <w:tcPr>
            <w:tcW w:w="1950" w:type="dxa"/>
            <w:shd w:val="clear" w:color="auto" w:fill="C6EFCE"/>
            <w:noWrap/>
          </w:tcPr>
          <w:p w14:paraId="7D687313" w14:textId="77777777" w:rsidR="00011DE9" w:rsidRPr="00A636A7" w:rsidRDefault="00011DE9">
            <w:pPr>
              <w:pStyle w:val="P68B1DB1-Normal38"/>
              <w:spacing w:after="0" w:line="240" w:lineRule="auto"/>
              <w:rPr>
                <w:rFonts w:eastAsia="Times New Roman" w:cs="Times New Roman"/>
                <w:noProof/>
                <w:sz w:val="20"/>
                <w:szCs w:val="20"/>
              </w:rPr>
            </w:pPr>
            <w:r w:rsidRPr="00A636A7">
              <w:rPr>
                <w:noProof/>
                <w:sz w:val="20"/>
                <w:szCs w:val="20"/>
              </w:rPr>
              <w:t xml:space="preserve">Întreprinderile inovatoare și bazate pe tehnologie au primit capital în cadrul programului INNVIERTE pentru a-și consolida activitățile de cercetare într-un stadiu incipient </w:t>
            </w:r>
          </w:p>
        </w:tc>
        <w:tc>
          <w:tcPr>
            <w:tcW w:w="1810" w:type="dxa"/>
            <w:shd w:val="clear" w:color="auto" w:fill="C6EFCE"/>
            <w:noWrap/>
          </w:tcPr>
          <w:p w14:paraId="2B1396E4"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w:t>
            </w:r>
          </w:p>
        </w:tc>
        <w:tc>
          <w:tcPr>
            <w:tcW w:w="850" w:type="dxa"/>
            <w:shd w:val="clear" w:color="auto" w:fill="C6EFCE"/>
            <w:noWrap/>
          </w:tcPr>
          <w:p w14:paraId="29906D64"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Număr</w:t>
            </w:r>
          </w:p>
        </w:tc>
        <w:tc>
          <w:tcPr>
            <w:tcW w:w="993" w:type="dxa"/>
            <w:shd w:val="clear" w:color="auto" w:fill="C6EFCE"/>
          </w:tcPr>
          <w:p w14:paraId="24C15086"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273AEB30"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45</w:t>
            </w:r>
          </w:p>
        </w:tc>
        <w:tc>
          <w:tcPr>
            <w:tcW w:w="425" w:type="dxa"/>
            <w:shd w:val="clear" w:color="auto" w:fill="C6EFCE"/>
          </w:tcPr>
          <w:p w14:paraId="1A5D675B" w14:textId="08785491" w:rsidR="00011DE9" w:rsidRPr="00A636A7" w:rsidRDefault="005701C9">
            <w:pPr>
              <w:pStyle w:val="P68B1DB1-Normal38"/>
              <w:spacing w:after="0" w:line="240" w:lineRule="auto"/>
              <w:jc w:val="center"/>
              <w:rPr>
                <w:rFonts w:cs="Times New Roman"/>
                <w:noProof/>
                <w:sz w:val="20"/>
                <w:szCs w:val="20"/>
              </w:rPr>
            </w:pPr>
            <w:r w:rsidRPr="00A636A7">
              <w:rPr>
                <w:noProof/>
                <w:sz w:val="20"/>
                <w:szCs w:val="20"/>
              </w:rPr>
              <w:t>T2</w:t>
            </w:r>
          </w:p>
        </w:tc>
        <w:tc>
          <w:tcPr>
            <w:tcW w:w="709" w:type="dxa"/>
            <w:shd w:val="clear" w:color="auto" w:fill="C6EFCE"/>
          </w:tcPr>
          <w:p w14:paraId="0C52DC83"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2023</w:t>
            </w:r>
          </w:p>
        </w:tc>
        <w:tc>
          <w:tcPr>
            <w:tcW w:w="4961" w:type="dxa"/>
            <w:shd w:val="clear" w:color="auto" w:fill="C6EFCE"/>
            <w:noWrap/>
          </w:tcPr>
          <w:p w14:paraId="61E247E2" w14:textId="77777777" w:rsidR="00011DE9" w:rsidRPr="00A636A7" w:rsidRDefault="00011DE9">
            <w:pPr>
              <w:pStyle w:val="P68B1DB1-Normal38"/>
              <w:spacing w:after="0" w:line="240" w:lineRule="auto"/>
              <w:jc w:val="both"/>
              <w:rPr>
                <w:rFonts w:eastAsia="Times New Roman" w:cs="Times New Roman"/>
                <w:noProof/>
                <w:sz w:val="20"/>
                <w:szCs w:val="20"/>
              </w:rPr>
            </w:pPr>
            <w:r w:rsidRPr="00A636A7">
              <w:rPr>
                <w:noProof/>
                <w:sz w:val="20"/>
                <w:szCs w:val="20"/>
              </w:rPr>
              <w:t xml:space="preserve">Pentru a promova transferul de tehnologie și a contribui la crearea unei structuri de afaceri inovatoare bazate pe tehnologii inovatoare, cel puțin 45 de întreprinderi inovatoare și bazate pe tehnologie au primit capital în cadrul programului INNVIERTE pentru a-și consolida activitățile de cercetare într-un stadiu incipient. Toate aceste societăți au primit, de asemenea, investiții din partea sectorului privat. Evaluarea proiectelor în cadrul acestei investiții asigură conformitatea cu Orientările tehnice de „a nu prejudicia în mod semnificativ” (2021/C58/01), astfel cum se prevede în descrierea măsurii. </w:t>
            </w:r>
          </w:p>
        </w:tc>
      </w:tr>
      <w:tr w:rsidR="00011DE9" w:rsidRPr="00A636A7" w14:paraId="325963B5" w14:textId="77777777" w:rsidTr="00A636A7">
        <w:trPr>
          <w:trHeight w:val="309"/>
        </w:trPr>
        <w:tc>
          <w:tcPr>
            <w:tcW w:w="969" w:type="dxa"/>
            <w:shd w:val="clear" w:color="auto" w:fill="C6EFCE"/>
            <w:noWrap/>
          </w:tcPr>
          <w:p w14:paraId="4E39D445"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266</w:t>
            </w:r>
          </w:p>
        </w:tc>
        <w:tc>
          <w:tcPr>
            <w:tcW w:w="818" w:type="dxa"/>
            <w:shd w:val="clear" w:color="auto" w:fill="C6EFCE"/>
            <w:noWrap/>
          </w:tcPr>
          <w:p w14:paraId="1B914B63"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C17.I5</w:t>
            </w:r>
          </w:p>
        </w:tc>
        <w:tc>
          <w:tcPr>
            <w:tcW w:w="941" w:type="dxa"/>
            <w:shd w:val="clear" w:color="auto" w:fill="C6EFCE"/>
            <w:noWrap/>
          </w:tcPr>
          <w:p w14:paraId="3005D328"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T</w:t>
            </w:r>
          </w:p>
        </w:tc>
        <w:tc>
          <w:tcPr>
            <w:tcW w:w="1950" w:type="dxa"/>
            <w:shd w:val="clear" w:color="auto" w:fill="C6EFCE"/>
            <w:noWrap/>
          </w:tcPr>
          <w:p w14:paraId="6A82763A" w14:textId="77777777" w:rsidR="00011DE9" w:rsidRPr="00A636A7" w:rsidRDefault="00011DE9">
            <w:pPr>
              <w:pStyle w:val="P68B1DB1-Normal38"/>
              <w:spacing w:after="0" w:line="240" w:lineRule="auto"/>
              <w:rPr>
                <w:rFonts w:eastAsia="Times New Roman" w:cs="Times New Roman"/>
                <w:noProof/>
                <w:sz w:val="20"/>
                <w:szCs w:val="20"/>
              </w:rPr>
            </w:pPr>
            <w:r w:rsidRPr="00A636A7">
              <w:rPr>
                <w:noProof/>
                <w:sz w:val="20"/>
                <w:szCs w:val="20"/>
              </w:rPr>
              <w:t>Sprijinirea tinerelor întreprinderi bazate pe tehnologie să își continue planul de afaceri.</w:t>
            </w:r>
          </w:p>
        </w:tc>
        <w:tc>
          <w:tcPr>
            <w:tcW w:w="1810" w:type="dxa"/>
            <w:shd w:val="clear" w:color="auto" w:fill="C6EFCE"/>
            <w:noWrap/>
          </w:tcPr>
          <w:p w14:paraId="29FE80F7"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w:t>
            </w:r>
          </w:p>
        </w:tc>
        <w:tc>
          <w:tcPr>
            <w:tcW w:w="850" w:type="dxa"/>
            <w:shd w:val="clear" w:color="auto" w:fill="C6EFCE"/>
            <w:noWrap/>
          </w:tcPr>
          <w:p w14:paraId="23A63ACE"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Număr</w:t>
            </w:r>
          </w:p>
        </w:tc>
        <w:tc>
          <w:tcPr>
            <w:tcW w:w="993" w:type="dxa"/>
            <w:shd w:val="clear" w:color="auto" w:fill="C6EFCE"/>
          </w:tcPr>
          <w:p w14:paraId="3B2AB7B8"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70D6E13C"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348</w:t>
            </w:r>
          </w:p>
        </w:tc>
        <w:tc>
          <w:tcPr>
            <w:tcW w:w="425" w:type="dxa"/>
            <w:shd w:val="clear" w:color="auto" w:fill="C6EFCE"/>
          </w:tcPr>
          <w:p w14:paraId="7E8BC15D" w14:textId="3DC5188D" w:rsidR="00011DE9" w:rsidRPr="00A636A7" w:rsidRDefault="005701C9">
            <w:pPr>
              <w:pStyle w:val="P68B1DB1-Normal38"/>
              <w:spacing w:after="0" w:line="240" w:lineRule="auto"/>
              <w:jc w:val="center"/>
              <w:rPr>
                <w:rFonts w:cs="Times New Roman"/>
                <w:noProof/>
                <w:sz w:val="20"/>
                <w:szCs w:val="20"/>
              </w:rPr>
            </w:pPr>
            <w:r w:rsidRPr="00A636A7">
              <w:rPr>
                <w:noProof/>
                <w:sz w:val="20"/>
                <w:szCs w:val="20"/>
              </w:rPr>
              <w:t>T2</w:t>
            </w:r>
          </w:p>
        </w:tc>
        <w:tc>
          <w:tcPr>
            <w:tcW w:w="709" w:type="dxa"/>
            <w:shd w:val="clear" w:color="auto" w:fill="C6EFCE"/>
          </w:tcPr>
          <w:p w14:paraId="528615AE"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2023</w:t>
            </w:r>
          </w:p>
        </w:tc>
        <w:tc>
          <w:tcPr>
            <w:tcW w:w="4961" w:type="dxa"/>
            <w:shd w:val="clear" w:color="auto" w:fill="C6EFCE"/>
            <w:noWrap/>
          </w:tcPr>
          <w:p w14:paraId="7CFA88A7" w14:textId="77777777" w:rsidR="00011DE9" w:rsidRPr="00A636A7" w:rsidRDefault="00011DE9">
            <w:pPr>
              <w:pStyle w:val="P68B1DB1-Normal38"/>
              <w:spacing w:after="0" w:line="240" w:lineRule="auto"/>
              <w:jc w:val="both"/>
              <w:rPr>
                <w:rFonts w:eastAsia="Times New Roman" w:cs="Times New Roman"/>
                <w:noProof/>
                <w:sz w:val="20"/>
                <w:szCs w:val="20"/>
              </w:rPr>
            </w:pPr>
            <w:r w:rsidRPr="00A636A7">
              <w:rPr>
                <w:noProof/>
                <w:sz w:val="20"/>
                <w:szCs w:val="20"/>
              </w:rPr>
              <w:t>Prin intermediul cererilor de granturi NEOTEC, să promoveze transferul de tehnologie și să contribuie la crearea de noi întreprinderi bazate pe tehnologii inovatoare: Cel puțin 348 de noi întreprinderi bazate pe tehnologie au primit permisiunea de a-și continua planul de afaceri. Aceste întreprinderi ar trebui să aibă o vechime de trei ani sau mai mică și ar trebui să fie întreprinderi inovatoare, astfel cum sunt definite în RGECA. Evaluarea proiectelor în cadrul acestei investiții asigură conformitatea cu Orientările tehnice de „a nu prejudicia în mod semnificativ” (2021/C58/01), astfel cum se prevede în descrierea măsurii.</w:t>
            </w:r>
          </w:p>
        </w:tc>
      </w:tr>
      <w:tr w:rsidR="00011DE9" w:rsidRPr="00A636A7" w14:paraId="3FC74D81" w14:textId="77777777" w:rsidTr="00A636A7">
        <w:trPr>
          <w:trHeight w:val="309"/>
        </w:trPr>
        <w:tc>
          <w:tcPr>
            <w:tcW w:w="969" w:type="dxa"/>
            <w:tcBorders>
              <w:bottom w:val="single" w:sz="4" w:space="0" w:color="auto"/>
            </w:tcBorders>
            <w:shd w:val="clear" w:color="auto" w:fill="C6EFCE"/>
            <w:noWrap/>
          </w:tcPr>
          <w:p w14:paraId="2A52E61B"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459</w:t>
            </w:r>
          </w:p>
        </w:tc>
        <w:tc>
          <w:tcPr>
            <w:tcW w:w="818" w:type="dxa"/>
            <w:tcBorders>
              <w:bottom w:val="single" w:sz="4" w:space="0" w:color="auto"/>
            </w:tcBorders>
            <w:shd w:val="clear" w:color="auto" w:fill="C6EFCE"/>
            <w:noWrap/>
          </w:tcPr>
          <w:p w14:paraId="49525AFF"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C17.I5</w:t>
            </w:r>
          </w:p>
        </w:tc>
        <w:tc>
          <w:tcPr>
            <w:tcW w:w="941" w:type="dxa"/>
            <w:tcBorders>
              <w:bottom w:val="single" w:sz="4" w:space="0" w:color="auto"/>
            </w:tcBorders>
            <w:shd w:val="clear" w:color="auto" w:fill="C6EFCE"/>
            <w:noWrap/>
          </w:tcPr>
          <w:p w14:paraId="7779C386"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M</w:t>
            </w:r>
          </w:p>
        </w:tc>
        <w:tc>
          <w:tcPr>
            <w:tcW w:w="1950" w:type="dxa"/>
            <w:tcBorders>
              <w:bottom w:val="single" w:sz="4" w:space="0" w:color="auto"/>
            </w:tcBorders>
            <w:shd w:val="clear" w:color="auto" w:fill="C6EFCE"/>
            <w:noWrap/>
          </w:tcPr>
          <w:p w14:paraId="154ED22F" w14:textId="77777777" w:rsidR="00011DE9" w:rsidRPr="00A636A7" w:rsidRDefault="00011DE9">
            <w:pPr>
              <w:pStyle w:val="P68B1DB1-Normal14"/>
              <w:spacing w:after="0" w:line="240" w:lineRule="auto"/>
              <w:rPr>
                <w:noProof/>
                <w:sz w:val="20"/>
                <w:szCs w:val="20"/>
              </w:rPr>
            </w:pPr>
            <w:r w:rsidRPr="00A636A7">
              <w:rPr>
                <w:noProof/>
                <w:sz w:val="20"/>
                <w:szCs w:val="20"/>
              </w:rPr>
              <w:t>Transfer de cunoștințe</w:t>
            </w:r>
          </w:p>
        </w:tc>
        <w:tc>
          <w:tcPr>
            <w:tcW w:w="1810" w:type="dxa"/>
            <w:tcBorders>
              <w:bottom w:val="single" w:sz="4" w:space="0" w:color="auto"/>
            </w:tcBorders>
            <w:shd w:val="clear" w:color="auto" w:fill="C6EFCE"/>
            <w:noWrap/>
          </w:tcPr>
          <w:p w14:paraId="0BE21B23" w14:textId="77777777" w:rsidR="00011DE9" w:rsidRPr="00A636A7" w:rsidRDefault="00011DE9">
            <w:pPr>
              <w:pStyle w:val="P68B1DB1-Normal14"/>
              <w:spacing w:after="0" w:line="240" w:lineRule="auto"/>
              <w:rPr>
                <w:noProof/>
                <w:sz w:val="20"/>
                <w:szCs w:val="20"/>
              </w:rPr>
            </w:pPr>
            <w:r w:rsidRPr="00A636A7">
              <w:rPr>
                <w:noProof/>
                <w:sz w:val="20"/>
                <w:szCs w:val="20"/>
              </w:rPr>
              <w:t>Rapoarte finale</w:t>
            </w:r>
          </w:p>
        </w:tc>
        <w:tc>
          <w:tcPr>
            <w:tcW w:w="850" w:type="dxa"/>
            <w:tcBorders>
              <w:bottom w:val="single" w:sz="4" w:space="0" w:color="auto"/>
            </w:tcBorders>
            <w:shd w:val="clear" w:color="auto" w:fill="C6EFCE"/>
            <w:noWrap/>
          </w:tcPr>
          <w:p w14:paraId="7C37BAD1" w14:textId="77777777" w:rsidR="00011DE9" w:rsidRPr="00A636A7" w:rsidRDefault="00011DE9">
            <w:pPr>
              <w:spacing w:after="0" w:line="240" w:lineRule="auto"/>
              <w:jc w:val="center"/>
              <w:rPr>
                <w:rFonts w:ascii="Times New Roman" w:eastAsia="Calibri" w:hAnsi="Times New Roman" w:cs="Times New Roman"/>
                <w:noProof/>
                <w:kern w:val="0"/>
                <w:sz w:val="20"/>
                <w:szCs w:val="20"/>
                <w14:ligatures w14:val="none"/>
              </w:rPr>
            </w:pPr>
          </w:p>
        </w:tc>
        <w:tc>
          <w:tcPr>
            <w:tcW w:w="993" w:type="dxa"/>
            <w:tcBorders>
              <w:bottom w:val="single" w:sz="4" w:space="0" w:color="auto"/>
            </w:tcBorders>
            <w:shd w:val="clear" w:color="auto" w:fill="C6EFCE"/>
          </w:tcPr>
          <w:p w14:paraId="0106F178"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tcBorders>
              <w:bottom w:val="single" w:sz="4" w:space="0" w:color="auto"/>
            </w:tcBorders>
            <w:shd w:val="clear" w:color="auto" w:fill="C6EFCE"/>
          </w:tcPr>
          <w:p w14:paraId="026A40B8" w14:textId="77777777" w:rsidR="00011DE9" w:rsidRPr="00A636A7" w:rsidRDefault="00011DE9">
            <w:pPr>
              <w:spacing w:after="0" w:line="240" w:lineRule="auto"/>
              <w:jc w:val="center"/>
              <w:rPr>
                <w:rFonts w:ascii="Times New Roman" w:eastAsia="Calibri" w:hAnsi="Times New Roman" w:cs="Times New Roman"/>
                <w:noProof/>
                <w:kern w:val="0"/>
                <w:sz w:val="20"/>
                <w:szCs w:val="20"/>
                <w14:ligatures w14:val="none"/>
              </w:rPr>
            </w:pPr>
          </w:p>
        </w:tc>
        <w:tc>
          <w:tcPr>
            <w:tcW w:w="425" w:type="dxa"/>
            <w:tcBorders>
              <w:bottom w:val="single" w:sz="4" w:space="0" w:color="auto"/>
            </w:tcBorders>
            <w:shd w:val="clear" w:color="auto" w:fill="C6EFCE"/>
          </w:tcPr>
          <w:p w14:paraId="41418832" w14:textId="6DFB8925" w:rsidR="00011DE9" w:rsidRPr="00A636A7" w:rsidRDefault="005701C9">
            <w:pPr>
              <w:pStyle w:val="P68B1DB1-Normal38"/>
              <w:spacing w:after="0" w:line="240" w:lineRule="auto"/>
              <w:jc w:val="center"/>
              <w:rPr>
                <w:rFonts w:cs="Times New Roman"/>
                <w:noProof/>
                <w:sz w:val="20"/>
                <w:szCs w:val="20"/>
              </w:rPr>
            </w:pPr>
            <w:r w:rsidRPr="00A636A7">
              <w:rPr>
                <w:noProof/>
                <w:sz w:val="20"/>
                <w:szCs w:val="20"/>
              </w:rPr>
              <w:t>T2</w:t>
            </w:r>
          </w:p>
        </w:tc>
        <w:tc>
          <w:tcPr>
            <w:tcW w:w="709" w:type="dxa"/>
            <w:tcBorders>
              <w:bottom w:val="single" w:sz="4" w:space="0" w:color="auto"/>
            </w:tcBorders>
            <w:shd w:val="clear" w:color="auto" w:fill="C6EFCE"/>
          </w:tcPr>
          <w:p w14:paraId="0A12B1BB"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2026</w:t>
            </w:r>
          </w:p>
        </w:tc>
        <w:tc>
          <w:tcPr>
            <w:tcW w:w="4961" w:type="dxa"/>
            <w:tcBorders>
              <w:bottom w:val="single" w:sz="4" w:space="0" w:color="auto"/>
            </w:tcBorders>
            <w:shd w:val="clear" w:color="auto" w:fill="C6EFCE"/>
            <w:noWrap/>
          </w:tcPr>
          <w:p w14:paraId="0A3909B6" w14:textId="77777777" w:rsidR="00011DE9" w:rsidRPr="00A636A7" w:rsidRDefault="00011DE9">
            <w:pPr>
              <w:pStyle w:val="P68B1DB1-Normal14"/>
              <w:spacing w:after="0" w:line="240" w:lineRule="auto"/>
              <w:rPr>
                <w:noProof/>
                <w:sz w:val="20"/>
                <w:szCs w:val="20"/>
              </w:rPr>
            </w:pPr>
            <w:r w:rsidRPr="00A636A7">
              <w:rPr>
                <w:noProof/>
                <w:sz w:val="20"/>
                <w:szCs w:val="20"/>
              </w:rPr>
              <w:t xml:space="preserve">50 entitățile beneficiare prezintă rapoarte finale care confirmă finalizarea activităților atribuite pentru granturile legate de C &amp; D &amp; I, inclusiv în domeniul consolidării capacităților și al transferului de cunoștințe. </w:t>
            </w:r>
          </w:p>
          <w:p w14:paraId="49363620" w14:textId="77777777" w:rsidR="00011DE9" w:rsidRPr="00A636A7" w:rsidRDefault="00011DE9">
            <w:pPr>
              <w:spacing w:after="0" w:line="240" w:lineRule="auto"/>
              <w:jc w:val="both"/>
              <w:rPr>
                <w:rFonts w:ascii="Times New Roman" w:eastAsia="Calibri" w:hAnsi="Times New Roman" w:cs="Times New Roman"/>
                <w:noProof/>
                <w:kern w:val="0"/>
                <w:sz w:val="20"/>
                <w:szCs w:val="20"/>
                <w14:ligatures w14:val="none"/>
              </w:rPr>
            </w:pPr>
          </w:p>
        </w:tc>
      </w:tr>
      <w:tr w:rsidR="00011DE9" w:rsidRPr="00A636A7" w14:paraId="7B43F046" w14:textId="77777777" w:rsidTr="00A636A7">
        <w:trPr>
          <w:trHeight w:val="309"/>
        </w:trPr>
        <w:tc>
          <w:tcPr>
            <w:tcW w:w="969" w:type="dxa"/>
            <w:tcBorders>
              <w:top w:val="single" w:sz="4" w:space="0" w:color="auto"/>
            </w:tcBorders>
            <w:shd w:val="clear" w:color="auto" w:fill="C6EFCE"/>
            <w:noWrap/>
          </w:tcPr>
          <w:p w14:paraId="5BF52C92"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268</w:t>
            </w:r>
          </w:p>
        </w:tc>
        <w:tc>
          <w:tcPr>
            <w:tcW w:w="818" w:type="dxa"/>
            <w:tcBorders>
              <w:top w:val="single" w:sz="4" w:space="0" w:color="auto"/>
            </w:tcBorders>
            <w:shd w:val="clear" w:color="auto" w:fill="C6EFCE"/>
            <w:noWrap/>
          </w:tcPr>
          <w:p w14:paraId="67BBCDA7"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C17.I6</w:t>
            </w:r>
          </w:p>
        </w:tc>
        <w:tc>
          <w:tcPr>
            <w:tcW w:w="941" w:type="dxa"/>
            <w:tcBorders>
              <w:top w:val="single" w:sz="4" w:space="0" w:color="auto"/>
            </w:tcBorders>
            <w:shd w:val="clear" w:color="auto" w:fill="C6EFCE"/>
            <w:noWrap/>
          </w:tcPr>
          <w:p w14:paraId="2ACD8019"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M</w:t>
            </w:r>
          </w:p>
        </w:tc>
        <w:tc>
          <w:tcPr>
            <w:tcW w:w="1950" w:type="dxa"/>
            <w:tcBorders>
              <w:top w:val="single" w:sz="4" w:space="0" w:color="auto"/>
            </w:tcBorders>
            <w:shd w:val="clear" w:color="auto" w:fill="C6EFCE"/>
            <w:noWrap/>
          </w:tcPr>
          <w:p w14:paraId="28B7FF4C" w14:textId="77777777" w:rsidR="00011DE9" w:rsidRPr="00A636A7" w:rsidRDefault="00011DE9">
            <w:pPr>
              <w:pStyle w:val="P68B1DB1-Normal15"/>
              <w:spacing w:after="0" w:line="240" w:lineRule="auto"/>
              <w:rPr>
                <w:noProof/>
                <w:sz w:val="20"/>
                <w:szCs w:val="20"/>
              </w:rPr>
            </w:pPr>
            <w:r w:rsidRPr="00A636A7">
              <w:rPr>
                <w:noProof/>
                <w:sz w:val="20"/>
                <w:szCs w:val="20"/>
              </w:rPr>
              <w:t>Sănătate</w:t>
            </w:r>
          </w:p>
          <w:p w14:paraId="35C9D3A3" w14:textId="77777777" w:rsidR="00011DE9" w:rsidRPr="00A636A7" w:rsidRDefault="00011DE9">
            <w:pPr>
              <w:spacing w:after="0" w:line="240" w:lineRule="auto"/>
              <w:rPr>
                <w:rFonts w:ascii="Times New Roman" w:eastAsia="Times New Roman" w:hAnsi="Times New Roman" w:cs="Times New Roman"/>
                <w:noProof/>
                <w:kern w:val="0"/>
                <w:sz w:val="20"/>
                <w:szCs w:val="20"/>
                <w14:ligatures w14:val="none"/>
              </w:rPr>
            </w:pPr>
          </w:p>
        </w:tc>
        <w:tc>
          <w:tcPr>
            <w:tcW w:w="1810" w:type="dxa"/>
            <w:tcBorders>
              <w:top w:val="single" w:sz="4" w:space="0" w:color="auto"/>
            </w:tcBorders>
            <w:shd w:val="clear" w:color="auto" w:fill="C6EFCE"/>
            <w:noWrap/>
          </w:tcPr>
          <w:p w14:paraId="1AC8E391" w14:textId="77777777" w:rsidR="00011DE9" w:rsidRPr="00A636A7" w:rsidRDefault="00011DE9">
            <w:pPr>
              <w:pStyle w:val="P68B1DB1-Normal20"/>
              <w:spacing w:after="0" w:line="240" w:lineRule="auto"/>
              <w:rPr>
                <w:noProof/>
                <w:sz w:val="20"/>
                <w:szCs w:val="20"/>
              </w:rPr>
            </w:pPr>
            <w:r w:rsidRPr="00A636A7">
              <w:rPr>
                <w:noProof/>
                <w:sz w:val="20"/>
                <w:szCs w:val="20"/>
              </w:rPr>
              <w:t>Rapoarte finale; certificate de acceptare, declarații de conformitate sau alte documente echivalente care atestă executarea contractelor</w:t>
            </w:r>
          </w:p>
          <w:p w14:paraId="27CEF2DD" w14:textId="77777777" w:rsidR="00011DE9" w:rsidRPr="00A636A7" w:rsidRDefault="00011DE9">
            <w:pPr>
              <w:pStyle w:val="P68B1DB1-Normal39"/>
              <w:spacing w:after="0" w:line="240" w:lineRule="auto"/>
              <w:rPr>
                <w:rFonts w:ascii="Times New Roman" w:eastAsia="Times New Roman" w:hAnsi="Times New Roman" w:cs="Times New Roman"/>
                <w:noProof/>
                <w:kern w:val="0"/>
                <w:sz w:val="20"/>
                <w:szCs w:val="20"/>
                <w14:ligatures w14:val="none"/>
              </w:rPr>
            </w:pPr>
            <w:r w:rsidRPr="00A636A7">
              <w:rPr>
                <w:rFonts w:ascii="Times New Roman" w:hAnsi="Times New Roman"/>
                <w:noProof/>
                <w:sz w:val="20"/>
                <w:szCs w:val="20"/>
              </w:rPr>
              <w:t>și dovada plății</w:t>
            </w:r>
            <w:r w:rsidRPr="00A636A7">
              <w:rPr>
                <w:rFonts w:ascii="Times New Roman" w:eastAsia="Calibri" w:hAnsi="Times New Roman" w:cs="Arial"/>
                <w:noProof/>
                <w:kern w:val="0"/>
                <w:sz w:val="20"/>
                <w:szCs w:val="20"/>
                <w14:ligatures w14:val="none"/>
              </w:rPr>
              <w:t xml:space="preserve"> </w:t>
            </w:r>
          </w:p>
        </w:tc>
        <w:tc>
          <w:tcPr>
            <w:tcW w:w="850" w:type="dxa"/>
            <w:tcBorders>
              <w:top w:val="single" w:sz="4" w:space="0" w:color="auto"/>
            </w:tcBorders>
            <w:shd w:val="clear" w:color="auto" w:fill="C6EFCE"/>
            <w:noWrap/>
          </w:tcPr>
          <w:p w14:paraId="4947E32C" w14:textId="77777777" w:rsidR="00011DE9" w:rsidRPr="00A636A7" w:rsidRDefault="00011DE9">
            <w:pPr>
              <w:spacing w:after="0" w:line="240" w:lineRule="auto"/>
              <w:jc w:val="center"/>
              <w:rPr>
                <w:rFonts w:ascii="Times New Roman" w:eastAsia="Times New Roman" w:hAnsi="Times New Roman" w:cs="Times New Roman"/>
                <w:noProof/>
                <w:kern w:val="0"/>
                <w:sz w:val="20"/>
                <w:szCs w:val="20"/>
                <w14:ligatures w14:val="none"/>
              </w:rPr>
            </w:pPr>
          </w:p>
        </w:tc>
        <w:tc>
          <w:tcPr>
            <w:tcW w:w="993" w:type="dxa"/>
            <w:tcBorders>
              <w:top w:val="single" w:sz="4" w:space="0" w:color="auto"/>
            </w:tcBorders>
            <w:shd w:val="clear" w:color="auto" w:fill="C6EFCE"/>
          </w:tcPr>
          <w:p w14:paraId="65E2F57C"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tcBorders>
              <w:top w:val="single" w:sz="4" w:space="0" w:color="auto"/>
            </w:tcBorders>
            <w:shd w:val="clear" w:color="auto" w:fill="C6EFCE"/>
          </w:tcPr>
          <w:p w14:paraId="4EF08278" w14:textId="77777777" w:rsidR="00011DE9" w:rsidRPr="00A636A7" w:rsidRDefault="00011DE9">
            <w:pPr>
              <w:spacing w:after="0" w:line="240" w:lineRule="auto"/>
              <w:jc w:val="center"/>
              <w:rPr>
                <w:rFonts w:ascii="Times New Roman" w:eastAsia="Calibri" w:hAnsi="Times New Roman" w:cs="Times New Roman"/>
                <w:noProof/>
                <w:kern w:val="0"/>
                <w:sz w:val="20"/>
                <w:szCs w:val="20"/>
                <w14:ligatures w14:val="none"/>
              </w:rPr>
            </w:pPr>
          </w:p>
        </w:tc>
        <w:tc>
          <w:tcPr>
            <w:tcW w:w="425" w:type="dxa"/>
            <w:tcBorders>
              <w:top w:val="single" w:sz="4" w:space="0" w:color="auto"/>
            </w:tcBorders>
            <w:shd w:val="clear" w:color="auto" w:fill="C6EFCE"/>
          </w:tcPr>
          <w:p w14:paraId="7BCA090F" w14:textId="72EBEC84" w:rsidR="00011DE9" w:rsidRPr="00A636A7" w:rsidRDefault="005701C9">
            <w:pPr>
              <w:pStyle w:val="P68B1DB1-Normal38"/>
              <w:spacing w:after="0" w:line="240" w:lineRule="auto"/>
              <w:jc w:val="center"/>
              <w:rPr>
                <w:rFonts w:cs="Times New Roman"/>
                <w:noProof/>
                <w:sz w:val="20"/>
                <w:szCs w:val="20"/>
              </w:rPr>
            </w:pPr>
            <w:r w:rsidRPr="00A636A7">
              <w:rPr>
                <w:noProof/>
                <w:sz w:val="20"/>
                <w:szCs w:val="20"/>
              </w:rPr>
              <w:t>T2</w:t>
            </w:r>
          </w:p>
        </w:tc>
        <w:tc>
          <w:tcPr>
            <w:tcW w:w="709" w:type="dxa"/>
            <w:tcBorders>
              <w:top w:val="single" w:sz="4" w:space="0" w:color="auto"/>
            </w:tcBorders>
            <w:shd w:val="clear" w:color="auto" w:fill="C6EFCE"/>
          </w:tcPr>
          <w:p w14:paraId="10CA91FE"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2026</w:t>
            </w:r>
          </w:p>
        </w:tc>
        <w:tc>
          <w:tcPr>
            <w:tcW w:w="4961" w:type="dxa"/>
            <w:tcBorders>
              <w:top w:val="single" w:sz="4" w:space="0" w:color="auto"/>
            </w:tcBorders>
            <w:shd w:val="clear" w:color="auto" w:fill="C6EFCE"/>
            <w:noWrap/>
          </w:tcPr>
          <w:p w14:paraId="464F7565" w14:textId="77777777" w:rsidR="00011DE9" w:rsidRPr="00A636A7" w:rsidRDefault="00011DE9">
            <w:pPr>
              <w:pStyle w:val="P68B1DB1-Normal23"/>
              <w:spacing w:after="0" w:line="240" w:lineRule="auto"/>
              <w:rPr>
                <w:noProof/>
                <w:sz w:val="20"/>
                <w:szCs w:val="20"/>
              </w:rPr>
            </w:pPr>
            <w:r w:rsidRPr="00A636A7">
              <w:rPr>
                <w:noProof/>
                <w:sz w:val="20"/>
                <w:szCs w:val="20"/>
              </w:rPr>
              <w:t xml:space="preserve">155 entitățile beneficiare sau beneficiarii individuali prezintă rapoarte finale care confirmă finalizarea activităților atribuite pentru granturile legate de C &amp; D &amp; I în domeniul sănătății. </w:t>
            </w:r>
          </w:p>
          <w:p w14:paraId="71577F67" w14:textId="77777777" w:rsidR="00011DE9" w:rsidRPr="00A636A7" w:rsidRDefault="00011DE9">
            <w:pPr>
              <w:spacing w:after="0" w:line="240" w:lineRule="auto"/>
              <w:rPr>
                <w:rFonts w:ascii="Times New Roman" w:hAnsi="Times New Roman" w:cs="Times New Roman"/>
                <w:noProof/>
                <w:sz w:val="20"/>
                <w:szCs w:val="20"/>
              </w:rPr>
            </w:pPr>
          </w:p>
          <w:p w14:paraId="44BF78D8" w14:textId="77777777" w:rsidR="00011DE9" w:rsidRPr="00A636A7" w:rsidRDefault="00011DE9">
            <w:pPr>
              <w:pStyle w:val="P68B1DB1-Normal20"/>
              <w:spacing w:after="0" w:line="240" w:lineRule="auto"/>
              <w:rPr>
                <w:noProof/>
                <w:sz w:val="20"/>
                <w:szCs w:val="20"/>
              </w:rPr>
            </w:pPr>
            <w:r w:rsidRPr="00A636A7">
              <w:rPr>
                <w:noProof/>
                <w:sz w:val="20"/>
                <w:szCs w:val="20"/>
              </w:rPr>
              <w:t>Confirmarea de către administrație a executării contractelor legate de C &amp; D &amp; I în domeniul sănătății, pentru o sumă totală cumulată de 58 100 000 EUR în contractele atribuite (inclusiv eventualele modificări).</w:t>
            </w:r>
          </w:p>
          <w:p w14:paraId="008BDC00" w14:textId="77777777" w:rsidR="00011DE9" w:rsidRPr="00A636A7" w:rsidRDefault="00011DE9">
            <w:pPr>
              <w:spacing w:after="0" w:line="240" w:lineRule="auto"/>
              <w:rPr>
                <w:rFonts w:ascii="Times New Roman" w:hAnsi="Times New Roman" w:cs="Times New Roman"/>
                <w:noProof/>
                <w:sz w:val="20"/>
                <w:szCs w:val="20"/>
              </w:rPr>
            </w:pPr>
          </w:p>
          <w:p w14:paraId="1083A433" w14:textId="77777777" w:rsidR="00011DE9" w:rsidRPr="00A636A7" w:rsidRDefault="00011DE9">
            <w:pPr>
              <w:pStyle w:val="P68B1DB1-Normal23"/>
              <w:spacing w:after="0" w:line="240" w:lineRule="auto"/>
              <w:rPr>
                <w:noProof/>
                <w:sz w:val="20"/>
                <w:szCs w:val="20"/>
              </w:rPr>
            </w:pPr>
            <w:r w:rsidRPr="00A636A7">
              <w:rPr>
                <w:noProof/>
                <w:sz w:val="20"/>
                <w:szCs w:val="20"/>
              </w:rPr>
              <w:t>Plata sumei de 285 300 000 EUR pentru C &amp; D &amp; I în domeniul sănătății.</w:t>
            </w:r>
          </w:p>
          <w:p w14:paraId="253EF4D9"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r>
      <w:tr w:rsidR="00011DE9" w:rsidRPr="00A636A7" w14:paraId="4F6F1344" w14:textId="77777777" w:rsidTr="00A636A7">
        <w:trPr>
          <w:trHeight w:val="309"/>
        </w:trPr>
        <w:tc>
          <w:tcPr>
            <w:tcW w:w="969" w:type="dxa"/>
            <w:shd w:val="clear" w:color="auto" w:fill="C6EFCE"/>
            <w:noWrap/>
          </w:tcPr>
          <w:p w14:paraId="7865A1E7"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460</w:t>
            </w:r>
          </w:p>
        </w:tc>
        <w:tc>
          <w:tcPr>
            <w:tcW w:w="818" w:type="dxa"/>
            <w:shd w:val="clear" w:color="auto" w:fill="C6EFCE"/>
            <w:noWrap/>
          </w:tcPr>
          <w:p w14:paraId="6E0115DF"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C17.I6</w:t>
            </w:r>
          </w:p>
        </w:tc>
        <w:tc>
          <w:tcPr>
            <w:tcW w:w="941" w:type="dxa"/>
            <w:shd w:val="clear" w:color="auto" w:fill="C6EFCE"/>
            <w:noWrap/>
          </w:tcPr>
          <w:p w14:paraId="3AB10F10"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M</w:t>
            </w:r>
          </w:p>
        </w:tc>
        <w:tc>
          <w:tcPr>
            <w:tcW w:w="1950" w:type="dxa"/>
            <w:shd w:val="clear" w:color="auto" w:fill="C6EFCE"/>
            <w:noWrap/>
          </w:tcPr>
          <w:p w14:paraId="359BA6D0" w14:textId="77777777" w:rsidR="00011DE9" w:rsidRPr="00A636A7" w:rsidRDefault="00011DE9">
            <w:pPr>
              <w:pStyle w:val="P68B1DB1-Normal14"/>
              <w:spacing w:after="0" w:line="240" w:lineRule="auto"/>
              <w:rPr>
                <w:noProof/>
                <w:sz w:val="20"/>
                <w:szCs w:val="20"/>
              </w:rPr>
            </w:pPr>
            <w:r w:rsidRPr="00A636A7">
              <w:rPr>
                <w:noProof/>
                <w:sz w:val="20"/>
                <w:szCs w:val="20"/>
              </w:rPr>
              <w:t xml:space="preserve">PERTE Sănătate </w:t>
            </w:r>
          </w:p>
        </w:tc>
        <w:tc>
          <w:tcPr>
            <w:tcW w:w="1810" w:type="dxa"/>
            <w:shd w:val="clear" w:color="auto" w:fill="C6EFCE"/>
            <w:noWrap/>
          </w:tcPr>
          <w:p w14:paraId="2F5B56C6" w14:textId="77777777" w:rsidR="00011DE9" w:rsidRPr="00A636A7" w:rsidRDefault="00011DE9">
            <w:pPr>
              <w:pStyle w:val="P68B1DB1-Normal38"/>
              <w:spacing w:after="0" w:line="240" w:lineRule="auto"/>
              <w:rPr>
                <w:rFonts w:cs="Times New Roman"/>
                <w:noProof/>
                <w:sz w:val="20"/>
                <w:szCs w:val="20"/>
              </w:rPr>
            </w:pPr>
            <w:r w:rsidRPr="00A636A7">
              <w:rPr>
                <w:noProof/>
                <w:sz w:val="20"/>
                <w:szCs w:val="20"/>
              </w:rPr>
              <w:t>Dovada plății</w:t>
            </w:r>
          </w:p>
        </w:tc>
        <w:tc>
          <w:tcPr>
            <w:tcW w:w="850" w:type="dxa"/>
            <w:shd w:val="clear" w:color="auto" w:fill="C6EFCE"/>
            <w:noWrap/>
          </w:tcPr>
          <w:p w14:paraId="5E1CC245" w14:textId="77777777" w:rsidR="00011DE9" w:rsidRPr="00A636A7" w:rsidRDefault="00011DE9">
            <w:pPr>
              <w:spacing w:after="0" w:line="240" w:lineRule="auto"/>
              <w:jc w:val="center"/>
              <w:rPr>
                <w:rFonts w:ascii="Times New Roman" w:eastAsia="Calibri" w:hAnsi="Times New Roman" w:cs="Times New Roman"/>
                <w:noProof/>
                <w:kern w:val="0"/>
                <w:sz w:val="20"/>
                <w:szCs w:val="20"/>
                <w14:ligatures w14:val="none"/>
              </w:rPr>
            </w:pPr>
          </w:p>
        </w:tc>
        <w:tc>
          <w:tcPr>
            <w:tcW w:w="993" w:type="dxa"/>
            <w:shd w:val="clear" w:color="auto" w:fill="C6EFCE"/>
          </w:tcPr>
          <w:p w14:paraId="1055B0D4"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426D6DBD" w14:textId="77777777" w:rsidR="00011DE9" w:rsidRPr="00A636A7" w:rsidRDefault="00011DE9">
            <w:pPr>
              <w:spacing w:after="0" w:line="240" w:lineRule="auto"/>
              <w:jc w:val="center"/>
              <w:rPr>
                <w:rFonts w:ascii="Times New Roman" w:eastAsia="Calibri" w:hAnsi="Times New Roman" w:cs="Times New Roman"/>
                <w:noProof/>
                <w:kern w:val="0"/>
                <w:sz w:val="20"/>
                <w:szCs w:val="20"/>
                <w14:ligatures w14:val="none"/>
              </w:rPr>
            </w:pPr>
          </w:p>
        </w:tc>
        <w:tc>
          <w:tcPr>
            <w:tcW w:w="425" w:type="dxa"/>
            <w:shd w:val="clear" w:color="auto" w:fill="C6EFCE"/>
          </w:tcPr>
          <w:p w14:paraId="7B17B264" w14:textId="5BC17AC6" w:rsidR="00011DE9" w:rsidRPr="00A636A7" w:rsidRDefault="005701C9">
            <w:pPr>
              <w:pStyle w:val="P68B1DB1-Normal38"/>
              <w:spacing w:after="0" w:line="240" w:lineRule="auto"/>
              <w:jc w:val="center"/>
              <w:rPr>
                <w:rFonts w:cs="Times New Roman"/>
                <w:noProof/>
                <w:sz w:val="20"/>
                <w:szCs w:val="20"/>
              </w:rPr>
            </w:pPr>
            <w:r w:rsidRPr="00A636A7">
              <w:rPr>
                <w:noProof/>
                <w:sz w:val="20"/>
                <w:szCs w:val="20"/>
              </w:rPr>
              <w:t>T4</w:t>
            </w:r>
          </w:p>
        </w:tc>
        <w:tc>
          <w:tcPr>
            <w:tcW w:w="709" w:type="dxa"/>
            <w:shd w:val="clear" w:color="auto" w:fill="C6EFCE"/>
          </w:tcPr>
          <w:p w14:paraId="57239226"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2025</w:t>
            </w:r>
          </w:p>
        </w:tc>
        <w:tc>
          <w:tcPr>
            <w:tcW w:w="4961" w:type="dxa"/>
            <w:shd w:val="clear" w:color="auto" w:fill="C6EFCE"/>
            <w:noWrap/>
          </w:tcPr>
          <w:p w14:paraId="0AAAA455" w14:textId="16804D00" w:rsidR="00011DE9" w:rsidRPr="00A636A7" w:rsidRDefault="00011DE9">
            <w:pPr>
              <w:pStyle w:val="P68B1DB1-Normal15"/>
              <w:spacing w:after="0" w:line="240" w:lineRule="auto"/>
              <w:rPr>
                <w:noProof/>
                <w:sz w:val="20"/>
                <w:szCs w:val="20"/>
              </w:rPr>
            </w:pPr>
            <w:r w:rsidRPr="00A636A7">
              <w:rPr>
                <w:noProof/>
                <w:sz w:val="20"/>
                <w:szCs w:val="20"/>
              </w:rPr>
              <w:t>În cadrul PERTE Health, plata sumei de 243 000 000 EUR pentru C &amp; D &amp; I, inclusiv în domeniul medicinei de precizie și al internaționalizării capacităților industriale ale sectorului sănătății.</w:t>
            </w:r>
            <w:r w:rsidR="00971820" w:rsidRPr="00A636A7">
              <w:rPr>
                <w:noProof/>
                <w:sz w:val="20"/>
                <w:szCs w:val="20"/>
              </w:rPr>
              <w:t xml:space="preserve"> </w:t>
            </w:r>
          </w:p>
        </w:tc>
      </w:tr>
      <w:tr w:rsidR="00011DE9" w:rsidRPr="00A636A7" w14:paraId="3D6F5518" w14:textId="77777777" w:rsidTr="00A636A7">
        <w:trPr>
          <w:trHeight w:val="309"/>
        </w:trPr>
        <w:tc>
          <w:tcPr>
            <w:tcW w:w="969" w:type="dxa"/>
            <w:shd w:val="clear" w:color="auto" w:fill="C6EFCE"/>
            <w:noWrap/>
          </w:tcPr>
          <w:p w14:paraId="7342EEFE"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269</w:t>
            </w:r>
          </w:p>
        </w:tc>
        <w:tc>
          <w:tcPr>
            <w:tcW w:w="818" w:type="dxa"/>
            <w:shd w:val="clear" w:color="auto" w:fill="C6EFCE"/>
            <w:noWrap/>
          </w:tcPr>
          <w:p w14:paraId="69D77790"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C17.I7</w:t>
            </w:r>
          </w:p>
        </w:tc>
        <w:tc>
          <w:tcPr>
            <w:tcW w:w="941" w:type="dxa"/>
            <w:shd w:val="clear" w:color="auto" w:fill="C6EFCE"/>
            <w:noWrap/>
          </w:tcPr>
          <w:p w14:paraId="0A12C1BB"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M</w:t>
            </w:r>
          </w:p>
        </w:tc>
        <w:tc>
          <w:tcPr>
            <w:tcW w:w="1950" w:type="dxa"/>
            <w:shd w:val="clear" w:color="auto" w:fill="C6EFCE"/>
            <w:noWrap/>
          </w:tcPr>
          <w:p w14:paraId="0C9EE46D" w14:textId="77777777" w:rsidR="00011DE9" w:rsidRPr="00A636A7" w:rsidRDefault="00011DE9">
            <w:pPr>
              <w:pStyle w:val="P68B1DB1-Normal15"/>
              <w:spacing w:after="0" w:line="240" w:lineRule="auto"/>
              <w:rPr>
                <w:rFonts w:eastAsia="Times New Roman"/>
                <w:noProof/>
                <w:sz w:val="20"/>
                <w:szCs w:val="20"/>
              </w:rPr>
            </w:pPr>
            <w:r w:rsidRPr="00A636A7">
              <w:rPr>
                <w:noProof/>
                <w:sz w:val="20"/>
                <w:szCs w:val="20"/>
              </w:rPr>
              <w:t>Mediul, schimbările climatice și energia</w:t>
            </w:r>
          </w:p>
        </w:tc>
        <w:tc>
          <w:tcPr>
            <w:tcW w:w="1810" w:type="dxa"/>
            <w:shd w:val="clear" w:color="auto" w:fill="C6EFCE"/>
            <w:noWrap/>
          </w:tcPr>
          <w:p w14:paraId="46ADD3A2" w14:textId="77777777" w:rsidR="00011DE9" w:rsidRPr="00A636A7" w:rsidRDefault="00011DE9">
            <w:pPr>
              <w:pStyle w:val="P68B1DB1-Normal38"/>
              <w:spacing w:after="0" w:line="240" w:lineRule="auto"/>
              <w:rPr>
                <w:noProof/>
                <w:sz w:val="20"/>
                <w:szCs w:val="20"/>
              </w:rPr>
            </w:pPr>
            <w:r w:rsidRPr="00A636A7">
              <w:rPr>
                <w:noProof/>
                <w:sz w:val="20"/>
                <w:szCs w:val="20"/>
              </w:rPr>
              <w:t>Certificate de acceptare, declarații de conformitate sau alte documente echivalente care atestă executarea contractelor</w:t>
            </w:r>
          </w:p>
          <w:p w14:paraId="159CC3DF" w14:textId="77777777" w:rsidR="00011DE9" w:rsidRPr="00A636A7" w:rsidRDefault="00011DE9">
            <w:pPr>
              <w:spacing w:after="0" w:line="240" w:lineRule="auto"/>
              <w:rPr>
                <w:rFonts w:ascii="Times New Roman" w:eastAsia="Times New Roman" w:hAnsi="Times New Roman" w:cs="Times New Roman"/>
                <w:noProof/>
                <w:kern w:val="0"/>
                <w:sz w:val="20"/>
                <w:szCs w:val="20"/>
                <w14:ligatures w14:val="none"/>
              </w:rPr>
            </w:pPr>
          </w:p>
        </w:tc>
        <w:tc>
          <w:tcPr>
            <w:tcW w:w="850" w:type="dxa"/>
            <w:shd w:val="clear" w:color="auto" w:fill="C6EFCE"/>
            <w:noWrap/>
          </w:tcPr>
          <w:p w14:paraId="3A130992"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 xml:space="preserve"> </w:t>
            </w:r>
          </w:p>
        </w:tc>
        <w:tc>
          <w:tcPr>
            <w:tcW w:w="993" w:type="dxa"/>
            <w:shd w:val="clear" w:color="auto" w:fill="C6EFCE"/>
          </w:tcPr>
          <w:p w14:paraId="0762EB6D"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78EE6FB7" w14:textId="77777777" w:rsidR="00011DE9" w:rsidRPr="00A636A7" w:rsidRDefault="00011DE9">
            <w:pPr>
              <w:spacing w:after="0" w:line="240" w:lineRule="auto"/>
              <w:jc w:val="center"/>
              <w:rPr>
                <w:rFonts w:ascii="Times New Roman" w:eastAsia="Calibri" w:hAnsi="Times New Roman" w:cs="Times New Roman"/>
                <w:noProof/>
                <w:kern w:val="0"/>
                <w:sz w:val="20"/>
                <w:szCs w:val="20"/>
                <w14:ligatures w14:val="none"/>
              </w:rPr>
            </w:pPr>
          </w:p>
        </w:tc>
        <w:tc>
          <w:tcPr>
            <w:tcW w:w="425" w:type="dxa"/>
            <w:shd w:val="clear" w:color="auto" w:fill="C6EFCE"/>
          </w:tcPr>
          <w:p w14:paraId="6E40A561" w14:textId="4F466E4F" w:rsidR="00011DE9" w:rsidRPr="00A636A7" w:rsidRDefault="005701C9">
            <w:pPr>
              <w:pStyle w:val="P68B1DB1-Normal38"/>
              <w:spacing w:after="0" w:line="240" w:lineRule="auto"/>
              <w:jc w:val="center"/>
              <w:rPr>
                <w:rFonts w:cs="Times New Roman"/>
                <w:noProof/>
                <w:sz w:val="20"/>
                <w:szCs w:val="20"/>
              </w:rPr>
            </w:pPr>
            <w:r w:rsidRPr="00A636A7">
              <w:rPr>
                <w:noProof/>
                <w:sz w:val="20"/>
                <w:szCs w:val="20"/>
              </w:rPr>
              <w:t>T2</w:t>
            </w:r>
          </w:p>
        </w:tc>
        <w:tc>
          <w:tcPr>
            <w:tcW w:w="709" w:type="dxa"/>
            <w:shd w:val="clear" w:color="auto" w:fill="C6EFCE"/>
          </w:tcPr>
          <w:p w14:paraId="41157BA4"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2026</w:t>
            </w:r>
          </w:p>
        </w:tc>
        <w:tc>
          <w:tcPr>
            <w:tcW w:w="4961" w:type="dxa"/>
            <w:shd w:val="clear" w:color="auto" w:fill="C6EFCE"/>
            <w:noWrap/>
          </w:tcPr>
          <w:p w14:paraId="703510BA" w14:textId="77777777" w:rsidR="00011DE9" w:rsidRPr="00A636A7" w:rsidRDefault="00011DE9">
            <w:pPr>
              <w:pStyle w:val="P68B1DB1-Normal15"/>
              <w:spacing w:before="120" w:after="120" w:line="240" w:lineRule="auto"/>
              <w:rPr>
                <w:noProof/>
                <w:sz w:val="20"/>
                <w:szCs w:val="20"/>
              </w:rPr>
            </w:pPr>
            <w:r w:rsidRPr="00A636A7">
              <w:rPr>
                <w:noProof/>
                <w:sz w:val="20"/>
                <w:szCs w:val="20"/>
              </w:rPr>
              <w:t>Confirmarea de către administrație a executării contractelor legate de construirea unui centru de C &amp; D &amp; I pentru stocarea energiei în Extremadura.</w:t>
            </w:r>
          </w:p>
          <w:p w14:paraId="3ECF9AB8" w14:textId="77777777" w:rsidR="00011DE9" w:rsidRPr="00A636A7" w:rsidRDefault="00011DE9">
            <w:pPr>
              <w:pStyle w:val="P68B1DB1-Normal15"/>
              <w:spacing w:before="120" w:after="120" w:line="240" w:lineRule="auto"/>
              <w:rPr>
                <w:rFonts w:eastAsia="Times New Roman"/>
                <w:noProof/>
                <w:sz w:val="20"/>
                <w:szCs w:val="20"/>
              </w:rPr>
            </w:pPr>
            <w:r w:rsidRPr="00A636A7">
              <w:rPr>
                <w:noProof/>
                <w:sz w:val="20"/>
                <w:szCs w:val="20"/>
              </w:rPr>
              <w:t>Confirmarea de către administrație a executării contractelor legate de C &amp; D &amp; I, inclusiv în domeniul mediului, al schimbărilor climatice și al energiei, pentru un număr total cumulat de 605.</w:t>
            </w:r>
          </w:p>
        </w:tc>
      </w:tr>
      <w:tr w:rsidR="00011DE9" w:rsidRPr="00A636A7" w14:paraId="46BB80DB" w14:textId="77777777" w:rsidTr="00A636A7">
        <w:trPr>
          <w:trHeight w:val="309"/>
        </w:trPr>
        <w:tc>
          <w:tcPr>
            <w:tcW w:w="969" w:type="dxa"/>
            <w:shd w:val="clear" w:color="auto" w:fill="C6EFCE"/>
            <w:noWrap/>
          </w:tcPr>
          <w:p w14:paraId="732041CC"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270</w:t>
            </w:r>
          </w:p>
        </w:tc>
        <w:tc>
          <w:tcPr>
            <w:tcW w:w="818" w:type="dxa"/>
            <w:shd w:val="clear" w:color="auto" w:fill="C6EFCE"/>
            <w:noWrap/>
          </w:tcPr>
          <w:p w14:paraId="37892546"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C17.I8</w:t>
            </w:r>
          </w:p>
        </w:tc>
        <w:tc>
          <w:tcPr>
            <w:tcW w:w="941" w:type="dxa"/>
            <w:shd w:val="clear" w:color="auto" w:fill="C6EFCE"/>
            <w:noWrap/>
          </w:tcPr>
          <w:p w14:paraId="2367B324"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T</w:t>
            </w:r>
          </w:p>
        </w:tc>
        <w:tc>
          <w:tcPr>
            <w:tcW w:w="1950" w:type="dxa"/>
            <w:shd w:val="clear" w:color="auto" w:fill="C6EFCE"/>
            <w:noWrap/>
          </w:tcPr>
          <w:p w14:paraId="5C503535" w14:textId="77777777" w:rsidR="00011DE9" w:rsidRPr="00A636A7" w:rsidRDefault="00011DE9">
            <w:pPr>
              <w:pStyle w:val="P68B1DB1-Normal38"/>
              <w:spacing w:after="0" w:line="240" w:lineRule="auto"/>
              <w:rPr>
                <w:rFonts w:eastAsia="Times New Roman" w:cs="Times New Roman"/>
                <w:noProof/>
                <w:sz w:val="20"/>
                <w:szCs w:val="20"/>
              </w:rPr>
            </w:pPr>
            <w:r w:rsidRPr="00A636A7">
              <w:rPr>
                <w:noProof/>
                <w:sz w:val="20"/>
                <w:szCs w:val="20"/>
              </w:rPr>
              <w:t xml:space="preserve">Sprijin pentru proiecte de C &amp; D &amp; I în sectorul autovehiculelor durabile </w:t>
            </w:r>
          </w:p>
        </w:tc>
        <w:tc>
          <w:tcPr>
            <w:tcW w:w="1810" w:type="dxa"/>
            <w:shd w:val="clear" w:color="auto" w:fill="C6EFCE"/>
            <w:noWrap/>
          </w:tcPr>
          <w:p w14:paraId="0C1616E3"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w:t>
            </w:r>
          </w:p>
        </w:tc>
        <w:tc>
          <w:tcPr>
            <w:tcW w:w="850" w:type="dxa"/>
            <w:shd w:val="clear" w:color="auto" w:fill="C6EFCE"/>
            <w:noWrap/>
          </w:tcPr>
          <w:p w14:paraId="4678B3C5"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Număr</w:t>
            </w:r>
          </w:p>
        </w:tc>
        <w:tc>
          <w:tcPr>
            <w:tcW w:w="993" w:type="dxa"/>
            <w:shd w:val="clear" w:color="auto" w:fill="C6EFCE"/>
          </w:tcPr>
          <w:p w14:paraId="1F9553FA"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3EC35545"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35</w:t>
            </w:r>
          </w:p>
        </w:tc>
        <w:tc>
          <w:tcPr>
            <w:tcW w:w="425" w:type="dxa"/>
            <w:shd w:val="clear" w:color="auto" w:fill="C6EFCE"/>
          </w:tcPr>
          <w:p w14:paraId="66AAFB6D" w14:textId="7050C48C" w:rsidR="00011DE9" w:rsidRPr="00A636A7" w:rsidRDefault="005701C9">
            <w:pPr>
              <w:pStyle w:val="P68B1DB1-Normal38"/>
              <w:spacing w:after="0" w:line="240" w:lineRule="auto"/>
              <w:jc w:val="center"/>
              <w:rPr>
                <w:rFonts w:cs="Times New Roman"/>
                <w:noProof/>
                <w:sz w:val="20"/>
                <w:szCs w:val="20"/>
              </w:rPr>
            </w:pPr>
            <w:r w:rsidRPr="00A636A7">
              <w:rPr>
                <w:noProof/>
                <w:sz w:val="20"/>
                <w:szCs w:val="20"/>
              </w:rPr>
              <w:t>T2</w:t>
            </w:r>
          </w:p>
        </w:tc>
        <w:tc>
          <w:tcPr>
            <w:tcW w:w="709" w:type="dxa"/>
            <w:shd w:val="clear" w:color="auto" w:fill="C6EFCE"/>
          </w:tcPr>
          <w:p w14:paraId="487C69C0"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2022</w:t>
            </w:r>
          </w:p>
        </w:tc>
        <w:tc>
          <w:tcPr>
            <w:tcW w:w="4961" w:type="dxa"/>
            <w:shd w:val="clear" w:color="auto" w:fill="C6EFCE"/>
            <w:noWrap/>
          </w:tcPr>
          <w:p w14:paraId="67F1CCD4" w14:textId="0273AD8B" w:rsidR="00011DE9" w:rsidRPr="00A636A7" w:rsidRDefault="00011DE9">
            <w:pPr>
              <w:pStyle w:val="P68B1DB1-Normal33"/>
              <w:spacing w:after="0" w:line="240" w:lineRule="auto"/>
              <w:rPr>
                <w:rFonts w:eastAsia="Calibri" w:cs="Arial"/>
                <w:b w:val="0"/>
                <w:bCs/>
                <w:noProof/>
                <w:sz w:val="20"/>
                <w:szCs w:val="20"/>
                <w:u w:val="none"/>
              </w:rPr>
            </w:pPr>
            <w:r w:rsidRPr="00A636A7">
              <w:rPr>
                <w:rFonts w:eastAsia="Calibri" w:cs="Arial"/>
                <w:b w:val="0"/>
                <w:bCs/>
                <w:noProof/>
                <w:sz w:val="20"/>
                <w:szCs w:val="20"/>
                <w:u w:val="none"/>
              </w:rPr>
              <w:t>Cel puțin 35 de întreprinderi au atribuit proiecte de C &amp; D &amp; I în domeniul autovehiculelor durabile pentru a spori capacitatea tehnologică a întreprinderilor în domeniile legate de dezvoltarea unor sisteme de stocare a energiei cu emisii foarte scăzute și cu potențial ridicat de reciclare, a unor sisteme de mobilitate pe bază de hidrogen de înaltă eficiență, a conducerii autonome și a mobilității conectate sau de adaptarea mediilor de producție cu sisteme sigure și solide pentru interacțiunea om-mașină în mediul de producție inteligent. Proiectele asigură conformitatea cu Orientările tehnice de „a nu prejudicia în mod semnificativ” (2021/C58/01), cu activitățile neselectate și nefinanțate și cu legislația UE și națională relevantă în materie de mediu. Proiectele vizează:</w:t>
            </w:r>
            <w:r w:rsidR="00971820" w:rsidRPr="00A636A7">
              <w:rPr>
                <w:rFonts w:ascii="Calibri" w:eastAsia="Calibri" w:hAnsi="Calibri" w:cs="Arial"/>
                <w:b w:val="0"/>
                <w:bCs/>
                <w:noProof/>
                <w:sz w:val="20"/>
                <w:szCs w:val="20"/>
                <w:u w:val="none"/>
              </w:rPr>
              <w:t xml:space="preserve"> </w:t>
            </w:r>
            <w:r w:rsidRPr="00A636A7">
              <w:rPr>
                <w:rFonts w:ascii="Calibri" w:eastAsia="Calibri" w:hAnsi="Calibri" w:cs="Arial"/>
                <w:b w:val="0"/>
                <w:bCs/>
                <w:noProof/>
                <w:sz w:val="20"/>
                <w:szCs w:val="20"/>
                <w:u w:val="none"/>
              </w:rPr>
              <w:br/>
            </w:r>
            <w:r w:rsidRPr="00A636A7">
              <w:rPr>
                <w:rFonts w:eastAsia="Calibri" w:cs="Arial"/>
                <w:b w:val="0"/>
                <w:bCs/>
                <w:noProof/>
                <w:sz w:val="20"/>
                <w:szCs w:val="20"/>
                <w:u w:val="none"/>
              </w:rPr>
              <w:t>— dezvoltarea de componente și platforme pentru vehicule electrice, hibride reîncărcabile și pe bază de hidrogen</w:t>
            </w:r>
            <w:r w:rsidRPr="00A636A7">
              <w:rPr>
                <w:rFonts w:ascii="Calibri" w:eastAsia="Calibri" w:hAnsi="Calibri" w:cs="Arial"/>
                <w:b w:val="0"/>
                <w:bCs/>
                <w:noProof/>
                <w:sz w:val="20"/>
                <w:szCs w:val="20"/>
                <w:u w:val="none"/>
              </w:rPr>
              <w:t xml:space="preserve"> </w:t>
            </w:r>
            <w:r w:rsidRPr="00A636A7">
              <w:rPr>
                <w:rFonts w:ascii="Calibri" w:eastAsia="Calibri" w:hAnsi="Calibri" w:cs="Arial"/>
                <w:b w:val="0"/>
                <w:bCs/>
                <w:noProof/>
                <w:sz w:val="20"/>
                <w:szCs w:val="20"/>
                <w:u w:val="none"/>
              </w:rPr>
              <w:br/>
              <w:t xml:space="preserve"> </w:t>
            </w:r>
            <w:r w:rsidRPr="00A636A7">
              <w:rPr>
                <w:rFonts w:eastAsia="Calibri" w:cs="Arial"/>
                <w:b w:val="0"/>
                <w:bCs/>
                <w:noProof/>
                <w:sz w:val="20"/>
                <w:szCs w:val="20"/>
                <w:u w:val="none"/>
              </w:rPr>
              <w:t>conducerea autonomă și mobilitatea conectată, dezvoltarea unei noi arhitecturi de vehicule hardware și software</w:t>
            </w:r>
            <w:r w:rsidR="00971820" w:rsidRPr="00A636A7">
              <w:rPr>
                <w:rFonts w:eastAsia="Calibri" w:cs="Arial"/>
                <w:b w:val="0"/>
                <w:bCs/>
                <w:noProof/>
                <w:sz w:val="20"/>
                <w:szCs w:val="20"/>
                <w:u w:val="none"/>
              </w:rPr>
              <w:t xml:space="preserve"> </w:t>
            </w:r>
            <w:r w:rsidRPr="00A636A7">
              <w:rPr>
                <w:rFonts w:ascii="Calibri" w:eastAsia="Calibri" w:hAnsi="Calibri" w:cs="Arial"/>
                <w:b w:val="0"/>
                <w:bCs/>
                <w:noProof/>
                <w:sz w:val="20"/>
                <w:szCs w:val="20"/>
                <w:u w:val="none"/>
              </w:rPr>
              <w:br/>
              <w:t xml:space="preserve"> </w:t>
            </w:r>
            <w:r w:rsidRPr="00A636A7">
              <w:rPr>
                <w:rFonts w:eastAsia="Calibri" w:cs="Arial"/>
                <w:b w:val="0"/>
                <w:bCs/>
                <w:noProof/>
                <w:sz w:val="20"/>
                <w:szCs w:val="20"/>
                <w:u w:val="none"/>
              </w:rPr>
              <w:t>— adaptarea zonelor de producție a componentelor și sistemelor pentru vehiculele electrice, vehiculele hibride reîncărcabile și vehiculele pe bază de hidrogen.</w:t>
            </w:r>
            <w:r w:rsidR="00971820" w:rsidRPr="00A636A7">
              <w:rPr>
                <w:rFonts w:ascii="Calibri" w:eastAsia="Calibri" w:hAnsi="Calibri" w:cs="Arial"/>
                <w:b w:val="0"/>
                <w:bCs/>
                <w:noProof/>
                <w:sz w:val="20"/>
                <w:szCs w:val="20"/>
                <w:u w:val="none"/>
              </w:rPr>
              <w:t xml:space="preserve"> </w:t>
            </w:r>
            <w:r w:rsidRPr="00A636A7">
              <w:rPr>
                <w:rFonts w:ascii="Calibri" w:eastAsia="Calibri" w:hAnsi="Calibri" w:cs="Arial"/>
                <w:b w:val="0"/>
                <w:bCs/>
                <w:noProof/>
                <w:sz w:val="20"/>
                <w:szCs w:val="20"/>
                <w:u w:val="none"/>
              </w:rPr>
              <w:br/>
            </w:r>
            <w:r w:rsidRPr="00A636A7">
              <w:rPr>
                <w:rFonts w:eastAsia="Calibri" w:cs="Arial"/>
                <w:b w:val="0"/>
                <w:bCs/>
                <w:noProof/>
                <w:sz w:val="20"/>
                <w:szCs w:val="20"/>
                <w:u w:val="none"/>
              </w:rPr>
              <w:t>Proiectele sunt puse în aplicare de consorții de întreprinderi formate din trei până la opt întreprinderi (cel puțin una trebuie să fie IMM), cu o durată maximă de trei ani și cu un buget minim de</w:t>
            </w:r>
            <w:r w:rsidRPr="00A636A7">
              <w:rPr>
                <w:rFonts w:ascii="Calibri" w:eastAsia="Calibri" w:hAnsi="Calibri" w:cs="Arial"/>
                <w:b w:val="0"/>
                <w:bCs/>
                <w:noProof/>
                <w:sz w:val="20"/>
                <w:szCs w:val="20"/>
                <w:u w:val="none"/>
              </w:rPr>
              <w:t xml:space="preserve"> </w:t>
            </w:r>
            <w:r w:rsidRPr="00A636A7">
              <w:rPr>
                <w:rFonts w:eastAsia="Calibri" w:cs="Arial"/>
                <w:b w:val="0"/>
                <w:bCs/>
                <w:noProof/>
                <w:sz w:val="20"/>
                <w:szCs w:val="20"/>
                <w:u w:val="none"/>
              </w:rPr>
              <w:t>5</w:t>
            </w:r>
            <w:r w:rsidRPr="00A636A7">
              <w:rPr>
                <w:rFonts w:ascii="Calibri" w:eastAsia="Calibri" w:hAnsi="Calibri" w:cs="Arial"/>
                <w:b w:val="0"/>
                <w:bCs/>
                <w:noProof/>
                <w:sz w:val="20"/>
                <w:szCs w:val="20"/>
                <w:u w:val="none"/>
              </w:rPr>
              <w:t xml:space="preserve"> </w:t>
            </w:r>
            <w:r w:rsidRPr="00A636A7">
              <w:rPr>
                <w:rFonts w:eastAsia="Calibri" w:cs="Arial"/>
                <w:b w:val="0"/>
                <w:bCs/>
                <w:noProof/>
                <w:sz w:val="20"/>
                <w:szCs w:val="20"/>
                <w:u w:val="none"/>
              </w:rPr>
              <w:t>000 000</w:t>
            </w:r>
            <w:r w:rsidRPr="00A636A7">
              <w:rPr>
                <w:rFonts w:ascii="Calibri" w:eastAsia="Calibri" w:hAnsi="Calibri" w:cs="Arial"/>
                <w:b w:val="0"/>
                <w:bCs/>
                <w:noProof/>
                <w:sz w:val="20"/>
                <w:szCs w:val="20"/>
                <w:u w:val="none"/>
              </w:rPr>
              <w:t xml:space="preserve"> </w:t>
            </w:r>
            <w:r w:rsidRPr="00A636A7">
              <w:rPr>
                <w:rFonts w:eastAsia="Calibri" w:cs="Arial"/>
                <w:b w:val="0"/>
                <w:bCs/>
                <w:noProof/>
                <w:sz w:val="20"/>
                <w:szCs w:val="20"/>
                <w:u w:val="none"/>
              </w:rPr>
              <w:t>EUR.</w:t>
            </w:r>
          </w:p>
          <w:p w14:paraId="424BD84D" w14:textId="77777777" w:rsidR="00011DE9" w:rsidRPr="00A636A7" w:rsidRDefault="00011DE9">
            <w:pPr>
              <w:spacing w:after="0" w:line="240" w:lineRule="auto"/>
              <w:rPr>
                <w:rFonts w:ascii="Times New Roman" w:eastAsia="Calibri" w:hAnsi="Times New Roman" w:cs="Arial"/>
                <w:bCs/>
                <w:noProof/>
                <w:kern w:val="0"/>
                <w:sz w:val="20"/>
                <w:szCs w:val="20"/>
                <w14:ligatures w14:val="none"/>
              </w:rPr>
            </w:pPr>
          </w:p>
          <w:p w14:paraId="72B5E267" w14:textId="77777777" w:rsidR="00011DE9" w:rsidRPr="00A636A7" w:rsidRDefault="00011DE9">
            <w:pPr>
              <w:pStyle w:val="P68B1DB1-Normal14"/>
              <w:spacing w:after="0" w:line="240" w:lineRule="auto"/>
              <w:rPr>
                <w:rFonts w:eastAsia="Times New Roman"/>
                <w:noProof/>
                <w:sz w:val="20"/>
                <w:szCs w:val="20"/>
              </w:rPr>
            </w:pPr>
            <w:r w:rsidRPr="00A636A7">
              <w:rPr>
                <w:noProof/>
                <w:sz w:val="20"/>
                <w:szCs w:val="20"/>
              </w:rPr>
              <w:t>Document de sinteză care să justifice în mod corespunzător modul în care ținta a fost atinsă în mod satisfăcător (inclusiv elementele relevante ale țintei, astfel cum sunt enumerate în descrierea țintei și în măsura corespunzătoare din anexa la decizia de punere în aplicare a Consiliului). Acest document include o anexă cu următoarele documente justificative: o listă a publicărilor premiilor în JO sau pe platforma de achiziții publice/baza de date națională spaniolă privind granturile, indicând pentru fiecare premiu: a) referința și linkul JO sau ale Platformei de achiziții publice/bazei de date naționale spaniole privind granturile în care a fost publicată atribuirea; b) numele proiectului și al beneficiarului; c) un extras din specificațiile relevante ale cererii de propuneri, care să asigure alinierea la descrierea țintei și a investiției din decizia de punere în aplicare a Consiliului; d) suma acordată (fără TVA); e) rezumatul proiectului și justificarea faptului că proiectul este considerat C &amp; D &amp; I și caracteristicile consorțiului); f) un extras din documentele oficiale care conțin criteriile de selecție ce asigură conformitatea cu Orientările tehnice de „a nu prejudicia în mod semnificativ” (2021/C58/01), astfel cum se specifică în anexa la Decizia de punere în aplicare a Consiliului; și g) pentru activitățile care aplică dispozițiile DNSH pentru activitățile de C &amp; D &amp; I, astfel cum sunt prevăzute în anexa g1 la Decizia de punere în aplicare a Consiliului, trebuie furnizate dovezi că activitățile sprijinite nu se limitează la reproducerea produselor/proceselor comerciale deja disponibile de la/pentru alte firme sau organizații, fără modificări suplimentare sau cu foarte puține modificări suplimentare din partea firmei sprijinite; și g2) pentru a asigura conformitatea cu principiul DNSH în cazul activităților pentru care nu există în prezent nicio alternativă fezabilă din punct de vedere tehnologic și economic cu impact redus asupra mediului în acest sector, se furnizează sprijin documentar cu privire la absența oricărei alte alternative fezabile în întregul sector.</w:t>
            </w:r>
          </w:p>
        </w:tc>
      </w:tr>
      <w:tr w:rsidR="00011DE9" w:rsidRPr="00A636A7" w14:paraId="253E019B" w14:textId="77777777" w:rsidTr="00A636A7">
        <w:trPr>
          <w:trHeight w:val="309"/>
        </w:trPr>
        <w:tc>
          <w:tcPr>
            <w:tcW w:w="969" w:type="dxa"/>
            <w:shd w:val="clear" w:color="auto" w:fill="C6EFCE"/>
            <w:noWrap/>
          </w:tcPr>
          <w:p w14:paraId="224B19B7"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271</w:t>
            </w:r>
          </w:p>
        </w:tc>
        <w:tc>
          <w:tcPr>
            <w:tcW w:w="818" w:type="dxa"/>
            <w:shd w:val="clear" w:color="auto" w:fill="C6EFCE"/>
            <w:noWrap/>
          </w:tcPr>
          <w:p w14:paraId="36265840"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C17.I9</w:t>
            </w:r>
          </w:p>
        </w:tc>
        <w:tc>
          <w:tcPr>
            <w:tcW w:w="941" w:type="dxa"/>
            <w:shd w:val="clear" w:color="auto" w:fill="C6EFCE"/>
            <w:noWrap/>
          </w:tcPr>
          <w:p w14:paraId="78144FC3"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T</w:t>
            </w:r>
          </w:p>
        </w:tc>
        <w:tc>
          <w:tcPr>
            <w:tcW w:w="1950" w:type="dxa"/>
            <w:shd w:val="clear" w:color="auto" w:fill="C6EFCE"/>
            <w:noWrap/>
          </w:tcPr>
          <w:p w14:paraId="3E44D4BD" w14:textId="597FA4E7" w:rsidR="00011DE9" w:rsidRPr="00A636A7" w:rsidRDefault="00011DE9">
            <w:pPr>
              <w:pStyle w:val="P68B1DB1-Normal38"/>
              <w:spacing w:after="0" w:line="240" w:lineRule="auto"/>
              <w:rPr>
                <w:rFonts w:eastAsia="Times New Roman" w:cs="Times New Roman"/>
                <w:noProof/>
                <w:sz w:val="20"/>
                <w:szCs w:val="20"/>
              </w:rPr>
            </w:pPr>
            <w:r w:rsidRPr="00A636A7">
              <w:rPr>
                <w:noProof/>
                <w:sz w:val="20"/>
                <w:szCs w:val="20"/>
              </w:rPr>
              <w:t>Sprijin pentru proiectele de C &amp; D &amp; inovare în domeniul aerospațial, cu accent pe emisii scăzute și zero</w:t>
            </w:r>
            <w:r w:rsidR="00971820" w:rsidRPr="00A636A7">
              <w:rPr>
                <w:noProof/>
                <w:sz w:val="20"/>
                <w:szCs w:val="20"/>
              </w:rPr>
              <w:t xml:space="preserve"> </w:t>
            </w:r>
          </w:p>
        </w:tc>
        <w:tc>
          <w:tcPr>
            <w:tcW w:w="1810" w:type="dxa"/>
            <w:shd w:val="clear" w:color="auto" w:fill="C6EFCE"/>
            <w:noWrap/>
          </w:tcPr>
          <w:p w14:paraId="71A23BE3"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w:t>
            </w:r>
          </w:p>
        </w:tc>
        <w:tc>
          <w:tcPr>
            <w:tcW w:w="850" w:type="dxa"/>
            <w:shd w:val="clear" w:color="auto" w:fill="C6EFCE"/>
            <w:noWrap/>
          </w:tcPr>
          <w:p w14:paraId="77E05C83"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Număr</w:t>
            </w:r>
          </w:p>
        </w:tc>
        <w:tc>
          <w:tcPr>
            <w:tcW w:w="993" w:type="dxa"/>
            <w:shd w:val="clear" w:color="auto" w:fill="C6EFCE"/>
          </w:tcPr>
          <w:p w14:paraId="754A00E7"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33118CBD"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65</w:t>
            </w:r>
          </w:p>
        </w:tc>
        <w:tc>
          <w:tcPr>
            <w:tcW w:w="425" w:type="dxa"/>
            <w:shd w:val="clear" w:color="auto" w:fill="C6EFCE"/>
          </w:tcPr>
          <w:p w14:paraId="4350FB03" w14:textId="0C2C3CFB" w:rsidR="00011DE9" w:rsidRPr="00A636A7" w:rsidRDefault="005701C9">
            <w:pPr>
              <w:pStyle w:val="P68B1DB1-Normal38"/>
              <w:spacing w:after="0" w:line="240" w:lineRule="auto"/>
              <w:jc w:val="center"/>
              <w:rPr>
                <w:rFonts w:cs="Times New Roman"/>
                <w:noProof/>
                <w:sz w:val="20"/>
                <w:szCs w:val="20"/>
              </w:rPr>
            </w:pPr>
            <w:r w:rsidRPr="00A636A7">
              <w:rPr>
                <w:noProof/>
                <w:sz w:val="20"/>
                <w:szCs w:val="20"/>
              </w:rPr>
              <w:t>T2</w:t>
            </w:r>
          </w:p>
        </w:tc>
        <w:tc>
          <w:tcPr>
            <w:tcW w:w="709" w:type="dxa"/>
            <w:shd w:val="clear" w:color="auto" w:fill="C6EFCE"/>
          </w:tcPr>
          <w:p w14:paraId="14BA7F74"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2023</w:t>
            </w:r>
          </w:p>
        </w:tc>
        <w:tc>
          <w:tcPr>
            <w:tcW w:w="4961" w:type="dxa"/>
            <w:shd w:val="clear" w:color="auto" w:fill="C6EFCE"/>
            <w:noWrap/>
          </w:tcPr>
          <w:p w14:paraId="51B8450E" w14:textId="77777777" w:rsidR="00011DE9" w:rsidRPr="00A636A7" w:rsidRDefault="00011DE9">
            <w:pPr>
              <w:pStyle w:val="P68B1DB1-Normal38"/>
              <w:spacing w:after="0" w:line="240" w:lineRule="auto"/>
              <w:rPr>
                <w:rFonts w:eastAsia="Times New Roman" w:cs="Times New Roman"/>
                <w:noProof/>
                <w:sz w:val="20"/>
                <w:szCs w:val="20"/>
              </w:rPr>
            </w:pPr>
            <w:r w:rsidRPr="00A636A7">
              <w:rPr>
                <w:noProof/>
                <w:sz w:val="20"/>
                <w:szCs w:val="20"/>
              </w:rPr>
              <w:t xml:space="preserve">Cel puțin 65 de întreprinderi au primit proiecte de C &amp; D &amp; I în domeniul aerospațial, cu accent pe emisii scăzute și zero, inclusiv investiții legate de tehnologiile aerospațiale și aeronautică, cu sprijin din partea Planului </w:t>
            </w:r>
            <w:r w:rsidRPr="00A636A7">
              <w:rPr>
                <w:i/>
                <w:noProof/>
                <w:sz w:val="20"/>
                <w:szCs w:val="20"/>
              </w:rPr>
              <w:t>Aeronáutica</w:t>
            </w:r>
            <w:r w:rsidRPr="00A636A7">
              <w:rPr>
                <w:noProof/>
                <w:sz w:val="20"/>
                <w:szCs w:val="20"/>
              </w:rPr>
              <w:t>. Proiectele sunt puse în aplicare de consorții de întreprinderi formate din 3 până la 6 de întreprinderi (cel puțin una trebuie să fie IMM), cu o durată maximă de 3 ani. Evaluarea proiectelor în cadrul acestei investiții asigură conformitatea cu Orientările tehnice de „a nu prejudicia în mod semnificativ” (2021/C58/01), astfel cum se prevede în descrierea măsurii.</w:t>
            </w:r>
          </w:p>
        </w:tc>
      </w:tr>
      <w:tr w:rsidR="00011DE9" w:rsidRPr="00A636A7" w14:paraId="2841EC99" w14:textId="77777777" w:rsidTr="00A636A7">
        <w:trPr>
          <w:trHeight w:val="309"/>
        </w:trPr>
        <w:tc>
          <w:tcPr>
            <w:tcW w:w="969" w:type="dxa"/>
            <w:shd w:val="clear" w:color="auto" w:fill="C6EFCE"/>
            <w:noWrap/>
          </w:tcPr>
          <w:p w14:paraId="56D050C7"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272</w:t>
            </w:r>
          </w:p>
        </w:tc>
        <w:tc>
          <w:tcPr>
            <w:tcW w:w="818" w:type="dxa"/>
            <w:shd w:val="clear" w:color="auto" w:fill="C6EFCE"/>
            <w:noWrap/>
          </w:tcPr>
          <w:p w14:paraId="10B7C859"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C17.I9</w:t>
            </w:r>
          </w:p>
        </w:tc>
        <w:tc>
          <w:tcPr>
            <w:tcW w:w="941" w:type="dxa"/>
            <w:shd w:val="clear" w:color="auto" w:fill="C6EFCE"/>
            <w:noWrap/>
          </w:tcPr>
          <w:p w14:paraId="758DC0F1"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M</w:t>
            </w:r>
          </w:p>
        </w:tc>
        <w:tc>
          <w:tcPr>
            <w:tcW w:w="1950" w:type="dxa"/>
            <w:shd w:val="clear" w:color="auto" w:fill="C6EFCE"/>
            <w:noWrap/>
          </w:tcPr>
          <w:p w14:paraId="5A2FC9BF" w14:textId="6626EE95" w:rsidR="00011DE9" w:rsidRPr="00A636A7" w:rsidRDefault="00011DE9">
            <w:pPr>
              <w:pStyle w:val="P68B1DB1-Normal38"/>
              <w:spacing w:after="0" w:line="240" w:lineRule="auto"/>
              <w:rPr>
                <w:rFonts w:cs="Times New Roman"/>
                <w:noProof/>
                <w:sz w:val="20"/>
                <w:szCs w:val="20"/>
              </w:rPr>
            </w:pPr>
            <w:r w:rsidRPr="00A636A7">
              <w:rPr>
                <w:noProof/>
                <w:sz w:val="20"/>
                <w:szCs w:val="20"/>
              </w:rPr>
              <w:t>Aerospace</w:t>
            </w:r>
            <w:r w:rsidR="00971820" w:rsidRPr="00A636A7">
              <w:rPr>
                <w:noProof/>
                <w:sz w:val="20"/>
                <w:szCs w:val="20"/>
              </w:rPr>
              <w:t xml:space="preserve"> </w:t>
            </w:r>
          </w:p>
        </w:tc>
        <w:tc>
          <w:tcPr>
            <w:tcW w:w="1810" w:type="dxa"/>
            <w:shd w:val="clear" w:color="auto" w:fill="C6EFCE"/>
            <w:noWrap/>
          </w:tcPr>
          <w:p w14:paraId="765B8950" w14:textId="77777777" w:rsidR="00011DE9" w:rsidRPr="00A636A7" w:rsidRDefault="00011DE9">
            <w:pPr>
              <w:pStyle w:val="P68B1DB1-Normal14"/>
              <w:spacing w:after="0" w:line="240" w:lineRule="auto"/>
              <w:rPr>
                <w:rFonts w:eastAsia="Times New Roman"/>
                <w:noProof/>
                <w:sz w:val="20"/>
                <w:szCs w:val="20"/>
              </w:rPr>
            </w:pPr>
            <w:r w:rsidRPr="00A636A7">
              <w:rPr>
                <w:noProof/>
                <w:sz w:val="20"/>
                <w:szCs w:val="20"/>
              </w:rPr>
              <w:t>Verificarea de către administrație</w:t>
            </w:r>
          </w:p>
        </w:tc>
        <w:tc>
          <w:tcPr>
            <w:tcW w:w="850" w:type="dxa"/>
            <w:shd w:val="clear" w:color="auto" w:fill="C6EFCE"/>
            <w:noWrap/>
          </w:tcPr>
          <w:p w14:paraId="30AFB59A" w14:textId="77777777" w:rsidR="00011DE9" w:rsidRPr="00A636A7" w:rsidRDefault="00011DE9">
            <w:pPr>
              <w:spacing w:after="0" w:line="240" w:lineRule="auto"/>
              <w:jc w:val="center"/>
              <w:rPr>
                <w:rFonts w:ascii="Times New Roman" w:eastAsia="Times New Roman" w:hAnsi="Times New Roman" w:cs="Times New Roman"/>
                <w:noProof/>
                <w:kern w:val="0"/>
                <w:sz w:val="20"/>
                <w:szCs w:val="20"/>
                <w14:ligatures w14:val="none"/>
              </w:rPr>
            </w:pPr>
          </w:p>
        </w:tc>
        <w:tc>
          <w:tcPr>
            <w:tcW w:w="993" w:type="dxa"/>
            <w:shd w:val="clear" w:color="auto" w:fill="C6EFCE"/>
          </w:tcPr>
          <w:p w14:paraId="5FD6B261"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4A86207C" w14:textId="77777777" w:rsidR="00011DE9" w:rsidRPr="00A636A7" w:rsidRDefault="00011DE9">
            <w:pPr>
              <w:spacing w:after="0" w:line="240" w:lineRule="auto"/>
              <w:jc w:val="center"/>
              <w:rPr>
                <w:rFonts w:ascii="Times New Roman" w:eastAsia="Calibri" w:hAnsi="Times New Roman" w:cs="Times New Roman"/>
                <w:noProof/>
                <w:kern w:val="0"/>
                <w:sz w:val="20"/>
                <w:szCs w:val="20"/>
                <w14:ligatures w14:val="none"/>
              </w:rPr>
            </w:pPr>
          </w:p>
        </w:tc>
        <w:tc>
          <w:tcPr>
            <w:tcW w:w="425" w:type="dxa"/>
            <w:shd w:val="clear" w:color="auto" w:fill="C6EFCE"/>
          </w:tcPr>
          <w:p w14:paraId="16990872" w14:textId="311ED4B2" w:rsidR="00011DE9" w:rsidRPr="00A636A7" w:rsidRDefault="005701C9">
            <w:pPr>
              <w:pStyle w:val="P68B1DB1-Normal38"/>
              <w:spacing w:after="0" w:line="240" w:lineRule="auto"/>
              <w:jc w:val="center"/>
              <w:rPr>
                <w:rFonts w:cs="Times New Roman"/>
                <w:noProof/>
                <w:sz w:val="20"/>
                <w:szCs w:val="20"/>
              </w:rPr>
            </w:pPr>
            <w:r w:rsidRPr="00A636A7">
              <w:rPr>
                <w:noProof/>
                <w:sz w:val="20"/>
                <w:szCs w:val="20"/>
              </w:rPr>
              <w:t>T4</w:t>
            </w:r>
          </w:p>
        </w:tc>
        <w:tc>
          <w:tcPr>
            <w:tcW w:w="709" w:type="dxa"/>
            <w:shd w:val="clear" w:color="auto" w:fill="C6EFCE"/>
          </w:tcPr>
          <w:p w14:paraId="07E5B743"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2025</w:t>
            </w:r>
          </w:p>
        </w:tc>
        <w:tc>
          <w:tcPr>
            <w:tcW w:w="4961" w:type="dxa"/>
            <w:shd w:val="clear" w:color="auto" w:fill="C6EFCE"/>
            <w:noWrap/>
          </w:tcPr>
          <w:p w14:paraId="12B44183" w14:textId="3926D6A1" w:rsidR="00011DE9" w:rsidRPr="00A636A7" w:rsidRDefault="00011DE9">
            <w:pPr>
              <w:pStyle w:val="P68B1DB1-Normal22"/>
              <w:spacing w:after="0" w:line="240" w:lineRule="auto"/>
              <w:rPr>
                <w:rFonts w:cs="Arial"/>
                <w:noProof/>
                <w:sz w:val="20"/>
                <w:szCs w:val="20"/>
              </w:rPr>
            </w:pPr>
            <w:r w:rsidRPr="00A636A7">
              <w:rPr>
                <w:noProof/>
                <w:sz w:val="20"/>
                <w:szCs w:val="20"/>
              </w:rPr>
              <w:t>Verificarea de către administrație a justificării documentare a plăților de subvenții pentru un total de 57 de proiecte atribuite în cadrul Programului Tehnologic Aeronautic.</w:t>
            </w:r>
            <w:r w:rsidR="00971820" w:rsidRPr="00A636A7">
              <w:rPr>
                <w:noProof/>
                <w:sz w:val="20"/>
                <w:szCs w:val="20"/>
              </w:rPr>
              <w:t xml:space="preserve"> </w:t>
            </w:r>
          </w:p>
        </w:tc>
      </w:tr>
      <w:tr w:rsidR="00011DE9" w:rsidRPr="00A636A7" w14:paraId="1312C2B0" w14:textId="77777777" w:rsidTr="00A636A7">
        <w:trPr>
          <w:trHeight w:val="309"/>
        </w:trPr>
        <w:tc>
          <w:tcPr>
            <w:tcW w:w="969" w:type="dxa"/>
            <w:shd w:val="clear" w:color="auto" w:fill="C6EFCE"/>
            <w:noWrap/>
          </w:tcPr>
          <w:p w14:paraId="041E714B"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462</w:t>
            </w:r>
          </w:p>
        </w:tc>
        <w:tc>
          <w:tcPr>
            <w:tcW w:w="818" w:type="dxa"/>
            <w:shd w:val="clear" w:color="auto" w:fill="C6EFCE"/>
            <w:noWrap/>
          </w:tcPr>
          <w:p w14:paraId="1EECF735"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C17.I9</w:t>
            </w:r>
          </w:p>
        </w:tc>
        <w:tc>
          <w:tcPr>
            <w:tcW w:w="941" w:type="dxa"/>
            <w:shd w:val="clear" w:color="auto" w:fill="C6EFCE"/>
            <w:noWrap/>
          </w:tcPr>
          <w:p w14:paraId="03D45F22" w14:textId="77777777" w:rsidR="00011DE9" w:rsidRPr="00A636A7" w:rsidRDefault="00011DE9">
            <w:pPr>
              <w:pStyle w:val="P68B1DB1-Normal38"/>
              <w:spacing w:after="0" w:line="240" w:lineRule="auto"/>
              <w:jc w:val="center"/>
              <w:rPr>
                <w:rFonts w:cs="Times New Roman"/>
                <w:noProof/>
                <w:sz w:val="20"/>
                <w:szCs w:val="20"/>
              </w:rPr>
            </w:pPr>
            <w:r w:rsidRPr="00A636A7">
              <w:rPr>
                <w:noProof/>
                <w:sz w:val="20"/>
                <w:szCs w:val="20"/>
              </w:rPr>
              <w:t>M</w:t>
            </w:r>
          </w:p>
        </w:tc>
        <w:tc>
          <w:tcPr>
            <w:tcW w:w="1950" w:type="dxa"/>
            <w:shd w:val="clear" w:color="auto" w:fill="C6EFCE"/>
            <w:noWrap/>
          </w:tcPr>
          <w:p w14:paraId="05525BA5" w14:textId="77777777" w:rsidR="00011DE9" w:rsidRPr="00A636A7" w:rsidRDefault="00011DE9">
            <w:pPr>
              <w:pStyle w:val="P68B1DB1-Normal38"/>
              <w:spacing w:after="0" w:line="240" w:lineRule="auto"/>
              <w:rPr>
                <w:rFonts w:cs="Times New Roman"/>
                <w:noProof/>
                <w:sz w:val="20"/>
                <w:szCs w:val="20"/>
              </w:rPr>
            </w:pPr>
            <w:r w:rsidRPr="00A636A7">
              <w:rPr>
                <w:noProof/>
                <w:sz w:val="20"/>
                <w:szCs w:val="20"/>
              </w:rPr>
              <w:t>PERTE Aerospațiu</w:t>
            </w:r>
          </w:p>
        </w:tc>
        <w:tc>
          <w:tcPr>
            <w:tcW w:w="1810" w:type="dxa"/>
            <w:shd w:val="clear" w:color="auto" w:fill="C6EFCE"/>
            <w:noWrap/>
          </w:tcPr>
          <w:p w14:paraId="43927693" w14:textId="2A59BD9A" w:rsidR="00011DE9" w:rsidRPr="00A636A7" w:rsidRDefault="00011DE9">
            <w:pPr>
              <w:pStyle w:val="P68B1DB1-Normal38"/>
              <w:spacing w:after="0" w:line="240" w:lineRule="auto"/>
              <w:rPr>
                <w:rFonts w:cs="Times New Roman"/>
                <w:noProof/>
                <w:sz w:val="20"/>
                <w:szCs w:val="20"/>
              </w:rPr>
            </w:pPr>
            <w:r w:rsidRPr="00A636A7">
              <w:rPr>
                <w:noProof/>
                <w:sz w:val="20"/>
                <w:szCs w:val="20"/>
              </w:rPr>
              <w:t>Dovada plății</w:t>
            </w:r>
            <w:r w:rsidR="00971820" w:rsidRPr="00A636A7">
              <w:rPr>
                <w:noProof/>
                <w:sz w:val="20"/>
                <w:szCs w:val="20"/>
              </w:rPr>
              <w:t xml:space="preserve"> </w:t>
            </w:r>
          </w:p>
        </w:tc>
        <w:tc>
          <w:tcPr>
            <w:tcW w:w="850" w:type="dxa"/>
            <w:shd w:val="clear" w:color="auto" w:fill="C6EFCE"/>
            <w:noWrap/>
          </w:tcPr>
          <w:p w14:paraId="64DBB0A1" w14:textId="77777777" w:rsidR="00011DE9" w:rsidRPr="00A636A7" w:rsidRDefault="00011DE9">
            <w:pPr>
              <w:spacing w:after="0" w:line="240" w:lineRule="auto"/>
              <w:jc w:val="center"/>
              <w:rPr>
                <w:rFonts w:ascii="Times New Roman" w:eastAsia="Calibri" w:hAnsi="Times New Roman" w:cs="Times New Roman"/>
                <w:noProof/>
                <w:kern w:val="0"/>
                <w:sz w:val="20"/>
                <w:szCs w:val="20"/>
                <w14:ligatures w14:val="none"/>
              </w:rPr>
            </w:pPr>
          </w:p>
        </w:tc>
        <w:tc>
          <w:tcPr>
            <w:tcW w:w="993" w:type="dxa"/>
            <w:shd w:val="clear" w:color="auto" w:fill="C6EFCE"/>
          </w:tcPr>
          <w:p w14:paraId="5B13F86A"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282DD1E0" w14:textId="77777777" w:rsidR="00011DE9" w:rsidRPr="00A636A7" w:rsidRDefault="00011DE9">
            <w:pPr>
              <w:spacing w:after="0" w:line="240" w:lineRule="auto"/>
              <w:jc w:val="center"/>
              <w:rPr>
                <w:rFonts w:ascii="Times New Roman" w:eastAsia="Times New Roman" w:hAnsi="Times New Roman" w:cs="Times New Roman"/>
                <w:noProof/>
                <w:sz w:val="20"/>
                <w:szCs w:val="20"/>
              </w:rPr>
            </w:pPr>
          </w:p>
        </w:tc>
        <w:tc>
          <w:tcPr>
            <w:tcW w:w="425" w:type="dxa"/>
            <w:shd w:val="clear" w:color="auto" w:fill="C6EFCE"/>
          </w:tcPr>
          <w:p w14:paraId="00D95047" w14:textId="7156D9EA" w:rsidR="00011DE9" w:rsidRPr="00A636A7" w:rsidRDefault="005701C9">
            <w:pPr>
              <w:pStyle w:val="P68B1DB1-Normal38"/>
              <w:spacing w:after="0" w:line="240" w:lineRule="auto"/>
              <w:jc w:val="center"/>
              <w:rPr>
                <w:rFonts w:eastAsia="Times New Roman" w:cs="Times New Roman"/>
                <w:noProof/>
                <w:sz w:val="20"/>
                <w:szCs w:val="20"/>
              </w:rPr>
            </w:pPr>
            <w:r w:rsidRPr="00A636A7">
              <w:rPr>
                <w:noProof/>
                <w:sz w:val="20"/>
                <w:szCs w:val="20"/>
              </w:rPr>
              <w:t>T2</w:t>
            </w:r>
          </w:p>
        </w:tc>
        <w:tc>
          <w:tcPr>
            <w:tcW w:w="709" w:type="dxa"/>
            <w:shd w:val="clear" w:color="auto" w:fill="C6EFCE"/>
          </w:tcPr>
          <w:p w14:paraId="2BE9555D" w14:textId="77777777" w:rsidR="00011DE9" w:rsidRPr="00A636A7" w:rsidRDefault="00011DE9">
            <w:pPr>
              <w:pStyle w:val="P68B1DB1-Normal38"/>
              <w:spacing w:after="0" w:line="240" w:lineRule="auto"/>
              <w:jc w:val="center"/>
              <w:rPr>
                <w:rFonts w:eastAsia="Times New Roman" w:cs="Times New Roman"/>
                <w:noProof/>
                <w:sz w:val="20"/>
                <w:szCs w:val="20"/>
              </w:rPr>
            </w:pPr>
            <w:r w:rsidRPr="00A636A7">
              <w:rPr>
                <w:noProof/>
                <w:sz w:val="20"/>
                <w:szCs w:val="20"/>
              </w:rPr>
              <w:t>2026</w:t>
            </w:r>
          </w:p>
        </w:tc>
        <w:tc>
          <w:tcPr>
            <w:tcW w:w="4961" w:type="dxa"/>
            <w:shd w:val="clear" w:color="auto" w:fill="C6EFCE"/>
            <w:noWrap/>
          </w:tcPr>
          <w:p w14:paraId="317C92A6" w14:textId="77777777" w:rsidR="00011DE9" w:rsidRPr="00A636A7" w:rsidRDefault="00011DE9">
            <w:pPr>
              <w:pStyle w:val="P68B1DB1-Normal32"/>
              <w:spacing w:after="0" w:line="240" w:lineRule="auto"/>
              <w:rPr>
                <w:rFonts w:eastAsia="Times New Roman"/>
                <w:noProof/>
                <w:sz w:val="20"/>
                <w:szCs w:val="20"/>
              </w:rPr>
            </w:pPr>
            <w:r w:rsidRPr="00A636A7">
              <w:rPr>
                <w:noProof/>
                <w:sz w:val="20"/>
                <w:szCs w:val="20"/>
              </w:rPr>
              <w:t xml:space="preserve">În cadrul PERTE Aerospace, plata sumei de 75 723 498 EUR pentru C &amp; D &amp; I. </w:t>
            </w:r>
          </w:p>
        </w:tc>
      </w:tr>
      <w:tr w:rsidR="00011DE9" w:rsidRPr="00A636A7" w14:paraId="6C5DA2E5" w14:textId="77777777" w:rsidTr="00A636A7">
        <w:trPr>
          <w:trHeight w:val="309"/>
        </w:trPr>
        <w:tc>
          <w:tcPr>
            <w:tcW w:w="969" w:type="dxa"/>
            <w:shd w:val="clear" w:color="auto" w:fill="C6EFCE"/>
            <w:noWrap/>
          </w:tcPr>
          <w:p w14:paraId="51C383A2" w14:textId="77777777" w:rsidR="00011DE9" w:rsidRPr="00A636A7" w:rsidRDefault="00011DE9">
            <w:pPr>
              <w:pStyle w:val="P68B1DB1-Normal38"/>
              <w:spacing w:after="0" w:line="240" w:lineRule="auto"/>
              <w:jc w:val="center"/>
              <w:rPr>
                <w:noProof/>
                <w:sz w:val="20"/>
                <w:szCs w:val="20"/>
              </w:rPr>
            </w:pPr>
            <w:r w:rsidRPr="00A636A7">
              <w:rPr>
                <w:noProof/>
                <w:sz w:val="20"/>
                <w:szCs w:val="20"/>
              </w:rPr>
              <w:t>511</w:t>
            </w:r>
          </w:p>
        </w:tc>
        <w:tc>
          <w:tcPr>
            <w:tcW w:w="818" w:type="dxa"/>
            <w:shd w:val="clear" w:color="auto" w:fill="C6EFCE"/>
            <w:noWrap/>
          </w:tcPr>
          <w:p w14:paraId="549DCE0E" w14:textId="77777777" w:rsidR="00011DE9" w:rsidRPr="00A636A7" w:rsidRDefault="00011DE9">
            <w:pPr>
              <w:pStyle w:val="P68B1DB1-Normal38"/>
              <w:spacing w:after="0" w:line="240" w:lineRule="auto"/>
              <w:jc w:val="center"/>
              <w:rPr>
                <w:noProof/>
                <w:sz w:val="20"/>
                <w:szCs w:val="20"/>
              </w:rPr>
            </w:pPr>
            <w:r w:rsidRPr="00A636A7">
              <w:rPr>
                <w:noProof/>
                <w:sz w:val="20"/>
                <w:szCs w:val="20"/>
              </w:rPr>
              <w:t>C17.I11</w:t>
            </w:r>
          </w:p>
        </w:tc>
        <w:tc>
          <w:tcPr>
            <w:tcW w:w="941" w:type="dxa"/>
            <w:shd w:val="clear" w:color="auto" w:fill="C6EFCE"/>
            <w:noWrap/>
          </w:tcPr>
          <w:p w14:paraId="44F6DC55" w14:textId="77777777" w:rsidR="00011DE9" w:rsidRPr="00A636A7" w:rsidRDefault="00011DE9">
            <w:pPr>
              <w:pStyle w:val="P68B1DB1-Normal38"/>
              <w:spacing w:after="0" w:line="240" w:lineRule="auto"/>
              <w:jc w:val="center"/>
              <w:rPr>
                <w:noProof/>
                <w:sz w:val="20"/>
                <w:szCs w:val="20"/>
              </w:rPr>
            </w:pPr>
            <w:r w:rsidRPr="00A636A7">
              <w:rPr>
                <w:noProof/>
                <w:sz w:val="20"/>
                <w:szCs w:val="20"/>
              </w:rPr>
              <w:t>M</w:t>
            </w:r>
          </w:p>
        </w:tc>
        <w:tc>
          <w:tcPr>
            <w:tcW w:w="1950" w:type="dxa"/>
            <w:shd w:val="clear" w:color="auto" w:fill="C6EFCE"/>
            <w:noWrap/>
          </w:tcPr>
          <w:p w14:paraId="4D6F7C46" w14:textId="77777777" w:rsidR="00011DE9" w:rsidRPr="00A636A7" w:rsidRDefault="00011DE9">
            <w:pPr>
              <w:pStyle w:val="P68B1DB1-Normal40"/>
              <w:spacing w:after="0" w:line="240" w:lineRule="auto"/>
              <w:rPr>
                <w:rFonts w:ascii="Times New Roman" w:eastAsia="Calibri" w:hAnsi="Times New Roman" w:cs="Arial"/>
                <w:noProof/>
                <w:kern w:val="0"/>
                <w:sz w:val="20"/>
                <w:szCs w:val="20"/>
                <w14:ligatures w14:val="none"/>
              </w:rPr>
            </w:pPr>
            <w:r w:rsidRPr="00A636A7">
              <w:rPr>
                <w:rFonts w:ascii="Times New Roman" w:hAnsi="Times New Roman"/>
                <w:noProof/>
                <w:color w:val="000000" w:themeColor="text1"/>
                <w:sz w:val="20"/>
                <w:szCs w:val="20"/>
              </w:rPr>
              <w:t>Semnarea acordului dintre Spania și ESA și atribuirea unei contribuții voluntare programului FutureNav</w:t>
            </w:r>
            <w:r w:rsidRPr="00A636A7">
              <w:rPr>
                <w:rFonts w:ascii="Times New Roman" w:eastAsia="Calibri" w:hAnsi="Times New Roman" w:cs="Arial"/>
                <w:noProof/>
                <w:kern w:val="0"/>
                <w:sz w:val="20"/>
                <w:szCs w:val="20"/>
                <w14:ligatures w14:val="none"/>
              </w:rPr>
              <w:t>, programului UE privind conectivitatea securizată și programului european de lansare pentru provocări</w:t>
            </w:r>
          </w:p>
        </w:tc>
        <w:tc>
          <w:tcPr>
            <w:tcW w:w="1810" w:type="dxa"/>
            <w:shd w:val="clear" w:color="auto" w:fill="C6EFCE"/>
            <w:noWrap/>
          </w:tcPr>
          <w:p w14:paraId="48FF69A3" w14:textId="77777777" w:rsidR="00011DE9" w:rsidRPr="00A636A7" w:rsidRDefault="00011DE9">
            <w:pPr>
              <w:pStyle w:val="P68B1DB1-Normal29"/>
              <w:spacing w:after="0" w:line="240" w:lineRule="auto"/>
              <w:rPr>
                <w:rFonts w:eastAsia="Calibri" w:cs="Arial"/>
                <w:noProof/>
                <w:kern w:val="0"/>
                <w:sz w:val="20"/>
                <w:szCs w:val="20"/>
                <w14:ligatures w14:val="none"/>
              </w:rPr>
            </w:pPr>
            <w:r w:rsidRPr="00A636A7">
              <w:rPr>
                <w:noProof/>
                <w:sz w:val="20"/>
                <w:szCs w:val="20"/>
              </w:rPr>
              <w:t>Semnarea acordului</w:t>
            </w:r>
          </w:p>
        </w:tc>
        <w:tc>
          <w:tcPr>
            <w:tcW w:w="850" w:type="dxa"/>
            <w:shd w:val="clear" w:color="auto" w:fill="C6EFCE"/>
            <w:noWrap/>
          </w:tcPr>
          <w:p w14:paraId="098474C0" w14:textId="77777777" w:rsidR="00011DE9" w:rsidRPr="00A636A7" w:rsidRDefault="00011DE9">
            <w:pPr>
              <w:spacing w:after="0" w:line="240" w:lineRule="auto"/>
              <w:jc w:val="center"/>
              <w:rPr>
                <w:rFonts w:ascii="Times New Roman" w:eastAsia="Calibri" w:hAnsi="Times New Roman" w:cs="Arial"/>
                <w:noProof/>
                <w:kern w:val="0"/>
                <w:sz w:val="20"/>
                <w:szCs w:val="20"/>
                <w14:ligatures w14:val="none"/>
              </w:rPr>
            </w:pPr>
          </w:p>
        </w:tc>
        <w:tc>
          <w:tcPr>
            <w:tcW w:w="993" w:type="dxa"/>
            <w:shd w:val="clear" w:color="auto" w:fill="C6EFCE"/>
          </w:tcPr>
          <w:p w14:paraId="397F97C2" w14:textId="77777777" w:rsidR="00011DE9" w:rsidRPr="00A636A7" w:rsidRDefault="00011DE9">
            <w:pPr>
              <w:spacing w:after="0" w:line="240" w:lineRule="auto"/>
              <w:rPr>
                <w:rFonts w:ascii="Times New Roman" w:eastAsia="Calibri" w:hAnsi="Times New Roman" w:cs="Times New Roman"/>
                <w:noProof/>
                <w:kern w:val="0"/>
                <w:sz w:val="20"/>
                <w:szCs w:val="20"/>
                <w14:ligatures w14:val="none"/>
              </w:rPr>
            </w:pPr>
          </w:p>
        </w:tc>
        <w:tc>
          <w:tcPr>
            <w:tcW w:w="992" w:type="dxa"/>
            <w:shd w:val="clear" w:color="auto" w:fill="C6EFCE"/>
          </w:tcPr>
          <w:p w14:paraId="6EEDB52E" w14:textId="77777777" w:rsidR="00011DE9" w:rsidRPr="00A636A7" w:rsidRDefault="00011DE9">
            <w:pPr>
              <w:spacing w:after="0" w:line="240" w:lineRule="auto"/>
              <w:jc w:val="center"/>
              <w:rPr>
                <w:rFonts w:ascii="Times New Roman" w:eastAsia="Calibri" w:hAnsi="Times New Roman" w:cs="Arial"/>
                <w:noProof/>
                <w:sz w:val="20"/>
                <w:szCs w:val="20"/>
              </w:rPr>
            </w:pPr>
          </w:p>
        </w:tc>
        <w:tc>
          <w:tcPr>
            <w:tcW w:w="425" w:type="dxa"/>
            <w:shd w:val="clear" w:color="auto" w:fill="C6EFCE"/>
          </w:tcPr>
          <w:p w14:paraId="304C9F65" w14:textId="1F14E733" w:rsidR="00011DE9" w:rsidRPr="00A636A7" w:rsidRDefault="005701C9">
            <w:pPr>
              <w:pStyle w:val="P68B1DB1-Normal29"/>
              <w:spacing w:after="0" w:line="240" w:lineRule="auto"/>
              <w:jc w:val="center"/>
              <w:rPr>
                <w:rFonts w:eastAsia="Calibri" w:cs="Arial"/>
                <w:noProof/>
                <w:kern w:val="0"/>
                <w:sz w:val="20"/>
                <w:szCs w:val="20"/>
                <w14:ligatures w14:val="none"/>
              </w:rPr>
            </w:pPr>
            <w:r w:rsidRPr="00A636A7">
              <w:rPr>
                <w:noProof/>
                <w:sz w:val="20"/>
                <w:szCs w:val="20"/>
              </w:rPr>
              <w:t>T2</w:t>
            </w:r>
          </w:p>
        </w:tc>
        <w:tc>
          <w:tcPr>
            <w:tcW w:w="709" w:type="dxa"/>
            <w:shd w:val="clear" w:color="auto" w:fill="C6EFCE"/>
          </w:tcPr>
          <w:p w14:paraId="068BBEEF" w14:textId="77777777" w:rsidR="00011DE9" w:rsidRPr="00A636A7" w:rsidRDefault="00011DE9">
            <w:pPr>
              <w:pStyle w:val="P68B1DB1-Normal29"/>
              <w:spacing w:after="0" w:line="240" w:lineRule="auto"/>
              <w:jc w:val="center"/>
              <w:rPr>
                <w:rFonts w:eastAsia="Calibri" w:cs="Arial"/>
                <w:noProof/>
                <w:kern w:val="0"/>
                <w:sz w:val="20"/>
                <w:szCs w:val="20"/>
                <w14:ligatures w14:val="none"/>
              </w:rPr>
            </w:pPr>
            <w:r w:rsidRPr="00A636A7">
              <w:rPr>
                <w:noProof/>
                <w:sz w:val="20"/>
                <w:szCs w:val="20"/>
              </w:rPr>
              <w:t>2026</w:t>
            </w:r>
          </w:p>
        </w:tc>
        <w:tc>
          <w:tcPr>
            <w:tcW w:w="4961" w:type="dxa"/>
            <w:shd w:val="clear" w:color="auto" w:fill="C6EFCE"/>
            <w:noWrap/>
          </w:tcPr>
          <w:p w14:paraId="3A28971D" w14:textId="77777777" w:rsidR="00011DE9" w:rsidRPr="00A636A7" w:rsidRDefault="00011DE9">
            <w:pPr>
              <w:pStyle w:val="P68B1DB1-Normal14"/>
              <w:spacing w:after="0" w:line="240" w:lineRule="auto"/>
              <w:rPr>
                <w:noProof/>
                <w:sz w:val="20"/>
                <w:szCs w:val="20"/>
              </w:rPr>
            </w:pPr>
            <w:r w:rsidRPr="00A636A7">
              <w:rPr>
                <w:noProof/>
                <w:sz w:val="20"/>
                <w:szCs w:val="20"/>
              </w:rPr>
              <w:t xml:space="preserve">Semnarea acordului dintre Spania și ESA. </w:t>
            </w:r>
          </w:p>
          <w:p w14:paraId="423A0788" w14:textId="77777777" w:rsidR="00011DE9" w:rsidRPr="00A636A7" w:rsidRDefault="00011DE9">
            <w:pPr>
              <w:spacing w:after="0" w:line="240" w:lineRule="auto"/>
              <w:rPr>
                <w:rFonts w:ascii="Times New Roman" w:eastAsia="Calibri" w:hAnsi="Times New Roman" w:cs="Arial"/>
                <w:noProof/>
                <w:kern w:val="0"/>
                <w:sz w:val="20"/>
                <w:szCs w:val="20"/>
                <w14:ligatures w14:val="none"/>
              </w:rPr>
            </w:pPr>
          </w:p>
          <w:p w14:paraId="473FB7A2" w14:textId="77777777" w:rsidR="00011DE9" w:rsidRPr="00A636A7" w:rsidRDefault="00011DE9">
            <w:pPr>
              <w:pStyle w:val="P68B1DB1-Normal14"/>
              <w:spacing w:after="0" w:line="240" w:lineRule="auto"/>
              <w:rPr>
                <w:noProof/>
                <w:sz w:val="20"/>
                <w:szCs w:val="20"/>
              </w:rPr>
            </w:pPr>
            <w:r w:rsidRPr="00A636A7">
              <w:rPr>
                <w:noProof/>
                <w:sz w:val="20"/>
                <w:szCs w:val="20"/>
              </w:rPr>
              <w:t>Acordul respectiv include:</w:t>
            </w:r>
          </w:p>
          <w:p w14:paraId="7274A9C6" w14:textId="77777777" w:rsidR="00011DE9" w:rsidRPr="00A636A7" w:rsidRDefault="00011DE9">
            <w:pPr>
              <w:pStyle w:val="P68B1DB1-Normal14"/>
              <w:spacing w:after="0" w:line="240" w:lineRule="auto"/>
              <w:rPr>
                <w:noProof/>
                <w:sz w:val="20"/>
                <w:szCs w:val="20"/>
              </w:rPr>
            </w:pPr>
            <w:r w:rsidRPr="00A636A7">
              <w:rPr>
                <w:noProof/>
                <w:sz w:val="20"/>
                <w:szCs w:val="20"/>
              </w:rPr>
              <w:t>— Activitățile care ar urma să fie finanțate în cadrul contribuției voluntare, care constă în sprijinul următoarelor programe SEC: a) programul FutureNav, în componenta sa de element 1 LEO PNT, b) programul legat de conectivitatea securizată a UE, în componenta sa 3 (LEO IRIS 2 scăzut) și c) programul european de lansare, în componenta sa ELC Element 2 MIURA Launch Service Componenta B.</w:t>
            </w:r>
          </w:p>
          <w:p w14:paraId="00A20EAA" w14:textId="77777777" w:rsidR="00011DE9" w:rsidRPr="00A636A7" w:rsidRDefault="00011DE9">
            <w:pPr>
              <w:pStyle w:val="P68B1DB1-Normal14"/>
              <w:spacing w:after="0" w:line="240" w:lineRule="auto"/>
              <w:rPr>
                <w:noProof/>
                <w:sz w:val="20"/>
                <w:szCs w:val="20"/>
              </w:rPr>
            </w:pPr>
            <w:r w:rsidRPr="00A636A7">
              <w:rPr>
                <w:noProof/>
                <w:sz w:val="20"/>
                <w:szCs w:val="20"/>
              </w:rPr>
              <w:t>— O dispoziție care să asigure utilizarea integrală a contribuției voluntare de către ESA pentru programele a), b) și c).</w:t>
            </w:r>
          </w:p>
          <w:p w14:paraId="64193B70" w14:textId="77777777" w:rsidR="00011DE9" w:rsidRPr="00A636A7" w:rsidRDefault="00011DE9">
            <w:pPr>
              <w:pStyle w:val="P68B1DB1-Normal14"/>
              <w:spacing w:after="0" w:line="240" w:lineRule="auto"/>
              <w:rPr>
                <w:noProof/>
                <w:sz w:val="20"/>
                <w:szCs w:val="20"/>
              </w:rPr>
            </w:pPr>
            <w:r w:rsidRPr="00A636A7">
              <w:rPr>
                <w:noProof/>
                <w:sz w:val="20"/>
                <w:szCs w:val="20"/>
              </w:rPr>
              <w:t>— O dispoziție care să asigure că, pentru lansatoare, se utilizează cea mai bună tehnologie disponibilă cu cel mai mic impact asupra mediului din sector.</w:t>
            </w:r>
          </w:p>
          <w:p w14:paraId="370A33EC" w14:textId="77777777" w:rsidR="00011DE9" w:rsidRPr="00A636A7" w:rsidRDefault="00011DE9">
            <w:pPr>
              <w:spacing w:after="0" w:line="240" w:lineRule="auto"/>
              <w:rPr>
                <w:rFonts w:ascii="Times New Roman" w:eastAsia="Calibri" w:hAnsi="Times New Roman" w:cs="Arial"/>
                <w:noProof/>
                <w:kern w:val="0"/>
                <w:sz w:val="20"/>
                <w:szCs w:val="20"/>
                <w14:ligatures w14:val="none"/>
              </w:rPr>
            </w:pPr>
          </w:p>
          <w:p w14:paraId="1D76A9D2" w14:textId="77777777" w:rsidR="00011DE9" w:rsidRPr="00A636A7" w:rsidRDefault="00011DE9">
            <w:pPr>
              <w:pStyle w:val="P68B1DB1-Normal14"/>
              <w:spacing w:after="0" w:line="240" w:lineRule="auto"/>
              <w:rPr>
                <w:noProof/>
                <w:sz w:val="20"/>
                <w:szCs w:val="20"/>
              </w:rPr>
            </w:pPr>
            <w:r w:rsidRPr="00A636A7">
              <w:rPr>
                <w:noProof/>
                <w:sz w:val="20"/>
                <w:szCs w:val="20"/>
              </w:rPr>
              <w:t>Spania transferă 300 000 000 EUR către ESA pentru sprijinirea programelor a), b) și c).</w:t>
            </w:r>
          </w:p>
        </w:tc>
      </w:tr>
    </w:tbl>
    <w:p w14:paraId="5F3F2194" w14:textId="77777777" w:rsidR="00011DE9" w:rsidRDefault="00011DE9">
      <w:pPr>
        <w:spacing w:after="200" w:line="276" w:lineRule="auto"/>
        <w:rPr>
          <w:rFonts w:ascii="Times New Roman" w:eastAsia="Calibri" w:hAnsi="Times New Roman" w:cs="Times New Roman"/>
          <w:noProof/>
          <w:kern w:val="0"/>
          <w14:ligatures w14:val="none"/>
        </w:rPr>
        <w:sectPr w:rsidR="00011DE9" w:rsidSect="00011DE9">
          <w:headerReference w:type="even" r:id="rId236"/>
          <w:headerReference w:type="default" r:id="rId237"/>
          <w:footerReference w:type="even" r:id="rId238"/>
          <w:footerReference w:type="default" r:id="rId239"/>
          <w:headerReference w:type="first" r:id="rId240"/>
          <w:footerReference w:type="first" r:id="rId241"/>
          <w:pgSz w:w="16839" w:h="11907" w:orient="landscape"/>
          <w:pgMar w:top="1134" w:right="1134" w:bottom="1134" w:left="1134" w:header="567" w:footer="567" w:gutter="0"/>
          <w:cols w:space="720"/>
          <w:docGrid w:linePitch="360"/>
        </w:sectPr>
      </w:pPr>
    </w:p>
    <w:p w14:paraId="13F8044F" w14:textId="4F78B94C" w:rsidR="00011DE9" w:rsidRDefault="00011DE9">
      <w:pPr>
        <w:ind w:firstLine="720"/>
        <w:rPr>
          <w:rFonts w:ascii="Times New Roman" w:eastAsia="Times New Roman" w:hAnsi="Times New Roman" w:cs="Times New Roman"/>
          <w:noProof/>
        </w:rPr>
      </w:pPr>
      <w:r>
        <w:rPr>
          <w:rFonts w:ascii="Times New Roman" w:hAnsi="Times New Roman"/>
          <w:b/>
          <w:noProof/>
          <w:u w:val="single"/>
        </w:rPr>
        <w:t>Î.3</w:t>
      </w:r>
      <w:r>
        <w:rPr>
          <w:noProof/>
        </w:rPr>
        <w:t xml:space="preserve"> </w:t>
      </w:r>
      <w:r>
        <w:rPr>
          <w:rFonts w:ascii="Times New Roman" w:hAnsi="Times New Roman"/>
          <w:b/>
          <w:noProof/>
          <w:u w:val="single"/>
        </w:rPr>
        <w:t>Descrierea investițiilor pentru sprijinul sub formă de împrumut</w:t>
      </w:r>
      <w:r w:rsidR="00971820">
        <w:rPr>
          <w:noProof/>
        </w:rPr>
        <w:t xml:space="preserve"> </w:t>
      </w:r>
    </w:p>
    <w:p w14:paraId="2CCA0080" w14:textId="77777777" w:rsidR="00011DE9" w:rsidRDefault="00011DE9">
      <w:pPr>
        <w:pStyle w:val="P68B1DB1-Normal17"/>
        <w:spacing w:before="120" w:after="120" w:line="240" w:lineRule="auto"/>
        <w:jc w:val="both"/>
        <w:rPr>
          <w:rFonts w:eastAsia="Times New Roman" w:cs="Times New Roman"/>
          <w:noProof/>
        </w:rPr>
      </w:pPr>
      <w:r>
        <w:rPr>
          <w:noProof/>
        </w:rPr>
        <w:t>Investiția 10 (C17.I10) – Sprijin sub formă de împrumuturi în cadrul PERTE Health și PERTE Aerospace</w:t>
      </w:r>
    </w:p>
    <w:p w14:paraId="5C81F202" w14:textId="77777777" w:rsidR="00011DE9" w:rsidRDefault="00011DE9">
      <w:pPr>
        <w:pStyle w:val="P68B1DB1-Normal16"/>
        <w:spacing w:after="0" w:line="240" w:lineRule="auto"/>
        <w:jc w:val="both"/>
        <w:rPr>
          <w:rFonts w:eastAsia="Times New Roman" w:cs="Times New Roman"/>
          <w:noProof/>
        </w:rPr>
      </w:pPr>
      <w:r>
        <w:rPr>
          <w:noProof/>
        </w:rPr>
        <w:t xml:space="preserve">În cadrul PERTE pentru sănătate și PERTE pentru sectorul aerospațial, obiectivul măsurii este de a consolida capacitățile științifice, tehnologice și de inovare în sectorul sănătății și, respectiv, în sectorul aerospațial. În special, măsura sprijină investițiile prin: 1) împrumuturi acordate întreprinderilor din sectorul sănătății sau din sectorul aerospațial; și 2) investiții ale INNVIERTE în întreprinderi spaniole tehnologice și inovatoare din sectorul sănătății. Toate restituirile asociate operațiunilor financiare se utilizează pentru a rambursa împrumuturile din cadrul Mecanismului de redresare și reziliență. </w:t>
      </w:r>
    </w:p>
    <w:p w14:paraId="002E29D2" w14:textId="77777777" w:rsidR="00011DE9" w:rsidRDefault="00011DE9">
      <w:pPr>
        <w:spacing w:after="0" w:line="240" w:lineRule="auto"/>
        <w:jc w:val="both"/>
        <w:rPr>
          <w:rFonts w:ascii="Times New Roman" w:eastAsia="Times New Roman" w:hAnsi="Times New Roman" w:cs="Times New Roman"/>
          <w:noProof/>
        </w:rPr>
      </w:pPr>
    </w:p>
    <w:p w14:paraId="060710C5" w14:textId="77777777" w:rsidR="00011DE9" w:rsidRDefault="00011DE9">
      <w:pPr>
        <w:pStyle w:val="P68B1DB1-Normal16"/>
        <w:spacing w:after="0" w:line="240" w:lineRule="auto"/>
        <w:jc w:val="both"/>
        <w:rPr>
          <w:rFonts w:eastAsia="Times New Roman" w:cs="Times New Roman"/>
          <w:noProof/>
        </w:rPr>
      </w:pPr>
      <w:r>
        <w:rPr>
          <w:noProof/>
        </w:rPr>
        <w:t>Pentru a se asigura că măsura respectă principiul de „a nu prejudicia în mod semnificativ” în cadrul Mecanismului de redresare și reziliență, astfel cum este prevăzut în Orientările tehnice DNSH (2021/C58/01), instrumentul (instrumentele) juridic (e) și documentul (documentele) asociat (e): </w:t>
      </w:r>
    </w:p>
    <w:p w14:paraId="581B00E0" w14:textId="0F21274E" w:rsidR="00011DE9" w:rsidRDefault="00011DE9">
      <w:pPr>
        <w:pStyle w:val="ListParagraph"/>
        <w:numPr>
          <w:ilvl w:val="0"/>
          <w:numId w:val="134"/>
        </w:numPr>
        <w:spacing w:before="120" w:after="120" w:line="240" w:lineRule="auto"/>
        <w:jc w:val="both"/>
        <w:rPr>
          <w:rFonts w:ascii="Times New Roman" w:eastAsia="Times New Roman" w:hAnsi="Times New Roman" w:cs="Times New Roman"/>
          <w:noProof/>
        </w:rPr>
      </w:pPr>
      <w:r>
        <w:rPr>
          <w:noProof/>
        </w:rPr>
        <w:t xml:space="preserve">În </w:t>
      </w:r>
      <w:r>
        <w:rPr>
          <w:rFonts w:ascii="Times New Roman" w:hAnsi="Times New Roman"/>
          <w:noProof/>
        </w:rPr>
        <w:t>cazul împrumuturilor și garanțiilor: excluderea de la eligibilitate a următoarelor activități și active: (I) activități și active legate de combustibilii fosili, inclusiv utilizarea în aval</w:t>
      </w:r>
      <w:r>
        <w:rPr>
          <w:rStyle w:val="FootnoteReference"/>
          <w:rFonts w:ascii="Times New Roman" w:hAnsi="Times New Roman" w:cs="Times New Roman"/>
          <w:noProof/>
        </w:rPr>
        <w:footnoteReference w:id="126"/>
      </w:r>
      <w:r>
        <w:rPr>
          <w:rStyle w:val="normaltextrun"/>
          <w:rFonts w:ascii="Times New Roman" w:hAnsi="Times New Roman"/>
          <w:noProof/>
        </w:rPr>
        <w:t>; (II)</w:t>
      </w:r>
      <w:r w:rsidR="00A636A7">
        <w:rPr>
          <w:rStyle w:val="normaltextrun"/>
          <w:rFonts w:ascii="Times New Roman" w:hAnsi="Times New Roman"/>
          <w:noProof/>
        </w:rPr>
        <w:t> </w:t>
      </w:r>
      <w:r>
        <w:rPr>
          <w:rStyle w:val="normaltextrun"/>
          <w:rFonts w:ascii="Times New Roman" w:hAnsi="Times New Roman"/>
          <w:noProof/>
        </w:rPr>
        <w:t>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127"/>
      </w:r>
      <w:r>
        <w:rPr>
          <w:rStyle w:val="normaltextrun"/>
          <w:rFonts w:ascii="Times New Roman" w:hAnsi="Times New Roman"/>
          <w:noProof/>
        </w:rPr>
        <w:t>; (III) activități și active legate de depozitele de deșeuri, incineratoare</w:t>
      </w:r>
      <w:r>
        <w:rPr>
          <w:rStyle w:val="FootnoteReference"/>
          <w:rFonts w:ascii="Times New Roman" w:hAnsi="Times New Roman"/>
          <w:noProof/>
        </w:rPr>
        <w:footnoteReference w:id="128"/>
      </w:r>
      <w:r>
        <w:rPr>
          <w:rStyle w:val="normaltextrun"/>
          <w:rFonts w:ascii="Times New Roman" w:hAnsi="Times New Roman"/>
          <w:noProof/>
        </w:rPr>
        <w:t xml:space="preserve"> și stații de tratare mecano-biologică</w:t>
      </w:r>
      <w:r>
        <w:rPr>
          <w:rStyle w:val="FootnoteReference"/>
          <w:rFonts w:ascii="Times New Roman" w:hAnsi="Times New Roman" w:cs="Times New Roman"/>
          <w:noProof/>
        </w:rPr>
        <w:footnoteReference w:id="129"/>
      </w:r>
      <w:r>
        <w:rPr>
          <w:noProof/>
        </w:rPr>
        <w:t>.</w:t>
      </w:r>
      <w:r>
        <w:rPr>
          <w:rStyle w:val="eop"/>
          <w:rFonts w:ascii="Times New Roman" w:hAnsi="Times New Roman"/>
          <w:noProof/>
        </w:rPr>
        <w:t xml:space="preserve"> Următoarele acțiuni de C &amp; D &amp; I din cadrul acestei investiții sunt considerate conforme cu Orientările tehnice de „a nu prejudicia în mod semnificativ” (2021/C58/01): (I) acele acțiuni de C &amp; D &amp; I din cadrul acestei investiții care au ca rezultat rezultate neutre din punct de vedere tehnologic la nivelul aplicării lor; (II)</w:t>
      </w:r>
      <w:r w:rsidR="00A636A7">
        <w:rPr>
          <w:rStyle w:val="eop"/>
          <w:rFonts w:ascii="Times New Roman" w:hAnsi="Times New Roman"/>
          <w:noProof/>
        </w:rPr>
        <w:t> </w:t>
      </w:r>
      <w:r>
        <w:rPr>
          <w:rStyle w:val="eop"/>
          <w:rFonts w:ascii="Times New Roman" w:hAnsi="Times New Roman"/>
          <w:noProof/>
        </w:rPr>
        <w:t>acțiunile de C &amp; D &amp; I din cadrul acestei investiții care sprijină alternative cu impact redus asupra mediului pentru care acestea există; sau (iii) acele acțiuni de C &amp; D &amp; I din cadrul acestei investiții care se axează în principal pe dezvoltarea de alternative cu cel mai mic impact posibil asupra mediului în acest sector pentru activitățile pentru care nu există alternative cu impact redus fezabile din punct de vedere tehnologic și economic.</w:t>
      </w:r>
    </w:p>
    <w:p w14:paraId="1EFD7924" w14:textId="77777777" w:rsidR="00011DE9" w:rsidRDefault="00011DE9">
      <w:pPr>
        <w:pStyle w:val="ListParagraph"/>
        <w:numPr>
          <w:ilvl w:val="0"/>
          <w:numId w:val="134"/>
        </w:numPr>
        <w:spacing w:before="120" w:after="120" w:line="240" w:lineRule="auto"/>
        <w:jc w:val="both"/>
        <w:rPr>
          <w:rFonts w:ascii="Times New Roman" w:eastAsia="Times New Roman" w:hAnsi="Times New Roman" w:cs="Times New Roman"/>
          <w:noProof/>
        </w:rPr>
      </w:pPr>
      <w:r>
        <w:rPr>
          <w:noProof/>
        </w:rPr>
        <w:t xml:space="preserve">În </w:t>
      </w:r>
      <w:r>
        <w:rPr>
          <w:rFonts w:ascii="Times New Roman" w:hAnsi="Times New Roman"/>
          <w:noProof/>
        </w:rPr>
        <w:t>cazul instrumentelor de capital de risc: să impună întreprinderilor să adopte planuri de tranziție verde în conformitate cu definiția prevăzută la articolul 19a alineatul (2) litera (a) punctul (iii) din Directiva 2013/34/UE (modificată prin Directiva (UE) 2022/2464) în cazul în care peste 50 % din veniturile lor directe din exercițiul financiar precedent provin din următoarea listă de activități și active: activități și active legate de combustibilii fosili, inclusiv utilizarea în aval;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130"/>
      </w:r>
      <w:r>
        <w:rPr>
          <w:rStyle w:val="normaltextrun"/>
          <w:rFonts w:ascii="Times New Roman" w:hAnsi="Times New Roman"/>
          <w:noProof/>
        </w:rPr>
        <w:t>; (III) activități și active legate de depozitele de deșeuri, incineratoare</w:t>
      </w:r>
      <w:r>
        <w:rPr>
          <w:rStyle w:val="FootnoteReference"/>
          <w:rFonts w:ascii="Times New Roman" w:hAnsi="Times New Roman"/>
          <w:noProof/>
        </w:rPr>
        <w:footnoteReference w:id="131"/>
      </w:r>
      <w:r>
        <w:rPr>
          <w:rStyle w:val="normaltextrun"/>
          <w:rFonts w:ascii="Times New Roman" w:hAnsi="Times New Roman"/>
          <w:noProof/>
        </w:rPr>
        <w:t xml:space="preserve"> și stații de tratare mecano-biologică</w:t>
      </w:r>
      <w:r>
        <w:rPr>
          <w:rStyle w:val="FootnoteReference"/>
          <w:rFonts w:ascii="Times New Roman" w:hAnsi="Times New Roman" w:cs="Times New Roman"/>
          <w:noProof/>
        </w:rPr>
        <w:footnoteReference w:id="132"/>
      </w:r>
      <w:r>
        <w:rPr>
          <w:noProof/>
        </w:rPr>
        <w:t>.</w:t>
      </w:r>
    </w:p>
    <w:p w14:paraId="7D1D0CA7" w14:textId="77777777" w:rsidR="00011DE9" w:rsidRDefault="00011DE9">
      <w:pPr>
        <w:pStyle w:val="P68B1DB1-ListParagraph25"/>
        <w:numPr>
          <w:ilvl w:val="0"/>
          <w:numId w:val="134"/>
        </w:numPr>
        <w:spacing w:before="120" w:after="120" w:line="240" w:lineRule="auto"/>
        <w:jc w:val="both"/>
        <w:rPr>
          <w:rFonts w:eastAsia="Times New Roman" w:cs="Times New Roman"/>
          <w:noProof/>
        </w:rPr>
      </w:pPr>
      <w:r>
        <w:rPr>
          <w:noProof/>
        </w:rPr>
        <w:t>Să solicite respectarea de către beneficiari a legislației UE și naționale relevante în materie de mediu. .</w:t>
      </w:r>
    </w:p>
    <w:p w14:paraId="5E7B53CF" w14:textId="182D84E7" w:rsidR="00011DE9" w:rsidRDefault="00011DE9">
      <w:pPr>
        <w:ind w:left="720"/>
        <w:rPr>
          <w:rFonts w:ascii="Times New Roman" w:eastAsia="Times New Roman" w:hAnsi="Times New Roman" w:cs="Times New Roman"/>
          <w:noProof/>
        </w:rPr>
      </w:pPr>
      <w:r>
        <w:rPr>
          <w:rFonts w:ascii="Times New Roman" w:hAnsi="Times New Roman"/>
          <w:b/>
          <w:noProof/>
          <w:u w:val="single"/>
        </w:rPr>
        <w:t>Î.4</w:t>
      </w:r>
      <w:r>
        <w:rPr>
          <w:noProof/>
        </w:rPr>
        <w:t xml:space="preserve"> </w:t>
      </w:r>
      <w:r>
        <w:rPr>
          <w:rFonts w:ascii="Times New Roman" w:hAnsi="Times New Roman"/>
          <w:b/>
          <w:noProof/>
          <w:u w:val="single"/>
        </w:rPr>
        <w:t>Jaloane, ținte, indicatori și calendarul de monitorizare și punere în aplicare pentru sprijinul sub formă de împrumut</w:t>
      </w:r>
      <w:r w:rsidR="00971820">
        <w:rPr>
          <w:noProof/>
        </w:rPr>
        <w:t xml:space="preserve"> </w:t>
      </w:r>
    </w:p>
    <w:p w14:paraId="3C4B10D4" w14:textId="77777777" w:rsidR="00011DE9" w:rsidRDefault="00011DE9">
      <w:pPr>
        <w:pStyle w:val="P68B1DB1-Normal26"/>
        <w:rPr>
          <w:noProof/>
        </w:rPr>
      </w:pPr>
      <w:r>
        <w:rPr>
          <w:noProof/>
        </w:rPr>
        <w:t>A se vedea tabelul de mai jos. Data de referință pentru toți indicatorii este începutul acțiunii, cu excepția cazului în care se indică altfel în descrierea acțiunii. Sumele din tabel nu includ TVA.</w:t>
      </w:r>
    </w:p>
    <w:p w14:paraId="26D16CAF" w14:textId="77777777" w:rsidR="00011DE9" w:rsidRDefault="00011DE9">
      <w:pPr>
        <w:spacing w:before="120" w:after="120" w:line="240" w:lineRule="auto"/>
        <w:rPr>
          <w:rFonts w:ascii="Times New Roman" w:hAnsi="Times New Roman" w:cs="Times New Roman"/>
          <w:noProof/>
        </w:rPr>
        <w:sectPr w:rsidR="00011DE9" w:rsidSect="00011DE9">
          <w:headerReference w:type="even" r:id="rId242"/>
          <w:headerReference w:type="default" r:id="rId243"/>
          <w:footerReference w:type="even" r:id="rId244"/>
          <w:footerReference w:type="default" r:id="rId245"/>
          <w:headerReference w:type="first" r:id="rId246"/>
          <w:footerReference w:type="first" r:id="rId247"/>
          <w:pgSz w:w="11907" w:h="16839"/>
          <w:pgMar w:top="1134" w:right="1134" w:bottom="1134" w:left="1134" w:header="567" w:footer="567" w:gutter="0"/>
          <w:cols w:space="720"/>
          <w:docGrid w:linePitch="360"/>
        </w:sectPr>
      </w:pPr>
    </w:p>
    <w:tbl>
      <w:tblPr>
        <w:tblW w:w="14675"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7"/>
        <w:gridCol w:w="886"/>
        <w:gridCol w:w="966"/>
        <w:gridCol w:w="1939"/>
        <w:gridCol w:w="1184"/>
        <w:gridCol w:w="885"/>
        <w:gridCol w:w="934"/>
        <w:gridCol w:w="1527"/>
        <w:gridCol w:w="526"/>
        <w:gridCol w:w="687"/>
        <w:gridCol w:w="4044"/>
      </w:tblGrid>
      <w:tr w:rsidR="00011DE9" w14:paraId="65FD6E19" w14:textId="77777777">
        <w:trPr>
          <w:trHeight w:val="309"/>
          <w:tblHeader/>
        </w:trPr>
        <w:tc>
          <w:tcPr>
            <w:tcW w:w="1097" w:type="dxa"/>
            <w:vMerge w:val="restart"/>
            <w:shd w:val="clear" w:color="auto" w:fill="B7D4EF" w:themeFill="text2" w:themeFillTint="33"/>
            <w:vAlign w:val="center"/>
          </w:tcPr>
          <w:p w14:paraId="4B433CFB" w14:textId="77777777" w:rsidR="00011DE9" w:rsidRDefault="00011DE9">
            <w:pPr>
              <w:pStyle w:val="P68B1DB1-Normal18"/>
              <w:spacing w:after="0" w:line="240" w:lineRule="auto"/>
              <w:jc w:val="center"/>
              <w:rPr>
                <w:rFonts w:cs="Times New Roman"/>
                <w:bCs/>
                <w:noProof/>
                <w:szCs w:val="18"/>
              </w:rPr>
            </w:pPr>
            <w:r>
              <w:rPr>
                <w:noProof/>
              </w:rPr>
              <w:t>Număr</w:t>
            </w:r>
          </w:p>
        </w:tc>
        <w:tc>
          <w:tcPr>
            <w:tcW w:w="886" w:type="dxa"/>
            <w:vMerge w:val="restart"/>
            <w:shd w:val="clear" w:color="auto" w:fill="B7D4EF" w:themeFill="text2" w:themeFillTint="33"/>
            <w:vAlign w:val="center"/>
          </w:tcPr>
          <w:p w14:paraId="6D8746FE" w14:textId="77777777" w:rsidR="00011DE9" w:rsidRDefault="00011DE9">
            <w:pPr>
              <w:pStyle w:val="P68B1DB1-Normal18"/>
              <w:spacing w:after="0" w:line="240" w:lineRule="auto"/>
              <w:jc w:val="center"/>
              <w:rPr>
                <w:rFonts w:cs="Times New Roman"/>
                <w:bCs/>
                <w:noProof/>
                <w:szCs w:val="18"/>
              </w:rPr>
            </w:pPr>
            <w:r>
              <w:rPr>
                <w:noProof/>
              </w:rPr>
              <w:t>Măsură</w:t>
            </w:r>
          </w:p>
        </w:tc>
        <w:tc>
          <w:tcPr>
            <w:tcW w:w="966" w:type="dxa"/>
            <w:vMerge w:val="restart"/>
            <w:shd w:val="clear" w:color="auto" w:fill="B7D4EF" w:themeFill="text2" w:themeFillTint="33"/>
            <w:vAlign w:val="center"/>
          </w:tcPr>
          <w:p w14:paraId="79BB67FE" w14:textId="146EBAC3" w:rsidR="00011DE9" w:rsidRDefault="00011DE9">
            <w:pPr>
              <w:spacing w:after="0" w:line="240" w:lineRule="auto"/>
              <w:jc w:val="center"/>
              <w:rPr>
                <w:rFonts w:ascii="Times New Roman" w:hAnsi="Times New Roman" w:cs="Times New Roman"/>
                <w:b/>
                <w:bCs/>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1939" w:type="dxa"/>
            <w:vMerge w:val="restart"/>
            <w:shd w:val="clear" w:color="auto" w:fill="B7D4EF" w:themeFill="text2" w:themeFillTint="33"/>
            <w:vAlign w:val="center"/>
          </w:tcPr>
          <w:p w14:paraId="259186DE" w14:textId="77777777" w:rsidR="00011DE9" w:rsidRDefault="00011DE9">
            <w:pPr>
              <w:pStyle w:val="P68B1DB1-Normal18"/>
              <w:spacing w:after="0" w:line="240" w:lineRule="auto"/>
              <w:jc w:val="center"/>
              <w:rPr>
                <w:rFonts w:cs="Times New Roman"/>
                <w:bCs/>
                <w:noProof/>
                <w:szCs w:val="18"/>
              </w:rPr>
            </w:pPr>
            <w:r>
              <w:rPr>
                <w:noProof/>
              </w:rPr>
              <w:t>Nume</w:t>
            </w:r>
          </w:p>
        </w:tc>
        <w:tc>
          <w:tcPr>
            <w:tcW w:w="1184" w:type="dxa"/>
            <w:vMerge w:val="restart"/>
            <w:shd w:val="clear" w:color="auto" w:fill="B7D4EF" w:themeFill="text2" w:themeFillTint="33"/>
          </w:tcPr>
          <w:p w14:paraId="5AEFB569" w14:textId="77777777" w:rsidR="00011DE9" w:rsidRDefault="00011DE9">
            <w:pPr>
              <w:pStyle w:val="P68B1DB1-Normal18"/>
              <w:spacing w:after="0" w:line="240" w:lineRule="auto"/>
              <w:jc w:val="center"/>
              <w:rPr>
                <w:rFonts w:cs="Times New Roman"/>
                <w:bCs/>
                <w:noProof/>
                <w:szCs w:val="18"/>
              </w:rPr>
            </w:pPr>
            <w:r>
              <w:rPr>
                <w:noProof/>
              </w:rPr>
              <w:t>Indicator calitativ pentru jaloane</w:t>
            </w:r>
          </w:p>
        </w:tc>
        <w:tc>
          <w:tcPr>
            <w:tcW w:w="3346" w:type="dxa"/>
            <w:gridSpan w:val="3"/>
            <w:shd w:val="clear" w:color="auto" w:fill="B7D4EF" w:themeFill="text2" w:themeFillTint="33"/>
          </w:tcPr>
          <w:p w14:paraId="390F50EA" w14:textId="77777777" w:rsidR="00011DE9" w:rsidRDefault="00011DE9">
            <w:pPr>
              <w:pStyle w:val="P68B1DB1-Normal18"/>
              <w:spacing w:after="0" w:line="240" w:lineRule="auto"/>
              <w:jc w:val="center"/>
              <w:rPr>
                <w:rFonts w:cs="Times New Roman"/>
                <w:bCs/>
                <w:noProof/>
                <w:szCs w:val="18"/>
              </w:rPr>
            </w:pPr>
            <w:r>
              <w:rPr>
                <w:noProof/>
              </w:rPr>
              <w:t>Indicator cantitativ pentru ținte</w:t>
            </w:r>
          </w:p>
        </w:tc>
        <w:tc>
          <w:tcPr>
            <w:tcW w:w="1213" w:type="dxa"/>
            <w:gridSpan w:val="2"/>
            <w:shd w:val="clear" w:color="auto" w:fill="B7D4EF" w:themeFill="text2" w:themeFillTint="33"/>
          </w:tcPr>
          <w:p w14:paraId="1B9FFDB2" w14:textId="77777777" w:rsidR="00011DE9" w:rsidRDefault="00011DE9">
            <w:pPr>
              <w:pStyle w:val="P68B1DB1-Normal18"/>
              <w:spacing w:after="0" w:line="240" w:lineRule="auto"/>
              <w:jc w:val="center"/>
              <w:rPr>
                <w:rFonts w:cs="Times New Roman"/>
                <w:bCs/>
                <w:noProof/>
                <w:szCs w:val="18"/>
              </w:rPr>
            </w:pPr>
            <w:r>
              <w:rPr>
                <w:noProof/>
              </w:rPr>
              <w:t>Timp</w:t>
            </w:r>
          </w:p>
        </w:tc>
        <w:tc>
          <w:tcPr>
            <w:tcW w:w="4044" w:type="dxa"/>
            <w:vMerge w:val="restart"/>
            <w:shd w:val="clear" w:color="auto" w:fill="B7D4EF" w:themeFill="text2" w:themeFillTint="33"/>
            <w:vAlign w:val="center"/>
          </w:tcPr>
          <w:p w14:paraId="63D46396" w14:textId="77777777" w:rsidR="00011DE9" w:rsidRDefault="00011DE9">
            <w:pPr>
              <w:pStyle w:val="P68B1DB1-Normal18"/>
              <w:spacing w:after="0" w:line="240" w:lineRule="auto"/>
              <w:jc w:val="center"/>
              <w:rPr>
                <w:rFonts w:cs="Times New Roman"/>
                <w:noProof/>
                <w:szCs w:val="18"/>
              </w:rPr>
            </w:pPr>
            <w:r>
              <w:rPr>
                <w:noProof/>
              </w:rPr>
              <w:t>Descrierea fiecărui jalon și a fiecărei ținte</w:t>
            </w:r>
          </w:p>
        </w:tc>
      </w:tr>
      <w:tr w:rsidR="00011DE9" w14:paraId="0614F15A" w14:textId="77777777">
        <w:trPr>
          <w:trHeight w:val="309"/>
          <w:tblHeader/>
        </w:trPr>
        <w:tc>
          <w:tcPr>
            <w:tcW w:w="1097" w:type="dxa"/>
            <w:vMerge/>
            <w:shd w:val="clear" w:color="auto" w:fill="B7D4EF" w:themeFill="text2" w:themeFillTint="33"/>
          </w:tcPr>
          <w:p w14:paraId="4675918B" w14:textId="77777777" w:rsidR="00011DE9" w:rsidRDefault="00011DE9">
            <w:pPr>
              <w:spacing w:after="0" w:line="240" w:lineRule="auto"/>
              <w:jc w:val="center"/>
              <w:rPr>
                <w:rFonts w:ascii="Times New Roman" w:hAnsi="Times New Roman" w:cs="Times New Roman"/>
                <w:b/>
                <w:bCs/>
                <w:noProof/>
                <w:sz w:val="18"/>
                <w:szCs w:val="18"/>
              </w:rPr>
            </w:pPr>
          </w:p>
        </w:tc>
        <w:tc>
          <w:tcPr>
            <w:tcW w:w="886" w:type="dxa"/>
            <w:vMerge/>
            <w:shd w:val="clear" w:color="auto" w:fill="B7D4EF" w:themeFill="text2" w:themeFillTint="33"/>
          </w:tcPr>
          <w:p w14:paraId="275D60E2" w14:textId="77777777" w:rsidR="00011DE9" w:rsidRDefault="00011DE9">
            <w:pPr>
              <w:spacing w:after="0" w:line="240" w:lineRule="auto"/>
              <w:jc w:val="center"/>
              <w:rPr>
                <w:rFonts w:ascii="Times New Roman" w:hAnsi="Times New Roman" w:cs="Times New Roman"/>
                <w:b/>
                <w:bCs/>
                <w:noProof/>
                <w:sz w:val="18"/>
                <w:szCs w:val="18"/>
              </w:rPr>
            </w:pPr>
          </w:p>
        </w:tc>
        <w:tc>
          <w:tcPr>
            <w:tcW w:w="966" w:type="dxa"/>
            <w:vMerge/>
            <w:shd w:val="clear" w:color="auto" w:fill="B7D4EF" w:themeFill="text2" w:themeFillTint="33"/>
          </w:tcPr>
          <w:p w14:paraId="445A7A58" w14:textId="77777777" w:rsidR="00011DE9" w:rsidRDefault="00011DE9">
            <w:pPr>
              <w:spacing w:after="0" w:line="240" w:lineRule="auto"/>
              <w:jc w:val="center"/>
              <w:rPr>
                <w:rFonts w:ascii="Times New Roman" w:hAnsi="Times New Roman" w:cs="Times New Roman"/>
                <w:b/>
                <w:bCs/>
                <w:noProof/>
                <w:sz w:val="18"/>
                <w:szCs w:val="18"/>
              </w:rPr>
            </w:pPr>
          </w:p>
        </w:tc>
        <w:tc>
          <w:tcPr>
            <w:tcW w:w="1939" w:type="dxa"/>
            <w:vMerge/>
            <w:shd w:val="clear" w:color="auto" w:fill="B7D4EF" w:themeFill="text2" w:themeFillTint="33"/>
          </w:tcPr>
          <w:p w14:paraId="5E145D4E" w14:textId="77777777" w:rsidR="00011DE9" w:rsidRDefault="00011DE9">
            <w:pPr>
              <w:spacing w:after="0" w:line="240" w:lineRule="auto"/>
              <w:rPr>
                <w:rFonts w:ascii="Times New Roman" w:hAnsi="Times New Roman" w:cs="Times New Roman"/>
                <w:b/>
                <w:bCs/>
                <w:noProof/>
                <w:sz w:val="18"/>
                <w:szCs w:val="18"/>
              </w:rPr>
            </w:pPr>
          </w:p>
        </w:tc>
        <w:tc>
          <w:tcPr>
            <w:tcW w:w="1184" w:type="dxa"/>
            <w:vMerge/>
            <w:shd w:val="clear" w:color="auto" w:fill="B7D4EF" w:themeFill="text2" w:themeFillTint="33"/>
          </w:tcPr>
          <w:p w14:paraId="4E4C6349" w14:textId="77777777" w:rsidR="00011DE9" w:rsidRDefault="00011DE9">
            <w:pPr>
              <w:spacing w:after="0" w:line="240" w:lineRule="auto"/>
              <w:jc w:val="center"/>
              <w:rPr>
                <w:rFonts w:ascii="Times New Roman" w:hAnsi="Times New Roman" w:cs="Times New Roman"/>
                <w:b/>
                <w:bCs/>
                <w:noProof/>
                <w:sz w:val="18"/>
                <w:szCs w:val="18"/>
              </w:rPr>
            </w:pPr>
          </w:p>
        </w:tc>
        <w:tc>
          <w:tcPr>
            <w:tcW w:w="885" w:type="dxa"/>
            <w:shd w:val="clear" w:color="auto" w:fill="B7D4EF" w:themeFill="text2" w:themeFillTint="33"/>
          </w:tcPr>
          <w:p w14:paraId="6389BB36" w14:textId="77777777" w:rsidR="00011DE9" w:rsidRDefault="00011DE9">
            <w:pPr>
              <w:pStyle w:val="P68B1DB1-Normal18"/>
              <w:spacing w:after="0" w:line="240" w:lineRule="auto"/>
              <w:jc w:val="center"/>
              <w:rPr>
                <w:rFonts w:cs="Times New Roman"/>
                <w:bCs/>
                <w:noProof/>
                <w:szCs w:val="18"/>
              </w:rPr>
            </w:pPr>
            <w:r>
              <w:rPr>
                <w:noProof/>
              </w:rPr>
              <w:t>Unitate</w:t>
            </w:r>
          </w:p>
        </w:tc>
        <w:tc>
          <w:tcPr>
            <w:tcW w:w="934" w:type="dxa"/>
            <w:shd w:val="clear" w:color="auto" w:fill="B7D4EF" w:themeFill="text2" w:themeFillTint="33"/>
          </w:tcPr>
          <w:p w14:paraId="35E002B3" w14:textId="77777777" w:rsidR="00011DE9" w:rsidRDefault="00011DE9">
            <w:pPr>
              <w:pStyle w:val="P68B1DB1-Normal18"/>
              <w:spacing w:after="0" w:line="240" w:lineRule="auto"/>
              <w:jc w:val="center"/>
              <w:rPr>
                <w:rFonts w:cs="Times New Roman"/>
                <w:bCs/>
                <w:noProof/>
                <w:szCs w:val="18"/>
              </w:rPr>
            </w:pPr>
            <w:r>
              <w:rPr>
                <w:noProof/>
              </w:rPr>
              <w:t>Situația de referință</w:t>
            </w:r>
          </w:p>
        </w:tc>
        <w:tc>
          <w:tcPr>
            <w:tcW w:w="1527" w:type="dxa"/>
            <w:shd w:val="clear" w:color="auto" w:fill="B7D4EF" w:themeFill="text2" w:themeFillTint="33"/>
          </w:tcPr>
          <w:p w14:paraId="6DD45F12" w14:textId="77777777" w:rsidR="00011DE9" w:rsidRDefault="00011DE9">
            <w:pPr>
              <w:pStyle w:val="P68B1DB1-Normal18"/>
              <w:spacing w:after="0" w:line="240" w:lineRule="auto"/>
              <w:jc w:val="center"/>
              <w:rPr>
                <w:rFonts w:cs="Times New Roman"/>
                <w:bCs/>
                <w:noProof/>
                <w:szCs w:val="18"/>
              </w:rPr>
            </w:pPr>
            <w:r>
              <w:rPr>
                <w:noProof/>
              </w:rPr>
              <w:t>Obiectiv</w:t>
            </w:r>
          </w:p>
        </w:tc>
        <w:tc>
          <w:tcPr>
            <w:tcW w:w="526" w:type="dxa"/>
            <w:shd w:val="clear" w:color="auto" w:fill="B7D4EF" w:themeFill="text2" w:themeFillTint="33"/>
          </w:tcPr>
          <w:p w14:paraId="075031C6" w14:textId="22E3DED8" w:rsidR="00011DE9" w:rsidRDefault="00A636A7">
            <w:pPr>
              <w:pStyle w:val="P68B1DB1-Normal18"/>
              <w:spacing w:after="0" w:line="240" w:lineRule="auto"/>
              <w:jc w:val="center"/>
              <w:rPr>
                <w:rFonts w:cs="Times New Roman"/>
                <w:bCs/>
                <w:noProof/>
                <w:szCs w:val="18"/>
              </w:rPr>
            </w:pPr>
            <w:r>
              <w:rPr>
                <w:bCs/>
                <w:noProof/>
                <w:szCs w:val="18"/>
              </w:rPr>
              <w:t>T</w:t>
            </w:r>
          </w:p>
        </w:tc>
        <w:tc>
          <w:tcPr>
            <w:tcW w:w="687" w:type="dxa"/>
            <w:shd w:val="clear" w:color="auto" w:fill="B7D4EF" w:themeFill="text2" w:themeFillTint="33"/>
          </w:tcPr>
          <w:p w14:paraId="2A9232B3" w14:textId="77777777" w:rsidR="00011DE9" w:rsidRDefault="00011DE9">
            <w:pPr>
              <w:pStyle w:val="P68B1DB1-Normal18"/>
              <w:spacing w:after="0" w:line="240" w:lineRule="auto"/>
              <w:jc w:val="center"/>
              <w:rPr>
                <w:rFonts w:cs="Times New Roman"/>
                <w:bCs/>
                <w:noProof/>
                <w:szCs w:val="18"/>
              </w:rPr>
            </w:pPr>
            <w:r>
              <w:rPr>
                <w:noProof/>
              </w:rPr>
              <w:t>Anul</w:t>
            </w:r>
          </w:p>
        </w:tc>
        <w:tc>
          <w:tcPr>
            <w:tcW w:w="4044" w:type="dxa"/>
            <w:vMerge/>
            <w:shd w:val="clear" w:color="auto" w:fill="B7D4EF" w:themeFill="text2" w:themeFillTint="33"/>
          </w:tcPr>
          <w:p w14:paraId="45AFD897" w14:textId="77777777" w:rsidR="00011DE9" w:rsidRDefault="00011DE9">
            <w:pPr>
              <w:spacing w:after="0" w:line="240" w:lineRule="auto"/>
              <w:rPr>
                <w:rFonts w:ascii="Times New Roman" w:hAnsi="Times New Roman" w:cs="Times New Roman"/>
                <w:b/>
                <w:bCs/>
                <w:noProof/>
                <w:sz w:val="18"/>
                <w:szCs w:val="18"/>
              </w:rPr>
            </w:pPr>
          </w:p>
        </w:tc>
      </w:tr>
      <w:tr w:rsidR="00011DE9" w14:paraId="4DE9DA4C" w14:textId="77777777">
        <w:trPr>
          <w:trHeight w:val="309"/>
        </w:trPr>
        <w:tc>
          <w:tcPr>
            <w:tcW w:w="1097" w:type="dxa"/>
            <w:shd w:val="clear" w:color="auto" w:fill="C6EFCE"/>
          </w:tcPr>
          <w:p w14:paraId="6C7BAAA9" w14:textId="77777777" w:rsidR="00011DE9" w:rsidRDefault="00011DE9">
            <w:pPr>
              <w:pStyle w:val="P68B1DB1-Normal19"/>
              <w:spacing w:after="0" w:line="240" w:lineRule="auto"/>
              <w:jc w:val="center"/>
              <w:rPr>
                <w:noProof/>
              </w:rPr>
            </w:pPr>
            <w:r>
              <w:rPr>
                <w:noProof/>
              </w:rPr>
              <w:t>L67</w:t>
            </w:r>
          </w:p>
        </w:tc>
        <w:tc>
          <w:tcPr>
            <w:tcW w:w="886" w:type="dxa"/>
            <w:shd w:val="clear" w:color="auto" w:fill="C6EFCE"/>
          </w:tcPr>
          <w:p w14:paraId="5F4F1299" w14:textId="77777777" w:rsidR="00011DE9" w:rsidRDefault="00011DE9">
            <w:pPr>
              <w:pStyle w:val="P68B1DB1-Normal19"/>
              <w:spacing w:after="0" w:line="240" w:lineRule="auto"/>
              <w:jc w:val="center"/>
              <w:rPr>
                <w:noProof/>
              </w:rPr>
            </w:pPr>
            <w:r>
              <w:rPr>
                <w:noProof/>
              </w:rPr>
              <w:t>C17.I10</w:t>
            </w:r>
          </w:p>
        </w:tc>
        <w:tc>
          <w:tcPr>
            <w:tcW w:w="966" w:type="dxa"/>
            <w:shd w:val="clear" w:color="auto" w:fill="C6EFCE"/>
          </w:tcPr>
          <w:p w14:paraId="77896580" w14:textId="77777777" w:rsidR="00011DE9" w:rsidRDefault="00011DE9">
            <w:pPr>
              <w:pStyle w:val="P68B1DB1-Normal19"/>
              <w:spacing w:after="0" w:line="240" w:lineRule="auto"/>
              <w:jc w:val="center"/>
              <w:rPr>
                <w:noProof/>
              </w:rPr>
            </w:pPr>
            <w:r>
              <w:rPr>
                <w:noProof/>
              </w:rPr>
              <w:t>T</w:t>
            </w:r>
          </w:p>
        </w:tc>
        <w:tc>
          <w:tcPr>
            <w:tcW w:w="1939" w:type="dxa"/>
            <w:shd w:val="clear" w:color="auto" w:fill="C6EFCE"/>
          </w:tcPr>
          <w:p w14:paraId="6D07CB3F" w14:textId="77777777" w:rsidR="00011DE9" w:rsidRDefault="00011DE9">
            <w:pPr>
              <w:pStyle w:val="P68B1DB1-Normal19"/>
              <w:spacing w:after="0" w:line="240" w:lineRule="auto"/>
              <w:rPr>
                <w:noProof/>
              </w:rPr>
            </w:pPr>
            <w:r>
              <w:rPr>
                <w:noProof/>
              </w:rPr>
              <w:t>Investiții în sprijinirea participării la capital în sectorul sănătății</w:t>
            </w:r>
          </w:p>
        </w:tc>
        <w:tc>
          <w:tcPr>
            <w:tcW w:w="1184" w:type="dxa"/>
            <w:shd w:val="clear" w:color="auto" w:fill="C6EFCE"/>
          </w:tcPr>
          <w:p w14:paraId="5F0D1184" w14:textId="77777777" w:rsidR="00011DE9" w:rsidRDefault="00011DE9">
            <w:pPr>
              <w:spacing w:after="0" w:line="240" w:lineRule="auto"/>
              <w:jc w:val="center"/>
              <w:rPr>
                <w:rFonts w:ascii="Times New Roman" w:hAnsi="Times New Roman" w:cs="Times New Roman"/>
                <w:noProof/>
                <w:sz w:val="18"/>
                <w:szCs w:val="18"/>
              </w:rPr>
            </w:pPr>
          </w:p>
        </w:tc>
        <w:tc>
          <w:tcPr>
            <w:tcW w:w="885" w:type="dxa"/>
            <w:shd w:val="clear" w:color="auto" w:fill="C6EFCE"/>
          </w:tcPr>
          <w:p w14:paraId="1365E8DF" w14:textId="77777777" w:rsidR="00011DE9" w:rsidRDefault="00011DE9">
            <w:pPr>
              <w:pStyle w:val="P68B1DB1-Normal19"/>
              <w:spacing w:after="0" w:line="240" w:lineRule="auto"/>
              <w:jc w:val="center"/>
              <w:rPr>
                <w:noProof/>
              </w:rPr>
            </w:pPr>
            <w:r>
              <w:rPr>
                <w:noProof/>
              </w:rPr>
              <w:t>EUR (milioane)</w:t>
            </w:r>
          </w:p>
          <w:p w14:paraId="47A3666A" w14:textId="77777777" w:rsidR="00011DE9" w:rsidRDefault="00011DE9">
            <w:pPr>
              <w:spacing w:after="0" w:line="240" w:lineRule="auto"/>
              <w:jc w:val="center"/>
              <w:rPr>
                <w:rFonts w:ascii="Times New Roman" w:hAnsi="Times New Roman" w:cs="Times New Roman"/>
                <w:noProof/>
                <w:sz w:val="18"/>
                <w:szCs w:val="18"/>
              </w:rPr>
            </w:pPr>
          </w:p>
        </w:tc>
        <w:tc>
          <w:tcPr>
            <w:tcW w:w="934" w:type="dxa"/>
            <w:shd w:val="clear" w:color="auto" w:fill="C6EFCE"/>
          </w:tcPr>
          <w:p w14:paraId="629CBB36" w14:textId="77777777" w:rsidR="00011DE9" w:rsidRDefault="00011DE9">
            <w:pPr>
              <w:pStyle w:val="P68B1DB1-Normal19"/>
              <w:spacing w:after="0" w:line="240" w:lineRule="auto"/>
              <w:jc w:val="right"/>
              <w:rPr>
                <w:noProof/>
              </w:rPr>
            </w:pPr>
            <w:r>
              <w:rPr>
                <w:noProof/>
              </w:rPr>
              <w:t>0</w:t>
            </w:r>
          </w:p>
        </w:tc>
        <w:tc>
          <w:tcPr>
            <w:tcW w:w="1527" w:type="dxa"/>
            <w:shd w:val="clear" w:color="auto" w:fill="C6EFCE"/>
          </w:tcPr>
          <w:p w14:paraId="31C6E421" w14:textId="77777777" w:rsidR="00011DE9" w:rsidRDefault="00011DE9">
            <w:pPr>
              <w:pStyle w:val="P68B1DB1-Normal19"/>
              <w:spacing w:after="0" w:line="240" w:lineRule="auto"/>
              <w:jc w:val="right"/>
              <w:rPr>
                <w:rFonts w:eastAsia="Times New Roman"/>
                <w:noProof/>
              </w:rPr>
            </w:pPr>
            <w:r>
              <w:rPr>
                <w:noProof/>
              </w:rPr>
              <w:t>30</w:t>
            </w:r>
          </w:p>
        </w:tc>
        <w:tc>
          <w:tcPr>
            <w:tcW w:w="526" w:type="dxa"/>
            <w:shd w:val="clear" w:color="auto" w:fill="C6EFCE"/>
          </w:tcPr>
          <w:p w14:paraId="362A93D7" w14:textId="6EABB5E5" w:rsidR="00011DE9" w:rsidRDefault="005701C9">
            <w:pPr>
              <w:pStyle w:val="P68B1DB1-Normal19"/>
              <w:spacing w:after="0" w:line="240" w:lineRule="auto"/>
              <w:jc w:val="center"/>
              <w:rPr>
                <w:noProof/>
              </w:rPr>
            </w:pPr>
            <w:r>
              <w:rPr>
                <w:noProof/>
              </w:rPr>
              <w:t>T4</w:t>
            </w:r>
            <w:r w:rsidR="00011DE9">
              <w:rPr>
                <w:noProof/>
              </w:rPr>
              <w:t xml:space="preserve"> </w:t>
            </w:r>
          </w:p>
        </w:tc>
        <w:tc>
          <w:tcPr>
            <w:tcW w:w="687" w:type="dxa"/>
            <w:shd w:val="clear" w:color="auto" w:fill="C6EFCE"/>
          </w:tcPr>
          <w:p w14:paraId="1A766E62" w14:textId="77777777" w:rsidR="00011DE9" w:rsidRDefault="00011DE9">
            <w:pPr>
              <w:pStyle w:val="P68B1DB1-Normal19"/>
              <w:spacing w:after="0" w:line="240" w:lineRule="auto"/>
              <w:jc w:val="center"/>
              <w:rPr>
                <w:noProof/>
              </w:rPr>
            </w:pPr>
            <w:r>
              <w:rPr>
                <w:noProof/>
              </w:rPr>
              <w:t>2025</w:t>
            </w:r>
          </w:p>
        </w:tc>
        <w:tc>
          <w:tcPr>
            <w:tcW w:w="4044" w:type="dxa"/>
            <w:shd w:val="clear" w:color="auto" w:fill="C6EFCE"/>
          </w:tcPr>
          <w:p w14:paraId="4C755FD2" w14:textId="77777777" w:rsidR="00011DE9" w:rsidRDefault="00011DE9">
            <w:pPr>
              <w:pStyle w:val="P68B1DB1-Normal19"/>
              <w:spacing w:after="0" w:line="240" w:lineRule="auto"/>
              <w:rPr>
                <w:rFonts w:eastAsia="Times New Roman"/>
                <w:noProof/>
              </w:rPr>
            </w:pPr>
            <w:r>
              <w:rPr>
                <w:noProof/>
              </w:rPr>
              <w:t>Plata sumei de 30 000 000 EUR de către Innvierte în întreprinderi inovatoare și tehnologice din sectorul sănătății sub formă de capital propriu sau cvasicapital. Evaluarea proiectelor în cadrul acestei investiții asigură conformitatea cu Orientările tehnice de „a nu prejudicia în mod semnificativ” (2021/C58/01), astfel cum se prevede în descrierea măsurii.</w:t>
            </w:r>
          </w:p>
        </w:tc>
      </w:tr>
      <w:tr w:rsidR="00011DE9" w14:paraId="2B87CD35" w14:textId="77777777">
        <w:trPr>
          <w:trHeight w:val="309"/>
        </w:trPr>
        <w:tc>
          <w:tcPr>
            <w:tcW w:w="1097" w:type="dxa"/>
            <w:shd w:val="clear" w:color="auto" w:fill="C6EFCE"/>
          </w:tcPr>
          <w:p w14:paraId="1F687BBD" w14:textId="77777777" w:rsidR="00011DE9" w:rsidRDefault="00011DE9">
            <w:pPr>
              <w:pStyle w:val="P68B1DB1-Normal19"/>
              <w:spacing w:after="0" w:line="240" w:lineRule="auto"/>
              <w:jc w:val="center"/>
              <w:rPr>
                <w:noProof/>
              </w:rPr>
            </w:pPr>
            <w:r>
              <w:rPr>
                <w:noProof/>
              </w:rPr>
              <w:t>L69</w:t>
            </w:r>
          </w:p>
        </w:tc>
        <w:tc>
          <w:tcPr>
            <w:tcW w:w="886" w:type="dxa"/>
            <w:shd w:val="clear" w:color="auto" w:fill="C6EFCE"/>
          </w:tcPr>
          <w:p w14:paraId="065FCB3E" w14:textId="77777777" w:rsidR="00011DE9" w:rsidRDefault="00011DE9">
            <w:pPr>
              <w:pStyle w:val="P68B1DB1-Normal19"/>
              <w:spacing w:after="0" w:line="240" w:lineRule="auto"/>
              <w:jc w:val="center"/>
              <w:rPr>
                <w:noProof/>
              </w:rPr>
            </w:pPr>
            <w:r>
              <w:rPr>
                <w:noProof/>
              </w:rPr>
              <w:t>C17.I10</w:t>
            </w:r>
          </w:p>
        </w:tc>
        <w:tc>
          <w:tcPr>
            <w:tcW w:w="966" w:type="dxa"/>
            <w:shd w:val="clear" w:color="auto" w:fill="C6EFCE"/>
          </w:tcPr>
          <w:p w14:paraId="2404CB3D" w14:textId="77777777" w:rsidR="00011DE9" w:rsidRDefault="00011DE9">
            <w:pPr>
              <w:pStyle w:val="P68B1DB1-Normal19"/>
              <w:spacing w:after="0" w:line="240" w:lineRule="auto"/>
              <w:jc w:val="center"/>
              <w:rPr>
                <w:noProof/>
              </w:rPr>
            </w:pPr>
            <w:r>
              <w:rPr>
                <w:noProof/>
              </w:rPr>
              <w:t>T</w:t>
            </w:r>
          </w:p>
        </w:tc>
        <w:tc>
          <w:tcPr>
            <w:tcW w:w="1939" w:type="dxa"/>
            <w:shd w:val="clear" w:color="auto" w:fill="C6EFCE"/>
          </w:tcPr>
          <w:p w14:paraId="66F5A219" w14:textId="77777777" w:rsidR="00011DE9" w:rsidRDefault="00011DE9">
            <w:pPr>
              <w:pStyle w:val="P68B1DB1-Normal19"/>
              <w:spacing w:after="0" w:line="240" w:lineRule="auto"/>
              <w:rPr>
                <w:noProof/>
              </w:rPr>
            </w:pPr>
            <w:r>
              <w:rPr>
                <w:noProof/>
              </w:rPr>
              <w:t>Plata fondurilor sub formă de împrumuturi pentru sprijinirea sectorului sănătății sau a sectorului aerospațial</w:t>
            </w:r>
          </w:p>
        </w:tc>
        <w:tc>
          <w:tcPr>
            <w:tcW w:w="1184" w:type="dxa"/>
            <w:shd w:val="clear" w:color="auto" w:fill="C6EFCE"/>
          </w:tcPr>
          <w:p w14:paraId="78588919" w14:textId="77777777" w:rsidR="00011DE9" w:rsidRDefault="00011DE9">
            <w:pPr>
              <w:spacing w:after="0" w:line="240" w:lineRule="auto"/>
              <w:jc w:val="center"/>
              <w:rPr>
                <w:rFonts w:ascii="Times New Roman" w:hAnsi="Times New Roman" w:cs="Times New Roman"/>
                <w:noProof/>
                <w:sz w:val="18"/>
                <w:szCs w:val="18"/>
              </w:rPr>
            </w:pPr>
          </w:p>
        </w:tc>
        <w:tc>
          <w:tcPr>
            <w:tcW w:w="885" w:type="dxa"/>
            <w:shd w:val="clear" w:color="auto" w:fill="C6EFCE"/>
          </w:tcPr>
          <w:p w14:paraId="7790731F" w14:textId="77777777" w:rsidR="00011DE9" w:rsidRDefault="00011DE9">
            <w:pPr>
              <w:pStyle w:val="P68B1DB1-Normal19"/>
              <w:spacing w:after="0" w:line="240" w:lineRule="auto"/>
              <w:jc w:val="center"/>
              <w:rPr>
                <w:noProof/>
              </w:rPr>
            </w:pPr>
            <w:r>
              <w:rPr>
                <w:noProof/>
              </w:rPr>
              <w:t>EUR (milioane)</w:t>
            </w:r>
          </w:p>
        </w:tc>
        <w:tc>
          <w:tcPr>
            <w:tcW w:w="934" w:type="dxa"/>
            <w:shd w:val="clear" w:color="auto" w:fill="C6EFCE"/>
          </w:tcPr>
          <w:p w14:paraId="7B9D73F4" w14:textId="77777777" w:rsidR="00011DE9" w:rsidRDefault="00011DE9">
            <w:pPr>
              <w:pStyle w:val="P68B1DB1-Normal19"/>
              <w:spacing w:after="0" w:line="240" w:lineRule="auto"/>
              <w:jc w:val="right"/>
              <w:rPr>
                <w:noProof/>
              </w:rPr>
            </w:pPr>
            <w:r>
              <w:rPr>
                <w:noProof/>
              </w:rPr>
              <w:t>0</w:t>
            </w:r>
          </w:p>
        </w:tc>
        <w:tc>
          <w:tcPr>
            <w:tcW w:w="1527" w:type="dxa"/>
            <w:shd w:val="clear" w:color="auto" w:fill="C6EFCE"/>
          </w:tcPr>
          <w:p w14:paraId="6276560B" w14:textId="77777777" w:rsidR="00011DE9" w:rsidRDefault="00011DE9">
            <w:pPr>
              <w:pStyle w:val="P68B1DB1-Normal19"/>
              <w:spacing w:after="0" w:line="240" w:lineRule="auto"/>
              <w:jc w:val="right"/>
              <w:rPr>
                <w:noProof/>
              </w:rPr>
            </w:pPr>
            <w:r>
              <w:rPr>
                <w:noProof/>
              </w:rPr>
              <w:t>38.1</w:t>
            </w:r>
          </w:p>
        </w:tc>
        <w:tc>
          <w:tcPr>
            <w:tcW w:w="526" w:type="dxa"/>
            <w:shd w:val="clear" w:color="auto" w:fill="C6EFCE"/>
          </w:tcPr>
          <w:p w14:paraId="70CFCE51" w14:textId="1DABF480" w:rsidR="00011DE9" w:rsidRDefault="005701C9">
            <w:pPr>
              <w:pStyle w:val="P68B1DB1-Normal19"/>
              <w:spacing w:after="0" w:line="240" w:lineRule="auto"/>
              <w:jc w:val="center"/>
              <w:rPr>
                <w:noProof/>
              </w:rPr>
            </w:pPr>
            <w:r>
              <w:rPr>
                <w:noProof/>
              </w:rPr>
              <w:t>T2</w:t>
            </w:r>
          </w:p>
        </w:tc>
        <w:tc>
          <w:tcPr>
            <w:tcW w:w="687" w:type="dxa"/>
            <w:shd w:val="clear" w:color="auto" w:fill="C6EFCE"/>
          </w:tcPr>
          <w:p w14:paraId="6F2AEFF6" w14:textId="77777777" w:rsidR="00011DE9" w:rsidRDefault="00011DE9">
            <w:pPr>
              <w:pStyle w:val="P68B1DB1-Normal19"/>
              <w:spacing w:after="0" w:line="240" w:lineRule="auto"/>
              <w:jc w:val="center"/>
              <w:rPr>
                <w:noProof/>
              </w:rPr>
            </w:pPr>
            <w:r>
              <w:rPr>
                <w:noProof/>
              </w:rPr>
              <w:t>2026</w:t>
            </w:r>
          </w:p>
        </w:tc>
        <w:tc>
          <w:tcPr>
            <w:tcW w:w="4044" w:type="dxa"/>
            <w:shd w:val="clear" w:color="auto" w:fill="C6EFCE"/>
          </w:tcPr>
          <w:p w14:paraId="5D4497FE" w14:textId="77777777" w:rsidR="00011DE9" w:rsidRDefault="00011DE9">
            <w:pPr>
              <w:pStyle w:val="P68B1DB1-Normal19"/>
              <w:spacing w:after="0" w:line="240" w:lineRule="auto"/>
              <w:rPr>
                <w:noProof/>
              </w:rPr>
            </w:pPr>
            <w:r>
              <w:rPr>
                <w:noProof/>
              </w:rPr>
              <w:t>Plata de către CDTI a sumei de 38 100 000 EUR sub formă de împrumuturi acordate întreprinderilor pentru investiții în sectorul sănătății sau în cel aerospațial.</w:t>
            </w:r>
          </w:p>
        </w:tc>
      </w:tr>
    </w:tbl>
    <w:p w14:paraId="13D82D3E" w14:textId="77777777" w:rsidR="00011DE9" w:rsidRDefault="00011DE9">
      <w:pPr>
        <w:rPr>
          <w:rFonts w:ascii="Times New Roman" w:hAnsi="Times New Roman" w:cs="Times New Roman"/>
          <w:noProof/>
        </w:rPr>
        <w:sectPr w:rsidR="00011DE9" w:rsidSect="00011DE9">
          <w:headerReference w:type="even" r:id="rId248"/>
          <w:headerReference w:type="default" r:id="rId249"/>
          <w:footerReference w:type="even" r:id="rId250"/>
          <w:footerReference w:type="default" r:id="rId251"/>
          <w:headerReference w:type="first" r:id="rId252"/>
          <w:footerReference w:type="first" r:id="rId253"/>
          <w:pgSz w:w="16839" w:h="11907" w:orient="landscape"/>
          <w:pgMar w:top="1134" w:right="1134" w:bottom="1134" w:left="1134" w:header="567" w:footer="567" w:gutter="0"/>
          <w:cols w:space="720"/>
          <w:docGrid w:linePitch="360"/>
        </w:sectPr>
      </w:pPr>
    </w:p>
    <w:p w14:paraId="674C65D5" w14:textId="77777777" w:rsidR="00011DE9" w:rsidRDefault="00011DE9">
      <w:pPr>
        <w:pStyle w:val="Heading1"/>
        <w:rPr>
          <w:rFonts w:cs="Times New Roman"/>
          <w:noProof/>
        </w:rPr>
      </w:pPr>
      <w:r>
        <w:rPr>
          <w:noProof/>
        </w:rPr>
        <w:t>R. COMPONENTA 18: Recondiționarea și extinderea capacităților sistemului național de sănătate</w:t>
      </w:r>
    </w:p>
    <w:p w14:paraId="78EB9310" w14:textId="77777777" w:rsidR="00011DE9" w:rsidRDefault="00011DE9">
      <w:pPr>
        <w:pStyle w:val="P68B1DB1-Normal16"/>
        <w:spacing w:before="120" w:after="120" w:line="240" w:lineRule="auto"/>
        <w:jc w:val="both"/>
        <w:rPr>
          <w:rFonts w:cs="Times New Roman"/>
          <w:noProof/>
        </w:rPr>
      </w:pPr>
      <w:r>
        <w:rPr>
          <w:noProof/>
        </w:rPr>
        <w:t>Criza sanitară a demonstrat soliditatea sistemului național de sănătate din Spania, dar a scos la iveală, de asemenea, dificultățile cu care se confruntă în abordarea situațiilor care necesită anticipare, reacție rapidă și coordonare, precum și necesitatea de a corecta problemele structurale existente legate de tendințele demografice, sociale, tehnologice sau economice. Această componentă a planului spaniol de redresare și reziliență abordează următoarele provocări: I) vulnerabilitatea la criza sanitară mondială, ii) transformarea sistemului de sănătate din cauza îmbătrânirii populației, iii) egalitatea de gen și iv) sustenabilitatea și reziliența pe termen lung a sistemului.</w:t>
      </w:r>
    </w:p>
    <w:p w14:paraId="0075C23B" w14:textId="77777777" w:rsidR="00011DE9" w:rsidRDefault="00011DE9">
      <w:pPr>
        <w:pStyle w:val="P68B1DB1-Normal16"/>
        <w:spacing w:before="120" w:after="120" w:line="240" w:lineRule="auto"/>
        <w:jc w:val="both"/>
        <w:rPr>
          <w:rFonts w:cs="Times New Roman"/>
          <w:noProof/>
        </w:rPr>
      </w:pPr>
      <w:r>
        <w:rPr>
          <w:noProof/>
        </w:rPr>
        <w:t xml:space="preserve">Obiectivele acestei componente sunt: </w:t>
      </w:r>
    </w:p>
    <w:p w14:paraId="40A8F6D3" w14:textId="77777777" w:rsidR="00011DE9" w:rsidRDefault="00011DE9">
      <w:pPr>
        <w:pStyle w:val="P68B1DB1-Normal16"/>
        <w:numPr>
          <w:ilvl w:val="0"/>
          <w:numId w:val="143"/>
        </w:numPr>
        <w:spacing w:before="120" w:after="120" w:line="240" w:lineRule="auto"/>
        <w:ind w:left="993" w:hanging="284"/>
        <w:jc w:val="both"/>
        <w:rPr>
          <w:rFonts w:cs="Times New Roman"/>
          <w:noProof/>
        </w:rPr>
      </w:pPr>
      <w:r>
        <w:rPr>
          <w:noProof/>
        </w:rPr>
        <w:t>Pregătirea sistemului de sănătate pentru a preveni și a aborda potențialele amenințări globale la adresa sănătății, cum ar fi actuala pandemie de COVID-19, prin creșterea capacităților în materie de sănătate publică și a sistemelor de supraveghere epidemiologică.</w:t>
      </w:r>
    </w:p>
    <w:p w14:paraId="2D11C8A2" w14:textId="77777777" w:rsidR="00011DE9" w:rsidRDefault="00011DE9">
      <w:pPr>
        <w:pStyle w:val="P68B1DB1-Normal16"/>
        <w:numPr>
          <w:ilvl w:val="0"/>
          <w:numId w:val="143"/>
        </w:numPr>
        <w:spacing w:before="120" w:after="120" w:line="240" w:lineRule="auto"/>
        <w:ind w:left="993" w:hanging="284"/>
        <w:jc w:val="both"/>
        <w:rPr>
          <w:rFonts w:cs="Times New Roman"/>
          <w:noProof/>
        </w:rPr>
      </w:pPr>
      <w:r>
        <w:rPr>
          <w:noProof/>
        </w:rPr>
        <w:t>Furnizarea unui serviciu de sănătate cu cea mai mare viteză, calitate și securitate, indiferent de resursele pacienților, de locul lor de reședință, de sex, de origine sau de vârstă.</w:t>
      </w:r>
    </w:p>
    <w:p w14:paraId="1E4AB4D6" w14:textId="77777777" w:rsidR="00011DE9" w:rsidRDefault="00011DE9">
      <w:pPr>
        <w:pStyle w:val="P68B1DB1-Normal16"/>
        <w:numPr>
          <w:ilvl w:val="0"/>
          <w:numId w:val="143"/>
        </w:numPr>
        <w:spacing w:before="120" w:after="120" w:line="240" w:lineRule="auto"/>
        <w:ind w:left="993" w:hanging="284"/>
        <w:jc w:val="both"/>
        <w:rPr>
          <w:rFonts w:cs="Times New Roman"/>
          <w:noProof/>
        </w:rPr>
      </w:pPr>
      <w:r>
        <w:rPr>
          <w:noProof/>
        </w:rPr>
        <w:t xml:space="preserve">Menținerea oamenilor în centrul sistemului de sănătate, îmbunătățirea participării acestora și reproiectarea asistenței medicale în funcție de nevoile oamenilor și ale comunităților. </w:t>
      </w:r>
    </w:p>
    <w:p w14:paraId="3308423F" w14:textId="77777777" w:rsidR="00011DE9" w:rsidRDefault="00011DE9">
      <w:pPr>
        <w:pStyle w:val="P68B1DB1-Normal16"/>
        <w:numPr>
          <w:ilvl w:val="0"/>
          <w:numId w:val="143"/>
        </w:numPr>
        <w:spacing w:before="120" w:after="120" w:line="240" w:lineRule="auto"/>
        <w:ind w:left="993" w:hanging="284"/>
        <w:jc w:val="both"/>
        <w:rPr>
          <w:rFonts w:cs="Times New Roman"/>
          <w:noProof/>
        </w:rPr>
      </w:pPr>
      <w:r>
        <w:rPr>
          <w:noProof/>
        </w:rPr>
        <w:t>Asigurarea unor sisteme de informații care să măsoare nu numai activitatea, ci și rezultatele finale în materie de sănătate.</w:t>
      </w:r>
    </w:p>
    <w:p w14:paraId="5EE22FD2" w14:textId="77777777" w:rsidR="00011DE9" w:rsidRDefault="00011DE9">
      <w:pPr>
        <w:pStyle w:val="P68B1DB1-Normal16"/>
        <w:numPr>
          <w:ilvl w:val="0"/>
          <w:numId w:val="143"/>
        </w:numPr>
        <w:spacing w:before="120" w:after="120" w:line="240" w:lineRule="auto"/>
        <w:ind w:left="993" w:hanging="284"/>
        <w:jc w:val="both"/>
        <w:rPr>
          <w:rFonts w:cs="Times New Roman"/>
          <w:noProof/>
        </w:rPr>
      </w:pPr>
      <w:r>
        <w:rPr>
          <w:noProof/>
        </w:rPr>
        <w:t>Promovarea activă a sănătății și a bunăstării și prevenirea bolilor și a dependenței pe tot parcursul vieții.</w:t>
      </w:r>
    </w:p>
    <w:p w14:paraId="26516953" w14:textId="77777777" w:rsidR="00011DE9" w:rsidRDefault="00011DE9">
      <w:pPr>
        <w:pStyle w:val="P68B1DB1-Normal16"/>
        <w:numPr>
          <w:ilvl w:val="0"/>
          <w:numId w:val="143"/>
        </w:numPr>
        <w:spacing w:before="120" w:after="120" w:line="240" w:lineRule="auto"/>
        <w:ind w:left="993" w:hanging="284"/>
        <w:jc w:val="both"/>
        <w:rPr>
          <w:rFonts w:cs="Times New Roman"/>
          <w:noProof/>
        </w:rPr>
      </w:pPr>
      <w:r>
        <w:rPr>
          <w:noProof/>
        </w:rPr>
        <w:t>Atragerea și păstrarea celor mai buni profesioniști care le oferă oportunități de dezvoltare individuală și colectivă.</w:t>
      </w:r>
    </w:p>
    <w:p w14:paraId="1C426D6C" w14:textId="77777777" w:rsidR="00011DE9" w:rsidRDefault="00011DE9">
      <w:pPr>
        <w:pStyle w:val="P68B1DB1-Normal16"/>
        <w:numPr>
          <w:ilvl w:val="0"/>
          <w:numId w:val="143"/>
        </w:numPr>
        <w:spacing w:before="120" w:after="120" w:line="240" w:lineRule="auto"/>
        <w:ind w:left="993" w:hanging="284"/>
        <w:jc w:val="both"/>
        <w:rPr>
          <w:rFonts w:cs="Times New Roman"/>
          <w:noProof/>
        </w:rPr>
      </w:pPr>
      <w:r>
        <w:rPr>
          <w:noProof/>
        </w:rPr>
        <w:t>Trecerea la un sistem național de sănătate digitalizat, care să genereze informații și cunoștințe și care să consolideze cercetarea și inovarea în domeniul sănătății, ca motor al creării de locuri de muncă, al creșterii economice, al productivității și al inovării.</w:t>
      </w:r>
    </w:p>
    <w:p w14:paraId="3B6C7AA9" w14:textId="77777777" w:rsidR="00011DE9" w:rsidRDefault="00011DE9">
      <w:pPr>
        <w:pStyle w:val="P68B1DB1-Normal16"/>
        <w:numPr>
          <w:ilvl w:val="0"/>
          <w:numId w:val="143"/>
        </w:numPr>
        <w:spacing w:before="120" w:after="120" w:line="240" w:lineRule="auto"/>
        <w:ind w:left="993" w:hanging="284"/>
        <w:jc w:val="both"/>
        <w:rPr>
          <w:rFonts w:cs="Times New Roman"/>
          <w:noProof/>
        </w:rPr>
      </w:pPr>
      <w:r>
        <w:rPr>
          <w:noProof/>
        </w:rPr>
        <w:t>Asigurarea unei finanțări suficiente și durabile pentru a aborda noile provocări în materie de sănătate ale unei societăți moderne și dezvoltate și, de asemenea, asigurarea eficienței cheltuielilor.</w:t>
      </w:r>
    </w:p>
    <w:p w14:paraId="4BAA8899" w14:textId="77777777" w:rsidR="00011DE9" w:rsidRDefault="00011DE9">
      <w:pPr>
        <w:pStyle w:val="P68B1DB1-Normal16"/>
        <w:numPr>
          <w:ilvl w:val="0"/>
          <w:numId w:val="143"/>
        </w:numPr>
        <w:spacing w:before="120" w:after="120" w:line="240" w:lineRule="auto"/>
        <w:ind w:left="993" w:hanging="284"/>
        <w:jc w:val="both"/>
        <w:rPr>
          <w:rFonts w:cs="Times New Roman"/>
          <w:noProof/>
        </w:rPr>
      </w:pPr>
      <w:r>
        <w:rPr>
          <w:noProof/>
        </w:rPr>
        <w:t>Consolidarea și dezvoltarea coordonării și a guvernanței pe mai multe niveluri în gestionarea sistemului național de sănătate și consolidarea coeziunii teritoriale. Promovarea activă a strategiilor de realizare a egalității de gen în sistemul de sănătate.</w:t>
      </w:r>
    </w:p>
    <w:p w14:paraId="6847424D" w14:textId="77777777" w:rsidR="00011DE9" w:rsidRDefault="00011DE9">
      <w:pPr>
        <w:pStyle w:val="P68B1DB1-Normal16"/>
        <w:spacing w:before="120" w:after="120" w:line="240" w:lineRule="auto"/>
        <w:jc w:val="both"/>
        <w:rPr>
          <w:rFonts w:cs="Times New Roman"/>
          <w:noProof/>
        </w:rPr>
      </w:pPr>
      <w:r>
        <w:rPr>
          <w:noProof/>
        </w:rPr>
        <w:t>Această componentă a planului spaniol de redresare și reziliență trebuie să sprijine punerea în aplicare a recomandărilor specifice fiecărei țări privind combaterea eficace a pandemiei și consolidarea capacității și a rezilienței sistemului de sănătate în ceea ce privește lucrătorii din domeniul sănătății și produsele și infrastructura medicală esențială (Recomandarea specifică fiecărei țări 1 2020) și sprijinirea ocupării forței de muncă prin măsuri de menținere a locurilor de muncă, stimulente eficace pentru angajare și dezvoltarea competențelor (Recomandarea specifică fiecărei țări 2 2020).</w:t>
      </w:r>
    </w:p>
    <w:p w14:paraId="10C77352" w14:textId="77777777" w:rsidR="00011DE9" w:rsidRDefault="00011DE9">
      <w:pPr>
        <w:pStyle w:val="P68B1DB1-Normal16"/>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4E9FC11E" w14:textId="43A62F33" w:rsidR="00011DE9" w:rsidRDefault="00011DE9">
      <w:pPr>
        <w:keepNext/>
        <w:spacing w:before="120" w:after="120" w:line="240" w:lineRule="auto"/>
        <w:jc w:val="both"/>
        <w:rPr>
          <w:rFonts w:ascii="Times New Roman" w:hAnsi="Times New Roman" w:cs="Times New Roman"/>
          <w:b/>
          <w:i/>
          <w:noProof/>
        </w:rPr>
      </w:pPr>
      <w:r>
        <w:rPr>
          <w:rFonts w:ascii="Times New Roman" w:hAnsi="Times New Roman"/>
          <w:b/>
          <w:noProof/>
          <w:u w:val="single"/>
        </w:rPr>
        <w:t>R.1.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61C07BCE" w14:textId="77777777" w:rsidR="00011DE9" w:rsidRPr="00A636A7" w:rsidRDefault="00011DE9">
      <w:pPr>
        <w:pStyle w:val="P68B1DB1-Normal17"/>
        <w:keepNext/>
        <w:spacing w:before="120" w:after="120" w:line="240" w:lineRule="auto"/>
        <w:jc w:val="both"/>
        <w:rPr>
          <w:b w:val="0"/>
          <w:bCs/>
          <w:noProof/>
          <w:sz w:val="24"/>
          <w:u w:val="single"/>
        </w:rPr>
      </w:pPr>
      <w:r w:rsidRPr="00A636A7">
        <w:rPr>
          <w:b w:val="0"/>
          <w:bCs/>
          <w:noProof/>
          <w:sz w:val="24"/>
          <w:u w:val="single"/>
        </w:rPr>
        <w:t>Reforma 1 (C18.R1) – Consolidarea asistenței medicale primare și comunitare</w:t>
      </w:r>
    </w:p>
    <w:p w14:paraId="305A7ADC" w14:textId="77777777" w:rsidR="00011DE9" w:rsidRDefault="00011DE9">
      <w:pPr>
        <w:pStyle w:val="P68B1DB1-Normal16"/>
        <w:keepNext/>
        <w:spacing w:before="120" w:after="120" w:line="240" w:lineRule="auto"/>
        <w:jc w:val="both"/>
        <w:rPr>
          <w:rFonts w:cs="Times New Roman"/>
          <w:noProof/>
        </w:rPr>
      </w:pPr>
      <w:r>
        <w:rPr>
          <w:noProof/>
        </w:rPr>
        <w:t>Consolidarea asistenței medicale primare este una dintre cele mai importante provocări în materie de sănătate cu care se va confrunta Spania în următorii ani. Obiectivele acestei reforme sunt de a oferi răspunsuri mai bune la problemele de sănătate emergente, de a îmbunătăți experiența individuală în materie de îngrijire pentru toți, de a preveni bolile și de a spori rolul asistenței medicale primare.</w:t>
      </w:r>
    </w:p>
    <w:p w14:paraId="1A28086A" w14:textId="77777777" w:rsidR="00011DE9" w:rsidRDefault="00011DE9">
      <w:pPr>
        <w:pStyle w:val="P68B1DB1-Normal16"/>
        <w:spacing w:before="120" w:after="120" w:line="240" w:lineRule="auto"/>
        <w:jc w:val="both"/>
        <w:rPr>
          <w:rFonts w:cs="Times New Roman"/>
          <w:noProof/>
        </w:rPr>
      </w:pPr>
      <w:r>
        <w:rPr>
          <w:noProof/>
        </w:rPr>
        <w:t xml:space="preserve">Reforma constă în pregătirea și punerea în aplicare a unui plan de acțiune pentru dezvoltarea cadrului strategic pentru consolidarea îngrijirii primare și comunitare adoptat de guvernul central și de comunitățile autonome în 2019. Planul de acțiune este structurat în jurul liniilor de acțiune în care trebuie încadrată execuția regională a proiectelor. Aceasta include îmbunătățirea proceselor de gestionare clinică, extinderea și reînnoirea echipamentelor de diagnosticare în centrele medicale, dezvoltarea IT, formarea profesioniștilor sau îmbunătățirea infrastructurilor centrelor medicale și ale serviciilor de sănătate și de urgență. Planul de acțiune este aprobat de Consiliul interteritorial. Punerea sa în aplicare nu va fi finanțată prin planul de redresare și reziliență. </w:t>
      </w:r>
    </w:p>
    <w:p w14:paraId="0CD790B8" w14:textId="77777777" w:rsidR="00011DE9" w:rsidRDefault="00011DE9">
      <w:pPr>
        <w:pStyle w:val="P68B1DB1-Normal16"/>
        <w:spacing w:before="120" w:after="120" w:line="240" w:lineRule="auto"/>
        <w:jc w:val="both"/>
        <w:rPr>
          <w:rFonts w:cs="Times New Roman"/>
          <w:noProof/>
        </w:rPr>
      </w:pPr>
      <w:r>
        <w:rPr>
          <w:noProof/>
        </w:rPr>
        <w:t xml:space="preserve">Punerea în aplicare a măsurii se finalizează până la 31 decembrie 2023. </w:t>
      </w:r>
    </w:p>
    <w:p w14:paraId="44D79DE3" w14:textId="77777777" w:rsidR="00011DE9" w:rsidRPr="00A636A7" w:rsidRDefault="00011DE9">
      <w:pPr>
        <w:pStyle w:val="P68B1DB1-Normal17"/>
        <w:spacing w:before="120" w:after="120" w:line="240" w:lineRule="auto"/>
        <w:jc w:val="both"/>
        <w:rPr>
          <w:rFonts w:cs="Times New Roman"/>
          <w:b w:val="0"/>
          <w:bCs/>
          <w:noProof/>
          <w:sz w:val="24"/>
          <w:u w:val="single"/>
        </w:rPr>
      </w:pPr>
      <w:r w:rsidRPr="00A636A7">
        <w:rPr>
          <w:b w:val="0"/>
          <w:bCs/>
          <w:noProof/>
          <w:sz w:val="24"/>
          <w:u w:val="single"/>
        </w:rPr>
        <w:t>Reforma 2 (C18.R2) – Reforma sistemului de sănătate publică</w:t>
      </w:r>
    </w:p>
    <w:p w14:paraId="1ED0EC67" w14:textId="77777777" w:rsidR="00011DE9" w:rsidRDefault="00011DE9">
      <w:pPr>
        <w:pStyle w:val="P68B1DB1-Normal16"/>
        <w:spacing w:before="120" w:after="120" w:line="240" w:lineRule="auto"/>
        <w:jc w:val="both"/>
        <w:rPr>
          <w:rFonts w:cs="Times New Roman"/>
          <w:noProof/>
        </w:rPr>
      </w:pPr>
      <w:r>
        <w:rPr>
          <w:noProof/>
        </w:rPr>
        <w:t>Reforma are obiectivul de a stabili un cadru general și integrat pentru furnizarea de servicii de sănătate publică. Aceasta constă în dezvoltarea unui sistem de sănătate publică mai ambițios, mai integrat și mai bine articulat, prin intermediul următoarelor acțiuni:</w:t>
      </w:r>
    </w:p>
    <w:p w14:paraId="5009E437" w14:textId="77777777" w:rsidR="00011DE9" w:rsidRDefault="00011DE9">
      <w:pPr>
        <w:spacing w:before="120" w:after="120" w:line="240" w:lineRule="auto"/>
        <w:ind w:left="850" w:hanging="425"/>
        <w:jc w:val="both"/>
        <w:rPr>
          <w:rFonts w:ascii="Times New Roman" w:hAnsi="Times New Roman" w:cs="Times New Roman"/>
          <w:noProof/>
        </w:rPr>
      </w:pPr>
      <w:r>
        <w:rPr>
          <w:rFonts w:ascii="Times New Roman" w:hAnsi="Times New Roman"/>
          <w:noProof/>
        </w:rPr>
        <w:t>-</w:t>
      </w:r>
      <w:r>
        <w:rPr>
          <w:noProof/>
        </w:rPr>
        <w:t xml:space="preserve"> </w:t>
      </w:r>
      <w:r>
        <w:rPr>
          <w:rFonts w:ascii="Times New Roman" w:hAnsi="Times New Roman"/>
          <w:noProof/>
        </w:rPr>
        <w:t>O strategie în domeniul sănătății publice care stabilește un cadru general și integrat care va fi luat în considerare în toate politicile de sănătate publică și care are o durată de cinci ani, cu evaluări intermediare o dată la doi ani, în care se analizează gradul de punere în aplicare.</w:t>
      </w:r>
      <w:r>
        <w:rPr>
          <w:rFonts w:ascii="Times New Roman" w:hAnsi="Times New Roman"/>
          <w:noProof/>
          <w:sz w:val="18"/>
        </w:rPr>
        <w:t xml:space="preserve"> </w:t>
      </w:r>
      <w:r>
        <w:rPr>
          <w:rFonts w:ascii="Times New Roman" w:hAnsi="Times New Roman"/>
          <w:noProof/>
        </w:rPr>
        <w:t>Strategia se aprobă de comun acord de către Consiliul Interteritorial al Sistemului Național de Sănătate.</w:t>
      </w:r>
    </w:p>
    <w:p w14:paraId="2684DFAF" w14:textId="77777777" w:rsidR="00011DE9" w:rsidRDefault="00011DE9">
      <w:pPr>
        <w:spacing w:before="120" w:after="120" w:line="240" w:lineRule="auto"/>
        <w:ind w:left="850" w:hanging="425"/>
        <w:jc w:val="both"/>
        <w:rPr>
          <w:rFonts w:ascii="Times New Roman" w:hAnsi="Times New Roman" w:cs="Times New Roman"/>
          <w:noProof/>
        </w:rPr>
      </w:pPr>
      <w:r>
        <w:rPr>
          <w:rFonts w:ascii="Times New Roman" w:hAnsi="Times New Roman"/>
          <w:noProof/>
        </w:rPr>
        <w:t>-</w:t>
      </w:r>
      <w:r>
        <w:rPr>
          <w:noProof/>
        </w:rPr>
        <w:t xml:space="preserve"> </w:t>
      </w:r>
      <w:r>
        <w:rPr>
          <w:rFonts w:ascii="Times New Roman" w:hAnsi="Times New Roman"/>
          <w:noProof/>
        </w:rPr>
        <w:t>O rețea de supraveghere a sănătății publice și un nou Centru de Stat pentru Sănătate Publică, care se înființează prin lege sau printr-un decret regal al guvernului.</w:t>
      </w:r>
    </w:p>
    <w:p w14:paraId="5285FDE9" w14:textId="77777777" w:rsidR="00011DE9" w:rsidRDefault="00011DE9">
      <w:pPr>
        <w:pStyle w:val="P68B1DB1-Normal16"/>
        <w:spacing w:before="120" w:after="120" w:line="240" w:lineRule="auto"/>
        <w:jc w:val="both"/>
        <w:rPr>
          <w:rFonts w:cs="Times New Roman"/>
          <w:noProof/>
        </w:rPr>
      </w:pPr>
      <w:r>
        <w:rPr>
          <w:noProof/>
        </w:rPr>
        <w:t>Punerea în aplicare a măsurii se finalizează până la 31 decembrie 2023.</w:t>
      </w:r>
    </w:p>
    <w:p w14:paraId="796ABC77" w14:textId="77777777" w:rsidR="00011DE9" w:rsidRPr="00A636A7" w:rsidRDefault="00011DE9">
      <w:pPr>
        <w:pStyle w:val="P68B1DB1-Normal17"/>
        <w:spacing w:before="120" w:after="120" w:line="240" w:lineRule="auto"/>
        <w:jc w:val="both"/>
        <w:rPr>
          <w:b w:val="0"/>
          <w:bCs/>
          <w:noProof/>
          <w:sz w:val="24"/>
          <w:u w:val="single"/>
        </w:rPr>
      </w:pPr>
      <w:r w:rsidRPr="00A636A7">
        <w:rPr>
          <w:b w:val="0"/>
          <w:bCs/>
          <w:noProof/>
          <w:sz w:val="24"/>
          <w:u w:val="single"/>
        </w:rPr>
        <w:t>Reforma 3 (C18. R3) – Agenția de Stat pentru Sănătate Publică, numirea și renumirea centrelor, serviciilor și unităților de referință (URSC) și reorganizarea asistenței medicale care nu este gestionată de centrele respective</w:t>
      </w:r>
    </w:p>
    <w:p w14:paraId="0ECD25DB" w14:textId="77777777" w:rsidR="00011DE9" w:rsidRDefault="00011DE9">
      <w:pPr>
        <w:pStyle w:val="P68B1DB1-Normal16"/>
        <w:spacing w:before="120" w:after="120" w:line="240" w:lineRule="auto"/>
        <w:jc w:val="both"/>
        <w:rPr>
          <w:noProof/>
        </w:rPr>
      </w:pPr>
      <w:r>
        <w:rPr>
          <w:noProof/>
        </w:rPr>
        <w:t xml:space="preserve">Scopul acestei reforme este de a crea Agenția de Stat pentru Sănătate Publică, de a numi și a numi din nou centre, servicii și unități de referință (CSUR-uri) și de a reorganiza asistența medicală extrem de complexă care nu este gestionată de centrele respective. </w:t>
      </w:r>
    </w:p>
    <w:p w14:paraId="6F320983" w14:textId="77777777" w:rsidR="00011DE9" w:rsidRDefault="00011DE9">
      <w:pPr>
        <w:pStyle w:val="P68B1DB1-Normal16"/>
        <w:spacing w:before="120" w:after="120" w:line="240" w:lineRule="auto"/>
        <w:jc w:val="both"/>
        <w:rPr>
          <w:rFonts w:cs="Times New Roman"/>
          <w:noProof/>
        </w:rPr>
      </w:pPr>
      <w:r>
        <w:rPr>
          <w:noProof/>
        </w:rPr>
        <w:t>Măsura constă în intrarea în vigoare a legislației de înființare a Agenției de Stat pentru Sănătate Publică. Aceasta constă, de asemenea, în intrarea în vigoare a actelor juridice de numire și de renumire a centrelor, serviciilor și unităților de referință (URSC) și de reorganizare a terapiei cu protoni, care este o îngrijire complexă care nu este gestionată de respectivele URSC.</w:t>
      </w:r>
    </w:p>
    <w:p w14:paraId="6DA3E750" w14:textId="77777777" w:rsidR="00011DE9" w:rsidRPr="00A636A7" w:rsidRDefault="00011DE9">
      <w:pPr>
        <w:pStyle w:val="P68B1DB1-Normal17"/>
        <w:spacing w:before="120" w:after="120" w:line="240" w:lineRule="auto"/>
        <w:jc w:val="both"/>
        <w:rPr>
          <w:b w:val="0"/>
          <w:bCs/>
          <w:noProof/>
          <w:sz w:val="24"/>
          <w:u w:val="single"/>
        </w:rPr>
      </w:pPr>
      <w:r w:rsidRPr="00A636A7">
        <w:rPr>
          <w:b w:val="0"/>
          <w:bCs/>
          <w:noProof/>
          <w:sz w:val="24"/>
          <w:u w:val="single"/>
        </w:rPr>
        <w:t>Reforma 4 (C18. R4) – Reglementarea posturilor sau a domeniilor greu de ocupat, a programului de lucru, a sarcinilor de gardă, a retribuțiilor, a formării, a echilibrului dintre viața profesională și cea privată, a păstrării talentelor profesioniștilor din domeniul sănătății, a predării sau a cercetării și consolidarea competențelor profesionale</w:t>
      </w:r>
    </w:p>
    <w:p w14:paraId="43EDEAAA" w14:textId="77777777" w:rsidR="00011DE9" w:rsidRDefault="00011DE9">
      <w:pPr>
        <w:pStyle w:val="P68B1DB1-Normal16"/>
        <w:spacing w:before="120" w:after="120" w:line="240" w:lineRule="auto"/>
        <w:jc w:val="both"/>
        <w:rPr>
          <w:noProof/>
        </w:rPr>
      </w:pPr>
      <w:r>
        <w:rPr>
          <w:noProof/>
        </w:rPr>
        <w:t xml:space="preserve">Scopul reformei este de a reglementa posturile sau domeniile greu de ocupat, de a reglementa programul de lucru, serviciile de gardă, retribuțiile, formarea, echilibrul dintre viața profesională și cea privată sau păstrarea talentelor profesioniștilor din domeniul sănătății, precum și predarea și cercetarea, și de a reglementa sistemul specializat de formare în domeniul sănătății. </w:t>
      </w:r>
    </w:p>
    <w:p w14:paraId="19504650" w14:textId="77777777" w:rsidR="00011DE9" w:rsidRDefault="00011DE9">
      <w:pPr>
        <w:pStyle w:val="P68B1DB1-Normal16"/>
        <w:spacing w:before="120" w:after="120" w:line="240" w:lineRule="auto"/>
        <w:jc w:val="both"/>
        <w:rPr>
          <w:rFonts w:cs="Times New Roman"/>
          <w:noProof/>
        </w:rPr>
      </w:pPr>
      <w:r>
        <w:rPr>
          <w:noProof/>
        </w:rPr>
        <w:t>Măsura constă în intrarea în vigoare a unor măsuri de abordare sau reglementare a posturilor sau domeniilor greu de ocupat, a programului de lucru, a sarcinilor de gardă, a retribuțiilor, a formării, a echilibrului dintre viața profesională și cea privată, a păstrării talentelor profesioniștilor</w:t>
      </w:r>
      <w:r>
        <w:rPr>
          <w:noProof/>
          <w:u w:val="single"/>
        </w:rPr>
        <w:t xml:space="preserve"> </w:t>
      </w:r>
      <w:r>
        <w:rPr>
          <w:noProof/>
        </w:rPr>
        <w:t>din domeniul sănătății, a predării sau a cercetării; și să reglementeze formarea în specializările din domeniul științelor sănătății.</w:t>
      </w:r>
    </w:p>
    <w:p w14:paraId="37A63AA3" w14:textId="77777777" w:rsidR="00011DE9" w:rsidRDefault="00011DE9">
      <w:pPr>
        <w:pStyle w:val="P68B1DB1-Normal17"/>
        <w:keepNext/>
        <w:spacing w:before="120" w:after="120" w:line="240" w:lineRule="auto"/>
        <w:jc w:val="both"/>
        <w:rPr>
          <w:rFonts w:cs="Times New Roman"/>
          <w:noProof/>
        </w:rPr>
      </w:pPr>
      <w:r>
        <w:rPr>
          <w:noProof/>
        </w:rPr>
        <w:t>I</w:t>
      </w:r>
      <w:r w:rsidRPr="00A636A7">
        <w:rPr>
          <w:b w:val="0"/>
          <w:bCs/>
          <w:noProof/>
          <w:sz w:val="24"/>
          <w:u w:val="single"/>
        </w:rPr>
        <w:t>nvestiția 1 (C18.I1) – Plan de investiții pentru echipamente de înaltă tehnologie în sistemul național de sănătate</w:t>
      </w:r>
    </w:p>
    <w:p w14:paraId="7F24554E" w14:textId="77777777" w:rsidR="00011DE9" w:rsidRDefault="00011DE9">
      <w:pPr>
        <w:pStyle w:val="P68B1DB1-Normal16"/>
        <w:keepNext/>
        <w:spacing w:before="120" w:after="120" w:line="240" w:lineRule="auto"/>
        <w:jc w:val="both"/>
        <w:rPr>
          <w:rFonts w:cs="Times New Roman"/>
          <w:noProof/>
        </w:rPr>
      </w:pPr>
      <w:r>
        <w:rPr>
          <w:noProof/>
        </w:rPr>
        <w:t>Spania are un nivel de uzură morală a echipamentelor mai ridicat decât media europeană și un nivel mediu mai scăzut al densității echipamentelor pe cap de locuitor, dar cu unele excepții, cum ar fi scanerele IRM. Distribuția geografică a echipamentelor este, de asemenea, dezechilibrată. Obiectivul acestei investiții este de a reînnoi echipamentele existente și de a furniza Spaniei echipamente medicale suplimentare de înaltă tehnologie.</w:t>
      </w:r>
    </w:p>
    <w:p w14:paraId="2FE9863A" w14:textId="77777777" w:rsidR="00011DE9" w:rsidRDefault="00011DE9">
      <w:pPr>
        <w:pStyle w:val="P68B1DB1-Normal16"/>
        <w:spacing w:before="120" w:after="120" w:line="240" w:lineRule="auto"/>
        <w:jc w:val="both"/>
        <w:rPr>
          <w:rFonts w:cs="Times New Roman"/>
          <w:noProof/>
        </w:rPr>
      </w:pPr>
      <w:r>
        <w:rPr>
          <w:noProof/>
        </w:rPr>
        <w:t>Investiția acoperă:</w:t>
      </w:r>
    </w:p>
    <w:p w14:paraId="2CCF2056" w14:textId="77777777" w:rsidR="00011DE9" w:rsidRDefault="00011DE9">
      <w:pPr>
        <w:spacing w:before="120" w:after="120" w:line="240" w:lineRule="auto"/>
        <w:ind w:left="709"/>
        <w:jc w:val="both"/>
        <w:rPr>
          <w:rFonts w:ascii="Times New Roman" w:hAnsi="Times New Roman" w:cs="Times New Roman"/>
          <w:noProof/>
        </w:rPr>
      </w:pPr>
      <w:r>
        <w:rPr>
          <w:rFonts w:ascii="Times New Roman" w:hAnsi="Times New Roman"/>
          <w:noProof/>
        </w:rPr>
        <w:t>-</w:t>
      </w:r>
      <w:r>
        <w:rPr>
          <w:noProof/>
        </w:rPr>
        <w:t xml:space="preserve"> </w:t>
      </w:r>
      <w:r>
        <w:rPr>
          <w:rFonts w:ascii="Times New Roman" w:hAnsi="Times New Roman"/>
          <w:noProof/>
        </w:rPr>
        <w:t>Reînnoirea echipamentelor din cauza uzurii morale.</w:t>
      </w:r>
    </w:p>
    <w:p w14:paraId="21183EBD" w14:textId="77777777" w:rsidR="00011DE9" w:rsidRDefault="00011DE9">
      <w:pPr>
        <w:spacing w:before="120" w:after="120" w:line="240" w:lineRule="auto"/>
        <w:ind w:left="1418" w:hanging="709"/>
        <w:jc w:val="both"/>
        <w:rPr>
          <w:rFonts w:ascii="Times New Roman" w:hAnsi="Times New Roman" w:cs="Times New Roman"/>
          <w:noProof/>
        </w:rPr>
      </w:pPr>
      <w:r>
        <w:rPr>
          <w:rFonts w:ascii="Times New Roman" w:hAnsi="Times New Roman"/>
          <w:noProof/>
        </w:rPr>
        <w:t>-</w:t>
      </w:r>
      <w:r>
        <w:rPr>
          <w:noProof/>
        </w:rPr>
        <w:t xml:space="preserve"> </w:t>
      </w:r>
      <w:r>
        <w:rPr>
          <w:rFonts w:ascii="Times New Roman" w:hAnsi="Times New Roman"/>
          <w:noProof/>
        </w:rPr>
        <w:t>Extinderea stocului de echipamente pentru a echilibra diferențele interregionale și pentru a atinge treptat media Uniunii Europene în ceea ce privește numărul la un milion de locuitori, cu un accent deosebit pe zonele de pe teritoriul spaniol care sunt insuficient deservite pe cap de locuitor în comparație cu media națională.</w:t>
      </w:r>
    </w:p>
    <w:p w14:paraId="3A2B94AE" w14:textId="77777777" w:rsidR="00011DE9" w:rsidRDefault="00011DE9">
      <w:pPr>
        <w:pStyle w:val="P68B1DB1-Normal16"/>
        <w:spacing w:before="120" w:after="120" w:line="240" w:lineRule="auto"/>
        <w:jc w:val="both"/>
        <w:rPr>
          <w:rFonts w:cs="Times New Roman"/>
          <w:noProof/>
        </w:rPr>
      </w:pPr>
      <w:r>
        <w:rPr>
          <w:noProof/>
        </w:rPr>
        <w:t>Planul include următoarele tipuri de echipamente: acceleratoare liniare, tomografie axială computerizată (CAT), inclusiv acceleratoare de planificare; rezonanță magnetică, tomografie prin emisie de pozitroni (PET), tomografie prin emisie de pozitroni și CAT (PET-CAT), cameră gamma, echipament digital de braquioterapie, angiografie vasculară, angiografie neuroradiologică și camere hemodinamice.</w:t>
      </w:r>
    </w:p>
    <w:p w14:paraId="34F39DA5" w14:textId="77777777" w:rsidR="00011DE9" w:rsidRDefault="00011DE9">
      <w:pPr>
        <w:pStyle w:val="P68B1DB1-Normal16"/>
        <w:spacing w:before="120" w:after="120" w:line="240" w:lineRule="auto"/>
        <w:jc w:val="both"/>
        <w:rPr>
          <w:rFonts w:cs="Times New Roman"/>
          <w:noProof/>
        </w:rPr>
      </w:pPr>
      <w:r>
        <w:rPr>
          <w:noProof/>
        </w:rPr>
        <w:t>Punerea în aplicare a investiției se finalizează până la 30 iunie 2023.</w:t>
      </w:r>
    </w:p>
    <w:p w14:paraId="00F392E5" w14:textId="77777777" w:rsidR="00011DE9" w:rsidRPr="00A636A7" w:rsidRDefault="00011DE9">
      <w:pPr>
        <w:pStyle w:val="P68B1DB1-Normal17"/>
        <w:spacing w:before="120" w:after="120" w:line="240" w:lineRule="auto"/>
        <w:jc w:val="both"/>
        <w:rPr>
          <w:b w:val="0"/>
          <w:bCs/>
          <w:noProof/>
          <w:sz w:val="24"/>
          <w:u w:val="single"/>
        </w:rPr>
      </w:pPr>
      <w:r w:rsidRPr="00A636A7">
        <w:rPr>
          <w:b w:val="0"/>
          <w:bCs/>
          <w:noProof/>
          <w:sz w:val="24"/>
          <w:u w:val="single"/>
        </w:rPr>
        <w:t>Investiția 2 (C18.I2) – Campanii și acțiuni în domeniul sănătății publice</w:t>
      </w:r>
    </w:p>
    <w:p w14:paraId="1B570767" w14:textId="77777777" w:rsidR="00011DE9" w:rsidRDefault="00011DE9">
      <w:pPr>
        <w:pStyle w:val="P68B1DB1-Normal16"/>
        <w:spacing w:before="120" w:after="120" w:line="240" w:lineRule="auto"/>
        <w:jc w:val="both"/>
        <w:rPr>
          <w:noProof/>
        </w:rPr>
      </w:pPr>
      <w:r>
        <w:rPr>
          <w:noProof/>
        </w:rPr>
        <w:t>Acest obiectiv al investiției este de a desfășura acțiuni legate de sănătatea publică.</w:t>
      </w:r>
    </w:p>
    <w:p w14:paraId="74C3B456" w14:textId="77777777" w:rsidR="00011DE9" w:rsidRDefault="00011DE9">
      <w:pPr>
        <w:pStyle w:val="P68B1DB1-Normal16"/>
        <w:spacing w:before="120" w:after="120" w:line="240" w:lineRule="auto"/>
        <w:jc w:val="both"/>
        <w:rPr>
          <w:rFonts w:cs="Times New Roman"/>
          <w:noProof/>
        </w:rPr>
      </w:pPr>
      <w:r>
        <w:rPr>
          <w:noProof/>
        </w:rPr>
        <w:t>Investiția constă în achiziționarea de campanii de sănătate publică și în executarea de acțiuni legate de promovarea mediilor sănătoase, de screeningul de sănătate publică și de prevenirea și tratarea dependențelor.</w:t>
      </w:r>
    </w:p>
    <w:p w14:paraId="12EA3C3F" w14:textId="77777777" w:rsidR="00011DE9" w:rsidRPr="00A636A7" w:rsidRDefault="00011DE9">
      <w:pPr>
        <w:pStyle w:val="P68B1DB1-Normal17"/>
        <w:spacing w:before="120" w:after="120" w:line="240" w:lineRule="auto"/>
        <w:jc w:val="both"/>
        <w:rPr>
          <w:b w:val="0"/>
          <w:bCs/>
          <w:noProof/>
          <w:sz w:val="24"/>
          <w:u w:val="single"/>
        </w:rPr>
      </w:pPr>
      <w:r w:rsidRPr="00A636A7">
        <w:rPr>
          <w:b w:val="0"/>
          <w:bCs/>
          <w:noProof/>
          <w:sz w:val="24"/>
          <w:u w:val="single"/>
        </w:rPr>
        <w:t>Investiția 3 (C18.I3) – Creșterea capacităților de răspuns la crizele sanitare</w:t>
      </w:r>
    </w:p>
    <w:p w14:paraId="3F15F575" w14:textId="77777777" w:rsidR="00011DE9" w:rsidRDefault="00011DE9">
      <w:pPr>
        <w:pStyle w:val="P68B1DB1-Normal16"/>
        <w:spacing w:before="120" w:after="120" w:line="240" w:lineRule="auto"/>
        <w:jc w:val="both"/>
        <w:rPr>
          <w:noProof/>
        </w:rPr>
      </w:pPr>
      <w:r>
        <w:rPr>
          <w:noProof/>
        </w:rPr>
        <w:t xml:space="preserve">Obiectivul acestei investiții este de a dota NHS. </w:t>
      </w:r>
    </w:p>
    <w:p w14:paraId="487668AA" w14:textId="77777777" w:rsidR="00011DE9" w:rsidRDefault="00011DE9">
      <w:pPr>
        <w:pStyle w:val="P68B1DB1-Normal16"/>
        <w:spacing w:before="120" w:after="120" w:line="240" w:lineRule="auto"/>
        <w:jc w:val="both"/>
        <w:rPr>
          <w:noProof/>
        </w:rPr>
      </w:pPr>
      <w:r>
        <w:rPr>
          <w:noProof/>
        </w:rPr>
        <w:t>Investiția constă în executarea de acțiuni legate de supravegherea sănătății publice, dezvoltarea sau achiziționarea de echipamente, sisteme și software cu diferite destinații, lucrări de construcții și evaluarea performanței sistemului național de sănătate în timpul pandemiei.</w:t>
      </w:r>
    </w:p>
    <w:p w14:paraId="019A0F76" w14:textId="77777777" w:rsidR="00011DE9" w:rsidRPr="003010A3" w:rsidRDefault="00011DE9" w:rsidP="003010A3">
      <w:pPr>
        <w:pStyle w:val="P68B1DB1-Normal17"/>
        <w:spacing w:before="120" w:after="120" w:line="240" w:lineRule="auto"/>
        <w:jc w:val="both"/>
        <w:rPr>
          <w:b w:val="0"/>
          <w:bCs/>
          <w:noProof/>
          <w:sz w:val="24"/>
          <w:u w:val="single"/>
        </w:rPr>
      </w:pPr>
      <w:r w:rsidRPr="003010A3">
        <w:rPr>
          <w:b w:val="0"/>
          <w:bCs/>
          <w:noProof/>
          <w:sz w:val="24"/>
          <w:u w:val="single"/>
        </w:rPr>
        <w:t>Investiția 4 (C18.I4) – Formarea profesioniștilor din domeniul sănătății și îmbunătățirea tratamentului pacienților cu boli rare</w:t>
      </w:r>
    </w:p>
    <w:p w14:paraId="0E4FE335" w14:textId="77777777" w:rsidR="00011DE9" w:rsidRDefault="00011DE9">
      <w:pPr>
        <w:pStyle w:val="P68B1DB1-Normal16"/>
        <w:keepNext/>
        <w:tabs>
          <w:tab w:val="left" w:pos="1560"/>
        </w:tabs>
        <w:spacing w:before="120" w:after="120" w:line="240" w:lineRule="auto"/>
        <w:jc w:val="both"/>
        <w:rPr>
          <w:noProof/>
        </w:rPr>
      </w:pPr>
      <w:r>
        <w:rPr>
          <w:noProof/>
        </w:rPr>
        <w:t xml:space="preserve">Acest obiectiv al investiției este de a oferi formare și de a îmbunătăți tratamentul pacienților cu boli rare. </w:t>
      </w:r>
    </w:p>
    <w:p w14:paraId="29CC2AB8" w14:textId="77777777" w:rsidR="00011DE9" w:rsidRDefault="00011DE9">
      <w:pPr>
        <w:pStyle w:val="P68B1DB1-Normal16"/>
        <w:keepNext/>
        <w:tabs>
          <w:tab w:val="left" w:pos="1560"/>
        </w:tabs>
        <w:spacing w:before="120" w:after="120" w:line="240" w:lineRule="auto"/>
        <w:jc w:val="both"/>
        <w:rPr>
          <w:rFonts w:cs="Times New Roman"/>
          <w:noProof/>
        </w:rPr>
      </w:pPr>
      <w:r>
        <w:rPr>
          <w:noProof/>
        </w:rPr>
        <w:t>Investiția constă în formarea profesioniștilor din domeniul sănătății și în achiziționarea de servicii (inclusiv servicii de dezvoltare de software), instalații, licențe, echipamente sau infrastructuri legate de i) proiectul rețelei UNICAS, ii) îmbunătățirea tratamentului pacienților cu boli rare sau SLA.</w:t>
      </w:r>
    </w:p>
    <w:p w14:paraId="188F983F" w14:textId="77777777" w:rsidR="00011DE9" w:rsidRPr="003010A3" w:rsidRDefault="00011DE9">
      <w:pPr>
        <w:pStyle w:val="P68B1DB1-Normal17"/>
        <w:spacing w:before="120" w:after="120" w:line="240" w:lineRule="auto"/>
        <w:jc w:val="both"/>
        <w:rPr>
          <w:b w:val="0"/>
          <w:bCs/>
          <w:noProof/>
          <w:sz w:val="24"/>
          <w:u w:val="single"/>
        </w:rPr>
      </w:pPr>
      <w:r w:rsidRPr="003010A3">
        <w:rPr>
          <w:b w:val="0"/>
          <w:bCs/>
          <w:noProof/>
          <w:sz w:val="24"/>
          <w:u w:val="single"/>
        </w:rPr>
        <w:t>Investiția 5 (C18.I5) – Plan de raționalizare a consumului de produse farmaceutice și de promovare a sustenabilității și de extindere a portofoliului de servicii genomice în sistemul național de sănătate</w:t>
      </w:r>
    </w:p>
    <w:p w14:paraId="57D057FA" w14:textId="77777777" w:rsidR="00011DE9" w:rsidRDefault="00011DE9">
      <w:pPr>
        <w:pStyle w:val="P68B1DB1-Normal16"/>
        <w:spacing w:before="120" w:after="120" w:line="240" w:lineRule="auto"/>
        <w:jc w:val="both"/>
        <w:rPr>
          <w:noProof/>
        </w:rPr>
      </w:pPr>
      <w:r>
        <w:rPr>
          <w:noProof/>
        </w:rPr>
        <w:t xml:space="preserve">Acest obiectiv al investiției este de a raționaliza utilizarea medicamentelor. </w:t>
      </w:r>
    </w:p>
    <w:p w14:paraId="6ECC0505" w14:textId="77777777" w:rsidR="00011DE9" w:rsidRDefault="00011DE9">
      <w:pPr>
        <w:pStyle w:val="NormalWeb"/>
        <w:spacing w:before="120" w:after="120" w:line="240" w:lineRule="auto"/>
        <w:jc w:val="both"/>
        <w:rPr>
          <w:noProof/>
        </w:rPr>
      </w:pPr>
      <w:r>
        <w:rPr>
          <w:noProof/>
        </w:rPr>
        <w:t>Investiția constă în executarea unei campanii și în achiziționarea de servere, sotware, servicii de dezvoltare de software, sisteme, cazuri de utilizare analitică, echipamente sau licențe pentru raționalizarea utilizării medicamentelor, pentru îmbunătățirea evaluării medicamentelor, a tehnologiilor medicale și a beneficiilor, pentru furnizarea de produse dietetice, pentru reproiectarea controlului cheltuielilor farmaceutice și a controlului furnizării de medicamente, pentru prescrierea de servicii ortoprotetice, pentru punerea în aplicare a catalogului extins de teste genetice și pentru informațiile genomice.</w:t>
      </w:r>
    </w:p>
    <w:p w14:paraId="23E98841" w14:textId="77777777" w:rsidR="00011DE9" w:rsidRPr="003010A3" w:rsidRDefault="00011DE9">
      <w:pPr>
        <w:pStyle w:val="P68B1DB1-Normal17"/>
        <w:spacing w:before="120" w:after="120" w:line="240" w:lineRule="auto"/>
        <w:jc w:val="both"/>
        <w:rPr>
          <w:b w:val="0"/>
          <w:bCs/>
          <w:noProof/>
          <w:sz w:val="24"/>
          <w:u w:val="single"/>
        </w:rPr>
      </w:pPr>
      <w:r w:rsidRPr="003010A3">
        <w:rPr>
          <w:b w:val="0"/>
          <w:bCs/>
          <w:noProof/>
          <w:sz w:val="24"/>
          <w:u w:val="single"/>
        </w:rPr>
        <w:t>Investiția 6 (C18.I6) – Spațiul național al datelor privind sănătatea</w:t>
      </w:r>
    </w:p>
    <w:p w14:paraId="511CEDC5" w14:textId="77777777" w:rsidR="00011DE9" w:rsidRDefault="00011DE9">
      <w:pPr>
        <w:pStyle w:val="P68B1DB1-Normal16"/>
        <w:spacing w:before="120" w:after="120" w:line="240" w:lineRule="auto"/>
        <w:jc w:val="both"/>
        <w:rPr>
          <w:noProof/>
        </w:rPr>
      </w:pPr>
      <w:r>
        <w:rPr>
          <w:noProof/>
        </w:rPr>
        <w:t>Acest obiectiv al investiției este de a crea spațiul național al datelor privind sănătatea, care colectează date regionale, și două proiecte de date.</w:t>
      </w:r>
    </w:p>
    <w:p w14:paraId="5DDA7555" w14:textId="77777777" w:rsidR="00011DE9" w:rsidRDefault="00011DE9">
      <w:pPr>
        <w:pStyle w:val="P68B1DB1-Normal16"/>
        <w:spacing w:before="120" w:after="120" w:line="240" w:lineRule="auto"/>
        <w:jc w:val="both"/>
        <w:rPr>
          <w:rFonts w:cs="Times New Roman"/>
          <w:noProof/>
        </w:rPr>
      </w:pPr>
      <w:r>
        <w:rPr>
          <w:noProof/>
        </w:rPr>
        <w:t xml:space="preserve">Investiția constă în achiziționarea de servere, de utilaje de gestionare și de cvorum, de elemente de conectivitate și de securitate cibernetică, de stocare, de licențe de backup, de licențe, de impulsuri pentru spațiul național al datelor privind sănătatea și de servicii de sprijin pentru armonizarea și excelența europeană, precum și în încărcarea regională de date și în disponibilitatea a două proiecte de date. </w:t>
      </w:r>
    </w:p>
    <w:p w14:paraId="20D424C2" w14:textId="5C0F8D94" w:rsidR="00011DE9" w:rsidRDefault="00011DE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R.2.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0592E904" w14:textId="77777777" w:rsidR="00011DE9" w:rsidRDefault="00011DE9">
      <w:pPr>
        <w:pStyle w:val="P68B1DB1-Normal16"/>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7001FD51" w14:textId="77777777" w:rsidR="00011DE9" w:rsidRDefault="00011DE9">
      <w:pPr>
        <w:spacing w:before="120" w:after="120" w:line="240" w:lineRule="auto"/>
        <w:jc w:val="both"/>
        <w:rPr>
          <w:rFonts w:ascii="Times New Roman" w:hAnsi="Times New Roman" w:cs="Times New Roman"/>
          <w:noProof/>
        </w:rPr>
        <w:sectPr w:rsidR="00011DE9" w:rsidSect="00011DE9">
          <w:headerReference w:type="default" r:id="rId254"/>
          <w:footerReference w:type="default" r:id="rId255"/>
          <w:pgSz w:w="11907" w:h="16839"/>
          <w:pgMar w:top="1134" w:right="1134" w:bottom="1134" w:left="1134" w:header="567" w:footer="567" w:gutter="0"/>
          <w:cols w:space="720"/>
          <w:docGrid w:linePitch="360"/>
        </w:sectPr>
      </w:pPr>
    </w:p>
    <w:tbl>
      <w:tblPr>
        <w:tblW w:w="15286"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7"/>
        <w:gridCol w:w="828"/>
        <w:gridCol w:w="814"/>
        <w:gridCol w:w="2733"/>
        <w:gridCol w:w="993"/>
        <w:gridCol w:w="709"/>
        <w:gridCol w:w="992"/>
        <w:gridCol w:w="757"/>
        <w:gridCol w:w="553"/>
        <w:gridCol w:w="553"/>
        <w:gridCol w:w="5517"/>
      </w:tblGrid>
      <w:tr w:rsidR="00011DE9" w14:paraId="3D1187FF" w14:textId="77777777" w:rsidTr="003010A3">
        <w:trPr>
          <w:trHeight w:val="309"/>
          <w:tblHeader/>
        </w:trPr>
        <w:tc>
          <w:tcPr>
            <w:tcW w:w="837" w:type="dxa"/>
            <w:vMerge w:val="restart"/>
            <w:shd w:val="clear" w:color="auto" w:fill="B7D4EF"/>
            <w:noWrap/>
            <w:vAlign w:val="center"/>
          </w:tcPr>
          <w:p w14:paraId="175FF57A" w14:textId="77777777" w:rsidR="00011DE9" w:rsidRDefault="00011DE9">
            <w:pPr>
              <w:pStyle w:val="P68B1DB1-Normal18"/>
              <w:spacing w:after="0" w:line="240" w:lineRule="auto"/>
              <w:jc w:val="center"/>
              <w:rPr>
                <w:rFonts w:cs="Times New Roman"/>
                <w:noProof/>
                <w:szCs w:val="18"/>
              </w:rPr>
            </w:pPr>
            <w:r>
              <w:rPr>
                <w:noProof/>
              </w:rPr>
              <w:t>Număr</w:t>
            </w:r>
          </w:p>
        </w:tc>
        <w:tc>
          <w:tcPr>
            <w:tcW w:w="828" w:type="dxa"/>
            <w:vMerge w:val="restart"/>
            <w:shd w:val="clear" w:color="auto" w:fill="B7D4EF"/>
            <w:noWrap/>
            <w:vAlign w:val="center"/>
          </w:tcPr>
          <w:p w14:paraId="57591645" w14:textId="77777777" w:rsidR="00011DE9" w:rsidRDefault="00011DE9">
            <w:pPr>
              <w:pStyle w:val="P68B1DB1-Normal18"/>
              <w:spacing w:after="0" w:line="240" w:lineRule="auto"/>
              <w:jc w:val="center"/>
              <w:rPr>
                <w:rFonts w:cs="Times New Roman"/>
                <w:noProof/>
                <w:szCs w:val="18"/>
              </w:rPr>
            </w:pPr>
            <w:r>
              <w:rPr>
                <w:noProof/>
              </w:rPr>
              <w:t>Măsură</w:t>
            </w:r>
          </w:p>
        </w:tc>
        <w:tc>
          <w:tcPr>
            <w:tcW w:w="814" w:type="dxa"/>
            <w:vMerge w:val="restart"/>
            <w:shd w:val="clear" w:color="auto" w:fill="B7D4EF"/>
            <w:noWrap/>
            <w:vAlign w:val="center"/>
          </w:tcPr>
          <w:p w14:paraId="0FB843D0" w14:textId="200E0DCB" w:rsidR="00011DE9" w:rsidRDefault="00011DE9">
            <w:pPr>
              <w:spacing w:after="0" w:line="240" w:lineRule="auto"/>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2733" w:type="dxa"/>
            <w:vMerge w:val="restart"/>
            <w:shd w:val="clear" w:color="auto" w:fill="B7D4EF"/>
            <w:noWrap/>
            <w:vAlign w:val="center"/>
          </w:tcPr>
          <w:p w14:paraId="2B0E47DF" w14:textId="77777777" w:rsidR="00011DE9" w:rsidRDefault="00011DE9">
            <w:pPr>
              <w:pStyle w:val="P68B1DB1-Normal18"/>
              <w:spacing w:after="0" w:line="240" w:lineRule="auto"/>
              <w:jc w:val="center"/>
              <w:rPr>
                <w:rFonts w:cs="Times New Roman"/>
                <w:noProof/>
                <w:szCs w:val="18"/>
              </w:rPr>
            </w:pPr>
            <w:r>
              <w:rPr>
                <w:noProof/>
              </w:rPr>
              <w:t>Nume</w:t>
            </w:r>
          </w:p>
        </w:tc>
        <w:tc>
          <w:tcPr>
            <w:tcW w:w="993" w:type="dxa"/>
            <w:vMerge w:val="restart"/>
            <w:shd w:val="clear" w:color="auto" w:fill="B7D4EF"/>
            <w:noWrap/>
            <w:vAlign w:val="center"/>
          </w:tcPr>
          <w:p w14:paraId="5DE81086" w14:textId="77777777" w:rsidR="00011DE9" w:rsidRDefault="00011DE9">
            <w:pPr>
              <w:pStyle w:val="P68B1DB1-Normal18"/>
              <w:spacing w:after="0" w:line="240" w:lineRule="auto"/>
              <w:jc w:val="center"/>
              <w:rPr>
                <w:rFonts w:cs="Times New Roman"/>
                <w:noProof/>
                <w:szCs w:val="18"/>
              </w:rPr>
            </w:pPr>
            <w:r>
              <w:rPr>
                <w:noProof/>
              </w:rPr>
              <w:t>Indicator calitativ pentru jaloane</w:t>
            </w:r>
          </w:p>
        </w:tc>
        <w:tc>
          <w:tcPr>
            <w:tcW w:w="2458" w:type="dxa"/>
            <w:gridSpan w:val="3"/>
            <w:shd w:val="clear" w:color="auto" w:fill="B7D4EF"/>
            <w:noWrap/>
            <w:vAlign w:val="center"/>
          </w:tcPr>
          <w:p w14:paraId="2ACECEB4" w14:textId="77777777" w:rsidR="00011DE9" w:rsidRDefault="00011DE9">
            <w:pPr>
              <w:pStyle w:val="P68B1DB1-Normal18"/>
              <w:spacing w:after="0" w:line="240" w:lineRule="auto"/>
              <w:jc w:val="center"/>
              <w:rPr>
                <w:rFonts w:cs="Times New Roman"/>
                <w:noProof/>
                <w:szCs w:val="18"/>
              </w:rPr>
            </w:pPr>
            <w:r>
              <w:rPr>
                <w:noProof/>
              </w:rPr>
              <w:t>Indicator cantitativ pentru ținte</w:t>
            </w:r>
          </w:p>
        </w:tc>
        <w:tc>
          <w:tcPr>
            <w:tcW w:w="1106" w:type="dxa"/>
            <w:gridSpan w:val="2"/>
            <w:shd w:val="clear" w:color="auto" w:fill="B7D4EF"/>
            <w:noWrap/>
            <w:vAlign w:val="center"/>
          </w:tcPr>
          <w:p w14:paraId="5ADCAA0D" w14:textId="77777777" w:rsidR="00011DE9" w:rsidRDefault="00011DE9">
            <w:pPr>
              <w:pStyle w:val="P68B1DB1-Normal18"/>
              <w:spacing w:after="0" w:line="240" w:lineRule="auto"/>
              <w:jc w:val="center"/>
              <w:rPr>
                <w:rFonts w:cs="Times New Roman"/>
                <w:noProof/>
                <w:szCs w:val="18"/>
              </w:rPr>
            </w:pPr>
            <w:r>
              <w:rPr>
                <w:noProof/>
              </w:rPr>
              <w:t>Timp</w:t>
            </w:r>
          </w:p>
        </w:tc>
        <w:tc>
          <w:tcPr>
            <w:tcW w:w="5517" w:type="dxa"/>
            <w:vMerge w:val="restart"/>
            <w:shd w:val="clear" w:color="auto" w:fill="B7D4EF"/>
            <w:noWrap/>
            <w:vAlign w:val="center"/>
          </w:tcPr>
          <w:p w14:paraId="5E74ACAE" w14:textId="77777777" w:rsidR="00011DE9" w:rsidRDefault="00011DE9">
            <w:pPr>
              <w:pStyle w:val="P68B1DB1-Normal18"/>
              <w:spacing w:after="0" w:line="240" w:lineRule="auto"/>
              <w:jc w:val="center"/>
              <w:rPr>
                <w:rFonts w:cs="Times New Roman"/>
                <w:noProof/>
                <w:szCs w:val="18"/>
              </w:rPr>
            </w:pPr>
            <w:r>
              <w:rPr>
                <w:noProof/>
              </w:rPr>
              <w:t>Descrierea fiecărui jalon și a fiecărei ținte</w:t>
            </w:r>
          </w:p>
        </w:tc>
      </w:tr>
      <w:tr w:rsidR="00011DE9" w14:paraId="39C5E026" w14:textId="77777777" w:rsidTr="003010A3">
        <w:trPr>
          <w:trHeight w:val="309"/>
          <w:tblHeader/>
        </w:trPr>
        <w:tc>
          <w:tcPr>
            <w:tcW w:w="837" w:type="dxa"/>
            <w:vMerge/>
            <w:noWrap/>
          </w:tcPr>
          <w:p w14:paraId="649B13FB" w14:textId="77777777" w:rsidR="00011DE9" w:rsidRDefault="00011DE9">
            <w:pPr>
              <w:spacing w:after="0" w:line="240" w:lineRule="auto"/>
              <w:jc w:val="center"/>
              <w:rPr>
                <w:rFonts w:ascii="Times New Roman" w:hAnsi="Times New Roman" w:cs="Times New Roman"/>
                <w:b/>
                <w:noProof/>
                <w:sz w:val="18"/>
                <w:szCs w:val="18"/>
              </w:rPr>
            </w:pPr>
          </w:p>
        </w:tc>
        <w:tc>
          <w:tcPr>
            <w:tcW w:w="828" w:type="dxa"/>
            <w:vMerge/>
            <w:noWrap/>
          </w:tcPr>
          <w:p w14:paraId="2C5A75ED" w14:textId="77777777" w:rsidR="00011DE9" w:rsidRDefault="00011DE9">
            <w:pPr>
              <w:spacing w:after="0" w:line="240" w:lineRule="auto"/>
              <w:jc w:val="center"/>
              <w:rPr>
                <w:rFonts w:ascii="Times New Roman" w:hAnsi="Times New Roman" w:cs="Times New Roman"/>
                <w:b/>
                <w:noProof/>
                <w:sz w:val="18"/>
                <w:szCs w:val="18"/>
              </w:rPr>
            </w:pPr>
          </w:p>
        </w:tc>
        <w:tc>
          <w:tcPr>
            <w:tcW w:w="814" w:type="dxa"/>
            <w:vMerge/>
            <w:noWrap/>
          </w:tcPr>
          <w:p w14:paraId="256AD499" w14:textId="77777777" w:rsidR="00011DE9" w:rsidRDefault="00011DE9">
            <w:pPr>
              <w:spacing w:after="0" w:line="240" w:lineRule="auto"/>
              <w:jc w:val="center"/>
              <w:rPr>
                <w:rFonts w:ascii="Times New Roman" w:hAnsi="Times New Roman" w:cs="Times New Roman"/>
                <w:b/>
                <w:noProof/>
                <w:sz w:val="18"/>
                <w:szCs w:val="18"/>
              </w:rPr>
            </w:pPr>
          </w:p>
        </w:tc>
        <w:tc>
          <w:tcPr>
            <w:tcW w:w="2733" w:type="dxa"/>
            <w:vMerge/>
            <w:noWrap/>
          </w:tcPr>
          <w:p w14:paraId="0E6AC0B6" w14:textId="77777777" w:rsidR="00011DE9" w:rsidRDefault="00011DE9">
            <w:pPr>
              <w:spacing w:after="0" w:line="240" w:lineRule="auto"/>
              <w:rPr>
                <w:rFonts w:ascii="Times New Roman" w:hAnsi="Times New Roman" w:cs="Times New Roman"/>
                <w:b/>
                <w:noProof/>
                <w:sz w:val="18"/>
                <w:szCs w:val="18"/>
              </w:rPr>
            </w:pPr>
          </w:p>
        </w:tc>
        <w:tc>
          <w:tcPr>
            <w:tcW w:w="993" w:type="dxa"/>
            <w:vMerge/>
            <w:noWrap/>
          </w:tcPr>
          <w:p w14:paraId="306FB267" w14:textId="77777777" w:rsidR="00011DE9" w:rsidRDefault="00011DE9">
            <w:pPr>
              <w:spacing w:after="0" w:line="240" w:lineRule="auto"/>
              <w:jc w:val="center"/>
              <w:rPr>
                <w:rFonts w:ascii="Times New Roman" w:hAnsi="Times New Roman" w:cs="Times New Roman"/>
                <w:b/>
                <w:noProof/>
                <w:sz w:val="18"/>
                <w:szCs w:val="18"/>
              </w:rPr>
            </w:pPr>
          </w:p>
        </w:tc>
        <w:tc>
          <w:tcPr>
            <w:tcW w:w="709" w:type="dxa"/>
            <w:tcBorders>
              <w:top w:val="single" w:sz="4" w:space="0" w:color="auto"/>
              <w:bottom w:val="single" w:sz="4" w:space="0" w:color="auto"/>
              <w:right w:val="single" w:sz="4" w:space="0" w:color="auto"/>
            </w:tcBorders>
            <w:shd w:val="clear" w:color="auto" w:fill="B7D4EF"/>
            <w:noWrap/>
          </w:tcPr>
          <w:p w14:paraId="481BDA4E" w14:textId="77777777" w:rsidR="00011DE9" w:rsidRDefault="00011DE9">
            <w:pPr>
              <w:pStyle w:val="P68B1DB1-Normal18"/>
              <w:spacing w:after="0" w:line="240" w:lineRule="auto"/>
              <w:jc w:val="center"/>
              <w:rPr>
                <w:rFonts w:cs="Times New Roman"/>
                <w:noProof/>
                <w:szCs w:val="18"/>
              </w:rPr>
            </w:pPr>
            <w:r>
              <w:rPr>
                <w:noProof/>
              </w:rPr>
              <w:t>Unitate</w:t>
            </w:r>
          </w:p>
        </w:tc>
        <w:tc>
          <w:tcPr>
            <w:tcW w:w="992" w:type="dxa"/>
            <w:tcBorders>
              <w:top w:val="single" w:sz="4" w:space="0" w:color="auto"/>
              <w:left w:val="single" w:sz="4" w:space="0" w:color="auto"/>
              <w:bottom w:val="single" w:sz="4" w:space="0" w:color="auto"/>
              <w:right w:val="single" w:sz="4" w:space="0" w:color="auto"/>
            </w:tcBorders>
            <w:shd w:val="clear" w:color="auto" w:fill="B7D4EF"/>
            <w:noWrap/>
          </w:tcPr>
          <w:p w14:paraId="6F92C7B6" w14:textId="77777777" w:rsidR="00011DE9" w:rsidRDefault="00011DE9">
            <w:pPr>
              <w:pStyle w:val="P68B1DB1-Normal18"/>
              <w:spacing w:after="0" w:line="240" w:lineRule="auto"/>
              <w:jc w:val="center"/>
              <w:rPr>
                <w:rFonts w:cs="Times New Roman"/>
                <w:noProof/>
                <w:szCs w:val="18"/>
              </w:rPr>
            </w:pPr>
            <w:r>
              <w:rPr>
                <w:noProof/>
              </w:rPr>
              <w:t>Situația de referință</w:t>
            </w:r>
          </w:p>
        </w:tc>
        <w:tc>
          <w:tcPr>
            <w:tcW w:w="757" w:type="dxa"/>
            <w:tcBorders>
              <w:top w:val="single" w:sz="4" w:space="0" w:color="auto"/>
              <w:left w:val="single" w:sz="4" w:space="0" w:color="auto"/>
              <w:bottom w:val="single" w:sz="4" w:space="0" w:color="auto"/>
              <w:right w:val="single" w:sz="4" w:space="0" w:color="auto"/>
            </w:tcBorders>
            <w:shd w:val="clear" w:color="auto" w:fill="B7D4EF"/>
            <w:noWrap/>
          </w:tcPr>
          <w:p w14:paraId="6D04881A" w14:textId="77777777" w:rsidR="00011DE9" w:rsidRDefault="00011DE9">
            <w:pPr>
              <w:pStyle w:val="P68B1DB1-Normal18"/>
              <w:spacing w:after="0" w:line="240" w:lineRule="auto"/>
              <w:jc w:val="center"/>
              <w:rPr>
                <w:rFonts w:cs="Times New Roman"/>
                <w:noProof/>
                <w:szCs w:val="18"/>
              </w:rPr>
            </w:pPr>
            <w:r>
              <w:rPr>
                <w:noProof/>
              </w:rPr>
              <w:t>Obiectiv</w:t>
            </w:r>
          </w:p>
        </w:tc>
        <w:tc>
          <w:tcPr>
            <w:tcW w:w="553" w:type="dxa"/>
            <w:tcBorders>
              <w:top w:val="single" w:sz="4" w:space="0" w:color="auto"/>
              <w:left w:val="single" w:sz="4" w:space="0" w:color="auto"/>
              <w:bottom w:val="single" w:sz="4" w:space="0" w:color="auto"/>
              <w:right w:val="single" w:sz="4" w:space="0" w:color="auto"/>
            </w:tcBorders>
            <w:shd w:val="clear" w:color="auto" w:fill="B7D4EF"/>
            <w:noWrap/>
          </w:tcPr>
          <w:p w14:paraId="61E6385E" w14:textId="6C9720CA" w:rsidR="00011DE9" w:rsidRDefault="003010A3">
            <w:pPr>
              <w:pStyle w:val="P68B1DB1-Normal41"/>
              <w:spacing w:after="0" w:line="240" w:lineRule="auto"/>
              <w:jc w:val="center"/>
              <w:rPr>
                <w:noProof/>
              </w:rPr>
            </w:pPr>
            <w:r>
              <w:rPr>
                <w:noProof/>
              </w:rPr>
              <w:t>T</w:t>
            </w:r>
          </w:p>
        </w:tc>
        <w:tc>
          <w:tcPr>
            <w:tcW w:w="553" w:type="dxa"/>
            <w:tcBorders>
              <w:top w:val="single" w:sz="4" w:space="0" w:color="auto"/>
              <w:left w:val="single" w:sz="4" w:space="0" w:color="auto"/>
              <w:bottom w:val="single" w:sz="4" w:space="0" w:color="auto"/>
            </w:tcBorders>
            <w:shd w:val="clear" w:color="auto" w:fill="B7D4EF"/>
            <w:noWrap/>
          </w:tcPr>
          <w:p w14:paraId="580D4FC7" w14:textId="77777777" w:rsidR="00011DE9" w:rsidRDefault="00011DE9">
            <w:pPr>
              <w:pStyle w:val="P68B1DB1-Normal41"/>
              <w:spacing w:after="0" w:line="240" w:lineRule="auto"/>
              <w:jc w:val="center"/>
              <w:rPr>
                <w:noProof/>
              </w:rPr>
            </w:pPr>
            <w:r>
              <w:rPr>
                <w:noProof/>
              </w:rPr>
              <w:t>Anul</w:t>
            </w:r>
          </w:p>
        </w:tc>
        <w:tc>
          <w:tcPr>
            <w:tcW w:w="5517" w:type="dxa"/>
            <w:vMerge/>
            <w:noWrap/>
          </w:tcPr>
          <w:p w14:paraId="11BA7923" w14:textId="77777777" w:rsidR="00011DE9" w:rsidRDefault="00011DE9">
            <w:pPr>
              <w:spacing w:after="0" w:line="240" w:lineRule="auto"/>
              <w:rPr>
                <w:rFonts w:ascii="Times New Roman" w:hAnsi="Times New Roman" w:cs="Times New Roman"/>
                <w:b/>
                <w:noProof/>
                <w:sz w:val="18"/>
                <w:szCs w:val="18"/>
              </w:rPr>
            </w:pPr>
          </w:p>
        </w:tc>
      </w:tr>
      <w:tr w:rsidR="00011DE9" w14:paraId="403F2C09" w14:textId="77777777" w:rsidTr="003010A3">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7734E0A0" w14:textId="77777777" w:rsidR="00011DE9" w:rsidRDefault="00011DE9">
            <w:pPr>
              <w:pStyle w:val="P68B1DB1-Normal19"/>
              <w:spacing w:after="0" w:line="240" w:lineRule="auto"/>
              <w:jc w:val="center"/>
              <w:rPr>
                <w:rFonts w:eastAsia="Times New Roman"/>
                <w:noProof/>
              </w:rPr>
            </w:pPr>
            <w:r>
              <w:rPr>
                <w:noProof/>
              </w:rPr>
              <w:t>273</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29A5DA0" w14:textId="77777777" w:rsidR="00011DE9" w:rsidRDefault="00011DE9">
            <w:pPr>
              <w:pStyle w:val="P68B1DB1-Normal19"/>
              <w:spacing w:after="0" w:line="240" w:lineRule="auto"/>
              <w:jc w:val="center"/>
              <w:rPr>
                <w:rFonts w:eastAsia="Times New Roman"/>
                <w:noProof/>
              </w:rPr>
            </w:pPr>
            <w:r>
              <w:rPr>
                <w:noProof/>
              </w:rPr>
              <w:t>C18.R1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37069493" w14:textId="77777777" w:rsidR="00011DE9" w:rsidRDefault="00011DE9">
            <w:pPr>
              <w:pStyle w:val="P68B1DB1-Normal19"/>
              <w:spacing w:after="0" w:line="240" w:lineRule="auto"/>
              <w:jc w:val="center"/>
              <w:rPr>
                <w:rFonts w:eastAsia="Times New Roman"/>
                <w:noProof/>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127E8FE4" w14:textId="77777777" w:rsidR="00011DE9" w:rsidRDefault="00011DE9">
            <w:pPr>
              <w:pStyle w:val="P68B1DB1-Normal19"/>
              <w:spacing w:after="0" w:line="240" w:lineRule="auto"/>
              <w:rPr>
                <w:noProof/>
              </w:rPr>
            </w:pPr>
            <w:r>
              <w:rPr>
                <w:noProof/>
              </w:rPr>
              <w:t>Plan de acțiune pentru asistența medicală primară și comunitară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62D20E" w14:textId="77777777" w:rsidR="00011DE9" w:rsidRDefault="00011DE9">
            <w:pPr>
              <w:pStyle w:val="P68B1DB1-Normal19"/>
              <w:spacing w:after="0" w:line="240" w:lineRule="auto"/>
              <w:jc w:val="center"/>
              <w:rPr>
                <w:rFonts w:eastAsia="Times New Roman"/>
                <w:noProof/>
              </w:rPr>
            </w:pPr>
            <w:r>
              <w:rPr>
                <w:noProof/>
              </w:rPr>
              <w:t xml:space="preserve">Aprobare de către </w:t>
            </w:r>
            <w:r>
              <w:rPr>
                <w:i/>
                <w:noProof/>
              </w:rPr>
              <w:t>Consejo Interterritorial</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6212DB8"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1E39C07" w14:textId="77777777" w:rsidR="00011DE9" w:rsidRDefault="00011DE9">
            <w:pPr>
              <w:pStyle w:val="P68B1DB1-Normal19"/>
              <w:spacing w:after="0" w:line="240" w:lineRule="auto"/>
              <w:jc w:val="right"/>
              <w:rPr>
                <w:rFonts w:eastAsia="Times New Roman"/>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63E56426" w14:textId="77777777" w:rsidR="00011DE9" w:rsidRDefault="00011DE9">
            <w:pPr>
              <w:pStyle w:val="P68B1DB1-Normal19"/>
              <w:spacing w:after="0" w:line="240" w:lineRule="auto"/>
              <w:jc w:val="right"/>
              <w:rPr>
                <w:rFonts w:eastAsia="Times New Roman"/>
                <w:noProof/>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723FFB11" w14:textId="7AB5C8BA" w:rsidR="00011DE9" w:rsidRDefault="005701C9">
            <w:pPr>
              <w:pStyle w:val="P68B1DB1-Normal19"/>
              <w:spacing w:after="0" w:line="240" w:lineRule="auto"/>
              <w:jc w:val="center"/>
              <w:rPr>
                <w:rFonts w:eastAsia="Times New Roman"/>
                <w:noProof/>
              </w:rPr>
            </w:pPr>
            <w:r>
              <w:rPr>
                <w:noProof/>
              </w:rPr>
              <w:t>T4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1B8F9F48" w14:textId="77777777" w:rsidR="00011DE9" w:rsidRDefault="00011DE9">
            <w:pPr>
              <w:pStyle w:val="P68B1DB1-Normal19"/>
              <w:spacing w:after="0" w:line="240" w:lineRule="auto"/>
              <w:jc w:val="center"/>
              <w:rPr>
                <w:rFonts w:eastAsia="Times New Roman"/>
                <w:noProof/>
              </w:rPr>
            </w:pPr>
            <w:r>
              <w:rPr>
                <w:noProof/>
              </w:rPr>
              <w:t>2021</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6FDE5A68" w14:textId="77777777" w:rsidR="00011DE9" w:rsidRDefault="00011DE9">
            <w:pPr>
              <w:pStyle w:val="P68B1DB1-Normal19"/>
              <w:spacing w:after="0" w:line="240" w:lineRule="auto"/>
              <w:rPr>
                <w:rFonts w:eastAsia="Times New Roman"/>
                <w:noProof/>
              </w:rPr>
            </w:pPr>
            <w:r>
              <w:rPr>
                <w:noProof/>
              </w:rPr>
              <w:t>Principalul obiectiv al planului de acțiune este de a consolida asistența medicală primară în sistemul național de sănătate, pentru a oferi răspunsuri mai bune la problemele de sănătate emergente, pentru a îmbunătăți experiența individuală în materie de îngrijire pentru toți, pentru a preveni bolile și pentru a spori capacitatea asistenței medicale primare de a rezolva problemele de sănătate.</w:t>
            </w:r>
          </w:p>
        </w:tc>
      </w:tr>
      <w:tr w:rsidR="00011DE9" w14:paraId="4C00368A" w14:textId="77777777" w:rsidTr="003010A3">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5289309B" w14:textId="77777777" w:rsidR="00011DE9" w:rsidRDefault="00011DE9">
            <w:pPr>
              <w:pStyle w:val="P68B1DB1-Normal19"/>
              <w:spacing w:after="0" w:line="240" w:lineRule="auto"/>
              <w:jc w:val="center"/>
              <w:rPr>
                <w:rFonts w:eastAsia="Times New Roman"/>
                <w:noProof/>
              </w:rPr>
            </w:pPr>
            <w:r>
              <w:rPr>
                <w:noProof/>
              </w:rPr>
              <w:t>274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741A9441" w14:textId="77777777" w:rsidR="00011DE9" w:rsidRDefault="00011DE9">
            <w:pPr>
              <w:pStyle w:val="P68B1DB1-Normal19"/>
              <w:spacing w:after="0" w:line="240" w:lineRule="auto"/>
              <w:jc w:val="center"/>
              <w:rPr>
                <w:rFonts w:eastAsia="Times New Roman"/>
                <w:noProof/>
              </w:rPr>
            </w:pPr>
            <w:r>
              <w:rPr>
                <w:noProof/>
              </w:rPr>
              <w:t>C18.R2</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3AB67BAC" w14:textId="77777777" w:rsidR="00011DE9" w:rsidRDefault="00011DE9">
            <w:pPr>
              <w:pStyle w:val="P68B1DB1-Normal19"/>
              <w:spacing w:after="0" w:line="240" w:lineRule="auto"/>
              <w:jc w:val="center"/>
              <w:rPr>
                <w:rFonts w:eastAsia="Times New Roman"/>
                <w:noProof/>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05B34B48" w14:textId="77777777" w:rsidR="00011DE9" w:rsidRDefault="00011DE9">
            <w:pPr>
              <w:pStyle w:val="P68B1DB1-Normal19"/>
              <w:spacing w:after="0" w:line="240" w:lineRule="auto"/>
              <w:rPr>
                <w:rFonts w:eastAsia="Times New Roman"/>
                <w:noProof/>
              </w:rPr>
            </w:pPr>
            <w:r>
              <w:rPr>
                <w:noProof/>
              </w:rPr>
              <w:t xml:space="preserve">Aprobarea Strategiei spaniole în domeniul sănătății publice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A5BBBCF" w14:textId="77777777" w:rsidR="00011DE9" w:rsidRDefault="00011DE9">
            <w:pPr>
              <w:pStyle w:val="P68B1DB1-Normal19"/>
              <w:spacing w:after="0" w:line="240" w:lineRule="auto"/>
              <w:jc w:val="center"/>
              <w:rPr>
                <w:rFonts w:eastAsia="Times New Roman"/>
                <w:noProof/>
              </w:rPr>
            </w:pPr>
            <w:r>
              <w:rPr>
                <w:noProof/>
              </w:rPr>
              <w:t xml:space="preserve">Aprobare de către </w:t>
            </w:r>
            <w:r>
              <w:rPr>
                <w:i/>
                <w:noProof/>
              </w:rPr>
              <w:t>Consejo Interterritorial Sanidad</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C40C5F2"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BF6B546" w14:textId="77777777" w:rsidR="00011DE9" w:rsidRDefault="00011DE9">
            <w:pPr>
              <w:pStyle w:val="P68B1DB1-Normal19"/>
              <w:spacing w:after="0" w:line="240" w:lineRule="auto"/>
              <w:jc w:val="right"/>
              <w:rPr>
                <w:rFonts w:eastAsia="Times New Roman"/>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62950888" w14:textId="77777777" w:rsidR="00011DE9" w:rsidRDefault="00011DE9">
            <w:pPr>
              <w:pStyle w:val="P68B1DB1-Normal19"/>
              <w:spacing w:after="0" w:line="240" w:lineRule="auto"/>
              <w:jc w:val="right"/>
              <w:rPr>
                <w:rFonts w:eastAsia="Times New Roman"/>
                <w:noProof/>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0A753BE6" w14:textId="4CD533B0" w:rsidR="00011DE9" w:rsidRDefault="005701C9">
            <w:pPr>
              <w:pStyle w:val="P68B1DB1-Normal19"/>
              <w:spacing w:after="0" w:line="240" w:lineRule="auto"/>
              <w:jc w:val="center"/>
              <w:rPr>
                <w:rFonts w:eastAsia="Times New Roman"/>
                <w:noProof/>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E87AF03" w14:textId="77777777" w:rsidR="00011DE9" w:rsidRDefault="00011DE9">
            <w:pPr>
              <w:pStyle w:val="P68B1DB1-Normal19"/>
              <w:spacing w:after="0" w:line="240" w:lineRule="auto"/>
              <w:jc w:val="center"/>
              <w:rPr>
                <w:rFonts w:eastAsia="Times New Roman"/>
                <w:noProof/>
              </w:rPr>
            </w:pPr>
            <w:r>
              <w:rPr>
                <w:noProof/>
              </w:rPr>
              <w:t>2022</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651D25E" w14:textId="20CF33CA" w:rsidR="00011DE9" w:rsidRDefault="00011DE9">
            <w:pPr>
              <w:pStyle w:val="P68B1DB1-Normal19"/>
              <w:spacing w:after="0" w:line="240" w:lineRule="auto"/>
              <w:rPr>
                <w:rFonts w:eastAsia="Times New Roman"/>
                <w:noProof/>
              </w:rPr>
            </w:pPr>
            <w:r>
              <w:rPr>
                <w:noProof/>
              </w:rPr>
              <w:t>Strategia în domeniul sănătății publice stabilește orientările strategice privind acțiunile în domeniul sănătății publice pe întreg teritoriul Spaniei. Obiectivul strategiei este de a îmbunătăți sănătatea populației spaniole prin stabilirea liniilor esențiale și a priorităților care trebuie urmate de toate administrațiile din domeniul sănătății în politicile lor de promovare, prevenire și protecție a sănătății publice, în acțiunile privind grupurile-țintă de populație, în informarea cetățenilor, în formarea profesioniștilor și în abordarea nevoilor acestora. Strategia garantează că sănătatea publică și accesul egal la asistență medicală sunt luate în considerare în toate politicile publice și facilitează acțiunile intersectoriale în acest domeniu. Acesta are o durată de cinci ani, cu evaluări intermediare o dată la doi ani, în care se analizează gradul de punere în aplicare. Aceasta include măsuri și acțiuni în legătură cu toate domeniile sănătății publice care sunt puse în aplicare în politicile, planurile și programele tuturor administrațiilor din domeniul sănătății din Spania pe durata strategiei, în termenele stabilite în strategie.</w:t>
            </w:r>
            <w:r w:rsidR="00971820">
              <w:rPr>
                <w:noProof/>
              </w:rPr>
              <w:t xml:space="preserve"> </w:t>
            </w:r>
          </w:p>
        </w:tc>
      </w:tr>
      <w:tr w:rsidR="00011DE9" w14:paraId="1697AE9C" w14:textId="77777777" w:rsidTr="003010A3">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3F393688" w14:textId="77777777" w:rsidR="00011DE9" w:rsidRDefault="00011DE9">
            <w:pPr>
              <w:pStyle w:val="P68B1DB1-Normal19"/>
              <w:spacing w:after="0" w:line="240" w:lineRule="auto"/>
              <w:jc w:val="center"/>
              <w:rPr>
                <w:rFonts w:eastAsia="Times New Roman"/>
                <w:noProof/>
              </w:rPr>
            </w:pPr>
            <w:r>
              <w:rPr>
                <w:noProof/>
              </w:rPr>
              <w:t>275</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10EDD68D" w14:textId="77777777" w:rsidR="00011DE9" w:rsidRDefault="00011DE9">
            <w:pPr>
              <w:pStyle w:val="P68B1DB1-Normal19"/>
              <w:spacing w:after="0" w:line="240" w:lineRule="auto"/>
              <w:jc w:val="center"/>
              <w:rPr>
                <w:rFonts w:eastAsia="Times New Roman"/>
                <w:noProof/>
              </w:rPr>
            </w:pPr>
            <w:r>
              <w:rPr>
                <w:noProof/>
              </w:rPr>
              <w:t>C18.R3</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0F4C9C38" w14:textId="77777777" w:rsidR="00011DE9" w:rsidRDefault="00011DE9">
            <w:pPr>
              <w:pStyle w:val="P68B1DB1-Normal19"/>
              <w:spacing w:after="0" w:line="240" w:lineRule="auto"/>
              <w:jc w:val="center"/>
              <w:rPr>
                <w:rFonts w:eastAsia="Times New Roman"/>
                <w:noProof/>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0911BE47" w14:textId="77777777" w:rsidR="00011DE9" w:rsidRDefault="00011DE9">
            <w:pPr>
              <w:pStyle w:val="P68B1DB1-Normal19"/>
              <w:spacing w:after="0" w:line="240" w:lineRule="auto"/>
              <w:rPr>
                <w:rFonts w:eastAsia="Times New Roman"/>
                <w:noProof/>
              </w:rPr>
            </w:pPr>
            <w:r>
              <w:rPr>
                <w:noProof/>
              </w:rPr>
              <w:t>Intrarea în vigoare a legislației sau a actelor juridice de înființare a Agenției de Stat pentru Sănătate Publică, de numire și renumire a centrelor, serviciilor și unităților de referință (URSC) și de reorganizare a terapiei cu protoni</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8BD6A89" w14:textId="77777777" w:rsidR="00011DE9" w:rsidRDefault="00011DE9">
            <w:pPr>
              <w:pStyle w:val="P68B1DB1-Normal19"/>
              <w:spacing w:after="0" w:line="240" w:lineRule="auto"/>
              <w:jc w:val="center"/>
              <w:rPr>
                <w:rFonts w:eastAsia="Times New Roman"/>
                <w:noProof/>
              </w:rPr>
            </w:pPr>
            <w:r>
              <w:rPr>
                <w:noProof/>
              </w:rPr>
              <w:t xml:space="preserve">Dispoziție din legislație și din actele juridice care indică intrarea lor în vigoare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5ACBAD8"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E88EFB3" w14:textId="77777777" w:rsidR="00011DE9" w:rsidRDefault="00011DE9">
            <w:pPr>
              <w:pStyle w:val="P68B1DB1-Normal19"/>
              <w:spacing w:after="0" w:line="240" w:lineRule="auto"/>
              <w:jc w:val="right"/>
              <w:rPr>
                <w:rFonts w:eastAsia="Times New Roman"/>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566069D6" w14:textId="77777777" w:rsidR="00011DE9" w:rsidRDefault="00011DE9">
            <w:pPr>
              <w:pStyle w:val="P68B1DB1-Normal19"/>
              <w:spacing w:after="0" w:line="240" w:lineRule="auto"/>
              <w:jc w:val="right"/>
              <w:rPr>
                <w:rFonts w:eastAsia="Times New Roman"/>
                <w:noProof/>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BC91F57" w14:textId="4EA51281" w:rsidR="00011DE9" w:rsidRDefault="005701C9">
            <w:pPr>
              <w:pStyle w:val="P68B1DB1-Normal19"/>
              <w:spacing w:after="0" w:line="240" w:lineRule="auto"/>
              <w:jc w:val="center"/>
              <w:rPr>
                <w:rFonts w:eastAsia="Times New Roman"/>
                <w:noProof/>
              </w:rPr>
            </w:pPr>
            <w:r>
              <w:rPr>
                <w:noProof/>
              </w:rPr>
              <w:t>T4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7DC43C52" w14:textId="77777777" w:rsidR="00011DE9" w:rsidRDefault="00011DE9">
            <w:pPr>
              <w:pStyle w:val="P68B1DB1-Normal19"/>
              <w:spacing w:after="0" w:line="240" w:lineRule="auto"/>
              <w:jc w:val="center"/>
              <w:rPr>
                <w:rFonts w:eastAsia="Times New Roman"/>
                <w:noProof/>
              </w:rPr>
            </w:pPr>
            <w:r>
              <w:rPr>
                <w:noProof/>
              </w:rPr>
              <w:t>2025</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6C4B0F52" w14:textId="77777777" w:rsidR="00011DE9" w:rsidRDefault="00011DE9">
            <w:pPr>
              <w:pStyle w:val="P68B1DB1-Normal19"/>
              <w:spacing w:after="0" w:line="240" w:lineRule="auto"/>
              <w:rPr>
                <w:rFonts w:eastAsia="Times New Roman"/>
                <w:noProof/>
              </w:rPr>
            </w:pPr>
            <w:r>
              <w:rPr>
                <w:noProof/>
              </w:rPr>
              <w:t>Data intrării în vigoare a: legislația de înființare a Agenției de Stat pentru Sănătate Publică; (II) acte juridice de numire și de reînnoire a desemnării centrelor, serviciilor și unităților de referință (URSC); și iii) un act juridic pentru reorganizarea terapiei cu protoni, care este o îngrijire complexă care nu este gestionată de CSUR-urile respective.</w:t>
            </w:r>
          </w:p>
        </w:tc>
      </w:tr>
      <w:tr w:rsidR="00011DE9" w14:paraId="195AC2A1" w14:textId="77777777" w:rsidTr="003010A3">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541246DA" w14:textId="77777777" w:rsidR="00011DE9" w:rsidRDefault="00011DE9">
            <w:pPr>
              <w:pStyle w:val="P68B1DB1-Normal19"/>
              <w:spacing w:after="0" w:line="240" w:lineRule="auto"/>
              <w:jc w:val="center"/>
              <w:rPr>
                <w:rFonts w:eastAsia="Times New Roman"/>
                <w:noProof/>
              </w:rPr>
            </w:pPr>
            <w:r>
              <w:rPr>
                <w:noProof/>
              </w:rPr>
              <w:t>276</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5C34EB2A" w14:textId="77777777" w:rsidR="00011DE9" w:rsidRDefault="00011DE9">
            <w:pPr>
              <w:pStyle w:val="P68B1DB1-Normal19"/>
              <w:spacing w:after="0" w:line="240" w:lineRule="auto"/>
              <w:jc w:val="center"/>
              <w:rPr>
                <w:rFonts w:eastAsia="Times New Roman"/>
                <w:noProof/>
              </w:rPr>
            </w:pPr>
            <w:r>
              <w:rPr>
                <w:noProof/>
              </w:rPr>
              <w:t>C18.R4</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752E9F85" w14:textId="77777777" w:rsidR="00011DE9" w:rsidRDefault="00011DE9">
            <w:pPr>
              <w:pStyle w:val="P68B1DB1-Normal19"/>
              <w:spacing w:after="0" w:line="240" w:lineRule="auto"/>
              <w:jc w:val="center"/>
              <w:rPr>
                <w:rFonts w:eastAsia="Times New Roman"/>
                <w:noProof/>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18AA956C" w14:textId="77777777" w:rsidR="00011DE9" w:rsidRDefault="00011DE9">
            <w:pPr>
              <w:pStyle w:val="P68B1DB1-Normal19"/>
              <w:spacing w:after="0" w:line="240" w:lineRule="auto"/>
              <w:rPr>
                <w:rFonts w:eastAsia="Times New Roman"/>
                <w:noProof/>
              </w:rPr>
            </w:pPr>
            <w:r>
              <w:rPr>
                <w:noProof/>
              </w:rPr>
              <w:t>Măsuri de abordare sau de reglementare a posturilor sau a domeniilor greu de ocupat, a programului de lucru, a serviciilor de gardă, a retribuțiilor, a formării, a echilibrului dintre viața profesională și cea privată, a păstrării talentelor profesioniștilor din domeniul sănătății, a predării sau a cercetării, precum și de reglementare a sistemului specializat de formare în domeniul sănătății</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63331D7C" w14:textId="77777777" w:rsidR="00011DE9" w:rsidRDefault="00011DE9">
            <w:pPr>
              <w:pStyle w:val="P68B1DB1-Normal19"/>
              <w:spacing w:after="0" w:line="240" w:lineRule="auto"/>
              <w:jc w:val="center"/>
              <w:rPr>
                <w:rFonts w:eastAsia="Times New Roman"/>
                <w:noProof/>
              </w:rPr>
            </w:pPr>
            <w:r>
              <w:rPr>
                <w:noProof/>
              </w:rPr>
              <w:t xml:space="preserve">Dispoziții ale măsurilor de reglementare care indică intrarea lor în vigoare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AFF024D"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4081F29" w14:textId="77777777" w:rsidR="00011DE9" w:rsidRDefault="00011DE9">
            <w:pPr>
              <w:pStyle w:val="P68B1DB1-Normal19"/>
              <w:spacing w:after="0" w:line="240" w:lineRule="auto"/>
              <w:jc w:val="right"/>
              <w:rPr>
                <w:rFonts w:eastAsia="Times New Roman"/>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26A043E9" w14:textId="77777777" w:rsidR="00011DE9" w:rsidRDefault="00011DE9">
            <w:pPr>
              <w:pStyle w:val="P68B1DB1-Normal19"/>
              <w:spacing w:after="0" w:line="240" w:lineRule="auto"/>
              <w:jc w:val="right"/>
              <w:rPr>
                <w:rFonts w:eastAsia="Times New Roman"/>
                <w:noProof/>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6D59F737" w14:textId="4A7D2CF3" w:rsidR="00011DE9" w:rsidRDefault="005701C9">
            <w:pPr>
              <w:pStyle w:val="P68B1DB1-Normal19"/>
              <w:spacing w:after="0" w:line="240" w:lineRule="auto"/>
              <w:jc w:val="center"/>
              <w:rPr>
                <w:rFonts w:eastAsia="Times New Roman"/>
                <w:noProof/>
              </w:rPr>
            </w:pPr>
            <w:r>
              <w:rPr>
                <w:noProof/>
              </w:rPr>
              <w:t>T4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2F6DF450" w14:textId="77777777" w:rsidR="00011DE9" w:rsidRDefault="00011DE9">
            <w:pPr>
              <w:pStyle w:val="P68B1DB1-Normal19"/>
              <w:spacing w:after="0" w:line="240" w:lineRule="auto"/>
              <w:jc w:val="center"/>
              <w:rPr>
                <w:rFonts w:eastAsia="Times New Roman"/>
                <w:noProof/>
              </w:rPr>
            </w:pPr>
            <w:r>
              <w:rPr>
                <w:noProof/>
              </w:rPr>
              <w:t>2025</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28427A4E" w14:textId="77777777" w:rsidR="00011DE9" w:rsidRDefault="00011DE9">
            <w:pPr>
              <w:pStyle w:val="P68B1DB1-Normal19"/>
              <w:spacing w:after="0" w:line="240" w:lineRule="auto"/>
              <w:rPr>
                <w:rFonts w:eastAsia="Times New Roman"/>
                <w:noProof/>
              </w:rPr>
            </w:pPr>
            <w:r>
              <w:rPr>
                <w:noProof/>
              </w:rPr>
              <w:t xml:space="preserve">Data intrării în vigoare a: I) măsuri care abordează sau reglementează posturile sau domeniile greu de ocupat, programul de lucru, serviciile de gardă, retribuțiile, formarea, echilibrul dintre viața profesională și cea privată, păstrarea talentelor profesioniștilor din domeniul sănătății, predarea sau cercetarea; și ii) un act juridic care să reglementeze sistemul de formare specializată în domeniul sănătății, inclusiv reglementarea formării transversale în specializările din domeniul științelor sănătății, domeniile specifice de formare și procedura de validare și recunoaștere a calificărilor de specialitate în științele sănătății. </w:t>
            </w:r>
          </w:p>
        </w:tc>
      </w:tr>
      <w:tr w:rsidR="00011DE9" w14:paraId="2A4C61B8" w14:textId="77777777" w:rsidTr="003010A3">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9E9481F" w14:textId="77777777" w:rsidR="00011DE9" w:rsidRDefault="00011DE9">
            <w:pPr>
              <w:pStyle w:val="P68B1DB1-Normal19"/>
              <w:spacing w:after="0" w:line="240" w:lineRule="auto"/>
              <w:jc w:val="center"/>
              <w:rPr>
                <w:rFonts w:eastAsia="Times New Roman"/>
                <w:noProof/>
              </w:rPr>
            </w:pPr>
            <w:r>
              <w:rPr>
                <w:noProof/>
              </w:rPr>
              <w:t>278</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1580987E" w14:textId="77777777" w:rsidR="00011DE9" w:rsidRDefault="00011DE9">
            <w:pPr>
              <w:pStyle w:val="P68B1DB1-Normal19"/>
              <w:spacing w:after="0" w:line="240" w:lineRule="auto"/>
              <w:jc w:val="center"/>
              <w:rPr>
                <w:rFonts w:eastAsia="Times New Roman"/>
                <w:noProof/>
              </w:rPr>
            </w:pPr>
            <w:r>
              <w:rPr>
                <w:noProof/>
              </w:rPr>
              <w:t>C18.I1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0166DB57" w14:textId="77777777" w:rsidR="00011DE9" w:rsidRDefault="00011DE9">
            <w:pPr>
              <w:pStyle w:val="P68B1DB1-Normal19"/>
              <w:spacing w:after="0" w:line="240" w:lineRule="auto"/>
              <w:jc w:val="center"/>
              <w:rPr>
                <w:rFonts w:eastAsia="Times New Roman"/>
                <w:noProof/>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61F9499B" w14:textId="77777777" w:rsidR="00011DE9" w:rsidRDefault="00011DE9">
            <w:pPr>
              <w:pStyle w:val="P68B1DB1-Normal19"/>
              <w:spacing w:after="0" w:line="240" w:lineRule="auto"/>
              <w:rPr>
                <w:rFonts w:eastAsia="Times New Roman"/>
                <w:noProof/>
              </w:rPr>
            </w:pPr>
            <w:r>
              <w:rPr>
                <w:noProof/>
              </w:rPr>
              <w:t xml:space="preserve">Aprobarea planului de investiții în echipamente și distribuirea fondurilor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3389B792" w14:textId="77777777" w:rsidR="00011DE9" w:rsidRDefault="00011DE9">
            <w:pPr>
              <w:pStyle w:val="P68B1DB1-Normal19"/>
              <w:spacing w:after="0" w:line="240" w:lineRule="auto"/>
              <w:jc w:val="center"/>
              <w:rPr>
                <w:rFonts w:eastAsia="Times New Roman"/>
                <w:noProof/>
              </w:rPr>
            </w:pPr>
            <w:r>
              <w:rPr>
                <w:noProof/>
              </w:rPr>
              <w:t xml:space="preserve">Aprobare de către </w:t>
            </w:r>
            <w:r>
              <w:rPr>
                <w:i/>
                <w:noProof/>
              </w:rPr>
              <w:t>Consejo Interterritorial Sanidad</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5542F6F"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9AC9588" w14:textId="77777777" w:rsidR="00011DE9" w:rsidRDefault="00011DE9">
            <w:pPr>
              <w:pStyle w:val="P68B1DB1-Normal19"/>
              <w:spacing w:after="0" w:line="240" w:lineRule="auto"/>
              <w:jc w:val="right"/>
              <w:rPr>
                <w:rFonts w:eastAsia="Times New Roman"/>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7CF164EF" w14:textId="77777777" w:rsidR="00011DE9" w:rsidRDefault="00011DE9">
            <w:pPr>
              <w:pStyle w:val="P68B1DB1-Normal19"/>
              <w:spacing w:after="0" w:line="240" w:lineRule="auto"/>
              <w:jc w:val="center"/>
              <w:rPr>
                <w:rFonts w:eastAsia="Times New Roman"/>
                <w:noProof/>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53BA1F8E" w14:textId="03A209CB" w:rsidR="00011DE9" w:rsidRDefault="005701C9">
            <w:pPr>
              <w:pStyle w:val="P68B1DB1-Normal19"/>
              <w:spacing w:after="0" w:line="240" w:lineRule="auto"/>
              <w:jc w:val="center"/>
              <w:rPr>
                <w:rFonts w:eastAsia="Times New Roman"/>
                <w:noProof/>
              </w:rPr>
            </w:pPr>
            <w:r>
              <w:rPr>
                <w:noProof/>
              </w:rPr>
              <w:t>T4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265978CF" w14:textId="77777777" w:rsidR="00011DE9" w:rsidRDefault="00011DE9">
            <w:pPr>
              <w:pStyle w:val="P68B1DB1-Normal19"/>
              <w:spacing w:after="0" w:line="240" w:lineRule="auto"/>
              <w:jc w:val="center"/>
              <w:rPr>
                <w:rFonts w:eastAsia="Times New Roman"/>
                <w:noProof/>
              </w:rPr>
            </w:pPr>
            <w:r>
              <w:rPr>
                <w:noProof/>
              </w:rPr>
              <w:t>2021</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517C5818" w14:textId="77777777" w:rsidR="00011DE9" w:rsidRDefault="00011DE9">
            <w:pPr>
              <w:pStyle w:val="P68B1DB1-Normal16"/>
              <w:spacing w:after="0" w:line="240" w:lineRule="auto"/>
              <w:rPr>
                <w:rFonts w:cs="Times New Roman"/>
                <w:noProof/>
                <w:sz w:val="18"/>
                <w:szCs w:val="18"/>
              </w:rPr>
            </w:pPr>
            <w:r>
              <w:rPr>
                <w:noProof/>
                <w:sz w:val="18"/>
              </w:rPr>
              <w:t xml:space="preserve">Aprobarea de către </w:t>
            </w:r>
            <w:r>
              <w:rPr>
                <w:i/>
                <w:noProof/>
                <w:sz w:val="18"/>
              </w:rPr>
              <w:t>Consejo Interterritorial</w:t>
            </w:r>
            <w:r>
              <w:rPr>
                <w:noProof/>
                <w:sz w:val="18"/>
              </w:rPr>
              <w:t xml:space="preserve"> a planului și a distribuirii fondurilor, stabilind mecanisme pentru acordarea de granturi în valoare de</w:t>
            </w:r>
            <w:r>
              <w:rPr>
                <w:noProof/>
                <w:sz w:val="20"/>
              </w:rPr>
              <w:t xml:space="preserve"> </w:t>
            </w:r>
            <w:r>
              <w:rPr>
                <w:noProof/>
                <w:sz w:val="18"/>
              </w:rPr>
              <w:t>796</w:t>
            </w:r>
            <w:r>
              <w:rPr>
                <w:noProof/>
                <w:sz w:val="20"/>
              </w:rPr>
              <w:t xml:space="preserve"> </w:t>
            </w:r>
            <w:r>
              <w:rPr>
                <w:noProof/>
                <w:sz w:val="18"/>
              </w:rPr>
              <w:t>100</w:t>
            </w:r>
            <w:r>
              <w:rPr>
                <w:noProof/>
                <w:sz w:val="20"/>
              </w:rPr>
              <w:t xml:space="preserve"> </w:t>
            </w:r>
            <w:r>
              <w:rPr>
                <w:noProof/>
                <w:sz w:val="18"/>
              </w:rPr>
              <w:t xml:space="preserve">000 EUR. </w:t>
            </w:r>
          </w:p>
        </w:tc>
      </w:tr>
      <w:tr w:rsidR="00011DE9" w14:paraId="6730021D" w14:textId="77777777" w:rsidTr="003010A3">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F4D90E2" w14:textId="77777777" w:rsidR="00011DE9" w:rsidRDefault="00011DE9">
            <w:pPr>
              <w:pStyle w:val="P68B1DB1-Normal19"/>
              <w:spacing w:after="0" w:line="240" w:lineRule="auto"/>
              <w:jc w:val="center"/>
              <w:rPr>
                <w:rFonts w:eastAsia="Times New Roman"/>
                <w:noProof/>
              </w:rPr>
            </w:pPr>
            <w:r>
              <w:rPr>
                <w:noProof/>
              </w:rPr>
              <w:t>279</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6DBBFB0D" w14:textId="77777777" w:rsidR="00011DE9" w:rsidRDefault="00011DE9">
            <w:pPr>
              <w:pStyle w:val="P68B1DB1-Normal19"/>
              <w:spacing w:after="0" w:line="240" w:lineRule="auto"/>
              <w:jc w:val="center"/>
              <w:rPr>
                <w:rFonts w:eastAsia="Times New Roman"/>
                <w:noProof/>
              </w:rPr>
            </w:pPr>
            <w:r>
              <w:rPr>
                <w:noProof/>
              </w:rPr>
              <w:t>C18.I1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5F9B1077" w14:textId="77777777" w:rsidR="00011DE9" w:rsidRDefault="00011DE9">
            <w:pPr>
              <w:pStyle w:val="P68B1DB1-Normal19"/>
              <w:spacing w:after="0" w:line="240" w:lineRule="auto"/>
              <w:jc w:val="center"/>
              <w:rPr>
                <w:rFonts w:eastAsia="Times New Roman"/>
                <w:noProof/>
              </w:rPr>
            </w:pPr>
            <w:r>
              <w:rPr>
                <w:noProof/>
              </w:rPr>
              <w:t>T</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5AD3910D" w14:textId="77777777" w:rsidR="00011DE9" w:rsidRDefault="00011DE9">
            <w:pPr>
              <w:pStyle w:val="P68B1DB1-Normal19"/>
              <w:spacing w:after="0" w:line="240" w:lineRule="auto"/>
              <w:rPr>
                <w:rFonts w:eastAsia="Times New Roman"/>
                <w:noProof/>
              </w:rPr>
            </w:pPr>
            <w:r>
              <w:rPr>
                <w:noProof/>
              </w:rPr>
              <w:t xml:space="preserve">Instalare de dispozitive pentru echipamente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170882D" w14:textId="77777777" w:rsidR="00011DE9" w:rsidRDefault="00011DE9">
            <w:pPr>
              <w:pStyle w:val="P68B1DB1-Normal19"/>
              <w:spacing w:after="0" w:line="240" w:lineRule="auto"/>
              <w:jc w:val="center"/>
              <w:rPr>
                <w:rFonts w:eastAsia="Times New Roman"/>
                <w:noProof/>
              </w:rPr>
            </w:pPr>
            <w:r>
              <w:rPr>
                <w:noProof/>
              </w:rPr>
              <w:t>—</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524E1C4" w14:textId="77777777" w:rsidR="00011DE9" w:rsidRDefault="00011DE9">
            <w:pPr>
              <w:pStyle w:val="P68B1DB1-Normal19"/>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2F5F79F" w14:textId="77777777" w:rsidR="00011DE9" w:rsidRDefault="00011DE9">
            <w:pPr>
              <w:pStyle w:val="P68B1DB1-Normal19"/>
              <w:spacing w:after="0" w:line="240" w:lineRule="auto"/>
              <w:jc w:val="right"/>
              <w:rPr>
                <w:rFonts w:eastAsia="Times New Roman"/>
                <w:noProof/>
              </w:rPr>
            </w:pPr>
            <w:r>
              <w:rPr>
                <w:noProof/>
              </w:rPr>
              <w:t>0</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31293E6B" w14:textId="77777777" w:rsidR="00011DE9" w:rsidRDefault="00011DE9">
            <w:pPr>
              <w:pStyle w:val="P68B1DB1-Normal19"/>
              <w:spacing w:after="0" w:line="240" w:lineRule="auto"/>
              <w:jc w:val="right"/>
              <w:rPr>
                <w:rFonts w:eastAsia="Times New Roman"/>
                <w:noProof/>
              </w:rPr>
            </w:pPr>
            <w:r>
              <w:rPr>
                <w:noProof/>
              </w:rPr>
              <w:t>750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164C566F" w14:textId="154ABD2C" w:rsidR="00011DE9" w:rsidRDefault="005701C9">
            <w:pPr>
              <w:pStyle w:val="P68B1DB1-Normal19"/>
              <w:spacing w:after="0" w:line="240" w:lineRule="auto"/>
              <w:jc w:val="center"/>
              <w:rPr>
                <w:rFonts w:eastAsia="Times New Roman"/>
                <w:noProof/>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099C965A" w14:textId="77777777" w:rsidR="00011DE9" w:rsidRDefault="00011DE9">
            <w:pPr>
              <w:pStyle w:val="P68B1DB1-Normal19"/>
              <w:spacing w:after="0" w:line="240" w:lineRule="auto"/>
              <w:jc w:val="center"/>
              <w:rPr>
                <w:rFonts w:eastAsia="Times New Roman"/>
                <w:noProof/>
              </w:rPr>
            </w:pPr>
            <w:r>
              <w:rPr>
                <w:noProof/>
              </w:rPr>
              <w:t>2023</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5740ACBF" w14:textId="77777777" w:rsidR="00011DE9" w:rsidRDefault="00011DE9">
            <w:pPr>
              <w:pStyle w:val="P68B1DB1-Normal19"/>
              <w:spacing w:after="0" w:line="240" w:lineRule="auto"/>
              <w:rPr>
                <w:rFonts w:eastAsia="Times New Roman"/>
                <w:noProof/>
              </w:rPr>
            </w:pPr>
            <w:r>
              <w:rPr>
                <w:noProof/>
              </w:rPr>
              <w:t>Să instaleze cel puțin 750 de dispozitive pe întreg teritoriul țării.</w:t>
            </w:r>
          </w:p>
        </w:tc>
      </w:tr>
      <w:tr w:rsidR="00011DE9" w14:paraId="0D54F382" w14:textId="77777777" w:rsidTr="003010A3">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37CDED80" w14:textId="77777777" w:rsidR="00011DE9" w:rsidRDefault="00011DE9">
            <w:pPr>
              <w:pStyle w:val="P68B1DB1-Normal20"/>
              <w:spacing w:after="0" w:line="240" w:lineRule="auto"/>
              <w:jc w:val="center"/>
              <w:rPr>
                <w:rFonts w:eastAsia="Times New Roman" w:cs="Times New Roman"/>
                <w:noProof/>
              </w:rPr>
            </w:pPr>
            <w:r>
              <w:rPr>
                <w:noProof/>
              </w:rPr>
              <w:t>280</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721D0E9B" w14:textId="77777777" w:rsidR="00011DE9" w:rsidRDefault="00011DE9">
            <w:pPr>
              <w:pStyle w:val="P68B1DB1-Normal19"/>
              <w:spacing w:after="0" w:line="240" w:lineRule="auto"/>
              <w:jc w:val="center"/>
              <w:rPr>
                <w:rFonts w:eastAsia="Times New Roman"/>
                <w:noProof/>
              </w:rPr>
            </w:pPr>
            <w:r>
              <w:rPr>
                <w:noProof/>
              </w:rPr>
              <w:t>C18.I2</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5FC6389B" w14:textId="77777777" w:rsidR="00011DE9" w:rsidRDefault="00011DE9">
            <w:pPr>
              <w:pStyle w:val="P68B1DB1-Normal19"/>
              <w:spacing w:after="0" w:line="240" w:lineRule="auto"/>
              <w:jc w:val="center"/>
              <w:rPr>
                <w:rFonts w:eastAsia="Times New Roman"/>
                <w:noProof/>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52768C84" w14:textId="77777777" w:rsidR="00011DE9" w:rsidRDefault="00011DE9">
            <w:pPr>
              <w:pStyle w:val="P68B1DB1-Normal19"/>
              <w:spacing w:after="0" w:line="240" w:lineRule="auto"/>
              <w:rPr>
                <w:rFonts w:eastAsia="Times New Roman"/>
                <w:noProof/>
              </w:rPr>
            </w:pPr>
            <w:r>
              <w:rPr>
                <w:noProof/>
              </w:rPr>
              <w:t>Campanii și acțiuni în domeniul sănătății publice</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28F9879C" w14:textId="77777777" w:rsidR="00011DE9" w:rsidRDefault="00011DE9">
            <w:pPr>
              <w:pStyle w:val="P68B1DB1-Normal19"/>
              <w:spacing w:after="0" w:line="240" w:lineRule="auto"/>
              <w:jc w:val="center"/>
              <w:rPr>
                <w:rFonts w:eastAsia="Times New Roman"/>
                <w:noProof/>
              </w:rPr>
            </w:pPr>
            <w:r>
              <w:rPr>
                <w:noProof/>
              </w:rPr>
              <w:t>Certificate de acceptare, declarații de conformitate sau documente echivalente care atestă executarea contractelor sau rapoarte finale</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7D4357B" w14:textId="77777777" w:rsidR="00011DE9" w:rsidRDefault="00011DE9">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3145FEF" w14:textId="77777777" w:rsidR="00011DE9" w:rsidRDefault="00011DE9">
            <w:pPr>
              <w:spacing w:after="0" w:line="240" w:lineRule="auto"/>
              <w:jc w:val="right"/>
              <w:rPr>
                <w:rFonts w:ascii="Times New Roman" w:eastAsia="Times New Roman" w:hAnsi="Times New Roman" w:cs="Times New Roman"/>
                <w:noProof/>
                <w:sz w:val="18"/>
                <w:szCs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6FB15320" w14:textId="77777777" w:rsidR="00011DE9" w:rsidRDefault="00011DE9">
            <w:pPr>
              <w:spacing w:after="0" w:line="240" w:lineRule="auto"/>
              <w:jc w:val="right"/>
              <w:rPr>
                <w:rFonts w:ascii="Times New Roman" w:eastAsia="Times New Roman" w:hAnsi="Times New Roman" w:cs="Times New Roman"/>
                <w:noProof/>
                <w:sz w:val="18"/>
                <w:szCs w:val="18"/>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00CEE3D9" w14:textId="351B7451" w:rsidR="00011DE9" w:rsidRDefault="005701C9">
            <w:pPr>
              <w:pStyle w:val="P68B1DB1-Normal19"/>
              <w:spacing w:after="0" w:line="240" w:lineRule="auto"/>
              <w:jc w:val="center"/>
              <w:rPr>
                <w:rFonts w:eastAsia="Times New Roman"/>
                <w:noProof/>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1C079AA1" w14:textId="77777777" w:rsidR="00011DE9" w:rsidRDefault="00011DE9">
            <w:pPr>
              <w:pStyle w:val="P68B1DB1-Normal19"/>
              <w:spacing w:after="0" w:line="240" w:lineRule="auto"/>
              <w:jc w:val="center"/>
              <w:rPr>
                <w:rFonts w:eastAsia="Times New Roman"/>
                <w:noProof/>
              </w:rPr>
            </w:pPr>
            <w:r>
              <w:rPr>
                <w:noProof/>
              </w:rPr>
              <w:t>2026</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6AC3DF10" w14:textId="77777777" w:rsidR="00011DE9" w:rsidRDefault="00011DE9">
            <w:pPr>
              <w:pStyle w:val="P68B1DB1-Normal19"/>
              <w:spacing w:after="0" w:line="240" w:lineRule="auto"/>
              <w:rPr>
                <w:noProof/>
              </w:rPr>
            </w:pPr>
            <w:r>
              <w:rPr>
                <w:noProof/>
              </w:rPr>
              <w:t>Confirmarea de către administrație a faptului că contractele (inclusiv modificările) referitoare la achiziționarea de spații creative și media și evaluarea finală pentru 11 campanii de sănătate publică au fost executate în următoarele domenii: I) combaterea fumatului, ii) prevenirea consumului de alcool, iii) promovarea sănătății mintale, iv) promovarea unor medii și stiluri de viață sănătoase, v) sensibilizarea cu privire la utilizarea prudentă a antibioticelor și vi) prevenirea cancerului prin diseminarea Codului european împotriva cancerului.</w:t>
            </w:r>
          </w:p>
          <w:p w14:paraId="77516694" w14:textId="77777777" w:rsidR="00011DE9" w:rsidRDefault="00011DE9">
            <w:pPr>
              <w:spacing w:after="0" w:line="240" w:lineRule="auto"/>
              <w:rPr>
                <w:rFonts w:ascii="Times New Roman" w:hAnsi="Times New Roman"/>
                <w:noProof/>
                <w:sz w:val="18"/>
              </w:rPr>
            </w:pPr>
          </w:p>
          <w:p w14:paraId="08D9245F" w14:textId="77777777" w:rsidR="00011DE9" w:rsidRDefault="00011DE9">
            <w:pPr>
              <w:pStyle w:val="P68B1DB1-Normal20"/>
              <w:spacing w:after="0" w:line="240" w:lineRule="auto"/>
              <w:rPr>
                <w:noProof/>
              </w:rPr>
            </w:pPr>
            <w:r>
              <w:rPr>
                <w:noProof/>
              </w:rPr>
              <w:t>Rapoartele finale care confirmă finalizarea activităților atribuite sunt prezentate de entitățile beneficiare sau de persoanele fizice beneficiare pentru granturi legate de i) promovarea mediilor sănătoase, ii) screeningul de sănătate publică și iii) prevenirea și tratarea dependențelor sau confirmarea de către administrație a executării contractelor sau a unor părți ale acestora referitoare la i) promovarea mediilor sănătoase, ii) screeningul de sănătate publică și iii) prevenirea și tratarea dependențelor, pentru o sumă totală cumulată de 39.8 milioane EUR sub formă de granturi și contracte atribuite (inclusiv eventualele modificări).</w:t>
            </w:r>
          </w:p>
        </w:tc>
      </w:tr>
      <w:tr w:rsidR="00011DE9" w14:paraId="0CD02D34" w14:textId="77777777" w:rsidTr="003010A3">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0F0E6F09" w14:textId="77777777" w:rsidR="00011DE9" w:rsidRDefault="00011DE9">
            <w:pPr>
              <w:pStyle w:val="P68B1DB1-Normal19"/>
              <w:spacing w:after="0" w:line="240" w:lineRule="auto"/>
              <w:jc w:val="center"/>
              <w:rPr>
                <w:rFonts w:eastAsia="Times New Roman"/>
                <w:noProof/>
              </w:rPr>
            </w:pPr>
            <w:r>
              <w:rPr>
                <w:noProof/>
              </w:rPr>
              <w:t>281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37C67793" w14:textId="77777777" w:rsidR="00011DE9" w:rsidRDefault="00011DE9">
            <w:pPr>
              <w:pStyle w:val="P68B1DB1-Normal19"/>
              <w:spacing w:after="0" w:line="240" w:lineRule="auto"/>
              <w:jc w:val="center"/>
              <w:rPr>
                <w:rFonts w:eastAsia="Times New Roman"/>
                <w:noProof/>
              </w:rPr>
            </w:pPr>
            <w:r>
              <w:rPr>
                <w:noProof/>
              </w:rPr>
              <w:t>C18.I3</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53E60AEF" w14:textId="77777777" w:rsidR="00011DE9" w:rsidRDefault="00011DE9">
            <w:pPr>
              <w:pStyle w:val="P68B1DB1-Normal19"/>
              <w:spacing w:after="0" w:line="240" w:lineRule="auto"/>
              <w:jc w:val="center"/>
              <w:rPr>
                <w:rFonts w:eastAsia="Times New Roman"/>
                <w:noProof/>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3B3E4612" w14:textId="77777777" w:rsidR="00011DE9" w:rsidRDefault="00011DE9">
            <w:pPr>
              <w:pStyle w:val="P68B1DB1-Normal19"/>
              <w:spacing w:after="0" w:line="240" w:lineRule="auto"/>
              <w:rPr>
                <w:rFonts w:eastAsia="Times New Roman"/>
                <w:noProof/>
              </w:rPr>
            </w:pPr>
            <w:r>
              <w:rPr>
                <w:noProof/>
              </w:rPr>
              <w:t>Acțiuni legate de supravegherea sănătății publice, dezvoltarea sau achiziționarea de echipamente, sisteme și software cu diferite destinații, lucrări de construcții și evaluarea performanței sistemului național de sănătate în timpul pandemiei</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5F12F2CF" w14:textId="77777777" w:rsidR="00011DE9" w:rsidRDefault="00011DE9">
            <w:pPr>
              <w:pStyle w:val="P68B1DB1-Normal19"/>
              <w:spacing w:after="0" w:line="240" w:lineRule="auto"/>
              <w:jc w:val="center"/>
              <w:rPr>
                <w:rFonts w:eastAsia="Times New Roman"/>
                <w:noProof/>
              </w:rPr>
            </w:pPr>
            <w:r>
              <w:rPr>
                <w:noProof/>
              </w:rPr>
              <w:t>Certificate de acceptare, declarații de conformitate sau documente echivalente care certifică executarea contractelor (sau a unor părți ale acestora); și publicarea pe site-ul Ministerului Sănătății</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4F9D9F8"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02BF914" w14:textId="77777777" w:rsidR="00011DE9" w:rsidRDefault="00011DE9">
            <w:pPr>
              <w:pStyle w:val="P68B1DB1-Normal19"/>
              <w:spacing w:after="0" w:line="240" w:lineRule="auto"/>
              <w:jc w:val="right"/>
              <w:rPr>
                <w:rFonts w:eastAsia="Times New Roman"/>
                <w:noProof/>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21FF4304" w14:textId="77777777" w:rsidR="00011DE9" w:rsidRDefault="00011DE9">
            <w:pPr>
              <w:pStyle w:val="P68B1DB1-Normal19"/>
              <w:spacing w:after="0" w:line="240" w:lineRule="auto"/>
              <w:jc w:val="right"/>
              <w:rPr>
                <w:rFonts w:eastAsia="Times New Roman"/>
                <w:noProof/>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58BAC69F" w14:textId="2C74F92B" w:rsidR="00011DE9" w:rsidRDefault="005701C9">
            <w:pPr>
              <w:pStyle w:val="P68B1DB1-Normal19"/>
              <w:spacing w:after="0" w:line="240" w:lineRule="auto"/>
              <w:jc w:val="center"/>
              <w:rPr>
                <w:rFonts w:eastAsia="Times New Roman"/>
                <w:noProof/>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10629742" w14:textId="77777777" w:rsidR="00011DE9" w:rsidRDefault="00011DE9">
            <w:pPr>
              <w:pStyle w:val="P68B1DB1-Normal19"/>
              <w:spacing w:after="0" w:line="240" w:lineRule="auto"/>
              <w:rPr>
                <w:rFonts w:eastAsia="Times New Roman"/>
                <w:noProof/>
              </w:rPr>
            </w:pPr>
            <w:r>
              <w:rPr>
                <w:noProof/>
              </w:rPr>
              <w:t>2026</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31517C1F" w14:textId="77777777" w:rsidR="00011DE9" w:rsidRDefault="00011DE9">
            <w:pPr>
              <w:pStyle w:val="P68B1DB1-Normal23"/>
              <w:spacing w:after="0" w:line="240" w:lineRule="auto"/>
              <w:rPr>
                <w:noProof/>
              </w:rPr>
            </w:pPr>
            <w:r>
              <w:rPr>
                <w:noProof/>
              </w:rPr>
              <w:t>Confirmarea de către administrație a executării contractelor (inclusiv a modificărilor) sau a părților corespunzătoare ale acestora pentru o sumă totală atribuită de 62.8 milioane EUR referitoare la:</w:t>
            </w:r>
          </w:p>
          <w:p w14:paraId="1E136D22" w14:textId="77777777" w:rsidR="00011DE9" w:rsidRDefault="00011DE9">
            <w:pPr>
              <w:pStyle w:val="P68B1DB1-ListParagraph42"/>
              <w:numPr>
                <w:ilvl w:val="0"/>
                <w:numId w:val="148"/>
              </w:numPr>
              <w:spacing w:after="0" w:line="240" w:lineRule="auto"/>
              <w:rPr>
                <w:rFonts w:ascii="Times New Roman" w:hAnsi="Times New Roman" w:cs="Times New Roman"/>
                <w:noProof/>
                <w:szCs w:val="18"/>
              </w:rPr>
            </w:pPr>
            <w:r>
              <w:rPr>
                <w:rFonts w:ascii="Times New Roman" w:hAnsi="Times New Roman"/>
                <w:noProof/>
              </w:rPr>
              <w:t xml:space="preserve">dezvoltarea </w:t>
            </w:r>
            <w:r>
              <w:rPr>
                <w:rFonts w:ascii="Times New Roman" w:hAnsi="Times New Roman" w:cs="Times New Roman"/>
                <w:noProof/>
                <w:szCs w:val="18"/>
              </w:rPr>
              <w:t>sau achiziționarea de instrumente, sisteme, software, hardware, echipamente sau servicii informatice (inclusiv servicii de consultanță) pentru</w:t>
            </w:r>
            <w:r>
              <w:rPr>
                <w:rFonts w:ascii="Times New Roman" w:hAnsi="Times New Roman"/>
                <w:noProof/>
              </w:rPr>
              <w:t xml:space="preserve"> supravegherea sănătății publice</w:t>
            </w:r>
          </w:p>
          <w:p w14:paraId="6A4E69D8" w14:textId="77777777" w:rsidR="00011DE9" w:rsidRDefault="00011DE9">
            <w:pPr>
              <w:pStyle w:val="P68B1DB1-ListParagraph43"/>
              <w:numPr>
                <w:ilvl w:val="0"/>
                <w:numId w:val="148"/>
              </w:numPr>
              <w:spacing w:after="0" w:line="240" w:lineRule="auto"/>
              <w:rPr>
                <w:rFonts w:cs="Times New Roman"/>
                <w:noProof/>
                <w:szCs w:val="18"/>
              </w:rPr>
            </w:pPr>
            <w:r>
              <w:rPr>
                <w:noProof/>
              </w:rPr>
              <w:t xml:space="preserve">achiziționarea de </w:t>
            </w:r>
            <w:r>
              <w:rPr>
                <w:noProof/>
                <w:szCs w:val="18"/>
              </w:rPr>
              <w:t>infrastructură pentru servere, software sau</w:t>
            </w:r>
            <w:r>
              <w:rPr>
                <w:noProof/>
              </w:rPr>
              <w:t xml:space="preserve"> echipamente pentru Centrul Național de Sănătate Publică;</w:t>
            </w:r>
          </w:p>
          <w:p w14:paraId="5D3F8205" w14:textId="77777777" w:rsidR="00011DE9" w:rsidRDefault="00011DE9">
            <w:pPr>
              <w:pStyle w:val="P68B1DB1-ListParagraph43"/>
              <w:numPr>
                <w:ilvl w:val="0"/>
                <w:numId w:val="148"/>
              </w:numPr>
              <w:spacing w:after="0" w:line="240" w:lineRule="auto"/>
              <w:rPr>
                <w:rFonts w:cs="Times New Roman"/>
                <w:noProof/>
                <w:szCs w:val="18"/>
              </w:rPr>
            </w:pPr>
            <w:r>
              <w:rPr>
                <w:noProof/>
              </w:rPr>
              <w:t xml:space="preserve">achiziționarea de: </w:t>
            </w:r>
          </w:p>
          <w:p w14:paraId="686BF200" w14:textId="77777777" w:rsidR="00011DE9" w:rsidRDefault="00011DE9">
            <w:pPr>
              <w:pStyle w:val="P68B1DB1-ListParagraph43"/>
              <w:numPr>
                <w:ilvl w:val="0"/>
                <w:numId w:val="148"/>
              </w:numPr>
              <w:spacing w:after="0" w:line="240" w:lineRule="auto"/>
              <w:ind w:left="1365"/>
              <w:rPr>
                <w:rFonts w:cs="Times New Roman"/>
                <w:noProof/>
                <w:szCs w:val="18"/>
              </w:rPr>
            </w:pPr>
            <w:r>
              <w:rPr>
                <w:noProof/>
              </w:rPr>
              <w:t xml:space="preserve">echipamentele Spitalului Universitar din Melilla; </w:t>
            </w:r>
          </w:p>
          <w:p w14:paraId="102FD154" w14:textId="77777777" w:rsidR="00011DE9" w:rsidRDefault="00011DE9">
            <w:pPr>
              <w:pStyle w:val="P68B1DB1-ListParagraph43"/>
              <w:numPr>
                <w:ilvl w:val="0"/>
                <w:numId w:val="148"/>
              </w:numPr>
              <w:spacing w:after="0" w:line="240" w:lineRule="auto"/>
              <w:ind w:left="1365"/>
              <w:rPr>
                <w:rFonts w:cs="Times New Roman"/>
                <w:noProof/>
                <w:szCs w:val="18"/>
              </w:rPr>
            </w:pPr>
            <w:r>
              <w:rPr>
                <w:noProof/>
              </w:rPr>
              <w:t xml:space="preserve">construirea </w:t>
            </w:r>
            <w:r>
              <w:rPr>
                <w:noProof/>
                <w:szCs w:val="18"/>
              </w:rPr>
              <w:t xml:space="preserve">etapei I </w:t>
            </w:r>
            <w:r>
              <w:rPr>
                <w:noProof/>
              </w:rPr>
              <w:t>a Centrului Național de Dozimetrie;</w:t>
            </w:r>
          </w:p>
          <w:p w14:paraId="157E4980" w14:textId="77777777" w:rsidR="00011DE9" w:rsidRDefault="00011DE9">
            <w:pPr>
              <w:pStyle w:val="P68B1DB1-ListParagraph43"/>
              <w:numPr>
                <w:ilvl w:val="0"/>
                <w:numId w:val="148"/>
              </w:numPr>
              <w:spacing w:after="0" w:line="240" w:lineRule="auto"/>
              <w:ind w:left="1365"/>
              <w:rPr>
                <w:rFonts w:cs="Times New Roman"/>
                <w:noProof/>
                <w:szCs w:val="18"/>
              </w:rPr>
            </w:pPr>
            <w:r>
              <w:rPr>
                <w:noProof/>
              </w:rPr>
              <w:t>echipamente</w:t>
            </w:r>
            <w:r>
              <w:rPr>
                <w:noProof/>
                <w:szCs w:val="18"/>
              </w:rPr>
              <w:t>, renovarea laboratoarelor și formarea personalului</w:t>
            </w:r>
            <w:r>
              <w:rPr>
                <w:noProof/>
              </w:rPr>
              <w:t xml:space="preserve"> la Institutul Național de Securitate și Sănătate în Muncă/CNMP; </w:t>
            </w:r>
          </w:p>
          <w:p w14:paraId="28D68001" w14:textId="77777777" w:rsidR="00011DE9" w:rsidRDefault="00011DE9">
            <w:pPr>
              <w:pStyle w:val="P68B1DB1-ListParagraph43"/>
              <w:numPr>
                <w:ilvl w:val="0"/>
                <w:numId w:val="148"/>
              </w:numPr>
              <w:spacing w:after="0" w:line="240" w:lineRule="auto"/>
              <w:ind w:left="1365"/>
              <w:rPr>
                <w:rFonts w:cs="Times New Roman"/>
                <w:noProof/>
                <w:szCs w:val="18"/>
              </w:rPr>
            </w:pPr>
            <w:r>
              <w:rPr>
                <w:noProof/>
                <w:szCs w:val="18"/>
              </w:rPr>
              <w:t xml:space="preserve">echipamente pentru </w:t>
            </w:r>
            <w:r>
              <w:rPr>
                <w:noProof/>
              </w:rPr>
              <w:t xml:space="preserve">Centrul Național pentru Alimentație; </w:t>
            </w:r>
          </w:p>
          <w:p w14:paraId="47F96B4C" w14:textId="77777777" w:rsidR="00011DE9" w:rsidRDefault="00011DE9">
            <w:pPr>
              <w:pStyle w:val="P68B1DB1-ListParagraph43"/>
              <w:numPr>
                <w:ilvl w:val="0"/>
                <w:numId w:val="148"/>
              </w:numPr>
              <w:spacing w:after="0" w:line="240" w:lineRule="auto"/>
              <w:ind w:left="1365"/>
              <w:rPr>
                <w:rFonts w:cs="Times New Roman"/>
                <w:noProof/>
                <w:szCs w:val="18"/>
              </w:rPr>
            </w:pPr>
            <w:r>
              <w:rPr>
                <w:noProof/>
                <w:szCs w:val="18"/>
              </w:rPr>
              <w:t xml:space="preserve">echipamente, dezvoltare de sisteme și software pentru </w:t>
            </w:r>
            <w:r>
              <w:rPr>
                <w:noProof/>
              </w:rPr>
              <w:t>Agenția pentru Medicamente și Produse de Sănătate și</w:t>
            </w:r>
          </w:p>
          <w:p w14:paraId="469620A5" w14:textId="77777777" w:rsidR="00011DE9" w:rsidRDefault="00011DE9">
            <w:pPr>
              <w:pStyle w:val="P68B1DB1-ListParagraph43"/>
              <w:numPr>
                <w:ilvl w:val="0"/>
                <w:numId w:val="148"/>
              </w:numPr>
              <w:spacing w:after="0" w:line="240" w:lineRule="auto"/>
              <w:ind w:left="1365"/>
              <w:rPr>
                <w:rFonts w:cs="Times New Roman"/>
                <w:noProof/>
                <w:szCs w:val="18"/>
              </w:rPr>
            </w:pPr>
            <w:r>
              <w:rPr>
                <w:noProof/>
                <w:szCs w:val="18"/>
              </w:rPr>
              <w:t xml:space="preserve">echipamente, proiectare și dezvoltare de sisteme și software pentru Organizația </w:t>
            </w:r>
            <w:r>
              <w:rPr>
                <w:noProof/>
              </w:rPr>
              <w:t>Națională de Transplant.</w:t>
            </w:r>
          </w:p>
          <w:p w14:paraId="086F3236" w14:textId="77777777" w:rsidR="00011DE9" w:rsidRDefault="00011DE9">
            <w:pPr>
              <w:spacing w:after="0" w:line="240" w:lineRule="auto"/>
              <w:rPr>
                <w:rFonts w:ascii="Times New Roman" w:hAnsi="Times New Roman" w:cs="Times New Roman"/>
                <w:noProof/>
                <w:sz w:val="18"/>
                <w:szCs w:val="18"/>
              </w:rPr>
            </w:pPr>
          </w:p>
          <w:p w14:paraId="2CE5F40C" w14:textId="77777777" w:rsidR="00011DE9" w:rsidRDefault="00011DE9">
            <w:pPr>
              <w:pStyle w:val="P68B1DB1-Normal19"/>
              <w:spacing w:after="0" w:line="240" w:lineRule="auto"/>
              <w:rPr>
                <w:rFonts w:eastAsia="Times New Roman"/>
                <w:noProof/>
              </w:rPr>
            </w:pPr>
            <w:r>
              <w:rPr>
                <w:noProof/>
              </w:rPr>
              <w:t>În plus, se publică evaluarea performanței sistemului național de sănătate în timpul pandemiei.</w:t>
            </w:r>
          </w:p>
        </w:tc>
      </w:tr>
      <w:tr w:rsidR="00011DE9" w14:paraId="40C119E3" w14:textId="77777777" w:rsidTr="003010A3">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2962EA40" w14:textId="77777777" w:rsidR="00011DE9" w:rsidRDefault="00011DE9">
            <w:pPr>
              <w:pStyle w:val="P68B1DB1-Normal19"/>
              <w:spacing w:after="0" w:line="240" w:lineRule="auto"/>
              <w:jc w:val="center"/>
              <w:rPr>
                <w:rFonts w:eastAsia="Times New Roman"/>
                <w:noProof/>
              </w:rPr>
            </w:pPr>
            <w:r>
              <w:rPr>
                <w:noProof/>
              </w:rPr>
              <w:t>282</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52C1623B" w14:textId="77777777" w:rsidR="00011DE9" w:rsidRDefault="00011DE9">
            <w:pPr>
              <w:pStyle w:val="P68B1DB1-Normal19"/>
              <w:spacing w:after="0" w:line="240" w:lineRule="auto"/>
              <w:jc w:val="center"/>
              <w:rPr>
                <w:rFonts w:eastAsia="Times New Roman"/>
                <w:noProof/>
              </w:rPr>
            </w:pPr>
            <w:r>
              <w:rPr>
                <w:noProof/>
              </w:rPr>
              <w:t>C18.I4</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5FE24820" w14:textId="77777777" w:rsidR="00011DE9" w:rsidRDefault="00011DE9">
            <w:pPr>
              <w:pStyle w:val="P68B1DB1-Normal19"/>
              <w:spacing w:after="0" w:line="240" w:lineRule="auto"/>
              <w:jc w:val="center"/>
              <w:rPr>
                <w:rFonts w:eastAsia="Times New Roman"/>
                <w:noProof/>
              </w:rPr>
            </w:pPr>
            <w:r>
              <w:rPr>
                <w:noProof/>
              </w:rPr>
              <w:t>T</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06F5D389" w14:textId="77777777" w:rsidR="00011DE9" w:rsidRDefault="00011DE9">
            <w:pPr>
              <w:pStyle w:val="P68B1DB1-Normal19"/>
              <w:spacing w:after="0" w:line="240" w:lineRule="auto"/>
              <w:rPr>
                <w:rFonts w:eastAsia="Times New Roman"/>
                <w:noProof/>
              </w:rPr>
            </w:pPr>
            <w:r>
              <w:rPr>
                <w:noProof/>
              </w:rPr>
              <w:t xml:space="preserve">Profesioniștii din domeniul sănătății formați în cadrul planurilor de educație continuă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FC0F56E" w14:textId="77777777" w:rsidR="00011DE9" w:rsidRDefault="00011DE9">
            <w:pPr>
              <w:pStyle w:val="P68B1DB1-Normal19"/>
              <w:spacing w:after="0" w:line="240" w:lineRule="auto"/>
              <w:jc w:val="center"/>
              <w:rPr>
                <w:rFonts w:eastAsia="Times New Roman"/>
                <w:noProof/>
              </w:rPr>
            </w:pPr>
            <w:r>
              <w:rPr>
                <w:noProof/>
              </w:rPr>
              <w:t>—</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8943B73" w14:textId="77777777" w:rsidR="00011DE9" w:rsidRDefault="00011DE9">
            <w:pPr>
              <w:pStyle w:val="P68B1DB1-Normal19"/>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9B99758" w14:textId="77777777" w:rsidR="00011DE9" w:rsidRDefault="00011DE9">
            <w:pPr>
              <w:pStyle w:val="P68B1DB1-Normal19"/>
              <w:spacing w:after="0" w:line="240" w:lineRule="auto"/>
              <w:jc w:val="right"/>
              <w:rPr>
                <w:rFonts w:eastAsia="Times New Roman"/>
                <w:noProof/>
              </w:rPr>
            </w:pPr>
            <w:r>
              <w:rPr>
                <w:noProof/>
              </w:rPr>
              <w:t>0</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5FF012BD" w14:textId="77777777" w:rsidR="00011DE9" w:rsidRDefault="00011DE9">
            <w:pPr>
              <w:pStyle w:val="P68B1DB1-Normal19"/>
              <w:spacing w:after="0" w:line="240" w:lineRule="auto"/>
              <w:jc w:val="right"/>
              <w:rPr>
                <w:rFonts w:eastAsia="Times New Roman"/>
                <w:noProof/>
              </w:rPr>
            </w:pPr>
            <w:r>
              <w:rPr>
                <w:noProof/>
              </w:rPr>
              <w:t>90 000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180BBB99" w14:textId="57FDCB67" w:rsidR="00011DE9" w:rsidRDefault="005701C9">
            <w:pPr>
              <w:pStyle w:val="P68B1DB1-Normal19"/>
              <w:spacing w:after="0" w:line="240" w:lineRule="auto"/>
              <w:jc w:val="center"/>
              <w:rPr>
                <w:rFonts w:eastAsia="Times New Roman"/>
                <w:noProof/>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15289561" w14:textId="77777777" w:rsidR="00011DE9" w:rsidRDefault="00011DE9">
            <w:pPr>
              <w:pStyle w:val="P68B1DB1-Normal19"/>
              <w:spacing w:after="0" w:line="240" w:lineRule="auto"/>
              <w:jc w:val="center"/>
              <w:rPr>
                <w:rFonts w:eastAsia="Times New Roman"/>
                <w:noProof/>
              </w:rPr>
            </w:pPr>
            <w:r>
              <w:rPr>
                <w:noProof/>
              </w:rPr>
              <w:t>2023</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50F777F0" w14:textId="77777777" w:rsidR="00011DE9" w:rsidRDefault="00011DE9">
            <w:pPr>
              <w:pStyle w:val="P68B1DB1-Normal16"/>
              <w:spacing w:after="0" w:line="240" w:lineRule="auto"/>
              <w:rPr>
                <w:rFonts w:cs="Times New Roman"/>
                <w:noProof/>
                <w:sz w:val="18"/>
                <w:szCs w:val="18"/>
              </w:rPr>
            </w:pPr>
            <w:r>
              <w:rPr>
                <w:noProof/>
                <w:sz w:val="18"/>
              </w:rPr>
              <w:t>Cel puțin 90</w:t>
            </w:r>
            <w:r>
              <w:rPr>
                <w:noProof/>
                <w:sz w:val="20"/>
              </w:rPr>
              <w:t xml:space="preserve"> </w:t>
            </w:r>
            <w:r>
              <w:rPr>
                <w:noProof/>
                <w:sz w:val="18"/>
              </w:rPr>
              <w:t>000 de profesioniști din domeniul sănătății au finalizat un total de 360 000 de credite de educație continuă, echivalentul unui total de 3.6 milioane de ore de formare în cadrul planurilor de educație continuă concepute în conformitate cu prioritățile stabilite în definiția C18.I4. Cursurile de formare acoperă: Utilizarea tehnologiilor medicale și a sistemelor de informații, supravegherea sănătății publice și epidemiologia, siguranța pacienților și siguranța profesională, utilizarea rațională a resurselor terapeutice și de diagnosticare, depistarea timpurie a cancerului, sănătatea mintală, sănătatea mediului, prevenirea factorilor de risc, detectarea timpurie a violenței bazate pe gen, detectarea timpurie a abuzurilor asupra copiilor, bioetica, comunicarea clinică, medicina bazată pe dovezi, colaborarea cu alte persoane, metodele de investigare, dezvoltarea competențelor de gestionare ale managerilor instituțiilor sanitare și formarea mentorilor în formarea specializată în domeniul sănătății. Cursurile de formare au fost oferite sub formă de cursuri de formare în clasă, formate de învățare online și mixte și au fost finalizate de profesioniști calificați din domeniul sănătății și de profesioniști calificați din domeniul sănătății în ceea ce privește formarea profesională.</w:t>
            </w:r>
          </w:p>
        </w:tc>
      </w:tr>
      <w:tr w:rsidR="00011DE9" w14:paraId="593F8D83" w14:textId="77777777" w:rsidTr="003010A3">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B0B024A" w14:textId="77777777" w:rsidR="00011DE9" w:rsidRDefault="00011DE9">
            <w:pPr>
              <w:pStyle w:val="P68B1DB1-Normal19"/>
              <w:jc w:val="center"/>
              <w:rPr>
                <w:rFonts w:eastAsia="Times New Roman"/>
                <w:noProof/>
              </w:rPr>
            </w:pPr>
            <w:r>
              <w:rPr>
                <w:noProof/>
              </w:rPr>
              <w:t>464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0063AF26" w14:textId="77777777" w:rsidR="00011DE9" w:rsidRDefault="00011DE9">
            <w:pPr>
              <w:pStyle w:val="P68B1DB1-Normal19"/>
              <w:jc w:val="center"/>
              <w:rPr>
                <w:rFonts w:eastAsia="Times New Roman"/>
                <w:noProof/>
              </w:rPr>
            </w:pPr>
            <w:r>
              <w:rPr>
                <w:noProof/>
              </w:rPr>
              <w:t>C18.I5</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0B42E541" w14:textId="77777777" w:rsidR="00011DE9" w:rsidRDefault="00011DE9">
            <w:pPr>
              <w:pStyle w:val="P68B1DB1-Normal19"/>
              <w:jc w:val="center"/>
              <w:rPr>
                <w:rFonts w:eastAsia="Times New Roman"/>
                <w:noProof/>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206194AE" w14:textId="77777777" w:rsidR="00011DE9" w:rsidRDefault="00011DE9">
            <w:pPr>
              <w:pStyle w:val="P68B1DB1-Normal19"/>
              <w:spacing w:line="240" w:lineRule="auto"/>
              <w:rPr>
                <w:rFonts w:eastAsia="Times New Roman"/>
                <w:noProof/>
              </w:rPr>
            </w:pPr>
            <w:r>
              <w:rPr>
                <w:noProof/>
              </w:rPr>
              <w:t>Executarea contractelor sau a părților corespunzătoare ale acestora referitoare la infrastructura informatică, dezvoltarea sistemelor informatice, cazuri de utilizare, licențe și campanii de informare privind medicamentele sau produsele farmaceutice, produsele dietetice și serviciile ortoprostetice</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5A91A38D" w14:textId="77777777" w:rsidR="00011DE9" w:rsidRDefault="00011DE9">
            <w:pPr>
              <w:pStyle w:val="P68B1DB1-Normal19"/>
              <w:spacing w:line="240" w:lineRule="auto"/>
              <w:jc w:val="center"/>
              <w:rPr>
                <w:rFonts w:eastAsia="Times New Roman"/>
                <w:noProof/>
              </w:rPr>
            </w:pPr>
            <w:r>
              <w:rPr>
                <w:noProof/>
              </w:rPr>
              <w:t>Certificate de acceptare, declarații de conformitate sau documente echivalente care certifică executarea contractelor (sau, după caz, a unor părți ale acestora)</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03C4CB3" w14:textId="77777777" w:rsidR="00011DE9" w:rsidRDefault="00011DE9">
            <w:pPr>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457438C" w14:textId="77777777" w:rsidR="00011DE9" w:rsidRDefault="00011DE9">
            <w:pPr>
              <w:jc w:val="right"/>
              <w:rPr>
                <w:rFonts w:ascii="Times New Roman" w:eastAsia="Times New Roman" w:hAnsi="Times New Roman" w:cs="Times New Roman"/>
                <w:noProof/>
                <w:sz w:val="18"/>
                <w:szCs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62C72780" w14:textId="77777777" w:rsidR="00011DE9" w:rsidRDefault="00011DE9">
            <w:pPr>
              <w:jc w:val="right"/>
              <w:rPr>
                <w:rFonts w:ascii="Times New Roman" w:eastAsia="Times New Roman" w:hAnsi="Times New Roman" w:cs="Times New Roman"/>
                <w:noProof/>
                <w:sz w:val="18"/>
                <w:szCs w:val="18"/>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0D434AF2" w14:textId="1167DCE0" w:rsidR="00011DE9" w:rsidRDefault="005701C9">
            <w:pPr>
              <w:pStyle w:val="P68B1DB1-Normal19"/>
              <w:jc w:val="center"/>
              <w:rPr>
                <w:rFonts w:eastAsia="Times New Roman"/>
                <w:noProof/>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699ED98A" w14:textId="77777777" w:rsidR="00011DE9" w:rsidRDefault="00011DE9">
            <w:pPr>
              <w:pStyle w:val="P68B1DB1-Normal19"/>
              <w:jc w:val="center"/>
              <w:rPr>
                <w:rFonts w:eastAsia="Times New Roman"/>
                <w:noProof/>
              </w:rPr>
            </w:pPr>
            <w:r>
              <w:rPr>
                <w:noProof/>
              </w:rPr>
              <w:t>2026</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0E0C62BF" w14:textId="77777777" w:rsidR="00011DE9" w:rsidRDefault="00011DE9">
            <w:pPr>
              <w:pStyle w:val="P68B1DB1-Normal19"/>
              <w:spacing w:line="240" w:lineRule="auto"/>
              <w:rPr>
                <w:noProof/>
              </w:rPr>
            </w:pPr>
            <w:r>
              <w:rPr>
                <w:noProof/>
              </w:rPr>
              <w:t>Confirmarea de către administrație a faptului că au fost încheiate contracte (inclusiv modificări) referitoare la achiziționarea de spații creative și media și evaluarea finală pentru o campanie de informare privind utilizarea medicamentelor generice și biosimilare.</w:t>
            </w:r>
          </w:p>
          <w:p w14:paraId="0C34E42D" w14:textId="77777777" w:rsidR="00011DE9" w:rsidRDefault="00011DE9">
            <w:pPr>
              <w:pStyle w:val="P68B1DB1-Normal20"/>
              <w:spacing w:line="240" w:lineRule="auto"/>
              <w:rPr>
                <w:noProof/>
              </w:rPr>
            </w:pPr>
            <w:r>
              <w:rPr>
                <w:noProof/>
              </w:rPr>
              <w:t>Confirmarea de către administrație a executării contractelor (inclusiv a modificărilor) sau a părților corespunzătoare ale acestora pentru o sumă totală atribuită de 10.4 milioane EUR referitoare la achiziționarea de:</w:t>
            </w:r>
          </w:p>
          <w:p w14:paraId="64223AF5" w14:textId="77777777" w:rsidR="00011DE9" w:rsidRDefault="00011DE9">
            <w:pPr>
              <w:pStyle w:val="P68B1DB1-ListParagraph44"/>
              <w:numPr>
                <w:ilvl w:val="0"/>
                <w:numId w:val="149"/>
              </w:numPr>
              <w:spacing w:line="240" w:lineRule="auto"/>
              <w:rPr>
                <w:noProof/>
              </w:rPr>
            </w:pPr>
            <w:r>
              <w:rPr>
                <w:noProof/>
              </w:rPr>
              <w:t>servere, software de virtualizare și sisteme de analiză a datelor pentru îmbunătățirea evaluării medicamentelor, a tehnologiilor medicale și a sistemului de beneficii (REVALMED, VALTERMED, RedETS) sau raționalizarea utilizării medicamentelor;</w:t>
            </w:r>
          </w:p>
          <w:p w14:paraId="103CB414" w14:textId="77777777" w:rsidR="00011DE9" w:rsidRDefault="00011DE9">
            <w:pPr>
              <w:pStyle w:val="P68B1DB1-ListParagraph44"/>
              <w:numPr>
                <w:ilvl w:val="0"/>
                <w:numId w:val="149"/>
              </w:numPr>
              <w:spacing w:line="240" w:lineRule="auto"/>
              <w:rPr>
                <w:noProof/>
              </w:rPr>
            </w:pPr>
            <w:r>
              <w:rPr>
                <w:noProof/>
              </w:rPr>
              <w:t>un sistem de informare pentru furnizarea de produse dietetice (SIPRODI);</w:t>
            </w:r>
          </w:p>
          <w:p w14:paraId="03D52C66" w14:textId="77777777" w:rsidR="00011DE9" w:rsidRDefault="00011DE9">
            <w:pPr>
              <w:pStyle w:val="P68B1DB1-ListParagraph44"/>
              <w:numPr>
                <w:ilvl w:val="0"/>
                <w:numId w:val="149"/>
              </w:numPr>
              <w:spacing w:line="240" w:lineRule="auto"/>
              <w:rPr>
                <w:noProof/>
              </w:rPr>
            </w:pPr>
            <w:r>
              <w:rPr>
                <w:noProof/>
              </w:rPr>
              <w:t>campania RedETS,</w:t>
            </w:r>
          </w:p>
          <w:p w14:paraId="24150352" w14:textId="77777777" w:rsidR="00011DE9" w:rsidRDefault="00011DE9">
            <w:pPr>
              <w:pStyle w:val="P68B1DB1-ListParagraph43"/>
              <w:numPr>
                <w:ilvl w:val="0"/>
                <w:numId w:val="149"/>
              </w:numPr>
              <w:spacing w:line="240" w:lineRule="auto"/>
              <w:rPr>
                <w:noProof/>
                <w:szCs w:val="18"/>
              </w:rPr>
            </w:pPr>
            <w:r>
              <w:rPr>
                <w:noProof/>
                <w:szCs w:val="18"/>
              </w:rPr>
              <w:t xml:space="preserve">dezvoltarea unui sistem de </w:t>
            </w:r>
            <w:r>
              <w:rPr>
                <w:noProof/>
              </w:rPr>
              <w:t xml:space="preserve">informații pentru </w:t>
            </w:r>
            <w:r>
              <w:rPr>
                <w:noProof/>
                <w:szCs w:val="18"/>
              </w:rPr>
              <w:t>prescrierea</w:t>
            </w:r>
            <w:r>
              <w:rPr>
                <w:noProof/>
              </w:rPr>
              <w:t xml:space="preserve"> </w:t>
            </w:r>
            <w:r>
              <w:rPr>
                <w:noProof/>
                <w:szCs w:val="18"/>
              </w:rPr>
              <w:t>serviciilor ortoprotetice (OFEPO, RELPO)</w:t>
            </w:r>
            <w:r>
              <w:rPr>
                <w:noProof/>
              </w:rPr>
              <w:t>;</w:t>
            </w:r>
          </w:p>
          <w:p w14:paraId="552D3874" w14:textId="77777777" w:rsidR="00011DE9" w:rsidRDefault="00011DE9">
            <w:pPr>
              <w:pStyle w:val="P68B1DB1-ListParagraph44"/>
              <w:numPr>
                <w:ilvl w:val="0"/>
                <w:numId w:val="149"/>
              </w:numPr>
              <w:spacing w:line="240" w:lineRule="auto"/>
              <w:rPr>
                <w:noProof/>
              </w:rPr>
            </w:pPr>
            <w:r>
              <w:rPr>
                <w:noProof/>
              </w:rPr>
              <w:t>reproiectarea sistemelor informatice de control al cheltuielilor farmaceutice (RECETAWEB) și de control al aprovizionării cu medicamente (SEGUIMED);</w:t>
            </w:r>
          </w:p>
          <w:p w14:paraId="42DBA7E9" w14:textId="77777777" w:rsidR="00011DE9" w:rsidRDefault="00011DE9">
            <w:pPr>
              <w:pStyle w:val="P68B1DB1-ListParagraph44"/>
              <w:numPr>
                <w:ilvl w:val="0"/>
                <w:numId w:val="149"/>
              </w:numPr>
              <w:spacing w:line="240" w:lineRule="auto"/>
              <w:rPr>
                <w:noProof/>
              </w:rPr>
            </w:pPr>
            <w:r>
              <w:rPr>
                <w:noProof/>
              </w:rPr>
              <w:t>dezvoltarea de cazuri de utilizare pentru analiza trialurilor clinice cu tratamente inovatoare și a efectelor acestora;</w:t>
            </w:r>
          </w:p>
          <w:p w14:paraId="7FC57374" w14:textId="77777777" w:rsidR="00011DE9" w:rsidRDefault="00011DE9">
            <w:pPr>
              <w:pStyle w:val="P68B1DB1-ListParagraph44"/>
              <w:numPr>
                <w:ilvl w:val="0"/>
                <w:numId w:val="149"/>
              </w:numPr>
              <w:spacing w:line="240" w:lineRule="auto"/>
              <w:rPr>
                <w:noProof/>
              </w:rPr>
            </w:pPr>
            <w:r>
              <w:rPr>
                <w:noProof/>
              </w:rPr>
              <w:t>dezvoltarea de cazuri de utilizare a analizei pentru îmbunătățirea evaluării medicamentelor, a tehnologiilor medicale și a sistemului de beneficii</w:t>
            </w:r>
          </w:p>
          <w:p w14:paraId="54EB12DD" w14:textId="77777777" w:rsidR="00011DE9" w:rsidRDefault="00011DE9">
            <w:pPr>
              <w:pStyle w:val="P68B1DB1-ListParagraph44"/>
              <w:numPr>
                <w:ilvl w:val="0"/>
                <w:numId w:val="149"/>
              </w:numPr>
              <w:spacing w:line="240" w:lineRule="auto"/>
              <w:rPr>
                <w:rFonts w:eastAsia="Times New Roman" w:cs="Times New Roman"/>
                <w:noProof/>
              </w:rPr>
            </w:pPr>
            <w:r>
              <w:rPr>
                <w:noProof/>
              </w:rPr>
              <w:t>licențe de proces în limbajul natural.</w:t>
            </w:r>
          </w:p>
        </w:tc>
      </w:tr>
      <w:tr w:rsidR="00011DE9" w14:paraId="47D530DA" w14:textId="77777777" w:rsidTr="003010A3">
        <w:trPr>
          <w:trHeight w:val="309"/>
        </w:trPr>
        <w:tc>
          <w:tcPr>
            <w:tcW w:w="837" w:type="dxa"/>
            <w:shd w:val="clear" w:color="auto" w:fill="C6EFCE"/>
            <w:noWrap/>
          </w:tcPr>
          <w:p w14:paraId="7624C3A3" w14:textId="77777777" w:rsidR="00011DE9" w:rsidRDefault="00011DE9">
            <w:pPr>
              <w:pStyle w:val="P68B1DB1-Normal19"/>
              <w:spacing w:after="0" w:line="240" w:lineRule="auto"/>
              <w:jc w:val="center"/>
              <w:rPr>
                <w:noProof/>
              </w:rPr>
            </w:pPr>
            <w:r>
              <w:rPr>
                <w:noProof/>
              </w:rPr>
              <w:t>465</w:t>
            </w:r>
          </w:p>
        </w:tc>
        <w:tc>
          <w:tcPr>
            <w:tcW w:w="828" w:type="dxa"/>
            <w:shd w:val="clear" w:color="auto" w:fill="C6EFCE"/>
            <w:noWrap/>
          </w:tcPr>
          <w:p w14:paraId="7B723760" w14:textId="77777777" w:rsidR="00011DE9" w:rsidRDefault="00011DE9">
            <w:pPr>
              <w:pStyle w:val="P68B1DB1-Normal19"/>
              <w:spacing w:after="0" w:line="240" w:lineRule="auto"/>
              <w:jc w:val="center"/>
              <w:rPr>
                <w:noProof/>
              </w:rPr>
            </w:pPr>
            <w:r>
              <w:rPr>
                <w:noProof/>
              </w:rPr>
              <w:t>C18.I4</w:t>
            </w:r>
          </w:p>
        </w:tc>
        <w:tc>
          <w:tcPr>
            <w:tcW w:w="814" w:type="dxa"/>
            <w:shd w:val="clear" w:color="auto" w:fill="C6EFCE"/>
            <w:noWrap/>
          </w:tcPr>
          <w:p w14:paraId="67C3651E" w14:textId="77777777" w:rsidR="00011DE9" w:rsidRDefault="00011DE9">
            <w:pPr>
              <w:pStyle w:val="P68B1DB1-Normal19"/>
              <w:spacing w:after="0" w:line="240" w:lineRule="auto"/>
              <w:jc w:val="center"/>
              <w:rPr>
                <w:noProof/>
              </w:rPr>
            </w:pPr>
            <w:r>
              <w:rPr>
                <w:noProof/>
              </w:rPr>
              <w:t>T</w:t>
            </w:r>
          </w:p>
        </w:tc>
        <w:tc>
          <w:tcPr>
            <w:tcW w:w="2733" w:type="dxa"/>
            <w:shd w:val="clear" w:color="auto" w:fill="C6EFCE"/>
            <w:noWrap/>
          </w:tcPr>
          <w:p w14:paraId="4E0B2ADB" w14:textId="77777777" w:rsidR="00011DE9" w:rsidRDefault="00011DE9">
            <w:pPr>
              <w:pStyle w:val="P68B1DB1-Normal19"/>
              <w:spacing w:after="0" w:line="240" w:lineRule="auto"/>
              <w:rPr>
                <w:rFonts w:eastAsia="Times New Roman"/>
                <w:noProof/>
              </w:rPr>
            </w:pPr>
            <w:r>
              <w:rPr>
                <w:noProof/>
              </w:rPr>
              <w:t>Contracte sau părți corespunzătoare ale acestora executate în legătură cu proiectul rețelei UNICAS și pentru îmbunătățirea asistenței medicale pentru pacienții cu boli rare sau SLA</w:t>
            </w:r>
          </w:p>
        </w:tc>
        <w:tc>
          <w:tcPr>
            <w:tcW w:w="993" w:type="dxa"/>
            <w:shd w:val="clear" w:color="auto" w:fill="C6EFCE"/>
            <w:noWrap/>
          </w:tcPr>
          <w:p w14:paraId="1D77F02C" w14:textId="77777777" w:rsidR="00011DE9" w:rsidRDefault="00011DE9">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1D458EF2" w14:textId="77777777" w:rsidR="00011DE9" w:rsidRDefault="00011DE9">
            <w:pPr>
              <w:pStyle w:val="P68B1DB1-Normal19"/>
              <w:spacing w:after="0" w:line="240" w:lineRule="auto"/>
              <w:jc w:val="center"/>
              <w:rPr>
                <w:noProof/>
              </w:rPr>
            </w:pPr>
            <w:r>
              <w:rPr>
                <w:noProof/>
              </w:rPr>
              <w:t xml:space="preserve">Milioane EUR </w:t>
            </w:r>
          </w:p>
        </w:tc>
        <w:tc>
          <w:tcPr>
            <w:tcW w:w="992" w:type="dxa"/>
            <w:shd w:val="clear" w:color="auto" w:fill="C6EFCE"/>
            <w:noWrap/>
          </w:tcPr>
          <w:p w14:paraId="10898DEB" w14:textId="77777777" w:rsidR="00011DE9" w:rsidRDefault="00011DE9">
            <w:pPr>
              <w:pStyle w:val="P68B1DB1-Normal19"/>
              <w:spacing w:after="0" w:line="240" w:lineRule="auto"/>
              <w:jc w:val="right"/>
              <w:rPr>
                <w:noProof/>
              </w:rPr>
            </w:pPr>
            <w:r>
              <w:rPr>
                <w:noProof/>
              </w:rPr>
              <w:t>0</w:t>
            </w:r>
          </w:p>
        </w:tc>
        <w:tc>
          <w:tcPr>
            <w:tcW w:w="757" w:type="dxa"/>
            <w:shd w:val="clear" w:color="auto" w:fill="C6EFCE"/>
            <w:noWrap/>
          </w:tcPr>
          <w:p w14:paraId="08162619" w14:textId="77777777" w:rsidR="00011DE9" w:rsidRDefault="00011DE9">
            <w:pPr>
              <w:pStyle w:val="P68B1DB1-Normal19"/>
              <w:spacing w:after="0" w:line="240" w:lineRule="auto"/>
              <w:jc w:val="right"/>
              <w:rPr>
                <w:rFonts w:eastAsia="Times New Roman"/>
                <w:noProof/>
              </w:rPr>
            </w:pPr>
            <w:r>
              <w:rPr>
                <w:noProof/>
              </w:rPr>
              <w:t>50</w:t>
            </w:r>
          </w:p>
        </w:tc>
        <w:tc>
          <w:tcPr>
            <w:tcW w:w="553" w:type="dxa"/>
            <w:shd w:val="clear" w:color="auto" w:fill="C6EFCE"/>
            <w:noWrap/>
          </w:tcPr>
          <w:p w14:paraId="54C049A0" w14:textId="5705D61B" w:rsidR="00011DE9" w:rsidRDefault="005701C9">
            <w:pPr>
              <w:pStyle w:val="P68B1DB1-Normal19"/>
              <w:spacing w:after="0" w:line="240" w:lineRule="auto"/>
              <w:jc w:val="center"/>
              <w:rPr>
                <w:noProof/>
              </w:rPr>
            </w:pPr>
            <w:r>
              <w:rPr>
                <w:noProof/>
              </w:rPr>
              <w:t>T2</w:t>
            </w:r>
          </w:p>
        </w:tc>
        <w:tc>
          <w:tcPr>
            <w:tcW w:w="553" w:type="dxa"/>
            <w:shd w:val="clear" w:color="auto" w:fill="C6EFCE"/>
            <w:noWrap/>
          </w:tcPr>
          <w:p w14:paraId="6FD54FF8" w14:textId="77777777" w:rsidR="00011DE9" w:rsidRDefault="00011DE9">
            <w:pPr>
              <w:pStyle w:val="P68B1DB1-Normal19"/>
              <w:spacing w:after="0" w:line="240" w:lineRule="auto"/>
              <w:jc w:val="center"/>
              <w:rPr>
                <w:noProof/>
              </w:rPr>
            </w:pPr>
            <w:r>
              <w:rPr>
                <w:noProof/>
              </w:rPr>
              <w:t>2026</w:t>
            </w:r>
          </w:p>
        </w:tc>
        <w:tc>
          <w:tcPr>
            <w:tcW w:w="5517" w:type="dxa"/>
            <w:shd w:val="clear" w:color="auto" w:fill="C6EFCE"/>
            <w:noWrap/>
          </w:tcPr>
          <w:p w14:paraId="6569DCEB" w14:textId="77777777" w:rsidR="00011DE9" w:rsidRDefault="00011DE9">
            <w:pPr>
              <w:pStyle w:val="P68B1DB1-Normal19"/>
              <w:spacing w:after="0" w:line="240" w:lineRule="auto"/>
              <w:rPr>
                <w:noProof/>
              </w:rPr>
            </w:pPr>
            <w:r>
              <w:rPr>
                <w:noProof/>
              </w:rPr>
              <w:t>Confirmarea de către administrație a executării contractelor (inclusiv a modificărilor) sau a părților corespunzătoare ale acestora pentru o sumă totală atribuită de 50 milioane EUR referitoare la achiziționarea de:</w:t>
            </w:r>
          </w:p>
          <w:p w14:paraId="294D1F14" w14:textId="77777777" w:rsidR="00011DE9" w:rsidRDefault="00011DE9">
            <w:pPr>
              <w:pStyle w:val="P68B1DB1-ListParagraph43"/>
              <w:numPr>
                <w:ilvl w:val="0"/>
                <w:numId w:val="149"/>
              </w:numPr>
              <w:spacing w:after="0" w:line="240" w:lineRule="auto"/>
              <w:rPr>
                <w:rFonts w:eastAsia="Times New Roman" w:cs="Times New Roman"/>
                <w:noProof/>
                <w:szCs w:val="18"/>
              </w:rPr>
            </w:pPr>
            <w:r>
              <w:rPr>
                <w:noProof/>
              </w:rPr>
              <w:t xml:space="preserve">servicii (inclusiv servicii de dezvoltare de software), </w:t>
            </w:r>
            <w:r>
              <w:rPr>
                <w:noProof/>
                <w:szCs w:val="18"/>
              </w:rPr>
              <w:t>licențe sau infrastructură IT legate de proiectul rețelei UNICAS;</w:t>
            </w:r>
          </w:p>
          <w:p w14:paraId="0EAE17D6" w14:textId="77777777" w:rsidR="00011DE9" w:rsidRDefault="00011DE9">
            <w:pPr>
              <w:pStyle w:val="P68B1DB1-ListParagraph43"/>
              <w:numPr>
                <w:ilvl w:val="0"/>
                <w:numId w:val="149"/>
              </w:numPr>
              <w:spacing w:after="0" w:line="240" w:lineRule="auto"/>
              <w:rPr>
                <w:rFonts w:eastAsia="Times New Roman" w:cs="Times New Roman"/>
                <w:noProof/>
                <w:szCs w:val="18"/>
              </w:rPr>
            </w:pPr>
            <w:r>
              <w:rPr>
                <w:noProof/>
                <w:szCs w:val="18"/>
              </w:rPr>
              <w:t xml:space="preserve">servicii, facilități, echipamente sau infrastructură </w:t>
            </w:r>
            <w:r>
              <w:rPr>
                <w:noProof/>
              </w:rPr>
              <w:t>pentru îmbunătățirea asistenței medicale pentru pacienții cu boli rare sau SLA.</w:t>
            </w:r>
          </w:p>
        </w:tc>
      </w:tr>
      <w:tr w:rsidR="00011DE9" w14:paraId="3C29924A" w14:textId="77777777" w:rsidTr="003010A3">
        <w:trPr>
          <w:trHeight w:val="309"/>
        </w:trPr>
        <w:tc>
          <w:tcPr>
            <w:tcW w:w="837" w:type="dxa"/>
            <w:shd w:val="clear" w:color="auto" w:fill="C6EFCE"/>
            <w:noWrap/>
          </w:tcPr>
          <w:p w14:paraId="58BFF94E" w14:textId="77777777" w:rsidR="00011DE9" w:rsidRDefault="00011DE9">
            <w:pPr>
              <w:pStyle w:val="P68B1DB1-Normal19"/>
              <w:spacing w:after="0" w:line="240" w:lineRule="auto"/>
              <w:jc w:val="center"/>
              <w:rPr>
                <w:rFonts w:eastAsia="Times New Roman"/>
                <w:noProof/>
              </w:rPr>
            </w:pPr>
            <w:r>
              <w:rPr>
                <w:noProof/>
              </w:rPr>
              <w:t>466</w:t>
            </w:r>
          </w:p>
        </w:tc>
        <w:tc>
          <w:tcPr>
            <w:tcW w:w="828" w:type="dxa"/>
            <w:shd w:val="clear" w:color="auto" w:fill="C6EFCE"/>
            <w:noWrap/>
          </w:tcPr>
          <w:p w14:paraId="57CC0492" w14:textId="77777777" w:rsidR="00011DE9" w:rsidRDefault="00011DE9">
            <w:pPr>
              <w:pStyle w:val="P68B1DB1-Normal19"/>
              <w:spacing w:after="0" w:line="240" w:lineRule="auto"/>
              <w:jc w:val="center"/>
              <w:rPr>
                <w:rFonts w:eastAsia="Times New Roman"/>
                <w:noProof/>
              </w:rPr>
            </w:pPr>
            <w:r>
              <w:rPr>
                <w:noProof/>
              </w:rPr>
              <w:t>C18.I5</w:t>
            </w:r>
          </w:p>
        </w:tc>
        <w:tc>
          <w:tcPr>
            <w:tcW w:w="814" w:type="dxa"/>
            <w:shd w:val="clear" w:color="auto" w:fill="C6EFCE"/>
            <w:noWrap/>
          </w:tcPr>
          <w:p w14:paraId="48D829B5" w14:textId="77777777" w:rsidR="00011DE9" w:rsidRDefault="00011DE9">
            <w:pPr>
              <w:pStyle w:val="P68B1DB1-Normal19"/>
              <w:spacing w:after="0" w:line="240" w:lineRule="auto"/>
              <w:jc w:val="center"/>
              <w:rPr>
                <w:rFonts w:eastAsia="Times New Roman"/>
                <w:noProof/>
              </w:rPr>
            </w:pPr>
            <w:r>
              <w:rPr>
                <w:noProof/>
              </w:rPr>
              <w:t>T</w:t>
            </w:r>
          </w:p>
        </w:tc>
        <w:tc>
          <w:tcPr>
            <w:tcW w:w="2733" w:type="dxa"/>
            <w:shd w:val="clear" w:color="auto" w:fill="C6EFCE"/>
            <w:noWrap/>
          </w:tcPr>
          <w:p w14:paraId="27C4E856" w14:textId="77777777" w:rsidR="00011DE9" w:rsidRDefault="00011DE9">
            <w:pPr>
              <w:pStyle w:val="P68B1DB1-Normal19"/>
              <w:spacing w:after="0" w:line="240" w:lineRule="auto"/>
              <w:rPr>
                <w:rFonts w:eastAsia="Times New Roman"/>
                <w:noProof/>
              </w:rPr>
            </w:pPr>
            <w:r>
              <w:rPr>
                <w:noProof/>
              </w:rPr>
              <w:t>Echipamente sau software pentru testarea genetică și sistemul informatic pentru informații genomice</w:t>
            </w:r>
          </w:p>
        </w:tc>
        <w:tc>
          <w:tcPr>
            <w:tcW w:w="993" w:type="dxa"/>
            <w:shd w:val="clear" w:color="auto" w:fill="C6EFCE"/>
            <w:noWrap/>
          </w:tcPr>
          <w:p w14:paraId="4811EE14" w14:textId="77777777" w:rsidR="00011DE9" w:rsidRDefault="00011DE9">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72E75000" w14:textId="77777777" w:rsidR="00011DE9" w:rsidRDefault="00011DE9">
            <w:pPr>
              <w:pStyle w:val="P68B1DB1-Normal19"/>
              <w:spacing w:after="0" w:line="240" w:lineRule="auto"/>
              <w:jc w:val="center"/>
              <w:rPr>
                <w:rFonts w:eastAsia="Times New Roman"/>
                <w:noProof/>
              </w:rPr>
            </w:pPr>
            <w:r>
              <w:rPr>
                <w:noProof/>
              </w:rPr>
              <w:t xml:space="preserve">Milioane EUR </w:t>
            </w:r>
          </w:p>
        </w:tc>
        <w:tc>
          <w:tcPr>
            <w:tcW w:w="992" w:type="dxa"/>
            <w:shd w:val="clear" w:color="auto" w:fill="C6EFCE"/>
            <w:noWrap/>
          </w:tcPr>
          <w:p w14:paraId="2EF50EEE" w14:textId="77777777" w:rsidR="00011DE9" w:rsidRDefault="00011DE9">
            <w:pPr>
              <w:pStyle w:val="P68B1DB1-Normal19"/>
              <w:spacing w:after="0" w:line="240" w:lineRule="auto"/>
              <w:jc w:val="right"/>
              <w:rPr>
                <w:rFonts w:eastAsia="Times New Roman"/>
                <w:noProof/>
              </w:rPr>
            </w:pPr>
            <w:r>
              <w:rPr>
                <w:noProof/>
              </w:rPr>
              <w:t>0</w:t>
            </w:r>
          </w:p>
        </w:tc>
        <w:tc>
          <w:tcPr>
            <w:tcW w:w="757" w:type="dxa"/>
            <w:shd w:val="clear" w:color="auto" w:fill="C6EFCE"/>
            <w:noWrap/>
          </w:tcPr>
          <w:p w14:paraId="0A4A8EEA" w14:textId="77777777" w:rsidR="00011DE9" w:rsidRDefault="00011DE9">
            <w:pPr>
              <w:pStyle w:val="P68B1DB1-Normal19"/>
              <w:spacing w:after="0" w:line="240" w:lineRule="auto"/>
              <w:jc w:val="right"/>
              <w:rPr>
                <w:rFonts w:eastAsia="Times New Roman"/>
                <w:noProof/>
              </w:rPr>
            </w:pPr>
            <w:r>
              <w:rPr>
                <w:noProof/>
              </w:rPr>
              <w:t>50</w:t>
            </w:r>
          </w:p>
        </w:tc>
        <w:tc>
          <w:tcPr>
            <w:tcW w:w="553" w:type="dxa"/>
            <w:shd w:val="clear" w:color="auto" w:fill="C6EFCE"/>
            <w:noWrap/>
          </w:tcPr>
          <w:p w14:paraId="6959614D" w14:textId="3F52A38C" w:rsidR="00011DE9" w:rsidRDefault="005701C9">
            <w:pPr>
              <w:pStyle w:val="P68B1DB1-Normal19"/>
              <w:spacing w:after="0" w:line="240" w:lineRule="auto"/>
              <w:jc w:val="center"/>
              <w:rPr>
                <w:rFonts w:eastAsia="Times New Roman"/>
                <w:noProof/>
              </w:rPr>
            </w:pPr>
            <w:r>
              <w:rPr>
                <w:noProof/>
              </w:rPr>
              <w:t>T2</w:t>
            </w:r>
          </w:p>
        </w:tc>
        <w:tc>
          <w:tcPr>
            <w:tcW w:w="553" w:type="dxa"/>
            <w:shd w:val="clear" w:color="auto" w:fill="C6EFCE"/>
            <w:noWrap/>
          </w:tcPr>
          <w:p w14:paraId="24F6ACF4" w14:textId="77777777" w:rsidR="00011DE9" w:rsidRDefault="00011DE9">
            <w:pPr>
              <w:pStyle w:val="P68B1DB1-Normal19"/>
              <w:spacing w:after="0" w:line="240" w:lineRule="auto"/>
              <w:jc w:val="center"/>
              <w:rPr>
                <w:rFonts w:eastAsia="Times New Roman"/>
                <w:noProof/>
              </w:rPr>
            </w:pPr>
            <w:r>
              <w:rPr>
                <w:noProof/>
              </w:rPr>
              <w:t>2026</w:t>
            </w:r>
          </w:p>
        </w:tc>
        <w:tc>
          <w:tcPr>
            <w:tcW w:w="5517" w:type="dxa"/>
            <w:shd w:val="clear" w:color="auto" w:fill="C6EFCE"/>
            <w:noWrap/>
          </w:tcPr>
          <w:p w14:paraId="2655C849" w14:textId="77777777" w:rsidR="00011DE9" w:rsidRDefault="00011DE9">
            <w:pPr>
              <w:pStyle w:val="P68B1DB1-Normal20"/>
              <w:spacing w:after="0" w:line="240" w:lineRule="auto"/>
              <w:rPr>
                <w:noProof/>
              </w:rPr>
            </w:pPr>
            <w:r>
              <w:rPr>
                <w:noProof/>
              </w:rPr>
              <w:t>Confirmarea de către administrație a executării contractelor (inclusiv a modificărilor) sau a părților corespunzătoare ale acestora pentru o sumă totală atribuită de 50 milioane EUR referitoare la:</w:t>
            </w:r>
          </w:p>
          <w:p w14:paraId="43F16279" w14:textId="77777777" w:rsidR="00011DE9" w:rsidRDefault="00011DE9">
            <w:pPr>
              <w:pStyle w:val="P68B1DB1-ListParagraph43"/>
              <w:numPr>
                <w:ilvl w:val="0"/>
                <w:numId w:val="149"/>
              </w:numPr>
              <w:spacing w:after="0" w:line="240" w:lineRule="auto"/>
              <w:rPr>
                <w:rFonts w:eastAsia="Times New Roman" w:cs="Times New Roman"/>
                <w:noProof/>
                <w:szCs w:val="18"/>
              </w:rPr>
            </w:pPr>
            <w:r>
              <w:rPr>
                <w:noProof/>
              </w:rPr>
              <w:t xml:space="preserve">achiziționarea de echipamente sau software necesare pentru punerea în aplicare a catalogului extins de teste genetice și </w:t>
            </w:r>
          </w:p>
          <w:p w14:paraId="1E5BA083" w14:textId="77777777" w:rsidR="00011DE9" w:rsidRDefault="00011DE9">
            <w:pPr>
              <w:pStyle w:val="P68B1DB1-ListParagraph43"/>
              <w:numPr>
                <w:ilvl w:val="0"/>
                <w:numId w:val="149"/>
              </w:numPr>
              <w:spacing w:after="0" w:line="240" w:lineRule="auto"/>
              <w:rPr>
                <w:rFonts w:eastAsia="Times New Roman" w:cs="Times New Roman"/>
                <w:noProof/>
                <w:szCs w:val="18"/>
              </w:rPr>
            </w:pPr>
            <w:r>
              <w:rPr>
                <w:noProof/>
                <w:szCs w:val="18"/>
              </w:rPr>
              <w:t>achiziționarea, dezvoltarea sau dezvoltarea în continuare a unor</w:t>
            </w:r>
            <w:r>
              <w:rPr>
                <w:noProof/>
              </w:rPr>
              <w:t xml:space="preserve"> sisteme sau platforme de informații genomice la nivel național și regional.</w:t>
            </w:r>
          </w:p>
        </w:tc>
      </w:tr>
      <w:tr w:rsidR="00011DE9" w14:paraId="599447ED" w14:textId="77777777" w:rsidTr="003010A3">
        <w:trPr>
          <w:trHeight w:val="309"/>
        </w:trPr>
        <w:tc>
          <w:tcPr>
            <w:tcW w:w="837" w:type="dxa"/>
            <w:shd w:val="clear" w:color="auto" w:fill="C6EFCE"/>
            <w:noWrap/>
          </w:tcPr>
          <w:p w14:paraId="21DDEC6A" w14:textId="77777777" w:rsidR="00011DE9" w:rsidRDefault="00011DE9">
            <w:pPr>
              <w:pStyle w:val="P68B1DB1-Normal19"/>
              <w:spacing w:after="0" w:line="240" w:lineRule="auto"/>
              <w:jc w:val="center"/>
              <w:rPr>
                <w:noProof/>
              </w:rPr>
            </w:pPr>
            <w:r>
              <w:rPr>
                <w:noProof/>
              </w:rPr>
              <w:t>466a</w:t>
            </w:r>
          </w:p>
        </w:tc>
        <w:tc>
          <w:tcPr>
            <w:tcW w:w="828" w:type="dxa"/>
            <w:shd w:val="clear" w:color="auto" w:fill="C6EFCE"/>
            <w:noWrap/>
          </w:tcPr>
          <w:p w14:paraId="59C35594" w14:textId="77777777" w:rsidR="00011DE9" w:rsidRDefault="00011DE9">
            <w:pPr>
              <w:pStyle w:val="P68B1DB1-Normal19"/>
              <w:spacing w:after="0" w:line="240" w:lineRule="auto"/>
              <w:jc w:val="center"/>
              <w:rPr>
                <w:noProof/>
              </w:rPr>
            </w:pPr>
            <w:r>
              <w:rPr>
                <w:noProof/>
              </w:rPr>
              <w:t>C18.I6</w:t>
            </w:r>
          </w:p>
        </w:tc>
        <w:tc>
          <w:tcPr>
            <w:tcW w:w="814" w:type="dxa"/>
            <w:shd w:val="clear" w:color="auto" w:fill="C6EFCE"/>
            <w:noWrap/>
          </w:tcPr>
          <w:p w14:paraId="35B6FC03" w14:textId="77777777" w:rsidR="00011DE9" w:rsidRDefault="00011DE9">
            <w:pPr>
              <w:pStyle w:val="P68B1DB1-Normal19"/>
              <w:spacing w:after="0" w:line="240" w:lineRule="auto"/>
              <w:jc w:val="center"/>
              <w:rPr>
                <w:noProof/>
              </w:rPr>
            </w:pPr>
            <w:r>
              <w:rPr>
                <w:noProof/>
              </w:rPr>
              <w:t>M</w:t>
            </w:r>
          </w:p>
        </w:tc>
        <w:tc>
          <w:tcPr>
            <w:tcW w:w="2733" w:type="dxa"/>
            <w:shd w:val="clear" w:color="auto" w:fill="C6EFCE"/>
            <w:noWrap/>
          </w:tcPr>
          <w:p w14:paraId="47EED27C" w14:textId="77777777" w:rsidR="00011DE9" w:rsidRDefault="00011DE9">
            <w:pPr>
              <w:pStyle w:val="P68B1DB1-Normal20"/>
              <w:spacing w:after="0" w:line="240" w:lineRule="auto"/>
              <w:rPr>
                <w:rFonts w:eastAsia="Times New Roman" w:cs="Times New Roman"/>
                <w:noProof/>
              </w:rPr>
            </w:pPr>
            <w:r>
              <w:rPr>
                <w:noProof/>
              </w:rPr>
              <w:t>Spațiul național al datelor privind sănătatea</w:t>
            </w:r>
          </w:p>
        </w:tc>
        <w:tc>
          <w:tcPr>
            <w:tcW w:w="993" w:type="dxa"/>
            <w:shd w:val="clear" w:color="auto" w:fill="C6EFCE"/>
            <w:noWrap/>
          </w:tcPr>
          <w:p w14:paraId="300DBF42" w14:textId="77777777" w:rsidR="00011DE9" w:rsidRDefault="00011DE9">
            <w:pPr>
              <w:pStyle w:val="P68B1DB1-Normal19"/>
              <w:spacing w:after="0" w:line="240" w:lineRule="auto"/>
              <w:jc w:val="center"/>
              <w:rPr>
                <w:noProof/>
              </w:rPr>
            </w:pPr>
            <w:r>
              <w:rPr>
                <w:noProof/>
              </w:rPr>
              <w:t>Certificate de acceptare, declarații de conformitate sau documente echivalente care atestă executarea contractelor (sau, după caz, a unor părți ale acestora) și accesul la interfața ENDS</w:t>
            </w:r>
          </w:p>
        </w:tc>
        <w:tc>
          <w:tcPr>
            <w:tcW w:w="709" w:type="dxa"/>
            <w:shd w:val="clear" w:color="auto" w:fill="C6EFCE"/>
            <w:noWrap/>
          </w:tcPr>
          <w:p w14:paraId="1A6F0326" w14:textId="77777777" w:rsidR="00011DE9" w:rsidRDefault="00011DE9">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2FD876D0" w14:textId="77777777" w:rsidR="00011DE9" w:rsidRDefault="00011DE9">
            <w:pPr>
              <w:spacing w:after="0" w:line="240" w:lineRule="auto"/>
              <w:jc w:val="right"/>
              <w:rPr>
                <w:rFonts w:ascii="Times New Roman" w:hAnsi="Times New Roman" w:cs="Times New Roman"/>
                <w:noProof/>
                <w:sz w:val="18"/>
                <w:szCs w:val="18"/>
              </w:rPr>
            </w:pPr>
          </w:p>
        </w:tc>
        <w:tc>
          <w:tcPr>
            <w:tcW w:w="757" w:type="dxa"/>
            <w:shd w:val="clear" w:color="auto" w:fill="C6EFCE"/>
            <w:noWrap/>
          </w:tcPr>
          <w:p w14:paraId="1E52D145" w14:textId="77777777" w:rsidR="00011DE9" w:rsidRDefault="00011DE9">
            <w:pPr>
              <w:spacing w:after="0" w:line="240" w:lineRule="auto"/>
              <w:jc w:val="right"/>
              <w:rPr>
                <w:rFonts w:ascii="Times New Roman" w:hAnsi="Times New Roman" w:cs="Times New Roman"/>
                <w:noProof/>
                <w:sz w:val="18"/>
                <w:szCs w:val="18"/>
              </w:rPr>
            </w:pPr>
          </w:p>
        </w:tc>
        <w:tc>
          <w:tcPr>
            <w:tcW w:w="553" w:type="dxa"/>
            <w:shd w:val="clear" w:color="auto" w:fill="C6EFCE"/>
            <w:noWrap/>
          </w:tcPr>
          <w:p w14:paraId="6A331762" w14:textId="5020465C" w:rsidR="00011DE9" w:rsidRDefault="005701C9">
            <w:pPr>
              <w:pStyle w:val="P68B1DB1-Normal19"/>
              <w:spacing w:after="0" w:line="240" w:lineRule="auto"/>
              <w:jc w:val="center"/>
              <w:rPr>
                <w:noProof/>
              </w:rPr>
            </w:pPr>
            <w:r>
              <w:rPr>
                <w:noProof/>
              </w:rPr>
              <w:t>T2</w:t>
            </w:r>
          </w:p>
        </w:tc>
        <w:tc>
          <w:tcPr>
            <w:tcW w:w="553" w:type="dxa"/>
            <w:shd w:val="clear" w:color="auto" w:fill="C6EFCE"/>
            <w:noWrap/>
          </w:tcPr>
          <w:p w14:paraId="45150A34" w14:textId="77777777" w:rsidR="00011DE9" w:rsidRDefault="00011DE9">
            <w:pPr>
              <w:pStyle w:val="P68B1DB1-Normal19"/>
              <w:spacing w:after="0" w:line="240" w:lineRule="auto"/>
              <w:jc w:val="center"/>
              <w:rPr>
                <w:noProof/>
              </w:rPr>
            </w:pPr>
            <w:r>
              <w:rPr>
                <w:noProof/>
              </w:rPr>
              <w:t>2026</w:t>
            </w:r>
          </w:p>
        </w:tc>
        <w:tc>
          <w:tcPr>
            <w:tcW w:w="5517" w:type="dxa"/>
            <w:shd w:val="clear" w:color="auto" w:fill="C6EFCE"/>
            <w:noWrap/>
          </w:tcPr>
          <w:p w14:paraId="5335538B" w14:textId="77777777" w:rsidR="00011DE9" w:rsidRDefault="00011DE9">
            <w:pPr>
              <w:pStyle w:val="P68B1DB1-Normal20"/>
              <w:spacing w:after="0" w:line="240" w:lineRule="auto"/>
              <w:rPr>
                <w:noProof/>
              </w:rPr>
            </w:pPr>
            <w:r>
              <w:rPr>
                <w:noProof/>
              </w:rPr>
              <w:t>Confirmarea din partea administrației că au fost executate contracte (inclusiv modificări) sau părți corespunzătoare ale acestora referitoare la achiziționarea de servere, utilaje de gestionare și de cvorum, elemente de conectivitate și securitate cibernetică, stocare, licențe de backup, licențe, impulsuri pentru spațiul național al datelor privind sănătatea și servicii de sprijin pentru armonizare și excelență europeană în valoare totală de 23 milioane EUR.</w:t>
            </w:r>
          </w:p>
          <w:p w14:paraId="3FD2CF7E" w14:textId="77777777" w:rsidR="00011DE9" w:rsidRDefault="00011DE9">
            <w:pPr>
              <w:spacing w:after="0" w:line="240" w:lineRule="auto"/>
              <w:rPr>
                <w:rFonts w:ascii="Times New Roman" w:hAnsi="Times New Roman"/>
                <w:noProof/>
                <w:sz w:val="18"/>
              </w:rPr>
            </w:pPr>
          </w:p>
          <w:p w14:paraId="156EE001" w14:textId="77777777" w:rsidR="00011DE9" w:rsidRDefault="00011DE9">
            <w:pPr>
              <w:pStyle w:val="P68B1DB1-Normal19"/>
              <w:spacing w:after="0" w:line="240" w:lineRule="auto"/>
              <w:rPr>
                <w:rFonts w:eastAsia="Times New Roman"/>
                <w:noProof/>
              </w:rPr>
            </w:pPr>
            <w:r>
              <w:rPr>
                <w:noProof/>
              </w:rPr>
              <w:t>În plus, se efectuează încărcări de date regionale și sunt disponibile două proiecte de date.</w:t>
            </w:r>
          </w:p>
        </w:tc>
      </w:tr>
    </w:tbl>
    <w:p w14:paraId="28982677" w14:textId="77777777" w:rsidR="00011DE9" w:rsidRDefault="00011DE9">
      <w:pPr>
        <w:spacing w:before="120" w:after="120" w:line="240" w:lineRule="auto"/>
        <w:jc w:val="both"/>
        <w:rPr>
          <w:rFonts w:ascii="Times New Roman" w:hAnsi="Times New Roman" w:cs="Times New Roman"/>
          <w:noProof/>
        </w:rPr>
        <w:sectPr w:rsidR="00011DE9" w:rsidSect="00011DE9">
          <w:headerReference w:type="even" r:id="rId256"/>
          <w:headerReference w:type="default" r:id="rId257"/>
          <w:footerReference w:type="even" r:id="rId258"/>
          <w:footerReference w:type="default" r:id="rId259"/>
          <w:headerReference w:type="first" r:id="rId260"/>
          <w:footerReference w:type="first" r:id="rId261"/>
          <w:pgSz w:w="16839" w:h="11907" w:orient="landscape"/>
          <w:pgMar w:top="1134" w:right="1134" w:bottom="1134" w:left="1134" w:header="567" w:footer="567" w:gutter="0"/>
          <w:cols w:space="720"/>
          <w:docGrid w:linePitch="360"/>
        </w:sectPr>
      </w:pPr>
    </w:p>
    <w:p w14:paraId="70087520" w14:textId="77777777" w:rsidR="00011DE9" w:rsidRDefault="00011DE9">
      <w:pPr>
        <w:pStyle w:val="Heading1"/>
        <w:rPr>
          <w:rFonts w:cs="Times New Roman"/>
          <w:noProof/>
        </w:rPr>
      </w:pPr>
      <w:r>
        <w:rPr>
          <w:noProof/>
        </w:rPr>
        <w:t>S. COMPONENTA 19: Competențe digitale</w:t>
      </w:r>
    </w:p>
    <w:p w14:paraId="0F823AEC" w14:textId="77777777" w:rsidR="00011DE9" w:rsidRDefault="00011DE9">
      <w:pPr>
        <w:pStyle w:val="P68B1DB1-Normal16"/>
        <w:spacing w:before="120" w:after="120" w:line="240" w:lineRule="auto"/>
        <w:jc w:val="both"/>
        <w:rPr>
          <w:rFonts w:cs="Times New Roman"/>
          <w:noProof/>
        </w:rPr>
      </w:pPr>
      <w:r>
        <w:rPr>
          <w:noProof/>
        </w:rPr>
        <w:t xml:space="preserve">Principalul obiectiv al acestei componente a planului spaniol de redresare și reziliență este de a crește nivelul competențelor digitale (de bază și avansate) prin acțiuni adresate diferitelor grupuri de populație. Dobândirea acestor competențe este esențială pentru ca Spania să profite de oportunitățile oferite de digitalizarea sporită a economiei și a societății. </w:t>
      </w:r>
    </w:p>
    <w:p w14:paraId="121B3199" w14:textId="77777777" w:rsidR="00011DE9" w:rsidRDefault="00011DE9">
      <w:pPr>
        <w:pStyle w:val="P68B1DB1-Normal16"/>
        <w:spacing w:before="120" w:after="120" w:line="240" w:lineRule="auto"/>
        <w:jc w:val="both"/>
        <w:rPr>
          <w:rFonts w:cs="Times New Roman"/>
          <w:noProof/>
        </w:rPr>
      </w:pPr>
      <w:r>
        <w:rPr>
          <w:noProof/>
        </w:rPr>
        <w:t xml:space="preserve">Acțiunile specifice pentru digitalizarea IMM-urilor completează măsurile prevăzute în componenta 13 a planului (Sprijin pentru IMM-uri). Acțiunile de creștere a numărului de persoane cu înaltă calificare în domeniul TIC completează acțiunile din cadrul componentei 15 (Conectivitatea digitală). În cele din urmă, acțiunile pentru digitalizarea școlilor ar trebui să consolideze măsurile din cadrul componentei 21 (Educație) și să sporească impactul acțiunilor prevăzute în cadrul componentei 23 (Piața forței de muncă). </w:t>
      </w:r>
    </w:p>
    <w:p w14:paraId="384A8776" w14:textId="77777777" w:rsidR="00011DE9" w:rsidRDefault="00011DE9">
      <w:pPr>
        <w:pStyle w:val="P68B1DB1-Normal16"/>
        <w:spacing w:before="120" w:after="120" w:line="240" w:lineRule="auto"/>
        <w:jc w:val="both"/>
        <w:rPr>
          <w:rFonts w:cs="Times New Roman"/>
          <w:noProof/>
        </w:rPr>
      </w:pPr>
      <w:r>
        <w:rPr>
          <w:noProof/>
        </w:rPr>
        <w:t>Componenta abordează recomandările specifice fiecărei țări privind stimularea inovării (Recomandarea specifică fiecărei țări 3 2019), accesul la învățarea digitală (Recomandarea specifică fiecărei țări 2 2020) și concentrarea la începutul perioadei a proiectelor de investiții publice mature, promovarea investițiilor private pentru a stimula redresarea economică și concentrarea investițiilor asupra tranziției verzi și digitale (Recomandarea specifică fiecărei țări 3 2020).</w:t>
      </w:r>
    </w:p>
    <w:p w14:paraId="1E3B7B48" w14:textId="77777777" w:rsidR="00011DE9" w:rsidRDefault="00011DE9">
      <w:pPr>
        <w:pStyle w:val="P68B1DB1-Normal16"/>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6AF54295" w14:textId="2836EFD0" w:rsidR="00011DE9" w:rsidRDefault="00011DE9">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S.1.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5E084EA1" w14:textId="77777777" w:rsidR="00011DE9" w:rsidRPr="003010A3" w:rsidRDefault="00011DE9">
      <w:pPr>
        <w:pStyle w:val="P68B1DB1-Normal17"/>
        <w:spacing w:before="120" w:after="120" w:line="240" w:lineRule="auto"/>
        <w:jc w:val="both"/>
        <w:rPr>
          <w:rFonts w:cs="Times New Roman"/>
          <w:b w:val="0"/>
          <w:bCs/>
          <w:noProof/>
          <w:sz w:val="24"/>
          <w:u w:val="single"/>
        </w:rPr>
      </w:pPr>
      <w:r w:rsidRPr="003010A3">
        <w:rPr>
          <w:b w:val="0"/>
          <w:bCs/>
          <w:noProof/>
          <w:sz w:val="24"/>
          <w:u w:val="single"/>
        </w:rPr>
        <w:t>Reforma 1 (C19.R1) – Planul național privind competențele digitale</w:t>
      </w:r>
    </w:p>
    <w:p w14:paraId="7FBD641B" w14:textId="77777777" w:rsidR="00011DE9" w:rsidRDefault="00011DE9">
      <w:pPr>
        <w:pStyle w:val="P68B1DB1-Normal16"/>
        <w:spacing w:before="120" w:after="120" w:line="240" w:lineRule="auto"/>
        <w:jc w:val="both"/>
        <w:rPr>
          <w:rFonts w:cs="Times New Roman"/>
          <w:noProof/>
        </w:rPr>
      </w:pPr>
      <w:r>
        <w:rPr>
          <w:noProof/>
        </w:rPr>
        <w:t>Această măsură constă într-un plan strategic care are următoarele obiective: (I) furnizarea de formare în materie de competențe digitale pentru populația generală; (II) reducerea decalajului digital dintre femei și bărbați; (III) digitalizarea sistemului de învățământ și dezvoltarea competențelor digitale pentru învățare; (IV) furnizarea de competențe digitale pentru o mai bună capacitate de inserție profesională a lucrătorilor privați și a șomerilor, (v) sprijinirea competențelor digitale ale lucrătorilor din sectorul public; (VI) dezvoltarea competențelor digitale în IMM-uri; și (vii) creșterea numărului de specialiști în domeniul TIC. Investițiile în componentă contribuie la abordarea obiectivelor planului strategic.</w:t>
      </w:r>
    </w:p>
    <w:p w14:paraId="1FB6560C" w14:textId="77777777" w:rsidR="00011DE9" w:rsidRDefault="00011DE9">
      <w:pPr>
        <w:pStyle w:val="P68B1DB1-Normal16"/>
        <w:spacing w:before="120" w:after="120" w:line="240" w:lineRule="auto"/>
        <w:jc w:val="both"/>
        <w:rPr>
          <w:rFonts w:cs="Times New Roman"/>
          <w:noProof/>
        </w:rPr>
      </w:pPr>
      <w:r>
        <w:rPr>
          <w:noProof/>
        </w:rPr>
        <w:t>Punerea în aplicare a măsurii se finalizează până la 31 ianuarie 2021.</w:t>
      </w:r>
    </w:p>
    <w:p w14:paraId="310FD61D" w14:textId="77777777" w:rsidR="00011DE9" w:rsidRPr="003010A3" w:rsidRDefault="00011DE9">
      <w:pPr>
        <w:pStyle w:val="P68B1DB1-Normal17"/>
        <w:spacing w:before="120" w:after="120" w:line="240" w:lineRule="auto"/>
        <w:jc w:val="both"/>
        <w:rPr>
          <w:b w:val="0"/>
          <w:bCs/>
          <w:noProof/>
          <w:sz w:val="24"/>
          <w:u w:val="single"/>
        </w:rPr>
      </w:pPr>
      <w:r w:rsidRPr="003010A3">
        <w:rPr>
          <w:b w:val="0"/>
          <w:bCs/>
          <w:noProof/>
          <w:sz w:val="24"/>
          <w:u w:val="single"/>
        </w:rPr>
        <w:t xml:space="preserve">Investiția 1 (C19.I1) – Competențe digitale transversale </w:t>
      </w:r>
    </w:p>
    <w:p w14:paraId="4795E283" w14:textId="77777777" w:rsidR="00011DE9" w:rsidRDefault="00011DE9">
      <w:pPr>
        <w:pStyle w:val="P68B1DB1-Normal16"/>
        <w:spacing w:before="120" w:after="120" w:line="240" w:lineRule="auto"/>
        <w:jc w:val="both"/>
        <w:rPr>
          <w:noProof/>
        </w:rPr>
      </w:pPr>
      <w:r>
        <w:rPr>
          <w:noProof/>
        </w:rPr>
        <w:t>Obiectivul acestei măsuri este de a îmbunătăți nivelul competențelor digitale ale populației. Măsura constă în investiții care sprijină activitățile de consolidare a capacităților și în publicarea unei rețele naționale de centre de formare digitală pe o platformă digitală.</w:t>
      </w:r>
    </w:p>
    <w:p w14:paraId="5C1F9C79" w14:textId="77777777" w:rsidR="00011DE9" w:rsidRPr="003010A3" w:rsidRDefault="00011DE9">
      <w:pPr>
        <w:pStyle w:val="P68B1DB1-Normal17"/>
        <w:spacing w:before="120" w:after="120" w:line="240" w:lineRule="auto"/>
        <w:jc w:val="both"/>
        <w:rPr>
          <w:b w:val="0"/>
          <w:bCs/>
          <w:noProof/>
          <w:sz w:val="24"/>
          <w:u w:val="single"/>
        </w:rPr>
      </w:pPr>
      <w:r w:rsidRPr="003010A3">
        <w:rPr>
          <w:b w:val="0"/>
          <w:bCs/>
          <w:noProof/>
          <w:sz w:val="24"/>
          <w:u w:val="single"/>
        </w:rPr>
        <w:t>Investiția 2 (C19.I2) – Transformarea digitală a educației</w:t>
      </w:r>
    </w:p>
    <w:p w14:paraId="43C2A27A" w14:textId="728CDA32" w:rsidR="00011DE9" w:rsidRDefault="00011DE9">
      <w:pPr>
        <w:pStyle w:val="P68B1DB1-Normal16"/>
        <w:spacing w:before="120" w:after="120" w:line="240" w:lineRule="auto"/>
        <w:jc w:val="both"/>
        <w:rPr>
          <w:rFonts w:cs="Times New Roman"/>
          <w:noProof/>
        </w:rPr>
      </w:pPr>
      <w:r>
        <w:rPr>
          <w:noProof/>
        </w:rPr>
        <w:t>Obiectivul acestei măsuri este de a îmbunătăți accesul la învățarea digitală. Măsura constă în investiții care sprijină acreditarea competențelor digitale pentru personalul didactic, furnizarea de strategii digitale pentru centrele școlare și achiziționarea de dispozitive digitale pentru învățarea digitală.</w:t>
      </w:r>
      <w:r w:rsidR="00971820">
        <w:rPr>
          <w:noProof/>
        </w:rPr>
        <w:t xml:space="preserve"> </w:t>
      </w:r>
    </w:p>
    <w:p w14:paraId="1CDFF7F7" w14:textId="77777777" w:rsidR="00011DE9" w:rsidRPr="003010A3" w:rsidRDefault="00011DE9">
      <w:pPr>
        <w:pStyle w:val="P68B1DB1-Normal17"/>
        <w:spacing w:before="120" w:after="120" w:line="240" w:lineRule="auto"/>
        <w:jc w:val="both"/>
        <w:rPr>
          <w:b w:val="0"/>
          <w:bCs/>
          <w:noProof/>
          <w:sz w:val="24"/>
          <w:u w:val="single"/>
        </w:rPr>
      </w:pPr>
      <w:r w:rsidRPr="003010A3">
        <w:rPr>
          <w:b w:val="0"/>
          <w:bCs/>
          <w:noProof/>
          <w:sz w:val="24"/>
          <w:u w:val="single"/>
        </w:rPr>
        <w:t>Investiția 3 (C19.I3) – Competențe digitale pentru ocuparea forței de muncă</w:t>
      </w:r>
    </w:p>
    <w:p w14:paraId="573889CF" w14:textId="77777777" w:rsidR="00011DE9" w:rsidRDefault="00011DE9">
      <w:pPr>
        <w:pStyle w:val="P68B1DB1-Normal16"/>
        <w:spacing w:before="120" w:after="120" w:line="240" w:lineRule="auto"/>
        <w:jc w:val="both"/>
        <w:rPr>
          <w:rFonts w:cs="Times New Roman"/>
          <w:noProof/>
        </w:rPr>
      </w:pPr>
      <w:r>
        <w:rPr>
          <w:noProof/>
        </w:rPr>
        <w:t>Obiectivul acestei măsuri este de a consolida competențele digitale ale angajaților și ale șomerilor pentru a le îmbunătăți capacitatea de inserție profesională. Măsura constă în activități de consolidare a capacităților.</w:t>
      </w:r>
    </w:p>
    <w:p w14:paraId="2F0BA431" w14:textId="77777777" w:rsidR="00011DE9" w:rsidRPr="003010A3" w:rsidRDefault="00011DE9" w:rsidP="003010A3">
      <w:pPr>
        <w:pStyle w:val="P68B1DB1-Normal17"/>
        <w:keepNext/>
        <w:spacing w:before="120" w:after="120" w:line="240" w:lineRule="auto"/>
        <w:jc w:val="both"/>
        <w:rPr>
          <w:b w:val="0"/>
          <w:bCs/>
          <w:noProof/>
          <w:sz w:val="24"/>
          <w:u w:val="single"/>
        </w:rPr>
      </w:pPr>
      <w:r w:rsidRPr="003010A3">
        <w:rPr>
          <w:b w:val="0"/>
          <w:bCs/>
          <w:noProof/>
          <w:sz w:val="24"/>
          <w:u w:val="single"/>
        </w:rPr>
        <w:t>Investiția 4 (C19.I4) – Profesioniști în domeniul digital</w:t>
      </w:r>
    </w:p>
    <w:p w14:paraId="6CA6A50B" w14:textId="77777777" w:rsidR="00011DE9" w:rsidRDefault="00011DE9">
      <w:pPr>
        <w:pStyle w:val="P68B1DB1-Normal16"/>
        <w:spacing w:before="120" w:after="120" w:line="240" w:lineRule="auto"/>
        <w:jc w:val="both"/>
        <w:rPr>
          <w:noProof/>
        </w:rPr>
      </w:pPr>
      <w:r>
        <w:rPr>
          <w:noProof/>
        </w:rPr>
        <w:t xml:space="preserve">Obiectivul acestei măsuri este de a atrage și de a păstra talentele în domeniul digital. Măsura constă în atribuirea de burse sau contracte de muncă unor entități de stat. </w:t>
      </w:r>
    </w:p>
    <w:p w14:paraId="50168E82" w14:textId="0CD8B9C8" w:rsidR="00011DE9" w:rsidRDefault="00011DE9">
      <w:pPr>
        <w:spacing w:before="120" w:after="120" w:line="240" w:lineRule="auto"/>
        <w:jc w:val="both"/>
        <w:rPr>
          <w:rFonts w:ascii="Times New Roman" w:hAnsi="Times New Roman" w:cs="Times New Roman"/>
          <w:b/>
          <w:noProof/>
          <w:u w:val="single"/>
        </w:rPr>
      </w:pPr>
      <w:r>
        <w:rPr>
          <w:rFonts w:ascii="Times New Roman" w:hAnsi="Times New Roman"/>
          <w:b/>
          <w:noProof/>
          <w:u w:val="single"/>
        </w:rPr>
        <w:t>S.2.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0C65E048" w14:textId="77777777" w:rsidR="00011DE9" w:rsidRDefault="00011DE9">
      <w:pPr>
        <w:pStyle w:val="P68B1DB1-Normal16"/>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începutul acțiunii, cu excepția cazului în care se indică altfel în descrierea acțiunii. Sumele din tabel nu includ TVA.</w:t>
      </w:r>
    </w:p>
    <w:p w14:paraId="3B59CF79" w14:textId="77777777" w:rsidR="00011DE9" w:rsidRDefault="00011DE9">
      <w:pPr>
        <w:spacing w:before="120" w:after="120" w:line="240" w:lineRule="auto"/>
        <w:ind w:left="709"/>
        <w:jc w:val="both"/>
        <w:rPr>
          <w:rFonts w:ascii="Times New Roman" w:hAnsi="Times New Roman" w:cs="Times New Roman"/>
          <w:noProof/>
        </w:rPr>
      </w:pPr>
    </w:p>
    <w:p w14:paraId="7F7919F6" w14:textId="77777777" w:rsidR="00011DE9" w:rsidRDefault="00011DE9">
      <w:pPr>
        <w:spacing w:before="120" w:after="120" w:line="240" w:lineRule="auto"/>
        <w:ind w:left="709"/>
        <w:jc w:val="both"/>
        <w:rPr>
          <w:rFonts w:ascii="Times New Roman" w:hAnsi="Times New Roman" w:cs="Times New Roman"/>
          <w:noProof/>
        </w:rPr>
        <w:sectPr w:rsidR="00011DE9" w:rsidSect="00011DE9">
          <w:headerReference w:type="even" r:id="rId262"/>
          <w:headerReference w:type="default" r:id="rId263"/>
          <w:footerReference w:type="even" r:id="rId264"/>
          <w:footerReference w:type="default" r:id="rId265"/>
          <w:headerReference w:type="first" r:id="rId266"/>
          <w:footerReference w:type="first" r:id="rId267"/>
          <w:pgSz w:w="11907" w:h="16839"/>
          <w:pgMar w:top="1134" w:right="1134" w:bottom="1134" w:left="1134" w:header="567" w:footer="567" w:gutter="0"/>
          <w:cols w:space="720"/>
          <w:docGrid w:linePitch="360"/>
        </w:sectPr>
      </w:pPr>
    </w:p>
    <w:tbl>
      <w:tblPr>
        <w:tblW w:w="15594"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77"/>
        <w:gridCol w:w="797"/>
        <w:gridCol w:w="830"/>
        <w:gridCol w:w="2625"/>
        <w:gridCol w:w="1382"/>
        <w:gridCol w:w="831"/>
        <w:gridCol w:w="966"/>
        <w:gridCol w:w="807"/>
        <w:gridCol w:w="567"/>
        <w:gridCol w:w="567"/>
        <w:gridCol w:w="5245"/>
      </w:tblGrid>
      <w:tr w:rsidR="00011DE9" w14:paraId="7727421E" w14:textId="77777777">
        <w:trPr>
          <w:trHeight w:val="309"/>
          <w:tblHeader/>
        </w:trPr>
        <w:tc>
          <w:tcPr>
            <w:tcW w:w="977" w:type="dxa"/>
            <w:vMerge w:val="restart"/>
            <w:shd w:val="clear" w:color="auto" w:fill="B7D4EF"/>
            <w:noWrap/>
            <w:vAlign w:val="center"/>
          </w:tcPr>
          <w:p w14:paraId="63E5FDBB" w14:textId="77777777" w:rsidR="00011DE9" w:rsidRDefault="00011DE9">
            <w:pPr>
              <w:pStyle w:val="P68B1DB1-Normal18"/>
              <w:spacing w:after="0" w:line="240" w:lineRule="auto"/>
              <w:jc w:val="center"/>
              <w:rPr>
                <w:rFonts w:cs="Times New Roman"/>
                <w:bCs/>
                <w:noProof/>
                <w:szCs w:val="18"/>
              </w:rPr>
            </w:pPr>
            <w:r>
              <w:rPr>
                <w:noProof/>
              </w:rPr>
              <w:t>Număr</w:t>
            </w:r>
          </w:p>
        </w:tc>
        <w:tc>
          <w:tcPr>
            <w:tcW w:w="797" w:type="dxa"/>
            <w:vMerge w:val="restart"/>
            <w:shd w:val="clear" w:color="auto" w:fill="B7D4EF"/>
            <w:noWrap/>
            <w:vAlign w:val="center"/>
          </w:tcPr>
          <w:p w14:paraId="0943E972" w14:textId="77777777" w:rsidR="00011DE9" w:rsidRDefault="00011DE9">
            <w:pPr>
              <w:pStyle w:val="P68B1DB1-Normal18"/>
              <w:spacing w:after="0" w:line="240" w:lineRule="auto"/>
              <w:jc w:val="center"/>
              <w:rPr>
                <w:rFonts w:cs="Times New Roman"/>
                <w:bCs/>
                <w:noProof/>
                <w:szCs w:val="18"/>
              </w:rPr>
            </w:pPr>
            <w:r>
              <w:rPr>
                <w:noProof/>
              </w:rPr>
              <w:t>Măsură</w:t>
            </w:r>
          </w:p>
        </w:tc>
        <w:tc>
          <w:tcPr>
            <w:tcW w:w="830" w:type="dxa"/>
            <w:vMerge w:val="restart"/>
            <w:shd w:val="clear" w:color="auto" w:fill="B7D4EF"/>
            <w:noWrap/>
            <w:vAlign w:val="center"/>
          </w:tcPr>
          <w:p w14:paraId="0D5F6D38" w14:textId="6EA77233" w:rsidR="00011DE9" w:rsidRDefault="00011DE9">
            <w:pPr>
              <w:spacing w:after="0" w:line="240" w:lineRule="auto"/>
              <w:jc w:val="center"/>
              <w:rPr>
                <w:rFonts w:ascii="Times New Roman" w:hAnsi="Times New Roman" w:cs="Times New Roman"/>
                <w:b/>
                <w:bCs/>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2625" w:type="dxa"/>
            <w:vMerge w:val="restart"/>
            <w:shd w:val="clear" w:color="auto" w:fill="B7D4EF"/>
            <w:noWrap/>
            <w:vAlign w:val="center"/>
          </w:tcPr>
          <w:p w14:paraId="20EDB6AB" w14:textId="77777777" w:rsidR="00011DE9" w:rsidRDefault="00011DE9">
            <w:pPr>
              <w:pStyle w:val="P68B1DB1-Normal18"/>
              <w:spacing w:after="0" w:line="240" w:lineRule="auto"/>
              <w:jc w:val="center"/>
              <w:rPr>
                <w:rFonts w:cs="Times New Roman"/>
                <w:bCs/>
                <w:noProof/>
                <w:szCs w:val="18"/>
              </w:rPr>
            </w:pPr>
            <w:r>
              <w:rPr>
                <w:noProof/>
              </w:rPr>
              <w:t>Nume</w:t>
            </w:r>
          </w:p>
        </w:tc>
        <w:tc>
          <w:tcPr>
            <w:tcW w:w="1382" w:type="dxa"/>
            <w:vMerge w:val="restart"/>
            <w:shd w:val="clear" w:color="auto" w:fill="B7D4EF"/>
            <w:noWrap/>
          </w:tcPr>
          <w:p w14:paraId="5A856FDF" w14:textId="77777777" w:rsidR="00011DE9" w:rsidRDefault="00011DE9">
            <w:pPr>
              <w:pStyle w:val="P68B1DB1-Normal18"/>
              <w:spacing w:after="0" w:line="240" w:lineRule="auto"/>
              <w:jc w:val="center"/>
              <w:rPr>
                <w:rFonts w:cs="Times New Roman"/>
                <w:bCs/>
                <w:noProof/>
                <w:szCs w:val="18"/>
              </w:rPr>
            </w:pPr>
            <w:r>
              <w:rPr>
                <w:noProof/>
              </w:rPr>
              <w:t>Indicator calitativ pentru jaloane</w:t>
            </w:r>
          </w:p>
        </w:tc>
        <w:tc>
          <w:tcPr>
            <w:tcW w:w="2604" w:type="dxa"/>
            <w:gridSpan w:val="3"/>
            <w:shd w:val="clear" w:color="auto" w:fill="B7D4EF"/>
            <w:noWrap/>
          </w:tcPr>
          <w:p w14:paraId="4C21AF3A" w14:textId="77777777" w:rsidR="00011DE9" w:rsidRDefault="00011DE9">
            <w:pPr>
              <w:pStyle w:val="P68B1DB1-Normal18"/>
              <w:spacing w:after="0" w:line="240" w:lineRule="auto"/>
              <w:jc w:val="center"/>
              <w:rPr>
                <w:rFonts w:cs="Times New Roman"/>
                <w:bCs/>
                <w:noProof/>
                <w:szCs w:val="18"/>
              </w:rPr>
            </w:pPr>
            <w:r>
              <w:rPr>
                <w:noProof/>
              </w:rPr>
              <w:t>Indicator cantitativ pentru ținte</w:t>
            </w:r>
          </w:p>
        </w:tc>
        <w:tc>
          <w:tcPr>
            <w:tcW w:w="1134" w:type="dxa"/>
            <w:gridSpan w:val="2"/>
            <w:shd w:val="clear" w:color="auto" w:fill="B7D4EF"/>
            <w:noWrap/>
          </w:tcPr>
          <w:p w14:paraId="434C2F85" w14:textId="77777777" w:rsidR="00011DE9" w:rsidRDefault="00011DE9">
            <w:pPr>
              <w:pStyle w:val="P68B1DB1-Normal18"/>
              <w:spacing w:after="0" w:line="240" w:lineRule="auto"/>
              <w:jc w:val="center"/>
              <w:rPr>
                <w:rFonts w:cs="Times New Roman"/>
                <w:bCs/>
                <w:noProof/>
                <w:szCs w:val="18"/>
              </w:rPr>
            </w:pPr>
            <w:r>
              <w:rPr>
                <w:noProof/>
              </w:rPr>
              <w:t>Timp</w:t>
            </w:r>
          </w:p>
        </w:tc>
        <w:tc>
          <w:tcPr>
            <w:tcW w:w="5245" w:type="dxa"/>
            <w:vMerge w:val="restart"/>
            <w:shd w:val="clear" w:color="auto" w:fill="B7D4EF"/>
            <w:noWrap/>
            <w:vAlign w:val="center"/>
          </w:tcPr>
          <w:p w14:paraId="5CC7C6EC" w14:textId="77777777" w:rsidR="00011DE9" w:rsidRDefault="00011DE9">
            <w:pPr>
              <w:pStyle w:val="P68B1DB1-Normal18"/>
              <w:spacing w:after="0" w:line="240" w:lineRule="auto"/>
              <w:jc w:val="center"/>
              <w:rPr>
                <w:rFonts w:cs="Times New Roman"/>
                <w:noProof/>
                <w:szCs w:val="18"/>
              </w:rPr>
            </w:pPr>
            <w:r>
              <w:rPr>
                <w:noProof/>
              </w:rPr>
              <w:t>Descrierea fiecărui jalon și a fiecărei ținte</w:t>
            </w:r>
          </w:p>
        </w:tc>
      </w:tr>
      <w:tr w:rsidR="00011DE9" w14:paraId="2B37385E" w14:textId="77777777">
        <w:trPr>
          <w:trHeight w:val="309"/>
          <w:tblHeader/>
        </w:trPr>
        <w:tc>
          <w:tcPr>
            <w:tcW w:w="977" w:type="dxa"/>
            <w:vMerge/>
            <w:noWrap/>
          </w:tcPr>
          <w:p w14:paraId="382078CD" w14:textId="77777777" w:rsidR="00011DE9" w:rsidRDefault="00011DE9">
            <w:pPr>
              <w:spacing w:after="0" w:line="240" w:lineRule="auto"/>
              <w:jc w:val="center"/>
              <w:rPr>
                <w:rFonts w:ascii="Times New Roman" w:hAnsi="Times New Roman" w:cs="Times New Roman"/>
                <w:b/>
                <w:noProof/>
                <w:sz w:val="18"/>
                <w:szCs w:val="18"/>
              </w:rPr>
            </w:pPr>
          </w:p>
        </w:tc>
        <w:tc>
          <w:tcPr>
            <w:tcW w:w="797" w:type="dxa"/>
            <w:vMerge/>
            <w:noWrap/>
          </w:tcPr>
          <w:p w14:paraId="50C72CB5" w14:textId="77777777" w:rsidR="00011DE9" w:rsidRDefault="00011DE9">
            <w:pPr>
              <w:spacing w:after="0" w:line="240" w:lineRule="auto"/>
              <w:jc w:val="center"/>
              <w:rPr>
                <w:rFonts w:ascii="Times New Roman" w:hAnsi="Times New Roman" w:cs="Times New Roman"/>
                <w:b/>
                <w:noProof/>
                <w:sz w:val="18"/>
                <w:szCs w:val="18"/>
              </w:rPr>
            </w:pPr>
          </w:p>
        </w:tc>
        <w:tc>
          <w:tcPr>
            <w:tcW w:w="830" w:type="dxa"/>
            <w:vMerge/>
            <w:noWrap/>
          </w:tcPr>
          <w:p w14:paraId="040B0C9A" w14:textId="77777777" w:rsidR="00011DE9" w:rsidRDefault="00011DE9">
            <w:pPr>
              <w:spacing w:after="0" w:line="240" w:lineRule="auto"/>
              <w:jc w:val="center"/>
              <w:rPr>
                <w:rFonts w:ascii="Times New Roman" w:hAnsi="Times New Roman" w:cs="Times New Roman"/>
                <w:b/>
                <w:noProof/>
                <w:sz w:val="18"/>
                <w:szCs w:val="18"/>
              </w:rPr>
            </w:pPr>
          </w:p>
        </w:tc>
        <w:tc>
          <w:tcPr>
            <w:tcW w:w="2625" w:type="dxa"/>
            <w:vMerge/>
            <w:noWrap/>
          </w:tcPr>
          <w:p w14:paraId="36EF1230" w14:textId="77777777" w:rsidR="00011DE9" w:rsidRDefault="00011DE9">
            <w:pPr>
              <w:spacing w:after="0" w:line="240" w:lineRule="auto"/>
              <w:rPr>
                <w:rFonts w:ascii="Times New Roman" w:hAnsi="Times New Roman" w:cs="Times New Roman"/>
                <w:b/>
                <w:noProof/>
                <w:sz w:val="18"/>
                <w:szCs w:val="18"/>
              </w:rPr>
            </w:pPr>
          </w:p>
        </w:tc>
        <w:tc>
          <w:tcPr>
            <w:tcW w:w="1382" w:type="dxa"/>
            <w:vMerge/>
            <w:noWrap/>
          </w:tcPr>
          <w:p w14:paraId="0C9995A8" w14:textId="77777777" w:rsidR="00011DE9" w:rsidRDefault="00011DE9">
            <w:pPr>
              <w:spacing w:after="0" w:line="240" w:lineRule="auto"/>
              <w:jc w:val="center"/>
              <w:rPr>
                <w:rFonts w:ascii="Times New Roman" w:hAnsi="Times New Roman" w:cs="Times New Roman"/>
                <w:b/>
                <w:noProof/>
                <w:sz w:val="18"/>
                <w:szCs w:val="18"/>
              </w:rPr>
            </w:pPr>
          </w:p>
        </w:tc>
        <w:tc>
          <w:tcPr>
            <w:tcW w:w="831" w:type="dxa"/>
            <w:shd w:val="clear" w:color="auto" w:fill="B7D4EF"/>
            <w:noWrap/>
          </w:tcPr>
          <w:p w14:paraId="7B0EF5D1" w14:textId="77777777" w:rsidR="00011DE9" w:rsidRDefault="00011DE9">
            <w:pPr>
              <w:pStyle w:val="P68B1DB1-Normal18"/>
              <w:spacing w:after="0" w:line="240" w:lineRule="auto"/>
              <w:jc w:val="center"/>
              <w:rPr>
                <w:rFonts w:cs="Times New Roman"/>
                <w:bCs/>
                <w:noProof/>
                <w:szCs w:val="18"/>
              </w:rPr>
            </w:pPr>
            <w:r>
              <w:rPr>
                <w:noProof/>
              </w:rPr>
              <w:t>Unitate</w:t>
            </w:r>
          </w:p>
        </w:tc>
        <w:tc>
          <w:tcPr>
            <w:tcW w:w="966" w:type="dxa"/>
            <w:shd w:val="clear" w:color="auto" w:fill="B7D4EF"/>
            <w:noWrap/>
          </w:tcPr>
          <w:p w14:paraId="07F93E14" w14:textId="77777777" w:rsidR="00011DE9" w:rsidRDefault="00011DE9">
            <w:pPr>
              <w:pStyle w:val="P68B1DB1-Normal18"/>
              <w:spacing w:after="0" w:line="240" w:lineRule="auto"/>
              <w:jc w:val="center"/>
              <w:rPr>
                <w:rFonts w:cs="Times New Roman"/>
                <w:bCs/>
                <w:noProof/>
                <w:szCs w:val="18"/>
              </w:rPr>
            </w:pPr>
            <w:r>
              <w:rPr>
                <w:noProof/>
              </w:rPr>
              <w:t>Situația de referință</w:t>
            </w:r>
          </w:p>
        </w:tc>
        <w:tc>
          <w:tcPr>
            <w:tcW w:w="807" w:type="dxa"/>
            <w:shd w:val="clear" w:color="auto" w:fill="B7D4EF"/>
            <w:noWrap/>
          </w:tcPr>
          <w:p w14:paraId="7FCF2F26" w14:textId="77777777" w:rsidR="00011DE9" w:rsidRDefault="00011DE9">
            <w:pPr>
              <w:pStyle w:val="P68B1DB1-Normal18"/>
              <w:spacing w:after="0" w:line="240" w:lineRule="auto"/>
              <w:jc w:val="center"/>
              <w:rPr>
                <w:rFonts w:cs="Times New Roman"/>
                <w:bCs/>
                <w:noProof/>
                <w:szCs w:val="18"/>
              </w:rPr>
            </w:pPr>
            <w:r>
              <w:rPr>
                <w:noProof/>
              </w:rPr>
              <w:t>Obiectiv</w:t>
            </w:r>
          </w:p>
        </w:tc>
        <w:tc>
          <w:tcPr>
            <w:tcW w:w="567" w:type="dxa"/>
            <w:shd w:val="clear" w:color="auto" w:fill="B7D4EF"/>
            <w:noWrap/>
          </w:tcPr>
          <w:p w14:paraId="4A50B340" w14:textId="20E2BC39" w:rsidR="00011DE9" w:rsidRDefault="003010A3">
            <w:pPr>
              <w:pStyle w:val="P68B1DB1-Normal18"/>
              <w:spacing w:after="0" w:line="240" w:lineRule="auto"/>
              <w:jc w:val="center"/>
              <w:rPr>
                <w:rFonts w:cs="Times New Roman"/>
                <w:bCs/>
                <w:noProof/>
                <w:szCs w:val="18"/>
              </w:rPr>
            </w:pPr>
            <w:r>
              <w:rPr>
                <w:noProof/>
              </w:rPr>
              <w:t>T</w:t>
            </w:r>
          </w:p>
        </w:tc>
        <w:tc>
          <w:tcPr>
            <w:tcW w:w="567" w:type="dxa"/>
            <w:shd w:val="clear" w:color="auto" w:fill="B7D4EF"/>
            <w:noWrap/>
          </w:tcPr>
          <w:p w14:paraId="14F96E34" w14:textId="77777777" w:rsidR="00011DE9" w:rsidRDefault="00011DE9">
            <w:pPr>
              <w:pStyle w:val="P68B1DB1-Normal18"/>
              <w:spacing w:after="0" w:line="240" w:lineRule="auto"/>
              <w:jc w:val="center"/>
              <w:rPr>
                <w:rFonts w:cs="Times New Roman"/>
                <w:bCs/>
                <w:noProof/>
                <w:szCs w:val="18"/>
              </w:rPr>
            </w:pPr>
            <w:r>
              <w:rPr>
                <w:noProof/>
              </w:rPr>
              <w:t>Anul</w:t>
            </w:r>
          </w:p>
        </w:tc>
        <w:tc>
          <w:tcPr>
            <w:tcW w:w="5245" w:type="dxa"/>
            <w:vMerge/>
            <w:noWrap/>
          </w:tcPr>
          <w:p w14:paraId="40056D19" w14:textId="77777777" w:rsidR="00011DE9" w:rsidRDefault="00011DE9">
            <w:pPr>
              <w:spacing w:after="0" w:line="240" w:lineRule="auto"/>
              <w:rPr>
                <w:rFonts w:ascii="Times New Roman" w:hAnsi="Times New Roman" w:cs="Times New Roman"/>
                <w:b/>
                <w:noProof/>
                <w:sz w:val="18"/>
                <w:szCs w:val="18"/>
              </w:rPr>
            </w:pPr>
          </w:p>
        </w:tc>
      </w:tr>
      <w:tr w:rsidR="00011DE9" w14:paraId="4CB32F72" w14:textId="77777777">
        <w:trPr>
          <w:trHeight w:val="309"/>
        </w:trPr>
        <w:tc>
          <w:tcPr>
            <w:tcW w:w="977" w:type="dxa"/>
            <w:shd w:val="clear" w:color="auto" w:fill="C6EFCE"/>
            <w:noWrap/>
          </w:tcPr>
          <w:p w14:paraId="007A314A" w14:textId="77777777" w:rsidR="00011DE9" w:rsidRDefault="00011DE9">
            <w:pPr>
              <w:pStyle w:val="P68B1DB1-Normal19"/>
              <w:spacing w:after="0" w:line="240" w:lineRule="auto"/>
              <w:jc w:val="center"/>
              <w:rPr>
                <w:rFonts w:eastAsia="Times New Roman"/>
                <w:noProof/>
              </w:rPr>
            </w:pPr>
            <w:r>
              <w:rPr>
                <w:noProof/>
              </w:rPr>
              <w:t>285</w:t>
            </w:r>
          </w:p>
        </w:tc>
        <w:tc>
          <w:tcPr>
            <w:tcW w:w="797" w:type="dxa"/>
            <w:shd w:val="clear" w:color="auto" w:fill="C6EFCE"/>
            <w:noWrap/>
          </w:tcPr>
          <w:p w14:paraId="6AC18DC4" w14:textId="77777777" w:rsidR="00011DE9" w:rsidRDefault="00011DE9">
            <w:pPr>
              <w:pStyle w:val="P68B1DB1-Normal19"/>
              <w:spacing w:after="0" w:line="240" w:lineRule="auto"/>
              <w:jc w:val="center"/>
              <w:rPr>
                <w:rFonts w:eastAsia="Times New Roman"/>
                <w:noProof/>
              </w:rPr>
            </w:pPr>
            <w:r>
              <w:rPr>
                <w:noProof/>
              </w:rPr>
              <w:t>C19.R1</w:t>
            </w:r>
          </w:p>
        </w:tc>
        <w:tc>
          <w:tcPr>
            <w:tcW w:w="830" w:type="dxa"/>
            <w:shd w:val="clear" w:color="auto" w:fill="C6EFCE"/>
            <w:noWrap/>
          </w:tcPr>
          <w:p w14:paraId="1E6886A7" w14:textId="77777777" w:rsidR="00011DE9" w:rsidRDefault="00011DE9">
            <w:pPr>
              <w:pStyle w:val="P68B1DB1-Normal19"/>
              <w:spacing w:after="0" w:line="240" w:lineRule="auto"/>
              <w:jc w:val="center"/>
              <w:rPr>
                <w:rFonts w:eastAsia="Times New Roman"/>
                <w:noProof/>
              </w:rPr>
            </w:pPr>
            <w:r>
              <w:rPr>
                <w:noProof/>
              </w:rPr>
              <w:t>M</w:t>
            </w:r>
          </w:p>
        </w:tc>
        <w:tc>
          <w:tcPr>
            <w:tcW w:w="2625" w:type="dxa"/>
            <w:shd w:val="clear" w:color="auto" w:fill="C6EFCE"/>
            <w:noWrap/>
          </w:tcPr>
          <w:p w14:paraId="2B026992" w14:textId="77777777" w:rsidR="00011DE9" w:rsidRDefault="00011DE9">
            <w:pPr>
              <w:pStyle w:val="P68B1DB1-Normal19"/>
              <w:spacing w:after="0" w:line="240" w:lineRule="auto"/>
              <w:rPr>
                <w:rFonts w:eastAsia="Times New Roman"/>
                <w:noProof/>
              </w:rPr>
            </w:pPr>
            <w:r>
              <w:rPr>
                <w:noProof/>
              </w:rPr>
              <w:t>Aprobarea planului național privind competențele digitale de către Consiliul de Miniștri</w:t>
            </w:r>
          </w:p>
        </w:tc>
        <w:tc>
          <w:tcPr>
            <w:tcW w:w="1382" w:type="dxa"/>
            <w:shd w:val="clear" w:color="auto" w:fill="C6EFCE"/>
            <w:noWrap/>
          </w:tcPr>
          <w:p w14:paraId="1698C2A9" w14:textId="77777777" w:rsidR="00011DE9" w:rsidRDefault="00011DE9">
            <w:pPr>
              <w:pStyle w:val="P68B1DB1-Normal19"/>
              <w:spacing w:after="0" w:line="240" w:lineRule="auto"/>
              <w:jc w:val="center"/>
              <w:rPr>
                <w:rFonts w:eastAsia="Times New Roman"/>
                <w:noProof/>
              </w:rPr>
            </w:pPr>
            <w:r>
              <w:rPr>
                <w:noProof/>
              </w:rPr>
              <w:t>Referința Consiliului de Miniștri</w:t>
            </w:r>
          </w:p>
        </w:tc>
        <w:tc>
          <w:tcPr>
            <w:tcW w:w="831" w:type="dxa"/>
            <w:shd w:val="clear" w:color="auto" w:fill="C6EFCE"/>
            <w:noWrap/>
          </w:tcPr>
          <w:p w14:paraId="7D707ED8" w14:textId="77777777" w:rsidR="00011DE9" w:rsidRDefault="00011DE9">
            <w:pPr>
              <w:pStyle w:val="P68B1DB1-Normal19"/>
              <w:spacing w:after="0" w:line="240" w:lineRule="auto"/>
              <w:jc w:val="center"/>
              <w:rPr>
                <w:rFonts w:eastAsia="Times New Roman"/>
                <w:noProof/>
              </w:rPr>
            </w:pPr>
            <w:r>
              <w:rPr>
                <w:noProof/>
              </w:rPr>
              <w:t xml:space="preserve"> </w:t>
            </w:r>
          </w:p>
        </w:tc>
        <w:tc>
          <w:tcPr>
            <w:tcW w:w="966" w:type="dxa"/>
            <w:shd w:val="clear" w:color="auto" w:fill="C6EFCE"/>
            <w:noWrap/>
          </w:tcPr>
          <w:p w14:paraId="5FBF202C" w14:textId="77777777" w:rsidR="00011DE9" w:rsidRDefault="00011DE9">
            <w:pPr>
              <w:pStyle w:val="P68B1DB1-Normal19"/>
              <w:spacing w:after="0" w:line="240" w:lineRule="auto"/>
              <w:jc w:val="right"/>
              <w:rPr>
                <w:rFonts w:eastAsia="Times New Roman"/>
                <w:noProof/>
              </w:rPr>
            </w:pPr>
            <w:r>
              <w:rPr>
                <w:noProof/>
              </w:rPr>
              <w:t xml:space="preserve"> </w:t>
            </w:r>
          </w:p>
        </w:tc>
        <w:tc>
          <w:tcPr>
            <w:tcW w:w="807" w:type="dxa"/>
            <w:shd w:val="clear" w:color="auto" w:fill="C6EFCE"/>
            <w:noWrap/>
          </w:tcPr>
          <w:p w14:paraId="424233FE" w14:textId="77777777" w:rsidR="00011DE9" w:rsidRDefault="00011DE9">
            <w:pPr>
              <w:pStyle w:val="P68B1DB1-Normal19"/>
              <w:spacing w:after="0" w:line="240" w:lineRule="auto"/>
              <w:jc w:val="right"/>
              <w:rPr>
                <w:rFonts w:eastAsia="Times New Roman"/>
                <w:noProof/>
              </w:rPr>
            </w:pPr>
            <w:r>
              <w:rPr>
                <w:noProof/>
              </w:rPr>
              <w:t xml:space="preserve"> </w:t>
            </w:r>
          </w:p>
        </w:tc>
        <w:tc>
          <w:tcPr>
            <w:tcW w:w="567" w:type="dxa"/>
            <w:shd w:val="clear" w:color="auto" w:fill="C6EFCE"/>
            <w:noWrap/>
          </w:tcPr>
          <w:p w14:paraId="00D1625B" w14:textId="17BF117C" w:rsidR="00011DE9" w:rsidRDefault="003010A3">
            <w:pPr>
              <w:pStyle w:val="P68B1DB1-Normal19"/>
              <w:spacing w:after="0" w:line="240" w:lineRule="auto"/>
              <w:jc w:val="center"/>
              <w:rPr>
                <w:rFonts w:eastAsia="Times New Roman"/>
                <w:noProof/>
              </w:rPr>
            </w:pPr>
            <w:r>
              <w:rPr>
                <w:noProof/>
              </w:rPr>
              <w:t>T</w:t>
            </w:r>
            <w:r w:rsidR="00011DE9">
              <w:rPr>
                <w:noProof/>
              </w:rPr>
              <w:t>1</w:t>
            </w:r>
          </w:p>
        </w:tc>
        <w:tc>
          <w:tcPr>
            <w:tcW w:w="567" w:type="dxa"/>
            <w:shd w:val="clear" w:color="auto" w:fill="C6EFCE"/>
            <w:noWrap/>
          </w:tcPr>
          <w:p w14:paraId="7BB6F0AE" w14:textId="77777777" w:rsidR="00011DE9" w:rsidRDefault="00011DE9">
            <w:pPr>
              <w:pStyle w:val="P68B1DB1-Normal19"/>
              <w:spacing w:after="0" w:line="240" w:lineRule="auto"/>
              <w:jc w:val="center"/>
              <w:rPr>
                <w:rFonts w:eastAsia="Times New Roman"/>
                <w:noProof/>
              </w:rPr>
            </w:pPr>
            <w:r>
              <w:rPr>
                <w:noProof/>
              </w:rPr>
              <w:t>2021</w:t>
            </w:r>
          </w:p>
        </w:tc>
        <w:tc>
          <w:tcPr>
            <w:tcW w:w="5245" w:type="dxa"/>
            <w:shd w:val="clear" w:color="auto" w:fill="C6EFCE"/>
            <w:noWrap/>
          </w:tcPr>
          <w:p w14:paraId="343C492F" w14:textId="77777777" w:rsidR="00011DE9" w:rsidRDefault="00011DE9">
            <w:pPr>
              <w:pStyle w:val="P68B1DB1-Normal19"/>
              <w:spacing w:after="0" w:line="240" w:lineRule="auto"/>
              <w:rPr>
                <w:noProof/>
              </w:rPr>
            </w:pPr>
            <w:r>
              <w:rPr>
                <w:noProof/>
              </w:rPr>
              <w:t>Aprobarea planului național privind competențele digitale de către Consiliul de Miniștri. Planul are următoarele obiective: (1) furnizarea de formare în materie de competențe digitale pentru populația generală; (2) reducerea decalajului digital dintre femei și bărbați; (3) digitalizarea sistemului de învățământ și dezvoltarea competențelor digitale pentru învățare; (4, 5) furnizarea de competențe digitale pentru o mai bună capacitate de inserție profesională a lucrătorilor privați și publici; (6) dezvoltarea competențelor digitale în IMM-uri; și (7) creșterea numărului de specialiști în domeniul TIC, fără caracter obligatoriu pentru regiuni și entitățile locale.</w:t>
            </w:r>
          </w:p>
          <w:p w14:paraId="07D06CC4" w14:textId="77777777" w:rsidR="00011DE9" w:rsidRDefault="00011DE9">
            <w:pPr>
              <w:spacing w:after="0" w:line="240" w:lineRule="auto"/>
              <w:rPr>
                <w:rFonts w:ascii="Times New Roman" w:hAnsi="Times New Roman"/>
                <w:noProof/>
                <w:sz w:val="18"/>
              </w:rPr>
            </w:pPr>
          </w:p>
          <w:p w14:paraId="61E942C3" w14:textId="77777777" w:rsidR="00011DE9" w:rsidRDefault="00011DE9">
            <w:pPr>
              <w:pStyle w:val="P68B1DB1-Normal19"/>
              <w:spacing w:after="0" w:line="240" w:lineRule="auto"/>
              <w:rPr>
                <w:rFonts w:eastAsia="Times New Roman"/>
                <w:noProof/>
              </w:rPr>
            </w:pPr>
            <w:r>
              <w:rPr>
                <w:noProof/>
              </w:rPr>
              <w:t>Aprobarea de către Consiliul de Miniștri poate avea loc sub forma unui acord formal sau sub forma unui raport către Consiliul de Miniștri. În cazul în care, printr-un acord formal, Spania furnizează un astfel de acord. În cazul în care Consiliul de Miniștri a fost informat printr-un raport, Spania furnizează documente referitoare la (i) data reuniunii, (ii) punctul de pe ordinea de zi și (iii) o certificare care să ateste că punctul a fost raportat Consiliului de Miniștri.</w:t>
            </w:r>
          </w:p>
        </w:tc>
      </w:tr>
      <w:tr w:rsidR="00011DE9" w14:paraId="34EEC7DA" w14:textId="77777777">
        <w:trPr>
          <w:trHeight w:val="309"/>
        </w:trPr>
        <w:tc>
          <w:tcPr>
            <w:tcW w:w="977" w:type="dxa"/>
            <w:shd w:val="clear" w:color="auto" w:fill="C6EFCE"/>
            <w:noWrap/>
          </w:tcPr>
          <w:p w14:paraId="113004E1" w14:textId="77777777" w:rsidR="00011DE9" w:rsidRDefault="00011DE9">
            <w:pPr>
              <w:pStyle w:val="P68B1DB1-Normal19"/>
              <w:spacing w:after="0"/>
              <w:jc w:val="center"/>
              <w:rPr>
                <w:rFonts w:eastAsia="Times New Roman"/>
                <w:noProof/>
              </w:rPr>
            </w:pPr>
            <w:r>
              <w:rPr>
                <w:noProof/>
              </w:rPr>
              <w:t>287</w:t>
            </w:r>
          </w:p>
        </w:tc>
        <w:tc>
          <w:tcPr>
            <w:tcW w:w="797" w:type="dxa"/>
            <w:shd w:val="clear" w:color="auto" w:fill="C6EFCE"/>
            <w:noWrap/>
          </w:tcPr>
          <w:p w14:paraId="7A37E4C1" w14:textId="77777777" w:rsidR="00011DE9" w:rsidRDefault="00011DE9">
            <w:pPr>
              <w:pStyle w:val="P68B1DB1-Normal19"/>
              <w:spacing w:after="0"/>
              <w:jc w:val="center"/>
              <w:rPr>
                <w:rFonts w:eastAsia="Times New Roman"/>
                <w:noProof/>
              </w:rPr>
            </w:pPr>
            <w:r>
              <w:rPr>
                <w:noProof/>
              </w:rPr>
              <w:t>C19.I1</w:t>
            </w:r>
          </w:p>
        </w:tc>
        <w:tc>
          <w:tcPr>
            <w:tcW w:w="830" w:type="dxa"/>
            <w:shd w:val="clear" w:color="auto" w:fill="C6EFCE"/>
            <w:noWrap/>
          </w:tcPr>
          <w:p w14:paraId="4D4FC915" w14:textId="77777777" w:rsidR="00011DE9" w:rsidRDefault="00011DE9">
            <w:pPr>
              <w:pStyle w:val="P68B1DB1-Normal19"/>
              <w:spacing w:after="0"/>
              <w:jc w:val="center"/>
              <w:rPr>
                <w:noProof/>
              </w:rPr>
            </w:pPr>
            <w:r>
              <w:rPr>
                <w:noProof/>
              </w:rPr>
              <w:t>M</w:t>
            </w:r>
          </w:p>
        </w:tc>
        <w:tc>
          <w:tcPr>
            <w:tcW w:w="2625" w:type="dxa"/>
            <w:shd w:val="clear" w:color="auto" w:fill="C6EFCE"/>
            <w:noWrap/>
          </w:tcPr>
          <w:p w14:paraId="08E205F8" w14:textId="77777777" w:rsidR="00011DE9" w:rsidRDefault="00011DE9">
            <w:pPr>
              <w:pStyle w:val="P68B1DB1-Normal45"/>
              <w:spacing w:after="0"/>
              <w:rPr>
                <w:noProof/>
              </w:rPr>
            </w:pPr>
            <w:r>
              <w:rPr>
                <w:noProof/>
              </w:rPr>
              <w:t>Rețeaua națională pentru competențe digitale</w:t>
            </w:r>
          </w:p>
        </w:tc>
        <w:tc>
          <w:tcPr>
            <w:tcW w:w="1382" w:type="dxa"/>
            <w:shd w:val="clear" w:color="auto" w:fill="C6EFCE"/>
            <w:noWrap/>
          </w:tcPr>
          <w:p w14:paraId="620BBEAD" w14:textId="77777777" w:rsidR="00011DE9" w:rsidRDefault="00011DE9">
            <w:pPr>
              <w:pStyle w:val="P68B1DB1-Normal39"/>
              <w:spacing w:after="0"/>
              <w:jc w:val="center"/>
              <w:rPr>
                <w:rFonts w:ascii="Times New Roman" w:eastAsia="Times New Roman" w:hAnsi="Times New Roman" w:cs="Times New Roman"/>
                <w:noProof/>
                <w:szCs w:val="18"/>
              </w:rPr>
            </w:pPr>
            <w:r>
              <w:rPr>
                <w:rFonts w:ascii="Times New Roman" w:hAnsi="Times New Roman"/>
                <w:noProof/>
              </w:rPr>
              <w:t xml:space="preserve">Publicarea rețelei pe </w:t>
            </w:r>
            <w:r>
              <w:rPr>
                <w:rFonts w:ascii="Times New Roman" w:eastAsia="Times New Roman" w:hAnsi="Times New Roman" w:cs="Times New Roman"/>
                <w:i/>
                <w:noProof/>
                <w:szCs w:val="18"/>
              </w:rPr>
              <w:t>portalul platformei digitale TodoFP</w:t>
            </w:r>
          </w:p>
        </w:tc>
        <w:tc>
          <w:tcPr>
            <w:tcW w:w="831" w:type="dxa"/>
            <w:shd w:val="clear" w:color="auto" w:fill="C6EFCE"/>
            <w:noWrap/>
          </w:tcPr>
          <w:p w14:paraId="779EECE7" w14:textId="77777777" w:rsidR="00011DE9" w:rsidRDefault="00011DE9">
            <w:pPr>
              <w:spacing w:after="0"/>
              <w:jc w:val="center"/>
              <w:rPr>
                <w:rFonts w:ascii="Times New Roman" w:eastAsia="Times New Roman" w:hAnsi="Times New Roman" w:cs="Times New Roman"/>
                <w:noProof/>
                <w:sz w:val="18"/>
                <w:szCs w:val="18"/>
              </w:rPr>
            </w:pPr>
          </w:p>
        </w:tc>
        <w:tc>
          <w:tcPr>
            <w:tcW w:w="966" w:type="dxa"/>
            <w:shd w:val="clear" w:color="auto" w:fill="C6EFCE"/>
            <w:noWrap/>
          </w:tcPr>
          <w:p w14:paraId="26F35600" w14:textId="77777777" w:rsidR="00011DE9" w:rsidRDefault="00011DE9">
            <w:pPr>
              <w:pStyle w:val="P68B1DB1-Normal19"/>
              <w:spacing w:after="0"/>
              <w:jc w:val="right"/>
              <w:rPr>
                <w:rFonts w:eastAsia="Times New Roman"/>
                <w:noProof/>
              </w:rPr>
            </w:pPr>
            <w:r>
              <w:rPr>
                <w:noProof/>
              </w:rPr>
              <w:t xml:space="preserve"> </w:t>
            </w:r>
          </w:p>
        </w:tc>
        <w:tc>
          <w:tcPr>
            <w:tcW w:w="807" w:type="dxa"/>
            <w:shd w:val="clear" w:color="auto" w:fill="C6EFCE"/>
            <w:noWrap/>
          </w:tcPr>
          <w:p w14:paraId="6037100B" w14:textId="77777777" w:rsidR="00011DE9" w:rsidRDefault="00011DE9">
            <w:pPr>
              <w:pStyle w:val="P68B1DB1-Normal19"/>
              <w:spacing w:after="0"/>
              <w:jc w:val="right"/>
              <w:rPr>
                <w:rFonts w:eastAsia="Times New Roman"/>
                <w:noProof/>
              </w:rPr>
            </w:pPr>
            <w:r>
              <w:rPr>
                <w:noProof/>
              </w:rPr>
              <w:t xml:space="preserve"> </w:t>
            </w:r>
          </w:p>
        </w:tc>
        <w:tc>
          <w:tcPr>
            <w:tcW w:w="567" w:type="dxa"/>
            <w:shd w:val="clear" w:color="auto" w:fill="C6EFCE"/>
            <w:noWrap/>
          </w:tcPr>
          <w:p w14:paraId="3B6F723A" w14:textId="3C41CE66" w:rsidR="00011DE9" w:rsidRDefault="005701C9">
            <w:pPr>
              <w:pStyle w:val="P68B1DB1-Normal19"/>
              <w:spacing w:after="0"/>
              <w:jc w:val="center"/>
              <w:rPr>
                <w:rFonts w:eastAsia="Times New Roman"/>
                <w:noProof/>
              </w:rPr>
            </w:pPr>
            <w:r>
              <w:rPr>
                <w:noProof/>
              </w:rPr>
              <w:t>T4</w:t>
            </w:r>
          </w:p>
        </w:tc>
        <w:tc>
          <w:tcPr>
            <w:tcW w:w="567" w:type="dxa"/>
            <w:shd w:val="clear" w:color="auto" w:fill="C6EFCE"/>
            <w:noWrap/>
          </w:tcPr>
          <w:p w14:paraId="3D7DFB0E" w14:textId="77777777" w:rsidR="00011DE9" w:rsidRDefault="00011DE9">
            <w:pPr>
              <w:pStyle w:val="P68B1DB1-Normal19"/>
              <w:spacing w:after="0"/>
              <w:jc w:val="center"/>
              <w:rPr>
                <w:rFonts w:eastAsia="Times New Roman"/>
                <w:noProof/>
              </w:rPr>
            </w:pPr>
            <w:r>
              <w:rPr>
                <w:noProof/>
              </w:rPr>
              <w:t>2025</w:t>
            </w:r>
          </w:p>
        </w:tc>
        <w:tc>
          <w:tcPr>
            <w:tcW w:w="5245" w:type="dxa"/>
            <w:shd w:val="clear" w:color="auto" w:fill="C6EFCE"/>
            <w:noWrap/>
          </w:tcPr>
          <w:p w14:paraId="251515B7" w14:textId="77777777" w:rsidR="00011DE9" w:rsidRDefault="00011DE9">
            <w:pPr>
              <w:pStyle w:val="P68B1DB1-Normal20"/>
              <w:spacing w:after="0"/>
              <w:rPr>
                <w:rFonts w:eastAsia="Times New Roman" w:cs="Times New Roman"/>
                <w:noProof/>
              </w:rPr>
            </w:pPr>
            <w:r>
              <w:rPr>
                <w:noProof/>
              </w:rPr>
              <w:t>O listă de 1 252 de centre de formare digitală care formează o rețea națională de centre de formare digitală este accesibilă pe portalul platformei digitale TodoFP (https://todofp.es/).</w:t>
            </w:r>
          </w:p>
        </w:tc>
      </w:tr>
      <w:tr w:rsidR="00011DE9" w14:paraId="2840C00F" w14:textId="77777777">
        <w:trPr>
          <w:trHeight w:val="309"/>
        </w:trPr>
        <w:tc>
          <w:tcPr>
            <w:tcW w:w="977" w:type="dxa"/>
            <w:shd w:val="clear" w:color="auto" w:fill="C6EFCE"/>
            <w:noWrap/>
          </w:tcPr>
          <w:p w14:paraId="4775BCC7" w14:textId="77777777" w:rsidR="00011DE9" w:rsidRDefault="00011DE9">
            <w:pPr>
              <w:pStyle w:val="P68B1DB1-Normal19"/>
              <w:spacing w:after="0" w:line="240" w:lineRule="auto"/>
              <w:jc w:val="center"/>
              <w:rPr>
                <w:rFonts w:eastAsia="Times New Roman"/>
                <w:noProof/>
              </w:rPr>
            </w:pPr>
            <w:r>
              <w:rPr>
                <w:noProof/>
              </w:rPr>
              <w:t>288</w:t>
            </w:r>
          </w:p>
        </w:tc>
        <w:tc>
          <w:tcPr>
            <w:tcW w:w="797" w:type="dxa"/>
            <w:shd w:val="clear" w:color="auto" w:fill="C6EFCE"/>
            <w:noWrap/>
          </w:tcPr>
          <w:p w14:paraId="0AD7FC2F" w14:textId="77777777" w:rsidR="00011DE9" w:rsidRDefault="00011DE9">
            <w:pPr>
              <w:pStyle w:val="P68B1DB1-Normal19"/>
              <w:spacing w:after="0" w:line="240" w:lineRule="auto"/>
              <w:jc w:val="center"/>
              <w:rPr>
                <w:rFonts w:eastAsia="Times New Roman"/>
                <w:noProof/>
              </w:rPr>
            </w:pPr>
            <w:r>
              <w:rPr>
                <w:noProof/>
              </w:rPr>
              <w:t>C19.I1</w:t>
            </w:r>
          </w:p>
        </w:tc>
        <w:tc>
          <w:tcPr>
            <w:tcW w:w="830" w:type="dxa"/>
            <w:shd w:val="clear" w:color="auto" w:fill="C6EFCE"/>
            <w:noWrap/>
          </w:tcPr>
          <w:p w14:paraId="1AF23B0B" w14:textId="77777777" w:rsidR="00011DE9" w:rsidRDefault="00011DE9">
            <w:pPr>
              <w:pStyle w:val="P68B1DB1-Normal19"/>
              <w:spacing w:after="0" w:line="240" w:lineRule="auto"/>
              <w:jc w:val="center"/>
              <w:rPr>
                <w:rFonts w:eastAsia="Times New Roman"/>
                <w:noProof/>
              </w:rPr>
            </w:pPr>
            <w:r>
              <w:rPr>
                <w:noProof/>
              </w:rPr>
              <w:t>M</w:t>
            </w:r>
          </w:p>
        </w:tc>
        <w:tc>
          <w:tcPr>
            <w:tcW w:w="2625" w:type="dxa"/>
            <w:shd w:val="clear" w:color="auto" w:fill="C6EFCE"/>
            <w:noWrap/>
          </w:tcPr>
          <w:p w14:paraId="59CFCFAA" w14:textId="77777777" w:rsidR="00011DE9" w:rsidRDefault="00011DE9">
            <w:pPr>
              <w:pStyle w:val="P68B1DB1-Normal19"/>
              <w:spacing w:after="0" w:line="240" w:lineRule="auto"/>
              <w:rPr>
                <w:rFonts w:eastAsia="Times New Roman"/>
                <w:noProof/>
              </w:rPr>
            </w:pPr>
            <w:r>
              <w:rPr>
                <w:noProof/>
              </w:rPr>
              <w:t>Cetățenii în ceea ce privește competențele digitale</w:t>
            </w:r>
          </w:p>
        </w:tc>
        <w:tc>
          <w:tcPr>
            <w:tcW w:w="1382" w:type="dxa"/>
            <w:shd w:val="clear" w:color="auto" w:fill="C6EFCE"/>
            <w:noWrap/>
          </w:tcPr>
          <w:p w14:paraId="145E8F37" w14:textId="77777777" w:rsidR="00011DE9" w:rsidRDefault="00011DE9">
            <w:pPr>
              <w:pStyle w:val="P68B1DB1-Normal19"/>
              <w:spacing w:after="0" w:line="240" w:lineRule="auto"/>
              <w:jc w:val="center"/>
              <w:rPr>
                <w:rFonts w:eastAsia="Times New Roman"/>
                <w:noProof/>
              </w:rPr>
            </w:pPr>
            <w:r>
              <w:rPr>
                <w:noProof/>
              </w:rPr>
              <w:t xml:space="preserve">Certificate de participare la formare și confirmarea de către administrație pentru contractele executate </w:t>
            </w:r>
          </w:p>
        </w:tc>
        <w:tc>
          <w:tcPr>
            <w:tcW w:w="831" w:type="dxa"/>
            <w:shd w:val="clear" w:color="auto" w:fill="C6EFCE"/>
            <w:noWrap/>
          </w:tcPr>
          <w:p w14:paraId="0AA8FE63" w14:textId="77777777" w:rsidR="00011DE9" w:rsidRDefault="00011DE9">
            <w:pPr>
              <w:spacing w:after="0" w:line="240" w:lineRule="auto"/>
              <w:jc w:val="center"/>
              <w:rPr>
                <w:rFonts w:ascii="Times New Roman" w:eastAsia="Times New Roman" w:hAnsi="Times New Roman" w:cs="Times New Roman"/>
                <w:noProof/>
                <w:sz w:val="18"/>
                <w:szCs w:val="18"/>
              </w:rPr>
            </w:pPr>
          </w:p>
        </w:tc>
        <w:tc>
          <w:tcPr>
            <w:tcW w:w="966" w:type="dxa"/>
            <w:shd w:val="clear" w:color="auto" w:fill="C6EFCE"/>
            <w:noWrap/>
          </w:tcPr>
          <w:p w14:paraId="1033C16F" w14:textId="77777777" w:rsidR="00011DE9" w:rsidRDefault="00011DE9">
            <w:pPr>
              <w:spacing w:after="0" w:line="240" w:lineRule="auto"/>
              <w:jc w:val="right"/>
              <w:rPr>
                <w:rFonts w:ascii="Times New Roman" w:eastAsia="Times New Roman" w:hAnsi="Times New Roman" w:cs="Times New Roman"/>
                <w:noProof/>
                <w:sz w:val="18"/>
                <w:szCs w:val="18"/>
              </w:rPr>
            </w:pPr>
          </w:p>
        </w:tc>
        <w:tc>
          <w:tcPr>
            <w:tcW w:w="807" w:type="dxa"/>
            <w:shd w:val="clear" w:color="auto" w:fill="C6EFCE"/>
            <w:noWrap/>
          </w:tcPr>
          <w:p w14:paraId="2C906BE8" w14:textId="77777777" w:rsidR="00011DE9" w:rsidRDefault="00011DE9">
            <w:pPr>
              <w:pStyle w:val="P68B1DB1-Normal19"/>
              <w:spacing w:after="0" w:line="240" w:lineRule="auto"/>
              <w:jc w:val="right"/>
              <w:rPr>
                <w:rFonts w:eastAsia="Times New Roman"/>
                <w:noProof/>
              </w:rPr>
            </w:pPr>
            <w:r>
              <w:rPr>
                <w:noProof/>
              </w:rPr>
              <w:t xml:space="preserve"> </w:t>
            </w:r>
          </w:p>
        </w:tc>
        <w:tc>
          <w:tcPr>
            <w:tcW w:w="567" w:type="dxa"/>
            <w:shd w:val="clear" w:color="auto" w:fill="C6EFCE"/>
            <w:noWrap/>
          </w:tcPr>
          <w:p w14:paraId="3B88800B" w14:textId="1406A1F9" w:rsidR="00011DE9" w:rsidRDefault="005701C9">
            <w:pPr>
              <w:pStyle w:val="P68B1DB1-Normal19"/>
              <w:spacing w:after="0"/>
              <w:jc w:val="center"/>
              <w:rPr>
                <w:noProof/>
              </w:rPr>
            </w:pPr>
            <w:r>
              <w:rPr>
                <w:noProof/>
              </w:rPr>
              <w:t>T2</w:t>
            </w:r>
          </w:p>
        </w:tc>
        <w:tc>
          <w:tcPr>
            <w:tcW w:w="567" w:type="dxa"/>
            <w:shd w:val="clear" w:color="auto" w:fill="C6EFCE"/>
            <w:noWrap/>
          </w:tcPr>
          <w:p w14:paraId="7EA4FAE3" w14:textId="77777777" w:rsidR="00011DE9" w:rsidRDefault="00011DE9">
            <w:pPr>
              <w:pStyle w:val="P68B1DB1-Normal19"/>
              <w:spacing w:after="0" w:line="240" w:lineRule="auto"/>
              <w:jc w:val="center"/>
              <w:rPr>
                <w:rFonts w:eastAsia="Times New Roman"/>
                <w:noProof/>
              </w:rPr>
            </w:pPr>
            <w:r>
              <w:rPr>
                <w:noProof/>
              </w:rPr>
              <w:t>2026</w:t>
            </w:r>
          </w:p>
        </w:tc>
        <w:tc>
          <w:tcPr>
            <w:tcW w:w="5245" w:type="dxa"/>
            <w:shd w:val="clear" w:color="auto" w:fill="C6EFCE"/>
            <w:noWrap/>
          </w:tcPr>
          <w:p w14:paraId="1A39CEF4" w14:textId="77777777" w:rsidR="00011DE9" w:rsidRDefault="00011DE9">
            <w:pPr>
              <w:pStyle w:val="P68B1DB1-Normal20"/>
              <w:spacing w:after="0" w:line="240" w:lineRule="auto"/>
              <w:rPr>
                <w:noProof/>
              </w:rPr>
            </w:pPr>
            <w:r>
              <w:rPr>
                <w:noProof/>
              </w:rPr>
              <w:t>Certificate de participare la cursuri de formare privind competențele digitale eliberate pentru 1 565 412 de persoane. Fiecare participant la formare trebuie să aibă cel puțin 7.5 de ore de formare cumulate sau echivalentul în ECTS. O persoană care participă la mai multe cursuri de formare este luată în calcul separat pentru fiecare formare la care a participat.</w:t>
            </w:r>
          </w:p>
          <w:p w14:paraId="36C51D1D" w14:textId="77777777" w:rsidR="00011DE9" w:rsidRDefault="00011DE9">
            <w:pPr>
              <w:spacing w:after="0" w:line="240" w:lineRule="auto"/>
              <w:rPr>
                <w:rFonts w:ascii="Times New Roman" w:hAnsi="Times New Roman"/>
                <w:noProof/>
                <w:sz w:val="18"/>
                <w:szCs w:val="18"/>
              </w:rPr>
            </w:pPr>
          </w:p>
          <w:p w14:paraId="42FABD66" w14:textId="77777777" w:rsidR="00011DE9" w:rsidRDefault="00011DE9">
            <w:pPr>
              <w:pStyle w:val="P68B1DB1-Normal20"/>
              <w:spacing w:after="0" w:line="240" w:lineRule="auto"/>
              <w:rPr>
                <w:noProof/>
              </w:rPr>
            </w:pPr>
            <w:r>
              <w:rPr>
                <w:noProof/>
              </w:rPr>
              <w:t>Confirmarea de către administrație a faptului că au fost executate contracte sau părți ale acestora legate de punerea în aplicare a Planului de transformare digitală a Cervantes, pentru o sumă totală cumulată de 37 600 000 EUR. (inclusiv eventualele modificări).</w:t>
            </w:r>
          </w:p>
        </w:tc>
      </w:tr>
      <w:tr w:rsidR="00011DE9" w14:paraId="38FD217A" w14:textId="77777777">
        <w:trPr>
          <w:trHeight w:val="309"/>
        </w:trPr>
        <w:tc>
          <w:tcPr>
            <w:tcW w:w="977" w:type="dxa"/>
            <w:shd w:val="clear" w:color="auto" w:fill="C6EFCE"/>
            <w:noWrap/>
          </w:tcPr>
          <w:p w14:paraId="5714B64C" w14:textId="77777777" w:rsidR="00011DE9" w:rsidRDefault="00011DE9">
            <w:pPr>
              <w:pStyle w:val="P68B1DB1-Normal19"/>
              <w:spacing w:after="0" w:line="240" w:lineRule="auto"/>
              <w:jc w:val="center"/>
              <w:rPr>
                <w:rFonts w:eastAsia="Times New Roman"/>
                <w:noProof/>
              </w:rPr>
            </w:pPr>
            <w:r>
              <w:rPr>
                <w:noProof/>
              </w:rPr>
              <w:t>289</w:t>
            </w:r>
          </w:p>
        </w:tc>
        <w:tc>
          <w:tcPr>
            <w:tcW w:w="797" w:type="dxa"/>
            <w:shd w:val="clear" w:color="auto" w:fill="C6EFCE"/>
            <w:noWrap/>
          </w:tcPr>
          <w:p w14:paraId="50A259F3" w14:textId="77777777" w:rsidR="00011DE9" w:rsidRDefault="00011DE9">
            <w:pPr>
              <w:pStyle w:val="P68B1DB1-Normal19"/>
              <w:spacing w:after="0" w:line="240" w:lineRule="auto"/>
              <w:jc w:val="center"/>
              <w:rPr>
                <w:rFonts w:eastAsia="Times New Roman"/>
                <w:noProof/>
              </w:rPr>
            </w:pPr>
            <w:r>
              <w:rPr>
                <w:noProof/>
              </w:rPr>
              <w:t>C19.I2</w:t>
            </w:r>
          </w:p>
        </w:tc>
        <w:tc>
          <w:tcPr>
            <w:tcW w:w="830" w:type="dxa"/>
            <w:shd w:val="clear" w:color="auto" w:fill="C6EFCE"/>
            <w:noWrap/>
          </w:tcPr>
          <w:p w14:paraId="7F619F08" w14:textId="77777777" w:rsidR="00011DE9" w:rsidRDefault="00011DE9">
            <w:pPr>
              <w:pStyle w:val="P68B1DB1-Normal19"/>
              <w:spacing w:after="0" w:line="240" w:lineRule="auto"/>
              <w:jc w:val="center"/>
              <w:rPr>
                <w:rFonts w:eastAsia="Times New Roman"/>
                <w:noProof/>
              </w:rPr>
            </w:pPr>
            <w:r>
              <w:rPr>
                <w:noProof/>
              </w:rPr>
              <w:t>M</w:t>
            </w:r>
          </w:p>
        </w:tc>
        <w:tc>
          <w:tcPr>
            <w:tcW w:w="2625" w:type="dxa"/>
            <w:shd w:val="clear" w:color="auto" w:fill="C6EFCE"/>
            <w:noWrap/>
          </w:tcPr>
          <w:p w14:paraId="5F1EFB5A" w14:textId="77777777" w:rsidR="00011DE9" w:rsidRDefault="00011DE9">
            <w:pPr>
              <w:pStyle w:val="P68B1DB1-Normal19"/>
              <w:spacing w:after="0" w:line="240" w:lineRule="auto"/>
              <w:rPr>
                <w:rFonts w:eastAsia="Times New Roman"/>
                <w:noProof/>
              </w:rPr>
            </w:pPr>
            <w:r>
              <w:rPr>
                <w:noProof/>
              </w:rPr>
              <w:t>Program de dotare a școlilor publice și subvenționate din fonduri publice cu instrumente digitale</w:t>
            </w:r>
          </w:p>
        </w:tc>
        <w:tc>
          <w:tcPr>
            <w:tcW w:w="1382" w:type="dxa"/>
            <w:shd w:val="clear" w:color="auto" w:fill="C6EFCE"/>
            <w:noWrap/>
          </w:tcPr>
          <w:p w14:paraId="429D98DE" w14:textId="77777777" w:rsidR="00011DE9" w:rsidRDefault="00011DE9">
            <w:pPr>
              <w:pStyle w:val="P68B1DB1-Normal19"/>
              <w:spacing w:after="0" w:line="240" w:lineRule="auto"/>
              <w:jc w:val="center"/>
              <w:rPr>
                <w:rFonts w:eastAsia="Times New Roman"/>
                <w:noProof/>
              </w:rPr>
            </w:pPr>
            <w:r>
              <w:rPr>
                <w:noProof/>
              </w:rPr>
              <w:t>Publicarea în Jurnalul Oficial</w:t>
            </w:r>
          </w:p>
        </w:tc>
        <w:tc>
          <w:tcPr>
            <w:tcW w:w="831" w:type="dxa"/>
            <w:shd w:val="clear" w:color="auto" w:fill="C6EFCE"/>
            <w:noWrap/>
          </w:tcPr>
          <w:p w14:paraId="32FE4914" w14:textId="77777777" w:rsidR="00011DE9" w:rsidRDefault="00011DE9">
            <w:pPr>
              <w:pStyle w:val="P68B1DB1-Normal19"/>
              <w:spacing w:after="0" w:line="240" w:lineRule="auto"/>
              <w:jc w:val="center"/>
              <w:rPr>
                <w:rFonts w:eastAsia="Times New Roman"/>
                <w:noProof/>
              </w:rPr>
            </w:pPr>
            <w:r>
              <w:rPr>
                <w:noProof/>
              </w:rPr>
              <w:t xml:space="preserve"> </w:t>
            </w:r>
          </w:p>
        </w:tc>
        <w:tc>
          <w:tcPr>
            <w:tcW w:w="966" w:type="dxa"/>
            <w:shd w:val="clear" w:color="auto" w:fill="C6EFCE"/>
            <w:noWrap/>
          </w:tcPr>
          <w:p w14:paraId="6046423B" w14:textId="77777777" w:rsidR="00011DE9" w:rsidRDefault="00011DE9">
            <w:pPr>
              <w:pStyle w:val="P68B1DB1-Normal19"/>
              <w:spacing w:after="0" w:line="240" w:lineRule="auto"/>
              <w:jc w:val="right"/>
              <w:rPr>
                <w:rFonts w:eastAsia="Times New Roman"/>
                <w:noProof/>
              </w:rPr>
            </w:pPr>
            <w:r>
              <w:rPr>
                <w:noProof/>
              </w:rPr>
              <w:t xml:space="preserve"> </w:t>
            </w:r>
          </w:p>
        </w:tc>
        <w:tc>
          <w:tcPr>
            <w:tcW w:w="807" w:type="dxa"/>
            <w:shd w:val="clear" w:color="auto" w:fill="C6EFCE"/>
            <w:noWrap/>
          </w:tcPr>
          <w:p w14:paraId="0267B398" w14:textId="77777777" w:rsidR="00011DE9" w:rsidRDefault="00011DE9">
            <w:pPr>
              <w:pStyle w:val="P68B1DB1-Normal19"/>
              <w:spacing w:after="0" w:line="240" w:lineRule="auto"/>
              <w:rPr>
                <w:rFonts w:eastAsia="Times New Roman"/>
                <w:noProof/>
              </w:rPr>
            </w:pPr>
            <w:r>
              <w:rPr>
                <w:noProof/>
              </w:rPr>
              <w:t xml:space="preserve"> </w:t>
            </w:r>
          </w:p>
        </w:tc>
        <w:tc>
          <w:tcPr>
            <w:tcW w:w="567" w:type="dxa"/>
            <w:shd w:val="clear" w:color="auto" w:fill="C6EFCE"/>
            <w:noWrap/>
          </w:tcPr>
          <w:p w14:paraId="5F617FBF" w14:textId="358819A5" w:rsidR="00011DE9" w:rsidRDefault="005701C9">
            <w:pPr>
              <w:pStyle w:val="P68B1DB1-Normal19"/>
              <w:spacing w:after="0" w:line="240" w:lineRule="auto"/>
              <w:jc w:val="center"/>
              <w:rPr>
                <w:rFonts w:eastAsia="Times New Roman"/>
                <w:noProof/>
              </w:rPr>
            </w:pPr>
            <w:r>
              <w:rPr>
                <w:noProof/>
              </w:rPr>
              <w:t>T4</w:t>
            </w:r>
          </w:p>
        </w:tc>
        <w:tc>
          <w:tcPr>
            <w:tcW w:w="567" w:type="dxa"/>
            <w:shd w:val="clear" w:color="auto" w:fill="C6EFCE"/>
            <w:noWrap/>
          </w:tcPr>
          <w:p w14:paraId="3A6E9EB4" w14:textId="77777777" w:rsidR="00011DE9" w:rsidRDefault="00011DE9">
            <w:pPr>
              <w:pStyle w:val="P68B1DB1-Normal19"/>
              <w:spacing w:after="0" w:line="240" w:lineRule="auto"/>
              <w:jc w:val="center"/>
              <w:rPr>
                <w:rFonts w:eastAsia="Times New Roman"/>
                <w:noProof/>
              </w:rPr>
            </w:pPr>
            <w:r>
              <w:rPr>
                <w:noProof/>
              </w:rPr>
              <w:t>2021</w:t>
            </w:r>
          </w:p>
        </w:tc>
        <w:tc>
          <w:tcPr>
            <w:tcW w:w="5245" w:type="dxa"/>
            <w:shd w:val="clear" w:color="auto" w:fill="C6EFCE"/>
            <w:noWrap/>
          </w:tcPr>
          <w:p w14:paraId="40CB217A" w14:textId="77777777" w:rsidR="00011DE9" w:rsidRDefault="00011DE9">
            <w:pPr>
              <w:spacing w:after="0" w:line="240" w:lineRule="auto"/>
              <w:rPr>
                <w:rFonts w:ascii="Arial Narrow" w:hAnsi="Arial Narrow" w:cs="Calibri"/>
                <w:noProof/>
                <w:color w:val="006100"/>
                <w:sz w:val="16"/>
                <w:szCs w:val="16"/>
              </w:rPr>
            </w:pPr>
            <w:r>
              <w:rPr>
                <w:rFonts w:ascii="Times New Roman" w:hAnsi="Times New Roman"/>
                <w:noProof/>
                <w:sz w:val="18"/>
              </w:rPr>
              <w:t>Aprobarea programului de dotare a cel puțin 240</w:t>
            </w:r>
            <w:r>
              <w:rPr>
                <w:rFonts w:ascii="Times New Roman" w:hAnsi="Times New Roman"/>
                <w:noProof/>
                <w:sz w:val="20"/>
              </w:rPr>
              <w:t xml:space="preserve"> </w:t>
            </w:r>
            <w:r>
              <w:rPr>
                <w:rFonts w:ascii="Times New Roman" w:hAnsi="Times New Roman"/>
                <w:noProof/>
                <w:sz w:val="18"/>
              </w:rPr>
              <w:t>000 săli de clasă, de formare a 700</w:t>
            </w:r>
            <w:r>
              <w:rPr>
                <w:rFonts w:ascii="Times New Roman" w:hAnsi="Times New Roman"/>
                <w:noProof/>
                <w:sz w:val="20"/>
              </w:rPr>
              <w:t xml:space="preserve"> </w:t>
            </w:r>
            <w:r>
              <w:rPr>
                <w:rFonts w:ascii="Times New Roman" w:hAnsi="Times New Roman"/>
                <w:noProof/>
                <w:sz w:val="18"/>
              </w:rPr>
              <w:t>000 de profesori și de pregătire sau revizuire a strategiei digitale pentru cel puțin 22</w:t>
            </w:r>
            <w:r>
              <w:rPr>
                <w:rFonts w:ascii="Times New Roman" w:hAnsi="Times New Roman"/>
                <w:noProof/>
                <w:sz w:val="20"/>
              </w:rPr>
              <w:t xml:space="preserve"> </w:t>
            </w:r>
            <w:r>
              <w:rPr>
                <w:rFonts w:ascii="Times New Roman" w:hAnsi="Times New Roman"/>
                <w:noProof/>
                <w:sz w:val="18"/>
              </w:rPr>
              <w:t>000 de centre școlare publice și subvenționate din fonduri publice, precum și de furnizare a 300</w:t>
            </w:r>
            <w:r>
              <w:rPr>
                <w:rFonts w:ascii="Times New Roman" w:hAnsi="Times New Roman"/>
                <w:noProof/>
                <w:sz w:val="20"/>
              </w:rPr>
              <w:t xml:space="preserve"> </w:t>
            </w:r>
            <w:r>
              <w:rPr>
                <w:rFonts w:ascii="Times New Roman" w:hAnsi="Times New Roman"/>
                <w:noProof/>
                <w:sz w:val="18"/>
              </w:rPr>
              <w:t>000 de dispozitive digitale conectate (laptopuri, tablete) în școli publice și subvenționate din fonduri publice, în cooperare cu comunitățile autonome. Programul este obligatoriu pentru comunitățile autonome.</w:t>
            </w:r>
            <w:r>
              <w:rPr>
                <w:rFonts w:ascii="Arial Narrow" w:hAnsi="Arial Narrow" w:cs="Calibri"/>
                <w:noProof/>
                <w:color w:val="006100"/>
                <w:sz w:val="16"/>
                <w:szCs w:val="16"/>
              </w:rPr>
              <w:t xml:space="preserve"> </w:t>
            </w:r>
          </w:p>
          <w:p w14:paraId="4BD0271A" w14:textId="77777777" w:rsidR="00011DE9" w:rsidRDefault="00011DE9">
            <w:pPr>
              <w:spacing w:after="0" w:line="240" w:lineRule="auto"/>
              <w:rPr>
                <w:rFonts w:ascii="Arial Narrow" w:hAnsi="Arial Narrow" w:cs="Calibri"/>
                <w:noProof/>
                <w:color w:val="006100"/>
                <w:sz w:val="16"/>
                <w:szCs w:val="16"/>
              </w:rPr>
            </w:pPr>
          </w:p>
          <w:p w14:paraId="0B78EBDD" w14:textId="77777777" w:rsidR="00011DE9" w:rsidRDefault="00011DE9">
            <w:pPr>
              <w:pStyle w:val="P68B1DB1-Normal19"/>
              <w:spacing w:after="0" w:line="240" w:lineRule="auto"/>
              <w:rPr>
                <w:noProof/>
              </w:rPr>
            </w:pPr>
            <w:r>
              <w:rPr>
                <w:noProof/>
              </w:rPr>
              <w:t>Aprobarea semnată de autoritatea competentă și publicarea pe site-ul oficial relevant sunt considerate dovezi ca fiind un indicator calitativ al intrării în vigoare. Formarea va fi disponibilă pentru 100 % dintre profesori (700 000) și cel puțin 80 % dintre aceștia vor fi certificați (567 744).</w:t>
            </w:r>
          </w:p>
        </w:tc>
      </w:tr>
      <w:tr w:rsidR="00011DE9" w14:paraId="0B3C30CC" w14:textId="77777777">
        <w:trPr>
          <w:trHeight w:val="309"/>
        </w:trPr>
        <w:tc>
          <w:tcPr>
            <w:tcW w:w="977" w:type="dxa"/>
            <w:shd w:val="clear" w:color="auto" w:fill="C6EFCE"/>
            <w:noWrap/>
          </w:tcPr>
          <w:p w14:paraId="61FA14E4" w14:textId="77777777" w:rsidR="00011DE9" w:rsidRDefault="00011DE9">
            <w:pPr>
              <w:pStyle w:val="P68B1DB1-Normal19"/>
              <w:spacing w:after="0" w:line="240" w:lineRule="auto"/>
              <w:jc w:val="center"/>
              <w:rPr>
                <w:rFonts w:eastAsia="Times New Roman"/>
                <w:noProof/>
              </w:rPr>
            </w:pPr>
            <w:r>
              <w:rPr>
                <w:noProof/>
              </w:rPr>
              <w:t>290</w:t>
            </w:r>
          </w:p>
        </w:tc>
        <w:tc>
          <w:tcPr>
            <w:tcW w:w="797" w:type="dxa"/>
            <w:shd w:val="clear" w:color="auto" w:fill="C6EFCE"/>
            <w:noWrap/>
          </w:tcPr>
          <w:p w14:paraId="52006B49" w14:textId="77777777" w:rsidR="00011DE9" w:rsidRDefault="00011DE9">
            <w:pPr>
              <w:pStyle w:val="P68B1DB1-Normal19"/>
              <w:spacing w:after="0" w:line="240" w:lineRule="auto"/>
              <w:jc w:val="center"/>
              <w:rPr>
                <w:rFonts w:eastAsia="Times New Roman"/>
                <w:noProof/>
              </w:rPr>
            </w:pPr>
            <w:r>
              <w:rPr>
                <w:noProof/>
              </w:rPr>
              <w:t>C19.I2</w:t>
            </w:r>
          </w:p>
        </w:tc>
        <w:tc>
          <w:tcPr>
            <w:tcW w:w="830" w:type="dxa"/>
            <w:shd w:val="clear" w:color="auto" w:fill="C6EFCE"/>
            <w:noWrap/>
          </w:tcPr>
          <w:p w14:paraId="75209E0B" w14:textId="77777777" w:rsidR="00011DE9" w:rsidRDefault="00011DE9">
            <w:pPr>
              <w:pStyle w:val="P68B1DB1-Normal19"/>
              <w:spacing w:after="0" w:line="240" w:lineRule="auto"/>
              <w:jc w:val="center"/>
              <w:rPr>
                <w:rFonts w:eastAsia="Times New Roman"/>
                <w:noProof/>
              </w:rPr>
            </w:pPr>
            <w:r>
              <w:rPr>
                <w:noProof/>
              </w:rPr>
              <w:t>M</w:t>
            </w:r>
          </w:p>
        </w:tc>
        <w:tc>
          <w:tcPr>
            <w:tcW w:w="2625" w:type="dxa"/>
            <w:shd w:val="clear" w:color="auto" w:fill="C6EFCE"/>
            <w:noWrap/>
          </w:tcPr>
          <w:p w14:paraId="7F5BF39E" w14:textId="77777777" w:rsidR="00011DE9" w:rsidRDefault="00011DE9">
            <w:pPr>
              <w:pStyle w:val="P68B1DB1-Normal19"/>
              <w:spacing w:after="0" w:line="240" w:lineRule="auto"/>
              <w:rPr>
                <w:rFonts w:eastAsia="Times New Roman"/>
                <w:noProof/>
              </w:rPr>
            </w:pPr>
            <w:r>
              <w:rPr>
                <w:noProof/>
              </w:rPr>
              <w:t>Acțiuni pentru transformarea digitală a educației</w:t>
            </w:r>
          </w:p>
        </w:tc>
        <w:tc>
          <w:tcPr>
            <w:tcW w:w="1382" w:type="dxa"/>
            <w:shd w:val="clear" w:color="auto" w:fill="C6EFCE"/>
            <w:noWrap/>
          </w:tcPr>
          <w:p w14:paraId="059DFCB2" w14:textId="77777777" w:rsidR="00011DE9" w:rsidRDefault="00011DE9">
            <w:pPr>
              <w:pStyle w:val="P68B1DB1-Normal19"/>
              <w:spacing w:after="0" w:line="240" w:lineRule="auto"/>
              <w:jc w:val="center"/>
              <w:rPr>
                <w:rFonts w:eastAsia="Times New Roman"/>
                <w:noProof/>
              </w:rPr>
            </w:pPr>
            <w:r>
              <w:rPr>
                <w:noProof/>
              </w:rPr>
              <w:t xml:space="preserve">Certificate individuale și strategii digitale pentru școli </w:t>
            </w:r>
          </w:p>
        </w:tc>
        <w:tc>
          <w:tcPr>
            <w:tcW w:w="831" w:type="dxa"/>
            <w:shd w:val="clear" w:color="auto" w:fill="C6EFCE"/>
            <w:noWrap/>
          </w:tcPr>
          <w:p w14:paraId="18F3FBBA" w14:textId="77777777" w:rsidR="00011DE9" w:rsidRDefault="00011DE9">
            <w:pPr>
              <w:pStyle w:val="P68B1DB1-Normal19"/>
              <w:spacing w:after="0" w:line="240" w:lineRule="auto"/>
              <w:jc w:val="center"/>
              <w:rPr>
                <w:rFonts w:eastAsia="Times New Roman"/>
                <w:noProof/>
              </w:rPr>
            </w:pPr>
            <w:r>
              <w:rPr>
                <w:noProof/>
              </w:rPr>
              <w:t xml:space="preserve"> </w:t>
            </w:r>
          </w:p>
        </w:tc>
        <w:tc>
          <w:tcPr>
            <w:tcW w:w="966" w:type="dxa"/>
            <w:shd w:val="clear" w:color="auto" w:fill="C6EFCE"/>
            <w:noWrap/>
          </w:tcPr>
          <w:p w14:paraId="630CD7D9" w14:textId="77777777" w:rsidR="00011DE9" w:rsidRDefault="00011DE9">
            <w:pPr>
              <w:pStyle w:val="P68B1DB1-Normal19"/>
              <w:spacing w:after="0" w:line="240" w:lineRule="auto"/>
              <w:jc w:val="right"/>
              <w:rPr>
                <w:rFonts w:eastAsia="Times New Roman"/>
                <w:noProof/>
              </w:rPr>
            </w:pPr>
            <w:r>
              <w:rPr>
                <w:noProof/>
              </w:rPr>
              <w:t xml:space="preserve"> </w:t>
            </w:r>
          </w:p>
        </w:tc>
        <w:tc>
          <w:tcPr>
            <w:tcW w:w="807" w:type="dxa"/>
            <w:shd w:val="clear" w:color="auto" w:fill="C6EFCE"/>
            <w:noWrap/>
          </w:tcPr>
          <w:p w14:paraId="7EC19265" w14:textId="77777777" w:rsidR="00011DE9" w:rsidRDefault="00011DE9">
            <w:pPr>
              <w:pStyle w:val="P68B1DB1-Normal19"/>
              <w:spacing w:after="0" w:line="240" w:lineRule="auto"/>
              <w:jc w:val="right"/>
              <w:rPr>
                <w:rFonts w:eastAsia="Times New Roman"/>
                <w:noProof/>
              </w:rPr>
            </w:pPr>
            <w:r>
              <w:rPr>
                <w:noProof/>
              </w:rPr>
              <w:t xml:space="preserve"> </w:t>
            </w:r>
          </w:p>
        </w:tc>
        <w:tc>
          <w:tcPr>
            <w:tcW w:w="567" w:type="dxa"/>
            <w:shd w:val="clear" w:color="auto" w:fill="C6EFCE"/>
            <w:noWrap/>
          </w:tcPr>
          <w:p w14:paraId="631A227A" w14:textId="2682FB20" w:rsidR="00011DE9" w:rsidRDefault="005701C9">
            <w:pPr>
              <w:pStyle w:val="P68B1DB1-Normal19"/>
              <w:spacing w:after="0" w:line="240" w:lineRule="auto"/>
              <w:jc w:val="center"/>
              <w:rPr>
                <w:rFonts w:eastAsia="Times New Roman"/>
                <w:noProof/>
              </w:rPr>
            </w:pPr>
            <w:r>
              <w:rPr>
                <w:noProof/>
              </w:rPr>
              <w:t>T2</w:t>
            </w:r>
          </w:p>
        </w:tc>
        <w:tc>
          <w:tcPr>
            <w:tcW w:w="567" w:type="dxa"/>
            <w:shd w:val="clear" w:color="auto" w:fill="C6EFCE"/>
            <w:noWrap/>
          </w:tcPr>
          <w:p w14:paraId="7CA990D6" w14:textId="77777777" w:rsidR="00011DE9" w:rsidRDefault="00011DE9">
            <w:pPr>
              <w:pStyle w:val="P68B1DB1-Normal19"/>
              <w:spacing w:after="0" w:line="240" w:lineRule="auto"/>
              <w:jc w:val="center"/>
              <w:rPr>
                <w:rFonts w:eastAsia="Times New Roman"/>
                <w:noProof/>
              </w:rPr>
            </w:pPr>
            <w:r>
              <w:rPr>
                <w:noProof/>
              </w:rPr>
              <w:t>2026</w:t>
            </w:r>
          </w:p>
        </w:tc>
        <w:tc>
          <w:tcPr>
            <w:tcW w:w="5245" w:type="dxa"/>
            <w:shd w:val="clear" w:color="auto" w:fill="C6EFCE"/>
            <w:noWrap/>
          </w:tcPr>
          <w:p w14:paraId="10265EE0" w14:textId="77777777" w:rsidR="00011DE9" w:rsidRDefault="00011DE9">
            <w:pPr>
              <w:pStyle w:val="P68B1DB1-Normal20"/>
              <w:spacing w:after="0" w:line="240" w:lineRule="auto"/>
              <w:rPr>
                <w:noProof/>
              </w:rPr>
            </w:pPr>
            <w:r>
              <w:rPr>
                <w:noProof/>
              </w:rPr>
              <w:t>560 000 de certificate individuale eliberate cu privire la acreditarea competențelor digitale pentru predare.</w:t>
            </w:r>
          </w:p>
          <w:p w14:paraId="2B12780A" w14:textId="77777777" w:rsidR="00011DE9" w:rsidRDefault="00011DE9">
            <w:pPr>
              <w:spacing w:after="0" w:line="240" w:lineRule="auto"/>
              <w:rPr>
                <w:rFonts w:ascii="Times New Roman" w:hAnsi="Times New Roman"/>
                <w:noProof/>
                <w:sz w:val="18"/>
              </w:rPr>
            </w:pPr>
          </w:p>
          <w:p w14:paraId="7E93E81A" w14:textId="77777777" w:rsidR="00011DE9" w:rsidRDefault="00011DE9">
            <w:pPr>
              <w:pStyle w:val="P68B1DB1-Normal19"/>
              <w:spacing w:after="0" w:line="240" w:lineRule="auto"/>
              <w:rPr>
                <w:rFonts w:eastAsia="Times New Roman"/>
                <w:noProof/>
              </w:rPr>
            </w:pPr>
            <w:r>
              <w:rPr>
                <w:noProof/>
              </w:rPr>
              <w:t xml:space="preserve">Au fost puse în aplicare 22 000 de strategii digitale pentru centrele școlare. </w:t>
            </w:r>
          </w:p>
        </w:tc>
      </w:tr>
      <w:tr w:rsidR="00011DE9" w14:paraId="056DE0A7" w14:textId="77777777">
        <w:trPr>
          <w:trHeight w:val="309"/>
        </w:trPr>
        <w:tc>
          <w:tcPr>
            <w:tcW w:w="977" w:type="dxa"/>
            <w:tcBorders>
              <w:top w:val="single" w:sz="4" w:space="0" w:color="auto"/>
              <w:left w:val="single" w:sz="4" w:space="0" w:color="auto"/>
              <w:bottom w:val="single" w:sz="4" w:space="0" w:color="auto"/>
              <w:right w:val="single" w:sz="4" w:space="0" w:color="auto"/>
            </w:tcBorders>
            <w:shd w:val="clear" w:color="auto" w:fill="C6EFCE"/>
            <w:noWrap/>
          </w:tcPr>
          <w:p w14:paraId="1F28C59F" w14:textId="77777777" w:rsidR="00011DE9" w:rsidRDefault="00011DE9">
            <w:pPr>
              <w:pStyle w:val="P68B1DB1-Normal19"/>
              <w:spacing w:after="0" w:line="240" w:lineRule="auto"/>
              <w:jc w:val="center"/>
              <w:rPr>
                <w:noProof/>
              </w:rPr>
            </w:pPr>
            <w:r>
              <w:rPr>
                <w:noProof/>
              </w:rPr>
              <w:t>291</w:t>
            </w: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7A32317C" w14:textId="77777777" w:rsidR="00011DE9" w:rsidRDefault="00011DE9">
            <w:pPr>
              <w:pStyle w:val="P68B1DB1-Normal19"/>
              <w:spacing w:after="0" w:line="240" w:lineRule="auto"/>
              <w:jc w:val="center"/>
              <w:rPr>
                <w:noProof/>
              </w:rPr>
            </w:pPr>
            <w:r>
              <w:rPr>
                <w:noProof/>
              </w:rPr>
              <w:t>C19.I2</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72A1623F" w14:textId="77777777" w:rsidR="00011DE9" w:rsidRDefault="00011DE9">
            <w:pPr>
              <w:pStyle w:val="P68B1DB1-Normal19"/>
              <w:spacing w:after="0" w:line="240" w:lineRule="auto"/>
              <w:jc w:val="center"/>
              <w:rPr>
                <w:noProof/>
              </w:rPr>
            </w:pPr>
            <w:r>
              <w:rPr>
                <w:noProof/>
              </w:rPr>
              <w:t>M</w:t>
            </w:r>
          </w:p>
        </w:tc>
        <w:tc>
          <w:tcPr>
            <w:tcW w:w="2625" w:type="dxa"/>
            <w:tcBorders>
              <w:top w:val="single" w:sz="4" w:space="0" w:color="auto"/>
              <w:left w:val="single" w:sz="4" w:space="0" w:color="auto"/>
              <w:bottom w:val="single" w:sz="4" w:space="0" w:color="auto"/>
              <w:right w:val="single" w:sz="4" w:space="0" w:color="auto"/>
            </w:tcBorders>
            <w:shd w:val="clear" w:color="auto" w:fill="C6EFCE"/>
            <w:noWrap/>
          </w:tcPr>
          <w:p w14:paraId="344302FF" w14:textId="77777777" w:rsidR="00011DE9" w:rsidRDefault="00011DE9">
            <w:pPr>
              <w:pStyle w:val="P68B1DB1-Normal19"/>
              <w:spacing w:after="0" w:line="240" w:lineRule="auto"/>
              <w:rPr>
                <w:noProof/>
              </w:rPr>
            </w:pPr>
            <w:r>
              <w:rPr>
                <w:noProof/>
              </w:rPr>
              <w:t xml:space="preserve">Echipamente digitale pentru școli </w:t>
            </w:r>
          </w:p>
        </w:tc>
        <w:tc>
          <w:tcPr>
            <w:tcW w:w="1382" w:type="dxa"/>
            <w:tcBorders>
              <w:top w:val="single" w:sz="4" w:space="0" w:color="auto"/>
              <w:left w:val="single" w:sz="4" w:space="0" w:color="auto"/>
              <w:bottom w:val="single" w:sz="4" w:space="0" w:color="auto"/>
              <w:right w:val="single" w:sz="4" w:space="0" w:color="auto"/>
            </w:tcBorders>
            <w:shd w:val="clear" w:color="auto" w:fill="C6EFCE"/>
            <w:noWrap/>
          </w:tcPr>
          <w:p w14:paraId="09D6D113" w14:textId="77777777" w:rsidR="00011DE9" w:rsidRDefault="00011DE9">
            <w:pPr>
              <w:pStyle w:val="P68B1DB1-Normal19"/>
              <w:spacing w:after="0" w:line="240" w:lineRule="auto"/>
              <w:jc w:val="center"/>
              <w:rPr>
                <w:noProof/>
              </w:rPr>
            </w:pPr>
            <w:r>
              <w:rPr>
                <w:noProof/>
              </w:rPr>
              <w:t>Rapoartele finale ale comunităților autonome</w:t>
            </w:r>
          </w:p>
        </w:tc>
        <w:tc>
          <w:tcPr>
            <w:tcW w:w="831" w:type="dxa"/>
            <w:tcBorders>
              <w:top w:val="single" w:sz="4" w:space="0" w:color="auto"/>
              <w:left w:val="single" w:sz="4" w:space="0" w:color="auto"/>
              <w:bottom w:val="single" w:sz="4" w:space="0" w:color="auto"/>
              <w:right w:val="single" w:sz="4" w:space="0" w:color="auto"/>
            </w:tcBorders>
            <w:shd w:val="clear" w:color="auto" w:fill="C6EFCE"/>
            <w:noWrap/>
          </w:tcPr>
          <w:p w14:paraId="111F709D" w14:textId="77777777" w:rsidR="00011DE9" w:rsidRDefault="00011DE9">
            <w:pPr>
              <w:spacing w:after="0" w:line="240" w:lineRule="auto"/>
              <w:jc w:val="center"/>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E2FFF0A" w14:textId="77777777" w:rsidR="00011DE9" w:rsidRDefault="00011DE9">
            <w:pPr>
              <w:spacing w:after="0" w:line="240" w:lineRule="auto"/>
              <w:jc w:val="center"/>
              <w:rPr>
                <w:rFonts w:ascii="Times New Roman" w:hAnsi="Times New Roman" w:cs="Times New Roman"/>
                <w:noProof/>
                <w:sz w:val="18"/>
                <w:szCs w:val="18"/>
              </w:rPr>
            </w:pPr>
          </w:p>
        </w:tc>
        <w:tc>
          <w:tcPr>
            <w:tcW w:w="807" w:type="dxa"/>
            <w:tcBorders>
              <w:top w:val="single" w:sz="4" w:space="0" w:color="auto"/>
              <w:left w:val="single" w:sz="4" w:space="0" w:color="auto"/>
              <w:bottom w:val="single" w:sz="4" w:space="0" w:color="auto"/>
              <w:right w:val="single" w:sz="4" w:space="0" w:color="auto"/>
            </w:tcBorders>
            <w:shd w:val="clear" w:color="auto" w:fill="C6EFCE"/>
            <w:noWrap/>
          </w:tcPr>
          <w:p w14:paraId="125811D4" w14:textId="77777777" w:rsidR="00011DE9" w:rsidRDefault="00011DE9">
            <w:pPr>
              <w:spacing w:after="0" w:line="240" w:lineRule="auto"/>
              <w:jc w:val="right"/>
              <w:rPr>
                <w:rFonts w:ascii="Times New Roman" w:hAnsi="Times New Roman" w:cs="Times New Roman"/>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57B0BAC5" w14:textId="436553D3" w:rsidR="00011DE9" w:rsidRDefault="005701C9">
            <w:pPr>
              <w:pStyle w:val="P68B1DB1-Normal19"/>
              <w:spacing w:after="0" w:line="240" w:lineRule="auto"/>
              <w:jc w:val="center"/>
              <w:rPr>
                <w:noProof/>
              </w:rPr>
            </w:pPr>
            <w:r>
              <w:rPr>
                <w:noProof/>
              </w:rPr>
              <w:t>T2</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31F9FFB8" w14:textId="77777777" w:rsidR="00011DE9" w:rsidRDefault="00011DE9">
            <w:pPr>
              <w:pStyle w:val="P68B1DB1-Normal19"/>
              <w:spacing w:after="0" w:line="240" w:lineRule="auto"/>
              <w:jc w:val="center"/>
              <w:rPr>
                <w:noProof/>
              </w:rPr>
            </w:pPr>
            <w:r>
              <w:rPr>
                <w:noProof/>
              </w:rPr>
              <w:t>2026</w:t>
            </w:r>
          </w:p>
        </w:tc>
        <w:tc>
          <w:tcPr>
            <w:tcW w:w="5245" w:type="dxa"/>
            <w:tcBorders>
              <w:top w:val="single" w:sz="4" w:space="0" w:color="auto"/>
              <w:left w:val="single" w:sz="4" w:space="0" w:color="auto"/>
              <w:bottom w:val="single" w:sz="4" w:space="0" w:color="auto"/>
              <w:right w:val="single" w:sz="4" w:space="0" w:color="auto"/>
            </w:tcBorders>
            <w:shd w:val="clear" w:color="auto" w:fill="C6EFCE"/>
            <w:noWrap/>
          </w:tcPr>
          <w:p w14:paraId="5ED3FBC0" w14:textId="77777777" w:rsidR="00011DE9" w:rsidRDefault="00011DE9">
            <w:pPr>
              <w:pStyle w:val="P68B1DB1-Normal19"/>
              <w:spacing w:after="0"/>
              <w:rPr>
                <w:noProof/>
              </w:rPr>
            </w:pPr>
            <w:r>
              <w:rPr>
                <w:noProof/>
              </w:rPr>
              <w:t xml:space="preserve">Comunitățile autonome prezintă rapoarte finale care confirmă finalizarea activităților atribuite pentru un număr cumulat de 300 000 de dispozitive digitale achiziționate și 240 000 săli de clasă echipate digital. </w:t>
            </w:r>
          </w:p>
        </w:tc>
      </w:tr>
      <w:tr w:rsidR="00011DE9" w14:paraId="0BA53FD1" w14:textId="77777777">
        <w:trPr>
          <w:trHeight w:val="309"/>
        </w:trPr>
        <w:tc>
          <w:tcPr>
            <w:tcW w:w="977" w:type="dxa"/>
            <w:shd w:val="clear" w:color="auto" w:fill="C6EFCE"/>
            <w:noWrap/>
          </w:tcPr>
          <w:p w14:paraId="6350095C" w14:textId="77777777" w:rsidR="00011DE9" w:rsidRDefault="00011DE9">
            <w:pPr>
              <w:pStyle w:val="P68B1DB1-Normal19"/>
              <w:spacing w:after="0"/>
              <w:jc w:val="center"/>
              <w:rPr>
                <w:rFonts w:eastAsia="Times New Roman"/>
                <w:noProof/>
              </w:rPr>
            </w:pPr>
            <w:r>
              <w:rPr>
                <w:noProof/>
              </w:rPr>
              <w:t>292</w:t>
            </w:r>
          </w:p>
        </w:tc>
        <w:tc>
          <w:tcPr>
            <w:tcW w:w="797" w:type="dxa"/>
            <w:shd w:val="clear" w:color="auto" w:fill="C6EFCE"/>
            <w:noWrap/>
          </w:tcPr>
          <w:p w14:paraId="1083EC16" w14:textId="77777777" w:rsidR="00011DE9" w:rsidRDefault="00011DE9">
            <w:pPr>
              <w:pStyle w:val="P68B1DB1-Normal19"/>
              <w:spacing w:after="0"/>
              <w:jc w:val="center"/>
              <w:rPr>
                <w:rFonts w:eastAsia="Times New Roman"/>
                <w:noProof/>
              </w:rPr>
            </w:pPr>
            <w:r>
              <w:rPr>
                <w:noProof/>
              </w:rPr>
              <w:t>C19.I3</w:t>
            </w:r>
          </w:p>
        </w:tc>
        <w:tc>
          <w:tcPr>
            <w:tcW w:w="830" w:type="dxa"/>
            <w:shd w:val="clear" w:color="auto" w:fill="C6EFCE"/>
            <w:noWrap/>
          </w:tcPr>
          <w:p w14:paraId="3004BD6B" w14:textId="77777777" w:rsidR="00011DE9" w:rsidRDefault="00011DE9">
            <w:pPr>
              <w:pStyle w:val="P68B1DB1-Normal19"/>
              <w:spacing w:after="0"/>
              <w:jc w:val="center"/>
              <w:rPr>
                <w:rFonts w:eastAsia="Times New Roman"/>
                <w:noProof/>
              </w:rPr>
            </w:pPr>
            <w:r>
              <w:rPr>
                <w:noProof/>
              </w:rPr>
              <w:t>T</w:t>
            </w:r>
          </w:p>
        </w:tc>
        <w:tc>
          <w:tcPr>
            <w:tcW w:w="2625" w:type="dxa"/>
            <w:shd w:val="clear" w:color="auto" w:fill="C6EFCE"/>
            <w:noWrap/>
          </w:tcPr>
          <w:p w14:paraId="40E378E7" w14:textId="77777777" w:rsidR="00011DE9" w:rsidRDefault="00011DE9">
            <w:pPr>
              <w:pStyle w:val="P68B1DB1-Normal19"/>
              <w:spacing w:after="0"/>
              <w:rPr>
                <w:rFonts w:eastAsia="Times New Roman"/>
                <w:noProof/>
              </w:rPr>
            </w:pPr>
            <w:r>
              <w:rPr>
                <w:noProof/>
              </w:rPr>
              <w:t>Formare digitală pentru ocuparea forței de muncă</w:t>
            </w:r>
          </w:p>
        </w:tc>
        <w:tc>
          <w:tcPr>
            <w:tcW w:w="1382" w:type="dxa"/>
            <w:shd w:val="clear" w:color="auto" w:fill="C6EFCE"/>
            <w:noWrap/>
          </w:tcPr>
          <w:p w14:paraId="71A2173F" w14:textId="77777777" w:rsidR="00011DE9" w:rsidRDefault="00011DE9">
            <w:pPr>
              <w:pStyle w:val="P68B1DB1-Normal19"/>
              <w:spacing w:after="0"/>
              <w:jc w:val="center"/>
              <w:rPr>
                <w:rFonts w:eastAsia="Times New Roman"/>
                <w:noProof/>
              </w:rPr>
            </w:pPr>
            <w:r>
              <w:rPr>
                <w:noProof/>
              </w:rPr>
              <w:t>—</w:t>
            </w:r>
          </w:p>
        </w:tc>
        <w:tc>
          <w:tcPr>
            <w:tcW w:w="831" w:type="dxa"/>
            <w:shd w:val="clear" w:color="auto" w:fill="C6EFCE"/>
            <w:noWrap/>
          </w:tcPr>
          <w:p w14:paraId="7262CA37" w14:textId="77777777" w:rsidR="00011DE9" w:rsidRDefault="00011DE9">
            <w:pPr>
              <w:pStyle w:val="P68B1DB1-Normal19"/>
              <w:spacing w:after="0"/>
              <w:jc w:val="center"/>
              <w:rPr>
                <w:rFonts w:eastAsia="Times New Roman"/>
                <w:noProof/>
              </w:rPr>
            </w:pPr>
            <w:r>
              <w:rPr>
                <w:noProof/>
              </w:rPr>
              <w:t>Număr</w:t>
            </w:r>
          </w:p>
        </w:tc>
        <w:tc>
          <w:tcPr>
            <w:tcW w:w="966" w:type="dxa"/>
            <w:shd w:val="clear" w:color="auto" w:fill="C6EFCE"/>
            <w:noWrap/>
          </w:tcPr>
          <w:p w14:paraId="52F48369" w14:textId="77777777" w:rsidR="00011DE9" w:rsidRDefault="00011DE9">
            <w:pPr>
              <w:pStyle w:val="P68B1DB1-Normal19"/>
              <w:spacing w:after="0"/>
              <w:jc w:val="center"/>
              <w:rPr>
                <w:rFonts w:eastAsia="Times New Roman"/>
                <w:noProof/>
              </w:rPr>
            </w:pPr>
            <w:r>
              <w:rPr>
                <w:noProof/>
              </w:rPr>
              <w:t>0</w:t>
            </w:r>
          </w:p>
        </w:tc>
        <w:tc>
          <w:tcPr>
            <w:tcW w:w="807" w:type="dxa"/>
            <w:shd w:val="clear" w:color="auto" w:fill="C6EFCE"/>
            <w:noWrap/>
          </w:tcPr>
          <w:p w14:paraId="09622E7C" w14:textId="77777777" w:rsidR="00011DE9" w:rsidRDefault="00011DE9">
            <w:pPr>
              <w:pStyle w:val="P68B1DB1-Normal20"/>
              <w:spacing w:after="0"/>
              <w:jc w:val="center"/>
              <w:rPr>
                <w:rFonts w:eastAsia="Times New Roman" w:cs="Times New Roman"/>
                <w:noProof/>
              </w:rPr>
            </w:pPr>
            <w:r>
              <w:rPr>
                <w:noProof/>
              </w:rPr>
              <w:t xml:space="preserve">206 114 </w:t>
            </w:r>
          </w:p>
        </w:tc>
        <w:tc>
          <w:tcPr>
            <w:tcW w:w="567" w:type="dxa"/>
            <w:shd w:val="clear" w:color="auto" w:fill="C6EFCE"/>
            <w:noWrap/>
          </w:tcPr>
          <w:p w14:paraId="169E0EA3" w14:textId="3C39BBEF" w:rsidR="00011DE9" w:rsidRDefault="005701C9">
            <w:pPr>
              <w:pStyle w:val="P68B1DB1-Normal19"/>
              <w:spacing w:after="0" w:line="240" w:lineRule="auto"/>
              <w:jc w:val="center"/>
              <w:rPr>
                <w:rFonts w:eastAsia="Times New Roman"/>
                <w:noProof/>
              </w:rPr>
            </w:pPr>
            <w:r>
              <w:rPr>
                <w:noProof/>
              </w:rPr>
              <w:t>T2</w:t>
            </w:r>
          </w:p>
        </w:tc>
        <w:tc>
          <w:tcPr>
            <w:tcW w:w="567" w:type="dxa"/>
            <w:shd w:val="clear" w:color="auto" w:fill="C6EFCE"/>
            <w:noWrap/>
          </w:tcPr>
          <w:p w14:paraId="48A4308C" w14:textId="77777777" w:rsidR="00011DE9" w:rsidRDefault="00011DE9">
            <w:pPr>
              <w:pStyle w:val="P68B1DB1-Normal19"/>
              <w:spacing w:after="0"/>
              <w:jc w:val="center"/>
              <w:rPr>
                <w:rFonts w:eastAsia="Times New Roman"/>
                <w:noProof/>
              </w:rPr>
            </w:pPr>
            <w:r>
              <w:rPr>
                <w:noProof/>
              </w:rPr>
              <w:t>2026</w:t>
            </w:r>
          </w:p>
        </w:tc>
        <w:tc>
          <w:tcPr>
            <w:tcW w:w="5245" w:type="dxa"/>
            <w:shd w:val="clear" w:color="auto" w:fill="C6EFCE"/>
            <w:noWrap/>
          </w:tcPr>
          <w:p w14:paraId="5DE74093" w14:textId="77777777" w:rsidR="00011DE9" w:rsidRDefault="00011DE9">
            <w:pPr>
              <w:pStyle w:val="P68B1DB1-Normal20"/>
              <w:spacing w:after="0"/>
              <w:rPr>
                <w:noProof/>
              </w:rPr>
            </w:pPr>
            <w:r>
              <w:rPr>
                <w:noProof/>
              </w:rPr>
              <w:t>Certificate de participare la formare privind competențele digitale pentru ocuparea forței de muncă eliberate pentru 206 114 de persoane. Fiecare participant la formare trebuie să aibă cel puțin 150 de ore de formare cumulate sau echivalentul în ECTS. O persoană care participă la mai multe cursuri de formare este luată în calcul separat pentru fiecare formare la care a participat.</w:t>
            </w:r>
          </w:p>
        </w:tc>
      </w:tr>
      <w:tr w:rsidR="00011DE9" w14:paraId="08084385" w14:textId="77777777">
        <w:trPr>
          <w:trHeight w:val="309"/>
        </w:trPr>
        <w:tc>
          <w:tcPr>
            <w:tcW w:w="977" w:type="dxa"/>
            <w:shd w:val="clear" w:color="auto" w:fill="C6EFCE"/>
            <w:noWrap/>
          </w:tcPr>
          <w:p w14:paraId="5D8DE46E" w14:textId="77777777" w:rsidR="00011DE9" w:rsidRDefault="00011DE9">
            <w:pPr>
              <w:pStyle w:val="P68B1DB1-Normal19"/>
              <w:spacing w:after="0"/>
              <w:jc w:val="center"/>
              <w:rPr>
                <w:noProof/>
              </w:rPr>
            </w:pPr>
            <w:r>
              <w:rPr>
                <w:noProof/>
              </w:rPr>
              <w:t>292a</w:t>
            </w:r>
          </w:p>
        </w:tc>
        <w:tc>
          <w:tcPr>
            <w:tcW w:w="797" w:type="dxa"/>
            <w:shd w:val="clear" w:color="auto" w:fill="C6EFCE"/>
            <w:noWrap/>
          </w:tcPr>
          <w:p w14:paraId="27812FF2" w14:textId="77777777" w:rsidR="00011DE9" w:rsidRDefault="00011DE9">
            <w:pPr>
              <w:pStyle w:val="P68B1DB1-Normal19"/>
              <w:spacing w:after="0"/>
              <w:jc w:val="center"/>
              <w:rPr>
                <w:noProof/>
              </w:rPr>
            </w:pPr>
            <w:r>
              <w:rPr>
                <w:noProof/>
              </w:rPr>
              <w:t>C19.I3</w:t>
            </w:r>
          </w:p>
        </w:tc>
        <w:tc>
          <w:tcPr>
            <w:tcW w:w="830" w:type="dxa"/>
            <w:shd w:val="clear" w:color="auto" w:fill="C6EFCE"/>
            <w:noWrap/>
          </w:tcPr>
          <w:p w14:paraId="2219248B" w14:textId="77777777" w:rsidR="00011DE9" w:rsidRDefault="00011DE9">
            <w:pPr>
              <w:pStyle w:val="P68B1DB1-Normal19"/>
              <w:spacing w:after="0"/>
              <w:jc w:val="center"/>
              <w:rPr>
                <w:noProof/>
              </w:rPr>
            </w:pPr>
            <w:r>
              <w:rPr>
                <w:noProof/>
              </w:rPr>
              <w:t>T</w:t>
            </w:r>
          </w:p>
        </w:tc>
        <w:tc>
          <w:tcPr>
            <w:tcW w:w="2625" w:type="dxa"/>
            <w:shd w:val="clear" w:color="auto" w:fill="C6EFCE"/>
            <w:noWrap/>
          </w:tcPr>
          <w:p w14:paraId="399BA2DE" w14:textId="77777777" w:rsidR="00011DE9" w:rsidRDefault="00011DE9">
            <w:pPr>
              <w:pStyle w:val="P68B1DB1-Normal19"/>
              <w:spacing w:after="0"/>
              <w:rPr>
                <w:noProof/>
              </w:rPr>
            </w:pPr>
            <w:r>
              <w:rPr>
                <w:noProof/>
              </w:rPr>
              <w:t>Formare digitală pentru ocuparea forței de muncă</w:t>
            </w:r>
          </w:p>
        </w:tc>
        <w:tc>
          <w:tcPr>
            <w:tcW w:w="1382" w:type="dxa"/>
            <w:shd w:val="clear" w:color="auto" w:fill="C6EFCE"/>
            <w:noWrap/>
          </w:tcPr>
          <w:p w14:paraId="22C3E53C" w14:textId="77777777" w:rsidR="00011DE9" w:rsidRDefault="00011DE9">
            <w:pPr>
              <w:pStyle w:val="P68B1DB1-Normal19"/>
              <w:spacing w:after="0"/>
              <w:jc w:val="center"/>
              <w:rPr>
                <w:noProof/>
              </w:rPr>
            </w:pPr>
            <w:r>
              <w:rPr>
                <w:noProof/>
              </w:rPr>
              <w:t>—</w:t>
            </w:r>
          </w:p>
        </w:tc>
        <w:tc>
          <w:tcPr>
            <w:tcW w:w="831" w:type="dxa"/>
            <w:shd w:val="clear" w:color="auto" w:fill="C6EFCE"/>
            <w:noWrap/>
          </w:tcPr>
          <w:p w14:paraId="503DE651" w14:textId="77777777" w:rsidR="00011DE9" w:rsidRDefault="00011DE9">
            <w:pPr>
              <w:pStyle w:val="P68B1DB1-Normal19"/>
              <w:spacing w:after="0"/>
              <w:jc w:val="center"/>
              <w:rPr>
                <w:noProof/>
              </w:rPr>
            </w:pPr>
            <w:r>
              <w:rPr>
                <w:noProof/>
              </w:rPr>
              <w:t>Număr</w:t>
            </w:r>
          </w:p>
        </w:tc>
        <w:tc>
          <w:tcPr>
            <w:tcW w:w="966" w:type="dxa"/>
            <w:shd w:val="clear" w:color="auto" w:fill="C6EFCE"/>
            <w:noWrap/>
          </w:tcPr>
          <w:p w14:paraId="71B9A21D" w14:textId="77777777" w:rsidR="00011DE9" w:rsidRDefault="00011DE9">
            <w:pPr>
              <w:pStyle w:val="P68B1DB1-Normal19"/>
              <w:spacing w:after="0"/>
              <w:jc w:val="center"/>
              <w:rPr>
                <w:noProof/>
              </w:rPr>
            </w:pPr>
            <w:r>
              <w:rPr>
                <w:noProof/>
              </w:rPr>
              <w:t>0</w:t>
            </w:r>
          </w:p>
        </w:tc>
        <w:tc>
          <w:tcPr>
            <w:tcW w:w="807" w:type="dxa"/>
            <w:shd w:val="clear" w:color="auto" w:fill="C6EFCE"/>
            <w:noWrap/>
          </w:tcPr>
          <w:p w14:paraId="798D39ED" w14:textId="77777777" w:rsidR="00011DE9" w:rsidRDefault="00011DE9">
            <w:pPr>
              <w:pStyle w:val="P68B1DB1-Normal19"/>
              <w:spacing w:after="0"/>
              <w:jc w:val="center"/>
              <w:rPr>
                <w:noProof/>
              </w:rPr>
            </w:pPr>
            <w:r>
              <w:rPr>
                <w:noProof/>
              </w:rPr>
              <w:t>401 000</w:t>
            </w:r>
          </w:p>
        </w:tc>
        <w:tc>
          <w:tcPr>
            <w:tcW w:w="567" w:type="dxa"/>
            <w:shd w:val="clear" w:color="auto" w:fill="C6EFCE"/>
            <w:noWrap/>
          </w:tcPr>
          <w:p w14:paraId="39F441FE" w14:textId="224202A1" w:rsidR="00011DE9" w:rsidRDefault="005701C9">
            <w:pPr>
              <w:pStyle w:val="P68B1DB1-Normal19"/>
              <w:spacing w:after="0" w:line="240" w:lineRule="auto"/>
              <w:jc w:val="center"/>
              <w:rPr>
                <w:noProof/>
              </w:rPr>
            </w:pPr>
            <w:r>
              <w:rPr>
                <w:noProof/>
              </w:rPr>
              <w:t>T2</w:t>
            </w:r>
          </w:p>
        </w:tc>
        <w:tc>
          <w:tcPr>
            <w:tcW w:w="567" w:type="dxa"/>
            <w:shd w:val="clear" w:color="auto" w:fill="C6EFCE"/>
            <w:noWrap/>
          </w:tcPr>
          <w:p w14:paraId="6A9481B7" w14:textId="77777777" w:rsidR="00011DE9" w:rsidRDefault="00011DE9">
            <w:pPr>
              <w:pStyle w:val="P68B1DB1-Normal19"/>
              <w:spacing w:after="0"/>
              <w:jc w:val="center"/>
              <w:rPr>
                <w:noProof/>
              </w:rPr>
            </w:pPr>
            <w:r>
              <w:rPr>
                <w:noProof/>
              </w:rPr>
              <w:t>2026</w:t>
            </w:r>
          </w:p>
        </w:tc>
        <w:tc>
          <w:tcPr>
            <w:tcW w:w="5245" w:type="dxa"/>
            <w:shd w:val="clear" w:color="auto" w:fill="C6EFCE"/>
            <w:noWrap/>
          </w:tcPr>
          <w:p w14:paraId="5E413E84" w14:textId="77777777" w:rsidR="00011DE9" w:rsidRDefault="00011DE9">
            <w:pPr>
              <w:pStyle w:val="P68B1DB1-Normal20"/>
              <w:spacing w:after="0"/>
              <w:rPr>
                <w:rFonts w:cs="Times New Roman"/>
                <w:noProof/>
              </w:rPr>
            </w:pPr>
            <w:r>
              <w:rPr>
                <w:noProof/>
              </w:rPr>
              <w:t>Certificate de participare la formare privind competențele digitale pentru ocuparea forței de muncă eliberate pentru 401 000 de persoane. Fiecare participant la formare trebuie să aibă cel puțin 25 de ore de formare cumulate sau echivalentul în ECTS. O persoană care participă la mai multe cursuri de formare este luată în calcul separat pentru fiecare formare la care a participat.</w:t>
            </w:r>
          </w:p>
        </w:tc>
      </w:tr>
      <w:tr w:rsidR="00011DE9" w14:paraId="6661B698" w14:textId="77777777">
        <w:trPr>
          <w:trHeight w:val="309"/>
        </w:trPr>
        <w:tc>
          <w:tcPr>
            <w:tcW w:w="977" w:type="dxa"/>
            <w:tcBorders>
              <w:top w:val="single" w:sz="4" w:space="0" w:color="auto"/>
              <w:left w:val="single" w:sz="4" w:space="0" w:color="auto"/>
              <w:bottom w:val="single" w:sz="4" w:space="0" w:color="auto"/>
              <w:right w:val="single" w:sz="4" w:space="0" w:color="auto"/>
            </w:tcBorders>
            <w:shd w:val="clear" w:color="auto" w:fill="C6EFCE"/>
            <w:noWrap/>
          </w:tcPr>
          <w:p w14:paraId="4012F891" w14:textId="77777777" w:rsidR="00011DE9" w:rsidRDefault="00011DE9">
            <w:pPr>
              <w:pStyle w:val="P68B1DB1-Normal20"/>
              <w:spacing w:after="0" w:line="240" w:lineRule="auto"/>
              <w:jc w:val="center"/>
              <w:rPr>
                <w:noProof/>
              </w:rPr>
            </w:pPr>
            <w:r>
              <w:rPr>
                <w:noProof/>
              </w:rPr>
              <w:t>293</w:t>
            </w: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32D6B5CF" w14:textId="77777777" w:rsidR="00011DE9" w:rsidRDefault="00011DE9">
            <w:pPr>
              <w:pStyle w:val="P68B1DB1-Normal19"/>
              <w:spacing w:after="0" w:line="240" w:lineRule="auto"/>
              <w:jc w:val="center"/>
              <w:rPr>
                <w:noProof/>
              </w:rPr>
            </w:pPr>
            <w:r>
              <w:rPr>
                <w:noProof/>
              </w:rPr>
              <w:t>C19.I4</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72098596" w14:textId="77777777" w:rsidR="00011DE9" w:rsidRDefault="00011DE9">
            <w:pPr>
              <w:pStyle w:val="P68B1DB1-Normal19"/>
              <w:spacing w:after="0" w:line="240" w:lineRule="auto"/>
              <w:jc w:val="center"/>
              <w:rPr>
                <w:noProof/>
              </w:rPr>
            </w:pPr>
            <w:r>
              <w:rPr>
                <w:noProof/>
              </w:rPr>
              <w:t>M</w:t>
            </w:r>
          </w:p>
        </w:tc>
        <w:tc>
          <w:tcPr>
            <w:tcW w:w="2625" w:type="dxa"/>
            <w:tcBorders>
              <w:top w:val="single" w:sz="4" w:space="0" w:color="auto"/>
              <w:left w:val="single" w:sz="4" w:space="0" w:color="auto"/>
              <w:bottom w:val="single" w:sz="4" w:space="0" w:color="auto"/>
              <w:right w:val="single" w:sz="4" w:space="0" w:color="auto"/>
            </w:tcBorders>
            <w:shd w:val="clear" w:color="auto" w:fill="C6EFCE"/>
            <w:noWrap/>
          </w:tcPr>
          <w:p w14:paraId="7256BEF4" w14:textId="77777777" w:rsidR="00011DE9" w:rsidRDefault="00011DE9">
            <w:pPr>
              <w:pStyle w:val="P68B1DB1-Normal19"/>
              <w:spacing w:after="0" w:line="240" w:lineRule="auto"/>
              <w:rPr>
                <w:noProof/>
              </w:rPr>
            </w:pPr>
            <w:r>
              <w:rPr>
                <w:noProof/>
              </w:rPr>
              <w:t xml:space="preserve">Burse sau contracte de muncă pentru talente în domeniul digital </w:t>
            </w:r>
          </w:p>
        </w:tc>
        <w:tc>
          <w:tcPr>
            <w:tcW w:w="1382" w:type="dxa"/>
            <w:tcBorders>
              <w:top w:val="single" w:sz="4" w:space="0" w:color="auto"/>
              <w:left w:val="single" w:sz="4" w:space="0" w:color="auto"/>
              <w:bottom w:val="single" w:sz="4" w:space="0" w:color="auto"/>
              <w:right w:val="single" w:sz="4" w:space="0" w:color="auto"/>
            </w:tcBorders>
            <w:shd w:val="clear" w:color="auto" w:fill="C6EFCE"/>
            <w:noWrap/>
          </w:tcPr>
          <w:p w14:paraId="04E89366" w14:textId="77777777" w:rsidR="00011DE9" w:rsidRDefault="00011DE9">
            <w:pPr>
              <w:pStyle w:val="P68B1DB1-Normal20"/>
              <w:spacing w:after="0" w:line="240" w:lineRule="auto"/>
              <w:jc w:val="center"/>
              <w:rPr>
                <w:noProof/>
              </w:rPr>
            </w:pPr>
            <w:r>
              <w:rPr>
                <w:noProof/>
              </w:rPr>
              <w:t>Publicarea premiului (premiilor) prin care se acordă bursa (bursele)</w:t>
            </w:r>
          </w:p>
        </w:tc>
        <w:tc>
          <w:tcPr>
            <w:tcW w:w="831" w:type="dxa"/>
            <w:tcBorders>
              <w:top w:val="single" w:sz="4" w:space="0" w:color="auto"/>
              <w:left w:val="single" w:sz="4" w:space="0" w:color="auto"/>
              <w:bottom w:val="single" w:sz="4" w:space="0" w:color="auto"/>
              <w:right w:val="single" w:sz="4" w:space="0" w:color="auto"/>
            </w:tcBorders>
            <w:shd w:val="clear" w:color="auto" w:fill="C6EFCE"/>
            <w:noWrap/>
          </w:tcPr>
          <w:p w14:paraId="696B742A" w14:textId="77777777" w:rsidR="00011DE9" w:rsidRDefault="00011DE9">
            <w:pPr>
              <w:spacing w:after="0" w:line="240" w:lineRule="auto"/>
              <w:jc w:val="center"/>
              <w:rPr>
                <w:rFonts w:ascii="Times New Roman" w:hAnsi="Times New Roman"/>
                <w:noProof/>
                <w:sz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A544D5E" w14:textId="77777777" w:rsidR="00011DE9" w:rsidRDefault="00011DE9">
            <w:pPr>
              <w:spacing w:after="0" w:line="240" w:lineRule="auto"/>
              <w:jc w:val="center"/>
              <w:rPr>
                <w:rFonts w:ascii="Times New Roman" w:hAnsi="Times New Roman"/>
                <w:noProof/>
                <w:sz w:val="18"/>
              </w:rPr>
            </w:pPr>
          </w:p>
        </w:tc>
        <w:tc>
          <w:tcPr>
            <w:tcW w:w="807" w:type="dxa"/>
            <w:tcBorders>
              <w:top w:val="single" w:sz="4" w:space="0" w:color="auto"/>
              <w:left w:val="single" w:sz="4" w:space="0" w:color="auto"/>
              <w:bottom w:val="single" w:sz="4" w:space="0" w:color="auto"/>
              <w:right w:val="single" w:sz="4" w:space="0" w:color="auto"/>
            </w:tcBorders>
            <w:shd w:val="clear" w:color="auto" w:fill="C6EFCE"/>
            <w:noWrap/>
          </w:tcPr>
          <w:p w14:paraId="6F28EE61" w14:textId="77777777" w:rsidR="00011DE9" w:rsidRDefault="00011DE9">
            <w:pPr>
              <w:spacing w:after="0" w:line="240" w:lineRule="auto"/>
              <w:jc w:val="center"/>
              <w:rPr>
                <w:rFonts w:ascii="Times New Roman" w:hAnsi="Times New Roman"/>
                <w:noProof/>
                <w:sz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104DFA46" w14:textId="32646FD1" w:rsidR="00011DE9" w:rsidRDefault="005701C9">
            <w:pPr>
              <w:pStyle w:val="P68B1DB1-Normal19"/>
              <w:spacing w:after="0" w:line="240" w:lineRule="auto"/>
              <w:jc w:val="center"/>
              <w:rPr>
                <w:noProof/>
              </w:rPr>
            </w:pPr>
            <w:r>
              <w:rPr>
                <w:noProof/>
              </w:rPr>
              <w:t>T4</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1A870CCC" w14:textId="77777777" w:rsidR="00011DE9" w:rsidRDefault="00011DE9">
            <w:pPr>
              <w:pStyle w:val="P68B1DB1-Normal19"/>
              <w:spacing w:after="0" w:line="240" w:lineRule="auto"/>
              <w:jc w:val="center"/>
              <w:rPr>
                <w:noProof/>
              </w:rPr>
            </w:pPr>
            <w:r>
              <w:rPr>
                <w:noProof/>
              </w:rPr>
              <w:t>2025</w:t>
            </w:r>
          </w:p>
        </w:tc>
        <w:tc>
          <w:tcPr>
            <w:tcW w:w="5245" w:type="dxa"/>
            <w:tcBorders>
              <w:top w:val="single" w:sz="4" w:space="0" w:color="auto"/>
              <w:left w:val="single" w:sz="4" w:space="0" w:color="auto"/>
              <w:bottom w:val="single" w:sz="4" w:space="0" w:color="auto"/>
              <w:right w:val="single" w:sz="4" w:space="0" w:color="auto"/>
            </w:tcBorders>
            <w:shd w:val="clear" w:color="auto" w:fill="C6EFCE"/>
            <w:noWrap/>
          </w:tcPr>
          <w:p w14:paraId="4A02BEE2" w14:textId="77777777" w:rsidR="00011DE9" w:rsidRDefault="00011DE9">
            <w:pPr>
              <w:pStyle w:val="P68B1DB1-Normal19"/>
              <w:spacing w:after="0" w:line="240" w:lineRule="auto"/>
              <w:rPr>
                <w:noProof/>
              </w:rPr>
            </w:pPr>
            <w:r>
              <w:rPr>
                <w:noProof/>
              </w:rPr>
              <w:t>Publicarea rezoluției (rezoluțiilor) de acordare a 300 de burse sau contracte de muncă unor entități de stat.</w:t>
            </w:r>
          </w:p>
        </w:tc>
      </w:tr>
    </w:tbl>
    <w:p w14:paraId="4DA6E4E5" w14:textId="77777777" w:rsidR="00011DE9" w:rsidRDefault="00011DE9">
      <w:pPr>
        <w:spacing w:before="120" w:after="120" w:line="240" w:lineRule="auto"/>
        <w:jc w:val="both"/>
        <w:rPr>
          <w:rFonts w:ascii="Times New Roman" w:hAnsi="Times New Roman" w:cs="Times New Roman"/>
          <w:noProof/>
        </w:rPr>
        <w:sectPr w:rsidR="00011DE9" w:rsidSect="00011DE9">
          <w:headerReference w:type="even" r:id="rId268"/>
          <w:headerReference w:type="default" r:id="rId269"/>
          <w:footerReference w:type="even" r:id="rId270"/>
          <w:footerReference w:type="default" r:id="rId271"/>
          <w:headerReference w:type="first" r:id="rId272"/>
          <w:footerReference w:type="first" r:id="rId273"/>
          <w:pgSz w:w="16839" w:h="11907" w:orient="landscape"/>
          <w:pgMar w:top="1134" w:right="1134" w:bottom="1134" w:left="1134" w:header="567" w:footer="567" w:gutter="0"/>
          <w:cols w:space="720"/>
          <w:docGrid w:linePitch="360"/>
        </w:sectPr>
      </w:pPr>
    </w:p>
    <w:p w14:paraId="16A812D0" w14:textId="77777777" w:rsidR="00011DE9" w:rsidRDefault="00011DE9">
      <w:pPr>
        <w:pStyle w:val="Heading1"/>
        <w:rPr>
          <w:rFonts w:cs="Times New Roman"/>
          <w:noProof/>
        </w:rPr>
      </w:pPr>
      <w:r>
        <w:rPr>
          <w:noProof/>
        </w:rPr>
        <w:t>T. COMPONENTA 20: Planul strategic pentru stimularea formării profesionale</w:t>
      </w:r>
    </w:p>
    <w:p w14:paraId="48E68570" w14:textId="77777777" w:rsidR="00011DE9" w:rsidRDefault="00011DE9">
      <w:pPr>
        <w:pStyle w:val="P68B1DB1-Normal16"/>
        <w:spacing w:before="120" w:after="120" w:line="240" w:lineRule="auto"/>
        <w:jc w:val="both"/>
        <w:rPr>
          <w:rFonts w:cs="Times New Roman"/>
          <w:noProof/>
        </w:rPr>
      </w:pPr>
      <w:r>
        <w:rPr>
          <w:noProof/>
        </w:rPr>
        <w:t xml:space="preserve">Componenta planului spaniol de redresare și reziliență vizează transformarea și modernizarea sistemului de educație și formare profesională (EFP), adaptându-l pentru a răspunde schimbărilor din sectoarele productive ale economiei. În acest scop, componenta urmărește să contribuie la îmbunătățirea capacității de inserție profesională și a mobilității profesionale a lucrătorilor și, prin extensie, la creșterea productivității și a competitivității. </w:t>
      </w:r>
    </w:p>
    <w:p w14:paraId="4E99E54A" w14:textId="77777777" w:rsidR="00011DE9" w:rsidRDefault="00011DE9">
      <w:pPr>
        <w:pStyle w:val="P68B1DB1-Normal16"/>
        <w:spacing w:before="120" w:after="120" w:line="240" w:lineRule="auto"/>
        <w:jc w:val="both"/>
        <w:rPr>
          <w:rFonts w:cs="Times New Roman"/>
          <w:noProof/>
        </w:rPr>
      </w:pPr>
      <w:r>
        <w:rPr>
          <w:noProof/>
        </w:rPr>
        <w:t xml:space="preserve">Neconcordanțele existente în materie de competențe sunt abordate pentru a îmbunătăți echilibrul dintre nivelul de educație și formare al populației și nevoile pieței forței de muncă, în special prin sprijinirea perfecționării persoanelor slab calificate în vederea dobândirii unor competențe mai intermediare și a recalificării. Se acordă o atenție deosebită competențelor tehnice și digitale, abordării disparității de gen în materie de competențe și creșterii atractivității programelor EFP de nivel superior pentru a îmbunătăți înscrierea. Componenta prevede, de asemenea, recunoașterea competențelor existente, în vederea deschiderii accesului la noi oportunități de formare și la noi calificări într-un sistem EFP mai integrat, care să însoțească persoanele atât în învățământul obligatoriu – contribuind la reducerea părăsirii timpurii a școlii – cât și pe tot parcursul vieții profesionale. </w:t>
      </w:r>
    </w:p>
    <w:p w14:paraId="00FE2C4A" w14:textId="77777777" w:rsidR="00011DE9" w:rsidRDefault="00011DE9">
      <w:pPr>
        <w:pStyle w:val="P68B1DB1-Normal16"/>
        <w:spacing w:before="120" w:after="120" w:line="240" w:lineRule="auto"/>
        <w:jc w:val="both"/>
        <w:textAlignment w:val="baseline"/>
        <w:rPr>
          <w:rFonts w:eastAsia="Times New Roman" w:cs="Times New Roman"/>
          <w:noProof/>
        </w:rPr>
      </w:pPr>
      <w:r>
        <w:rPr>
          <w:noProof/>
        </w:rPr>
        <w:t>Componenta contribuie la abordarea recomandărilor specifice fiecărei țări referitoare la reducerea părăsirii timpurii a școlii (Recomandarea specifică fiecărei țări 2 2019); să intensifice cooperarea dintre educație și întreprinderi în vederea îmbunătățirii ofertei de competențe și calificări relevante pentru piața forței de muncă, în special în domeniul tehnologiilor informației și comunicațiilor (Recomandarea specifică fiecărei țări 2 2019); sprijinirea ocupării forței de muncă prin măsuri de menținere a locurilor de muncă, stimulente eficace pentru recrutare și dezvoltarea competențelor (Recomandarea specifică fiecărei țări 2 2020); îmbunătățirea accesului la învățarea digitală (Recomandarea specifică fiecărei țări 2 2020).</w:t>
      </w:r>
    </w:p>
    <w:p w14:paraId="31F5D5A5" w14:textId="77777777" w:rsidR="00011DE9" w:rsidRDefault="00011DE9">
      <w:pPr>
        <w:pStyle w:val="P68B1DB1-Normal16"/>
        <w:spacing w:before="120" w:after="120" w:line="240" w:lineRule="auto"/>
        <w:jc w:val="both"/>
        <w:textAlignment w:val="baseline"/>
        <w:rPr>
          <w:rFonts w:eastAsia="Times New Roman"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F11EEB6" w14:textId="0EE281DC" w:rsidR="00011DE9" w:rsidRDefault="00011DE9">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T.1.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2DFFA44E" w14:textId="77777777" w:rsidR="00011DE9" w:rsidRDefault="00011DE9">
      <w:pPr>
        <w:pStyle w:val="P68B1DB1-Normal46"/>
        <w:spacing w:before="120" w:after="120" w:line="240" w:lineRule="auto"/>
        <w:jc w:val="both"/>
        <w:rPr>
          <w:rFonts w:cs="Times New Roman"/>
          <w:noProof/>
        </w:rPr>
      </w:pPr>
      <w:r>
        <w:rPr>
          <w:noProof/>
        </w:rPr>
        <w:t xml:space="preserve">Reforma 1 (C20.R1) – Planul pentru modernizarea formării profesionale </w:t>
      </w:r>
    </w:p>
    <w:p w14:paraId="434F20F3" w14:textId="77777777" w:rsidR="00011DE9" w:rsidRDefault="00011DE9">
      <w:pPr>
        <w:pStyle w:val="P68B1DB1-Normal16"/>
        <w:spacing w:before="120" w:after="120" w:line="240" w:lineRule="auto"/>
        <w:jc w:val="both"/>
        <w:rPr>
          <w:rFonts w:cs="Times New Roman"/>
          <w:noProof/>
        </w:rPr>
      </w:pPr>
      <w:r>
        <w:rPr>
          <w:noProof/>
          <w:shd w:val="clear" w:color="auto" w:fill="FFFFFF"/>
        </w:rPr>
        <w:t xml:space="preserve">Această reformă constă în adoptarea și punerea în aplicare a Planului de modernizare a formării profesionale. Planul a fost prezentat la 22 iulie 2020. Scopul său este de a se asigura că sistemul de formare profesională (EFP) </w:t>
      </w:r>
      <w:r>
        <w:rPr>
          <w:noProof/>
        </w:rPr>
        <w:t xml:space="preserve">răspunde unei piețe a muncii care necesită o calificare intermediară, răspunzând astfel nevoilor sectorului de producție (în special </w:t>
      </w:r>
      <w:r>
        <w:rPr>
          <w:noProof/>
          <w:shd w:val="clear" w:color="auto" w:fill="FFFFFF"/>
        </w:rPr>
        <w:t xml:space="preserve">tehnicieni/tehnicieni cu experiență) </w:t>
      </w:r>
      <w:r>
        <w:rPr>
          <w:noProof/>
        </w:rPr>
        <w:t xml:space="preserve">și garantând că formarea și calificările profesionale îmbunătățesc perspectivele de inserție profesională. </w:t>
      </w:r>
      <w:r>
        <w:rPr>
          <w:noProof/>
          <w:shd w:val="clear" w:color="auto" w:fill="FFFFFF"/>
        </w:rPr>
        <w:t>Acesta identifică formarea profesională ca element-cheie pentru stimularea economică și socială în urma pandemiei.</w:t>
      </w:r>
    </w:p>
    <w:p w14:paraId="4DAFD13C" w14:textId="77777777" w:rsidR="00011DE9" w:rsidRDefault="00011DE9">
      <w:pPr>
        <w:pStyle w:val="P68B1DB1-Normal16"/>
        <w:spacing w:before="120" w:after="120" w:line="240" w:lineRule="auto"/>
        <w:jc w:val="both"/>
        <w:rPr>
          <w:rFonts w:cs="Times New Roman"/>
          <w:noProof/>
          <w:shd w:val="clear" w:color="auto" w:fill="FFFFFF"/>
        </w:rPr>
      </w:pPr>
      <w:r>
        <w:rPr>
          <w:noProof/>
          <w:shd w:val="clear" w:color="auto" w:fill="FFFFFF"/>
        </w:rPr>
        <w:t>Planul se axează pe</w:t>
      </w:r>
      <w:r>
        <w:rPr>
          <w:noProof/>
        </w:rPr>
        <w:t xml:space="preserve"> instituirea unui sistem unic integrat de EFP care să ofere formare și calificări profesionale întregii populații, inclusiv studenților EFP din sistemul de învățământ și EFP pentru ocuparea unui loc de muncă.</w:t>
      </w:r>
      <w:r>
        <w:rPr>
          <w:noProof/>
          <w:shd w:val="clear" w:color="auto" w:fill="FFFFFF"/>
        </w:rPr>
        <w:t xml:space="preserve"> </w:t>
      </w:r>
      <w:r>
        <w:rPr>
          <w:noProof/>
        </w:rPr>
        <w:t>Aceasta plasează EFP ca element recurent standard al dezvoltării profesionale pentru toți lucrătorii pe tot parcursul vieții lor profesionale.</w:t>
      </w:r>
    </w:p>
    <w:p w14:paraId="6CFAC528" w14:textId="77777777" w:rsidR="00011DE9" w:rsidRDefault="00011DE9">
      <w:pPr>
        <w:pStyle w:val="P68B1DB1-Normal47"/>
        <w:spacing w:before="120" w:after="120" w:line="240" w:lineRule="auto"/>
        <w:jc w:val="both"/>
        <w:rPr>
          <w:rFonts w:cs="Times New Roman"/>
          <w:noProof/>
        </w:rPr>
      </w:pPr>
      <w:r>
        <w:rPr>
          <w:noProof/>
        </w:rPr>
        <w:t>Principalul instrument al planului este Catalogul național al calificărilor profesionale, care este revizuit și actualizat, inclusiv prin integrarea aplicării tranziției digitale și verzi. Aceasta include conceperea de noi calificări în materie de formare profesională în toate sectoarele, dar cu accent pe cele douăsprezece sectoare strategice în care formarea profesională trebuie intensificată, ținând seama de nevoile regionale.</w:t>
      </w:r>
    </w:p>
    <w:p w14:paraId="6B6A91FB" w14:textId="77777777" w:rsidR="00011DE9" w:rsidRDefault="00011DE9">
      <w:pPr>
        <w:pStyle w:val="P68B1DB1-Normal16"/>
        <w:spacing w:before="120" w:after="120" w:line="240" w:lineRule="auto"/>
        <w:jc w:val="both"/>
        <w:rPr>
          <w:rFonts w:cs="Times New Roman"/>
          <w:noProof/>
          <w:shd w:val="clear" w:color="auto" w:fill="FFFFFF"/>
        </w:rPr>
      </w:pPr>
      <w:r>
        <w:rPr>
          <w:noProof/>
          <w:shd w:val="clear" w:color="auto" w:fill="FFFFFF"/>
        </w:rPr>
        <w:t xml:space="preserve">Planul este pus în aplicare prin adoptarea mai multor </w:t>
      </w:r>
      <w:r>
        <w:rPr>
          <w:noProof/>
        </w:rPr>
        <w:t>decrete-lege regale, care corespund stabilirii de noi programe universitare.</w:t>
      </w:r>
      <w:r>
        <w:rPr>
          <w:noProof/>
          <w:shd w:val="clear" w:color="auto" w:fill="FFFFFF"/>
        </w:rPr>
        <w:t xml:space="preserve"> În total, se preconizează că aproximativ 42 de noi diplome vor fi stabilite treptat în perioada 2021-2023, acoperind diplome de nivel mediu, superior și de specialitate. Reforma implică, de asemenea, o revizuire periodică a diplomelor de formare profesională, conceperea de noi diplome de formare profesională care să răspundă nevoilor sectoarelor de producție, punând accentul în special pe sectoarele prioritare din Planul strategic pentru formare profesională. </w:t>
      </w:r>
    </w:p>
    <w:p w14:paraId="726F2D29" w14:textId="77777777" w:rsidR="00011DE9" w:rsidRDefault="00011DE9">
      <w:pPr>
        <w:pStyle w:val="P68B1DB1-Normal16"/>
        <w:spacing w:before="120" w:after="120" w:line="240" w:lineRule="auto"/>
        <w:jc w:val="both"/>
        <w:rPr>
          <w:rFonts w:cs="Times New Roman"/>
          <w:noProof/>
          <w:shd w:val="clear" w:color="auto" w:fill="FFFFFF"/>
        </w:rPr>
      </w:pPr>
      <w:r>
        <w:rPr>
          <w:noProof/>
          <w:shd w:val="clear" w:color="auto" w:fill="FFFFFF"/>
        </w:rPr>
        <w:t xml:space="preserve">Alte linii prioritare ale planului includ integrarea </w:t>
      </w:r>
      <w:r>
        <w:rPr>
          <w:noProof/>
        </w:rPr>
        <w:t>inovării, a cercetării aplicate, a antreprenoriatului, a digitalizării și a durabilității ca elemente esențiale ale formării profesionale; situarea întreprinderilor ca parte integrantă a formării profesionale și promovarea colaborării dintre sectorul public și cel privat în cadrul sistemului, în special promovarea caracterului dual al formării profesionale. În acest scop,</w:t>
      </w:r>
      <w:r>
        <w:rPr>
          <w:noProof/>
          <w:shd w:val="clear" w:color="auto" w:fill="FFFFFF"/>
        </w:rPr>
        <w:t xml:space="preserve"> reforma se va baza pe colaborarea dintre ministere, întreprinderi și partenerii sociali pentru a identifica competențele necesare în economie.</w:t>
      </w:r>
    </w:p>
    <w:p w14:paraId="2E247C26" w14:textId="77777777" w:rsidR="00011DE9" w:rsidRDefault="00011DE9">
      <w:pPr>
        <w:pStyle w:val="P68B1DB1-Normal47"/>
        <w:spacing w:before="120" w:after="120" w:line="240" w:lineRule="auto"/>
        <w:jc w:val="both"/>
        <w:rPr>
          <w:rFonts w:cs="Times New Roman"/>
          <w:noProof/>
        </w:rPr>
      </w:pPr>
      <w:r>
        <w:rPr>
          <w:noProof/>
        </w:rPr>
        <w:t>Punerea în aplicare a măsurii se finalizează până la 31 decembrie 2020.</w:t>
      </w:r>
    </w:p>
    <w:p w14:paraId="48BB9A31" w14:textId="77777777" w:rsidR="00011DE9" w:rsidRDefault="00011DE9">
      <w:pPr>
        <w:pStyle w:val="P68B1DB1-Normal46"/>
        <w:spacing w:before="120" w:after="120" w:line="240" w:lineRule="auto"/>
        <w:jc w:val="both"/>
        <w:rPr>
          <w:rFonts w:cs="Times New Roman"/>
          <w:noProof/>
        </w:rPr>
      </w:pPr>
      <w:r>
        <w:rPr>
          <w:noProof/>
        </w:rPr>
        <w:t xml:space="preserve">Reforma 2 (C20.R2) – Legea care reglementează sistemul integrat de EFP conectat la sistemul național de calificări </w:t>
      </w:r>
    </w:p>
    <w:p w14:paraId="60172237" w14:textId="77777777" w:rsidR="00011DE9" w:rsidRDefault="00011DE9">
      <w:pPr>
        <w:pStyle w:val="P68B1DB1-Normal16"/>
        <w:spacing w:before="120" w:after="120" w:line="240" w:lineRule="auto"/>
        <w:jc w:val="both"/>
        <w:rPr>
          <w:rFonts w:cs="Times New Roman"/>
          <w:noProof/>
          <w:shd w:val="clear" w:color="auto" w:fill="FFFFFF"/>
        </w:rPr>
      </w:pPr>
      <w:r>
        <w:rPr>
          <w:noProof/>
        </w:rPr>
        <w:t xml:space="preserve">În conformitate cu obiectivele planului de modernizare a formării profesionale și cu </w:t>
      </w:r>
      <w:r>
        <w:rPr>
          <w:noProof/>
          <w:shd w:val="clear" w:color="auto" w:fill="FFFFFF"/>
        </w:rPr>
        <w:t xml:space="preserve">cadrul sistemului național de calificări, Spania trebuie să prezinte și să adopte o lege care să reglementeze sistemul integrat de formare profesională (EFP). Noua lege va integra într-un singur sistem cele două sisteme actuale separate de formare profesională, cel din sistemul de învățământ și cel care vizează formarea pentru ocuparea unui loc de muncă. Aceasta stabilește un sistem integrat de învățare pe tot parcursul vieții pentru populație la orice vârstă și în orice situație personală sau profesională, oferind cursuri complementare și cumulative care conduc la noi calificări. Aceasta este </w:t>
      </w:r>
      <w:r>
        <w:rPr>
          <w:noProof/>
        </w:rPr>
        <w:t xml:space="preserve">însoțită, de asemenea, de un proces de orientare pe tot parcursul vieții. </w:t>
      </w:r>
    </w:p>
    <w:p w14:paraId="72887EB4" w14:textId="77777777" w:rsidR="00011DE9" w:rsidRDefault="00011DE9">
      <w:pPr>
        <w:pStyle w:val="P68B1DB1-Normal16"/>
        <w:spacing w:before="120" w:after="120" w:line="240" w:lineRule="auto"/>
        <w:jc w:val="both"/>
        <w:rPr>
          <w:rFonts w:cs="Times New Roman"/>
          <w:noProof/>
          <w:shd w:val="clear" w:color="auto" w:fill="FFFFFF"/>
        </w:rPr>
      </w:pPr>
      <w:r>
        <w:rPr>
          <w:noProof/>
        </w:rPr>
        <w:t xml:space="preserve">În prima etapă a pregătirii, Ministerul Educației și Formării Profesionale va fi pregătit un proiect de lege, cu consensul partenerilor sociali și al guvernelor regionale. </w:t>
      </w:r>
      <w:r>
        <w:rPr>
          <w:noProof/>
          <w:shd w:val="clear" w:color="auto" w:fill="FFFFFF"/>
        </w:rPr>
        <w:t>Consiliul de Miniștri urmează să aprobe proiectul de lege înainte de 31 decembrie 2021, iar adoptarea în Parlament va avea loc până la 30 iunie 2022.</w:t>
      </w:r>
    </w:p>
    <w:p w14:paraId="7971C0B7" w14:textId="77777777" w:rsidR="00011DE9" w:rsidRDefault="00011DE9">
      <w:pPr>
        <w:pStyle w:val="P68B1DB1-Normal16"/>
        <w:spacing w:before="120" w:after="120" w:line="240" w:lineRule="auto"/>
        <w:jc w:val="both"/>
        <w:rPr>
          <w:rFonts w:cs="Times New Roman"/>
          <w:noProof/>
        </w:rPr>
      </w:pPr>
      <w:r>
        <w:rPr>
          <w:noProof/>
        </w:rPr>
        <w:t xml:space="preserve">Legea aprobată în cele din urmă și unificarea celor două sisteme de formare profesională existente anterior vizează modernizarea sistemului, în special prin: </w:t>
      </w:r>
    </w:p>
    <w:p w14:paraId="1BFB1A1A" w14:textId="77777777" w:rsidR="00011DE9" w:rsidRDefault="00011DE9">
      <w:pPr>
        <w:pStyle w:val="P68B1DB1-Normal16"/>
        <w:numPr>
          <w:ilvl w:val="0"/>
          <w:numId w:val="150"/>
        </w:numPr>
        <w:spacing w:before="120" w:line="259" w:lineRule="auto"/>
        <w:contextualSpacing/>
        <w:jc w:val="both"/>
        <w:rPr>
          <w:rFonts w:cs="Times New Roman"/>
          <w:noProof/>
        </w:rPr>
      </w:pPr>
      <w:r>
        <w:rPr>
          <w:noProof/>
        </w:rPr>
        <w:t xml:space="preserve">axarea pe perfecționarea competențelor persoanelor slab calificate și îmbunătățirea capacității lor de inserție profesională; </w:t>
      </w:r>
    </w:p>
    <w:p w14:paraId="0B252766" w14:textId="77777777" w:rsidR="00011DE9" w:rsidRDefault="00011DE9">
      <w:pPr>
        <w:pStyle w:val="P68B1DB1-Normal16"/>
        <w:numPr>
          <w:ilvl w:val="0"/>
          <w:numId w:val="150"/>
        </w:numPr>
        <w:spacing w:before="120" w:line="259" w:lineRule="auto"/>
        <w:contextualSpacing/>
        <w:jc w:val="both"/>
        <w:rPr>
          <w:rFonts w:cs="Times New Roman"/>
          <w:noProof/>
        </w:rPr>
      </w:pPr>
      <w:r>
        <w:rPr>
          <w:noProof/>
        </w:rPr>
        <w:t xml:space="preserve">abordării decalajului competențelor; </w:t>
      </w:r>
    </w:p>
    <w:p w14:paraId="2B652044" w14:textId="77777777" w:rsidR="00011DE9" w:rsidRDefault="00011DE9">
      <w:pPr>
        <w:pStyle w:val="P68B1DB1-Normal16"/>
        <w:numPr>
          <w:ilvl w:val="0"/>
          <w:numId w:val="150"/>
        </w:numPr>
        <w:spacing w:before="120" w:line="259" w:lineRule="auto"/>
        <w:contextualSpacing/>
        <w:jc w:val="both"/>
        <w:rPr>
          <w:rFonts w:cs="Times New Roman"/>
          <w:noProof/>
        </w:rPr>
      </w:pPr>
      <w:r>
        <w:rPr>
          <w:noProof/>
        </w:rPr>
        <w:t>actualizarea Catalogului național al calificărilor profesionale, adaptarea acestuia la nevoile viitoare ale economiei, inclusiv sprijinirea tranziției verzi și digitale; și</w:t>
      </w:r>
    </w:p>
    <w:p w14:paraId="61938A9F" w14:textId="77777777" w:rsidR="00011DE9" w:rsidRDefault="00011DE9">
      <w:pPr>
        <w:pStyle w:val="P68B1DB1-Normal16"/>
        <w:numPr>
          <w:ilvl w:val="0"/>
          <w:numId w:val="150"/>
        </w:numPr>
        <w:spacing w:before="120" w:line="259" w:lineRule="auto"/>
        <w:contextualSpacing/>
        <w:jc w:val="both"/>
        <w:rPr>
          <w:rFonts w:cs="Times New Roman"/>
          <w:noProof/>
        </w:rPr>
      </w:pPr>
      <w:r>
        <w:rPr>
          <w:noProof/>
        </w:rPr>
        <w:t>îmbunătățirea atractivității programelor EFP de nivel superior în vederea îmbunătățirii înscrierii.</w:t>
      </w:r>
    </w:p>
    <w:p w14:paraId="7439DF42" w14:textId="77777777" w:rsidR="00011DE9" w:rsidRDefault="00011DE9">
      <w:pPr>
        <w:pStyle w:val="P68B1DB1-Normal47"/>
        <w:spacing w:before="120" w:after="120" w:line="240" w:lineRule="auto"/>
        <w:jc w:val="both"/>
        <w:rPr>
          <w:rFonts w:cs="Times New Roman"/>
          <w:noProof/>
          <w:u w:val="single"/>
        </w:rPr>
      </w:pPr>
      <w:r>
        <w:rPr>
          <w:noProof/>
        </w:rPr>
        <w:t>Punerea în aplicare a măsurii se finalizează până la 30 iunie 2022.</w:t>
      </w:r>
    </w:p>
    <w:p w14:paraId="6B36DD96" w14:textId="77777777" w:rsidR="00011DE9" w:rsidRDefault="00011DE9">
      <w:pPr>
        <w:pStyle w:val="P68B1DB1-Normal46"/>
        <w:spacing w:before="120" w:after="120" w:line="240" w:lineRule="auto"/>
        <w:jc w:val="both"/>
        <w:rPr>
          <w:rFonts w:cs="Times New Roman"/>
          <w:noProof/>
        </w:rPr>
      </w:pPr>
      <w:r>
        <w:rPr>
          <w:noProof/>
        </w:rPr>
        <w:t xml:space="preserve">Investiția 1 (C20.I1) – Dezvoltarea competențelor </w:t>
      </w:r>
    </w:p>
    <w:p w14:paraId="32DFB203" w14:textId="69BF2782" w:rsidR="00011DE9" w:rsidRDefault="00011DE9">
      <w:pPr>
        <w:spacing w:before="120" w:after="120" w:line="240" w:lineRule="auto"/>
        <w:jc w:val="both"/>
        <w:rPr>
          <w:rFonts w:ascii="Times New Roman" w:hAnsi="Times New Roman" w:cs="Times New Roman"/>
          <w:noProof/>
          <w:shd w:val="clear" w:color="auto" w:fill="FFFFFF"/>
        </w:rPr>
      </w:pPr>
      <w:r>
        <w:rPr>
          <w:rFonts w:ascii="Times New Roman" w:hAnsi="Times New Roman"/>
          <w:noProof/>
          <w:shd w:val="clear" w:color="auto" w:fill="FFFFFF"/>
        </w:rPr>
        <w:t>Obiectivul acestei măsuri este de a menține și de a îmbunătăți competențele profesionale ale populației</w:t>
      </w:r>
      <w:r>
        <w:rPr>
          <w:rFonts w:ascii="Times New Roman" w:hAnsi="Times New Roman"/>
          <w:noProof/>
        </w:rPr>
        <w:t>. Această măsură constă în evaluarea unităților de competență profesională (calificări profesionale care descriu competențele și cunoștințele individuale) și participarea persoanelor la activități de formare.</w:t>
      </w:r>
      <w:r w:rsidR="00971820">
        <w:rPr>
          <w:rFonts w:ascii="Times New Roman" w:hAnsi="Times New Roman"/>
          <w:noProof/>
        </w:rPr>
        <w:t xml:space="preserve"> </w:t>
      </w:r>
      <w:r>
        <w:rPr>
          <w:noProof/>
        </w:rPr>
        <w:t xml:space="preserve"> </w:t>
      </w:r>
    </w:p>
    <w:p w14:paraId="4ABCF3EE" w14:textId="77777777" w:rsidR="00011DE9" w:rsidRDefault="00011DE9">
      <w:pPr>
        <w:pStyle w:val="P68B1DB1-Normal46"/>
        <w:spacing w:before="120" w:after="120" w:line="240" w:lineRule="auto"/>
        <w:jc w:val="both"/>
        <w:rPr>
          <w:rFonts w:cs="Times New Roman"/>
          <w:noProof/>
        </w:rPr>
      </w:pPr>
      <w:r>
        <w:rPr>
          <w:noProof/>
        </w:rPr>
        <w:t>Investiția 2 (C20.I2): Transformarea digitală a formării profesionale</w:t>
      </w:r>
    </w:p>
    <w:p w14:paraId="4DE6DF4E" w14:textId="77777777" w:rsidR="00011DE9" w:rsidRDefault="00011DE9">
      <w:pPr>
        <w:pStyle w:val="P68B1DB1-Normal16"/>
        <w:spacing w:before="120" w:after="120" w:line="240" w:lineRule="auto"/>
        <w:jc w:val="both"/>
        <w:rPr>
          <w:rFonts w:cs="Times New Roman"/>
          <w:noProof/>
          <w:shd w:val="clear" w:color="auto" w:fill="FFFFFF"/>
        </w:rPr>
      </w:pPr>
      <w:r>
        <w:rPr>
          <w:noProof/>
          <w:shd w:val="clear" w:color="auto" w:fill="FFFFFF"/>
        </w:rPr>
        <w:t>Obiectivul</w:t>
      </w:r>
      <w:r>
        <w:rPr>
          <w:noProof/>
        </w:rPr>
        <w:t xml:space="preserve"> acestei măsuri este de</w:t>
      </w:r>
      <w:r>
        <w:rPr>
          <w:noProof/>
          <w:shd w:val="clear" w:color="auto" w:fill="FFFFFF"/>
        </w:rPr>
        <w:t xml:space="preserve"> </w:t>
      </w:r>
      <w:r>
        <w:rPr>
          <w:noProof/>
        </w:rPr>
        <w:t xml:space="preserve">a </w:t>
      </w:r>
      <w:r>
        <w:rPr>
          <w:noProof/>
          <w:shd w:val="clear" w:color="auto" w:fill="FFFFFF"/>
        </w:rPr>
        <w:t xml:space="preserve">transforma și moderniza formarea profesională. </w:t>
      </w:r>
      <w:r>
        <w:rPr>
          <w:noProof/>
        </w:rPr>
        <w:t xml:space="preserve">Această măsură constă în integrarea centrelor în Rețeaua națională a centrelor de excelență pentru formare profesională, în conversia sălilor de clasă în spații tehnologice aplicate, precum și în participarea la formarea digitală și verde a cadrelor didactice din domeniul EFP. </w:t>
      </w:r>
    </w:p>
    <w:p w14:paraId="2D11981E" w14:textId="77777777" w:rsidR="00011DE9" w:rsidRDefault="00011DE9">
      <w:pPr>
        <w:pStyle w:val="P68B1DB1-Normal46"/>
        <w:keepNext/>
        <w:spacing w:before="120" w:after="120" w:line="240" w:lineRule="auto"/>
        <w:jc w:val="both"/>
        <w:rPr>
          <w:rFonts w:cs="Times New Roman"/>
          <w:noProof/>
        </w:rPr>
      </w:pPr>
      <w:r>
        <w:rPr>
          <w:noProof/>
        </w:rPr>
        <w:t>Investiția 3 (C20.I3): Va oferi extinderea și internaționalizarea formării profesionale</w:t>
      </w:r>
    </w:p>
    <w:p w14:paraId="17057624" w14:textId="77777777" w:rsidR="00011DE9" w:rsidRDefault="00011DE9">
      <w:pPr>
        <w:pStyle w:val="P68B1DB1-Normal16"/>
        <w:keepNext/>
        <w:spacing w:before="120" w:after="120" w:line="240" w:lineRule="auto"/>
        <w:jc w:val="both"/>
        <w:rPr>
          <w:rFonts w:cs="Times New Roman"/>
          <w:noProof/>
        </w:rPr>
      </w:pPr>
      <w:r>
        <w:rPr>
          <w:noProof/>
          <w:shd w:val="clear" w:color="auto" w:fill="FFFFFF"/>
        </w:rPr>
        <w:t>Obiectivul</w:t>
      </w:r>
      <w:r>
        <w:rPr>
          <w:noProof/>
        </w:rPr>
        <w:t xml:space="preserve"> acestei </w:t>
      </w:r>
      <w:r>
        <w:rPr>
          <w:noProof/>
          <w:shd w:val="clear" w:color="auto" w:fill="FFFFFF"/>
        </w:rPr>
        <w:t xml:space="preserve">măsuri este de a spori oferta de formare profesională. </w:t>
      </w:r>
      <w:r>
        <w:rPr>
          <w:noProof/>
        </w:rPr>
        <w:t xml:space="preserve">Această măsură constă în oferirea de formare profesională în formate bilingve, precum și în crearea de grupuri EFP suplimentare. </w:t>
      </w:r>
    </w:p>
    <w:p w14:paraId="4792023E" w14:textId="77777777" w:rsidR="00011DE9" w:rsidRDefault="00011DE9">
      <w:pPr>
        <w:spacing w:before="120" w:after="120" w:line="240" w:lineRule="auto"/>
        <w:jc w:val="both"/>
        <w:rPr>
          <w:rFonts w:ascii="Times New Roman" w:hAnsi="Times New Roman" w:cs="Times New Roman"/>
          <w:noProof/>
        </w:rPr>
      </w:pPr>
    </w:p>
    <w:p w14:paraId="476CE315" w14:textId="07D5FE18" w:rsidR="00011DE9" w:rsidRDefault="00011DE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T.2.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37507F4F" w14:textId="77777777" w:rsidR="00011DE9" w:rsidRDefault="00011DE9">
      <w:pPr>
        <w:pStyle w:val="P68B1DB1-Normal16"/>
        <w:spacing w:before="120" w:after="120" w:line="240" w:lineRule="auto"/>
        <w:jc w:val="both"/>
        <w:rPr>
          <w:rFonts w:cs="Times New Roman"/>
          <w:noProof/>
        </w:rPr>
        <w:sectPr w:rsidR="00011DE9" w:rsidSect="00011DE9">
          <w:headerReference w:type="even" r:id="rId274"/>
          <w:headerReference w:type="default" r:id="rId275"/>
          <w:footerReference w:type="even" r:id="rId276"/>
          <w:footerReference w:type="default" r:id="rId277"/>
          <w:headerReference w:type="first" r:id="rId278"/>
          <w:footerReference w:type="first" r:id="rId279"/>
          <w:pgSz w:w="11907" w:h="16839"/>
          <w:pgMar w:top="1134" w:right="1134" w:bottom="1134" w:left="1134" w:header="567" w:footer="567" w:gutter="0"/>
          <w:cols w:space="720"/>
          <w:docGrid w:linePitch="360"/>
        </w:sect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51"/>
        <w:gridCol w:w="851"/>
        <w:gridCol w:w="858"/>
        <w:gridCol w:w="2685"/>
        <w:gridCol w:w="1418"/>
        <w:gridCol w:w="811"/>
        <w:gridCol w:w="984"/>
        <w:gridCol w:w="843"/>
        <w:gridCol w:w="562"/>
        <w:gridCol w:w="627"/>
        <w:gridCol w:w="4820"/>
      </w:tblGrid>
      <w:tr w:rsidR="00011DE9" w14:paraId="57DEC89D" w14:textId="77777777">
        <w:trPr>
          <w:trHeight w:val="309"/>
          <w:tblHeader/>
          <w:jc w:val="center"/>
        </w:trPr>
        <w:tc>
          <w:tcPr>
            <w:tcW w:w="851" w:type="dxa"/>
            <w:vMerge w:val="restart"/>
            <w:shd w:val="clear" w:color="auto" w:fill="B7D4EF"/>
            <w:noWrap/>
            <w:vAlign w:val="center"/>
          </w:tcPr>
          <w:p w14:paraId="2630DC02" w14:textId="77777777" w:rsidR="00011DE9" w:rsidRDefault="00011DE9">
            <w:pPr>
              <w:pStyle w:val="P68B1DB1-Normal18"/>
              <w:spacing w:after="0" w:line="240" w:lineRule="auto"/>
              <w:jc w:val="center"/>
              <w:rPr>
                <w:rFonts w:cs="Times New Roman"/>
                <w:noProof/>
                <w:szCs w:val="18"/>
              </w:rPr>
            </w:pPr>
            <w:r>
              <w:rPr>
                <w:noProof/>
              </w:rPr>
              <w:t>Număr</w:t>
            </w:r>
          </w:p>
        </w:tc>
        <w:tc>
          <w:tcPr>
            <w:tcW w:w="851" w:type="dxa"/>
            <w:vMerge w:val="restart"/>
            <w:shd w:val="clear" w:color="auto" w:fill="B7D4EF"/>
            <w:noWrap/>
            <w:vAlign w:val="center"/>
          </w:tcPr>
          <w:p w14:paraId="3B74F831" w14:textId="77777777" w:rsidR="00011DE9" w:rsidRDefault="00011DE9">
            <w:pPr>
              <w:pStyle w:val="P68B1DB1-Normal18"/>
              <w:spacing w:after="0" w:line="240" w:lineRule="auto"/>
              <w:jc w:val="center"/>
              <w:rPr>
                <w:rFonts w:cs="Times New Roman"/>
                <w:noProof/>
                <w:szCs w:val="18"/>
              </w:rPr>
            </w:pPr>
            <w:r>
              <w:rPr>
                <w:noProof/>
              </w:rPr>
              <w:t>Măsură</w:t>
            </w:r>
          </w:p>
        </w:tc>
        <w:tc>
          <w:tcPr>
            <w:tcW w:w="858" w:type="dxa"/>
            <w:vMerge w:val="restart"/>
            <w:shd w:val="clear" w:color="auto" w:fill="B7D4EF"/>
            <w:noWrap/>
            <w:vAlign w:val="center"/>
          </w:tcPr>
          <w:p w14:paraId="116243E0" w14:textId="00FD77E6" w:rsidR="00011DE9" w:rsidRDefault="00011DE9">
            <w:pPr>
              <w:spacing w:after="0" w:line="240" w:lineRule="auto"/>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2685" w:type="dxa"/>
            <w:vMerge w:val="restart"/>
            <w:shd w:val="clear" w:color="auto" w:fill="B7D4EF"/>
            <w:noWrap/>
            <w:vAlign w:val="center"/>
          </w:tcPr>
          <w:p w14:paraId="01D29436" w14:textId="77777777" w:rsidR="00011DE9" w:rsidRDefault="00011DE9">
            <w:pPr>
              <w:pStyle w:val="P68B1DB1-Normal18"/>
              <w:spacing w:after="0" w:line="240" w:lineRule="auto"/>
              <w:jc w:val="center"/>
              <w:rPr>
                <w:rFonts w:cs="Times New Roman"/>
                <w:noProof/>
                <w:szCs w:val="18"/>
              </w:rPr>
            </w:pPr>
            <w:r>
              <w:rPr>
                <w:noProof/>
              </w:rPr>
              <w:t>Nume</w:t>
            </w:r>
          </w:p>
        </w:tc>
        <w:tc>
          <w:tcPr>
            <w:tcW w:w="1418" w:type="dxa"/>
            <w:vMerge w:val="restart"/>
            <w:shd w:val="clear" w:color="auto" w:fill="B7D4EF"/>
            <w:noWrap/>
            <w:vAlign w:val="center"/>
          </w:tcPr>
          <w:p w14:paraId="068C9910" w14:textId="77777777" w:rsidR="00011DE9" w:rsidRDefault="00011DE9">
            <w:pPr>
              <w:pStyle w:val="P68B1DB1-Normal18"/>
              <w:spacing w:after="0" w:line="240" w:lineRule="auto"/>
              <w:jc w:val="center"/>
              <w:rPr>
                <w:rFonts w:cs="Times New Roman"/>
                <w:noProof/>
                <w:szCs w:val="18"/>
              </w:rPr>
            </w:pPr>
            <w:r>
              <w:rPr>
                <w:noProof/>
              </w:rPr>
              <w:t>Indicator calitativ pentru jaloane</w:t>
            </w:r>
          </w:p>
        </w:tc>
        <w:tc>
          <w:tcPr>
            <w:tcW w:w="2638" w:type="dxa"/>
            <w:gridSpan w:val="3"/>
            <w:shd w:val="clear" w:color="auto" w:fill="B7D4EF"/>
            <w:noWrap/>
            <w:vAlign w:val="center"/>
          </w:tcPr>
          <w:p w14:paraId="5AD8AC31" w14:textId="77777777" w:rsidR="00011DE9" w:rsidRDefault="00011DE9">
            <w:pPr>
              <w:pStyle w:val="P68B1DB1-Normal18"/>
              <w:spacing w:after="0" w:line="240" w:lineRule="auto"/>
              <w:jc w:val="center"/>
              <w:rPr>
                <w:rFonts w:cs="Times New Roman"/>
                <w:noProof/>
                <w:szCs w:val="18"/>
              </w:rPr>
            </w:pPr>
            <w:r>
              <w:rPr>
                <w:noProof/>
              </w:rPr>
              <w:t>Indicator cantitativ pentru ținte</w:t>
            </w:r>
          </w:p>
        </w:tc>
        <w:tc>
          <w:tcPr>
            <w:tcW w:w="1189" w:type="dxa"/>
            <w:gridSpan w:val="2"/>
            <w:shd w:val="clear" w:color="auto" w:fill="B7D4EF"/>
            <w:noWrap/>
            <w:vAlign w:val="center"/>
          </w:tcPr>
          <w:p w14:paraId="4552B92B" w14:textId="77777777" w:rsidR="00011DE9" w:rsidRDefault="00011DE9">
            <w:pPr>
              <w:pStyle w:val="P68B1DB1-Normal18"/>
              <w:spacing w:after="0" w:line="240" w:lineRule="auto"/>
              <w:jc w:val="center"/>
              <w:rPr>
                <w:rFonts w:cs="Times New Roman"/>
                <w:noProof/>
                <w:szCs w:val="18"/>
              </w:rPr>
            </w:pPr>
            <w:r>
              <w:rPr>
                <w:noProof/>
              </w:rPr>
              <w:t>Timp</w:t>
            </w:r>
          </w:p>
        </w:tc>
        <w:tc>
          <w:tcPr>
            <w:tcW w:w="4820" w:type="dxa"/>
            <w:vMerge w:val="restart"/>
            <w:shd w:val="clear" w:color="auto" w:fill="B7D4EF"/>
            <w:noWrap/>
            <w:vAlign w:val="center"/>
          </w:tcPr>
          <w:p w14:paraId="11968E53" w14:textId="77777777" w:rsidR="00011DE9" w:rsidRDefault="00011DE9">
            <w:pPr>
              <w:pStyle w:val="P68B1DB1-Normal18"/>
              <w:spacing w:after="0" w:line="240" w:lineRule="auto"/>
              <w:jc w:val="center"/>
              <w:rPr>
                <w:rFonts w:cs="Times New Roman"/>
                <w:noProof/>
                <w:szCs w:val="18"/>
              </w:rPr>
            </w:pPr>
            <w:r>
              <w:rPr>
                <w:noProof/>
              </w:rPr>
              <w:t>Descrierea fiecărui jalon și a fiecărei ținte</w:t>
            </w:r>
          </w:p>
        </w:tc>
      </w:tr>
      <w:tr w:rsidR="00011DE9" w14:paraId="2F963972" w14:textId="77777777">
        <w:trPr>
          <w:trHeight w:val="587"/>
          <w:tblHeader/>
          <w:jc w:val="center"/>
        </w:trPr>
        <w:tc>
          <w:tcPr>
            <w:tcW w:w="851" w:type="dxa"/>
            <w:vMerge/>
            <w:noWrap/>
          </w:tcPr>
          <w:p w14:paraId="18C30D4C" w14:textId="77777777" w:rsidR="00011DE9" w:rsidRDefault="00011DE9">
            <w:pPr>
              <w:spacing w:after="0" w:line="240" w:lineRule="auto"/>
              <w:jc w:val="center"/>
              <w:rPr>
                <w:rFonts w:ascii="Times New Roman" w:hAnsi="Times New Roman" w:cs="Times New Roman"/>
                <w:b/>
                <w:noProof/>
                <w:sz w:val="18"/>
                <w:szCs w:val="18"/>
              </w:rPr>
            </w:pPr>
          </w:p>
        </w:tc>
        <w:tc>
          <w:tcPr>
            <w:tcW w:w="851" w:type="dxa"/>
            <w:vMerge/>
            <w:noWrap/>
          </w:tcPr>
          <w:p w14:paraId="0DE1E36C" w14:textId="77777777" w:rsidR="00011DE9" w:rsidRDefault="00011DE9">
            <w:pPr>
              <w:spacing w:after="0" w:line="240" w:lineRule="auto"/>
              <w:jc w:val="center"/>
              <w:rPr>
                <w:rFonts w:ascii="Times New Roman" w:hAnsi="Times New Roman" w:cs="Times New Roman"/>
                <w:b/>
                <w:noProof/>
                <w:sz w:val="18"/>
                <w:szCs w:val="18"/>
              </w:rPr>
            </w:pPr>
          </w:p>
        </w:tc>
        <w:tc>
          <w:tcPr>
            <w:tcW w:w="858" w:type="dxa"/>
            <w:vMerge/>
            <w:noWrap/>
          </w:tcPr>
          <w:p w14:paraId="2DDE4C4D" w14:textId="77777777" w:rsidR="00011DE9" w:rsidRDefault="00011DE9">
            <w:pPr>
              <w:spacing w:after="0" w:line="240" w:lineRule="auto"/>
              <w:jc w:val="center"/>
              <w:rPr>
                <w:rFonts w:ascii="Times New Roman" w:hAnsi="Times New Roman" w:cs="Times New Roman"/>
                <w:b/>
                <w:noProof/>
                <w:sz w:val="18"/>
                <w:szCs w:val="18"/>
              </w:rPr>
            </w:pPr>
          </w:p>
        </w:tc>
        <w:tc>
          <w:tcPr>
            <w:tcW w:w="2685" w:type="dxa"/>
            <w:vMerge/>
            <w:noWrap/>
          </w:tcPr>
          <w:p w14:paraId="4421E3F0" w14:textId="77777777" w:rsidR="00011DE9" w:rsidRDefault="00011DE9">
            <w:pPr>
              <w:spacing w:after="0" w:line="240" w:lineRule="auto"/>
              <w:rPr>
                <w:rFonts w:ascii="Times New Roman" w:hAnsi="Times New Roman" w:cs="Times New Roman"/>
                <w:b/>
                <w:noProof/>
                <w:sz w:val="18"/>
                <w:szCs w:val="18"/>
              </w:rPr>
            </w:pPr>
          </w:p>
        </w:tc>
        <w:tc>
          <w:tcPr>
            <w:tcW w:w="1418" w:type="dxa"/>
            <w:vMerge/>
            <w:noWrap/>
          </w:tcPr>
          <w:p w14:paraId="63325057" w14:textId="77777777" w:rsidR="00011DE9" w:rsidRDefault="00011DE9">
            <w:pPr>
              <w:spacing w:after="0" w:line="240" w:lineRule="auto"/>
              <w:jc w:val="center"/>
              <w:rPr>
                <w:rFonts w:ascii="Times New Roman" w:hAnsi="Times New Roman" w:cs="Times New Roman"/>
                <w:b/>
                <w:noProof/>
                <w:sz w:val="18"/>
                <w:szCs w:val="18"/>
              </w:rPr>
            </w:pPr>
          </w:p>
        </w:tc>
        <w:tc>
          <w:tcPr>
            <w:tcW w:w="811" w:type="dxa"/>
            <w:shd w:val="clear" w:color="auto" w:fill="B7D4EF"/>
            <w:noWrap/>
            <w:vAlign w:val="center"/>
          </w:tcPr>
          <w:p w14:paraId="1C4117DD" w14:textId="77777777" w:rsidR="00011DE9" w:rsidRDefault="00011DE9">
            <w:pPr>
              <w:pStyle w:val="P68B1DB1-Normal18"/>
              <w:spacing w:after="0" w:line="240" w:lineRule="auto"/>
              <w:jc w:val="center"/>
              <w:rPr>
                <w:rFonts w:cs="Times New Roman"/>
                <w:noProof/>
                <w:szCs w:val="18"/>
              </w:rPr>
            </w:pPr>
            <w:r>
              <w:rPr>
                <w:noProof/>
              </w:rPr>
              <w:t>Unitate</w:t>
            </w:r>
          </w:p>
        </w:tc>
        <w:tc>
          <w:tcPr>
            <w:tcW w:w="984" w:type="dxa"/>
            <w:shd w:val="clear" w:color="auto" w:fill="B7D4EF"/>
            <w:noWrap/>
            <w:vAlign w:val="center"/>
          </w:tcPr>
          <w:p w14:paraId="083D2F3D" w14:textId="77777777" w:rsidR="00011DE9" w:rsidRDefault="00011DE9">
            <w:pPr>
              <w:pStyle w:val="P68B1DB1-Normal18"/>
              <w:spacing w:after="0" w:line="240" w:lineRule="auto"/>
              <w:jc w:val="center"/>
              <w:rPr>
                <w:rFonts w:cs="Times New Roman"/>
                <w:noProof/>
                <w:szCs w:val="18"/>
              </w:rPr>
            </w:pPr>
            <w:r>
              <w:rPr>
                <w:noProof/>
              </w:rPr>
              <w:t>Situația de referință</w:t>
            </w:r>
          </w:p>
        </w:tc>
        <w:tc>
          <w:tcPr>
            <w:tcW w:w="843" w:type="dxa"/>
            <w:shd w:val="clear" w:color="auto" w:fill="B7D4EF"/>
            <w:noWrap/>
            <w:vAlign w:val="center"/>
          </w:tcPr>
          <w:p w14:paraId="2E49E23F" w14:textId="77777777" w:rsidR="00011DE9" w:rsidRDefault="00011DE9">
            <w:pPr>
              <w:pStyle w:val="P68B1DB1-Normal18"/>
              <w:spacing w:after="0" w:line="240" w:lineRule="auto"/>
              <w:jc w:val="center"/>
              <w:rPr>
                <w:rFonts w:cs="Times New Roman"/>
                <w:noProof/>
                <w:szCs w:val="18"/>
              </w:rPr>
            </w:pPr>
            <w:r>
              <w:rPr>
                <w:noProof/>
              </w:rPr>
              <w:t>Obiectiv</w:t>
            </w:r>
          </w:p>
        </w:tc>
        <w:tc>
          <w:tcPr>
            <w:tcW w:w="562" w:type="dxa"/>
            <w:shd w:val="clear" w:color="auto" w:fill="B7D4EF"/>
            <w:noWrap/>
            <w:vAlign w:val="center"/>
          </w:tcPr>
          <w:p w14:paraId="63794F5F" w14:textId="7FFE4D7C" w:rsidR="00011DE9" w:rsidRDefault="003010A3">
            <w:pPr>
              <w:pStyle w:val="P68B1DB1-Normal18"/>
              <w:spacing w:after="0" w:line="240" w:lineRule="auto"/>
              <w:jc w:val="center"/>
              <w:rPr>
                <w:rFonts w:cs="Times New Roman"/>
                <w:noProof/>
                <w:szCs w:val="18"/>
              </w:rPr>
            </w:pPr>
            <w:r>
              <w:rPr>
                <w:noProof/>
              </w:rPr>
              <w:t>T</w:t>
            </w:r>
          </w:p>
        </w:tc>
        <w:tc>
          <w:tcPr>
            <w:tcW w:w="627" w:type="dxa"/>
            <w:shd w:val="clear" w:color="auto" w:fill="B7D4EF"/>
            <w:noWrap/>
            <w:vAlign w:val="center"/>
          </w:tcPr>
          <w:p w14:paraId="3FE6CA1A" w14:textId="77777777" w:rsidR="00011DE9" w:rsidRDefault="00011DE9">
            <w:pPr>
              <w:pStyle w:val="P68B1DB1-Normal18"/>
              <w:spacing w:after="0" w:line="240" w:lineRule="auto"/>
              <w:jc w:val="center"/>
              <w:rPr>
                <w:rFonts w:cs="Times New Roman"/>
                <w:noProof/>
                <w:szCs w:val="18"/>
              </w:rPr>
            </w:pPr>
            <w:r>
              <w:rPr>
                <w:noProof/>
              </w:rPr>
              <w:t>Anul</w:t>
            </w:r>
          </w:p>
        </w:tc>
        <w:tc>
          <w:tcPr>
            <w:tcW w:w="4820" w:type="dxa"/>
            <w:vMerge/>
            <w:noWrap/>
          </w:tcPr>
          <w:p w14:paraId="13E41214" w14:textId="77777777" w:rsidR="00011DE9" w:rsidRDefault="00011DE9">
            <w:pPr>
              <w:spacing w:after="0" w:line="240" w:lineRule="auto"/>
              <w:rPr>
                <w:rFonts w:ascii="Times New Roman" w:hAnsi="Times New Roman" w:cs="Times New Roman"/>
                <w:b/>
                <w:noProof/>
                <w:sz w:val="18"/>
                <w:szCs w:val="18"/>
              </w:rPr>
            </w:pPr>
          </w:p>
        </w:tc>
      </w:tr>
      <w:tr w:rsidR="00011DE9" w14:paraId="1251994E" w14:textId="77777777">
        <w:trPr>
          <w:trHeight w:val="309"/>
          <w:jc w:val="center"/>
        </w:trPr>
        <w:tc>
          <w:tcPr>
            <w:tcW w:w="851" w:type="dxa"/>
            <w:shd w:val="clear" w:color="auto" w:fill="C6EFCE"/>
            <w:noWrap/>
          </w:tcPr>
          <w:p w14:paraId="31269C63" w14:textId="77777777" w:rsidR="00011DE9" w:rsidRDefault="00011DE9">
            <w:pPr>
              <w:pStyle w:val="P68B1DB1-Normal19"/>
              <w:spacing w:after="0" w:line="240" w:lineRule="auto"/>
              <w:jc w:val="center"/>
              <w:rPr>
                <w:rFonts w:eastAsia="Times New Roman"/>
                <w:noProof/>
              </w:rPr>
            </w:pPr>
            <w:r>
              <w:rPr>
                <w:noProof/>
              </w:rPr>
              <w:t>295</w:t>
            </w:r>
          </w:p>
        </w:tc>
        <w:tc>
          <w:tcPr>
            <w:tcW w:w="851" w:type="dxa"/>
            <w:shd w:val="clear" w:color="auto" w:fill="C6EFCE"/>
            <w:noWrap/>
          </w:tcPr>
          <w:p w14:paraId="314A50DE" w14:textId="77777777" w:rsidR="00011DE9" w:rsidRDefault="00011DE9">
            <w:pPr>
              <w:pStyle w:val="P68B1DB1-Normal19"/>
              <w:spacing w:after="0" w:line="240" w:lineRule="auto"/>
              <w:jc w:val="center"/>
              <w:rPr>
                <w:rFonts w:eastAsia="Times New Roman"/>
                <w:noProof/>
              </w:rPr>
            </w:pPr>
            <w:r>
              <w:rPr>
                <w:noProof/>
              </w:rPr>
              <w:t>C20.R1</w:t>
            </w:r>
          </w:p>
        </w:tc>
        <w:tc>
          <w:tcPr>
            <w:tcW w:w="858" w:type="dxa"/>
            <w:shd w:val="clear" w:color="auto" w:fill="C6EFCE"/>
            <w:noWrap/>
          </w:tcPr>
          <w:p w14:paraId="0B0D1265" w14:textId="77777777" w:rsidR="00011DE9" w:rsidRDefault="00011DE9">
            <w:pPr>
              <w:pStyle w:val="P68B1DB1-Normal19"/>
              <w:spacing w:after="0" w:line="240" w:lineRule="auto"/>
              <w:jc w:val="center"/>
              <w:rPr>
                <w:rFonts w:eastAsia="Times New Roman"/>
                <w:noProof/>
              </w:rPr>
            </w:pPr>
            <w:r>
              <w:rPr>
                <w:noProof/>
              </w:rPr>
              <w:t>M</w:t>
            </w:r>
          </w:p>
        </w:tc>
        <w:tc>
          <w:tcPr>
            <w:tcW w:w="2685" w:type="dxa"/>
            <w:shd w:val="clear" w:color="auto" w:fill="C6EFCE"/>
            <w:noWrap/>
          </w:tcPr>
          <w:p w14:paraId="0F875395" w14:textId="77777777" w:rsidR="00011DE9" w:rsidRDefault="00011DE9">
            <w:pPr>
              <w:pStyle w:val="P68B1DB1-Normal19"/>
              <w:spacing w:after="0" w:line="240" w:lineRule="auto"/>
              <w:rPr>
                <w:rFonts w:eastAsia="Times New Roman"/>
                <w:noProof/>
              </w:rPr>
            </w:pPr>
            <w:r>
              <w:rPr>
                <w:noProof/>
              </w:rPr>
              <w:t>Planul de modernizare a formării profesionale și decretele-lege aferente</w:t>
            </w:r>
          </w:p>
        </w:tc>
        <w:tc>
          <w:tcPr>
            <w:tcW w:w="1418" w:type="dxa"/>
            <w:shd w:val="clear" w:color="auto" w:fill="C6EFCE"/>
            <w:noWrap/>
          </w:tcPr>
          <w:p w14:paraId="559E3905" w14:textId="77777777" w:rsidR="00011DE9" w:rsidRDefault="00011DE9">
            <w:pPr>
              <w:pStyle w:val="P68B1DB1-Normal19"/>
              <w:spacing w:after="0" w:line="240" w:lineRule="auto"/>
              <w:jc w:val="center"/>
              <w:rPr>
                <w:rFonts w:eastAsia="Times New Roman"/>
                <w:noProof/>
              </w:rPr>
            </w:pPr>
            <w:r>
              <w:rPr>
                <w:noProof/>
              </w:rPr>
              <w:t xml:space="preserve">Publicarea pe pagina de internet a Memorandumului privind politica economică și financiară și prezentarea de către prim-ministru </w:t>
            </w:r>
          </w:p>
        </w:tc>
        <w:tc>
          <w:tcPr>
            <w:tcW w:w="811" w:type="dxa"/>
            <w:shd w:val="clear" w:color="auto" w:fill="C6EFCE"/>
            <w:noWrap/>
          </w:tcPr>
          <w:p w14:paraId="31FE5001" w14:textId="77777777" w:rsidR="00011DE9" w:rsidRDefault="00011DE9">
            <w:pPr>
              <w:pStyle w:val="P68B1DB1-Normal19"/>
              <w:spacing w:after="0" w:line="240" w:lineRule="auto"/>
              <w:jc w:val="center"/>
              <w:rPr>
                <w:rFonts w:eastAsia="Times New Roman"/>
                <w:noProof/>
              </w:rPr>
            </w:pPr>
            <w:r>
              <w:rPr>
                <w:noProof/>
              </w:rPr>
              <w:t xml:space="preserve"> </w:t>
            </w:r>
          </w:p>
        </w:tc>
        <w:tc>
          <w:tcPr>
            <w:tcW w:w="984" w:type="dxa"/>
            <w:shd w:val="clear" w:color="auto" w:fill="C6EFCE"/>
            <w:noWrap/>
          </w:tcPr>
          <w:p w14:paraId="04501261" w14:textId="77777777" w:rsidR="00011DE9" w:rsidRDefault="00011DE9">
            <w:pPr>
              <w:pStyle w:val="P68B1DB1-Normal19"/>
              <w:spacing w:after="0" w:line="240" w:lineRule="auto"/>
              <w:jc w:val="right"/>
              <w:rPr>
                <w:rFonts w:eastAsia="Times New Roman"/>
                <w:noProof/>
              </w:rPr>
            </w:pPr>
            <w:r>
              <w:rPr>
                <w:noProof/>
              </w:rPr>
              <w:t xml:space="preserve"> </w:t>
            </w:r>
          </w:p>
        </w:tc>
        <w:tc>
          <w:tcPr>
            <w:tcW w:w="843" w:type="dxa"/>
            <w:shd w:val="clear" w:color="auto" w:fill="C6EFCE"/>
            <w:noWrap/>
          </w:tcPr>
          <w:p w14:paraId="0EDDC8D1" w14:textId="77777777" w:rsidR="00011DE9" w:rsidRDefault="00011DE9">
            <w:pPr>
              <w:pStyle w:val="P68B1DB1-Normal19"/>
              <w:spacing w:after="0" w:line="240" w:lineRule="auto"/>
              <w:jc w:val="right"/>
              <w:rPr>
                <w:rFonts w:eastAsia="Times New Roman"/>
                <w:noProof/>
              </w:rPr>
            </w:pPr>
            <w:r>
              <w:rPr>
                <w:noProof/>
              </w:rPr>
              <w:t xml:space="preserve"> </w:t>
            </w:r>
          </w:p>
        </w:tc>
        <w:tc>
          <w:tcPr>
            <w:tcW w:w="562" w:type="dxa"/>
            <w:shd w:val="clear" w:color="auto" w:fill="C6EFCE"/>
            <w:noWrap/>
          </w:tcPr>
          <w:p w14:paraId="6D6DA887" w14:textId="6F59BB58" w:rsidR="00011DE9" w:rsidRDefault="005701C9">
            <w:pPr>
              <w:pStyle w:val="P68B1DB1-Normal19"/>
              <w:spacing w:after="0" w:line="240" w:lineRule="auto"/>
              <w:jc w:val="center"/>
              <w:rPr>
                <w:rFonts w:eastAsia="Times New Roman"/>
                <w:noProof/>
              </w:rPr>
            </w:pPr>
            <w:r>
              <w:rPr>
                <w:noProof/>
              </w:rPr>
              <w:t>T4</w:t>
            </w:r>
          </w:p>
        </w:tc>
        <w:tc>
          <w:tcPr>
            <w:tcW w:w="627" w:type="dxa"/>
            <w:shd w:val="clear" w:color="auto" w:fill="C6EFCE"/>
            <w:noWrap/>
          </w:tcPr>
          <w:p w14:paraId="22E74280" w14:textId="77777777" w:rsidR="00011DE9" w:rsidRDefault="00011DE9">
            <w:pPr>
              <w:pStyle w:val="P68B1DB1-Normal19"/>
              <w:spacing w:after="0" w:line="240" w:lineRule="auto"/>
              <w:jc w:val="center"/>
              <w:rPr>
                <w:rFonts w:eastAsia="Times New Roman"/>
                <w:noProof/>
              </w:rPr>
            </w:pPr>
            <w:r>
              <w:rPr>
                <w:noProof/>
              </w:rPr>
              <w:t>2020</w:t>
            </w:r>
          </w:p>
        </w:tc>
        <w:tc>
          <w:tcPr>
            <w:tcW w:w="4820" w:type="dxa"/>
            <w:shd w:val="clear" w:color="auto" w:fill="C6EFCE"/>
            <w:noWrap/>
          </w:tcPr>
          <w:p w14:paraId="1CEEDAEE" w14:textId="77777777" w:rsidR="00011DE9" w:rsidRDefault="00011DE9">
            <w:pPr>
              <w:pStyle w:val="P68B1DB1-Normal19"/>
              <w:spacing w:after="0" w:line="240" w:lineRule="auto"/>
              <w:rPr>
                <w:rFonts w:eastAsia="Times New Roman"/>
                <w:noProof/>
              </w:rPr>
            </w:pPr>
            <w:r>
              <w:rPr>
                <w:noProof/>
              </w:rPr>
              <w:t>Prezentarea de către prim-ministru a Planului de modernizare a formării profesionale și publicarea în Jurnalul Oficial a Decretului-lege regal din 8 de punere în aplicare a planului, care corespunde unui număr de 5 de programe de specializare, 2 de programe universitare de nivel mediu și 1 programe universitare de nivel superior</w:t>
            </w:r>
          </w:p>
        </w:tc>
      </w:tr>
      <w:tr w:rsidR="00011DE9" w14:paraId="6EBE4570" w14:textId="77777777">
        <w:trPr>
          <w:trHeight w:val="309"/>
          <w:jc w:val="center"/>
        </w:trPr>
        <w:tc>
          <w:tcPr>
            <w:tcW w:w="851" w:type="dxa"/>
            <w:shd w:val="clear" w:color="auto" w:fill="C6EFCE"/>
            <w:noWrap/>
          </w:tcPr>
          <w:p w14:paraId="5F730BB1" w14:textId="77777777" w:rsidR="00011DE9" w:rsidRDefault="00011DE9">
            <w:pPr>
              <w:pStyle w:val="P68B1DB1-Normal19"/>
              <w:spacing w:after="0" w:line="240" w:lineRule="auto"/>
              <w:jc w:val="center"/>
              <w:rPr>
                <w:rFonts w:eastAsia="Times New Roman"/>
                <w:noProof/>
              </w:rPr>
            </w:pPr>
            <w:r>
              <w:rPr>
                <w:noProof/>
              </w:rPr>
              <w:t>296</w:t>
            </w:r>
          </w:p>
        </w:tc>
        <w:tc>
          <w:tcPr>
            <w:tcW w:w="851" w:type="dxa"/>
            <w:shd w:val="clear" w:color="auto" w:fill="C6EFCE"/>
            <w:noWrap/>
          </w:tcPr>
          <w:p w14:paraId="5B9474A5" w14:textId="77777777" w:rsidR="00011DE9" w:rsidRDefault="00011DE9">
            <w:pPr>
              <w:pStyle w:val="P68B1DB1-Normal19"/>
              <w:spacing w:after="0" w:line="240" w:lineRule="auto"/>
              <w:jc w:val="center"/>
              <w:rPr>
                <w:rFonts w:eastAsia="Times New Roman"/>
                <w:noProof/>
              </w:rPr>
            </w:pPr>
            <w:r>
              <w:rPr>
                <w:noProof/>
              </w:rPr>
              <w:t>C20.R2</w:t>
            </w:r>
          </w:p>
        </w:tc>
        <w:tc>
          <w:tcPr>
            <w:tcW w:w="858" w:type="dxa"/>
            <w:shd w:val="clear" w:color="auto" w:fill="C6EFCE"/>
            <w:noWrap/>
          </w:tcPr>
          <w:p w14:paraId="694BB4A2" w14:textId="77777777" w:rsidR="00011DE9" w:rsidRDefault="00011DE9">
            <w:pPr>
              <w:pStyle w:val="P68B1DB1-Normal19"/>
              <w:spacing w:after="0" w:line="240" w:lineRule="auto"/>
              <w:jc w:val="center"/>
              <w:rPr>
                <w:rFonts w:eastAsia="Times New Roman"/>
                <w:noProof/>
              </w:rPr>
            </w:pPr>
            <w:r>
              <w:rPr>
                <w:noProof/>
              </w:rPr>
              <w:t>M</w:t>
            </w:r>
          </w:p>
        </w:tc>
        <w:tc>
          <w:tcPr>
            <w:tcW w:w="2685" w:type="dxa"/>
            <w:shd w:val="clear" w:color="auto" w:fill="C6EFCE"/>
            <w:noWrap/>
          </w:tcPr>
          <w:p w14:paraId="185D8AC3" w14:textId="77777777" w:rsidR="00011DE9" w:rsidRDefault="00011DE9">
            <w:pPr>
              <w:pStyle w:val="P68B1DB1-Normal19"/>
              <w:spacing w:after="0" w:line="240" w:lineRule="auto"/>
              <w:rPr>
                <w:rFonts w:eastAsia="Times New Roman"/>
                <w:noProof/>
              </w:rPr>
            </w:pPr>
            <w:r>
              <w:rPr>
                <w:noProof/>
              </w:rPr>
              <w:t>Intrarea în vigoare a Legii privind sistemul unic integrat de formare profesională, în scopul modernizării sistemului</w:t>
            </w:r>
          </w:p>
        </w:tc>
        <w:tc>
          <w:tcPr>
            <w:tcW w:w="1418" w:type="dxa"/>
            <w:shd w:val="clear" w:color="auto" w:fill="C6EFCE"/>
            <w:noWrap/>
          </w:tcPr>
          <w:p w14:paraId="57A1217F" w14:textId="77777777" w:rsidR="00011DE9" w:rsidRDefault="00011DE9">
            <w:pPr>
              <w:pStyle w:val="P68B1DB1-Normal19"/>
              <w:spacing w:after="0" w:line="240" w:lineRule="auto"/>
              <w:jc w:val="center"/>
              <w:rPr>
                <w:rFonts w:eastAsia="Times New Roman"/>
                <w:noProof/>
              </w:rPr>
            </w:pPr>
            <w:r>
              <w:rPr>
                <w:noProof/>
              </w:rPr>
              <w:t>Publicarea în Jurnalul Oficial</w:t>
            </w:r>
          </w:p>
        </w:tc>
        <w:tc>
          <w:tcPr>
            <w:tcW w:w="811" w:type="dxa"/>
            <w:shd w:val="clear" w:color="auto" w:fill="C6EFCE"/>
            <w:noWrap/>
          </w:tcPr>
          <w:p w14:paraId="5B8EE9FD" w14:textId="77777777" w:rsidR="00011DE9" w:rsidRDefault="00011DE9">
            <w:pPr>
              <w:pStyle w:val="P68B1DB1-Normal19"/>
              <w:spacing w:after="0" w:line="240" w:lineRule="auto"/>
              <w:jc w:val="center"/>
              <w:rPr>
                <w:rFonts w:eastAsia="Times New Roman"/>
                <w:noProof/>
              </w:rPr>
            </w:pPr>
            <w:r>
              <w:rPr>
                <w:noProof/>
              </w:rPr>
              <w:t xml:space="preserve"> </w:t>
            </w:r>
          </w:p>
        </w:tc>
        <w:tc>
          <w:tcPr>
            <w:tcW w:w="984" w:type="dxa"/>
            <w:shd w:val="clear" w:color="auto" w:fill="C6EFCE"/>
            <w:noWrap/>
          </w:tcPr>
          <w:p w14:paraId="14B37B7C" w14:textId="77777777" w:rsidR="00011DE9" w:rsidRDefault="00011DE9">
            <w:pPr>
              <w:pStyle w:val="P68B1DB1-Normal19"/>
              <w:spacing w:after="0" w:line="240" w:lineRule="auto"/>
              <w:jc w:val="right"/>
              <w:rPr>
                <w:rFonts w:eastAsia="Times New Roman"/>
                <w:noProof/>
              </w:rPr>
            </w:pPr>
            <w:r>
              <w:rPr>
                <w:noProof/>
              </w:rPr>
              <w:t xml:space="preserve"> </w:t>
            </w:r>
          </w:p>
        </w:tc>
        <w:tc>
          <w:tcPr>
            <w:tcW w:w="843" w:type="dxa"/>
            <w:shd w:val="clear" w:color="auto" w:fill="C6EFCE"/>
            <w:noWrap/>
          </w:tcPr>
          <w:p w14:paraId="4494FF17" w14:textId="77777777" w:rsidR="00011DE9" w:rsidRDefault="00011DE9">
            <w:pPr>
              <w:pStyle w:val="P68B1DB1-Normal19"/>
              <w:spacing w:after="0" w:line="240" w:lineRule="auto"/>
              <w:jc w:val="right"/>
              <w:rPr>
                <w:rFonts w:eastAsia="Times New Roman"/>
                <w:noProof/>
              </w:rPr>
            </w:pPr>
            <w:r>
              <w:rPr>
                <w:noProof/>
              </w:rPr>
              <w:t xml:space="preserve"> </w:t>
            </w:r>
          </w:p>
        </w:tc>
        <w:tc>
          <w:tcPr>
            <w:tcW w:w="562" w:type="dxa"/>
            <w:shd w:val="clear" w:color="auto" w:fill="C6EFCE"/>
            <w:noWrap/>
          </w:tcPr>
          <w:p w14:paraId="230AF44B" w14:textId="45A4C2A9" w:rsidR="00011DE9" w:rsidRDefault="005701C9">
            <w:pPr>
              <w:pStyle w:val="P68B1DB1-Normal19"/>
              <w:spacing w:after="0" w:line="240" w:lineRule="auto"/>
              <w:jc w:val="center"/>
              <w:rPr>
                <w:rFonts w:eastAsia="Times New Roman"/>
                <w:noProof/>
              </w:rPr>
            </w:pPr>
            <w:r>
              <w:rPr>
                <w:noProof/>
              </w:rPr>
              <w:t>T2</w:t>
            </w:r>
          </w:p>
        </w:tc>
        <w:tc>
          <w:tcPr>
            <w:tcW w:w="627" w:type="dxa"/>
            <w:shd w:val="clear" w:color="auto" w:fill="C6EFCE"/>
            <w:noWrap/>
          </w:tcPr>
          <w:p w14:paraId="764A9A0A" w14:textId="77777777" w:rsidR="00011DE9" w:rsidRDefault="00011DE9">
            <w:pPr>
              <w:pStyle w:val="P68B1DB1-Normal19"/>
              <w:spacing w:after="0" w:line="240" w:lineRule="auto"/>
              <w:jc w:val="center"/>
              <w:rPr>
                <w:rFonts w:eastAsia="Times New Roman"/>
                <w:noProof/>
              </w:rPr>
            </w:pPr>
            <w:r>
              <w:rPr>
                <w:noProof/>
              </w:rPr>
              <w:t>2022</w:t>
            </w:r>
          </w:p>
        </w:tc>
        <w:tc>
          <w:tcPr>
            <w:tcW w:w="4820" w:type="dxa"/>
            <w:shd w:val="clear" w:color="auto" w:fill="C6EFCE"/>
            <w:noWrap/>
          </w:tcPr>
          <w:p w14:paraId="270465B3" w14:textId="77777777" w:rsidR="00011DE9" w:rsidRDefault="00011DE9">
            <w:pPr>
              <w:pStyle w:val="P68B1DB1-Normal19"/>
              <w:spacing w:after="0" w:line="240" w:lineRule="auto"/>
              <w:rPr>
                <w:rFonts w:eastAsia="Times New Roman"/>
                <w:noProof/>
              </w:rPr>
            </w:pPr>
            <w:r>
              <w:rPr>
                <w:noProof/>
              </w:rPr>
              <w:t>Intrarea în vigoare a legii privind sistemul unic integrat de formare profesională, cu scopul de a moderniza sistemul. Legea unifică cele două sisteme de formare profesională existente anterior și le modernizează prin: I) axarea pe perfecționarea competențelor persoanelor slab calificate și îmbunătățirea capacității de inserție profesională a acestora; II) abordarea necorelării competențelor; III) actualizarea Catalogului național al calificărilor profesionale, adaptarea acestuia la nevoile viitoare ale economiei, inclusiv sprijinirea tranziției verzi și digitale; IV) îmbunătățirea atractivității programelor EFP de nivel superior în vederea îmbunătățirii înscrierii.</w:t>
            </w:r>
          </w:p>
        </w:tc>
      </w:tr>
      <w:tr w:rsidR="00011DE9" w14:paraId="4CC98CC4" w14:textId="77777777">
        <w:trPr>
          <w:trHeight w:val="309"/>
          <w:jc w:val="center"/>
        </w:trPr>
        <w:tc>
          <w:tcPr>
            <w:tcW w:w="851" w:type="dxa"/>
            <w:shd w:val="clear" w:color="auto" w:fill="C6EFCE"/>
            <w:noWrap/>
          </w:tcPr>
          <w:p w14:paraId="147AC97C" w14:textId="77777777" w:rsidR="00011DE9" w:rsidRDefault="00011DE9">
            <w:pPr>
              <w:pStyle w:val="P68B1DB1-Normal20"/>
              <w:spacing w:after="0" w:line="240" w:lineRule="auto"/>
              <w:jc w:val="center"/>
              <w:rPr>
                <w:rFonts w:eastAsia="Times New Roman" w:cs="Times New Roman"/>
                <w:noProof/>
              </w:rPr>
            </w:pPr>
            <w:r>
              <w:rPr>
                <w:noProof/>
              </w:rPr>
              <w:t>297</w:t>
            </w:r>
          </w:p>
        </w:tc>
        <w:tc>
          <w:tcPr>
            <w:tcW w:w="851" w:type="dxa"/>
            <w:shd w:val="clear" w:color="auto" w:fill="C6EFCE"/>
            <w:noWrap/>
          </w:tcPr>
          <w:p w14:paraId="45904DD3" w14:textId="77777777" w:rsidR="00011DE9" w:rsidRDefault="00011DE9">
            <w:pPr>
              <w:pStyle w:val="P68B1DB1-Normal19"/>
              <w:spacing w:after="0" w:line="240" w:lineRule="auto"/>
              <w:jc w:val="center"/>
              <w:rPr>
                <w:rFonts w:eastAsia="Times New Roman"/>
                <w:noProof/>
              </w:rPr>
            </w:pPr>
            <w:r>
              <w:rPr>
                <w:noProof/>
              </w:rPr>
              <w:t>C20.I1</w:t>
            </w:r>
          </w:p>
        </w:tc>
        <w:tc>
          <w:tcPr>
            <w:tcW w:w="858" w:type="dxa"/>
            <w:shd w:val="clear" w:color="auto" w:fill="C6EFCE"/>
            <w:noWrap/>
          </w:tcPr>
          <w:p w14:paraId="4C065ED5" w14:textId="77777777" w:rsidR="00011DE9" w:rsidRDefault="00011DE9">
            <w:pPr>
              <w:pStyle w:val="P68B1DB1-Normal19"/>
              <w:spacing w:after="0" w:line="240" w:lineRule="auto"/>
              <w:jc w:val="center"/>
              <w:rPr>
                <w:rFonts w:eastAsia="Times New Roman"/>
                <w:noProof/>
              </w:rPr>
            </w:pPr>
            <w:r>
              <w:rPr>
                <w:noProof/>
              </w:rPr>
              <w:t>T</w:t>
            </w:r>
          </w:p>
        </w:tc>
        <w:tc>
          <w:tcPr>
            <w:tcW w:w="2685" w:type="dxa"/>
            <w:shd w:val="clear" w:color="auto" w:fill="C6EFCE"/>
            <w:noWrap/>
          </w:tcPr>
          <w:p w14:paraId="2B7100A6" w14:textId="77777777" w:rsidR="00011DE9" w:rsidRDefault="00011DE9">
            <w:pPr>
              <w:pStyle w:val="P68B1DB1-Normal20"/>
              <w:spacing w:after="0" w:line="240" w:lineRule="auto"/>
              <w:rPr>
                <w:rFonts w:eastAsia="Times New Roman" w:cs="Times New Roman"/>
                <w:noProof/>
              </w:rPr>
            </w:pPr>
            <w:r>
              <w:rPr>
                <w:noProof/>
              </w:rPr>
              <w:t xml:space="preserve">Evaluarea unităților de competență </w:t>
            </w:r>
          </w:p>
        </w:tc>
        <w:tc>
          <w:tcPr>
            <w:tcW w:w="1418" w:type="dxa"/>
            <w:shd w:val="clear" w:color="auto" w:fill="C6EFCE"/>
            <w:noWrap/>
          </w:tcPr>
          <w:p w14:paraId="2932B008" w14:textId="77777777" w:rsidR="00011DE9" w:rsidRDefault="00011DE9">
            <w:pPr>
              <w:pStyle w:val="P68B1DB1-Normal19"/>
              <w:spacing w:after="0" w:line="240" w:lineRule="auto"/>
              <w:jc w:val="center"/>
              <w:rPr>
                <w:rFonts w:eastAsia="Times New Roman"/>
                <w:noProof/>
              </w:rPr>
            </w:pPr>
            <w:r>
              <w:rPr>
                <w:noProof/>
              </w:rPr>
              <w:t>—</w:t>
            </w:r>
          </w:p>
        </w:tc>
        <w:tc>
          <w:tcPr>
            <w:tcW w:w="811" w:type="dxa"/>
            <w:shd w:val="clear" w:color="auto" w:fill="C6EFCE"/>
            <w:noWrap/>
          </w:tcPr>
          <w:p w14:paraId="1897E093" w14:textId="77777777" w:rsidR="00011DE9" w:rsidRDefault="00011DE9">
            <w:pPr>
              <w:pStyle w:val="P68B1DB1-Normal19"/>
              <w:spacing w:after="0" w:line="240" w:lineRule="auto"/>
              <w:jc w:val="center"/>
              <w:rPr>
                <w:rFonts w:eastAsia="Times New Roman"/>
                <w:noProof/>
              </w:rPr>
            </w:pPr>
            <w:r>
              <w:rPr>
                <w:noProof/>
              </w:rPr>
              <w:t>Număr</w:t>
            </w:r>
          </w:p>
        </w:tc>
        <w:tc>
          <w:tcPr>
            <w:tcW w:w="984" w:type="dxa"/>
            <w:shd w:val="clear" w:color="auto" w:fill="C6EFCE"/>
            <w:noWrap/>
          </w:tcPr>
          <w:p w14:paraId="158F2DB0" w14:textId="77777777" w:rsidR="00011DE9" w:rsidRDefault="00011DE9">
            <w:pPr>
              <w:pStyle w:val="P68B1DB1-Normal19"/>
              <w:spacing w:after="0" w:line="240" w:lineRule="auto"/>
              <w:jc w:val="right"/>
              <w:rPr>
                <w:rFonts w:eastAsia="Times New Roman"/>
                <w:noProof/>
              </w:rPr>
            </w:pPr>
            <w:r>
              <w:rPr>
                <w:noProof/>
              </w:rPr>
              <w:t>0</w:t>
            </w:r>
          </w:p>
        </w:tc>
        <w:tc>
          <w:tcPr>
            <w:tcW w:w="843" w:type="dxa"/>
            <w:shd w:val="clear" w:color="auto" w:fill="C6EFCE"/>
            <w:noWrap/>
          </w:tcPr>
          <w:p w14:paraId="30D87AF3" w14:textId="77777777" w:rsidR="00011DE9" w:rsidRDefault="00011DE9">
            <w:pPr>
              <w:pStyle w:val="P68B1DB1-Normal19"/>
              <w:spacing w:after="0" w:line="240" w:lineRule="auto"/>
              <w:jc w:val="center"/>
              <w:rPr>
                <w:rFonts w:eastAsia="Times New Roman"/>
                <w:noProof/>
              </w:rPr>
            </w:pPr>
            <w:r>
              <w:rPr>
                <w:noProof/>
              </w:rPr>
              <w:t>1 050 000</w:t>
            </w:r>
          </w:p>
        </w:tc>
        <w:tc>
          <w:tcPr>
            <w:tcW w:w="562" w:type="dxa"/>
            <w:shd w:val="clear" w:color="auto" w:fill="C6EFCE"/>
            <w:noWrap/>
          </w:tcPr>
          <w:p w14:paraId="7BF19716" w14:textId="2F9AB89A" w:rsidR="00011DE9" w:rsidRDefault="005701C9">
            <w:pPr>
              <w:pStyle w:val="P68B1DB1-Normal19"/>
              <w:spacing w:after="0" w:line="240" w:lineRule="auto"/>
              <w:jc w:val="center"/>
              <w:rPr>
                <w:rFonts w:eastAsia="Times New Roman"/>
                <w:noProof/>
              </w:rPr>
            </w:pPr>
            <w:r>
              <w:rPr>
                <w:noProof/>
              </w:rPr>
              <w:t>T2</w:t>
            </w:r>
          </w:p>
        </w:tc>
        <w:tc>
          <w:tcPr>
            <w:tcW w:w="627" w:type="dxa"/>
            <w:shd w:val="clear" w:color="auto" w:fill="C6EFCE"/>
            <w:noWrap/>
          </w:tcPr>
          <w:p w14:paraId="7E3E2CE3" w14:textId="77777777" w:rsidR="00011DE9" w:rsidRDefault="00011DE9">
            <w:pPr>
              <w:pStyle w:val="P68B1DB1-Normal19"/>
              <w:spacing w:after="0" w:line="240" w:lineRule="auto"/>
              <w:jc w:val="center"/>
              <w:rPr>
                <w:rFonts w:eastAsia="Times New Roman"/>
                <w:noProof/>
              </w:rPr>
            </w:pPr>
            <w:r>
              <w:rPr>
                <w:noProof/>
              </w:rPr>
              <w:t>2026</w:t>
            </w:r>
          </w:p>
        </w:tc>
        <w:tc>
          <w:tcPr>
            <w:tcW w:w="4820" w:type="dxa"/>
            <w:shd w:val="clear" w:color="auto" w:fill="C6EFCE"/>
            <w:noWrap/>
          </w:tcPr>
          <w:p w14:paraId="324CF115" w14:textId="77777777" w:rsidR="00011DE9" w:rsidRDefault="00011DE9">
            <w:pPr>
              <w:pStyle w:val="P68B1DB1-Normal20"/>
              <w:spacing w:after="0" w:line="240" w:lineRule="auto"/>
              <w:rPr>
                <w:rFonts w:eastAsia="Times New Roman" w:cs="Times New Roman"/>
                <w:noProof/>
              </w:rPr>
            </w:pPr>
            <w:r>
              <w:rPr>
                <w:noProof/>
              </w:rPr>
              <w:t>Emiterea de rapoarte de evaluare care să confirme evaluarea a 1 050 000 unități de competență profesională.</w:t>
            </w:r>
          </w:p>
        </w:tc>
      </w:tr>
      <w:tr w:rsidR="00011DE9" w14:paraId="24AAC33F" w14:textId="77777777">
        <w:trPr>
          <w:trHeight w:val="309"/>
          <w:jc w:val="center"/>
        </w:trPr>
        <w:tc>
          <w:tcPr>
            <w:tcW w:w="851" w:type="dxa"/>
            <w:shd w:val="clear" w:color="auto" w:fill="C6EFCE"/>
            <w:noWrap/>
          </w:tcPr>
          <w:p w14:paraId="6B2A28BF" w14:textId="77777777" w:rsidR="00011DE9" w:rsidRDefault="00011DE9">
            <w:pPr>
              <w:pStyle w:val="P68B1DB1-Normal19"/>
              <w:spacing w:after="0" w:line="240" w:lineRule="auto"/>
              <w:jc w:val="center"/>
              <w:rPr>
                <w:rFonts w:eastAsia="Times New Roman"/>
                <w:noProof/>
              </w:rPr>
            </w:pPr>
            <w:r>
              <w:rPr>
                <w:noProof/>
              </w:rPr>
              <w:t>298</w:t>
            </w:r>
          </w:p>
        </w:tc>
        <w:tc>
          <w:tcPr>
            <w:tcW w:w="851" w:type="dxa"/>
            <w:shd w:val="clear" w:color="auto" w:fill="C6EFCE"/>
            <w:noWrap/>
          </w:tcPr>
          <w:p w14:paraId="4B6A16A8" w14:textId="77777777" w:rsidR="00011DE9" w:rsidRDefault="00011DE9">
            <w:pPr>
              <w:pStyle w:val="P68B1DB1-Normal19"/>
              <w:spacing w:after="0" w:line="240" w:lineRule="auto"/>
              <w:jc w:val="center"/>
              <w:rPr>
                <w:rFonts w:eastAsia="Times New Roman"/>
                <w:noProof/>
              </w:rPr>
            </w:pPr>
            <w:r>
              <w:rPr>
                <w:noProof/>
              </w:rPr>
              <w:t>C20.I1</w:t>
            </w:r>
          </w:p>
        </w:tc>
        <w:tc>
          <w:tcPr>
            <w:tcW w:w="858" w:type="dxa"/>
            <w:shd w:val="clear" w:color="auto" w:fill="C6EFCE"/>
            <w:noWrap/>
          </w:tcPr>
          <w:p w14:paraId="3FF3FAD5" w14:textId="77777777" w:rsidR="00011DE9" w:rsidRDefault="00011DE9">
            <w:pPr>
              <w:pStyle w:val="P68B1DB1-Normal19"/>
              <w:spacing w:after="0" w:line="240" w:lineRule="auto"/>
              <w:jc w:val="center"/>
              <w:rPr>
                <w:rFonts w:eastAsia="Times New Roman"/>
                <w:noProof/>
              </w:rPr>
            </w:pPr>
            <w:r>
              <w:rPr>
                <w:noProof/>
              </w:rPr>
              <w:t>T</w:t>
            </w:r>
          </w:p>
        </w:tc>
        <w:tc>
          <w:tcPr>
            <w:tcW w:w="2685" w:type="dxa"/>
            <w:shd w:val="clear" w:color="auto" w:fill="C6EFCE"/>
            <w:noWrap/>
          </w:tcPr>
          <w:p w14:paraId="0DEA8204" w14:textId="77777777" w:rsidR="00011DE9" w:rsidRDefault="00011DE9">
            <w:pPr>
              <w:pStyle w:val="P68B1DB1-Normal19"/>
              <w:spacing w:after="0" w:line="240" w:lineRule="auto"/>
              <w:rPr>
                <w:rFonts w:eastAsia="Times New Roman"/>
                <w:noProof/>
              </w:rPr>
            </w:pPr>
            <w:r>
              <w:rPr>
                <w:noProof/>
              </w:rPr>
              <w:t>Activități de formare</w:t>
            </w:r>
          </w:p>
        </w:tc>
        <w:tc>
          <w:tcPr>
            <w:tcW w:w="1418" w:type="dxa"/>
            <w:shd w:val="clear" w:color="auto" w:fill="C6EFCE"/>
            <w:noWrap/>
          </w:tcPr>
          <w:p w14:paraId="788A959D" w14:textId="77777777" w:rsidR="00011DE9" w:rsidRDefault="00011DE9">
            <w:pPr>
              <w:pStyle w:val="P68B1DB1-Normal19"/>
              <w:spacing w:after="0" w:line="240" w:lineRule="auto"/>
              <w:jc w:val="center"/>
              <w:rPr>
                <w:rFonts w:eastAsia="Times New Roman"/>
                <w:noProof/>
              </w:rPr>
            </w:pPr>
            <w:r>
              <w:rPr>
                <w:noProof/>
              </w:rPr>
              <w:t>—</w:t>
            </w:r>
          </w:p>
        </w:tc>
        <w:tc>
          <w:tcPr>
            <w:tcW w:w="811" w:type="dxa"/>
            <w:shd w:val="clear" w:color="auto" w:fill="C6EFCE"/>
            <w:noWrap/>
          </w:tcPr>
          <w:p w14:paraId="779A90C8" w14:textId="77777777" w:rsidR="00011DE9" w:rsidRDefault="00011DE9">
            <w:pPr>
              <w:pStyle w:val="P68B1DB1-Normal19"/>
              <w:spacing w:after="0" w:line="240" w:lineRule="auto"/>
              <w:jc w:val="center"/>
              <w:rPr>
                <w:rFonts w:eastAsia="Times New Roman"/>
                <w:noProof/>
              </w:rPr>
            </w:pPr>
            <w:r>
              <w:rPr>
                <w:noProof/>
              </w:rPr>
              <w:t>Număr</w:t>
            </w:r>
          </w:p>
        </w:tc>
        <w:tc>
          <w:tcPr>
            <w:tcW w:w="984" w:type="dxa"/>
            <w:shd w:val="clear" w:color="auto" w:fill="C6EFCE"/>
            <w:noWrap/>
          </w:tcPr>
          <w:p w14:paraId="7FB14675" w14:textId="77777777" w:rsidR="00011DE9" w:rsidRDefault="00011DE9">
            <w:pPr>
              <w:pStyle w:val="P68B1DB1-Normal19"/>
              <w:spacing w:after="0" w:line="240" w:lineRule="auto"/>
              <w:jc w:val="right"/>
              <w:rPr>
                <w:rFonts w:eastAsia="Times New Roman"/>
                <w:noProof/>
              </w:rPr>
            </w:pPr>
            <w:r>
              <w:rPr>
                <w:noProof/>
              </w:rPr>
              <w:t>0</w:t>
            </w:r>
          </w:p>
        </w:tc>
        <w:tc>
          <w:tcPr>
            <w:tcW w:w="843" w:type="dxa"/>
            <w:shd w:val="clear" w:color="auto" w:fill="C6EFCE"/>
            <w:noWrap/>
          </w:tcPr>
          <w:p w14:paraId="4EE8F5CE" w14:textId="77777777" w:rsidR="00011DE9" w:rsidRDefault="00011DE9">
            <w:pPr>
              <w:pStyle w:val="P68B1DB1-Normal16"/>
              <w:spacing w:after="0" w:line="240" w:lineRule="auto"/>
              <w:jc w:val="center"/>
              <w:rPr>
                <w:rFonts w:eastAsia="Times New Roman" w:cs="Times New Roman"/>
                <w:noProof/>
                <w:sz w:val="18"/>
                <w:szCs w:val="18"/>
              </w:rPr>
            </w:pPr>
            <w:r>
              <w:rPr>
                <w:noProof/>
                <w:sz w:val="18"/>
              </w:rPr>
              <w:t>625</w:t>
            </w:r>
            <w:r>
              <w:rPr>
                <w:noProof/>
                <w:sz w:val="20"/>
              </w:rPr>
              <w:t xml:space="preserve"> </w:t>
            </w:r>
            <w:r>
              <w:rPr>
                <w:noProof/>
                <w:sz w:val="18"/>
              </w:rPr>
              <w:t>000</w:t>
            </w:r>
          </w:p>
        </w:tc>
        <w:tc>
          <w:tcPr>
            <w:tcW w:w="562" w:type="dxa"/>
            <w:shd w:val="clear" w:color="auto" w:fill="C6EFCE"/>
            <w:noWrap/>
          </w:tcPr>
          <w:p w14:paraId="5A2AD10D" w14:textId="03996204" w:rsidR="00011DE9" w:rsidRDefault="005701C9">
            <w:pPr>
              <w:pStyle w:val="P68B1DB1-Normal19"/>
              <w:spacing w:after="0" w:line="240" w:lineRule="auto"/>
              <w:jc w:val="center"/>
              <w:rPr>
                <w:rFonts w:eastAsia="Times New Roman"/>
                <w:noProof/>
              </w:rPr>
            </w:pPr>
            <w:r>
              <w:rPr>
                <w:noProof/>
              </w:rPr>
              <w:t>T4</w:t>
            </w:r>
          </w:p>
        </w:tc>
        <w:tc>
          <w:tcPr>
            <w:tcW w:w="627" w:type="dxa"/>
            <w:shd w:val="clear" w:color="auto" w:fill="C6EFCE"/>
            <w:noWrap/>
          </w:tcPr>
          <w:p w14:paraId="37A2CB2C" w14:textId="77777777" w:rsidR="00011DE9" w:rsidRDefault="00011DE9">
            <w:pPr>
              <w:pStyle w:val="P68B1DB1-Normal19"/>
              <w:spacing w:after="0" w:line="240" w:lineRule="auto"/>
              <w:jc w:val="center"/>
              <w:rPr>
                <w:rFonts w:eastAsia="Times New Roman"/>
                <w:noProof/>
              </w:rPr>
            </w:pPr>
            <w:r>
              <w:rPr>
                <w:noProof/>
              </w:rPr>
              <w:t>2025</w:t>
            </w:r>
          </w:p>
        </w:tc>
        <w:tc>
          <w:tcPr>
            <w:tcW w:w="4820" w:type="dxa"/>
            <w:shd w:val="clear" w:color="auto" w:fill="C6EFCE"/>
            <w:noWrap/>
          </w:tcPr>
          <w:p w14:paraId="7B591C97" w14:textId="77777777" w:rsidR="00011DE9" w:rsidRDefault="00011DE9">
            <w:pPr>
              <w:pStyle w:val="P68B1DB1-Normal19"/>
              <w:spacing w:after="0" w:line="240" w:lineRule="auto"/>
              <w:rPr>
                <w:rFonts w:eastAsia="Times New Roman"/>
                <w:noProof/>
              </w:rPr>
            </w:pPr>
            <w:r>
              <w:rPr>
                <w:noProof/>
              </w:rPr>
              <w:t xml:space="preserve">625 000 de certificate de participare la formare eliberate. O persoană care participă la mai multe cursuri de formare este luată în calcul separat pentru fiecare curs de formare la care a participat. </w:t>
            </w:r>
          </w:p>
        </w:tc>
      </w:tr>
      <w:tr w:rsidR="00011DE9" w14:paraId="2F29B9D4" w14:textId="77777777">
        <w:trPr>
          <w:trHeight w:val="309"/>
          <w:jc w:val="center"/>
        </w:trPr>
        <w:tc>
          <w:tcPr>
            <w:tcW w:w="851" w:type="dxa"/>
            <w:shd w:val="clear" w:color="auto" w:fill="C6EFCE"/>
            <w:noWrap/>
          </w:tcPr>
          <w:p w14:paraId="4610FB10" w14:textId="77777777" w:rsidR="00011DE9" w:rsidRDefault="00011DE9">
            <w:pPr>
              <w:pStyle w:val="P68B1DB1-Normal19"/>
              <w:spacing w:after="0" w:line="240" w:lineRule="auto"/>
              <w:jc w:val="center"/>
              <w:rPr>
                <w:rFonts w:eastAsia="Times New Roman"/>
                <w:noProof/>
              </w:rPr>
            </w:pPr>
            <w:r>
              <w:rPr>
                <w:noProof/>
              </w:rPr>
              <w:t>299</w:t>
            </w:r>
          </w:p>
        </w:tc>
        <w:tc>
          <w:tcPr>
            <w:tcW w:w="851" w:type="dxa"/>
            <w:shd w:val="clear" w:color="auto" w:fill="C6EFCE"/>
            <w:noWrap/>
          </w:tcPr>
          <w:p w14:paraId="147C70FA" w14:textId="77777777" w:rsidR="00011DE9" w:rsidRDefault="00011DE9">
            <w:pPr>
              <w:pStyle w:val="P68B1DB1-Normal19"/>
              <w:spacing w:after="0" w:line="240" w:lineRule="auto"/>
              <w:jc w:val="center"/>
              <w:rPr>
                <w:rFonts w:eastAsia="Times New Roman"/>
                <w:noProof/>
              </w:rPr>
            </w:pPr>
            <w:r>
              <w:rPr>
                <w:noProof/>
              </w:rPr>
              <w:t>C20.I2</w:t>
            </w:r>
          </w:p>
        </w:tc>
        <w:tc>
          <w:tcPr>
            <w:tcW w:w="858" w:type="dxa"/>
            <w:shd w:val="clear" w:color="auto" w:fill="C6EFCE"/>
            <w:noWrap/>
          </w:tcPr>
          <w:p w14:paraId="0506EA56" w14:textId="77777777" w:rsidR="00011DE9" w:rsidRDefault="00011DE9">
            <w:pPr>
              <w:pStyle w:val="P68B1DB1-Normal19"/>
              <w:spacing w:after="0" w:line="240" w:lineRule="auto"/>
              <w:jc w:val="center"/>
              <w:rPr>
                <w:rFonts w:eastAsia="Times New Roman"/>
                <w:noProof/>
              </w:rPr>
            </w:pPr>
            <w:r>
              <w:rPr>
                <w:noProof/>
              </w:rPr>
              <w:t>T</w:t>
            </w:r>
          </w:p>
        </w:tc>
        <w:tc>
          <w:tcPr>
            <w:tcW w:w="2685" w:type="dxa"/>
            <w:shd w:val="clear" w:color="auto" w:fill="C6EFCE"/>
            <w:noWrap/>
          </w:tcPr>
          <w:p w14:paraId="75588B9A" w14:textId="77777777" w:rsidR="00011DE9" w:rsidRDefault="00011DE9">
            <w:pPr>
              <w:pStyle w:val="P68B1DB1-Normal19"/>
              <w:spacing w:after="0" w:line="240" w:lineRule="auto"/>
              <w:rPr>
                <w:rFonts w:eastAsia="Times New Roman"/>
                <w:noProof/>
              </w:rPr>
            </w:pPr>
            <w:r>
              <w:rPr>
                <w:noProof/>
              </w:rPr>
              <w:t>Centre de excelență și inovare în formarea profesională</w:t>
            </w:r>
          </w:p>
        </w:tc>
        <w:tc>
          <w:tcPr>
            <w:tcW w:w="1418" w:type="dxa"/>
            <w:shd w:val="clear" w:color="auto" w:fill="C6EFCE"/>
            <w:noWrap/>
          </w:tcPr>
          <w:p w14:paraId="60F09325" w14:textId="77777777" w:rsidR="00011DE9" w:rsidRDefault="00011DE9">
            <w:pPr>
              <w:pStyle w:val="P68B1DB1-Normal19"/>
              <w:spacing w:after="0" w:line="240" w:lineRule="auto"/>
              <w:jc w:val="center"/>
              <w:rPr>
                <w:rFonts w:eastAsia="Times New Roman"/>
                <w:noProof/>
              </w:rPr>
            </w:pPr>
            <w:r>
              <w:rPr>
                <w:noProof/>
              </w:rPr>
              <w:t>—</w:t>
            </w:r>
          </w:p>
        </w:tc>
        <w:tc>
          <w:tcPr>
            <w:tcW w:w="811" w:type="dxa"/>
            <w:shd w:val="clear" w:color="auto" w:fill="C6EFCE"/>
            <w:noWrap/>
          </w:tcPr>
          <w:p w14:paraId="0849EA8E" w14:textId="77777777" w:rsidR="00011DE9" w:rsidRDefault="00011DE9">
            <w:pPr>
              <w:pStyle w:val="P68B1DB1-Normal19"/>
              <w:spacing w:after="0" w:line="240" w:lineRule="auto"/>
              <w:jc w:val="center"/>
              <w:rPr>
                <w:rFonts w:eastAsia="Times New Roman"/>
                <w:noProof/>
              </w:rPr>
            </w:pPr>
            <w:r>
              <w:rPr>
                <w:noProof/>
              </w:rPr>
              <w:t>Număr</w:t>
            </w:r>
          </w:p>
        </w:tc>
        <w:tc>
          <w:tcPr>
            <w:tcW w:w="984" w:type="dxa"/>
            <w:shd w:val="clear" w:color="auto" w:fill="C6EFCE"/>
            <w:noWrap/>
          </w:tcPr>
          <w:p w14:paraId="16B80395" w14:textId="77777777" w:rsidR="00011DE9" w:rsidRDefault="00011DE9">
            <w:pPr>
              <w:pStyle w:val="P68B1DB1-Normal19"/>
              <w:spacing w:after="0" w:line="240" w:lineRule="auto"/>
              <w:jc w:val="right"/>
              <w:rPr>
                <w:rFonts w:eastAsia="Times New Roman"/>
                <w:noProof/>
              </w:rPr>
            </w:pPr>
            <w:r>
              <w:rPr>
                <w:noProof/>
              </w:rPr>
              <w:t>0</w:t>
            </w:r>
          </w:p>
        </w:tc>
        <w:tc>
          <w:tcPr>
            <w:tcW w:w="843" w:type="dxa"/>
            <w:shd w:val="clear" w:color="auto" w:fill="C6EFCE"/>
            <w:noWrap/>
          </w:tcPr>
          <w:p w14:paraId="2C6E353C" w14:textId="77777777" w:rsidR="00011DE9" w:rsidRDefault="00011DE9">
            <w:pPr>
              <w:pStyle w:val="P68B1DB1-Normal19"/>
              <w:spacing w:after="0" w:line="240" w:lineRule="auto"/>
              <w:jc w:val="center"/>
              <w:rPr>
                <w:rFonts w:eastAsia="Times New Roman"/>
                <w:noProof/>
              </w:rPr>
            </w:pPr>
            <w:r>
              <w:rPr>
                <w:noProof/>
              </w:rPr>
              <w:t>50</w:t>
            </w:r>
          </w:p>
        </w:tc>
        <w:tc>
          <w:tcPr>
            <w:tcW w:w="562" w:type="dxa"/>
            <w:shd w:val="clear" w:color="auto" w:fill="C6EFCE"/>
            <w:noWrap/>
          </w:tcPr>
          <w:p w14:paraId="1AFD0AED" w14:textId="2ED26087" w:rsidR="00011DE9" w:rsidRDefault="005701C9">
            <w:pPr>
              <w:pStyle w:val="P68B1DB1-Normal19"/>
              <w:spacing w:after="0" w:line="240" w:lineRule="auto"/>
              <w:jc w:val="center"/>
              <w:rPr>
                <w:rFonts w:eastAsia="Times New Roman"/>
                <w:noProof/>
              </w:rPr>
            </w:pPr>
            <w:r>
              <w:rPr>
                <w:noProof/>
              </w:rPr>
              <w:t>T2</w:t>
            </w:r>
          </w:p>
        </w:tc>
        <w:tc>
          <w:tcPr>
            <w:tcW w:w="627" w:type="dxa"/>
            <w:shd w:val="clear" w:color="auto" w:fill="C6EFCE"/>
            <w:noWrap/>
          </w:tcPr>
          <w:p w14:paraId="7898EE8D" w14:textId="77777777" w:rsidR="00011DE9" w:rsidRDefault="00011DE9">
            <w:pPr>
              <w:pStyle w:val="P68B1DB1-Normal19"/>
              <w:spacing w:after="0" w:line="240" w:lineRule="auto"/>
              <w:jc w:val="center"/>
              <w:rPr>
                <w:rFonts w:eastAsia="Times New Roman"/>
                <w:noProof/>
              </w:rPr>
            </w:pPr>
            <w:r>
              <w:rPr>
                <w:noProof/>
              </w:rPr>
              <w:t>2023</w:t>
            </w:r>
          </w:p>
        </w:tc>
        <w:tc>
          <w:tcPr>
            <w:tcW w:w="4820" w:type="dxa"/>
            <w:shd w:val="clear" w:color="auto" w:fill="C6EFCE"/>
            <w:noWrap/>
          </w:tcPr>
          <w:p w14:paraId="1E0489DE" w14:textId="77777777" w:rsidR="00011DE9" w:rsidRDefault="00011DE9">
            <w:pPr>
              <w:pStyle w:val="P68B1DB1-Normal19"/>
              <w:spacing w:after="0" w:line="240" w:lineRule="auto"/>
              <w:rPr>
                <w:rFonts w:eastAsia="Times New Roman"/>
                <w:noProof/>
              </w:rPr>
            </w:pPr>
            <w:r>
              <w:rPr>
                <w:noProof/>
              </w:rPr>
              <w:t>Cel puțin 50 centre integrate în nou-creata Rețea Națională a Centrelor de Excelență pentru Formare Profesională</w:t>
            </w:r>
          </w:p>
        </w:tc>
      </w:tr>
      <w:tr w:rsidR="00011DE9" w14:paraId="1C316B2B" w14:textId="77777777">
        <w:trPr>
          <w:trHeight w:val="309"/>
          <w:jc w:val="center"/>
        </w:trPr>
        <w:tc>
          <w:tcPr>
            <w:tcW w:w="851" w:type="dxa"/>
            <w:shd w:val="clear" w:color="auto" w:fill="C6EFCE"/>
            <w:noWrap/>
          </w:tcPr>
          <w:p w14:paraId="6ECACBFC" w14:textId="77777777" w:rsidR="00011DE9" w:rsidRDefault="00011DE9" w:rsidP="003010A3">
            <w:pPr>
              <w:pStyle w:val="P68B1DB1-Normal19"/>
              <w:spacing w:after="0" w:line="240" w:lineRule="auto"/>
              <w:jc w:val="center"/>
              <w:rPr>
                <w:noProof/>
              </w:rPr>
            </w:pPr>
            <w:r>
              <w:rPr>
                <w:noProof/>
              </w:rPr>
              <w:t>467</w:t>
            </w:r>
          </w:p>
        </w:tc>
        <w:tc>
          <w:tcPr>
            <w:tcW w:w="851" w:type="dxa"/>
            <w:shd w:val="clear" w:color="auto" w:fill="C6EFCE"/>
            <w:noWrap/>
          </w:tcPr>
          <w:p w14:paraId="750077CF" w14:textId="77777777" w:rsidR="00011DE9" w:rsidRDefault="00011DE9" w:rsidP="003010A3">
            <w:pPr>
              <w:pStyle w:val="P68B1DB1-Normal19"/>
              <w:spacing w:after="0" w:line="240" w:lineRule="auto"/>
              <w:jc w:val="center"/>
              <w:rPr>
                <w:noProof/>
              </w:rPr>
            </w:pPr>
            <w:r>
              <w:rPr>
                <w:noProof/>
              </w:rPr>
              <w:t>C20.I2</w:t>
            </w:r>
          </w:p>
        </w:tc>
        <w:tc>
          <w:tcPr>
            <w:tcW w:w="858" w:type="dxa"/>
            <w:shd w:val="clear" w:color="auto" w:fill="C6EFCE"/>
            <w:noWrap/>
          </w:tcPr>
          <w:p w14:paraId="2E012461" w14:textId="77777777" w:rsidR="00011DE9" w:rsidRDefault="00011DE9" w:rsidP="003010A3">
            <w:pPr>
              <w:pStyle w:val="P68B1DB1-Normal19"/>
              <w:spacing w:after="0" w:line="240" w:lineRule="auto"/>
              <w:jc w:val="center"/>
              <w:rPr>
                <w:noProof/>
              </w:rPr>
            </w:pPr>
            <w:r>
              <w:rPr>
                <w:noProof/>
              </w:rPr>
              <w:t>T</w:t>
            </w:r>
          </w:p>
        </w:tc>
        <w:tc>
          <w:tcPr>
            <w:tcW w:w="2685" w:type="dxa"/>
            <w:shd w:val="clear" w:color="auto" w:fill="C6EFCE"/>
            <w:noWrap/>
          </w:tcPr>
          <w:p w14:paraId="7CDD7187" w14:textId="77777777" w:rsidR="00011DE9" w:rsidRDefault="00011DE9" w:rsidP="003010A3">
            <w:pPr>
              <w:pStyle w:val="P68B1DB1-Normal19"/>
              <w:spacing w:after="0" w:line="240" w:lineRule="auto"/>
              <w:jc w:val="center"/>
              <w:rPr>
                <w:noProof/>
              </w:rPr>
            </w:pPr>
            <w:r>
              <w:rPr>
                <w:noProof/>
              </w:rPr>
              <w:t>Transformarea sălilor de clasă în spații tehnologice aplicate</w:t>
            </w:r>
          </w:p>
        </w:tc>
        <w:tc>
          <w:tcPr>
            <w:tcW w:w="1418" w:type="dxa"/>
            <w:shd w:val="clear" w:color="auto" w:fill="C6EFCE"/>
            <w:noWrap/>
          </w:tcPr>
          <w:p w14:paraId="56595582" w14:textId="77777777" w:rsidR="00011DE9" w:rsidRDefault="00011DE9" w:rsidP="003010A3">
            <w:pPr>
              <w:pStyle w:val="P68B1DB1-Normal19"/>
              <w:spacing w:after="0" w:line="240" w:lineRule="auto"/>
              <w:jc w:val="center"/>
              <w:rPr>
                <w:noProof/>
              </w:rPr>
            </w:pPr>
          </w:p>
        </w:tc>
        <w:tc>
          <w:tcPr>
            <w:tcW w:w="811" w:type="dxa"/>
            <w:shd w:val="clear" w:color="auto" w:fill="C6EFCE"/>
            <w:noWrap/>
          </w:tcPr>
          <w:p w14:paraId="3C3233AB" w14:textId="77777777" w:rsidR="00011DE9" w:rsidRDefault="00011DE9" w:rsidP="003010A3">
            <w:pPr>
              <w:pStyle w:val="P68B1DB1-Normal19"/>
              <w:spacing w:after="0" w:line="240" w:lineRule="auto"/>
              <w:jc w:val="center"/>
              <w:rPr>
                <w:noProof/>
              </w:rPr>
            </w:pPr>
            <w:r>
              <w:rPr>
                <w:noProof/>
              </w:rPr>
              <w:t>Număr</w:t>
            </w:r>
          </w:p>
        </w:tc>
        <w:tc>
          <w:tcPr>
            <w:tcW w:w="984" w:type="dxa"/>
            <w:shd w:val="clear" w:color="auto" w:fill="C6EFCE"/>
            <w:noWrap/>
          </w:tcPr>
          <w:p w14:paraId="6CF4FFFC" w14:textId="77777777" w:rsidR="00011DE9" w:rsidRDefault="00011DE9" w:rsidP="003010A3">
            <w:pPr>
              <w:pStyle w:val="P68B1DB1-Normal19"/>
              <w:spacing w:after="0" w:line="240" w:lineRule="auto"/>
              <w:jc w:val="center"/>
              <w:rPr>
                <w:noProof/>
              </w:rPr>
            </w:pPr>
            <w:r>
              <w:rPr>
                <w:noProof/>
              </w:rPr>
              <w:t>0</w:t>
            </w:r>
          </w:p>
        </w:tc>
        <w:tc>
          <w:tcPr>
            <w:tcW w:w="843" w:type="dxa"/>
            <w:shd w:val="clear" w:color="auto" w:fill="C6EFCE"/>
            <w:noWrap/>
          </w:tcPr>
          <w:p w14:paraId="0E0D50B9" w14:textId="2E9AD99F" w:rsidR="00011DE9" w:rsidRDefault="00011DE9" w:rsidP="003010A3">
            <w:pPr>
              <w:pStyle w:val="P68B1DB1-Normal19"/>
              <w:spacing w:after="0" w:line="240" w:lineRule="auto"/>
              <w:jc w:val="center"/>
              <w:rPr>
                <w:noProof/>
              </w:rPr>
            </w:pPr>
            <w:r>
              <w:rPr>
                <w:noProof/>
              </w:rPr>
              <w:t>1</w:t>
            </w:r>
            <w:r w:rsidRPr="003010A3">
              <w:rPr>
                <w:noProof/>
              </w:rPr>
              <w:t xml:space="preserve"> </w:t>
            </w:r>
            <w:r>
              <w:rPr>
                <w:noProof/>
              </w:rPr>
              <w:t>253</w:t>
            </w:r>
            <w:r w:rsidR="00971820">
              <w:rPr>
                <w:noProof/>
              </w:rPr>
              <w:t xml:space="preserve"> </w:t>
            </w:r>
          </w:p>
        </w:tc>
        <w:tc>
          <w:tcPr>
            <w:tcW w:w="562" w:type="dxa"/>
            <w:shd w:val="clear" w:color="auto" w:fill="C6EFCE"/>
            <w:noWrap/>
          </w:tcPr>
          <w:p w14:paraId="2FDE8B85" w14:textId="1357F25B" w:rsidR="00011DE9" w:rsidRDefault="005701C9" w:rsidP="003010A3">
            <w:pPr>
              <w:pStyle w:val="P68B1DB1-Normal19"/>
              <w:spacing w:after="0" w:line="240" w:lineRule="auto"/>
              <w:jc w:val="center"/>
              <w:rPr>
                <w:noProof/>
              </w:rPr>
            </w:pPr>
            <w:r>
              <w:rPr>
                <w:noProof/>
              </w:rPr>
              <w:t>T2</w:t>
            </w:r>
          </w:p>
        </w:tc>
        <w:tc>
          <w:tcPr>
            <w:tcW w:w="627" w:type="dxa"/>
            <w:shd w:val="clear" w:color="auto" w:fill="C6EFCE"/>
            <w:noWrap/>
          </w:tcPr>
          <w:p w14:paraId="079B3DA5" w14:textId="77777777" w:rsidR="00011DE9" w:rsidRDefault="00011DE9" w:rsidP="003010A3">
            <w:pPr>
              <w:pStyle w:val="P68B1DB1-Normal19"/>
              <w:spacing w:after="0" w:line="240" w:lineRule="auto"/>
              <w:jc w:val="center"/>
              <w:rPr>
                <w:noProof/>
              </w:rPr>
            </w:pPr>
            <w:r>
              <w:rPr>
                <w:noProof/>
              </w:rPr>
              <w:t>2026</w:t>
            </w:r>
          </w:p>
        </w:tc>
        <w:tc>
          <w:tcPr>
            <w:tcW w:w="4820" w:type="dxa"/>
            <w:shd w:val="clear" w:color="auto" w:fill="C6EFCE"/>
            <w:noWrap/>
          </w:tcPr>
          <w:p w14:paraId="69988BA0" w14:textId="77777777" w:rsidR="00011DE9" w:rsidRDefault="00011DE9" w:rsidP="003010A3">
            <w:pPr>
              <w:pStyle w:val="P68B1DB1-Normal19"/>
              <w:spacing w:after="0" w:line="240" w:lineRule="auto"/>
              <w:jc w:val="center"/>
              <w:rPr>
                <w:noProof/>
              </w:rPr>
            </w:pPr>
            <w:r>
              <w:rPr>
                <w:noProof/>
              </w:rPr>
              <w:t>Cel puțin 1 253 săli de clasă transformate în săli de clasă tehnologice care recreează medii de lucru utilizând resurse tehnologice pentru a permite elevilor să se apropie de tehnologiile pe care le vor găsi ulterior în întreprinderi.</w:t>
            </w:r>
          </w:p>
        </w:tc>
      </w:tr>
      <w:tr w:rsidR="00011DE9" w14:paraId="6C4BD6E9" w14:textId="77777777">
        <w:trPr>
          <w:trHeight w:val="309"/>
          <w:jc w:val="center"/>
        </w:trPr>
        <w:tc>
          <w:tcPr>
            <w:tcW w:w="851" w:type="dxa"/>
            <w:shd w:val="clear" w:color="auto" w:fill="C6EFCE"/>
            <w:noWrap/>
          </w:tcPr>
          <w:p w14:paraId="2EE915A2" w14:textId="77777777" w:rsidR="00011DE9" w:rsidRDefault="00011DE9">
            <w:pPr>
              <w:pStyle w:val="P68B1DB1-Normal19"/>
              <w:spacing w:after="0" w:line="240" w:lineRule="auto"/>
              <w:jc w:val="center"/>
              <w:rPr>
                <w:noProof/>
              </w:rPr>
            </w:pPr>
            <w:r>
              <w:rPr>
                <w:noProof/>
              </w:rPr>
              <w:t>467b</w:t>
            </w:r>
          </w:p>
        </w:tc>
        <w:tc>
          <w:tcPr>
            <w:tcW w:w="851" w:type="dxa"/>
            <w:shd w:val="clear" w:color="auto" w:fill="C6EFCE"/>
            <w:noWrap/>
          </w:tcPr>
          <w:p w14:paraId="3EEFA67E" w14:textId="77777777" w:rsidR="00011DE9" w:rsidRDefault="00011DE9">
            <w:pPr>
              <w:pStyle w:val="P68B1DB1-Normal19"/>
              <w:spacing w:after="0" w:line="240" w:lineRule="auto"/>
              <w:jc w:val="center"/>
              <w:rPr>
                <w:noProof/>
              </w:rPr>
            </w:pPr>
            <w:r>
              <w:rPr>
                <w:noProof/>
              </w:rPr>
              <w:t>C20.I2</w:t>
            </w:r>
          </w:p>
        </w:tc>
        <w:tc>
          <w:tcPr>
            <w:tcW w:w="858" w:type="dxa"/>
            <w:shd w:val="clear" w:color="auto" w:fill="C6EFCE"/>
            <w:noWrap/>
          </w:tcPr>
          <w:p w14:paraId="0AD303EC" w14:textId="77777777" w:rsidR="00011DE9" w:rsidRDefault="00011DE9">
            <w:pPr>
              <w:pStyle w:val="P68B1DB1-Normal19"/>
              <w:spacing w:after="0" w:line="240" w:lineRule="auto"/>
              <w:jc w:val="center"/>
              <w:rPr>
                <w:noProof/>
              </w:rPr>
            </w:pPr>
            <w:r>
              <w:rPr>
                <w:noProof/>
              </w:rPr>
              <w:t>T</w:t>
            </w:r>
          </w:p>
        </w:tc>
        <w:tc>
          <w:tcPr>
            <w:tcW w:w="2685" w:type="dxa"/>
            <w:shd w:val="clear" w:color="auto" w:fill="C6EFCE"/>
            <w:noWrap/>
          </w:tcPr>
          <w:p w14:paraId="5C4A2789" w14:textId="77777777" w:rsidR="00011DE9" w:rsidRDefault="00011DE9">
            <w:pPr>
              <w:pStyle w:val="P68B1DB1-Normal19"/>
              <w:spacing w:after="0" w:line="240" w:lineRule="auto"/>
              <w:rPr>
                <w:noProof/>
              </w:rPr>
            </w:pPr>
            <w:r>
              <w:rPr>
                <w:noProof/>
              </w:rPr>
              <w:t>Finalizarea cursurilor de formare ecologică pentru cadrele didactice din domeniul EFP</w:t>
            </w:r>
          </w:p>
        </w:tc>
        <w:tc>
          <w:tcPr>
            <w:tcW w:w="1418" w:type="dxa"/>
            <w:shd w:val="clear" w:color="auto" w:fill="C6EFCE"/>
            <w:noWrap/>
          </w:tcPr>
          <w:p w14:paraId="23DB9274" w14:textId="77777777" w:rsidR="00011DE9" w:rsidRDefault="00011DE9">
            <w:pPr>
              <w:pStyle w:val="P68B1DB1-Normal19"/>
              <w:spacing w:after="0" w:line="240" w:lineRule="auto"/>
              <w:jc w:val="center"/>
              <w:rPr>
                <w:noProof/>
              </w:rPr>
            </w:pPr>
            <w:r>
              <w:rPr>
                <w:noProof/>
              </w:rPr>
              <w:t>—</w:t>
            </w:r>
          </w:p>
        </w:tc>
        <w:tc>
          <w:tcPr>
            <w:tcW w:w="811" w:type="dxa"/>
            <w:shd w:val="clear" w:color="auto" w:fill="C6EFCE"/>
            <w:noWrap/>
          </w:tcPr>
          <w:p w14:paraId="398E4442" w14:textId="77777777" w:rsidR="00011DE9" w:rsidRDefault="00011DE9">
            <w:pPr>
              <w:pStyle w:val="P68B1DB1-Normal19"/>
              <w:spacing w:after="0" w:line="240" w:lineRule="auto"/>
              <w:jc w:val="center"/>
              <w:rPr>
                <w:noProof/>
              </w:rPr>
            </w:pPr>
            <w:r>
              <w:rPr>
                <w:noProof/>
              </w:rPr>
              <w:t>Număr</w:t>
            </w:r>
          </w:p>
        </w:tc>
        <w:tc>
          <w:tcPr>
            <w:tcW w:w="984" w:type="dxa"/>
            <w:shd w:val="clear" w:color="auto" w:fill="C6EFCE"/>
            <w:noWrap/>
          </w:tcPr>
          <w:p w14:paraId="21DD62D5" w14:textId="77777777" w:rsidR="00011DE9" w:rsidRDefault="00011DE9">
            <w:pPr>
              <w:pStyle w:val="P68B1DB1-Normal19"/>
              <w:spacing w:after="0" w:line="240" w:lineRule="auto"/>
              <w:jc w:val="center"/>
              <w:rPr>
                <w:noProof/>
              </w:rPr>
            </w:pPr>
            <w:r>
              <w:rPr>
                <w:noProof/>
              </w:rPr>
              <w:t>0</w:t>
            </w:r>
          </w:p>
        </w:tc>
        <w:tc>
          <w:tcPr>
            <w:tcW w:w="843" w:type="dxa"/>
            <w:shd w:val="clear" w:color="auto" w:fill="C6EFCE"/>
            <w:noWrap/>
          </w:tcPr>
          <w:p w14:paraId="45254A76" w14:textId="77777777" w:rsidR="00011DE9" w:rsidRDefault="00011DE9">
            <w:pPr>
              <w:pStyle w:val="P68B1DB1-Normal16"/>
              <w:spacing w:after="0" w:line="240" w:lineRule="auto"/>
              <w:jc w:val="center"/>
              <w:rPr>
                <w:rFonts w:cs="Times New Roman"/>
                <w:noProof/>
                <w:sz w:val="18"/>
                <w:szCs w:val="18"/>
              </w:rPr>
            </w:pPr>
            <w:r>
              <w:rPr>
                <w:noProof/>
                <w:sz w:val="18"/>
              </w:rPr>
              <w:t>25</w:t>
            </w:r>
            <w:r>
              <w:rPr>
                <w:noProof/>
                <w:sz w:val="20"/>
              </w:rPr>
              <w:t xml:space="preserve"> </w:t>
            </w:r>
            <w:r>
              <w:rPr>
                <w:noProof/>
                <w:sz w:val="18"/>
              </w:rPr>
              <w:t>281</w:t>
            </w:r>
          </w:p>
          <w:p w14:paraId="42A67CD7" w14:textId="77777777" w:rsidR="00011DE9" w:rsidRDefault="00011DE9">
            <w:pPr>
              <w:spacing w:after="0" w:line="240" w:lineRule="auto"/>
              <w:jc w:val="center"/>
              <w:rPr>
                <w:rFonts w:ascii="Times New Roman" w:eastAsia="Times New Roman" w:hAnsi="Times New Roman" w:cs="Times New Roman"/>
                <w:noProof/>
                <w:sz w:val="18"/>
                <w:szCs w:val="18"/>
              </w:rPr>
            </w:pPr>
          </w:p>
        </w:tc>
        <w:tc>
          <w:tcPr>
            <w:tcW w:w="562" w:type="dxa"/>
            <w:shd w:val="clear" w:color="auto" w:fill="C6EFCE"/>
            <w:noWrap/>
          </w:tcPr>
          <w:p w14:paraId="08101422" w14:textId="07110640" w:rsidR="00011DE9" w:rsidRDefault="005701C9">
            <w:pPr>
              <w:pStyle w:val="P68B1DB1-Normal19"/>
              <w:spacing w:after="0" w:line="240" w:lineRule="auto"/>
              <w:jc w:val="center"/>
              <w:rPr>
                <w:noProof/>
              </w:rPr>
            </w:pPr>
            <w:r>
              <w:rPr>
                <w:noProof/>
              </w:rPr>
              <w:t>T2</w:t>
            </w:r>
          </w:p>
        </w:tc>
        <w:tc>
          <w:tcPr>
            <w:tcW w:w="627" w:type="dxa"/>
            <w:shd w:val="clear" w:color="auto" w:fill="C6EFCE"/>
            <w:noWrap/>
          </w:tcPr>
          <w:p w14:paraId="6BE10F86" w14:textId="77777777" w:rsidR="00011DE9" w:rsidRDefault="00011DE9">
            <w:pPr>
              <w:pStyle w:val="P68B1DB1-Normal19"/>
              <w:spacing w:after="0" w:line="240" w:lineRule="auto"/>
              <w:rPr>
                <w:noProof/>
              </w:rPr>
            </w:pPr>
            <w:r>
              <w:rPr>
                <w:noProof/>
              </w:rPr>
              <w:t>2023</w:t>
            </w:r>
          </w:p>
        </w:tc>
        <w:tc>
          <w:tcPr>
            <w:tcW w:w="4820" w:type="dxa"/>
            <w:shd w:val="clear" w:color="auto" w:fill="C6EFCE"/>
            <w:noWrap/>
          </w:tcPr>
          <w:p w14:paraId="341D8A35" w14:textId="77777777" w:rsidR="00011DE9" w:rsidRDefault="00011DE9">
            <w:pPr>
              <w:pStyle w:val="P68B1DB1-Normal19"/>
              <w:spacing w:after="0" w:line="240" w:lineRule="auto"/>
              <w:rPr>
                <w:rFonts w:eastAsia="Times New Roman"/>
                <w:noProof/>
              </w:rPr>
            </w:pPr>
            <w:r>
              <w:rPr>
                <w:noProof/>
              </w:rPr>
              <w:t>Eliberarea a 25 281 certificate de formare privind finalizarea a 30 de ore de formare digitală și verde. Același profesor poate urma mai multe cursuri de formare.</w:t>
            </w:r>
          </w:p>
        </w:tc>
      </w:tr>
      <w:tr w:rsidR="00011DE9" w14:paraId="128C3A83" w14:textId="77777777">
        <w:trPr>
          <w:trHeight w:val="309"/>
          <w:jc w:val="center"/>
        </w:trPr>
        <w:tc>
          <w:tcPr>
            <w:tcW w:w="851" w:type="dxa"/>
            <w:shd w:val="clear" w:color="auto" w:fill="C6EFCE"/>
            <w:noWrap/>
          </w:tcPr>
          <w:p w14:paraId="3480A9AC" w14:textId="77777777" w:rsidR="00011DE9" w:rsidRDefault="00011DE9">
            <w:pPr>
              <w:pStyle w:val="P68B1DB1-Normal19"/>
              <w:spacing w:after="0" w:line="240" w:lineRule="auto"/>
              <w:jc w:val="center"/>
              <w:rPr>
                <w:rFonts w:eastAsia="Times New Roman"/>
                <w:noProof/>
              </w:rPr>
            </w:pPr>
            <w:r>
              <w:rPr>
                <w:noProof/>
              </w:rPr>
              <w:t>300</w:t>
            </w:r>
          </w:p>
        </w:tc>
        <w:tc>
          <w:tcPr>
            <w:tcW w:w="851" w:type="dxa"/>
            <w:shd w:val="clear" w:color="auto" w:fill="C6EFCE"/>
            <w:noWrap/>
          </w:tcPr>
          <w:p w14:paraId="46F9FD3B" w14:textId="77777777" w:rsidR="00011DE9" w:rsidRDefault="00011DE9">
            <w:pPr>
              <w:pStyle w:val="P68B1DB1-Normal19"/>
              <w:spacing w:after="0" w:line="240" w:lineRule="auto"/>
              <w:jc w:val="center"/>
              <w:rPr>
                <w:rFonts w:eastAsia="Times New Roman"/>
                <w:noProof/>
              </w:rPr>
            </w:pPr>
            <w:r>
              <w:rPr>
                <w:noProof/>
              </w:rPr>
              <w:t>C20.I3</w:t>
            </w:r>
          </w:p>
        </w:tc>
        <w:tc>
          <w:tcPr>
            <w:tcW w:w="858" w:type="dxa"/>
            <w:shd w:val="clear" w:color="auto" w:fill="C6EFCE"/>
            <w:noWrap/>
          </w:tcPr>
          <w:p w14:paraId="7F74A0CA" w14:textId="77777777" w:rsidR="00011DE9" w:rsidRDefault="00011DE9">
            <w:pPr>
              <w:pStyle w:val="P68B1DB1-Normal19"/>
              <w:spacing w:after="0" w:line="240" w:lineRule="auto"/>
              <w:jc w:val="center"/>
              <w:rPr>
                <w:rFonts w:eastAsia="Times New Roman"/>
                <w:noProof/>
              </w:rPr>
            </w:pPr>
            <w:r>
              <w:rPr>
                <w:noProof/>
              </w:rPr>
              <w:t>T</w:t>
            </w:r>
          </w:p>
        </w:tc>
        <w:tc>
          <w:tcPr>
            <w:tcW w:w="2685" w:type="dxa"/>
            <w:shd w:val="clear" w:color="auto" w:fill="C6EFCE"/>
            <w:noWrap/>
          </w:tcPr>
          <w:p w14:paraId="384955DA" w14:textId="77777777" w:rsidR="00011DE9" w:rsidRDefault="00011DE9">
            <w:pPr>
              <w:pStyle w:val="P68B1DB1-Normal19"/>
              <w:spacing w:after="0" w:line="240" w:lineRule="auto"/>
              <w:rPr>
                <w:rFonts w:eastAsia="Times New Roman"/>
                <w:noProof/>
              </w:rPr>
            </w:pPr>
            <w:r>
              <w:rPr>
                <w:noProof/>
              </w:rPr>
              <w:t>Cel puțin 1 667 de noi grupuri EFP în comparație cu anul universitar 2019/2020.</w:t>
            </w:r>
          </w:p>
        </w:tc>
        <w:tc>
          <w:tcPr>
            <w:tcW w:w="1418" w:type="dxa"/>
            <w:shd w:val="clear" w:color="auto" w:fill="C6EFCE"/>
            <w:noWrap/>
          </w:tcPr>
          <w:p w14:paraId="706F5865" w14:textId="77777777" w:rsidR="00011DE9" w:rsidRDefault="00011DE9">
            <w:pPr>
              <w:pStyle w:val="P68B1DB1-Normal19"/>
              <w:spacing w:after="0" w:line="240" w:lineRule="auto"/>
              <w:jc w:val="center"/>
              <w:rPr>
                <w:rFonts w:eastAsia="Times New Roman"/>
                <w:noProof/>
              </w:rPr>
            </w:pPr>
            <w:r>
              <w:rPr>
                <w:noProof/>
              </w:rPr>
              <w:t>—</w:t>
            </w:r>
          </w:p>
        </w:tc>
        <w:tc>
          <w:tcPr>
            <w:tcW w:w="811" w:type="dxa"/>
            <w:shd w:val="clear" w:color="auto" w:fill="C6EFCE"/>
            <w:noWrap/>
          </w:tcPr>
          <w:p w14:paraId="7A9F107A" w14:textId="77777777" w:rsidR="00011DE9" w:rsidRDefault="00011DE9">
            <w:pPr>
              <w:pStyle w:val="P68B1DB1-Normal19"/>
              <w:spacing w:after="0" w:line="240" w:lineRule="auto"/>
              <w:jc w:val="center"/>
              <w:rPr>
                <w:rFonts w:eastAsia="Times New Roman"/>
                <w:noProof/>
              </w:rPr>
            </w:pPr>
            <w:r>
              <w:rPr>
                <w:noProof/>
              </w:rPr>
              <w:t>Număr</w:t>
            </w:r>
          </w:p>
        </w:tc>
        <w:tc>
          <w:tcPr>
            <w:tcW w:w="984" w:type="dxa"/>
            <w:shd w:val="clear" w:color="auto" w:fill="C6EFCE"/>
            <w:noWrap/>
          </w:tcPr>
          <w:p w14:paraId="434806D7" w14:textId="77777777" w:rsidR="00011DE9" w:rsidRDefault="00011DE9">
            <w:pPr>
              <w:pStyle w:val="P68B1DB1-Normal16"/>
              <w:spacing w:after="0" w:line="240" w:lineRule="auto"/>
              <w:jc w:val="center"/>
              <w:rPr>
                <w:rFonts w:eastAsia="Times New Roman" w:cs="Times New Roman"/>
                <w:noProof/>
                <w:sz w:val="18"/>
                <w:szCs w:val="18"/>
              </w:rPr>
            </w:pPr>
            <w:r>
              <w:rPr>
                <w:noProof/>
                <w:sz w:val="18"/>
              </w:rPr>
              <w:t>39</w:t>
            </w:r>
            <w:r>
              <w:rPr>
                <w:noProof/>
                <w:sz w:val="20"/>
              </w:rPr>
              <w:t xml:space="preserve"> </w:t>
            </w:r>
            <w:r>
              <w:rPr>
                <w:noProof/>
                <w:sz w:val="18"/>
              </w:rPr>
              <w:t>063</w:t>
            </w:r>
          </w:p>
        </w:tc>
        <w:tc>
          <w:tcPr>
            <w:tcW w:w="843" w:type="dxa"/>
            <w:shd w:val="clear" w:color="auto" w:fill="C6EFCE"/>
            <w:noWrap/>
          </w:tcPr>
          <w:p w14:paraId="3D3B3CF3" w14:textId="77777777" w:rsidR="00011DE9" w:rsidRDefault="00011DE9">
            <w:pPr>
              <w:pStyle w:val="P68B1DB1-Normal16"/>
              <w:spacing w:after="0" w:line="240" w:lineRule="auto"/>
              <w:jc w:val="center"/>
              <w:rPr>
                <w:rFonts w:eastAsia="Times New Roman" w:cs="Times New Roman"/>
                <w:noProof/>
                <w:sz w:val="18"/>
                <w:szCs w:val="18"/>
              </w:rPr>
            </w:pPr>
            <w:r>
              <w:rPr>
                <w:noProof/>
                <w:sz w:val="18"/>
              </w:rPr>
              <w:t>40</w:t>
            </w:r>
            <w:r>
              <w:rPr>
                <w:noProof/>
                <w:sz w:val="20"/>
              </w:rPr>
              <w:t xml:space="preserve"> </w:t>
            </w:r>
            <w:r>
              <w:rPr>
                <w:noProof/>
                <w:sz w:val="18"/>
              </w:rPr>
              <w:t>730</w:t>
            </w:r>
          </w:p>
        </w:tc>
        <w:tc>
          <w:tcPr>
            <w:tcW w:w="562" w:type="dxa"/>
            <w:shd w:val="clear" w:color="auto" w:fill="C6EFCE"/>
            <w:noWrap/>
          </w:tcPr>
          <w:p w14:paraId="249DFDC3" w14:textId="198A8DD0" w:rsidR="00011DE9" w:rsidRDefault="005701C9">
            <w:pPr>
              <w:pStyle w:val="P68B1DB1-Normal19"/>
              <w:spacing w:after="0" w:line="240" w:lineRule="auto"/>
              <w:jc w:val="center"/>
              <w:rPr>
                <w:rFonts w:eastAsia="Times New Roman"/>
                <w:noProof/>
              </w:rPr>
            </w:pPr>
            <w:r>
              <w:rPr>
                <w:noProof/>
              </w:rPr>
              <w:t>T4</w:t>
            </w:r>
          </w:p>
        </w:tc>
        <w:tc>
          <w:tcPr>
            <w:tcW w:w="627" w:type="dxa"/>
            <w:shd w:val="clear" w:color="auto" w:fill="C6EFCE"/>
            <w:noWrap/>
          </w:tcPr>
          <w:p w14:paraId="5C1CE041" w14:textId="77777777" w:rsidR="00011DE9" w:rsidRDefault="00011DE9">
            <w:pPr>
              <w:pStyle w:val="P68B1DB1-Normal19"/>
              <w:spacing w:after="0" w:line="240" w:lineRule="auto"/>
              <w:jc w:val="center"/>
              <w:rPr>
                <w:rFonts w:eastAsia="Times New Roman"/>
                <w:noProof/>
              </w:rPr>
            </w:pPr>
            <w:r>
              <w:rPr>
                <w:noProof/>
              </w:rPr>
              <w:t>2022</w:t>
            </w:r>
          </w:p>
        </w:tc>
        <w:tc>
          <w:tcPr>
            <w:tcW w:w="4820" w:type="dxa"/>
            <w:shd w:val="clear" w:color="auto" w:fill="C6EFCE"/>
            <w:noWrap/>
          </w:tcPr>
          <w:p w14:paraId="5AD40337" w14:textId="77777777" w:rsidR="00011DE9" w:rsidRDefault="00011DE9">
            <w:pPr>
              <w:pStyle w:val="P68B1DB1-Normal19"/>
              <w:spacing w:after="0" w:line="240" w:lineRule="auto"/>
              <w:rPr>
                <w:rFonts w:eastAsia="Times New Roman"/>
                <w:noProof/>
              </w:rPr>
            </w:pPr>
            <w:r>
              <w:rPr>
                <w:noProof/>
              </w:rPr>
              <w:t>Crearea cumulată a cel puțin 1 667 de noi grupuri EFP în comparație cu anul universitar 2019/2020. Distribuția teritorială a finanțării pentru creșterea ofertei EFP se bazează pe o evaluare a nevoilor și continuă discuțiile cu părțile interesate relevante pentru a se asigura că oferta răspunde în mod eficace nevoilor sectoriale, astfel cum se subliniază în Planul de modernizare a formării profesionale și în lacunele regionale. Data de referință: Anul universitar 2019/2020.</w:t>
            </w:r>
          </w:p>
        </w:tc>
      </w:tr>
      <w:tr w:rsidR="00011DE9" w14:paraId="0FA58295" w14:textId="77777777">
        <w:trPr>
          <w:trHeight w:val="309"/>
          <w:jc w:val="center"/>
        </w:trPr>
        <w:tc>
          <w:tcPr>
            <w:tcW w:w="851" w:type="dxa"/>
            <w:tcBorders>
              <w:bottom w:val="single" w:sz="4" w:space="0" w:color="auto"/>
            </w:tcBorders>
            <w:shd w:val="clear" w:color="auto" w:fill="C6EFCE"/>
            <w:noWrap/>
          </w:tcPr>
          <w:p w14:paraId="28AD6BCA" w14:textId="77777777" w:rsidR="00011DE9" w:rsidRDefault="00011DE9">
            <w:pPr>
              <w:pStyle w:val="P68B1DB1-Normal19"/>
              <w:spacing w:after="0" w:line="240" w:lineRule="auto"/>
              <w:jc w:val="center"/>
              <w:rPr>
                <w:rFonts w:eastAsia="Times New Roman"/>
                <w:noProof/>
              </w:rPr>
            </w:pPr>
            <w:r>
              <w:rPr>
                <w:noProof/>
              </w:rPr>
              <w:t>301</w:t>
            </w:r>
          </w:p>
        </w:tc>
        <w:tc>
          <w:tcPr>
            <w:tcW w:w="851" w:type="dxa"/>
            <w:tcBorders>
              <w:bottom w:val="single" w:sz="4" w:space="0" w:color="auto"/>
            </w:tcBorders>
            <w:shd w:val="clear" w:color="auto" w:fill="C6EFCE"/>
            <w:noWrap/>
          </w:tcPr>
          <w:p w14:paraId="200CE0B4" w14:textId="77777777" w:rsidR="00011DE9" w:rsidRDefault="00011DE9">
            <w:pPr>
              <w:pStyle w:val="P68B1DB1-Normal19"/>
              <w:spacing w:after="0" w:line="240" w:lineRule="auto"/>
              <w:jc w:val="center"/>
              <w:rPr>
                <w:rFonts w:eastAsia="Times New Roman"/>
                <w:noProof/>
              </w:rPr>
            </w:pPr>
            <w:r>
              <w:rPr>
                <w:noProof/>
              </w:rPr>
              <w:t>C20.I3</w:t>
            </w:r>
          </w:p>
        </w:tc>
        <w:tc>
          <w:tcPr>
            <w:tcW w:w="858" w:type="dxa"/>
            <w:tcBorders>
              <w:bottom w:val="single" w:sz="4" w:space="0" w:color="auto"/>
            </w:tcBorders>
            <w:shd w:val="clear" w:color="auto" w:fill="C6EFCE"/>
            <w:noWrap/>
          </w:tcPr>
          <w:p w14:paraId="29151556" w14:textId="77777777" w:rsidR="00011DE9" w:rsidRDefault="00011DE9">
            <w:pPr>
              <w:pStyle w:val="P68B1DB1-Normal19"/>
              <w:spacing w:after="0" w:line="240" w:lineRule="auto"/>
              <w:jc w:val="center"/>
              <w:rPr>
                <w:rFonts w:eastAsia="Times New Roman"/>
                <w:noProof/>
              </w:rPr>
            </w:pPr>
            <w:r>
              <w:rPr>
                <w:noProof/>
              </w:rPr>
              <w:t>T</w:t>
            </w:r>
          </w:p>
        </w:tc>
        <w:tc>
          <w:tcPr>
            <w:tcW w:w="2685" w:type="dxa"/>
            <w:tcBorders>
              <w:bottom w:val="single" w:sz="4" w:space="0" w:color="auto"/>
            </w:tcBorders>
            <w:shd w:val="clear" w:color="auto" w:fill="C6EFCE"/>
            <w:noWrap/>
          </w:tcPr>
          <w:p w14:paraId="28E043B5" w14:textId="77777777" w:rsidR="00011DE9" w:rsidRDefault="00011DE9">
            <w:pPr>
              <w:pStyle w:val="P68B1DB1-Normal19"/>
              <w:spacing w:after="0" w:line="240" w:lineRule="auto"/>
              <w:rPr>
                <w:rFonts w:eastAsia="Times New Roman"/>
                <w:noProof/>
              </w:rPr>
            </w:pPr>
            <w:r>
              <w:rPr>
                <w:noProof/>
              </w:rPr>
              <w:t xml:space="preserve">Formare profesională bilingvă </w:t>
            </w:r>
          </w:p>
        </w:tc>
        <w:tc>
          <w:tcPr>
            <w:tcW w:w="1418" w:type="dxa"/>
            <w:tcBorders>
              <w:bottom w:val="single" w:sz="4" w:space="0" w:color="auto"/>
            </w:tcBorders>
            <w:shd w:val="clear" w:color="auto" w:fill="C6EFCE"/>
            <w:noWrap/>
          </w:tcPr>
          <w:p w14:paraId="3E924AD3" w14:textId="77777777" w:rsidR="00011DE9" w:rsidRDefault="00011DE9">
            <w:pPr>
              <w:pStyle w:val="P68B1DB1-Normal19"/>
              <w:spacing w:after="0" w:line="240" w:lineRule="auto"/>
              <w:jc w:val="center"/>
              <w:rPr>
                <w:rFonts w:eastAsia="Times New Roman"/>
                <w:noProof/>
              </w:rPr>
            </w:pPr>
            <w:r>
              <w:rPr>
                <w:noProof/>
              </w:rPr>
              <w:t>—</w:t>
            </w:r>
          </w:p>
        </w:tc>
        <w:tc>
          <w:tcPr>
            <w:tcW w:w="811" w:type="dxa"/>
            <w:tcBorders>
              <w:bottom w:val="single" w:sz="4" w:space="0" w:color="auto"/>
            </w:tcBorders>
            <w:shd w:val="clear" w:color="auto" w:fill="C6EFCE"/>
            <w:noWrap/>
          </w:tcPr>
          <w:p w14:paraId="0D4D52DA" w14:textId="77777777" w:rsidR="00011DE9" w:rsidRDefault="00011DE9">
            <w:pPr>
              <w:pStyle w:val="P68B1DB1-Normal19"/>
              <w:spacing w:after="0" w:line="240" w:lineRule="auto"/>
              <w:jc w:val="center"/>
              <w:rPr>
                <w:rFonts w:eastAsia="Times New Roman"/>
                <w:noProof/>
              </w:rPr>
            </w:pPr>
            <w:r>
              <w:rPr>
                <w:noProof/>
              </w:rPr>
              <w:t>Număr</w:t>
            </w:r>
          </w:p>
        </w:tc>
        <w:tc>
          <w:tcPr>
            <w:tcW w:w="984" w:type="dxa"/>
            <w:tcBorders>
              <w:bottom w:val="single" w:sz="4" w:space="0" w:color="auto"/>
            </w:tcBorders>
            <w:shd w:val="clear" w:color="auto" w:fill="C6EFCE"/>
            <w:noWrap/>
          </w:tcPr>
          <w:p w14:paraId="6A7032A2" w14:textId="77777777" w:rsidR="00011DE9" w:rsidRDefault="00011DE9">
            <w:pPr>
              <w:pStyle w:val="P68B1DB1-Normal19"/>
              <w:spacing w:after="0" w:line="240" w:lineRule="auto"/>
              <w:jc w:val="right"/>
              <w:rPr>
                <w:rFonts w:eastAsia="Times New Roman"/>
                <w:noProof/>
              </w:rPr>
            </w:pPr>
            <w:r>
              <w:rPr>
                <w:noProof/>
              </w:rPr>
              <w:t>0</w:t>
            </w:r>
          </w:p>
        </w:tc>
        <w:tc>
          <w:tcPr>
            <w:tcW w:w="843" w:type="dxa"/>
            <w:tcBorders>
              <w:bottom w:val="single" w:sz="4" w:space="0" w:color="auto"/>
            </w:tcBorders>
            <w:shd w:val="clear" w:color="auto" w:fill="C6EFCE"/>
            <w:noWrap/>
          </w:tcPr>
          <w:p w14:paraId="6D536EF4" w14:textId="77777777" w:rsidR="00011DE9" w:rsidRDefault="00011DE9">
            <w:pPr>
              <w:pStyle w:val="P68B1DB1-Normal19"/>
              <w:spacing w:after="0" w:line="240" w:lineRule="auto"/>
              <w:jc w:val="center"/>
              <w:rPr>
                <w:rFonts w:eastAsia="Times New Roman"/>
                <w:noProof/>
              </w:rPr>
            </w:pPr>
            <w:r>
              <w:rPr>
                <w:noProof/>
              </w:rPr>
              <w:t>3 700</w:t>
            </w:r>
          </w:p>
        </w:tc>
        <w:tc>
          <w:tcPr>
            <w:tcW w:w="562" w:type="dxa"/>
            <w:tcBorders>
              <w:bottom w:val="single" w:sz="4" w:space="0" w:color="auto"/>
            </w:tcBorders>
            <w:shd w:val="clear" w:color="auto" w:fill="C6EFCE"/>
            <w:noWrap/>
          </w:tcPr>
          <w:p w14:paraId="34D47B61" w14:textId="0AA34AA8" w:rsidR="00011DE9" w:rsidRDefault="005701C9">
            <w:pPr>
              <w:pStyle w:val="P68B1DB1-Normal19"/>
              <w:spacing w:after="0" w:line="240" w:lineRule="auto"/>
              <w:jc w:val="center"/>
              <w:rPr>
                <w:rFonts w:eastAsia="Times New Roman"/>
                <w:noProof/>
              </w:rPr>
            </w:pPr>
            <w:r>
              <w:rPr>
                <w:noProof/>
              </w:rPr>
              <w:t>T4</w:t>
            </w:r>
          </w:p>
        </w:tc>
        <w:tc>
          <w:tcPr>
            <w:tcW w:w="627" w:type="dxa"/>
            <w:tcBorders>
              <w:bottom w:val="single" w:sz="4" w:space="0" w:color="auto"/>
            </w:tcBorders>
            <w:shd w:val="clear" w:color="auto" w:fill="C6EFCE"/>
            <w:noWrap/>
          </w:tcPr>
          <w:p w14:paraId="568E1214" w14:textId="77777777" w:rsidR="00011DE9" w:rsidRDefault="00011DE9">
            <w:pPr>
              <w:pStyle w:val="P68B1DB1-Normal20"/>
              <w:spacing w:after="0" w:line="240" w:lineRule="auto"/>
              <w:jc w:val="center"/>
              <w:rPr>
                <w:rFonts w:eastAsia="Times New Roman" w:cs="Times New Roman"/>
                <w:noProof/>
              </w:rPr>
            </w:pPr>
            <w:r>
              <w:rPr>
                <w:noProof/>
              </w:rPr>
              <w:t>2025</w:t>
            </w:r>
          </w:p>
        </w:tc>
        <w:tc>
          <w:tcPr>
            <w:tcW w:w="4820" w:type="dxa"/>
            <w:tcBorders>
              <w:bottom w:val="single" w:sz="4" w:space="0" w:color="auto"/>
            </w:tcBorders>
            <w:shd w:val="clear" w:color="auto" w:fill="C6EFCE"/>
            <w:noWrap/>
          </w:tcPr>
          <w:p w14:paraId="23585AF1" w14:textId="77777777" w:rsidR="00011DE9" w:rsidRDefault="00011DE9">
            <w:pPr>
              <w:pStyle w:val="P68B1DB1-Normal20"/>
              <w:spacing w:after="0" w:line="240" w:lineRule="auto"/>
              <w:rPr>
                <w:rFonts w:eastAsia="Times New Roman" w:cs="Times New Roman"/>
                <w:noProof/>
              </w:rPr>
            </w:pPr>
            <w:r>
              <w:rPr>
                <w:noProof/>
              </w:rPr>
              <w:t>3 700 ani de program de formare profesională oferiți în mod bilingv, corespunzând primului sau celui de al doilea an al unui program de formare profesională într-un anumit centru de învățământ și constând în ani de program nou-creați sau existenți care nu au fost oferiți în mod bilingv în anul universitar precedent. Un an de program este considerat bilingv în cazul în care cel puțin un modul este oferit într-o limbă străină. Fiecare an de program este luat în calcul numai pentru primul an universitar în care este oferit într-o modalitate bilingvă.</w:t>
            </w:r>
          </w:p>
        </w:tc>
      </w:tr>
      <w:tr w:rsidR="00011DE9" w14:paraId="1BD4D251" w14:textId="77777777">
        <w:trPr>
          <w:trHeight w:val="309"/>
          <w:jc w:val="center"/>
        </w:trPr>
        <w:tc>
          <w:tcPr>
            <w:tcW w:w="851" w:type="dxa"/>
            <w:tcBorders>
              <w:bottom w:val="single" w:sz="4" w:space="0" w:color="auto"/>
            </w:tcBorders>
            <w:shd w:val="clear" w:color="auto" w:fill="C6EFCE"/>
            <w:noWrap/>
          </w:tcPr>
          <w:p w14:paraId="5B8F35FD" w14:textId="77777777" w:rsidR="00011DE9" w:rsidRDefault="00011DE9">
            <w:pPr>
              <w:pStyle w:val="P68B1DB1-Normal19"/>
              <w:spacing w:after="0" w:line="240" w:lineRule="auto"/>
              <w:jc w:val="center"/>
              <w:rPr>
                <w:rFonts w:eastAsia="Times New Roman"/>
                <w:noProof/>
              </w:rPr>
            </w:pPr>
            <w:r>
              <w:rPr>
                <w:noProof/>
              </w:rPr>
              <w:t>302</w:t>
            </w:r>
          </w:p>
        </w:tc>
        <w:tc>
          <w:tcPr>
            <w:tcW w:w="851" w:type="dxa"/>
            <w:tcBorders>
              <w:bottom w:val="single" w:sz="4" w:space="0" w:color="auto"/>
            </w:tcBorders>
            <w:shd w:val="clear" w:color="auto" w:fill="C6EFCE"/>
            <w:noWrap/>
          </w:tcPr>
          <w:p w14:paraId="20171D07" w14:textId="77777777" w:rsidR="00011DE9" w:rsidRDefault="00011DE9">
            <w:pPr>
              <w:pStyle w:val="P68B1DB1-Normal19"/>
              <w:spacing w:after="0" w:line="240" w:lineRule="auto"/>
              <w:jc w:val="center"/>
              <w:rPr>
                <w:rFonts w:eastAsia="Times New Roman"/>
                <w:noProof/>
              </w:rPr>
            </w:pPr>
            <w:r>
              <w:rPr>
                <w:noProof/>
              </w:rPr>
              <w:t>C20.I3</w:t>
            </w:r>
          </w:p>
        </w:tc>
        <w:tc>
          <w:tcPr>
            <w:tcW w:w="858" w:type="dxa"/>
            <w:tcBorders>
              <w:bottom w:val="single" w:sz="4" w:space="0" w:color="auto"/>
            </w:tcBorders>
            <w:shd w:val="clear" w:color="auto" w:fill="C6EFCE"/>
            <w:noWrap/>
          </w:tcPr>
          <w:p w14:paraId="31C16185" w14:textId="77777777" w:rsidR="00011DE9" w:rsidRDefault="00011DE9">
            <w:pPr>
              <w:pStyle w:val="P68B1DB1-Normal19"/>
              <w:spacing w:after="0" w:line="240" w:lineRule="auto"/>
              <w:jc w:val="center"/>
              <w:rPr>
                <w:rFonts w:eastAsia="Times New Roman"/>
                <w:noProof/>
              </w:rPr>
            </w:pPr>
            <w:r>
              <w:rPr>
                <w:noProof/>
              </w:rPr>
              <w:t>T</w:t>
            </w:r>
          </w:p>
        </w:tc>
        <w:tc>
          <w:tcPr>
            <w:tcW w:w="2685" w:type="dxa"/>
            <w:tcBorders>
              <w:bottom w:val="single" w:sz="4" w:space="0" w:color="auto"/>
            </w:tcBorders>
            <w:shd w:val="clear" w:color="auto" w:fill="C6EFCE"/>
            <w:noWrap/>
          </w:tcPr>
          <w:p w14:paraId="62C70C32" w14:textId="77777777" w:rsidR="00011DE9" w:rsidRDefault="00011DE9">
            <w:pPr>
              <w:pStyle w:val="P68B1DB1-Normal20"/>
              <w:spacing w:after="0" w:line="240" w:lineRule="auto"/>
              <w:rPr>
                <w:noProof/>
              </w:rPr>
            </w:pPr>
            <w:r>
              <w:rPr>
                <w:noProof/>
              </w:rPr>
              <w:t>Grupuri EFP suplimentare în comparație cu anul universitar 2019/2020</w:t>
            </w:r>
          </w:p>
        </w:tc>
        <w:tc>
          <w:tcPr>
            <w:tcW w:w="1418" w:type="dxa"/>
            <w:tcBorders>
              <w:bottom w:val="single" w:sz="4" w:space="0" w:color="auto"/>
            </w:tcBorders>
            <w:shd w:val="clear" w:color="auto" w:fill="C6EFCE"/>
            <w:noWrap/>
          </w:tcPr>
          <w:p w14:paraId="092BD50D" w14:textId="77777777" w:rsidR="00011DE9" w:rsidRDefault="00011DE9">
            <w:pPr>
              <w:pStyle w:val="P68B1DB1-Normal19"/>
              <w:spacing w:after="0" w:line="240" w:lineRule="auto"/>
              <w:jc w:val="center"/>
              <w:rPr>
                <w:rFonts w:eastAsia="Times New Roman"/>
                <w:noProof/>
              </w:rPr>
            </w:pPr>
            <w:r>
              <w:rPr>
                <w:noProof/>
              </w:rPr>
              <w:t>—</w:t>
            </w:r>
          </w:p>
        </w:tc>
        <w:tc>
          <w:tcPr>
            <w:tcW w:w="811" w:type="dxa"/>
            <w:tcBorders>
              <w:bottom w:val="single" w:sz="4" w:space="0" w:color="auto"/>
            </w:tcBorders>
            <w:shd w:val="clear" w:color="auto" w:fill="C6EFCE"/>
            <w:noWrap/>
          </w:tcPr>
          <w:p w14:paraId="71990300" w14:textId="77777777" w:rsidR="00011DE9" w:rsidRDefault="00011DE9">
            <w:pPr>
              <w:pStyle w:val="P68B1DB1-Normal19"/>
              <w:spacing w:after="0" w:line="240" w:lineRule="auto"/>
              <w:jc w:val="center"/>
              <w:rPr>
                <w:rFonts w:eastAsia="Times New Roman"/>
                <w:noProof/>
              </w:rPr>
            </w:pPr>
            <w:r>
              <w:rPr>
                <w:noProof/>
              </w:rPr>
              <w:t>Număr</w:t>
            </w:r>
          </w:p>
        </w:tc>
        <w:tc>
          <w:tcPr>
            <w:tcW w:w="984" w:type="dxa"/>
            <w:tcBorders>
              <w:bottom w:val="single" w:sz="4" w:space="0" w:color="auto"/>
            </w:tcBorders>
            <w:shd w:val="clear" w:color="auto" w:fill="C6EFCE"/>
            <w:noWrap/>
          </w:tcPr>
          <w:p w14:paraId="16150872" w14:textId="77777777" w:rsidR="00011DE9" w:rsidRDefault="00011DE9">
            <w:pPr>
              <w:pStyle w:val="P68B1DB1-Normal16"/>
              <w:spacing w:after="0" w:line="240" w:lineRule="auto"/>
              <w:jc w:val="center"/>
              <w:rPr>
                <w:rFonts w:eastAsia="Times New Roman" w:cs="Times New Roman"/>
                <w:noProof/>
                <w:sz w:val="18"/>
                <w:szCs w:val="18"/>
              </w:rPr>
            </w:pPr>
            <w:r>
              <w:rPr>
                <w:noProof/>
                <w:sz w:val="18"/>
              </w:rPr>
              <w:t>39</w:t>
            </w:r>
            <w:r>
              <w:rPr>
                <w:noProof/>
                <w:sz w:val="20"/>
              </w:rPr>
              <w:t xml:space="preserve"> </w:t>
            </w:r>
            <w:r>
              <w:rPr>
                <w:noProof/>
                <w:sz w:val="18"/>
              </w:rPr>
              <w:t>063</w:t>
            </w:r>
          </w:p>
        </w:tc>
        <w:tc>
          <w:tcPr>
            <w:tcW w:w="843" w:type="dxa"/>
            <w:tcBorders>
              <w:bottom w:val="single" w:sz="4" w:space="0" w:color="auto"/>
            </w:tcBorders>
            <w:shd w:val="clear" w:color="auto" w:fill="C6EFCE"/>
            <w:noWrap/>
          </w:tcPr>
          <w:p w14:paraId="3FF1B131" w14:textId="77777777" w:rsidR="00011DE9" w:rsidRDefault="00011DE9">
            <w:pPr>
              <w:pStyle w:val="P68B1DB1-Normal19"/>
              <w:spacing w:after="0" w:line="240" w:lineRule="auto"/>
              <w:jc w:val="center"/>
              <w:rPr>
                <w:rFonts w:eastAsia="Times New Roman"/>
                <w:noProof/>
              </w:rPr>
            </w:pPr>
            <w:r>
              <w:rPr>
                <w:noProof/>
              </w:rPr>
              <w:t>47 315</w:t>
            </w:r>
          </w:p>
        </w:tc>
        <w:tc>
          <w:tcPr>
            <w:tcW w:w="562" w:type="dxa"/>
            <w:tcBorders>
              <w:bottom w:val="single" w:sz="4" w:space="0" w:color="auto"/>
            </w:tcBorders>
            <w:shd w:val="clear" w:color="auto" w:fill="C6EFCE"/>
            <w:noWrap/>
          </w:tcPr>
          <w:p w14:paraId="36276BFC" w14:textId="56DE8233" w:rsidR="00011DE9" w:rsidRDefault="005701C9">
            <w:pPr>
              <w:pStyle w:val="P68B1DB1-Normal19"/>
              <w:spacing w:after="0" w:line="240" w:lineRule="auto"/>
              <w:jc w:val="center"/>
              <w:rPr>
                <w:rFonts w:eastAsia="Times New Roman"/>
                <w:noProof/>
              </w:rPr>
            </w:pPr>
            <w:r>
              <w:rPr>
                <w:noProof/>
              </w:rPr>
              <w:t>T2</w:t>
            </w:r>
          </w:p>
        </w:tc>
        <w:tc>
          <w:tcPr>
            <w:tcW w:w="627" w:type="dxa"/>
            <w:tcBorders>
              <w:bottom w:val="single" w:sz="4" w:space="0" w:color="auto"/>
            </w:tcBorders>
            <w:shd w:val="clear" w:color="auto" w:fill="C6EFCE"/>
            <w:noWrap/>
          </w:tcPr>
          <w:p w14:paraId="21666B74" w14:textId="77777777" w:rsidR="00011DE9" w:rsidRDefault="00011DE9">
            <w:pPr>
              <w:pStyle w:val="P68B1DB1-Normal19"/>
              <w:spacing w:after="0" w:line="240" w:lineRule="auto"/>
              <w:jc w:val="center"/>
              <w:rPr>
                <w:rFonts w:eastAsia="Times New Roman"/>
                <w:noProof/>
              </w:rPr>
            </w:pPr>
            <w:r>
              <w:rPr>
                <w:noProof/>
              </w:rPr>
              <w:t>2026</w:t>
            </w:r>
          </w:p>
        </w:tc>
        <w:tc>
          <w:tcPr>
            <w:tcW w:w="4820" w:type="dxa"/>
            <w:tcBorders>
              <w:bottom w:val="single" w:sz="4" w:space="0" w:color="auto"/>
            </w:tcBorders>
            <w:shd w:val="clear" w:color="auto" w:fill="C6EFCE"/>
            <w:noWrap/>
          </w:tcPr>
          <w:p w14:paraId="713510DD" w14:textId="77777777" w:rsidR="00011DE9" w:rsidRDefault="00011DE9">
            <w:pPr>
              <w:pStyle w:val="P68B1DB1-Normal20"/>
              <w:spacing w:after="0" w:line="240" w:lineRule="auto"/>
              <w:rPr>
                <w:rFonts w:eastAsia="Times New Roman" w:cs="Times New Roman"/>
                <w:noProof/>
              </w:rPr>
            </w:pPr>
            <w:r>
              <w:rPr>
                <w:noProof/>
              </w:rPr>
              <w:t>8 252 de grupuri EFP suplimentare față de anul universitar 2019/2020. Data de referință: Anul universitar 2019/2020.</w:t>
            </w:r>
          </w:p>
        </w:tc>
      </w:tr>
    </w:tbl>
    <w:p w14:paraId="4E9533C8" w14:textId="77777777" w:rsidR="00011DE9" w:rsidRDefault="00011DE9">
      <w:pPr>
        <w:pStyle w:val="Heading1"/>
        <w:rPr>
          <w:noProof/>
        </w:rPr>
        <w:sectPr w:rsidR="00011DE9" w:rsidSect="00011DE9">
          <w:headerReference w:type="even" r:id="rId280"/>
          <w:headerReference w:type="default" r:id="rId281"/>
          <w:footerReference w:type="even" r:id="rId282"/>
          <w:footerReference w:type="default" r:id="rId283"/>
          <w:headerReference w:type="first" r:id="rId284"/>
          <w:footerReference w:type="first" r:id="rId285"/>
          <w:pgSz w:w="16839" w:h="11907" w:orient="landscape"/>
          <w:pgMar w:top="1134" w:right="1134" w:bottom="1134" w:left="1134" w:header="567" w:footer="567" w:gutter="0"/>
          <w:cols w:space="720"/>
          <w:docGrid w:linePitch="360"/>
        </w:sectPr>
      </w:pPr>
    </w:p>
    <w:p w14:paraId="4CF06F00" w14:textId="77777777" w:rsidR="00011DE9" w:rsidRDefault="00011DE9">
      <w:pPr>
        <w:pStyle w:val="Heading1"/>
        <w:rPr>
          <w:noProof/>
        </w:rPr>
      </w:pPr>
      <w:r>
        <w:rPr>
          <w:noProof/>
        </w:rPr>
        <w:t>U. COMPONENTĂ 21: Modernizarea și digitalizarea educației, inclusiv a educației timpurii 0-3</w:t>
      </w:r>
    </w:p>
    <w:p w14:paraId="3EDF29B1" w14:textId="77777777" w:rsidR="00011DE9" w:rsidRDefault="00011DE9">
      <w:pPr>
        <w:pStyle w:val="P68B1DB1-Normal16"/>
        <w:spacing w:before="120" w:after="120" w:line="240" w:lineRule="auto"/>
        <w:ind w:left="142"/>
        <w:jc w:val="both"/>
        <w:rPr>
          <w:rFonts w:cs="Times New Roman"/>
          <w:noProof/>
        </w:rPr>
      </w:pPr>
      <w:r>
        <w:rPr>
          <w:noProof/>
        </w:rPr>
        <w:t xml:space="preserve">Această componentă a planului spaniol de redresare și reziliență se axează pe modernizarea sistemului de învățământ și pe îmbunătățirea infrastructurii educaționale. Aceasta vizează un sistem mai flexibil și mai favorabil incluziunii, mai bine adaptat la nevoile fiecărui elev, și introducerea de noi tehnici de predare și învățare, inclusiv digitale. Principalele obiective în fiecare etapă educațională sunt: </w:t>
      </w:r>
    </w:p>
    <w:p w14:paraId="124F4B36" w14:textId="37602D0A" w:rsidR="00011DE9" w:rsidRDefault="00011DE9">
      <w:pPr>
        <w:pStyle w:val="P68B1DB1-Normal16"/>
        <w:numPr>
          <w:ilvl w:val="0"/>
          <w:numId w:val="153"/>
        </w:numPr>
        <w:spacing w:before="120" w:line="259" w:lineRule="auto"/>
        <w:contextualSpacing/>
        <w:jc w:val="both"/>
        <w:rPr>
          <w:rFonts w:cs="Times New Roman"/>
          <w:noProof/>
        </w:rPr>
      </w:pPr>
      <w:r>
        <w:rPr>
          <w:noProof/>
        </w:rPr>
        <w:t>Educarea și îngrijirea copiilor de vârstă fragedă</w:t>
      </w:r>
      <w:r w:rsidR="00971820">
        <w:rPr>
          <w:noProof/>
        </w:rPr>
        <w:t xml:space="preserve"> </w:t>
      </w:r>
      <w:r>
        <w:rPr>
          <w:noProof/>
        </w:rPr>
        <w:t xml:space="preserve">Componenta vizează creșterea treptată a numărului de înscrieri la ECEC, acordând prioritate asigurării de noi locuri publice pentru copii în zonele cu risc mai ridicat de sărăcie sau de excluziune socială și în zonele rurale. Accentul se pune pe copiii cu vârste cuprinse între 0 și 3 ani și se acordă atenție atât accesului, cât și accesibilității din punct de vedere financiar, pentru a favoriza în special integrarea femeilor pe piața forței de muncă și pentru a pune bazele îmbunătățirii rezultatelor educaționale și prevenirii părăsirii timpurii a școlii în etapele ulterioare. </w:t>
      </w:r>
    </w:p>
    <w:p w14:paraId="07051D47" w14:textId="77777777" w:rsidR="00011DE9" w:rsidRDefault="00011DE9">
      <w:pPr>
        <w:pStyle w:val="P68B1DB1-Normal16"/>
        <w:numPr>
          <w:ilvl w:val="0"/>
          <w:numId w:val="153"/>
        </w:numPr>
        <w:spacing w:before="120" w:line="259" w:lineRule="auto"/>
        <w:contextualSpacing/>
        <w:jc w:val="both"/>
        <w:rPr>
          <w:rFonts w:cs="Times New Roman"/>
          <w:noProof/>
        </w:rPr>
      </w:pPr>
      <w:r>
        <w:rPr>
          <w:noProof/>
          <w:u w:val="single"/>
        </w:rPr>
        <w:t>Învățământul primar și secundar.</w:t>
      </w:r>
      <w:r>
        <w:rPr>
          <w:noProof/>
        </w:rPr>
        <w:t xml:space="preserve"> Componenta vizează îmbunătățirea rezultatelor școlare prin reducerea părăsirii timpurii a școlii și a ratelor ridicate de repetiție, prin acordarea de sprijin suplimentar elevilor cu performanțe slabe și prin elaborarea unei noi programe de învățământ pentru competențele-cheie (inclusiv digitale) în învățământul primar și secundar obligatoriu și în bacalaureat. </w:t>
      </w:r>
    </w:p>
    <w:p w14:paraId="6A40EB48" w14:textId="77777777" w:rsidR="00011DE9" w:rsidRDefault="00011DE9">
      <w:pPr>
        <w:pStyle w:val="P68B1DB1-Normal16"/>
        <w:numPr>
          <w:ilvl w:val="0"/>
          <w:numId w:val="153"/>
        </w:numPr>
        <w:spacing w:before="120" w:line="259" w:lineRule="auto"/>
        <w:contextualSpacing/>
        <w:jc w:val="both"/>
        <w:rPr>
          <w:rFonts w:cs="Times New Roman"/>
          <w:noProof/>
        </w:rPr>
      </w:pPr>
      <w:r>
        <w:rPr>
          <w:noProof/>
          <w:u w:val="single"/>
        </w:rPr>
        <w:t>Sistemul universitar</w:t>
      </w:r>
      <w:r>
        <w:rPr>
          <w:noProof/>
        </w:rPr>
        <w:t>. Componenta vizează modernizarea sistemului universitar, prin adaptarea organizării cursurilor universitare la nevoile societale actuale, prin îmbunătățirea relevanței învățământului superior pentru piața forței de muncă și prin sprijinirea transformării tehnologice. Aceasta vizează, de asemenea, creșterea accesului la învățământul superior și îmbunătățirea accesibilității financiare a acestuia.</w:t>
      </w:r>
    </w:p>
    <w:p w14:paraId="578F15BA" w14:textId="77777777" w:rsidR="00011DE9" w:rsidRDefault="00011DE9">
      <w:pPr>
        <w:pStyle w:val="P68B1DB1-Normal16"/>
        <w:spacing w:before="120" w:after="120" w:line="240" w:lineRule="auto"/>
        <w:jc w:val="both"/>
        <w:rPr>
          <w:rFonts w:cs="Times New Roman"/>
          <w:noProof/>
        </w:rPr>
      </w:pPr>
      <w:r>
        <w:rPr>
          <w:noProof/>
        </w:rPr>
        <w:t xml:space="preserve">Componenta contribuie la abordarea recomandărilor specifice fiecărei țări legate de reducerea părăsirii timpurii a școlii și de îmbunătățirea rezultatelor școlare, ținând seama de disparitățile regionale (recomandările specifice fiecărei țări 2 2019) și îmbunătățind accesul la învățarea digitală (Recomandarea specifică fiecărei țări 2 2020). Aceasta contribuie, de asemenea, la abordarea recomandărilor anterioare specifice fiecărei țări referitoare la un sprijin mai bun pentru formarea studenților și a cadrelor didactice, precum și la îmbunătățirea sprijinului acordat familiilor (recomandările specifice fiecărei țări 2 2019), inclusiv accesul la servicii de calitate de îngrijire a copiilor. </w:t>
      </w:r>
    </w:p>
    <w:p w14:paraId="274161FB" w14:textId="77777777" w:rsidR="00011DE9" w:rsidRDefault="00011DE9">
      <w:pPr>
        <w:pStyle w:val="P68B1DB1-Normal16"/>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25892C2" w14:textId="1EDBD272" w:rsidR="00011DE9" w:rsidRDefault="00011DE9">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U.1.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6B02D545" w14:textId="12EB0B29" w:rsidR="00011DE9" w:rsidRDefault="00011DE9">
      <w:pPr>
        <w:pStyle w:val="P68B1DB1-Normal46"/>
        <w:spacing w:before="120" w:after="120" w:line="240" w:lineRule="auto"/>
        <w:jc w:val="both"/>
        <w:rPr>
          <w:rFonts w:cs="Times New Roman"/>
          <w:noProof/>
        </w:rPr>
      </w:pPr>
      <w:r>
        <w:rPr>
          <w:noProof/>
        </w:rPr>
        <w:t>Reforma 1 (C21.R1) – Noua lege organică privind educația</w:t>
      </w:r>
      <w:r w:rsidR="00971820">
        <w:rPr>
          <w:noProof/>
        </w:rPr>
        <w:t xml:space="preserve"> </w:t>
      </w:r>
    </w:p>
    <w:p w14:paraId="66BCAC21" w14:textId="77777777" w:rsidR="00011DE9" w:rsidRDefault="00011DE9">
      <w:pPr>
        <w:pStyle w:val="P68B1DB1-Normal16"/>
        <w:spacing w:before="120" w:after="120" w:line="240" w:lineRule="auto"/>
        <w:jc w:val="both"/>
        <w:rPr>
          <w:rFonts w:cs="Times New Roman"/>
          <w:noProof/>
        </w:rPr>
      </w:pPr>
      <w:r>
        <w:rPr>
          <w:noProof/>
          <w:shd w:val="clear" w:color="auto" w:fill="FFFFFF"/>
        </w:rPr>
        <w:t xml:space="preserve">Această reformă include adoptarea unei noi legi privind educația, care acoperă </w:t>
      </w:r>
      <w:r>
        <w:rPr>
          <w:noProof/>
        </w:rPr>
        <w:t>educația timpurie, învățământul primar și secundar obligatoriu și bacalaureatul. Aceasta stabilește baza pentru creșterea oportunităților educaționale și de formare pentru întreaga populație, inclusiv prin îmbunătățirea rezultatelor educaționale și a detectării timpurii a dificultăților și prin consolidarea autonomiei școlilor. Aceasta se axează pe reducerea segregării în funcție de mediul din care provin elevii și pe îmbunătățirea capacității de incluziune a sistemului. În plus, scopul este de a consolida competențele digitale la toate nivelurile de învățământ, răspunzând astfel economiei din ce în ce mai digitalizate. O nouă lege (LOMLOE) a fost adoptată la 29 decembrie 2020.</w:t>
      </w:r>
    </w:p>
    <w:p w14:paraId="6F2455C3" w14:textId="77777777" w:rsidR="00011DE9" w:rsidRDefault="00011DE9">
      <w:pPr>
        <w:pStyle w:val="P68B1DB1-Normal16"/>
        <w:spacing w:before="120" w:after="120" w:line="240" w:lineRule="auto"/>
        <w:jc w:val="both"/>
        <w:rPr>
          <w:rFonts w:cs="Times New Roman"/>
          <w:noProof/>
        </w:rPr>
      </w:pPr>
      <w:r>
        <w:rPr>
          <w:noProof/>
        </w:rPr>
        <w:t xml:space="preserve">Dezvoltarea normativă a Legii educației urmează să fie pusă în aplicare prin intermediul: </w:t>
      </w:r>
    </w:p>
    <w:p w14:paraId="5FFB09A2" w14:textId="77777777" w:rsidR="00011DE9" w:rsidRDefault="00011DE9">
      <w:pPr>
        <w:pStyle w:val="P68B1DB1-Normal16"/>
        <w:numPr>
          <w:ilvl w:val="0"/>
          <w:numId w:val="154"/>
        </w:numPr>
        <w:spacing w:before="120" w:line="259" w:lineRule="auto"/>
        <w:contextualSpacing/>
        <w:jc w:val="both"/>
        <w:rPr>
          <w:rFonts w:cs="Times New Roman"/>
          <w:noProof/>
        </w:rPr>
      </w:pPr>
      <w:r>
        <w:rPr>
          <w:noProof/>
        </w:rPr>
        <w:t xml:space="preserve">reglementarea unei noi programe de învățământ bazate pe competențe; </w:t>
      </w:r>
    </w:p>
    <w:p w14:paraId="3CAD65FE" w14:textId="77777777" w:rsidR="00011DE9" w:rsidRDefault="00011DE9">
      <w:pPr>
        <w:pStyle w:val="P68B1DB1-Normal16"/>
        <w:numPr>
          <w:ilvl w:val="0"/>
          <w:numId w:val="154"/>
        </w:numPr>
        <w:spacing w:before="120" w:line="259" w:lineRule="auto"/>
        <w:contextualSpacing/>
        <w:jc w:val="both"/>
        <w:rPr>
          <w:rFonts w:cs="Times New Roman"/>
          <w:noProof/>
        </w:rPr>
      </w:pPr>
      <w:r>
        <w:rPr>
          <w:noProof/>
        </w:rPr>
        <w:t xml:space="preserve">evaluarea, în special evaluarea generală a sistemului de învățământ, precum și evaluările de diagnosticare; </w:t>
      </w:r>
    </w:p>
    <w:p w14:paraId="632E8874" w14:textId="77777777" w:rsidR="00011DE9" w:rsidRDefault="00011DE9">
      <w:pPr>
        <w:pStyle w:val="P68B1DB1-Normal16"/>
        <w:numPr>
          <w:ilvl w:val="0"/>
          <w:numId w:val="154"/>
        </w:numPr>
        <w:spacing w:before="120" w:line="259" w:lineRule="auto"/>
        <w:contextualSpacing/>
        <w:jc w:val="both"/>
        <w:rPr>
          <w:rFonts w:cs="Times New Roman"/>
          <w:noProof/>
        </w:rPr>
      </w:pPr>
      <w:r>
        <w:rPr>
          <w:noProof/>
        </w:rPr>
        <w:t>dezvoltarea profesiei de cadru didactic; și</w:t>
      </w:r>
    </w:p>
    <w:p w14:paraId="0B35B96A" w14:textId="77777777" w:rsidR="00011DE9" w:rsidRDefault="00011DE9">
      <w:pPr>
        <w:pStyle w:val="P68B1DB1-Normal16"/>
        <w:numPr>
          <w:ilvl w:val="0"/>
          <w:numId w:val="154"/>
        </w:numPr>
        <w:spacing w:before="120" w:line="259" w:lineRule="auto"/>
        <w:contextualSpacing/>
        <w:jc w:val="both"/>
        <w:rPr>
          <w:rFonts w:cs="Times New Roman"/>
          <w:noProof/>
        </w:rPr>
      </w:pPr>
      <w:r>
        <w:rPr>
          <w:noProof/>
        </w:rPr>
        <w:t xml:space="preserve">reglementarea recunoașterii și validării certificatelor și studiilor neuniversitare străine. </w:t>
      </w:r>
    </w:p>
    <w:p w14:paraId="2716C0DF" w14:textId="77777777" w:rsidR="00011DE9" w:rsidRDefault="00011DE9">
      <w:pPr>
        <w:pStyle w:val="P68B1DB1-Normal16"/>
        <w:spacing w:before="120" w:after="120" w:line="240" w:lineRule="auto"/>
        <w:jc w:val="both"/>
        <w:rPr>
          <w:rFonts w:cs="Times New Roman"/>
          <w:noProof/>
          <w:shd w:val="clear" w:color="auto" w:fill="FFFFFF"/>
        </w:rPr>
      </w:pPr>
      <w:r>
        <w:rPr>
          <w:noProof/>
        </w:rPr>
        <w:t>În</w:t>
      </w:r>
      <w:r>
        <w:rPr>
          <w:noProof/>
          <w:shd w:val="clear" w:color="auto" w:fill="FFFFFF"/>
        </w:rPr>
        <w:t xml:space="preserve"> acest scop, propunerea pune bazele reformei 2 și ale diferitelor investiții incluse în componentă. </w:t>
      </w:r>
    </w:p>
    <w:p w14:paraId="2EF1E8AE" w14:textId="77777777" w:rsidR="00011DE9" w:rsidRDefault="00011DE9">
      <w:pPr>
        <w:pStyle w:val="P68B1DB1-Normal16"/>
        <w:spacing w:before="120" w:after="120" w:line="240" w:lineRule="auto"/>
        <w:jc w:val="both"/>
        <w:rPr>
          <w:rFonts w:cs="Times New Roman"/>
          <w:noProof/>
        </w:rPr>
      </w:pPr>
      <w:r>
        <w:rPr>
          <w:noProof/>
        </w:rPr>
        <w:t xml:space="preserve">În cele din urmă, se preconizează că reforma va promova integrarea elevilor cu nevoi educaționale speciale în școlile obișnuite și va fi însoțită de un plan continuu pe 10 ani convenit cu autoritățile regionale, care să ofere resurse suplimentare pentru a sprijini școlile care găzduiesc elevi cu nevoi speciale. </w:t>
      </w:r>
    </w:p>
    <w:p w14:paraId="1178217F" w14:textId="77777777" w:rsidR="00011DE9" w:rsidRDefault="00011DE9">
      <w:pPr>
        <w:pStyle w:val="P68B1DB1-Normal47"/>
        <w:spacing w:before="120" w:after="120" w:line="240" w:lineRule="auto"/>
        <w:jc w:val="both"/>
        <w:rPr>
          <w:rFonts w:cs="Times New Roman"/>
          <w:noProof/>
        </w:rPr>
      </w:pPr>
      <w:r>
        <w:rPr>
          <w:noProof/>
        </w:rPr>
        <w:t>Punerea în aplicare a măsurii se finalizează până la 31 martie 2021.</w:t>
      </w:r>
    </w:p>
    <w:p w14:paraId="48A9C726" w14:textId="77777777" w:rsidR="00011DE9" w:rsidRDefault="00011DE9">
      <w:pPr>
        <w:pStyle w:val="P68B1DB1-Normal46"/>
        <w:spacing w:before="120" w:after="120" w:line="240" w:lineRule="auto"/>
        <w:jc w:val="both"/>
        <w:rPr>
          <w:rFonts w:cs="Times New Roman"/>
          <w:noProof/>
        </w:rPr>
      </w:pPr>
      <w:r>
        <w:rPr>
          <w:noProof/>
        </w:rPr>
        <w:t>Reforma 2 (C21.R2) – Un nou model de programă de învățământ pentru îmbunătățirea calității educației</w:t>
      </w:r>
    </w:p>
    <w:p w14:paraId="3449D79E" w14:textId="77777777" w:rsidR="00011DE9" w:rsidRDefault="00011DE9">
      <w:pPr>
        <w:pStyle w:val="NormalWeb"/>
        <w:spacing w:before="120" w:after="120" w:line="240" w:lineRule="auto"/>
        <w:jc w:val="both"/>
        <w:rPr>
          <w:noProof/>
          <w:shd w:val="clear" w:color="auto" w:fill="FFFFFF"/>
        </w:rPr>
      </w:pPr>
      <w:r>
        <w:rPr>
          <w:noProof/>
          <w:shd w:val="clear" w:color="auto" w:fill="FFFFFF"/>
        </w:rPr>
        <w:t xml:space="preserve">Obiectivul acestei reforme este de a îmbunătăți calitatea educației. Această măsură constă </w:t>
      </w:r>
      <w:r>
        <w:rPr>
          <w:noProof/>
        </w:rPr>
        <w:t xml:space="preserve">în participarea experților la elaborarea programei de învățământ sau a cadrelor de evaluare, în publicarea de materiale didactice, precum și în formarea cadrelor didactice pentru aplicarea noii programe de învățământ sau a noii Legi organice privind educația. </w:t>
      </w:r>
    </w:p>
    <w:p w14:paraId="0FE1A7EF" w14:textId="77777777" w:rsidR="00011DE9" w:rsidRDefault="00011DE9">
      <w:pPr>
        <w:pStyle w:val="P68B1DB1-Normal46"/>
        <w:spacing w:before="120" w:after="120" w:line="240" w:lineRule="auto"/>
        <w:jc w:val="both"/>
        <w:rPr>
          <w:rFonts w:cs="Times New Roman"/>
          <w:noProof/>
        </w:rPr>
      </w:pPr>
      <w:r>
        <w:rPr>
          <w:noProof/>
        </w:rPr>
        <w:t xml:space="preserve">Reforma 3 (C21.R3) – Reforma cuprinzătoare a sistemului universitar </w:t>
      </w:r>
    </w:p>
    <w:p w14:paraId="5EF44600" w14:textId="77777777" w:rsidR="00011DE9" w:rsidRDefault="00011DE9">
      <w:pPr>
        <w:pStyle w:val="P68B1DB1-Normal16"/>
        <w:spacing w:before="120" w:after="120" w:line="240" w:lineRule="auto"/>
        <w:jc w:val="both"/>
        <w:rPr>
          <w:rFonts w:cs="Times New Roman"/>
          <w:noProof/>
        </w:rPr>
      </w:pPr>
      <w:r>
        <w:rPr>
          <w:noProof/>
          <w:shd w:val="clear" w:color="auto" w:fill="FFFFFF"/>
        </w:rPr>
        <w:t xml:space="preserve">Reforma se axează pe o </w:t>
      </w:r>
      <w:r>
        <w:rPr>
          <w:noProof/>
        </w:rPr>
        <w:t xml:space="preserve">reformă cuprinzătoare a sistemului universitar, bazată pe patru obiective-cheie: </w:t>
      </w:r>
    </w:p>
    <w:p w14:paraId="5C2E6775" w14:textId="77777777" w:rsidR="00011DE9" w:rsidRDefault="00011DE9">
      <w:pPr>
        <w:pStyle w:val="P68B1DB1-Normal47"/>
        <w:numPr>
          <w:ilvl w:val="0"/>
          <w:numId w:val="155"/>
        </w:numPr>
        <w:spacing w:before="120" w:after="120" w:line="240" w:lineRule="auto"/>
        <w:jc w:val="both"/>
        <w:rPr>
          <w:rFonts w:cs="Times New Roman"/>
          <w:noProof/>
        </w:rPr>
      </w:pPr>
      <w:r>
        <w:rPr>
          <w:noProof/>
        </w:rPr>
        <w:t>Promovarea accesului la învățământul superior. Bursele se majorează ținând seama de condițiile socioeconomice și se asigură egalitatea de șanse prin îmbunătățirea burselor pentru studenții cu handicap. Sistemul de burse a fost reformat în 2020, dar va fi dezvoltat în continuare în 2021 și 2022. Taxele universitare publice sunt, de asemenea, reduse, inclusiv prin stabilirea unor praguri și prin reducerea disparităților regionale mari.</w:t>
      </w:r>
    </w:p>
    <w:p w14:paraId="7B43DE33" w14:textId="77777777" w:rsidR="00011DE9" w:rsidRDefault="00011DE9">
      <w:pPr>
        <w:pStyle w:val="P68B1DB1-Normal16"/>
        <w:numPr>
          <w:ilvl w:val="0"/>
          <w:numId w:val="155"/>
        </w:numPr>
        <w:spacing w:before="120" w:after="120" w:line="240" w:lineRule="auto"/>
        <w:jc w:val="both"/>
        <w:rPr>
          <w:rFonts w:cs="Times New Roman"/>
          <w:noProof/>
          <w:shd w:val="clear" w:color="auto" w:fill="FFFFFF"/>
        </w:rPr>
      </w:pPr>
      <w:r>
        <w:rPr>
          <w:noProof/>
          <w:shd w:val="clear" w:color="auto" w:fill="FFFFFF"/>
        </w:rPr>
        <w:t xml:space="preserve">Adoptarea organizării de cursuri universitare. Se adoptă un decret-lege pentru a reforma organizarea cursurilor universitare și pentru a asigura calitatea și relevanța acestora pentru piața forței de muncă. În </w:t>
      </w:r>
      <w:r>
        <w:rPr>
          <w:noProof/>
        </w:rPr>
        <w:t>acest scop, cooperarea universitară cu întreprinderile din învățământul terțiar este încurajată prin reglementarea diplomelor duble de licență și de masterat, inclusiv a programelor de formare în întreprinderi supravegheate de universități.</w:t>
      </w:r>
      <w:r>
        <w:rPr>
          <w:noProof/>
          <w:shd w:val="clear" w:color="auto" w:fill="FFFFFF"/>
        </w:rPr>
        <w:t xml:space="preserve"> În conformitate cu obiectivele spațiului european al educației, se asigură recunoașterea automată a diplomelor. De asemenea, vor fi consolidate procesele de </w:t>
      </w:r>
      <w:r>
        <w:rPr>
          <w:noProof/>
        </w:rPr>
        <w:t xml:space="preserve">verificare, monitorizare și acreditare pentru predarea cu prezență fizică sau fără prezență fizică, combinând asigurarea calității ofertei de învățământ universitar cu reducerea birocrației în procedurile implicate. Se promovează, de asemenea, predarea inovatoare. </w:t>
      </w:r>
    </w:p>
    <w:p w14:paraId="75B03D8A" w14:textId="77777777" w:rsidR="00011DE9" w:rsidRDefault="00011DE9">
      <w:pPr>
        <w:pStyle w:val="P68B1DB1-Normal47"/>
        <w:numPr>
          <w:ilvl w:val="0"/>
          <w:numId w:val="155"/>
        </w:numPr>
        <w:spacing w:before="120" w:after="120" w:line="240" w:lineRule="auto"/>
        <w:jc w:val="both"/>
        <w:rPr>
          <w:noProof/>
        </w:rPr>
      </w:pPr>
      <w:r>
        <w:rPr>
          <w:noProof/>
        </w:rPr>
        <w:t>Asigurarea bunei guvernanțe a instituțiilor universitare și promovarea cercetării, a transferului și a mobilității personalului didactic și de cercetare. Reforma îmbunătățește eficacitatea, eficiența și autonomia universităților în gestionarea de zi cu zi a universităților, sporește participarea părților interesate la guvernanță și promovează transparența și responsabilitatea. Aceasta vizează, de asemenea, dotarea universităților cu cadre didactice cu înaltă calificare, o carieră didactică mai previzibilă și o legătură mai puternică între predare și cercetare. Acest lucru se realizează parțial prin intrarea în vigoare a unei legi organice.</w:t>
      </w:r>
    </w:p>
    <w:p w14:paraId="0535D072" w14:textId="77777777" w:rsidR="00011DE9" w:rsidRDefault="00011DE9">
      <w:pPr>
        <w:pStyle w:val="P68B1DB1-Normal16"/>
        <w:numPr>
          <w:ilvl w:val="0"/>
          <w:numId w:val="155"/>
        </w:numPr>
        <w:spacing w:before="120" w:after="120" w:line="240" w:lineRule="auto"/>
        <w:jc w:val="both"/>
        <w:rPr>
          <w:rFonts w:cs="Times New Roman"/>
          <w:noProof/>
          <w:shd w:val="clear" w:color="auto" w:fill="FFFFFF"/>
        </w:rPr>
      </w:pPr>
      <w:r>
        <w:rPr>
          <w:noProof/>
          <w:shd w:val="clear" w:color="auto" w:fill="FFFFFF"/>
        </w:rPr>
        <w:t xml:space="preserve">Asigurarea calității instituțiilor universitare. Se adoptă </w:t>
      </w:r>
      <w:r>
        <w:rPr>
          <w:noProof/>
        </w:rPr>
        <w:t>un decret-lege care stabilește criteriile de calitate academică pentru crearea, recunoașterea, autorizarea și acreditarea universităților și a centrelor conexe, inclusiv a universităților de la distanță și semifață în față.</w:t>
      </w:r>
      <w:r>
        <w:rPr>
          <w:noProof/>
          <w:shd w:val="clear" w:color="auto" w:fill="FFFFFF"/>
        </w:rPr>
        <w:t xml:space="preserve"> Obiectivul este ca universitățile </w:t>
      </w:r>
      <w:r>
        <w:rPr>
          <w:noProof/>
        </w:rPr>
        <w:t>să aibă o ofertă academică formativă minimă, asigurând în același timp posibilitatea specializării universităților; un număr minim de studenți la nivel universitar; să aloce cel puțin 5 % din bugetul lor programelor de cercetare; și să dispună de sisteme interne de asigurare a calității.</w:t>
      </w:r>
    </w:p>
    <w:p w14:paraId="7C8A5BE2" w14:textId="77777777" w:rsidR="00011DE9" w:rsidRDefault="00011DE9">
      <w:pPr>
        <w:pStyle w:val="P68B1DB1-Normal47"/>
        <w:spacing w:before="120" w:after="120" w:line="240" w:lineRule="auto"/>
        <w:jc w:val="both"/>
        <w:rPr>
          <w:rFonts w:cs="Times New Roman"/>
          <w:noProof/>
        </w:rPr>
      </w:pPr>
      <w:r>
        <w:rPr>
          <w:noProof/>
        </w:rPr>
        <w:t>În acest scop, reforma ține seama de recomandările formulate de Conferința rectorilor universitari spanioli (CRUE). Acesta contribuie la creșterea relevanței învățământului superior pentru piața forței de muncă, inclusiv prin promovarea cooperării cu întreprinderile și prin introducerea unor modele de finanțare bazate pe performanță în universitățile publice.</w:t>
      </w:r>
    </w:p>
    <w:p w14:paraId="62F3EF53" w14:textId="77777777" w:rsidR="00011DE9" w:rsidRDefault="00011DE9">
      <w:pPr>
        <w:pStyle w:val="P68B1DB1-Normal47"/>
        <w:spacing w:before="120" w:after="120" w:line="240" w:lineRule="auto"/>
        <w:jc w:val="both"/>
        <w:rPr>
          <w:rFonts w:cs="Times New Roman"/>
          <w:noProof/>
        </w:rPr>
      </w:pPr>
      <w:r>
        <w:rPr>
          <w:noProof/>
        </w:rPr>
        <w:t>Punerea în aplicare a măsurii se finalizează până la 30 iunie 2023.</w:t>
      </w:r>
    </w:p>
    <w:p w14:paraId="433137AA" w14:textId="77777777" w:rsidR="00011DE9" w:rsidRDefault="00011DE9">
      <w:pPr>
        <w:pStyle w:val="P68B1DB1-Normal47"/>
        <w:spacing w:before="120" w:after="120" w:line="240" w:lineRule="auto"/>
        <w:jc w:val="both"/>
        <w:rPr>
          <w:rFonts w:cs="Times New Roman"/>
          <w:noProof/>
          <w:u w:val="single"/>
        </w:rPr>
      </w:pPr>
      <w:r>
        <w:rPr>
          <w:noProof/>
          <w:u w:val="single"/>
        </w:rPr>
        <w:t>Investiția 1 (C21.I1) – Promovarea educației și îngrijirii timpurii (ECEC)</w:t>
      </w:r>
      <w:r>
        <w:rPr>
          <w:noProof/>
        </w:rPr>
        <w:t xml:space="preserve"> </w:t>
      </w:r>
    </w:p>
    <w:p w14:paraId="52315FE8" w14:textId="77777777" w:rsidR="00011DE9" w:rsidRDefault="00011DE9">
      <w:pPr>
        <w:pStyle w:val="P68B1DB1-Normal47"/>
        <w:spacing w:before="120" w:after="120" w:line="240" w:lineRule="auto"/>
        <w:jc w:val="both"/>
        <w:rPr>
          <w:noProof/>
        </w:rPr>
      </w:pPr>
      <w:r>
        <w:rPr>
          <w:noProof/>
        </w:rPr>
        <w:t xml:space="preserve">Obiectivul acestei investiții este de a sprijini capacitatea primului ciclu de educație și îngrijire timpurie (ECEC). Această măsură constă în crearea de noi locuri în ECEC. </w:t>
      </w:r>
    </w:p>
    <w:p w14:paraId="4B391761" w14:textId="77777777" w:rsidR="00011DE9" w:rsidRDefault="00011DE9">
      <w:pPr>
        <w:pStyle w:val="P68B1DB1-Normal46"/>
        <w:spacing w:before="120" w:after="120" w:line="240" w:lineRule="auto"/>
        <w:jc w:val="both"/>
        <w:rPr>
          <w:rFonts w:cs="Times New Roman"/>
          <w:noProof/>
        </w:rPr>
      </w:pPr>
      <w:r>
        <w:rPr>
          <w:noProof/>
        </w:rPr>
        <w:t xml:space="preserve">Investiția 2 (C21.I2): Program de orientare, progres și îmbogățire educațională („PROA +”) </w:t>
      </w:r>
    </w:p>
    <w:p w14:paraId="6842C4BE" w14:textId="77777777" w:rsidR="00011DE9" w:rsidRDefault="00011DE9">
      <w:pPr>
        <w:pStyle w:val="P68B1DB1-Normal47"/>
        <w:spacing w:before="120" w:after="120" w:line="240" w:lineRule="auto"/>
        <w:jc w:val="both"/>
        <w:rPr>
          <w:noProof/>
        </w:rPr>
      </w:pPr>
      <w:r>
        <w:rPr>
          <w:noProof/>
        </w:rPr>
        <w:t>Obiectivul acestei investiții este de a oferi sprijin școlilor pentru a reduce ratele de părăsire timpurie a școlii. Această măsură constă în participarea școlilor la programul existent de orientare, progres și îmbogățire educațională („PROA +”).</w:t>
      </w:r>
    </w:p>
    <w:p w14:paraId="6482AB6D" w14:textId="77777777" w:rsidR="00011DE9" w:rsidRDefault="00011DE9">
      <w:pPr>
        <w:pStyle w:val="P68B1DB1-Normal47"/>
        <w:spacing w:before="120" w:after="120" w:line="240" w:lineRule="auto"/>
        <w:jc w:val="both"/>
        <w:rPr>
          <w:rFonts w:cs="Times New Roman"/>
          <w:noProof/>
          <w:u w:val="single"/>
        </w:rPr>
      </w:pPr>
      <w:r>
        <w:rPr>
          <w:noProof/>
          <w:u w:val="single"/>
        </w:rPr>
        <w:t>Investiția 3 (C21.I3) – Sprijin pentru studenții vulnerabili</w:t>
      </w:r>
      <w:r>
        <w:rPr>
          <w:noProof/>
        </w:rPr>
        <w:t xml:space="preserve"> </w:t>
      </w:r>
    </w:p>
    <w:p w14:paraId="03F75EDA" w14:textId="77777777" w:rsidR="00011DE9" w:rsidRDefault="00011DE9">
      <w:pPr>
        <w:pStyle w:val="P68B1DB1-Normal47"/>
        <w:spacing w:before="120" w:after="120" w:line="240" w:lineRule="auto"/>
        <w:jc w:val="both"/>
        <w:rPr>
          <w:noProof/>
        </w:rPr>
      </w:pPr>
      <w:r>
        <w:rPr>
          <w:noProof/>
        </w:rPr>
        <w:t xml:space="preserve">Obiectivul acestei investiții este de a reduce absenteismul și părăsirea timpurie a școlii. Această măsură constă în semnarea de acorduri de participare de către centrele educaționale pentru furnizarea de servicii de către unitățile de însoțire și orientare pentru elevii vulnerabili, precum și în evaluarea acestor servicii. </w:t>
      </w:r>
    </w:p>
    <w:p w14:paraId="43FE7409" w14:textId="77777777" w:rsidR="00011DE9" w:rsidRDefault="00011DE9">
      <w:pPr>
        <w:pStyle w:val="P68B1DB1-Normal47"/>
        <w:spacing w:before="120" w:after="120" w:line="240" w:lineRule="auto"/>
        <w:jc w:val="both"/>
        <w:rPr>
          <w:rFonts w:cs="Times New Roman"/>
          <w:noProof/>
          <w:u w:val="single"/>
        </w:rPr>
      </w:pPr>
      <w:r>
        <w:rPr>
          <w:noProof/>
          <w:u w:val="single"/>
        </w:rPr>
        <w:t>Investiția 4 (C21.I4) – Formarea personalului didactic și de cercetare</w:t>
      </w:r>
      <w:r>
        <w:rPr>
          <w:noProof/>
        </w:rPr>
        <w:t xml:space="preserve"> </w:t>
      </w:r>
    </w:p>
    <w:p w14:paraId="13B668DF" w14:textId="77777777" w:rsidR="00011DE9" w:rsidRDefault="00011DE9">
      <w:pPr>
        <w:pStyle w:val="P68B1DB1-Normal16"/>
        <w:spacing w:before="120" w:after="120" w:line="240" w:lineRule="auto"/>
        <w:jc w:val="both"/>
        <w:rPr>
          <w:rFonts w:cs="Times New Roman"/>
          <w:noProof/>
        </w:rPr>
      </w:pPr>
      <w:r>
        <w:rPr>
          <w:noProof/>
        </w:rPr>
        <w:t xml:space="preserve">Această </w:t>
      </w:r>
      <w:r>
        <w:rPr>
          <w:noProof/>
          <w:shd w:val="clear" w:color="auto" w:fill="FFFFFF"/>
        </w:rPr>
        <w:t xml:space="preserve">măsură include investiții în </w:t>
      </w:r>
      <w:r>
        <w:rPr>
          <w:noProof/>
        </w:rPr>
        <w:t>granturi pentru universitățile publice, cu scopul de a promova recalificarea sistemului universitar spaniol și dezvoltarea profesională a personalului său didactic, precum și de a oferi oportunități proaspeților absolvenți de doctorat de a se integra în sistemul de învățământ superior în viitor. Granturile finanțează sejururi de cercetare postdoctorală găzduite de universități și centre de cercetare străine, precum și de universități spaniole și de alți agenți publici ai Sistemului spaniol de știință, tehnologie și inovare. În acest scop, se preconizează că granturile vor contribui la atragerea talentelor internaționale și vor aborda rata scăzută de internaționalizare din universitățile spaniole.</w:t>
      </w:r>
    </w:p>
    <w:p w14:paraId="57E1E031" w14:textId="77777777" w:rsidR="00011DE9" w:rsidRDefault="00011DE9">
      <w:pPr>
        <w:pStyle w:val="P68B1DB1-Normal16"/>
        <w:spacing w:before="120" w:after="120" w:line="240" w:lineRule="auto"/>
        <w:jc w:val="both"/>
        <w:rPr>
          <w:rFonts w:cs="Times New Roman"/>
          <w:noProof/>
        </w:rPr>
      </w:pPr>
      <w:r>
        <w:rPr>
          <w:noProof/>
        </w:rPr>
        <w:t>Granturile se acordă în cadrul a trei programe diferite, aplicând criterii specifice în funcție de grupul-țintă, punând accentul pe i) formarea proaspeților absolvenți de doctorat; (II) subvenții pentru lectori universitari – profesori permanenți și prelegeri pentru seniori în funcție; și iii) granturi menite să atragă talente internaționale, finanțând formarea postdoctorală găzduită de universitățile spaniole și de alți agenți publici ai Sistemului spaniol de știință, tehnologie și inovare. Programele durează între unu și trei ani, în funcție de program și de grupul-țintă.</w:t>
      </w:r>
    </w:p>
    <w:p w14:paraId="0F62A5F3" w14:textId="77777777" w:rsidR="00011DE9" w:rsidRDefault="00011DE9">
      <w:pPr>
        <w:pStyle w:val="P68B1DB1-Normal16"/>
        <w:spacing w:after="120" w:line="240" w:lineRule="auto"/>
        <w:jc w:val="both"/>
        <w:rPr>
          <w:rFonts w:cs="Times New Roman"/>
          <w:noProof/>
        </w:rPr>
      </w:pPr>
      <w:r>
        <w:rPr>
          <w:noProof/>
        </w:rPr>
        <w:t xml:space="preserve">Granturile sunt în beneficiul a cel puțin 2 600 candidați. Fiecare universitate primește în mod direct o alocare bugetară din partea Ministerului Universităților, pe baza unor criterii obiective, inclusiv numărul de cadre didactice și de personal de cercetare, precum și istoricul tezei de doctorat. Pe baza candidaturilor, candidații urmează să fie evaluați de un grup de experți cu prestigiu recunoscut, numit de fiecare universitate, care include cel puțin trei membri și o majoritate de experți externi. </w:t>
      </w:r>
    </w:p>
    <w:p w14:paraId="56850F34" w14:textId="77777777" w:rsidR="00011DE9" w:rsidRDefault="00011DE9">
      <w:pPr>
        <w:pStyle w:val="P68B1DB1-Normal16"/>
        <w:spacing w:after="120" w:line="240" w:lineRule="auto"/>
        <w:jc w:val="both"/>
        <w:rPr>
          <w:rFonts w:cs="Times New Roman"/>
          <w:noProof/>
        </w:rPr>
      </w:pPr>
      <w:r>
        <w:rPr>
          <w:noProof/>
          <w:shd w:val="clear" w:color="auto" w:fill="FFFFFF"/>
        </w:rPr>
        <w:t xml:space="preserve">Punerea în aplicare a măsurii se finalizează până </w:t>
      </w:r>
      <w:r>
        <w:rPr>
          <w:noProof/>
        </w:rPr>
        <w:t>la 30 iunie</w:t>
      </w:r>
      <w:r>
        <w:rPr>
          <w:noProof/>
          <w:shd w:val="clear" w:color="auto" w:fill="FFFFFF"/>
        </w:rPr>
        <w:t xml:space="preserve"> 2023.</w:t>
      </w:r>
    </w:p>
    <w:p w14:paraId="49A51302" w14:textId="77777777" w:rsidR="00011DE9" w:rsidRDefault="00011DE9">
      <w:pPr>
        <w:pStyle w:val="P68B1DB1-Normal17"/>
        <w:spacing w:before="120" w:after="120" w:line="240" w:lineRule="auto"/>
        <w:jc w:val="both"/>
        <w:rPr>
          <w:rFonts w:cs="Times New Roman"/>
          <w:noProof/>
          <w:shd w:val="clear" w:color="auto" w:fill="FFFFFF"/>
        </w:rPr>
      </w:pPr>
      <w:r>
        <w:rPr>
          <w:noProof/>
          <w:shd w:val="clear" w:color="auto" w:fill="FFFFFF"/>
        </w:rPr>
        <w:t xml:space="preserve">Investiția 5 (C21.I5) </w:t>
      </w:r>
      <w:r>
        <w:rPr>
          <w:noProof/>
        </w:rPr>
        <w:t xml:space="preserve">– </w:t>
      </w:r>
      <w:r>
        <w:rPr>
          <w:noProof/>
          <w:shd w:val="clear" w:color="auto" w:fill="FFFFFF"/>
        </w:rPr>
        <w:t>Capacitățile digitale ale universităților și educația</w:t>
      </w:r>
    </w:p>
    <w:p w14:paraId="5CD71AC0" w14:textId="77777777" w:rsidR="00011DE9" w:rsidRDefault="00011DE9">
      <w:pPr>
        <w:pStyle w:val="P68B1DB1-Normal47"/>
        <w:spacing w:before="120" w:after="120" w:line="240" w:lineRule="auto"/>
        <w:jc w:val="both"/>
        <w:rPr>
          <w:noProof/>
        </w:rPr>
      </w:pPr>
      <w:r>
        <w:rPr>
          <w:noProof/>
        </w:rPr>
        <w:t xml:space="preserve">Obiectivul acestei măsuri este de a îmbunătăți capacitățile tehnologice și digitale ale universităților și competențele digitale. Această măsură constă în activități legate de echipamentele digitale, educația digitală, programele de formare, platformele de servicii digitale, infrastructura digitală și serviciile TIC. </w:t>
      </w:r>
    </w:p>
    <w:p w14:paraId="432A2E96" w14:textId="77777777" w:rsidR="00011DE9" w:rsidRDefault="00011DE9">
      <w:pPr>
        <w:pStyle w:val="P68B1DB1-Normal17"/>
        <w:spacing w:before="120" w:after="120" w:line="240" w:lineRule="auto"/>
        <w:jc w:val="both"/>
        <w:rPr>
          <w:rFonts w:cs="Times New Roman"/>
          <w:noProof/>
        </w:rPr>
      </w:pPr>
      <w:r>
        <w:rPr>
          <w:noProof/>
        </w:rPr>
        <w:t>Investiția 6 (C21.I6) – Dezvoltarea micro-certificatelor universitare</w:t>
      </w:r>
    </w:p>
    <w:p w14:paraId="444A0D7A" w14:textId="77777777" w:rsidR="00011DE9" w:rsidRDefault="00011DE9">
      <w:pPr>
        <w:pStyle w:val="P68B1DB1-Normal16"/>
        <w:spacing w:before="120" w:after="120" w:line="240" w:lineRule="auto"/>
        <w:jc w:val="both"/>
        <w:rPr>
          <w:noProof/>
        </w:rPr>
      </w:pPr>
      <w:r>
        <w:rPr>
          <w:noProof/>
        </w:rPr>
        <w:t xml:space="preserve">Obiectivul acestei investiții este de a dezvolta capacitățile sistemului universitar ca instituții de învățare pe tot parcursul vieții și de a contribui la perfecționarea și recalificarea adulților. Această măsură constă în furnizarea de microcertificate universitare. </w:t>
      </w:r>
    </w:p>
    <w:p w14:paraId="67F3EB1E" w14:textId="52DF327F" w:rsidR="00011DE9" w:rsidRDefault="00011DE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U.2.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138FCA06" w14:textId="77777777" w:rsidR="00011DE9" w:rsidRDefault="00011DE9">
      <w:pPr>
        <w:pStyle w:val="P68B1DB1-Normal16"/>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0E45FFC8" w14:textId="77777777" w:rsidR="00011DE9" w:rsidRDefault="00011DE9">
      <w:pPr>
        <w:spacing w:before="120" w:after="120" w:line="240" w:lineRule="auto"/>
        <w:jc w:val="both"/>
        <w:rPr>
          <w:rFonts w:ascii="Times New Roman" w:hAnsi="Times New Roman" w:cs="Times New Roman"/>
          <w:noProof/>
        </w:rPr>
        <w:sectPr w:rsidR="00011DE9" w:rsidSect="00011DE9">
          <w:headerReference w:type="even" r:id="rId286"/>
          <w:headerReference w:type="default" r:id="rId287"/>
          <w:footerReference w:type="even" r:id="rId288"/>
          <w:footerReference w:type="default" r:id="rId289"/>
          <w:headerReference w:type="first" r:id="rId290"/>
          <w:footerReference w:type="first" r:id="rId291"/>
          <w:pgSz w:w="11907" w:h="16839"/>
          <w:pgMar w:top="1134" w:right="1134" w:bottom="1134" w:left="1134" w:header="567" w:footer="567" w:gutter="0"/>
          <w:cols w:space="720"/>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850"/>
        <w:gridCol w:w="1980"/>
        <w:gridCol w:w="2126"/>
        <w:gridCol w:w="850"/>
        <w:gridCol w:w="709"/>
        <w:gridCol w:w="1139"/>
        <w:gridCol w:w="567"/>
        <w:gridCol w:w="567"/>
        <w:gridCol w:w="4962"/>
      </w:tblGrid>
      <w:tr w:rsidR="00011DE9" w14:paraId="268D26D6" w14:textId="77777777">
        <w:trPr>
          <w:trHeight w:val="309"/>
          <w:tblHeader/>
          <w:jc w:val="center"/>
        </w:trPr>
        <w:tc>
          <w:tcPr>
            <w:tcW w:w="709" w:type="dxa"/>
            <w:vMerge w:val="restart"/>
            <w:shd w:val="clear" w:color="auto" w:fill="B7D4EF"/>
            <w:noWrap/>
            <w:vAlign w:val="center"/>
          </w:tcPr>
          <w:p w14:paraId="2E724697" w14:textId="77777777" w:rsidR="00011DE9" w:rsidRDefault="00011DE9">
            <w:pPr>
              <w:pStyle w:val="P68B1DB1-Normal18"/>
              <w:spacing w:after="0" w:line="240" w:lineRule="auto"/>
              <w:jc w:val="center"/>
              <w:rPr>
                <w:rFonts w:cs="Times New Roman"/>
                <w:noProof/>
                <w:szCs w:val="18"/>
              </w:rPr>
            </w:pPr>
            <w:r>
              <w:rPr>
                <w:noProof/>
              </w:rPr>
              <w:t>Număr</w:t>
            </w:r>
          </w:p>
        </w:tc>
        <w:tc>
          <w:tcPr>
            <w:tcW w:w="851" w:type="dxa"/>
            <w:vMerge w:val="restart"/>
            <w:shd w:val="clear" w:color="auto" w:fill="B7D4EF"/>
            <w:noWrap/>
            <w:vAlign w:val="center"/>
          </w:tcPr>
          <w:p w14:paraId="710AEBC4" w14:textId="77777777" w:rsidR="00011DE9" w:rsidRDefault="00011DE9">
            <w:pPr>
              <w:pStyle w:val="P68B1DB1-Normal18"/>
              <w:spacing w:after="0" w:line="240" w:lineRule="auto"/>
              <w:jc w:val="center"/>
              <w:rPr>
                <w:rFonts w:cs="Times New Roman"/>
                <w:noProof/>
                <w:szCs w:val="18"/>
              </w:rPr>
            </w:pPr>
            <w:r>
              <w:rPr>
                <w:noProof/>
              </w:rPr>
              <w:t>Măsură</w:t>
            </w:r>
          </w:p>
        </w:tc>
        <w:tc>
          <w:tcPr>
            <w:tcW w:w="850" w:type="dxa"/>
            <w:vMerge w:val="restart"/>
            <w:shd w:val="clear" w:color="auto" w:fill="B7D4EF"/>
            <w:noWrap/>
            <w:vAlign w:val="center"/>
          </w:tcPr>
          <w:p w14:paraId="4B03A108" w14:textId="56BD19DB" w:rsidR="00011DE9" w:rsidRDefault="00011DE9">
            <w:pPr>
              <w:spacing w:after="0" w:line="240" w:lineRule="auto"/>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1980" w:type="dxa"/>
            <w:vMerge w:val="restart"/>
            <w:shd w:val="clear" w:color="auto" w:fill="B7D4EF"/>
            <w:noWrap/>
            <w:vAlign w:val="center"/>
          </w:tcPr>
          <w:p w14:paraId="6545A039" w14:textId="77777777" w:rsidR="00011DE9" w:rsidRDefault="00011DE9">
            <w:pPr>
              <w:pStyle w:val="P68B1DB1-Normal18"/>
              <w:spacing w:after="0" w:line="240" w:lineRule="auto"/>
              <w:jc w:val="center"/>
              <w:rPr>
                <w:rFonts w:cs="Times New Roman"/>
                <w:noProof/>
                <w:szCs w:val="18"/>
              </w:rPr>
            </w:pPr>
            <w:r>
              <w:rPr>
                <w:noProof/>
              </w:rPr>
              <w:t>Nume</w:t>
            </w:r>
          </w:p>
        </w:tc>
        <w:tc>
          <w:tcPr>
            <w:tcW w:w="2126" w:type="dxa"/>
            <w:vMerge w:val="restart"/>
            <w:shd w:val="clear" w:color="auto" w:fill="B7D4EF"/>
            <w:noWrap/>
            <w:vAlign w:val="center"/>
          </w:tcPr>
          <w:p w14:paraId="3B208F43" w14:textId="77777777" w:rsidR="00011DE9" w:rsidRDefault="00011DE9">
            <w:pPr>
              <w:pStyle w:val="P68B1DB1-Normal18"/>
              <w:spacing w:after="0" w:line="240" w:lineRule="auto"/>
              <w:jc w:val="center"/>
              <w:rPr>
                <w:rFonts w:cs="Times New Roman"/>
                <w:noProof/>
                <w:szCs w:val="18"/>
              </w:rPr>
            </w:pPr>
            <w:r>
              <w:rPr>
                <w:noProof/>
              </w:rPr>
              <w:t>Indicator calitativ pentru jaloane</w:t>
            </w:r>
          </w:p>
        </w:tc>
        <w:tc>
          <w:tcPr>
            <w:tcW w:w="2698" w:type="dxa"/>
            <w:gridSpan w:val="3"/>
            <w:shd w:val="clear" w:color="auto" w:fill="B7D4EF"/>
            <w:noWrap/>
          </w:tcPr>
          <w:p w14:paraId="6B24CE09" w14:textId="77777777" w:rsidR="00011DE9" w:rsidRDefault="00011DE9">
            <w:pPr>
              <w:pStyle w:val="P68B1DB1-Normal18"/>
              <w:spacing w:after="0" w:line="240" w:lineRule="auto"/>
              <w:jc w:val="center"/>
              <w:rPr>
                <w:rFonts w:cs="Times New Roman"/>
                <w:noProof/>
                <w:szCs w:val="18"/>
              </w:rPr>
            </w:pPr>
            <w:r>
              <w:rPr>
                <w:noProof/>
              </w:rPr>
              <w:t>Indicator cantitativ pentru ținte</w:t>
            </w:r>
          </w:p>
        </w:tc>
        <w:tc>
          <w:tcPr>
            <w:tcW w:w="1134" w:type="dxa"/>
            <w:gridSpan w:val="2"/>
            <w:shd w:val="clear" w:color="auto" w:fill="B7D4EF"/>
            <w:noWrap/>
          </w:tcPr>
          <w:p w14:paraId="7E012128" w14:textId="77777777" w:rsidR="00011DE9" w:rsidRDefault="00011DE9">
            <w:pPr>
              <w:pStyle w:val="P68B1DB1-Normal18"/>
              <w:spacing w:after="0" w:line="240" w:lineRule="auto"/>
              <w:jc w:val="center"/>
              <w:rPr>
                <w:rFonts w:cs="Times New Roman"/>
                <w:noProof/>
                <w:szCs w:val="18"/>
              </w:rPr>
            </w:pPr>
            <w:r>
              <w:rPr>
                <w:noProof/>
              </w:rPr>
              <w:t>Timp</w:t>
            </w:r>
          </w:p>
        </w:tc>
        <w:tc>
          <w:tcPr>
            <w:tcW w:w="4962" w:type="dxa"/>
            <w:vMerge w:val="restart"/>
            <w:shd w:val="clear" w:color="auto" w:fill="B7D4EF"/>
            <w:noWrap/>
            <w:vAlign w:val="center"/>
          </w:tcPr>
          <w:p w14:paraId="0C61FF55" w14:textId="77777777" w:rsidR="00011DE9" w:rsidRDefault="00011DE9">
            <w:pPr>
              <w:pStyle w:val="P68B1DB1-Normal18"/>
              <w:spacing w:after="0" w:line="240" w:lineRule="auto"/>
              <w:jc w:val="center"/>
              <w:rPr>
                <w:rFonts w:cs="Times New Roman"/>
                <w:noProof/>
                <w:szCs w:val="18"/>
              </w:rPr>
            </w:pPr>
            <w:r>
              <w:rPr>
                <w:noProof/>
              </w:rPr>
              <w:t>Descrierea fiecărui jalon și a fiecărei ținte</w:t>
            </w:r>
          </w:p>
        </w:tc>
      </w:tr>
      <w:tr w:rsidR="00011DE9" w14:paraId="5424A116" w14:textId="77777777">
        <w:trPr>
          <w:trHeight w:val="309"/>
          <w:tblHeader/>
          <w:jc w:val="center"/>
        </w:trPr>
        <w:tc>
          <w:tcPr>
            <w:tcW w:w="709" w:type="dxa"/>
            <w:vMerge/>
            <w:noWrap/>
          </w:tcPr>
          <w:p w14:paraId="1017BA1C" w14:textId="77777777" w:rsidR="00011DE9" w:rsidRDefault="00011DE9">
            <w:pPr>
              <w:spacing w:after="0" w:line="240" w:lineRule="auto"/>
              <w:rPr>
                <w:rFonts w:ascii="Times New Roman" w:hAnsi="Times New Roman" w:cs="Times New Roman"/>
                <w:b/>
                <w:noProof/>
                <w:sz w:val="18"/>
                <w:szCs w:val="18"/>
              </w:rPr>
            </w:pPr>
          </w:p>
        </w:tc>
        <w:tc>
          <w:tcPr>
            <w:tcW w:w="851" w:type="dxa"/>
            <w:vMerge/>
            <w:noWrap/>
          </w:tcPr>
          <w:p w14:paraId="794B79E4" w14:textId="77777777" w:rsidR="00011DE9" w:rsidRDefault="00011DE9">
            <w:pPr>
              <w:spacing w:after="0" w:line="240" w:lineRule="auto"/>
              <w:jc w:val="center"/>
              <w:rPr>
                <w:rFonts w:ascii="Times New Roman" w:hAnsi="Times New Roman" w:cs="Times New Roman"/>
                <w:b/>
                <w:noProof/>
                <w:sz w:val="18"/>
                <w:szCs w:val="18"/>
              </w:rPr>
            </w:pPr>
          </w:p>
        </w:tc>
        <w:tc>
          <w:tcPr>
            <w:tcW w:w="850" w:type="dxa"/>
            <w:vMerge/>
            <w:noWrap/>
          </w:tcPr>
          <w:p w14:paraId="5F902918" w14:textId="77777777" w:rsidR="00011DE9" w:rsidRDefault="00011DE9">
            <w:pPr>
              <w:spacing w:after="0" w:line="240" w:lineRule="auto"/>
              <w:jc w:val="center"/>
              <w:rPr>
                <w:rFonts w:ascii="Times New Roman" w:hAnsi="Times New Roman" w:cs="Times New Roman"/>
                <w:b/>
                <w:noProof/>
                <w:sz w:val="18"/>
                <w:szCs w:val="18"/>
              </w:rPr>
            </w:pPr>
          </w:p>
        </w:tc>
        <w:tc>
          <w:tcPr>
            <w:tcW w:w="1980" w:type="dxa"/>
            <w:vMerge/>
            <w:noWrap/>
          </w:tcPr>
          <w:p w14:paraId="388574EE" w14:textId="77777777" w:rsidR="00011DE9" w:rsidRDefault="00011DE9">
            <w:pPr>
              <w:spacing w:after="0" w:line="240" w:lineRule="auto"/>
              <w:rPr>
                <w:rFonts w:ascii="Times New Roman" w:hAnsi="Times New Roman" w:cs="Times New Roman"/>
                <w:b/>
                <w:noProof/>
                <w:sz w:val="18"/>
                <w:szCs w:val="18"/>
              </w:rPr>
            </w:pPr>
          </w:p>
        </w:tc>
        <w:tc>
          <w:tcPr>
            <w:tcW w:w="2126" w:type="dxa"/>
            <w:vMerge/>
            <w:noWrap/>
          </w:tcPr>
          <w:p w14:paraId="72E3A7EC" w14:textId="77777777" w:rsidR="00011DE9" w:rsidRDefault="00011DE9">
            <w:pPr>
              <w:spacing w:after="0" w:line="240" w:lineRule="auto"/>
              <w:jc w:val="center"/>
              <w:rPr>
                <w:rFonts w:ascii="Times New Roman" w:hAnsi="Times New Roman" w:cs="Times New Roman"/>
                <w:b/>
                <w:noProof/>
                <w:sz w:val="18"/>
                <w:szCs w:val="18"/>
              </w:rPr>
            </w:pPr>
          </w:p>
        </w:tc>
        <w:tc>
          <w:tcPr>
            <w:tcW w:w="850" w:type="dxa"/>
            <w:shd w:val="clear" w:color="auto" w:fill="B7D4EF"/>
            <w:noWrap/>
          </w:tcPr>
          <w:p w14:paraId="22AE044B" w14:textId="77777777" w:rsidR="00011DE9" w:rsidRDefault="00011DE9">
            <w:pPr>
              <w:pStyle w:val="P68B1DB1-Normal18"/>
              <w:spacing w:after="0" w:line="240" w:lineRule="auto"/>
              <w:jc w:val="center"/>
              <w:rPr>
                <w:rFonts w:cs="Times New Roman"/>
                <w:noProof/>
                <w:szCs w:val="18"/>
              </w:rPr>
            </w:pPr>
            <w:r>
              <w:rPr>
                <w:noProof/>
              </w:rPr>
              <w:t>Unitate</w:t>
            </w:r>
          </w:p>
        </w:tc>
        <w:tc>
          <w:tcPr>
            <w:tcW w:w="709" w:type="dxa"/>
            <w:shd w:val="clear" w:color="auto" w:fill="B7D4EF"/>
            <w:noWrap/>
          </w:tcPr>
          <w:p w14:paraId="08E778F5" w14:textId="77777777" w:rsidR="00011DE9" w:rsidRDefault="00011DE9">
            <w:pPr>
              <w:pStyle w:val="P68B1DB1-Normal18"/>
              <w:spacing w:after="0" w:line="240" w:lineRule="auto"/>
              <w:jc w:val="center"/>
              <w:rPr>
                <w:rFonts w:cs="Times New Roman"/>
                <w:noProof/>
                <w:szCs w:val="18"/>
              </w:rPr>
            </w:pPr>
            <w:r>
              <w:rPr>
                <w:noProof/>
              </w:rPr>
              <w:t>Situația de referință</w:t>
            </w:r>
          </w:p>
        </w:tc>
        <w:tc>
          <w:tcPr>
            <w:tcW w:w="1139" w:type="dxa"/>
            <w:shd w:val="clear" w:color="auto" w:fill="B7D4EF"/>
            <w:noWrap/>
          </w:tcPr>
          <w:p w14:paraId="3317FBF6" w14:textId="77777777" w:rsidR="00011DE9" w:rsidRDefault="00011DE9">
            <w:pPr>
              <w:pStyle w:val="P68B1DB1-Normal18"/>
              <w:spacing w:after="0" w:line="240" w:lineRule="auto"/>
              <w:jc w:val="center"/>
              <w:rPr>
                <w:rFonts w:cs="Times New Roman"/>
                <w:noProof/>
                <w:szCs w:val="18"/>
              </w:rPr>
            </w:pPr>
            <w:r>
              <w:rPr>
                <w:noProof/>
              </w:rPr>
              <w:t>Obiectiv</w:t>
            </w:r>
          </w:p>
        </w:tc>
        <w:tc>
          <w:tcPr>
            <w:tcW w:w="567" w:type="dxa"/>
            <w:shd w:val="clear" w:color="auto" w:fill="B7D4EF"/>
            <w:noWrap/>
          </w:tcPr>
          <w:p w14:paraId="3A29E59C" w14:textId="587ABDE2" w:rsidR="00011DE9" w:rsidRDefault="003010A3">
            <w:pPr>
              <w:pStyle w:val="P68B1DB1-Normal18"/>
              <w:spacing w:after="0" w:line="240" w:lineRule="auto"/>
              <w:jc w:val="center"/>
              <w:rPr>
                <w:rFonts w:cs="Times New Roman"/>
                <w:noProof/>
                <w:szCs w:val="18"/>
              </w:rPr>
            </w:pPr>
            <w:r>
              <w:rPr>
                <w:noProof/>
              </w:rPr>
              <w:t>T</w:t>
            </w:r>
          </w:p>
        </w:tc>
        <w:tc>
          <w:tcPr>
            <w:tcW w:w="567" w:type="dxa"/>
            <w:shd w:val="clear" w:color="auto" w:fill="B7D4EF"/>
            <w:noWrap/>
          </w:tcPr>
          <w:p w14:paraId="745A51F5" w14:textId="77777777" w:rsidR="00011DE9" w:rsidRDefault="00011DE9">
            <w:pPr>
              <w:pStyle w:val="P68B1DB1-Normal18"/>
              <w:spacing w:after="0" w:line="240" w:lineRule="auto"/>
              <w:jc w:val="center"/>
              <w:rPr>
                <w:rFonts w:cs="Times New Roman"/>
                <w:noProof/>
                <w:szCs w:val="18"/>
              </w:rPr>
            </w:pPr>
            <w:r>
              <w:rPr>
                <w:noProof/>
              </w:rPr>
              <w:t>Anul</w:t>
            </w:r>
          </w:p>
        </w:tc>
        <w:tc>
          <w:tcPr>
            <w:tcW w:w="4962" w:type="dxa"/>
            <w:vMerge/>
            <w:noWrap/>
          </w:tcPr>
          <w:p w14:paraId="48071E5D" w14:textId="77777777" w:rsidR="00011DE9" w:rsidRDefault="00011DE9">
            <w:pPr>
              <w:spacing w:after="0" w:line="240" w:lineRule="auto"/>
              <w:rPr>
                <w:rFonts w:ascii="Times New Roman" w:hAnsi="Times New Roman" w:cs="Times New Roman"/>
                <w:b/>
                <w:noProof/>
                <w:sz w:val="18"/>
                <w:szCs w:val="18"/>
              </w:rPr>
            </w:pPr>
          </w:p>
        </w:tc>
      </w:tr>
      <w:tr w:rsidR="00011DE9" w14:paraId="689D5D49" w14:textId="77777777">
        <w:trPr>
          <w:trHeight w:val="309"/>
          <w:jc w:val="center"/>
        </w:trPr>
        <w:tc>
          <w:tcPr>
            <w:tcW w:w="709" w:type="dxa"/>
            <w:shd w:val="clear" w:color="auto" w:fill="C6EFCE"/>
            <w:noWrap/>
          </w:tcPr>
          <w:p w14:paraId="1C44B7E3" w14:textId="77777777" w:rsidR="00011DE9" w:rsidRDefault="00011DE9">
            <w:pPr>
              <w:pStyle w:val="P68B1DB1-Normal19"/>
              <w:spacing w:after="0" w:line="240" w:lineRule="auto"/>
              <w:jc w:val="center"/>
              <w:rPr>
                <w:rFonts w:eastAsia="Times New Roman"/>
                <w:noProof/>
              </w:rPr>
            </w:pPr>
            <w:r>
              <w:rPr>
                <w:noProof/>
              </w:rPr>
              <w:t>303</w:t>
            </w:r>
          </w:p>
        </w:tc>
        <w:tc>
          <w:tcPr>
            <w:tcW w:w="851" w:type="dxa"/>
            <w:shd w:val="clear" w:color="auto" w:fill="C6EFCE"/>
            <w:noWrap/>
          </w:tcPr>
          <w:p w14:paraId="134F52B7" w14:textId="77777777" w:rsidR="00011DE9" w:rsidRDefault="00011DE9">
            <w:pPr>
              <w:pStyle w:val="P68B1DB1-Normal19"/>
              <w:spacing w:after="0" w:line="240" w:lineRule="auto"/>
              <w:jc w:val="center"/>
              <w:rPr>
                <w:rFonts w:eastAsia="Times New Roman"/>
                <w:noProof/>
              </w:rPr>
            </w:pPr>
            <w:r>
              <w:rPr>
                <w:noProof/>
              </w:rPr>
              <w:t>C21.R1</w:t>
            </w:r>
          </w:p>
        </w:tc>
        <w:tc>
          <w:tcPr>
            <w:tcW w:w="850" w:type="dxa"/>
            <w:shd w:val="clear" w:color="auto" w:fill="C6EFCE"/>
            <w:noWrap/>
          </w:tcPr>
          <w:p w14:paraId="6524E263" w14:textId="77777777" w:rsidR="00011DE9" w:rsidRDefault="00011DE9">
            <w:pPr>
              <w:pStyle w:val="P68B1DB1-Normal19"/>
              <w:spacing w:after="0" w:line="240" w:lineRule="auto"/>
              <w:jc w:val="center"/>
              <w:rPr>
                <w:rFonts w:eastAsia="Times New Roman"/>
                <w:noProof/>
              </w:rPr>
            </w:pPr>
            <w:r>
              <w:rPr>
                <w:noProof/>
              </w:rPr>
              <w:t>M</w:t>
            </w:r>
          </w:p>
        </w:tc>
        <w:tc>
          <w:tcPr>
            <w:tcW w:w="1980" w:type="dxa"/>
            <w:shd w:val="clear" w:color="auto" w:fill="C6EFCE"/>
            <w:noWrap/>
          </w:tcPr>
          <w:p w14:paraId="530DDABD" w14:textId="77777777" w:rsidR="00011DE9" w:rsidRDefault="00011DE9">
            <w:pPr>
              <w:pStyle w:val="P68B1DB1-Normal19"/>
              <w:spacing w:after="0" w:line="240" w:lineRule="auto"/>
              <w:rPr>
                <w:rFonts w:eastAsia="Times New Roman"/>
                <w:noProof/>
              </w:rPr>
            </w:pPr>
            <w:r>
              <w:rPr>
                <w:noProof/>
              </w:rPr>
              <w:t xml:space="preserve">Intrarea în vigoare a Legii organice privind educația </w:t>
            </w:r>
          </w:p>
        </w:tc>
        <w:tc>
          <w:tcPr>
            <w:tcW w:w="2126" w:type="dxa"/>
            <w:shd w:val="clear" w:color="auto" w:fill="C6EFCE"/>
            <w:noWrap/>
          </w:tcPr>
          <w:p w14:paraId="558D5847" w14:textId="77777777" w:rsidR="00011DE9" w:rsidRDefault="00011DE9">
            <w:pPr>
              <w:pStyle w:val="P68B1DB1-Normal19"/>
              <w:spacing w:after="0" w:line="240" w:lineRule="auto"/>
              <w:jc w:val="center"/>
              <w:rPr>
                <w:rFonts w:eastAsia="Times New Roman"/>
                <w:noProof/>
              </w:rPr>
            </w:pPr>
            <w:r>
              <w:rPr>
                <w:noProof/>
              </w:rPr>
              <w:t xml:space="preserve">Dispoziție legală care indică intrarea în vigoare a Legii organice </w:t>
            </w:r>
          </w:p>
        </w:tc>
        <w:tc>
          <w:tcPr>
            <w:tcW w:w="850" w:type="dxa"/>
            <w:shd w:val="clear" w:color="auto" w:fill="C6EFCE"/>
            <w:noWrap/>
          </w:tcPr>
          <w:p w14:paraId="2A8090E8" w14:textId="77777777" w:rsidR="00011DE9" w:rsidRDefault="00011DE9">
            <w:pPr>
              <w:pStyle w:val="P68B1DB1-Normal19"/>
              <w:spacing w:after="0" w:line="240" w:lineRule="auto"/>
              <w:jc w:val="center"/>
              <w:rPr>
                <w:rFonts w:eastAsia="Times New Roman"/>
                <w:noProof/>
              </w:rPr>
            </w:pPr>
            <w:r>
              <w:rPr>
                <w:noProof/>
              </w:rPr>
              <w:t xml:space="preserve"> </w:t>
            </w:r>
          </w:p>
        </w:tc>
        <w:tc>
          <w:tcPr>
            <w:tcW w:w="709" w:type="dxa"/>
            <w:shd w:val="clear" w:color="auto" w:fill="C6EFCE"/>
            <w:noWrap/>
          </w:tcPr>
          <w:p w14:paraId="2143EA73" w14:textId="77777777" w:rsidR="00011DE9" w:rsidRDefault="00011DE9">
            <w:pPr>
              <w:pStyle w:val="P68B1DB1-Normal19"/>
              <w:spacing w:after="0" w:line="240" w:lineRule="auto"/>
              <w:jc w:val="right"/>
              <w:rPr>
                <w:rFonts w:eastAsia="Times New Roman"/>
                <w:noProof/>
              </w:rPr>
            </w:pPr>
            <w:r>
              <w:rPr>
                <w:noProof/>
              </w:rPr>
              <w:t xml:space="preserve"> </w:t>
            </w:r>
          </w:p>
        </w:tc>
        <w:tc>
          <w:tcPr>
            <w:tcW w:w="1139" w:type="dxa"/>
            <w:shd w:val="clear" w:color="auto" w:fill="C6EFCE"/>
            <w:noWrap/>
          </w:tcPr>
          <w:p w14:paraId="45861345" w14:textId="77777777" w:rsidR="00011DE9" w:rsidRDefault="00011DE9">
            <w:pPr>
              <w:pStyle w:val="P68B1DB1-Normal19"/>
              <w:spacing w:after="0" w:line="240" w:lineRule="auto"/>
              <w:jc w:val="right"/>
              <w:rPr>
                <w:rFonts w:eastAsia="Times New Roman"/>
                <w:noProof/>
              </w:rPr>
            </w:pPr>
            <w:r>
              <w:rPr>
                <w:noProof/>
              </w:rPr>
              <w:t xml:space="preserve"> </w:t>
            </w:r>
          </w:p>
        </w:tc>
        <w:tc>
          <w:tcPr>
            <w:tcW w:w="567" w:type="dxa"/>
            <w:shd w:val="clear" w:color="auto" w:fill="C6EFCE"/>
            <w:noWrap/>
          </w:tcPr>
          <w:p w14:paraId="439E2192" w14:textId="07B89B7F" w:rsidR="00011DE9" w:rsidRDefault="003010A3">
            <w:pPr>
              <w:pStyle w:val="P68B1DB1-Normal19"/>
              <w:spacing w:after="0" w:line="240" w:lineRule="auto"/>
              <w:jc w:val="center"/>
              <w:rPr>
                <w:rFonts w:eastAsia="Times New Roman"/>
                <w:noProof/>
              </w:rPr>
            </w:pPr>
            <w:r>
              <w:rPr>
                <w:noProof/>
              </w:rPr>
              <w:t>T</w:t>
            </w:r>
            <w:r w:rsidR="00011DE9">
              <w:rPr>
                <w:noProof/>
              </w:rPr>
              <w:t>1</w:t>
            </w:r>
          </w:p>
        </w:tc>
        <w:tc>
          <w:tcPr>
            <w:tcW w:w="567" w:type="dxa"/>
            <w:shd w:val="clear" w:color="auto" w:fill="C6EFCE"/>
            <w:noWrap/>
          </w:tcPr>
          <w:p w14:paraId="247AC046" w14:textId="77777777" w:rsidR="00011DE9" w:rsidRDefault="00011DE9">
            <w:pPr>
              <w:pStyle w:val="P68B1DB1-Normal19"/>
              <w:spacing w:after="0" w:line="240" w:lineRule="auto"/>
              <w:jc w:val="center"/>
              <w:rPr>
                <w:rFonts w:eastAsia="Times New Roman"/>
                <w:noProof/>
              </w:rPr>
            </w:pPr>
            <w:r>
              <w:rPr>
                <w:noProof/>
              </w:rPr>
              <w:t>2021</w:t>
            </w:r>
          </w:p>
        </w:tc>
        <w:tc>
          <w:tcPr>
            <w:tcW w:w="4962" w:type="dxa"/>
            <w:shd w:val="clear" w:color="auto" w:fill="C6EFCE"/>
            <w:noWrap/>
          </w:tcPr>
          <w:p w14:paraId="142EF5EE" w14:textId="77777777" w:rsidR="00011DE9" w:rsidRDefault="00011DE9">
            <w:pPr>
              <w:pStyle w:val="P68B1DB1-Normal19"/>
              <w:spacing w:after="0" w:line="240" w:lineRule="auto"/>
              <w:rPr>
                <w:rFonts w:eastAsia="Times New Roman"/>
                <w:noProof/>
              </w:rPr>
            </w:pPr>
            <w:r>
              <w:rPr>
                <w:noProof/>
              </w:rPr>
              <w:t xml:space="preserve">Obiectivul Legii organice privind educația (LOMLOE) este de a institui un sistem juridic reînnoit care, în temeiul principiilor calității, echității și incluziunii, să sporească oportunitățile educaționale și de formare ale elevilor și să contribuie la îmbunătățirea rezultatelor educaționale. </w:t>
            </w:r>
          </w:p>
        </w:tc>
      </w:tr>
      <w:tr w:rsidR="00011DE9" w14:paraId="3E8D8606" w14:textId="77777777">
        <w:trPr>
          <w:trHeight w:val="309"/>
          <w:jc w:val="center"/>
        </w:trPr>
        <w:tc>
          <w:tcPr>
            <w:tcW w:w="709" w:type="dxa"/>
            <w:shd w:val="clear" w:color="auto" w:fill="C6EFCE"/>
            <w:noWrap/>
          </w:tcPr>
          <w:p w14:paraId="7810B1B4" w14:textId="77777777" w:rsidR="00011DE9" w:rsidRDefault="00011DE9">
            <w:pPr>
              <w:pStyle w:val="P68B1DB1-Normal19"/>
              <w:spacing w:after="0" w:line="240" w:lineRule="auto"/>
              <w:jc w:val="center"/>
              <w:rPr>
                <w:rFonts w:eastAsia="Times New Roman"/>
                <w:noProof/>
              </w:rPr>
            </w:pPr>
            <w:r>
              <w:rPr>
                <w:noProof/>
              </w:rPr>
              <w:t>304</w:t>
            </w:r>
          </w:p>
        </w:tc>
        <w:tc>
          <w:tcPr>
            <w:tcW w:w="851" w:type="dxa"/>
            <w:shd w:val="clear" w:color="auto" w:fill="C6EFCE"/>
            <w:noWrap/>
          </w:tcPr>
          <w:p w14:paraId="337E2DB8" w14:textId="77777777" w:rsidR="00011DE9" w:rsidRDefault="00011DE9">
            <w:pPr>
              <w:pStyle w:val="P68B1DB1-Normal19"/>
              <w:spacing w:after="0" w:line="240" w:lineRule="auto"/>
              <w:jc w:val="center"/>
              <w:rPr>
                <w:rFonts w:eastAsia="Times New Roman"/>
                <w:noProof/>
              </w:rPr>
            </w:pPr>
            <w:r>
              <w:rPr>
                <w:noProof/>
              </w:rPr>
              <w:t>C21.R2</w:t>
            </w:r>
          </w:p>
        </w:tc>
        <w:tc>
          <w:tcPr>
            <w:tcW w:w="850" w:type="dxa"/>
            <w:shd w:val="clear" w:color="auto" w:fill="C6EFCE"/>
            <w:noWrap/>
          </w:tcPr>
          <w:p w14:paraId="0AACB1E8" w14:textId="77777777" w:rsidR="00011DE9" w:rsidRDefault="00011DE9">
            <w:pPr>
              <w:pStyle w:val="P68B1DB1-Normal19"/>
              <w:spacing w:after="0" w:line="240" w:lineRule="auto"/>
              <w:jc w:val="center"/>
              <w:rPr>
                <w:rFonts w:eastAsia="Times New Roman"/>
                <w:noProof/>
              </w:rPr>
            </w:pPr>
            <w:r>
              <w:rPr>
                <w:noProof/>
              </w:rPr>
              <w:t>M</w:t>
            </w:r>
          </w:p>
        </w:tc>
        <w:tc>
          <w:tcPr>
            <w:tcW w:w="1980" w:type="dxa"/>
            <w:shd w:val="clear" w:color="auto" w:fill="C6EFCE"/>
            <w:noWrap/>
          </w:tcPr>
          <w:p w14:paraId="1E31BE64" w14:textId="77777777" w:rsidR="00011DE9" w:rsidRDefault="00011DE9">
            <w:pPr>
              <w:pStyle w:val="P68B1DB1-Normal19"/>
              <w:spacing w:after="0" w:line="240" w:lineRule="auto"/>
              <w:rPr>
                <w:rFonts w:eastAsia="Times New Roman"/>
                <w:noProof/>
              </w:rPr>
            </w:pPr>
            <w:r>
              <w:rPr>
                <w:noProof/>
              </w:rPr>
              <w:t xml:space="preserve">Intrarea în vigoare a Decretului regal privind cerințele minime de predare pentru educație </w:t>
            </w:r>
          </w:p>
        </w:tc>
        <w:tc>
          <w:tcPr>
            <w:tcW w:w="2126" w:type="dxa"/>
            <w:shd w:val="clear" w:color="auto" w:fill="C6EFCE"/>
            <w:noWrap/>
          </w:tcPr>
          <w:p w14:paraId="7561C323" w14:textId="77777777" w:rsidR="00011DE9" w:rsidRDefault="00011DE9">
            <w:pPr>
              <w:pStyle w:val="P68B1DB1-Normal19"/>
              <w:spacing w:after="0" w:line="240" w:lineRule="auto"/>
              <w:jc w:val="center"/>
              <w:rPr>
                <w:rFonts w:eastAsia="Times New Roman"/>
                <w:noProof/>
              </w:rPr>
            </w:pPr>
            <w:r>
              <w:rPr>
                <w:noProof/>
              </w:rPr>
              <w:t>Dispoziție din decretul regal care indică intrarea în vigoare a decretului regal</w:t>
            </w:r>
          </w:p>
        </w:tc>
        <w:tc>
          <w:tcPr>
            <w:tcW w:w="850" w:type="dxa"/>
            <w:shd w:val="clear" w:color="auto" w:fill="C6EFCE"/>
            <w:noWrap/>
          </w:tcPr>
          <w:p w14:paraId="42881A7D" w14:textId="77777777" w:rsidR="00011DE9" w:rsidRDefault="00011DE9">
            <w:pPr>
              <w:pStyle w:val="P68B1DB1-Normal19"/>
              <w:spacing w:after="0" w:line="240" w:lineRule="auto"/>
              <w:jc w:val="center"/>
              <w:rPr>
                <w:rFonts w:eastAsia="Times New Roman"/>
                <w:noProof/>
              </w:rPr>
            </w:pPr>
            <w:r>
              <w:rPr>
                <w:noProof/>
              </w:rPr>
              <w:t xml:space="preserve"> </w:t>
            </w:r>
          </w:p>
        </w:tc>
        <w:tc>
          <w:tcPr>
            <w:tcW w:w="709" w:type="dxa"/>
            <w:shd w:val="clear" w:color="auto" w:fill="C6EFCE"/>
            <w:noWrap/>
          </w:tcPr>
          <w:p w14:paraId="7A6D0227" w14:textId="77777777" w:rsidR="00011DE9" w:rsidRDefault="00011DE9">
            <w:pPr>
              <w:pStyle w:val="P68B1DB1-Normal19"/>
              <w:spacing w:after="0" w:line="240" w:lineRule="auto"/>
              <w:jc w:val="right"/>
              <w:rPr>
                <w:rFonts w:eastAsia="Times New Roman"/>
                <w:noProof/>
              </w:rPr>
            </w:pPr>
            <w:r>
              <w:rPr>
                <w:noProof/>
              </w:rPr>
              <w:t xml:space="preserve"> </w:t>
            </w:r>
          </w:p>
        </w:tc>
        <w:tc>
          <w:tcPr>
            <w:tcW w:w="1139" w:type="dxa"/>
            <w:shd w:val="clear" w:color="auto" w:fill="C6EFCE"/>
            <w:noWrap/>
          </w:tcPr>
          <w:p w14:paraId="42F87CB7" w14:textId="77777777" w:rsidR="00011DE9" w:rsidRDefault="00011DE9">
            <w:pPr>
              <w:pStyle w:val="P68B1DB1-Normal19"/>
              <w:spacing w:after="0" w:line="240" w:lineRule="auto"/>
              <w:jc w:val="right"/>
              <w:rPr>
                <w:rFonts w:eastAsia="Times New Roman"/>
                <w:noProof/>
              </w:rPr>
            </w:pPr>
            <w:r>
              <w:rPr>
                <w:noProof/>
              </w:rPr>
              <w:t xml:space="preserve"> </w:t>
            </w:r>
          </w:p>
        </w:tc>
        <w:tc>
          <w:tcPr>
            <w:tcW w:w="567" w:type="dxa"/>
            <w:shd w:val="clear" w:color="auto" w:fill="C6EFCE"/>
            <w:noWrap/>
          </w:tcPr>
          <w:p w14:paraId="51D55DB5" w14:textId="2AF07928" w:rsidR="00011DE9" w:rsidRDefault="003010A3">
            <w:pPr>
              <w:pStyle w:val="P68B1DB1-Normal19"/>
              <w:spacing w:after="0" w:line="240" w:lineRule="auto"/>
              <w:jc w:val="center"/>
              <w:rPr>
                <w:rFonts w:eastAsia="Times New Roman"/>
                <w:noProof/>
              </w:rPr>
            </w:pPr>
            <w:r>
              <w:rPr>
                <w:noProof/>
              </w:rPr>
              <w:t>T</w:t>
            </w:r>
            <w:r w:rsidR="00011DE9">
              <w:rPr>
                <w:noProof/>
              </w:rPr>
              <w:t>1</w:t>
            </w:r>
          </w:p>
        </w:tc>
        <w:tc>
          <w:tcPr>
            <w:tcW w:w="567" w:type="dxa"/>
            <w:shd w:val="clear" w:color="auto" w:fill="C6EFCE"/>
            <w:noWrap/>
          </w:tcPr>
          <w:p w14:paraId="0178D1CF" w14:textId="77777777" w:rsidR="00011DE9" w:rsidRDefault="00011DE9">
            <w:pPr>
              <w:pStyle w:val="P68B1DB1-Normal19"/>
              <w:spacing w:after="0" w:line="240" w:lineRule="auto"/>
              <w:jc w:val="center"/>
              <w:rPr>
                <w:rFonts w:eastAsia="Times New Roman"/>
                <w:noProof/>
              </w:rPr>
            </w:pPr>
            <w:r>
              <w:rPr>
                <w:noProof/>
              </w:rPr>
              <w:t>2022</w:t>
            </w:r>
          </w:p>
        </w:tc>
        <w:tc>
          <w:tcPr>
            <w:tcW w:w="4962" w:type="dxa"/>
            <w:shd w:val="clear" w:color="auto" w:fill="C6EFCE"/>
            <w:noWrap/>
          </w:tcPr>
          <w:p w14:paraId="131598A4" w14:textId="77777777" w:rsidR="00011DE9" w:rsidRDefault="00011DE9">
            <w:pPr>
              <w:pStyle w:val="P68B1DB1-Normal19"/>
              <w:spacing w:after="0" w:line="240" w:lineRule="auto"/>
              <w:rPr>
                <w:rFonts w:eastAsia="Times New Roman"/>
                <w:noProof/>
              </w:rPr>
            </w:pPr>
            <w:r>
              <w:rPr>
                <w:noProof/>
              </w:rPr>
              <w:t xml:space="preserve">Decretul regal privind cerințele minime de predare pentru educația în învățământul primar, învățământul secundar obligatoriu și bacalaureat include introducerea unor orientări metodologice pentru predare și învățare bazate pe o programă de învățământ bazată pe competențe, care încorporează „competențe non-tehnice”; un cadru de evaluare pentru dobândirea competențelor; conceperea unui model mai flexibil și mai deschis, care să promoveze învățarea profundă; și pregătirea de materiale didactice, sprijin, orientare și formare pentru profesori, pentru a se asigura că aceștia pot pune în aplicare în mod eficace noua programă de învățământ. </w:t>
            </w:r>
          </w:p>
        </w:tc>
      </w:tr>
      <w:tr w:rsidR="00011DE9" w14:paraId="7EF0EED8" w14:textId="77777777">
        <w:trPr>
          <w:trHeight w:val="309"/>
          <w:jc w:val="center"/>
        </w:trPr>
        <w:tc>
          <w:tcPr>
            <w:tcW w:w="709" w:type="dxa"/>
            <w:shd w:val="clear" w:color="auto" w:fill="C6EFCE"/>
            <w:noWrap/>
          </w:tcPr>
          <w:p w14:paraId="565B6D3B" w14:textId="77777777" w:rsidR="00011DE9" w:rsidRDefault="00011DE9">
            <w:pPr>
              <w:pStyle w:val="P68B1DB1-Normal19"/>
              <w:spacing w:after="0" w:line="240" w:lineRule="auto"/>
              <w:jc w:val="center"/>
              <w:rPr>
                <w:rFonts w:eastAsia="Times New Roman"/>
                <w:noProof/>
              </w:rPr>
            </w:pPr>
            <w:r>
              <w:rPr>
                <w:noProof/>
              </w:rPr>
              <w:t>305</w:t>
            </w:r>
          </w:p>
        </w:tc>
        <w:tc>
          <w:tcPr>
            <w:tcW w:w="851" w:type="dxa"/>
            <w:shd w:val="clear" w:color="auto" w:fill="C6EFCE"/>
            <w:noWrap/>
          </w:tcPr>
          <w:p w14:paraId="0C7A58E3" w14:textId="77777777" w:rsidR="00011DE9" w:rsidRDefault="00011DE9">
            <w:pPr>
              <w:pStyle w:val="P68B1DB1-Normal19"/>
              <w:spacing w:after="0" w:line="240" w:lineRule="auto"/>
              <w:jc w:val="center"/>
              <w:rPr>
                <w:rFonts w:eastAsia="Times New Roman"/>
                <w:noProof/>
              </w:rPr>
            </w:pPr>
            <w:r>
              <w:rPr>
                <w:noProof/>
              </w:rPr>
              <w:t>C21.R2</w:t>
            </w:r>
          </w:p>
        </w:tc>
        <w:tc>
          <w:tcPr>
            <w:tcW w:w="850" w:type="dxa"/>
            <w:shd w:val="clear" w:color="auto" w:fill="C6EFCE"/>
            <w:noWrap/>
          </w:tcPr>
          <w:p w14:paraId="4CB0B7E2" w14:textId="77777777" w:rsidR="00011DE9" w:rsidRDefault="00011DE9">
            <w:pPr>
              <w:pStyle w:val="P68B1DB1-Normal19"/>
              <w:spacing w:after="0" w:line="240" w:lineRule="auto"/>
              <w:jc w:val="center"/>
              <w:rPr>
                <w:rFonts w:eastAsia="Times New Roman"/>
                <w:noProof/>
              </w:rPr>
            </w:pPr>
            <w:r>
              <w:rPr>
                <w:noProof/>
              </w:rPr>
              <w:t>M</w:t>
            </w:r>
          </w:p>
        </w:tc>
        <w:tc>
          <w:tcPr>
            <w:tcW w:w="1980" w:type="dxa"/>
            <w:shd w:val="clear" w:color="auto" w:fill="C6EFCE"/>
            <w:noWrap/>
          </w:tcPr>
          <w:p w14:paraId="328B3484" w14:textId="77777777" w:rsidR="00011DE9" w:rsidRDefault="00011DE9">
            <w:pPr>
              <w:pStyle w:val="P68B1DB1-Normal19"/>
              <w:spacing w:after="0" w:line="240" w:lineRule="auto"/>
              <w:rPr>
                <w:rFonts w:eastAsia="Times New Roman"/>
                <w:noProof/>
              </w:rPr>
            </w:pPr>
            <w:r>
              <w:rPr>
                <w:noProof/>
              </w:rPr>
              <w:t>Publicarea materialelor didactice, eliberarea certificatelor de formare și participarea experților la elaborarea programei de învățământ sau a cadrelor de evaluare.</w:t>
            </w:r>
          </w:p>
        </w:tc>
        <w:tc>
          <w:tcPr>
            <w:tcW w:w="2126" w:type="dxa"/>
            <w:shd w:val="clear" w:color="auto" w:fill="C6EFCE"/>
            <w:noWrap/>
          </w:tcPr>
          <w:p w14:paraId="216A7682" w14:textId="77777777" w:rsidR="00011DE9" w:rsidRDefault="00011DE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Publicarea materialelor didactice și a certificatelor de formare profesională</w:t>
            </w:r>
            <w:r>
              <w:rPr>
                <w:rFonts w:ascii="Times New Roman" w:eastAsia="Times New Roman" w:hAnsi="Times New Roman" w:cs="Times New Roman"/>
                <w:noProof/>
              </w:rPr>
              <w:t xml:space="preserve"> </w:t>
            </w:r>
          </w:p>
        </w:tc>
        <w:tc>
          <w:tcPr>
            <w:tcW w:w="850" w:type="dxa"/>
            <w:shd w:val="clear" w:color="auto" w:fill="C6EFCE"/>
            <w:noWrap/>
          </w:tcPr>
          <w:p w14:paraId="0C5128CE" w14:textId="77777777" w:rsidR="00011DE9" w:rsidRDefault="00011DE9">
            <w:pPr>
              <w:pStyle w:val="P68B1DB1-Normal19"/>
              <w:spacing w:after="0" w:line="240" w:lineRule="auto"/>
              <w:jc w:val="center"/>
              <w:rPr>
                <w:rFonts w:eastAsia="Times New Roman"/>
                <w:noProof/>
              </w:rPr>
            </w:pPr>
            <w:r>
              <w:rPr>
                <w:noProof/>
              </w:rPr>
              <w:t xml:space="preserve"> </w:t>
            </w:r>
          </w:p>
        </w:tc>
        <w:tc>
          <w:tcPr>
            <w:tcW w:w="709" w:type="dxa"/>
            <w:shd w:val="clear" w:color="auto" w:fill="C6EFCE"/>
            <w:noWrap/>
          </w:tcPr>
          <w:p w14:paraId="20971691" w14:textId="77777777" w:rsidR="00011DE9" w:rsidRDefault="00011DE9">
            <w:pPr>
              <w:pStyle w:val="P68B1DB1-Normal19"/>
              <w:spacing w:after="0" w:line="240" w:lineRule="auto"/>
              <w:jc w:val="right"/>
              <w:rPr>
                <w:rFonts w:eastAsia="Times New Roman"/>
                <w:noProof/>
              </w:rPr>
            </w:pPr>
            <w:r>
              <w:rPr>
                <w:noProof/>
              </w:rPr>
              <w:t xml:space="preserve"> </w:t>
            </w:r>
          </w:p>
        </w:tc>
        <w:tc>
          <w:tcPr>
            <w:tcW w:w="1139" w:type="dxa"/>
            <w:shd w:val="clear" w:color="auto" w:fill="C6EFCE"/>
            <w:noWrap/>
          </w:tcPr>
          <w:p w14:paraId="5F498733" w14:textId="77777777" w:rsidR="00011DE9" w:rsidRDefault="00011DE9">
            <w:pPr>
              <w:pStyle w:val="P68B1DB1-Normal19"/>
              <w:spacing w:after="0" w:line="240" w:lineRule="auto"/>
              <w:jc w:val="right"/>
              <w:rPr>
                <w:rFonts w:eastAsia="Times New Roman"/>
                <w:noProof/>
              </w:rPr>
            </w:pPr>
            <w:r>
              <w:rPr>
                <w:noProof/>
              </w:rPr>
              <w:t xml:space="preserve"> </w:t>
            </w:r>
          </w:p>
        </w:tc>
        <w:tc>
          <w:tcPr>
            <w:tcW w:w="567" w:type="dxa"/>
            <w:shd w:val="clear" w:color="auto" w:fill="C6EFCE"/>
            <w:noWrap/>
          </w:tcPr>
          <w:p w14:paraId="22D49728" w14:textId="7F6195E8" w:rsidR="00011DE9" w:rsidRDefault="005701C9">
            <w:pPr>
              <w:pStyle w:val="P68B1DB1-Normal19"/>
              <w:spacing w:after="0" w:line="240" w:lineRule="auto"/>
              <w:jc w:val="center"/>
              <w:rPr>
                <w:rFonts w:eastAsia="Times New Roman"/>
                <w:noProof/>
              </w:rPr>
            </w:pPr>
            <w:r>
              <w:rPr>
                <w:noProof/>
              </w:rPr>
              <w:t>T4</w:t>
            </w:r>
          </w:p>
        </w:tc>
        <w:tc>
          <w:tcPr>
            <w:tcW w:w="567" w:type="dxa"/>
            <w:shd w:val="clear" w:color="auto" w:fill="C6EFCE"/>
            <w:noWrap/>
          </w:tcPr>
          <w:p w14:paraId="50B79506" w14:textId="77777777" w:rsidR="00011DE9" w:rsidRDefault="00011DE9">
            <w:pPr>
              <w:pStyle w:val="P68B1DB1-Normal19"/>
              <w:spacing w:after="0" w:line="240" w:lineRule="auto"/>
              <w:jc w:val="center"/>
              <w:rPr>
                <w:rFonts w:eastAsia="Times New Roman"/>
                <w:noProof/>
              </w:rPr>
            </w:pPr>
            <w:r>
              <w:rPr>
                <w:noProof/>
              </w:rPr>
              <w:t>2025</w:t>
            </w:r>
          </w:p>
        </w:tc>
        <w:tc>
          <w:tcPr>
            <w:tcW w:w="4962" w:type="dxa"/>
            <w:shd w:val="clear" w:color="auto" w:fill="C6EFCE"/>
            <w:noWrap/>
          </w:tcPr>
          <w:p w14:paraId="2DDCE990" w14:textId="77777777" w:rsidR="00011DE9" w:rsidRDefault="00011DE9">
            <w:pPr>
              <w:pStyle w:val="P68B1DB1-Normal20"/>
              <w:spacing w:after="0" w:line="240" w:lineRule="auto"/>
              <w:rPr>
                <w:noProof/>
              </w:rPr>
            </w:pPr>
            <w:r>
              <w:rPr>
                <w:noProof/>
              </w:rPr>
              <w:t>Se finalizează următoarele acțiuni:</w:t>
            </w:r>
          </w:p>
          <w:p w14:paraId="0EF8FFC0" w14:textId="77777777" w:rsidR="00011DE9" w:rsidRDefault="00011DE9">
            <w:pPr>
              <w:pStyle w:val="P68B1DB1-ListParagraph44"/>
              <w:numPr>
                <w:ilvl w:val="1"/>
                <w:numId w:val="51"/>
              </w:numPr>
              <w:spacing w:after="0" w:line="240" w:lineRule="auto"/>
              <w:ind w:left="535" w:hanging="283"/>
              <w:rPr>
                <w:rFonts w:eastAsia="Times New Roman" w:cs="Times New Roman"/>
                <w:noProof/>
              </w:rPr>
            </w:pPr>
            <w:r>
              <w:rPr>
                <w:noProof/>
              </w:rPr>
              <w:t>Publicarea materialului didactic pe site-ul Institutului Național de Tehnologii Educaționale și Formare a Profesorilor;</w:t>
            </w:r>
          </w:p>
          <w:p w14:paraId="01781257" w14:textId="77777777" w:rsidR="00011DE9" w:rsidRDefault="00011DE9">
            <w:pPr>
              <w:pStyle w:val="P68B1DB1-ListParagraph44"/>
              <w:numPr>
                <w:ilvl w:val="1"/>
                <w:numId w:val="51"/>
              </w:numPr>
              <w:spacing w:after="0" w:line="240" w:lineRule="auto"/>
              <w:ind w:left="535" w:hanging="283"/>
              <w:rPr>
                <w:rFonts w:eastAsia="Times New Roman" w:cs="Times New Roman"/>
                <w:noProof/>
              </w:rPr>
            </w:pPr>
            <w:r>
              <w:rPr>
                <w:noProof/>
              </w:rPr>
              <w:t xml:space="preserve">4 000 certificate de formare privind aplicarea noii programe de învățământ sau a noii Legi organice privind educația se eliberează de Ministerul Educației, Formării Profesionale și Sportului; </w:t>
            </w:r>
          </w:p>
          <w:p w14:paraId="76643FCF" w14:textId="77777777" w:rsidR="00011DE9" w:rsidRDefault="00011DE9">
            <w:pPr>
              <w:pStyle w:val="P68B1DB1-ListParagraph44"/>
              <w:numPr>
                <w:ilvl w:val="1"/>
                <w:numId w:val="51"/>
              </w:numPr>
              <w:spacing w:after="0" w:line="240" w:lineRule="auto"/>
              <w:ind w:left="535" w:hanging="283"/>
              <w:rPr>
                <w:rFonts w:eastAsia="Times New Roman" w:cs="Times New Roman"/>
                <w:noProof/>
              </w:rPr>
            </w:pPr>
            <w:r>
              <w:rPr>
                <w:noProof/>
              </w:rPr>
              <w:t>100 de experți participă la elaborarea programei de învățământ sau a cadrelor de evaluare.</w:t>
            </w:r>
          </w:p>
        </w:tc>
      </w:tr>
      <w:tr w:rsidR="00011DE9" w14:paraId="06A9B6D1" w14:textId="77777777">
        <w:trPr>
          <w:trHeight w:val="309"/>
          <w:jc w:val="center"/>
        </w:trPr>
        <w:tc>
          <w:tcPr>
            <w:tcW w:w="709" w:type="dxa"/>
            <w:shd w:val="clear" w:color="auto" w:fill="C6EFCE"/>
            <w:noWrap/>
          </w:tcPr>
          <w:p w14:paraId="7C07C994" w14:textId="77777777" w:rsidR="00011DE9" w:rsidRDefault="00011DE9">
            <w:pPr>
              <w:pStyle w:val="P68B1DB1-Normal19"/>
              <w:spacing w:after="0" w:line="240" w:lineRule="auto"/>
              <w:jc w:val="center"/>
              <w:rPr>
                <w:rFonts w:eastAsia="Times New Roman"/>
                <w:noProof/>
              </w:rPr>
            </w:pPr>
            <w:r>
              <w:rPr>
                <w:noProof/>
              </w:rPr>
              <w:t>306</w:t>
            </w:r>
          </w:p>
        </w:tc>
        <w:tc>
          <w:tcPr>
            <w:tcW w:w="851" w:type="dxa"/>
            <w:shd w:val="clear" w:color="auto" w:fill="C6EFCE"/>
            <w:noWrap/>
          </w:tcPr>
          <w:p w14:paraId="51CD2F5F" w14:textId="77777777" w:rsidR="00011DE9" w:rsidRDefault="00011DE9">
            <w:pPr>
              <w:pStyle w:val="P68B1DB1-Normal19"/>
              <w:spacing w:after="0" w:line="240" w:lineRule="auto"/>
              <w:jc w:val="center"/>
              <w:rPr>
                <w:rFonts w:eastAsia="Times New Roman"/>
                <w:noProof/>
              </w:rPr>
            </w:pPr>
            <w:r>
              <w:rPr>
                <w:noProof/>
              </w:rPr>
              <w:t>C21.R3</w:t>
            </w:r>
          </w:p>
        </w:tc>
        <w:tc>
          <w:tcPr>
            <w:tcW w:w="850" w:type="dxa"/>
            <w:shd w:val="clear" w:color="auto" w:fill="C6EFCE"/>
            <w:noWrap/>
          </w:tcPr>
          <w:p w14:paraId="479F2C0C" w14:textId="77777777" w:rsidR="00011DE9" w:rsidRDefault="00011DE9">
            <w:pPr>
              <w:pStyle w:val="P68B1DB1-Normal19"/>
              <w:spacing w:after="0" w:line="240" w:lineRule="auto"/>
              <w:jc w:val="center"/>
              <w:rPr>
                <w:rFonts w:eastAsia="Times New Roman"/>
                <w:noProof/>
              </w:rPr>
            </w:pPr>
            <w:r>
              <w:rPr>
                <w:noProof/>
              </w:rPr>
              <w:t>M</w:t>
            </w:r>
          </w:p>
        </w:tc>
        <w:tc>
          <w:tcPr>
            <w:tcW w:w="1980" w:type="dxa"/>
            <w:shd w:val="clear" w:color="auto" w:fill="C6EFCE"/>
            <w:noWrap/>
          </w:tcPr>
          <w:p w14:paraId="4069AEB6" w14:textId="77777777" w:rsidR="00011DE9" w:rsidRDefault="00011DE9">
            <w:pPr>
              <w:pStyle w:val="P68B1DB1-Normal19"/>
              <w:spacing w:after="0" w:line="240" w:lineRule="auto"/>
              <w:rPr>
                <w:rFonts w:eastAsia="Times New Roman"/>
                <w:noProof/>
              </w:rPr>
            </w:pPr>
            <w:r>
              <w:rPr>
                <w:noProof/>
              </w:rPr>
              <w:t>Intrarea în vigoare a decretelor regale de organizare a universităților</w:t>
            </w:r>
          </w:p>
        </w:tc>
        <w:tc>
          <w:tcPr>
            <w:tcW w:w="2126" w:type="dxa"/>
            <w:shd w:val="clear" w:color="auto" w:fill="C6EFCE"/>
            <w:noWrap/>
          </w:tcPr>
          <w:p w14:paraId="31605A9A" w14:textId="77777777" w:rsidR="00011DE9" w:rsidRDefault="00011DE9">
            <w:pPr>
              <w:pStyle w:val="P68B1DB1-Normal19"/>
              <w:spacing w:after="0" w:line="240" w:lineRule="auto"/>
              <w:jc w:val="center"/>
              <w:rPr>
                <w:rFonts w:eastAsia="Times New Roman"/>
                <w:noProof/>
              </w:rPr>
            </w:pPr>
            <w:r>
              <w:rPr>
                <w:noProof/>
              </w:rPr>
              <w:t>Dispoziție din decretele regale care indică intrarea în vigoare a decretelor regale</w:t>
            </w:r>
          </w:p>
        </w:tc>
        <w:tc>
          <w:tcPr>
            <w:tcW w:w="850" w:type="dxa"/>
            <w:shd w:val="clear" w:color="auto" w:fill="C6EFCE"/>
            <w:noWrap/>
          </w:tcPr>
          <w:p w14:paraId="5880A1A8" w14:textId="77777777" w:rsidR="00011DE9" w:rsidRDefault="00011DE9">
            <w:pPr>
              <w:pStyle w:val="P68B1DB1-Normal19"/>
              <w:spacing w:after="0" w:line="240" w:lineRule="auto"/>
              <w:jc w:val="center"/>
              <w:rPr>
                <w:rFonts w:eastAsia="Times New Roman"/>
                <w:noProof/>
              </w:rPr>
            </w:pPr>
            <w:r>
              <w:rPr>
                <w:noProof/>
              </w:rPr>
              <w:t xml:space="preserve"> </w:t>
            </w:r>
          </w:p>
        </w:tc>
        <w:tc>
          <w:tcPr>
            <w:tcW w:w="709" w:type="dxa"/>
            <w:shd w:val="clear" w:color="auto" w:fill="C6EFCE"/>
            <w:noWrap/>
          </w:tcPr>
          <w:p w14:paraId="59C69075" w14:textId="77777777" w:rsidR="00011DE9" w:rsidRDefault="00011DE9">
            <w:pPr>
              <w:pStyle w:val="P68B1DB1-Normal19"/>
              <w:spacing w:after="0" w:line="240" w:lineRule="auto"/>
              <w:jc w:val="right"/>
              <w:rPr>
                <w:rFonts w:eastAsia="Times New Roman"/>
                <w:noProof/>
              </w:rPr>
            </w:pPr>
            <w:r>
              <w:rPr>
                <w:noProof/>
              </w:rPr>
              <w:t xml:space="preserve"> </w:t>
            </w:r>
          </w:p>
        </w:tc>
        <w:tc>
          <w:tcPr>
            <w:tcW w:w="1139" w:type="dxa"/>
            <w:shd w:val="clear" w:color="auto" w:fill="C6EFCE"/>
            <w:noWrap/>
          </w:tcPr>
          <w:p w14:paraId="31A0BDF5" w14:textId="77777777" w:rsidR="00011DE9" w:rsidRDefault="00011DE9">
            <w:pPr>
              <w:pStyle w:val="P68B1DB1-Normal19"/>
              <w:spacing w:after="0" w:line="240" w:lineRule="auto"/>
              <w:jc w:val="right"/>
              <w:rPr>
                <w:rFonts w:eastAsia="Times New Roman"/>
                <w:noProof/>
              </w:rPr>
            </w:pPr>
            <w:r>
              <w:rPr>
                <w:noProof/>
              </w:rPr>
              <w:t xml:space="preserve"> </w:t>
            </w:r>
          </w:p>
        </w:tc>
        <w:tc>
          <w:tcPr>
            <w:tcW w:w="567" w:type="dxa"/>
            <w:shd w:val="clear" w:color="auto" w:fill="C6EFCE"/>
            <w:noWrap/>
          </w:tcPr>
          <w:p w14:paraId="7EA43797" w14:textId="153E1847" w:rsidR="00011DE9" w:rsidRDefault="005701C9">
            <w:pPr>
              <w:pStyle w:val="P68B1DB1-Normal19"/>
              <w:spacing w:after="0" w:line="240" w:lineRule="auto"/>
              <w:jc w:val="center"/>
              <w:rPr>
                <w:rFonts w:eastAsia="Times New Roman"/>
                <w:noProof/>
              </w:rPr>
            </w:pPr>
            <w:r>
              <w:rPr>
                <w:noProof/>
              </w:rPr>
              <w:t>T3</w:t>
            </w:r>
          </w:p>
        </w:tc>
        <w:tc>
          <w:tcPr>
            <w:tcW w:w="567" w:type="dxa"/>
            <w:shd w:val="clear" w:color="auto" w:fill="C6EFCE"/>
            <w:noWrap/>
          </w:tcPr>
          <w:p w14:paraId="7CF5A904" w14:textId="77777777" w:rsidR="00011DE9" w:rsidRDefault="00011DE9">
            <w:pPr>
              <w:pStyle w:val="P68B1DB1-Normal19"/>
              <w:spacing w:after="0" w:line="240" w:lineRule="auto"/>
              <w:jc w:val="center"/>
              <w:rPr>
                <w:rFonts w:eastAsia="Times New Roman"/>
                <w:noProof/>
              </w:rPr>
            </w:pPr>
            <w:r>
              <w:rPr>
                <w:noProof/>
              </w:rPr>
              <w:t>2021</w:t>
            </w:r>
          </w:p>
        </w:tc>
        <w:tc>
          <w:tcPr>
            <w:tcW w:w="4962" w:type="dxa"/>
            <w:shd w:val="clear" w:color="auto" w:fill="C6EFCE"/>
            <w:noWrap/>
          </w:tcPr>
          <w:p w14:paraId="776206BF" w14:textId="20674AB1" w:rsidR="00011DE9" w:rsidRDefault="00011DE9">
            <w:pPr>
              <w:spacing w:after="0" w:line="240" w:lineRule="auto"/>
              <w:rPr>
                <w:rFonts w:ascii="Times New Roman" w:eastAsia="Times New Roman" w:hAnsi="Times New Roman" w:cs="Times New Roman"/>
                <w:noProof/>
                <w:sz w:val="18"/>
                <w:szCs w:val="18"/>
              </w:rPr>
            </w:pPr>
            <w:r>
              <w:rPr>
                <w:rFonts w:ascii="Times New Roman" w:hAnsi="Times New Roman"/>
                <w:noProof/>
                <w:sz w:val="18"/>
              </w:rPr>
              <w:t>Cele două decrete regale de organizare a universităților sunt:</w:t>
            </w:r>
            <w:r w:rsidR="00971820">
              <w:rPr>
                <w:noProof/>
              </w:rPr>
              <w:t xml:space="preserve"> </w:t>
            </w:r>
            <w:r>
              <w:rPr>
                <w:noProof/>
              </w:rPr>
              <w:br/>
            </w:r>
            <w:r>
              <w:rPr>
                <w:rFonts w:ascii="Times New Roman" w:hAnsi="Times New Roman"/>
                <w:noProof/>
                <w:sz w:val="18"/>
              </w:rPr>
              <w:t>Decretul regal de instituire a organizării cursurilor universitare și a procedurii de asigurare a calității acestora</w:t>
            </w:r>
            <w:r>
              <w:rPr>
                <w:noProof/>
              </w:rPr>
              <w:t xml:space="preserve"> </w:t>
            </w:r>
            <w:r>
              <w:rPr>
                <w:noProof/>
              </w:rPr>
              <w:br/>
              <w:t xml:space="preserve"> </w:t>
            </w:r>
            <w:r>
              <w:rPr>
                <w:rFonts w:ascii="Times New Roman" w:hAnsi="Times New Roman"/>
                <w:noProof/>
                <w:sz w:val="18"/>
              </w:rPr>
              <w:t>Decretul regal privind sistemul de creare, recunoaștere, autorizare și acreditare a universităților și a centrelor asociate.</w:t>
            </w:r>
          </w:p>
        </w:tc>
      </w:tr>
      <w:tr w:rsidR="00011DE9" w14:paraId="70324470" w14:textId="77777777">
        <w:trPr>
          <w:trHeight w:val="309"/>
          <w:jc w:val="center"/>
        </w:trPr>
        <w:tc>
          <w:tcPr>
            <w:tcW w:w="709" w:type="dxa"/>
            <w:shd w:val="clear" w:color="auto" w:fill="C6EFCE"/>
            <w:noWrap/>
          </w:tcPr>
          <w:p w14:paraId="37D712EB" w14:textId="77777777" w:rsidR="00011DE9" w:rsidRDefault="00011DE9">
            <w:pPr>
              <w:pStyle w:val="P68B1DB1-Normal19"/>
              <w:spacing w:after="0" w:line="240" w:lineRule="auto"/>
              <w:jc w:val="center"/>
              <w:rPr>
                <w:rFonts w:eastAsia="Times New Roman"/>
                <w:noProof/>
              </w:rPr>
            </w:pPr>
            <w:r>
              <w:rPr>
                <w:noProof/>
              </w:rPr>
              <w:t>307</w:t>
            </w:r>
          </w:p>
        </w:tc>
        <w:tc>
          <w:tcPr>
            <w:tcW w:w="851" w:type="dxa"/>
            <w:shd w:val="clear" w:color="auto" w:fill="C6EFCE"/>
            <w:noWrap/>
          </w:tcPr>
          <w:p w14:paraId="50FD948A" w14:textId="77777777" w:rsidR="00011DE9" w:rsidRDefault="00011DE9">
            <w:pPr>
              <w:pStyle w:val="P68B1DB1-Normal19"/>
              <w:spacing w:after="0" w:line="240" w:lineRule="auto"/>
              <w:jc w:val="center"/>
              <w:rPr>
                <w:rFonts w:eastAsia="Times New Roman"/>
                <w:noProof/>
              </w:rPr>
            </w:pPr>
            <w:r>
              <w:rPr>
                <w:noProof/>
              </w:rPr>
              <w:t>C21.R3</w:t>
            </w:r>
          </w:p>
        </w:tc>
        <w:tc>
          <w:tcPr>
            <w:tcW w:w="850" w:type="dxa"/>
            <w:shd w:val="clear" w:color="auto" w:fill="C6EFCE"/>
            <w:noWrap/>
          </w:tcPr>
          <w:p w14:paraId="2B3863CD" w14:textId="77777777" w:rsidR="00011DE9" w:rsidRDefault="00011DE9">
            <w:pPr>
              <w:pStyle w:val="P68B1DB1-Normal19"/>
              <w:spacing w:after="0" w:line="240" w:lineRule="auto"/>
              <w:jc w:val="center"/>
              <w:rPr>
                <w:rFonts w:eastAsia="Times New Roman"/>
                <w:noProof/>
              </w:rPr>
            </w:pPr>
            <w:r>
              <w:rPr>
                <w:noProof/>
              </w:rPr>
              <w:t>M</w:t>
            </w:r>
          </w:p>
        </w:tc>
        <w:tc>
          <w:tcPr>
            <w:tcW w:w="1980" w:type="dxa"/>
            <w:shd w:val="clear" w:color="auto" w:fill="C6EFCE"/>
            <w:noWrap/>
          </w:tcPr>
          <w:p w14:paraId="2D597801" w14:textId="77777777" w:rsidR="00011DE9" w:rsidRDefault="00011DE9">
            <w:pPr>
              <w:pStyle w:val="P68B1DB1-Normal19"/>
              <w:spacing w:after="0" w:line="240" w:lineRule="auto"/>
              <w:rPr>
                <w:rFonts w:eastAsia="Times New Roman"/>
                <w:noProof/>
              </w:rPr>
            </w:pPr>
            <w:r>
              <w:rPr>
                <w:noProof/>
              </w:rPr>
              <w:t>Intrarea în vigoare a Legii organice privind sistemul universitar și a altor acte legislative și documente</w:t>
            </w:r>
          </w:p>
        </w:tc>
        <w:tc>
          <w:tcPr>
            <w:tcW w:w="2126" w:type="dxa"/>
            <w:shd w:val="clear" w:color="auto" w:fill="C6EFCE"/>
            <w:noWrap/>
          </w:tcPr>
          <w:p w14:paraId="5C5D919B" w14:textId="77777777" w:rsidR="00011DE9" w:rsidRDefault="00011DE9">
            <w:pPr>
              <w:pStyle w:val="P68B1DB1-Normal19"/>
              <w:spacing w:after="0" w:line="240" w:lineRule="auto"/>
              <w:jc w:val="center"/>
              <w:rPr>
                <w:rFonts w:eastAsia="Times New Roman"/>
                <w:noProof/>
              </w:rPr>
            </w:pPr>
            <w:r>
              <w:rPr>
                <w:noProof/>
              </w:rPr>
              <w:t>Dispoziție legală care indică intrarea în vigoare a Legii organice</w:t>
            </w:r>
          </w:p>
        </w:tc>
        <w:tc>
          <w:tcPr>
            <w:tcW w:w="850" w:type="dxa"/>
            <w:shd w:val="clear" w:color="auto" w:fill="C6EFCE"/>
            <w:noWrap/>
          </w:tcPr>
          <w:p w14:paraId="0CA7DFF2" w14:textId="77777777" w:rsidR="00011DE9" w:rsidRDefault="00011DE9">
            <w:pPr>
              <w:pStyle w:val="P68B1DB1-Normal19"/>
              <w:spacing w:after="0" w:line="240" w:lineRule="auto"/>
              <w:jc w:val="center"/>
              <w:rPr>
                <w:rFonts w:eastAsia="Times New Roman"/>
                <w:noProof/>
              </w:rPr>
            </w:pPr>
            <w:r>
              <w:rPr>
                <w:noProof/>
              </w:rPr>
              <w:t xml:space="preserve"> </w:t>
            </w:r>
          </w:p>
        </w:tc>
        <w:tc>
          <w:tcPr>
            <w:tcW w:w="709" w:type="dxa"/>
            <w:shd w:val="clear" w:color="auto" w:fill="C6EFCE"/>
            <w:noWrap/>
          </w:tcPr>
          <w:p w14:paraId="1F470B53" w14:textId="77777777" w:rsidR="00011DE9" w:rsidRDefault="00011DE9">
            <w:pPr>
              <w:pStyle w:val="P68B1DB1-Normal19"/>
              <w:spacing w:after="0" w:line="240" w:lineRule="auto"/>
              <w:jc w:val="right"/>
              <w:rPr>
                <w:rFonts w:eastAsia="Times New Roman"/>
                <w:noProof/>
              </w:rPr>
            </w:pPr>
            <w:r>
              <w:rPr>
                <w:noProof/>
              </w:rPr>
              <w:t xml:space="preserve"> </w:t>
            </w:r>
          </w:p>
        </w:tc>
        <w:tc>
          <w:tcPr>
            <w:tcW w:w="1139" w:type="dxa"/>
            <w:shd w:val="clear" w:color="auto" w:fill="C6EFCE"/>
            <w:noWrap/>
          </w:tcPr>
          <w:p w14:paraId="038A42C7" w14:textId="77777777" w:rsidR="00011DE9" w:rsidRDefault="00011DE9">
            <w:pPr>
              <w:pStyle w:val="P68B1DB1-Normal19"/>
              <w:spacing w:after="0" w:line="240" w:lineRule="auto"/>
              <w:rPr>
                <w:rFonts w:eastAsia="Times New Roman"/>
                <w:noProof/>
              </w:rPr>
            </w:pPr>
            <w:r>
              <w:rPr>
                <w:noProof/>
              </w:rPr>
              <w:t xml:space="preserve"> </w:t>
            </w:r>
          </w:p>
        </w:tc>
        <w:tc>
          <w:tcPr>
            <w:tcW w:w="567" w:type="dxa"/>
            <w:shd w:val="clear" w:color="auto" w:fill="C6EFCE"/>
            <w:noWrap/>
          </w:tcPr>
          <w:p w14:paraId="6A3074AD" w14:textId="4556D028" w:rsidR="00011DE9" w:rsidRDefault="005701C9">
            <w:pPr>
              <w:pStyle w:val="P68B1DB1-Normal19"/>
              <w:spacing w:after="0" w:line="240" w:lineRule="auto"/>
              <w:jc w:val="center"/>
              <w:rPr>
                <w:rFonts w:eastAsia="Times New Roman"/>
                <w:noProof/>
              </w:rPr>
            </w:pPr>
            <w:r>
              <w:rPr>
                <w:noProof/>
              </w:rPr>
              <w:t>T2</w:t>
            </w:r>
          </w:p>
        </w:tc>
        <w:tc>
          <w:tcPr>
            <w:tcW w:w="567" w:type="dxa"/>
            <w:shd w:val="clear" w:color="auto" w:fill="C6EFCE"/>
            <w:noWrap/>
          </w:tcPr>
          <w:p w14:paraId="5FF90D60" w14:textId="77777777" w:rsidR="00011DE9" w:rsidRDefault="00011DE9">
            <w:pPr>
              <w:pStyle w:val="P68B1DB1-Normal19"/>
              <w:spacing w:after="0" w:line="240" w:lineRule="auto"/>
              <w:jc w:val="center"/>
              <w:rPr>
                <w:rFonts w:eastAsia="Times New Roman"/>
                <w:noProof/>
              </w:rPr>
            </w:pPr>
            <w:r>
              <w:rPr>
                <w:noProof/>
              </w:rPr>
              <w:t>2023</w:t>
            </w:r>
          </w:p>
        </w:tc>
        <w:tc>
          <w:tcPr>
            <w:tcW w:w="4962" w:type="dxa"/>
            <w:shd w:val="clear" w:color="auto" w:fill="C6EFCE"/>
            <w:noWrap/>
          </w:tcPr>
          <w:p w14:paraId="708317BB" w14:textId="77777777" w:rsidR="00011DE9" w:rsidRDefault="00011DE9">
            <w:pPr>
              <w:pStyle w:val="P68B1DB1-Normal19"/>
              <w:spacing w:after="0" w:line="240" w:lineRule="auto"/>
              <w:rPr>
                <w:rFonts w:eastAsia="Times New Roman"/>
                <w:noProof/>
              </w:rPr>
            </w:pPr>
            <w:r>
              <w:rPr>
                <w:noProof/>
              </w:rPr>
              <w:t>Noua lege organică și alte acte legislative și documente care vizează promovarea accesului la învățământul superior, asigurarea bunei guvernanțe a instituțiilor universitare și promovarea cercetării, a transferului și a mobilității personalului didactic și de cercetare. Reforma contribuie la sporirea relevanței învățământului superior pentru piața forței de muncă, inclusiv la promovarea cooperării cu instituțiile din sectorul privat și din sectorul terțiar și la introducerea finanțării bazate pe performanță a universităților publice.</w:t>
            </w:r>
          </w:p>
        </w:tc>
      </w:tr>
      <w:tr w:rsidR="00011DE9" w14:paraId="2D976760" w14:textId="77777777">
        <w:trPr>
          <w:trHeight w:val="309"/>
          <w:jc w:val="center"/>
        </w:trPr>
        <w:tc>
          <w:tcPr>
            <w:tcW w:w="709" w:type="dxa"/>
            <w:shd w:val="clear" w:color="auto" w:fill="C6EFCE"/>
            <w:noWrap/>
          </w:tcPr>
          <w:p w14:paraId="53785EEB" w14:textId="77777777" w:rsidR="00011DE9" w:rsidRDefault="00011DE9">
            <w:pPr>
              <w:pStyle w:val="P68B1DB1-Normal19"/>
              <w:spacing w:after="0" w:line="240" w:lineRule="auto"/>
              <w:jc w:val="center"/>
              <w:rPr>
                <w:rFonts w:eastAsia="Times New Roman"/>
                <w:noProof/>
              </w:rPr>
            </w:pPr>
            <w:r>
              <w:rPr>
                <w:noProof/>
              </w:rPr>
              <w:t>309</w:t>
            </w:r>
          </w:p>
        </w:tc>
        <w:tc>
          <w:tcPr>
            <w:tcW w:w="851" w:type="dxa"/>
            <w:shd w:val="clear" w:color="auto" w:fill="C6EFCE"/>
            <w:noWrap/>
          </w:tcPr>
          <w:p w14:paraId="4BDE3C4E" w14:textId="77777777" w:rsidR="00011DE9" w:rsidRDefault="00011DE9">
            <w:pPr>
              <w:pStyle w:val="P68B1DB1-Normal19"/>
              <w:spacing w:after="0" w:line="240" w:lineRule="auto"/>
              <w:jc w:val="center"/>
              <w:rPr>
                <w:rFonts w:eastAsia="Times New Roman"/>
                <w:noProof/>
              </w:rPr>
            </w:pPr>
            <w:r>
              <w:rPr>
                <w:noProof/>
              </w:rPr>
              <w:t>C21.I1</w:t>
            </w:r>
          </w:p>
        </w:tc>
        <w:tc>
          <w:tcPr>
            <w:tcW w:w="850" w:type="dxa"/>
            <w:shd w:val="clear" w:color="auto" w:fill="C6EFCE"/>
            <w:noWrap/>
          </w:tcPr>
          <w:p w14:paraId="27BC5B7F" w14:textId="77777777" w:rsidR="00011DE9" w:rsidRDefault="00011DE9">
            <w:pPr>
              <w:pStyle w:val="P68B1DB1-Normal19"/>
              <w:spacing w:after="0" w:line="240" w:lineRule="auto"/>
              <w:jc w:val="center"/>
              <w:rPr>
                <w:rFonts w:eastAsia="Times New Roman"/>
                <w:noProof/>
              </w:rPr>
            </w:pPr>
            <w:r>
              <w:rPr>
                <w:noProof/>
              </w:rPr>
              <w:t>T</w:t>
            </w:r>
          </w:p>
        </w:tc>
        <w:tc>
          <w:tcPr>
            <w:tcW w:w="1980" w:type="dxa"/>
            <w:shd w:val="clear" w:color="auto" w:fill="C6EFCE"/>
            <w:noWrap/>
          </w:tcPr>
          <w:p w14:paraId="000EE4D7" w14:textId="77777777" w:rsidR="00011DE9" w:rsidRDefault="00011DE9">
            <w:pPr>
              <w:pStyle w:val="P68B1DB1-Normal19"/>
              <w:spacing w:after="0" w:line="240" w:lineRule="auto"/>
              <w:rPr>
                <w:rFonts w:eastAsia="Times New Roman"/>
                <w:noProof/>
              </w:rPr>
            </w:pPr>
            <w:r>
              <w:rPr>
                <w:noProof/>
              </w:rPr>
              <w:t xml:space="preserve">Noi locuri pentru primul ciclu de educație timpurie </w:t>
            </w:r>
          </w:p>
        </w:tc>
        <w:tc>
          <w:tcPr>
            <w:tcW w:w="2126" w:type="dxa"/>
            <w:shd w:val="clear" w:color="auto" w:fill="C6EFCE"/>
            <w:noWrap/>
          </w:tcPr>
          <w:p w14:paraId="566DCD71" w14:textId="77777777" w:rsidR="00011DE9" w:rsidRDefault="00011DE9">
            <w:pPr>
              <w:pStyle w:val="P68B1DB1-Normal19"/>
              <w:spacing w:after="0" w:line="240" w:lineRule="auto"/>
              <w:jc w:val="center"/>
              <w:rPr>
                <w:rFonts w:eastAsia="Times New Roman"/>
                <w:noProof/>
              </w:rPr>
            </w:pPr>
            <w:r>
              <w:rPr>
                <w:noProof/>
              </w:rPr>
              <w:t>—</w:t>
            </w:r>
          </w:p>
        </w:tc>
        <w:tc>
          <w:tcPr>
            <w:tcW w:w="850" w:type="dxa"/>
            <w:shd w:val="clear" w:color="auto" w:fill="C6EFCE"/>
            <w:noWrap/>
          </w:tcPr>
          <w:p w14:paraId="4D6F50E0" w14:textId="77777777" w:rsidR="00011DE9" w:rsidRDefault="00011DE9">
            <w:pPr>
              <w:pStyle w:val="P68B1DB1-Normal19"/>
              <w:spacing w:after="0" w:line="240" w:lineRule="auto"/>
              <w:jc w:val="center"/>
              <w:rPr>
                <w:rFonts w:eastAsia="Times New Roman"/>
                <w:noProof/>
              </w:rPr>
            </w:pPr>
            <w:r>
              <w:rPr>
                <w:noProof/>
              </w:rPr>
              <w:t>Număr</w:t>
            </w:r>
          </w:p>
        </w:tc>
        <w:tc>
          <w:tcPr>
            <w:tcW w:w="709" w:type="dxa"/>
            <w:shd w:val="clear" w:color="auto" w:fill="C6EFCE"/>
            <w:noWrap/>
          </w:tcPr>
          <w:p w14:paraId="427E8D46" w14:textId="77777777" w:rsidR="00011DE9" w:rsidRDefault="00011DE9">
            <w:pPr>
              <w:pStyle w:val="P68B1DB1-Normal19"/>
              <w:spacing w:after="0" w:line="240" w:lineRule="auto"/>
              <w:jc w:val="center"/>
              <w:rPr>
                <w:rFonts w:eastAsia="Times New Roman"/>
                <w:noProof/>
              </w:rPr>
            </w:pPr>
            <w:r>
              <w:rPr>
                <w:noProof/>
              </w:rPr>
              <w:t>0</w:t>
            </w:r>
          </w:p>
        </w:tc>
        <w:tc>
          <w:tcPr>
            <w:tcW w:w="1139" w:type="dxa"/>
            <w:shd w:val="clear" w:color="auto" w:fill="C6EFCE"/>
            <w:noWrap/>
          </w:tcPr>
          <w:p w14:paraId="0BFE7F7D" w14:textId="77777777" w:rsidR="00011DE9" w:rsidRDefault="00011DE9">
            <w:pPr>
              <w:pStyle w:val="P68B1DB1-Normal22"/>
              <w:spacing w:after="0" w:line="240" w:lineRule="auto"/>
              <w:rPr>
                <w:noProof/>
              </w:rPr>
            </w:pPr>
            <w:r>
              <w:rPr>
                <w:noProof/>
              </w:rPr>
              <w:t>45 611 </w:t>
            </w:r>
          </w:p>
        </w:tc>
        <w:tc>
          <w:tcPr>
            <w:tcW w:w="567" w:type="dxa"/>
            <w:shd w:val="clear" w:color="auto" w:fill="C6EFCE"/>
            <w:noWrap/>
          </w:tcPr>
          <w:p w14:paraId="3D6D95B5" w14:textId="7663A5AF" w:rsidR="00011DE9" w:rsidRDefault="005701C9">
            <w:pPr>
              <w:pStyle w:val="P68B1DB1-Normal19"/>
              <w:spacing w:after="0" w:line="240" w:lineRule="auto"/>
              <w:jc w:val="center"/>
              <w:rPr>
                <w:rFonts w:eastAsia="Times New Roman"/>
                <w:noProof/>
              </w:rPr>
            </w:pPr>
            <w:r>
              <w:rPr>
                <w:noProof/>
              </w:rPr>
              <w:t>T2</w:t>
            </w:r>
          </w:p>
        </w:tc>
        <w:tc>
          <w:tcPr>
            <w:tcW w:w="567" w:type="dxa"/>
            <w:shd w:val="clear" w:color="auto" w:fill="C6EFCE"/>
            <w:noWrap/>
          </w:tcPr>
          <w:p w14:paraId="30151C8B" w14:textId="77777777" w:rsidR="00011DE9" w:rsidRDefault="00011DE9">
            <w:pPr>
              <w:pStyle w:val="P68B1DB1-Normal19"/>
              <w:spacing w:after="0" w:line="240" w:lineRule="auto"/>
              <w:jc w:val="center"/>
              <w:rPr>
                <w:rFonts w:eastAsia="Times New Roman"/>
                <w:noProof/>
              </w:rPr>
            </w:pPr>
            <w:r>
              <w:rPr>
                <w:noProof/>
              </w:rPr>
              <w:t>2026</w:t>
            </w:r>
          </w:p>
        </w:tc>
        <w:tc>
          <w:tcPr>
            <w:tcW w:w="4962" w:type="dxa"/>
            <w:shd w:val="clear" w:color="auto" w:fill="C6EFCE"/>
            <w:noWrap/>
          </w:tcPr>
          <w:p w14:paraId="34F4C787" w14:textId="77777777" w:rsidR="00011DE9" w:rsidRDefault="00011DE9">
            <w:pPr>
              <w:pStyle w:val="P68B1DB1-Normal22"/>
              <w:spacing w:after="0" w:line="240" w:lineRule="auto"/>
              <w:rPr>
                <w:noProof/>
              </w:rPr>
            </w:pPr>
            <w:r>
              <w:rPr>
                <w:noProof/>
              </w:rPr>
              <w:t>Publicarea în Jurnalul Oficial a actelor juridice care documentează crearea a 45 611 de noi locuri de școlarizare în domeniul educației și îngrijirii timpurii (ECEC), aflate în proprietate publică.</w:t>
            </w:r>
          </w:p>
        </w:tc>
      </w:tr>
      <w:tr w:rsidR="00011DE9" w14:paraId="5EE7852D" w14:textId="77777777">
        <w:trPr>
          <w:trHeight w:val="309"/>
          <w:jc w:val="center"/>
        </w:trPr>
        <w:tc>
          <w:tcPr>
            <w:tcW w:w="709" w:type="dxa"/>
            <w:shd w:val="clear" w:color="auto" w:fill="C6EFCE"/>
            <w:noWrap/>
          </w:tcPr>
          <w:p w14:paraId="2465A5D8" w14:textId="77777777" w:rsidR="00011DE9" w:rsidRDefault="00011DE9">
            <w:pPr>
              <w:pStyle w:val="P68B1DB1-Normal19"/>
              <w:spacing w:after="0" w:line="240" w:lineRule="auto"/>
              <w:jc w:val="center"/>
              <w:rPr>
                <w:rFonts w:eastAsia="Times New Roman"/>
                <w:noProof/>
              </w:rPr>
            </w:pPr>
            <w:r>
              <w:rPr>
                <w:noProof/>
              </w:rPr>
              <w:t>310</w:t>
            </w:r>
          </w:p>
        </w:tc>
        <w:tc>
          <w:tcPr>
            <w:tcW w:w="851" w:type="dxa"/>
            <w:shd w:val="clear" w:color="auto" w:fill="C6EFCE"/>
            <w:noWrap/>
          </w:tcPr>
          <w:p w14:paraId="6A980C62" w14:textId="77777777" w:rsidR="00011DE9" w:rsidRDefault="00011DE9">
            <w:pPr>
              <w:pStyle w:val="P68B1DB1-Normal19"/>
              <w:spacing w:after="0" w:line="240" w:lineRule="auto"/>
              <w:jc w:val="center"/>
              <w:rPr>
                <w:rFonts w:eastAsia="Times New Roman"/>
                <w:noProof/>
              </w:rPr>
            </w:pPr>
            <w:r>
              <w:rPr>
                <w:noProof/>
              </w:rPr>
              <w:t>C21.I2</w:t>
            </w:r>
          </w:p>
        </w:tc>
        <w:tc>
          <w:tcPr>
            <w:tcW w:w="850" w:type="dxa"/>
            <w:shd w:val="clear" w:color="auto" w:fill="C6EFCE"/>
            <w:noWrap/>
          </w:tcPr>
          <w:p w14:paraId="661FFF4A" w14:textId="77777777" w:rsidR="00011DE9" w:rsidRDefault="00011DE9">
            <w:pPr>
              <w:pStyle w:val="P68B1DB1-Normal19"/>
              <w:spacing w:after="0" w:line="240" w:lineRule="auto"/>
              <w:jc w:val="center"/>
              <w:rPr>
                <w:rFonts w:eastAsia="Times New Roman"/>
                <w:noProof/>
              </w:rPr>
            </w:pPr>
            <w:r>
              <w:rPr>
                <w:noProof/>
              </w:rPr>
              <w:t>T</w:t>
            </w:r>
          </w:p>
        </w:tc>
        <w:tc>
          <w:tcPr>
            <w:tcW w:w="1980" w:type="dxa"/>
            <w:shd w:val="clear" w:color="auto" w:fill="C6EFCE"/>
            <w:noWrap/>
          </w:tcPr>
          <w:p w14:paraId="7491A51A" w14:textId="377286BC" w:rsidR="00011DE9" w:rsidRDefault="00011DE9">
            <w:pPr>
              <w:pStyle w:val="P68B1DB1-Normal22"/>
              <w:spacing w:after="0" w:line="240" w:lineRule="auto"/>
              <w:rPr>
                <w:noProof/>
              </w:rPr>
            </w:pPr>
            <w:r>
              <w:rPr>
                <w:noProof/>
              </w:rPr>
              <w:t>Semnarea acordurilor în cadrul programului PROA +</w:t>
            </w:r>
            <w:r w:rsidR="00971820">
              <w:rPr>
                <w:noProof/>
              </w:rPr>
              <w:t xml:space="preserve"> </w:t>
            </w:r>
          </w:p>
        </w:tc>
        <w:tc>
          <w:tcPr>
            <w:tcW w:w="2126" w:type="dxa"/>
            <w:shd w:val="clear" w:color="auto" w:fill="C6EFCE"/>
            <w:noWrap/>
          </w:tcPr>
          <w:p w14:paraId="1277D3E1" w14:textId="77777777" w:rsidR="00011DE9" w:rsidRDefault="00011DE9">
            <w:pPr>
              <w:pStyle w:val="P68B1DB1-Normal19"/>
              <w:spacing w:after="0" w:line="240" w:lineRule="auto"/>
              <w:jc w:val="center"/>
              <w:rPr>
                <w:rFonts w:eastAsia="Times New Roman"/>
                <w:noProof/>
              </w:rPr>
            </w:pPr>
            <w:r>
              <w:rPr>
                <w:noProof/>
              </w:rPr>
              <w:t>—</w:t>
            </w:r>
          </w:p>
        </w:tc>
        <w:tc>
          <w:tcPr>
            <w:tcW w:w="850" w:type="dxa"/>
            <w:shd w:val="clear" w:color="auto" w:fill="C6EFCE"/>
            <w:noWrap/>
          </w:tcPr>
          <w:p w14:paraId="1A0814EA" w14:textId="77777777" w:rsidR="00011DE9" w:rsidRDefault="00011DE9">
            <w:pPr>
              <w:pStyle w:val="P68B1DB1-Normal19"/>
              <w:spacing w:after="0" w:line="240" w:lineRule="auto"/>
              <w:jc w:val="center"/>
              <w:rPr>
                <w:rFonts w:eastAsia="Times New Roman"/>
                <w:noProof/>
              </w:rPr>
            </w:pPr>
            <w:r>
              <w:rPr>
                <w:noProof/>
              </w:rPr>
              <w:t>Număr</w:t>
            </w:r>
          </w:p>
        </w:tc>
        <w:tc>
          <w:tcPr>
            <w:tcW w:w="709" w:type="dxa"/>
            <w:shd w:val="clear" w:color="auto" w:fill="C6EFCE"/>
            <w:noWrap/>
          </w:tcPr>
          <w:p w14:paraId="431714FF" w14:textId="77777777" w:rsidR="00011DE9" w:rsidRDefault="00011DE9">
            <w:pPr>
              <w:pStyle w:val="P68B1DB1-Normal19"/>
              <w:spacing w:after="0" w:line="240" w:lineRule="auto"/>
              <w:jc w:val="right"/>
              <w:rPr>
                <w:rFonts w:eastAsia="Times New Roman"/>
                <w:noProof/>
              </w:rPr>
            </w:pPr>
            <w:r>
              <w:rPr>
                <w:noProof/>
              </w:rPr>
              <w:t>0</w:t>
            </w:r>
          </w:p>
        </w:tc>
        <w:tc>
          <w:tcPr>
            <w:tcW w:w="1139" w:type="dxa"/>
            <w:shd w:val="clear" w:color="auto" w:fill="C6EFCE"/>
            <w:noWrap/>
          </w:tcPr>
          <w:p w14:paraId="678D591F" w14:textId="77777777" w:rsidR="00011DE9" w:rsidRDefault="00011DE9">
            <w:pPr>
              <w:pStyle w:val="P68B1DB1-Normal19"/>
              <w:spacing w:after="0" w:line="240" w:lineRule="auto"/>
              <w:rPr>
                <w:rFonts w:eastAsia="Times New Roman"/>
                <w:noProof/>
              </w:rPr>
            </w:pPr>
            <w:r>
              <w:rPr>
                <w:noProof/>
              </w:rPr>
              <w:t>2 700</w:t>
            </w:r>
          </w:p>
        </w:tc>
        <w:tc>
          <w:tcPr>
            <w:tcW w:w="567" w:type="dxa"/>
            <w:shd w:val="clear" w:color="auto" w:fill="C6EFCE"/>
            <w:noWrap/>
          </w:tcPr>
          <w:p w14:paraId="34A0D5FA" w14:textId="491CFB3B" w:rsidR="00011DE9" w:rsidRDefault="005701C9">
            <w:pPr>
              <w:pStyle w:val="P68B1DB1-Normal19"/>
              <w:spacing w:after="0" w:line="240" w:lineRule="auto"/>
              <w:jc w:val="center"/>
              <w:rPr>
                <w:rFonts w:eastAsia="Times New Roman"/>
                <w:noProof/>
              </w:rPr>
            </w:pPr>
            <w:r>
              <w:rPr>
                <w:noProof/>
              </w:rPr>
              <w:t>T4</w:t>
            </w:r>
          </w:p>
        </w:tc>
        <w:tc>
          <w:tcPr>
            <w:tcW w:w="567" w:type="dxa"/>
            <w:shd w:val="clear" w:color="auto" w:fill="C6EFCE"/>
            <w:noWrap/>
          </w:tcPr>
          <w:p w14:paraId="193D97E3" w14:textId="77777777" w:rsidR="00011DE9" w:rsidRDefault="00011DE9">
            <w:pPr>
              <w:pStyle w:val="P68B1DB1-Normal19"/>
              <w:spacing w:after="0" w:line="240" w:lineRule="auto"/>
              <w:jc w:val="center"/>
              <w:rPr>
                <w:rFonts w:eastAsia="Times New Roman"/>
                <w:noProof/>
              </w:rPr>
            </w:pPr>
            <w:r>
              <w:rPr>
                <w:noProof/>
              </w:rPr>
              <w:t>2025</w:t>
            </w:r>
          </w:p>
        </w:tc>
        <w:tc>
          <w:tcPr>
            <w:tcW w:w="4962" w:type="dxa"/>
            <w:shd w:val="clear" w:color="auto" w:fill="C6EFCE"/>
            <w:noWrap/>
          </w:tcPr>
          <w:p w14:paraId="6AF89E8D" w14:textId="77777777" w:rsidR="00011DE9" w:rsidRDefault="00011DE9">
            <w:pPr>
              <w:pStyle w:val="P68B1DB1-Normal49"/>
              <w:spacing w:after="0" w:line="240" w:lineRule="auto"/>
              <w:rPr>
                <w:noProof/>
                <w:sz w:val="18"/>
                <w:szCs w:val="18"/>
              </w:rPr>
            </w:pPr>
            <w:r>
              <w:rPr>
                <w:noProof/>
                <w:sz w:val="18"/>
                <w:szCs w:val="18"/>
              </w:rPr>
              <w:t>2</w:t>
            </w:r>
            <w:r>
              <w:rPr>
                <w:noProof/>
                <w:sz w:val="20"/>
                <w:szCs w:val="20"/>
              </w:rPr>
              <w:t xml:space="preserve"> </w:t>
            </w:r>
            <w:r>
              <w:rPr>
                <w:noProof/>
                <w:sz w:val="18"/>
                <w:szCs w:val="18"/>
              </w:rPr>
              <w:t>700 de centre educaționale semnează acorduri între 2021 și 2023 care reflectă angajamentele lor de a participa la programul PROA +.</w:t>
            </w:r>
          </w:p>
        </w:tc>
      </w:tr>
      <w:tr w:rsidR="00011DE9" w14:paraId="4B057CF9" w14:textId="77777777">
        <w:trPr>
          <w:trHeight w:val="309"/>
          <w:jc w:val="center"/>
        </w:trPr>
        <w:tc>
          <w:tcPr>
            <w:tcW w:w="709" w:type="dxa"/>
            <w:shd w:val="clear" w:color="auto" w:fill="C6EFCE"/>
            <w:noWrap/>
          </w:tcPr>
          <w:p w14:paraId="72ECF639" w14:textId="77777777" w:rsidR="00011DE9" w:rsidRDefault="00011DE9">
            <w:pPr>
              <w:pStyle w:val="P68B1DB1-Normal19"/>
              <w:spacing w:after="0" w:line="240" w:lineRule="auto"/>
              <w:jc w:val="center"/>
              <w:rPr>
                <w:rFonts w:eastAsia="Times New Roman"/>
                <w:noProof/>
              </w:rPr>
            </w:pPr>
            <w:r>
              <w:rPr>
                <w:noProof/>
              </w:rPr>
              <w:t>311</w:t>
            </w:r>
          </w:p>
        </w:tc>
        <w:tc>
          <w:tcPr>
            <w:tcW w:w="851" w:type="dxa"/>
            <w:shd w:val="clear" w:color="auto" w:fill="C6EFCE"/>
            <w:noWrap/>
          </w:tcPr>
          <w:p w14:paraId="07AED19C" w14:textId="77777777" w:rsidR="00011DE9" w:rsidRDefault="00011DE9">
            <w:pPr>
              <w:pStyle w:val="P68B1DB1-Normal19"/>
              <w:spacing w:after="0" w:line="240" w:lineRule="auto"/>
              <w:jc w:val="center"/>
              <w:rPr>
                <w:rFonts w:eastAsia="Times New Roman"/>
                <w:noProof/>
              </w:rPr>
            </w:pPr>
            <w:r>
              <w:rPr>
                <w:noProof/>
              </w:rPr>
              <w:t>C21.I3</w:t>
            </w:r>
          </w:p>
        </w:tc>
        <w:tc>
          <w:tcPr>
            <w:tcW w:w="850" w:type="dxa"/>
            <w:shd w:val="clear" w:color="auto" w:fill="C6EFCE"/>
            <w:noWrap/>
          </w:tcPr>
          <w:p w14:paraId="58AC0C89" w14:textId="77777777" w:rsidR="00011DE9" w:rsidRDefault="00011DE9">
            <w:pPr>
              <w:pStyle w:val="P68B1DB1-Normal19"/>
              <w:spacing w:after="0" w:line="240" w:lineRule="auto"/>
              <w:jc w:val="center"/>
              <w:rPr>
                <w:rFonts w:eastAsia="Times New Roman"/>
                <w:noProof/>
              </w:rPr>
            </w:pPr>
            <w:r>
              <w:rPr>
                <w:noProof/>
              </w:rPr>
              <w:t>T</w:t>
            </w:r>
          </w:p>
        </w:tc>
        <w:tc>
          <w:tcPr>
            <w:tcW w:w="1980" w:type="dxa"/>
            <w:shd w:val="clear" w:color="auto" w:fill="C6EFCE"/>
            <w:noWrap/>
          </w:tcPr>
          <w:p w14:paraId="5B69CCD1" w14:textId="77777777" w:rsidR="00011DE9" w:rsidRDefault="00011DE9">
            <w:pPr>
              <w:pStyle w:val="P68B1DB1-Normal22"/>
              <w:spacing w:after="0" w:line="240" w:lineRule="auto"/>
              <w:rPr>
                <w:noProof/>
              </w:rPr>
            </w:pPr>
            <w:r>
              <w:rPr>
                <w:noProof/>
              </w:rPr>
              <w:t>Acorduri de participare semnate de centrele educaționale pentru sprijinul oferit de unitățile de însoțire și de orientare</w:t>
            </w:r>
          </w:p>
        </w:tc>
        <w:tc>
          <w:tcPr>
            <w:tcW w:w="2126" w:type="dxa"/>
            <w:shd w:val="clear" w:color="auto" w:fill="C6EFCE"/>
            <w:noWrap/>
          </w:tcPr>
          <w:p w14:paraId="04E36118" w14:textId="77777777" w:rsidR="00011DE9" w:rsidRDefault="00011DE9">
            <w:pPr>
              <w:pStyle w:val="P68B1DB1-Normal19"/>
              <w:spacing w:after="0" w:line="240" w:lineRule="auto"/>
              <w:jc w:val="center"/>
              <w:rPr>
                <w:rFonts w:eastAsia="Times New Roman"/>
                <w:noProof/>
              </w:rPr>
            </w:pPr>
            <w:r>
              <w:rPr>
                <w:noProof/>
              </w:rPr>
              <w:t>—</w:t>
            </w:r>
          </w:p>
        </w:tc>
        <w:tc>
          <w:tcPr>
            <w:tcW w:w="850" w:type="dxa"/>
            <w:shd w:val="clear" w:color="auto" w:fill="C6EFCE"/>
            <w:noWrap/>
          </w:tcPr>
          <w:p w14:paraId="2210902A" w14:textId="77777777" w:rsidR="00011DE9" w:rsidRDefault="00011DE9">
            <w:pPr>
              <w:pStyle w:val="P68B1DB1-Normal19"/>
              <w:spacing w:after="0" w:line="240" w:lineRule="auto"/>
              <w:jc w:val="center"/>
              <w:rPr>
                <w:rFonts w:eastAsia="Times New Roman"/>
                <w:noProof/>
              </w:rPr>
            </w:pPr>
            <w:r>
              <w:rPr>
                <w:noProof/>
              </w:rPr>
              <w:t>Număr</w:t>
            </w:r>
          </w:p>
        </w:tc>
        <w:tc>
          <w:tcPr>
            <w:tcW w:w="709" w:type="dxa"/>
            <w:shd w:val="clear" w:color="auto" w:fill="C6EFCE"/>
            <w:noWrap/>
          </w:tcPr>
          <w:p w14:paraId="707768CE" w14:textId="77777777" w:rsidR="00011DE9" w:rsidRDefault="00011DE9">
            <w:pPr>
              <w:pStyle w:val="P68B1DB1-Normal19"/>
              <w:spacing w:after="0" w:line="240" w:lineRule="auto"/>
              <w:jc w:val="right"/>
              <w:rPr>
                <w:rFonts w:eastAsia="Times New Roman"/>
                <w:noProof/>
              </w:rPr>
            </w:pPr>
            <w:r>
              <w:rPr>
                <w:noProof/>
              </w:rPr>
              <w:t>0</w:t>
            </w:r>
          </w:p>
        </w:tc>
        <w:tc>
          <w:tcPr>
            <w:tcW w:w="1139" w:type="dxa"/>
            <w:shd w:val="clear" w:color="auto" w:fill="C6EFCE"/>
            <w:noWrap/>
          </w:tcPr>
          <w:p w14:paraId="2FFCA6F7" w14:textId="77777777" w:rsidR="00011DE9" w:rsidRDefault="00011DE9">
            <w:pPr>
              <w:pStyle w:val="P68B1DB1-Normal22"/>
              <w:spacing w:after="0" w:line="240" w:lineRule="auto"/>
              <w:rPr>
                <w:noProof/>
              </w:rPr>
            </w:pPr>
            <w:r>
              <w:rPr>
                <w:noProof/>
              </w:rPr>
              <w:t>6 200 </w:t>
            </w:r>
          </w:p>
        </w:tc>
        <w:tc>
          <w:tcPr>
            <w:tcW w:w="567" w:type="dxa"/>
            <w:shd w:val="clear" w:color="auto" w:fill="C6EFCE"/>
            <w:noWrap/>
          </w:tcPr>
          <w:p w14:paraId="0A9E1C96" w14:textId="682DA5CC" w:rsidR="00011DE9" w:rsidRDefault="005701C9">
            <w:pPr>
              <w:pStyle w:val="P68B1DB1-Normal19"/>
              <w:spacing w:after="0" w:line="240" w:lineRule="auto"/>
              <w:jc w:val="center"/>
              <w:rPr>
                <w:rFonts w:eastAsia="Times New Roman"/>
                <w:noProof/>
              </w:rPr>
            </w:pPr>
            <w:r>
              <w:rPr>
                <w:noProof/>
              </w:rPr>
              <w:t>T2</w:t>
            </w:r>
          </w:p>
        </w:tc>
        <w:tc>
          <w:tcPr>
            <w:tcW w:w="567" w:type="dxa"/>
            <w:shd w:val="clear" w:color="auto" w:fill="C6EFCE"/>
            <w:noWrap/>
          </w:tcPr>
          <w:p w14:paraId="6EBB6B93" w14:textId="77777777" w:rsidR="00011DE9" w:rsidRDefault="00011DE9">
            <w:pPr>
              <w:pStyle w:val="P68B1DB1-Normal19"/>
              <w:spacing w:after="0" w:line="240" w:lineRule="auto"/>
              <w:jc w:val="center"/>
              <w:rPr>
                <w:rFonts w:eastAsia="Times New Roman"/>
                <w:noProof/>
              </w:rPr>
            </w:pPr>
            <w:r>
              <w:rPr>
                <w:noProof/>
              </w:rPr>
              <w:t>2026</w:t>
            </w:r>
          </w:p>
        </w:tc>
        <w:tc>
          <w:tcPr>
            <w:tcW w:w="4962" w:type="dxa"/>
            <w:shd w:val="clear" w:color="auto" w:fill="C6EFCE"/>
            <w:noWrap/>
          </w:tcPr>
          <w:p w14:paraId="271AD260" w14:textId="212663D6" w:rsidR="00011DE9" w:rsidRDefault="00011DE9">
            <w:pPr>
              <w:pStyle w:val="P68B1DB1-Normal20"/>
              <w:spacing w:after="0" w:line="240" w:lineRule="auto"/>
              <w:rPr>
                <w:rFonts w:eastAsia="Times New Roman" w:cs="Times New Roman"/>
                <w:noProof/>
              </w:rPr>
            </w:pPr>
            <w:r>
              <w:rPr>
                <w:noProof/>
              </w:rPr>
              <w:t>6 200 centrele educaționale trebuie să semneze acorduri de participare pentru sprijinul acordat elevilor vulnerabili de către unitățile de însoțire și de orientare. Fiecare comunitate autonomă prezintă un raport de evaluare privind prestarea de servicii.</w:t>
            </w:r>
            <w:r w:rsidR="00971820">
              <w:rPr>
                <w:noProof/>
              </w:rPr>
              <w:t xml:space="preserve"> </w:t>
            </w:r>
          </w:p>
        </w:tc>
      </w:tr>
      <w:tr w:rsidR="00011DE9" w14:paraId="0BFFF572" w14:textId="77777777">
        <w:trPr>
          <w:trHeight w:val="309"/>
          <w:jc w:val="center"/>
        </w:trPr>
        <w:tc>
          <w:tcPr>
            <w:tcW w:w="709" w:type="dxa"/>
            <w:shd w:val="clear" w:color="auto" w:fill="C6EFCE"/>
            <w:noWrap/>
          </w:tcPr>
          <w:p w14:paraId="2C983CF7" w14:textId="77777777" w:rsidR="00011DE9" w:rsidRDefault="00011DE9">
            <w:pPr>
              <w:pStyle w:val="P68B1DB1-Normal19"/>
              <w:spacing w:after="0" w:line="240" w:lineRule="auto"/>
              <w:jc w:val="center"/>
              <w:rPr>
                <w:rFonts w:eastAsia="Times New Roman"/>
                <w:noProof/>
              </w:rPr>
            </w:pPr>
            <w:r>
              <w:rPr>
                <w:noProof/>
              </w:rPr>
              <w:t>312</w:t>
            </w:r>
          </w:p>
        </w:tc>
        <w:tc>
          <w:tcPr>
            <w:tcW w:w="851" w:type="dxa"/>
            <w:shd w:val="clear" w:color="auto" w:fill="C6EFCE"/>
            <w:noWrap/>
          </w:tcPr>
          <w:p w14:paraId="6767A7C5" w14:textId="77777777" w:rsidR="00011DE9" w:rsidRDefault="00011DE9">
            <w:pPr>
              <w:pStyle w:val="P68B1DB1-Normal19"/>
              <w:spacing w:after="0" w:line="240" w:lineRule="auto"/>
              <w:jc w:val="center"/>
              <w:rPr>
                <w:rFonts w:eastAsia="Times New Roman"/>
                <w:noProof/>
              </w:rPr>
            </w:pPr>
            <w:r>
              <w:rPr>
                <w:noProof/>
              </w:rPr>
              <w:t>C21.I4</w:t>
            </w:r>
          </w:p>
        </w:tc>
        <w:tc>
          <w:tcPr>
            <w:tcW w:w="850" w:type="dxa"/>
            <w:shd w:val="clear" w:color="auto" w:fill="C6EFCE"/>
            <w:noWrap/>
          </w:tcPr>
          <w:p w14:paraId="0E9C1AD1" w14:textId="77777777" w:rsidR="00011DE9" w:rsidRDefault="00011DE9">
            <w:pPr>
              <w:pStyle w:val="P68B1DB1-Normal19"/>
              <w:spacing w:after="0" w:line="240" w:lineRule="auto"/>
              <w:jc w:val="center"/>
              <w:rPr>
                <w:rFonts w:eastAsia="Times New Roman"/>
                <w:noProof/>
              </w:rPr>
            </w:pPr>
            <w:r>
              <w:rPr>
                <w:noProof/>
              </w:rPr>
              <w:t>T</w:t>
            </w:r>
          </w:p>
        </w:tc>
        <w:tc>
          <w:tcPr>
            <w:tcW w:w="1980" w:type="dxa"/>
            <w:shd w:val="clear" w:color="auto" w:fill="C6EFCE"/>
            <w:noWrap/>
          </w:tcPr>
          <w:p w14:paraId="15BD8D22" w14:textId="77777777" w:rsidR="00011DE9" w:rsidRDefault="00011DE9">
            <w:pPr>
              <w:pStyle w:val="P68B1DB1-Normal19"/>
              <w:spacing w:after="0" w:line="240" w:lineRule="auto"/>
              <w:rPr>
                <w:rFonts w:eastAsia="Times New Roman"/>
                <w:noProof/>
              </w:rPr>
            </w:pPr>
            <w:r>
              <w:rPr>
                <w:noProof/>
              </w:rPr>
              <w:t xml:space="preserve">Granturi acordate cercetătorilor postdoctorali și conferențiarilor universitari </w:t>
            </w:r>
          </w:p>
        </w:tc>
        <w:tc>
          <w:tcPr>
            <w:tcW w:w="2126" w:type="dxa"/>
            <w:shd w:val="clear" w:color="auto" w:fill="C6EFCE"/>
            <w:noWrap/>
          </w:tcPr>
          <w:p w14:paraId="23DC1696" w14:textId="77777777" w:rsidR="00011DE9" w:rsidRDefault="00011DE9">
            <w:pPr>
              <w:pStyle w:val="P68B1DB1-Normal19"/>
              <w:spacing w:after="0" w:line="240" w:lineRule="auto"/>
              <w:jc w:val="center"/>
              <w:rPr>
                <w:rFonts w:eastAsia="Times New Roman"/>
                <w:noProof/>
              </w:rPr>
            </w:pPr>
            <w:r>
              <w:rPr>
                <w:noProof/>
              </w:rPr>
              <w:t>—</w:t>
            </w:r>
          </w:p>
        </w:tc>
        <w:tc>
          <w:tcPr>
            <w:tcW w:w="850" w:type="dxa"/>
            <w:shd w:val="clear" w:color="auto" w:fill="C6EFCE"/>
            <w:noWrap/>
          </w:tcPr>
          <w:p w14:paraId="4D5B4C09" w14:textId="77777777" w:rsidR="00011DE9" w:rsidRDefault="00011DE9">
            <w:pPr>
              <w:pStyle w:val="P68B1DB1-Normal19"/>
              <w:spacing w:after="0" w:line="240" w:lineRule="auto"/>
              <w:jc w:val="center"/>
              <w:rPr>
                <w:rFonts w:eastAsia="Times New Roman"/>
                <w:noProof/>
              </w:rPr>
            </w:pPr>
            <w:r>
              <w:rPr>
                <w:noProof/>
              </w:rPr>
              <w:t>Număr</w:t>
            </w:r>
          </w:p>
        </w:tc>
        <w:tc>
          <w:tcPr>
            <w:tcW w:w="709" w:type="dxa"/>
            <w:shd w:val="clear" w:color="auto" w:fill="C6EFCE"/>
            <w:noWrap/>
          </w:tcPr>
          <w:p w14:paraId="4280E36A" w14:textId="77777777" w:rsidR="00011DE9" w:rsidRDefault="00011DE9">
            <w:pPr>
              <w:pStyle w:val="P68B1DB1-Normal19"/>
              <w:spacing w:after="0" w:line="240" w:lineRule="auto"/>
              <w:jc w:val="right"/>
              <w:rPr>
                <w:rFonts w:eastAsia="Times New Roman"/>
                <w:noProof/>
              </w:rPr>
            </w:pPr>
            <w:r>
              <w:rPr>
                <w:noProof/>
              </w:rPr>
              <w:t>0</w:t>
            </w:r>
          </w:p>
        </w:tc>
        <w:tc>
          <w:tcPr>
            <w:tcW w:w="1139" w:type="dxa"/>
            <w:shd w:val="clear" w:color="auto" w:fill="C6EFCE"/>
            <w:noWrap/>
          </w:tcPr>
          <w:p w14:paraId="65A133CB" w14:textId="77777777" w:rsidR="00011DE9" w:rsidRDefault="00011DE9">
            <w:pPr>
              <w:pStyle w:val="P68B1DB1-Normal19"/>
              <w:spacing w:after="0" w:line="240" w:lineRule="auto"/>
              <w:rPr>
                <w:rFonts w:eastAsia="Times New Roman"/>
                <w:noProof/>
              </w:rPr>
            </w:pPr>
            <w:r>
              <w:rPr>
                <w:noProof/>
              </w:rPr>
              <w:t>2 600</w:t>
            </w:r>
          </w:p>
        </w:tc>
        <w:tc>
          <w:tcPr>
            <w:tcW w:w="567" w:type="dxa"/>
            <w:shd w:val="clear" w:color="auto" w:fill="C6EFCE"/>
            <w:noWrap/>
          </w:tcPr>
          <w:p w14:paraId="744CEE3A" w14:textId="095A9B98" w:rsidR="00011DE9" w:rsidRDefault="005701C9">
            <w:pPr>
              <w:pStyle w:val="P68B1DB1-Normal19"/>
              <w:spacing w:after="0" w:line="240" w:lineRule="auto"/>
              <w:jc w:val="center"/>
              <w:rPr>
                <w:rFonts w:eastAsia="Times New Roman"/>
                <w:noProof/>
              </w:rPr>
            </w:pPr>
            <w:r>
              <w:rPr>
                <w:noProof/>
              </w:rPr>
              <w:t>T2</w:t>
            </w:r>
          </w:p>
        </w:tc>
        <w:tc>
          <w:tcPr>
            <w:tcW w:w="567" w:type="dxa"/>
            <w:shd w:val="clear" w:color="auto" w:fill="C6EFCE"/>
            <w:noWrap/>
          </w:tcPr>
          <w:p w14:paraId="465C0E19" w14:textId="77777777" w:rsidR="00011DE9" w:rsidRDefault="00011DE9">
            <w:pPr>
              <w:pStyle w:val="P68B1DB1-Normal19"/>
              <w:spacing w:after="0" w:line="240" w:lineRule="auto"/>
              <w:jc w:val="center"/>
              <w:rPr>
                <w:rFonts w:eastAsia="Times New Roman"/>
                <w:noProof/>
              </w:rPr>
            </w:pPr>
            <w:r>
              <w:rPr>
                <w:noProof/>
              </w:rPr>
              <w:t>2023</w:t>
            </w:r>
          </w:p>
        </w:tc>
        <w:tc>
          <w:tcPr>
            <w:tcW w:w="4962" w:type="dxa"/>
            <w:shd w:val="clear" w:color="auto" w:fill="C6EFCE"/>
            <w:noWrap/>
          </w:tcPr>
          <w:p w14:paraId="5495A5A1" w14:textId="77777777" w:rsidR="00011DE9" w:rsidRDefault="00011DE9">
            <w:pPr>
              <w:pStyle w:val="P68B1DB1-Normal19"/>
              <w:spacing w:after="0" w:line="240" w:lineRule="auto"/>
              <w:rPr>
                <w:rFonts w:eastAsia="Times New Roman"/>
                <w:noProof/>
              </w:rPr>
            </w:pPr>
            <w:r>
              <w:rPr>
                <w:noProof/>
              </w:rPr>
              <w:t>Granturi acordate cercetătorilor postdoctorali și conferențiarilor universitari, unui număr de cel puțin 2 600 de candidați. Printre obiectivele acestor granturi se numără promovarea dezvoltării profesionale a personalului său didactic, care ar putea fi integrat în sistem în viitor. Granturile finanțează sejururi de cercetare găzduite de universități și centre de cercetare străine, precum și de universități spaniole și de alți agenți publici ai Sistemului spaniol de știință, tehnologie și inovare. În acest scop, granturile contribuie la atragerea talentelor internaționale. Granturile se acordă în cadrul a trei programe diferite, aplicând criterii specifice în funcție de obiectiv și de grupul-țintă, și durează între unu și trei ani, în funcție de program și de grupul-țintă.</w:t>
            </w:r>
          </w:p>
        </w:tc>
      </w:tr>
      <w:tr w:rsidR="00011DE9" w14:paraId="3227CFF0" w14:textId="77777777">
        <w:trPr>
          <w:trHeight w:val="309"/>
          <w:jc w:val="center"/>
        </w:trPr>
        <w:tc>
          <w:tcPr>
            <w:tcW w:w="709" w:type="dxa"/>
            <w:shd w:val="clear" w:color="auto" w:fill="C6EFCE"/>
            <w:noWrap/>
          </w:tcPr>
          <w:p w14:paraId="7577D5BA" w14:textId="77777777" w:rsidR="00011DE9" w:rsidRDefault="00011DE9">
            <w:pPr>
              <w:pStyle w:val="P68B1DB1-Normal19"/>
              <w:spacing w:after="0" w:line="240" w:lineRule="auto"/>
              <w:jc w:val="center"/>
              <w:rPr>
                <w:rFonts w:eastAsia="Times New Roman"/>
                <w:noProof/>
              </w:rPr>
            </w:pPr>
            <w:r>
              <w:rPr>
                <w:noProof/>
              </w:rPr>
              <w:t>313</w:t>
            </w:r>
          </w:p>
        </w:tc>
        <w:tc>
          <w:tcPr>
            <w:tcW w:w="851" w:type="dxa"/>
            <w:shd w:val="clear" w:color="auto" w:fill="C6EFCE"/>
            <w:noWrap/>
          </w:tcPr>
          <w:p w14:paraId="114F2D12" w14:textId="77777777" w:rsidR="00011DE9" w:rsidRDefault="00011DE9">
            <w:pPr>
              <w:pStyle w:val="P68B1DB1-Normal19"/>
              <w:spacing w:after="0" w:line="240" w:lineRule="auto"/>
              <w:jc w:val="center"/>
              <w:rPr>
                <w:rFonts w:eastAsia="Times New Roman"/>
                <w:noProof/>
              </w:rPr>
            </w:pPr>
            <w:r>
              <w:rPr>
                <w:noProof/>
              </w:rPr>
              <w:t>C21.I5</w:t>
            </w:r>
          </w:p>
        </w:tc>
        <w:tc>
          <w:tcPr>
            <w:tcW w:w="850" w:type="dxa"/>
            <w:shd w:val="clear" w:color="auto" w:fill="C6EFCE"/>
            <w:noWrap/>
          </w:tcPr>
          <w:p w14:paraId="2580BF9E" w14:textId="77777777" w:rsidR="00011DE9" w:rsidRDefault="00011DE9">
            <w:pPr>
              <w:pStyle w:val="P68B1DB1-Normal19"/>
              <w:spacing w:after="0" w:line="240" w:lineRule="auto"/>
              <w:jc w:val="center"/>
              <w:rPr>
                <w:rFonts w:eastAsia="Times New Roman"/>
                <w:noProof/>
              </w:rPr>
            </w:pPr>
            <w:r>
              <w:rPr>
                <w:noProof/>
              </w:rPr>
              <w:t>T</w:t>
            </w:r>
          </w:p>
        </w:tc>
        <w:tc>
          <w:tcPr>
            <w:tcW w:w="1980" w:type="dxa"/>
            <w:shd w:val="clear" w:color="auto" w:fill="C6EFCE"/>
            <w:noWrap/>
          </w:tcPr>
          <w:p w14:paraId="5743CD17" w14:textId="77777777" w:rsidR="00011DE9" w:rsidRDefault="00011DE9">
            <w:pPr>
              <w:pStyle w:val="P68B1DB1-Normal19"/>
              <w:spacing w:after="0" w:line="240" w:lineRule="auto"/>
              <w:rPr>
                <w:rFonts w:eastAsia="Times New Roman"/>
                <w:noProof/>
              </w:rPr>
            </w:pPr>
            <w:r>
              <w:rPr>
                <w:noProof/>
              </w:rPr>
              <w:t>Capacitățile digitale ale universităților și educația</w:t>
            </w:r>
          </w:p>
        </w:tc>
        <w:tc>
          <w:tcPr>
            <w:tcW w:w="2126" w:type="dxa"/>
            <w:shd w:val="clear" w:color="auto" w:fill="C6EFCE"/>
            <w:noWrap/>
          </w:tcPr>
          <w:p w14:paraId="5F1FCA23" w14:textId="77777777" w:rsidR="00011DE9" w:rsidRDefault="00011DE9">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619A984C" w14:textId="77777777" w:rsidR="00011DE9" w:rsidRDefault="00011DE9">
            <w:pPr>
              <w:pStyle w:val="P68B1DB1-Normal19"/>
              <w:spacing w:after="0" w:line="240" w:lineRule="auto"/>
              <w:jc w:val="center"/>
              <w:rPr>
                <w:rFonts w:eastAsia="Times New Roman"/>
                <w:noProof/>
              </w:rPr>
            </w:pPr>
            <w:r>
              <w:rPr>
                <w:noProof/>
              </w:rPr>
              <w:t xml:space="preserve"> EUR</w:t>
            </w:r>
          </w:p>
        </w:tc>
        <w:tc>
          <w:tcPr>
            <w:tcW w:w="709" w:type="dxa"/>
            <w:shd w:val="clear" w:color="auto" w:fill="C6EFCE"/>
            <w:noWrap/>
          </w:tcPr>
          <w:p w14:paraId="02D197EB" w14:textId="77777777" w:rsidR="00011DE9" w:rsidRDefault="00011DE9">
            <w:pPr>
              <w:pStyle w:val="P68B1DB1-Normal19"/>
              <w:spacing w:after="0" w:line="240" w:lineRule="auto"/>
              <w:jc w:val="right"/>
              <w:rPr>
                <w:rFonts w:eastAsia="Times New Roman"/>
                <w:noProof/>
              </w:rPr>
            </w:pPr>
            <w:r>
              <w:rPr>
                <w:noProof/>
              </w:rPr>
              <w:t>0</w:t>
            </w:r>
          </w:p>
        </w:tc>
        <w:tc>
          <w:tcPr>
            <w:tcW w:w="1139" w:type="dxa"/>
            <w:shd w:val="clear" w:color="auto" w:fill="C6EFCE"/>
            <w:noWrap/>
          </w:tcPr>
          <w:p w14:paraId="3DBDD2F6" w14:textId="77777777" w:rsidR="00011DE9" w:rsidRDefault="00011DE9">
            <w:pPr>
              <w:pStyle w:val="P68B1DB1-Normal39"/>
              <w:spacing w:after="0" w:line="240" w:lineRule="auto"/>
              <w:rPr>
                <w:rFonts w:ascii="Times New Roman" w:eastAsia="Times New Roman" w:hAnsi="Times New Roman" w:cs="Times New Roman"/>
                <w:noProof/>
                <w:szCs w:val="18"/>
              </w:rPr>
            </w:pPr>
            <w:r>
              <w:rPr>
                <w:rFonts w:ascii="Times New Roman" w:eastAsia="Times New Roman" w:hAnsi="Times New Roman" w:cs="Times New Roman"/>
                <w:noProof/>
                <w:szCs w:val="18"/>
              </w:rPr>
              <w:t>146 880 000</w:t>
            </w:r>
            <w:r>
              <w:rPr>
                <w:rFonts w:ascii="Times New Roman" w:hAnsi="Times New Roman"/>
                <w:noProof/>
              </w:rPr>
              <w:t xml:space="preserve"> </w:t>
            </w:r>
          </w:p>
        </w:tc>
        <w:tc>
          <w:tcPr>
            <w:tcW w:w="567" w:type="dxa"/>
            <w:shd w:val="clear" w:color="auto" w:fill="C6EFCE"/>
            <w:noWrap/>
          </w:tcPr>
          <w:p w14:paraId="3652F0E0" w14:textId="3A07295B" w:rsidR="00011DE9" w:rsidRDefault="005701C9">
            <w:pPr>
              <w:pStyle w:val="P68B1DB1-Normal19"/>
              <w:spacing w:after="0" w:line="240" w:lineRule="auto"/>
              <w:jc w:val="center"/>
              <w:rPr>
                <w:rFonts w:eastAsia="Times New Roman"/>
                <w:noProof/>
              </w:rPr>
            </w:pPr>
            <w:r>
              <w:rPr>
                <w:noProof/>
              </w:rPr>
              <w:t>T4</w:t>
            </w:r>
          </w:p>
        </w:tc>
        <w:tc>
          <w:tcPr>
            <w:tcW w:w="567" w:type="dxa"/>
            <w:shd w:val="clear" w:color="auto" w:fill="C6EFCE"/>
            <w:noWrap/>
          </w:tcPr>
          <w:p w14:paraId="26EF9320" w14:textId="77777777" w:rsidR="00011DE9" w:rsidRDefault="00011DE9">
            <w:pPr>
              <w:pStyle w:val="P68B1DB1-Normal19"/>
              <w:spacing w:after="0" w:line="240" w:lineRule="auto"/>
              <w:jc w:val="center"/>
              <w:rPr>
                <w:rFonts w:eastAsia="Times New Roman"/>
                <w:noProof/>
              </w:rPr>
            </w:pPr>
            <w:r>
              <w:rPr>
                <w:noProof/>
              </w:rPr>
              <w:t>2025</w:t>
            </w:r>
          </w:p>
        </w:tc>
        <w:tc>
          <w:tcPr>
            <w:tcW w:w="4962" w:type="dxa"/>
            <w:shd w:val="clear" w:color="auto" w:fill="C6EFCE"/>
            <w:noWrap/>
          </w:tcPr>
          <w:p w14:paraId="4FEBEC9E" w14:textId="77777777" w:rsidR="00011DE9" w:rsidRDefault="00011DE9">
            <w:pPr>
              <w:pStyle w:val="P68B1DB1-Normal22"/>
              <w:spacing w:after="0" w:line="240" w:lineRule="auto"/>
              <w:textAlignment w:val="baseline"/>
              <w:rPr>
                <w:noProof/>
              </w:rPr>
            </w:pPr>
            <w:r>
              <w:rPr>
                <w:noProof/>
              </w:rPr>
              <w:t>În domeniul echipamentelor digitale, al educației digitale, al conținutului și programelor de formare, al platformelor de servicii digitale, al infrastructurii digitale sau al serviciilor TIC, pentru o sumă totală cumulată de 146 880 000 EUR:</w:t>
            </w:r>
          </w:p>
          <w:p w14:paraId="28E159DE" w14:textId="77777777" w:rsidR="00011DE9" w:rsidRDefault="00011DE9">
            <w:pPr>
              <w:spacing w:after="0" w:line="240" w:lineRule="auto"/>
              <w:textAlignment w:val="baseline"/>
              <w:rPr>
                <w:rFonts w:ascii="Times New Roman" w:eastAsia="Times New Roman" w:hAnsi="Times New Roman" w:cs="Times New Roman"/>
                <w:noProof/>
                <w:sz w:val="18"/>
                <w:szCs w:val="18"/>
              </w:rPr>
            </w:pPr>
          </w:p>
          <w:p w14:paraId="684165C6" w14:textId="77777777" w:rsidR="00011DE9" w:rsidRDefault="00011DE9">
            <w:pPr>
              <w:pStyle w:val="P68B1DB1-ListParagraph50"/>
              <w:numPr>
                <w:ilvl w:val="0"/>
                <w:numId w:val="291"/>
              </w:numPr>
              <w:spacing w:after="0" w:line="240" w:lineRule="auto"/>
              <w:textAlignment w:val="baseline"/>
              <w:rPr>
                <w:noProof/>
              </w:rPr>
            </w:pPr>
            <w:r>
              <w:rPr>
                <w:noProof/>
              </w:rPr>
              <w:t xml:space="preserve">Confirmarea de către administrație sau de către o entitate publică a executării contractelor (inclusiv a modificărilor) sau a părților corespunzătoare ale acestora. Contribuția la suma totală cumulată este suma efectuată, astfel cum este definită în certificatele de acceptare, declarațiile de conformitate, certificatele de plată, facturile semnate în mod corespunzător de administrație ca fiind conforme sau documentele echivalente. </w:t>
            </w:r>
          </w:p>
          <w:p w14:paraId="2FEA4BC0" w14:textId="77777777" w:rsidR="00011DE9" w:rsidRDefault="00011DE9">
            <w:pPr>
              <w:pStyle w:val="P68B1DB1-ListParagraph50"/>
              <w:numPr>
                <w:ilvl w:val="0"/>
                <w:numId w:val="291"/>
              </w:numPr>
              <w:spacing w:after="0" w:line="240" w:lineRule="auto"/>
              <w:textAlignment w:val="baseline"/>
              <w:rPr>
                <w:noProof/>
              </w:rPr>
            </w:pPr>
            <w:r>
              <w:rPr>
                <w:noProof/>
              </w:rPr>
              <w:t>Verificarea de către administrație sau de către o entitate publică a documentelor justificative pentru plata granturilor. Contribuția la suma totală cumulată este suma care urmează să fie subvenționată în cadrul acestei verificări.</w:t>
            </w:r>
          </w:p>
          <w:p w14:paraId="4A68D107" w14:textId="77777777" w:rsidR="00011DE9" w:rsidRDefault="00011DE9">
            <w:pPr>
              <w:spacing w:after="0" w:line="240" w:lineRule="auto"/>
              <w:textAlignment w:val="baseline"/>
              <w:rPr>
                <w:rFonts w:ascii="Times New Roman" w:eastAsia="Times New Roman" w:hAnsi="Times New Roman" w:cs="Times New Roman"/>
                <w:noProof/>
                <w:sz w:val="18"/>
                <w:szCs w:val="18"/>
              </w:rPr>
            </w:pPr>
          </w:p>
        </w:tc>
      </w:tr>
      <w:tr w:rsidR="00011DE9" w14:paraId="144819A3" w14:textId="77777777">
        <w:trPr>
          <w:trHeight w:val="309"/>
          <w:jc w:val="center"/>
        </w:trPr>
        <w:tc>
          <w:tcPr>
            <w:tcW w:w="709" w:type="dxa"/>
            <w:shd w:val="clear" w:color="auto" w:fill="C6EFCE"/>
            <w:noWrap/>
          </w:tcPr>
          <w:p w14:paraId="3C60EE39" w14:textId="77777777" w:rsidR="00011DE9" w:rsidRDefault="00011DE9">
            <w:pPr>
              <w:pStyle w:val="P68B1DB1-Normal19"/>
              <w:spacing w:after="0" w:line="240" w:lineRule="auto"/>
              <w:jc w:val="center"/>
              <w:rPr>
                <w:noProof/>
              </w:rPr>
            </w:pPr>
            <w:r>
              <w:rPr>
                <w:noProof/>
              </w:rPr>
              <w:t>468</w:t>
            </w:r>
          </w:p>
        </w:tc>
        <w:tc>
          <w:tcPr>
            <w:tcW w:w="851" w:type="dxa"/>
            <w:shd w:val="clear" w:color="auto" w:fill="C6EFCE"/>
            <w:noWrap/>
          </w:tcPr>
          <w:p w14:paraId="6D9FD7D9" w14:textId="77777777" w:rsidR="00011DE9" w:rsidRDefault="00011DE9">
            <w:pPr>
              <w:pStyle w:val="P68B1DB1-Normal19"/>
              <w:spacing w:after="0" w:line="240" w:lineRule="auto"/>
              <w:jc w:val="center"/>
              <w:rPr>
                <w:noProof/>
              </w:rPr>
            </w:pPr>
            <w:r>
              <w:rPr>
                <w:noProof/>
              </w:rPr>
              <w:t>C21.I6</w:t>
            </w:r>
          </w:p>
        </w:tc>
        <w:tc>
          <w:tcPr>
            <w:tcW w:w="850" w:type="dxa"/>
            <w:shd w:val="clear" w:color="auto" w:fill="C6EFCE"/>
            <w:noWrap/>
          </w:tcPr>
          <w:p w14:paraId="28288330" w14:textId="77777777" w:rsidR="00011DE9" w:rsidRDefault="00011DE9">
            <w:pPr>
              <w:pStyle w:val="P68B1DB1-Normal19"/>
              <w:spacing w:after="0" w:line="240" w:lineRule="auto"/>
              <w:jc w:val="center"/>
              <w:rPr>
                <w:noProof/>
              </w:rPr>
            </w:pPr>
            <w:r>
              <w:rPr>
                <w:noProof/>
              </w:rPr>
              <w:t>M</w:t>
            </w:r>
          </w:p>
        </w:tc>
        <w:tc>
          <w:tcPr>
            <w:tcW w:w="1980" w:type="dxa"/>
            <w:shd w:val="clear" w:color="auto" w:fill="C6EFCE"/>
            <w:noWrap/>
          </w:tcPr>
          <w:p w14:paraId="353D9CE2" w14:textId="77777777" w:rsidR="00011DE9" w:rsidRDefault="00011DE9">
            <w:pPr>
              <w:pStyle w:val="P68B1DB1-Normal19"/>
              <w:spacing w:after="0" w:line="240" w:lineRule="auto"/>
              <w:rPr>
                <w:noProof/>
              </w:rPr>
            </w:pPr>
            <w:r>
              <w:rPr>
                <w:noProof/>
              </w:rPr>
              <w:t>Publicarea Planului de acțiune pentru dezvoltarea micro-certificatelor universitare</w:t>
            </w:r>
          </w:p>
        </w:tc>
        <w:tc>
          <w:tcPr>
            <w:tcW w:w="2126" w:type="dxa"/>
            <w:shd w:val="clear" w:color="auto" w:fill="C6EFCE"/>
            <w:noWrap/>
          </w:tcPr>
          <w:p w14:paraId="17B858C7" w14:textId="77777777" w:rsidR="00011DE9" w:rsidRDefault="00011DE9">
            <w:pPr>
              <w:pStyle w:val="P68B1DB1-Normal19"/>
              <w:spacing w:after="0" w:line="240" w:lineRule="auto"/>
              <w:jc w:val="center"/>
              <w:rPr>
                <w:noProof/>
              </w:rPr>
            </w:pPr>
            <w:r>
              <w:rPr>
                <w:noProof/>
              </w:rPr>
              <w:t>Publicare pe site-ul Ministerului Universităților</w:t>
            </w:r>
          </w:p>
        </w:tc>
        <w:tc>
          <w:tcPr>
            <w:tcW w:w="850" w:type="dxa"/>
            <w:shd w:val="clear" w:color="auto" w:fill="C6EFCE"/>
            <w:noWrap/>
          </w:tcPr>
          <w:p w14:paraId="1632997F" w14:textId="77777777" w:rsidR="00011DE9" w:rsidRDefault="00011DE9">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2E375064" w14:textId="77777777" w:rsidR="00011DE9" w:rsidRDefault="00011DE9">
            <w:pPr>
              <w:spacing w:after="0" w:line="240" w:lineRule="auto"/>
              <w:jc w:val="right"/>
              <w:rPr>
                <w:rFonts w:ascii="Times New Roman" w:hAnsi="Times New Roman" w:cs="Times New Roman"/>
                <w:noProof/>
                <w:sz w:val="18"/>
                <w:szCs w:val="18"/>
              </w:rPr>
            </w:pPr>
          </w:p>
        </w:tc>
        <w:tc>
          <w:tcPr>
            <w:tcW w:w="1139" w:type="dxa"/>
            <w:shd w:val="clear" w:color="auto" w:fill="C6EFCE"/>
            <w:noWrap/>
          </w:tcPr>
          <w:p w14:paraId="1B13C919" w14:textId="77777777" w:rsidR="00011DE9" w:rsidRDefault="00011DE9">
            <w:pPr>
              <w:spacing w:after="0" w:line="240" w:lineRule="auto"/>
              <w:jc w:val="right"/>
              <w:rPr>
                <w:rFonts w:ascii="Times New Roman" w:hAnsi="Times New Roman" w:cs="Times New Roman"/>
                <w:noProof/>
                <w:sz w:val="18"/>
                <w:szCs w:val="18"/>
              </w:rPr>
            </w:pPr>
          </w:p>
        </w:tc>
        <w:tc>
          <w:tcPr>
            <w:tcW w:w="567" w:type="dxa"/>
            <w:shd w:val="clear" w:color="auto" w:fill="C6EFCE"/>
            <w:noWrap/>
          </w:tcPr>
          <w:p w14:paraId="61168378" w14:textId="1D8B59E6" w:rsidR="00011DE9" w:rsidRDefault="005701C9">
            <w:pPr>
              <w:pStyle w:val="P68B1DB1-Normal19"/>
              <w:spacing w:after="0" w:line="240" w:lineRule="auto"/>
              <w:jc w:val="center"/>
              <w:rPr>
                <w:noProof/>
              </w:rPr>
            </w:pPr>
            <w:r>
              <w:rPr>
                <w:noProof/>
              </w:rPr>
              <w:t>T2</w:t>
            </w:r>
          </w:p>
        </w:tc>
        <w:tc>
          <w:tcPr>
            <w:tcW w:w="567" w:type="dxa"/>
            <w:shd w:val="clear" w:color="auto" w:fill="C6EFCE"/>
            <w:noWrap/>
          </w:tcPr>
          <w:p w14:paraId="37BE860F" w14:textId="77777777" w:rsidR="00011DE9" w:rsidRDefault="00011DE9">
            <w:pPr>
              <w:pStyle w:val="P68B1DB1-Normal19"/>
              <w:spacing w:after="0" w:line="240" w:lineRule="auto"/>
              <w:jc w:val="center"/>
              <w:rPr>
                <w:noProof/>
              </w:rPr>
            </w:pPr>
            <w:r>
              <w:rPr>
                <w:noProof/>
              </w:rPr>
              <w:t>2023</w:t>
            </w:r>
          </w:p>
        </w:tc>
        <w:tc>
          <w:tcPr>
            <w:tcW w:w="4962" w:type="dxa"/>
            <w:shd w:val="clear" w:color="auto" w:fill="C6EFCE"/>
            <w:noWrap/>
          </w:tcPr>
          <w:p w14:paraId="2329C3C5" w14:textId="77777777" w:rsidR="00011DE9" w:rsidRDefault="00011DE9">
            <w:pPr>
              <w:pStyle w:val="P68B1DB1-Normal19"/>
              <w:spacing w:after="0" w:line="240" w:lineRule="auto"/>
              <w:rPr>
                <w:noProof/>
              </w:rPr>
            </w:pPr>
            <w:r>
              <w:rPr>
                <w:noProof/>
              </w:rPr>
              <w:t>Publicarea pe site-ul ministerului a unui plan de acțiune pentru crearea unui cadru pentru dezvoltarea microcertificatelor elaborat de Ministerul Universităților în urma dezbaterilor privind microcertificatele în cadrul unor evenimente cu părțile interesate. Planul cuprinde acțiuni (i) de transformare a universităților în instituții de învățare pe tot parcursul vieții; (II) încurajarea cererii din partea adulților și a angajatorilor acestora; (III) promovarea calității și a relevanței micro-certificatelor; (IV) să sprijine echitatea accesului; și (v) crearea unor parcursuri de formare personalizate și flexibile.</w:t>
            </w:r>
          </w:p>
        </w:tc>
      </w:tr>
      <w:tr w:rsidR="00011DE9" w14:paraId="48D8451A" w14:textId="77777777">
        <w:trPr>
          <w:trHeight w:val="309"/>
          <w:jc w:val="center"/>
        </w:trPr>
        <w:tc>
          <w:tcPr>
            <w:tcW w:w="709" w:type="dxa"/>
            <w:shd w:val="clear" w:color="auto" w:fill="C6EFCE"/>
            <w:noWrap/>
          </w:tcPr>
          <w:p w14:paraId="2D0C371E" w14:textId="77777777" w:rsidR="00011DE9" w:rsidRDefault="00011DE9">
            <w:pPr>
              <w:pStyle w:val="P68B1DB1-Normal19"/>
              <w:spacing w:after="0" w:line="240" w:lineRule="auto"/>
              <w:jc w:val="center"/>
              <w:rPr>
                <w:noProof/>
              </w:rPr>
            </w:pPr>
            <w:r>
              <w:rPr>
                <w:noProof/>
              </w:rPr>
              <w:t>469</w:t>
            </w:r>
          </w:p>
        </w:tc>
        <w:tc>
          <w:tcPr>
            <w:tcW w:w="851" w:type="dxa"/>
            <w:shd w:val="clear" w:color="auto" w:fill="C6EFCE"/>
            <w:noWrap/>
          </w:tcPr>
          <w:p w14:paraId="48AB3684" w14:textId="77777777" w:rsidR="00011DE9" w:rsidRDefault="00011DE9">
            <w:pPr>
              <w:pStyle w:val="P68B1DB1-Normal19"/>
              <w:spacing w:after="0" w:line="240" w:lineRule="auto"/>
              <w:jc w:val="center"/>
              <w:rPr>
                <w:noProof/>
              </w:rPr>
            </w:pPr>
            <w:r>
              <w:rPr>
                <w:noProof/>
              </w:rPr>
              <w:t>C21.I6</w:t>
            </w:r>
          </w:p>
        </w:tc>
        <w:tc>
          <w:tcPr>
            <w:tcW w:w="850" w:type="dxa"/>
            <w:shd w:val="clear" w:color="auto" w:fill="C6EFCE"/>
            <w:noWrap/>
          </w:tcPr>
          <w:p w14:paraId="6B573DC4" w14:textId="77777777" w:rsidR="00011DE9" w:rsidRDefault="00011DE9">
            <w:pPr>
              <w:pStyle w:val="P68B1DB1-Normal19"/>
              <w:spacing w:after="0" w:line="240" w:lineRule="auto"/>
              <w:jc w:val="center"/>
              <w:rPr>
                <w:noProof/>
              </w:rPr>
            </w:pPr>
            <w:r>
              <w:rPr>
                <w:noProof/>
              </w:rPr>
              <w:t>T</w:t>
            </w:r>
          </w:p>
        </w:tc>
        <w:tc>
          <w:tcPr>
            <w:tcW w:w="1980" w:type="dxa"/>
            <w:shd w:val="clear" w:color="auto" w:fill="C6EFCE"/>
            <w:noWrap/>
          </w:tcPr>
          <w:p w14:paraId="0CE983EA" w14:textId="77777777" w:rsidR="00011DE9" w:rsidRDefault="00011DE9">
            <w:pPr>
              <w:pStyle w:val="P68B1DB1-Normal22"/>
              <w:spacing w:after="0" w:line="240" w:lineRule="auto"/>
              <w:rPr>
                <w:noProof/>
              </w:rPr>
            </w:pPr>
            <w:r>
              <w:rPr>
                <w:noProof/>
              </w:rPr>
              <w:t>Certificate pentru microcertificări eliberate</w:t>
            </w:r>
          </w:p>
        </w:tc>
        <w:tc>
          <w:tcPr>
            <w:tcW w:w="2126" w:type="dxa"/>
            <w:shd w:val="clear" w:color="auto" w:fill="C6EFCE"/>
            <w:noWrap/>
          </w:tcPr>
          <w:p w14:paraId="75765749" w14:textId="77777777" w:rsidR="00011DE9" w:rsidRDefault="00011DE9">
            <w:pPr>
              <w:spacing w:after="0" w:line="240" w:lineRule="auto"/>
              <w:jc w:val="center"/>
              <w:rPr>
                <w:rFonts w:ascii="Times New Roman" w:hAnsi="Times New Roman" w:cs="Times New Roman"/>
                <w:noProof/>
                <w:sz w:val="18"/>
                <w:szCs w:val="18"/>
              </w:rPr>
            </w:pPr>
          </w:p>
        </w:tc>
        <w:tc>
          <w:tcPr>
            <w:tcW w:w="850" w:type="dxa"/>
            <w:shd w:val="clear" w:color="auto" w:fill="C6EFCE"/>
            <w:noWrap/>
          </w:tcPr>
          <w:p w14:paraId="57FF7CF6" w14:textId="77777777" w:rsidR="00011DE9" w:rsidRDefault="00011DE9">
            <w:pPr>
              <w:pStyle w:val="P68B1DB1-Normal19"/>
              <w:spacing w:after="0" w:line="240" w:lineRule="auto"/>
              <w:jc w:val="center"/>
              <w:rPr>
                <w:noProof/>
              </w:rPr>
            </w:pPr>
            <w:r>
              <w:rPr>
                <w:noProof/>
              </w:rPr>
              <w:t>Număr</w:t>
            </w:r>
          </w:p>
        </w:tc>
        <w:tc>
          <w:tcPr>
            <w:tcW w:w="709" w:type="dxa"/>
            <w:shd w:val="clear" w:color="auto" w:fill="C6EFCE"/>
            <w:noWrap/>
          </w:tcPr>
          <w:p w14:paraId="7F69C381" w14:textId="77777777" w:rsidR="00011DE9" w:rsidRDefault="00011DE9">
            <w:pPr>
              <w:pStyle w:val="P68B1DB1-Normal19"/>
              <w:spacing w:after="0" w:line="240" w:lineRule="auto"/>
              <w:jc w:val="right"/>
              <w:rPr>
                <w:noProof/>
              </w:rPr>
            </w:pPr>
            <w:r>
              <w:rPr>
                <w:noProof/>
              </w:rPr>
              <w:t>0</w:t>
            </w:r>
          </w:p>
        </w:tc>
        <w:tc>
          <w:tcPr>
            <w:tcW w:w="1139" w:type="dxa"/>
            <w:shd w:val="clear" w:color="auto" w:fill="C6EFCE"/>
            <w:noWrap/>
          </w:tcPr>
          <w:p w14:paraId="177E1969" w14:textId="77777777" w:rsidR="00011DE9" w:rsidRDefault="00011DE9">
            <w:pPr>
              <w:pStyle w:val="P68B1DB1-Normal22"/>
              <w:spacing w:after="0" w:line="240" w:lineRule="auto"/>
              <w:jc w:val="right"/>
              <w:rPr>
                <w:noProof/>
              </w:rPr>
            </w:pPr>
            <w:r>
              <w:rPr>
                <w:noProof/>
              </w:rPr>
              <w:t>13 663 </w:t>
            </w:r>
          </w:p>
        </w:tc>
        <w:tc>
          <w:tcPr>
            <w:tcW w:w="567" w:type="dxa"/>
            <w:shd w:val="clear" w:color="auto" w:fill="C6EFCE"/>
            <w:noWrap/>
          </w:tcPr>
          <w:p w14:paraId="5BA19A33" w14:textId="768AFABF" w:rsidR="00011DE9" w:rsidRDefault="005701C9">
            <w:pPr>
              <w:pStyle w:val="P68B1DB1-Normal19"/>
              <w:spacing w:after="0" w:line="240" w:lineRule="auto"/>
              <w:jc w:val="center"/>
              <w:rPr>
                <w:noProof/>
              </w:rPr>
            </w:pPr>
            <w:r>
              <w:rPr>
                <w:noProof/>
              </w:rPr>
              <w:t>T2</w:t>
            </w:r>
          </w:p>
        </w:tc>
        <w:tc>
          <w:tcPr>
            <w:tcW w:w="567" w:type="dxa"/>
            <w:shd w:val="clear" w:color="auto" w:fill="C6EFCE"/>
            <w:noWrap/>
          </w:tcPr>
          <w:p w14:paraId="61A57430" w14:textId="77777777" w:rsidR="00011DE9" w:rsidRDefault="00011DE9">
            <w:pPr>
              <w:pStyle w:val="P68B1DB1-Normal19"/>
              <w:spacing w:after="0" w:line="240" w:lineRule="auto"/>
              <w:jc w:val="center"/>
              <w:rPr>
                <w:noProof/>
              </w:rPr>
            </w:pPr>
            <w:r>
              <w:rPr>
                <w:noProof/>
              </w:rPr>
              <w:t>2026</w:t>
            </w:r>
          </w:p>
        </w:tc>
        <w:tc>
          <w:tcPr>
            <w:tcW w:w="4962" w:type="dxa"/>
            <w:shd w:val="clear" w:color="auto" w:fill="C6EFCE"/>
            <w:noWrap/>
          </w:tcPr>
          <w:p w14:paraId="2367313A" w14:textId="77777777" w:rsidR="00011DE9" w:rsidRDefault="00011DE9">
            <w:pPr>
              <w:pStyle w:val="P68B1DB1-Normal22"/>
              <w:spacing w:after="0" w:line="240" w:lineRule="auto"/>
              <w:rPr>
                <w:noProof/>
              </w:rPr>
            </w:pPr>
            <w:r>
              <w:rPr>
                <w:noProof/>
              </w:rPr>
              <w:t>Se eliberează 13 663 certificate pentru microcertificate. O persoană care participă la mai multe acțiuni de formare este contabilizată separat pentru fiecare formare la care a participat.</w:t>
            </w:r>
          </w:p>
        </w:tc>
      </w:tr>
    </w:tbl>
    <w:p w14:paraId="2BDFD7C7" w14:textId="77777777" w:rsidR="00011DE9" w:rsidRDefault="00011DE9">
      <w:pPr>
        <w:spacing w:before="120" w:after="120" w:line="240" w:lineRule="auto"/>
        <w:jc w:val="both"/>
        <w:rPr>
          <w:rFonts w:ascii="Times New Roman" w:hAnsi="Times New Roman" w:cs="Times New Roman"/>
          <w:noProof/>
        </w:rPr>
        <w:sectPr w:rsidR="00011DE9" w:rsidSect="00011DE9">
          <w:headerReference w:type="even" r:id="rId292"/>
          <w:headerReference w:type="default" r:id="rId293"/>
          <w:footerReference w:type="even" r:id="rId294"/>
          <w:footerReference w:type="default" r:id="rId295"/>
          <w:headerReference w:type="first" r:id="rId296"/>
          <w:footerReference w:type="first" r:id="rId297"/>
          <w:pgSz w:w="16839" w:h="11907" w:orient="landscape"/>
          <w:pgMar w:top="1134" w:right="1134" w:bottom="1134" w:left="1134" w:header="567" w:footer="567" w:gutter="0"/>
          <w:cols w:space="720"/>
          <w:docGrid w:linePitch="360"/>
        </w:sectPr>
      </w:pPr>
    </w:p>
    <w:p w14:paraId="4565C542" w14:textId="77777777" w:rsidR="00011DE9" w:rsidRDefault="00011DE9">
      <w:pPr>
        <w:pStyle w:val="Heading1"/>
        <w:rPr>
          <w:rFonts w:cs="Times New Roman"/>
          <w:noProof/>
        </w:rPr>
      </w:pPr>
      <w:r>
        <w:rPr>
          <w:noProof/>
        </w:rPr>
        <w:t>V. COMPONENTA 22: Plan de acțiune pentru economia serviciilor de îngrijire, consolidarea politicilor în materie de egalitate și incluziune</w:t>
      </w:r>
    </w:p>
    <w:p w14:paraId="6C4D5841" w14:textId="77777777" w:rsidR="00011DE9" w:rsidRDefault="00011DE9">
      <w:pPr>
        <w:pStyle w:val="P68B1DB1-Normal16"/>
        <w:spacing w:before="120" w:after="0" w:line="240" w:lineRule="auto"/>
        <w:jc w:val="both"/>
        <w:textAlignment w:val="baseline"/>
        <w:rPr>
          <w:rFonts w:eastAsia="Times New Roman" w:cs="Times New Roman"/>
          <w:noProof/>
        </w:rPr>
      </w:pPr>
      <w:r>
        <w:rPr>
          <w:noProof/>
        </w:rPr>
        <w:t xml:space="preserve">Principalul obiectiv al acestei componente a planului spaniol de redresare și reziliență este modernizarea și consolidarea serviciilor sociale și a politicilor de incluziune socială. Aceasta pune un accent deosebit pe modelul de îngrijire pe termen lung, cu scopul de a răspunde cererii tot mai mari de diferite servicii de îngrijire pe termen lung din cauza îmbătrânirii populației, promovând inovarea și un model de îngrijire axat pe oameni, axat pe o strategie de dezinstituționalizare. </w:t>
      </w:r>
    </w:p>
    <w:p w14:paraId="6E3FA94D" w14:textId="77777777" w:rsidR="00011DE9" w:rsidRDefault="00011DE9">
      <w:pPr>
        <w:pStyle w:val="P68B1DB1-Normal16"/>
        <w:spacing w:before="120" w:after="0" w:line="240" w:lineRule="auto"/>
        <w:jc w:val="both"/>
        <w:rPr>
          <w:rFonts w:eastAsia="Times New Roman" w:cs="Times New Roman"/>
          <w:noProof/>
        </w:rPr>
      </w:pPr>
      <w:r>
        <w:rPr>
          <w:noProof/>
        </w:rPr>
        <w:t>În domeniul altor servicii sociale și al incluziunii sociale, obiectivele includ modernizarea și consolidarea serviciilor sociale, prin promovarea inovării și a noilor tehnologii pentru a asigura furnizarea pe întreg teritoriul, pentru a identifica mai bine nevoile și pentru a îmbunătăți calitatea acestora. În domeniul sprijinului acordat familiilor, acțiunile vizează îmbunătățirea protecției juridice și a sprijinului material (în numerar și în natură) pentru familii, în vederea reducerii sărăciei în rândul copiilor. Un alt obiectiv al componentei este de a moderniza alte prestații sociale de tip necontributiv pentru a îmbunătăți rolurile lor de protecție și activare. Acțiuni specifice specifice vizează sprijinirea victimelor violenței de gen, promovarea accesibilității serviciilor publice și îmbunătățirea capacității sistemului de primire a solicitanților de protecție internațională. </w:t>
      </w:r>
    </w:p>
    <w:p w14:paraId="1B4EDA33" w14:textId="77777777" w:rsidR="00011DE9" w:rsidRDefault="00011DE9">
      <w:pPr>
        <w:pStyle w:val="P68B1DB1-Normal16"/>
        <w:spacing w:before="120" w:after="120" w:line="240" w:lineRule="auto"/>
        <w:jc w:val="both"/>
        <w:rPr>
          <w:rFonts w:cs="Times New Roman"/>
          <w:noProof/>
        </w:rPr>
      </w:pPr>
      <w:r>
        <w:rPr>
          <w:noProof/>
        </w:rPr>
        <w:t>Componenta contribuie la abordarea recomandărilor specifice fiecărei țări legate de asigurarea faptului că serviciile sociale și de ocupare a forței de muncă au capacitatea de a oferi un sprijin eficace (Recomandarea specifică fiecărei țări 2 2019); îmbunătățirea sprijinului acordat familiilor (Recomandarea specifică fiecărei țări 2 2019); să reducă fragmentarea sistemului național de asistență pentru șomaj și să abordeze lacunele în ceea ce privește acoperirea sistemelor regionale de venit minim (Recomandarea specifică fiecărei țări 2 2019); și îmbunătățirea acoperirii și a caracterului adecvat al sistemelor de venit minim și de sprijin familial (Recomandarea specifică fiecărei țări 2 2020).</w:t>
      </w:r>
    </w:p>
    <w:p w14:paraId="3B15874E" w14:textId="77777777" w:rsidR="00011DE9" w:rsidRDefault="00011DE9">
      <w:pPr>
        <w:pStyle w:val="P68B1DB1-Normal16"/>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43F49EB1" w14:textId="5C30323D" w:rsidR="00011DE9" w:rsidRDefault="00011DE9">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V.1.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1A78C099" w14:textId="77777777" w:rsidR="00011DE9" w:rsidRDefault="00011DE9">
      <w:pPr>
        <w:pStyle w:val="P68B1DB1-Normal17"/>
        <w:spacing w:before="120" w:after="120" w:line="240" w:lineRule="auto"/>
        <w:jc w:val="both"/>
        <w:rPr>
          <w:rFonts w:cs="Times New Roman"/>
          <w:noProof/>
        </w:rPr>
      </w:pPr>
      <w:r>
        <w:rPr>
          <w:noProof/>
          <w:shd w:val="clear" w:color="auto" w:fill="FFFFFF"/>
        </w:rPr>
        <w:t>Reforma 1 (C22.R1) –</w:t>
      </w:r>
      <w:r>
        <w:rPr>
          <w:noProof/>
        </w:rPr>
        <w:t xml:space="preserve"> Consolidarea îngrijirii pe termen lung și promovarea unei schimbări a modelului de sprijin și de îngrijire pe termen lung</w:t>
      </w:r>
    </w:p>
    <w:p w14:paraId="25816E52" w14:textId="77777777" w:rsidR="00011DE9" w:rsidRDefault="00011DE9">
      <w:pPr>
        <w:pStyle w:val="P68B1DB1-Normal16"/>
        <w:spacing w:before="120" w:after="120" w:line="240" w:lineRule="auto"/>
        <w:jc w:val="both"/>
        <w:rPr>
          <w:rFonts w:cs="Times New Roman"/>
          <w:noProof/>
        </w:rPr>
      </w:pPr>
      <w:r>
        <w:rPr>
          <w:noProof/>
        </w:rPr>
        <w:t xml:space="preserve">Reforma vizează un model de sprijin axat pe oameni și bazat pe drepturi. Se preconizează că sistemul de autonomie și îngrijire a persoanelor dependente (SAAD) va fi îmbunătățit prin introducerea unor reforme care vor simplifica procedurile administrative, vor accelera prelucrarea cererilor și vor reduce listele de așteptare pentru persoanele aflate în întreținere care nu beneficiază de serviciile la care au dreptul, precum și prin reducerea diferențelor de pe întreg teritoriul. Aceasta se axează, de asemenea, pe consolidarea calității serviciilor profesionale, pe îmbunătățirea condițiilor de muncă și pe creșterea acoperirii diferitelor tipuri de beneficii financiare. Pe termen mediu, reforma se axează pe punerea în aplicare a unei strategii naționale de dezinstituționalizare, un model orientat către îngrijirea comunitară care răspunde nevoilor și preferințelor persoanelor care au nevoie de sprijin, asigurând în același timp eficiența din punctul de vedere al costurilor și sprijinind familiile care le îngrijesc. </w:t>
      </w:r>
    </w:p>
    <w:p w14:paraId="7172173A" w14:textId="77777777" w:rsidR="00011DE9" w:rsidRDefault="00011DE9">
      <w:pPr>
        <w:pStyle w:val="P68B1DB1-Normal16"/>
        <w:spacing w:before="120" w:after="120" w:line="240" w:lineRule="auto"/>
        <w:jc w:val="both"/>
        <w:rPr>
          <w:rFonts w:cs="Times New Roman"/>
          <w:noProof/>
        </w:rPr>
      </w:pPr>
      <w:r>
        <w:rPr>
          <w:noProof/>
        </w:rPr>
        <w:t xml:space="preserve">Baza reformei îngrijirii pe termen lung se va baza pe o evaluare a SAAD în cursul anului 2021 pentru a dobândi o înțelegere aprofundată a progreselor procesului de reformă a îngrijirii pe termen lung inițiat în 2020 și a impactului acestuia. Concluziile acestei evaluări sunt prezentate consiliului teritorial în prima jumătate a anului 2022. </w:t>
      </w:r>
    </w:p>
    <w:p w14:paraId="40F20B4D" w14:textId="77777777" w:rsidR="00011DE9" w:rsidRDefault="00011DE9">
      <w:pPr>
        <w:pStyle w:val="P68B1DB1-Normal47"/>
        <w:spacing w:before="120" w:after="120" w:line="240" w:lineRule="auto"/>
        <w:jc w:val="both"/>
        <w:rPr>
          <w:rFonts w:cs="Times New Roman"/>
          <w:noProof/>
        </w:rPr>
      </w:pPr>
      <w:r>
        <w:rPr>
          <w:noProof/>
        </w:rPr>
        <w:t>Punerea în aplicare a măsurii se finalizează până la 30 iunie 2022.</w:t>
      </w:r>
    </w:p>
    <w:p w14:paraId="20A84CEF" w14:textId="77777777" w:rsidR="00011DE9" w:rsidRDefault="00011DE9">
      <w:pPr>
        <w:pStyle w:val="P68B1DB1-Normal17"/>
        <w:spacing w:before="120" w:after="120" w:line="240" w:lineRule="auto"/>
        <w:jc w:val="both"/>
        <w:rPr>
          <w:rFonts w:cs="Times New Roman"/>
          <w:noProof/>
        </w:rPr>
      </w:pPr>
      <w:r>
        <w:rPr>
          <w:noProof/>
          <w:shd w:val="clear" w:color="auto" w:fill="FFFFFF"/>
        </w:rPr>
        <w:t xml:space="preserve">Reforma 2 (C22.R2) – </w:t>
      </w:r>
      <w:r>
        <w:rPr>
          <w:noProof/>
        </w:rPr>
        <w:t>Modernizarea serviciilor sociale publice și crearea unui nou cadru de reglementare pentru acestea</w:t>
      </w:r>
    </w:p>
    <w:p w14:paraId="739C3CFF" w14:textId="77777777" w:rsidR="00011DE9" w:rsidRDefault="00011DE9">
      <w:pPr>
        <w:pStyle w:val="P68B1DB1-Normal16"/>
        <w:spacing w:before="120" w:after="120" w:line="240" w:lineRule="auto"/>
        <w:jc w:val="both"/>
        <w:rPr>
          <w:noProof/>
        </w:rPr>
      </w:pPr>
      <w:r>
        <w:rPr>
          <w:noProof/>
        </w:rPr>
        <w:t>Obiectivul acestei reforme este de a stabili un set minim comun de servicii sociale și condițiile de bază ale acestora în toate regiunile.</w:t>
      </w:r>
    </w:p>
    <w:p w14:paraId="4BDCEA1D" w14:textId="77777777" w:rsidR="00011DE9" w:rsidRDefault="00011DE9">
      <w:pPr>
        <w:pStyle w:val="P68B1DB1-Normal16"/>
        <w:spacing w:before="120" w:after="120" w:line="240" w:lineRule="auto"/>
        <w:jc w:val="both"/>
        <w:rPr>
          <w:noProof/>
        </w:rPr>
      </w:pPr>
      <w:r>
        <w:rPr>
          <w:noProof/>
        </w:rPr>
        <w:t>Această măsură constă în publicarea în Jurnalul Oficial a i) actului juridic privind aprobarea Acordului Consiliului teritorial de stabilire a unui set minim comun de servicii sociale, precum și a condițiilor de bază ale acestora, a termenelor de punere în aplicare și a mecanismelor de monitorizare și control pentru aplicarea sa de către regiuni; și ii) actul juridic care reglementează sistemul de informații privind serviciile sociale pentru monitorizarea și controlul aplicării acestuia de către regiuni.</w:t>
      </w:r>
    </w:p>
    <w:p w14:paraId="750E2E87" w14:textId="77777777" w:rsidR="00011DE9" w:rsidRDefault="00011DE9">
      <w:pPr>
        <w:pStyle w:val="P68B1DB1-Normal17"/>
        <w:spacing w:before="120" w:after="120" w:line="240" w:lineRule="auto"/>
        <w:jc w:val="both"/>
        <w:rPr>
          <w:rFonts w:cs="Times New Roman"/>
          <w:noProof/>
        </w:rPr>
      </w:pPr>
      <w:r>
        <w:rPr>
          <w:noProof/>
          <w:shd w:val="clear" w:color="auto" w:fill="FFFFFF"/>
        </w:rPr>
        <w:t xml:space="preserve">Reforma 3a (C22.R3a) – </w:t>
      </w:r>
      <w:r>
        <w:rPr>
          <w:noProof/>
        </w:rPr>
        <w:t>Adoptarea legislației privind prelungirea duratei concediului de naștere și de îngrijire plătit</w:t>
      </w:r>
    </w:p>
    <w:p w14:paraId="3C1BE2A3" w14:textId="77777777" w:rsidR="00011DE9" w:rsidRDefault="00011DE9">
      <w:pPr>
        <w:pStyle w:val="P68B1DB1-Normal16"/>
        <w:spacing w:before="120" w:after="120" w:line="240" w:lineRule="auto"/>
        <w:jc w:val="both"/>
        <w:rPr>
          <w:noProof/>
        </w:rPr>
      </w:pPr>
      <w:r>
        <w:rPr>
          <w:noProof/>
        </w:rPr>
        <w:t xml:space="preserve">Obiectivul acestei măsuri este de a sprijini echilibrul dintre viața profesională și cea privată și bunăstarea copiilor. </w:t>
      </w:r>
    </w:p>
    <w:p w14:paraId="14D248C8" w14:textId="77777777" w:rsidR="00011DE9" w:rsidRDefault="00011DE9">
      <w:pPr>
        <w:pStyle w:val="P68B1DB1-Normal16"/>
        <w:spacing w:before="120" w:after="120" w:line="240" w:lineRule="auto"/>
        <w:jc w:val="both"/>
        <w:rPr>
          <w:rFonts w:cs="Times New Roman"/>
          <w:noProof/>
        </w:rPr>
      </w:pPr>
      <w:r>
        <w:rPr>
          <w:noProof/>
        </w:rPr>
        <w:t>Această măsură constă în intrarea în vigoare a legislației de modificare a Statutului lucrătorilor și a legislației conexe, pentru a prelungi durata concediului plătit de naștere și de îngrijire.</w:t>
      </w:r>
    </w:p>
    <w:p w14:paraId="623ED1A8" w14:textId="77777777" w:rsidR="00011DE9" w:rsidRDefault="00011DE9">
      <w:pPr>
        <w:pStyle w:val="P68B1DB1-Normal17"/>
        <w:spacing w:before="120" w:after="120" w:line="240" w:lineRule="auto"/>
        <w:jc w:val="both"/>
        <w:rPr>
          <w:rFonts w:cs="Times New Roman"/>
          <w:noProof/>
        </w:rPr>
      </w:pPr>
      <w:r>
        <w:rPr>
          <w:noProof/>
          <w:shd w:val="clear" w:color="auto" w:fill="FFFFFF"/>
        </w:rPr>
        <w:t xml:space="preserve">Reforma 4 (C22.R4) – </w:t>
      </w:r>
      <w:r>
        <w:rPr>
          <w:noProof/>
        </w:rPr>
        <w:t xml:space="preserve">Reformarea sistemului de primire a migranților și a solicitanților de protecție internațională </w:t>
      </w:r>
    </w:p>
    <w:p w14:paraId="1EFE124B" w14:textId="77777777" w:rsidR="00011DE9" w:rsidRDefault="00011DE9">
      <w:pPr>
        <w:pStyle w:val="P68B1DB1-Normal16"/>
        <w:spacing w:before="120" w:after="120" w:line="240" w:lineRule="auto"/>
        <w:jc w:val="both"/>
        <w:rPr>
          <w:rFonts w:cs="Times New Roman"/>
          <w:noProof/>
        </w:rPr>
      </w:pPr>
      <w:r>
        <w:rPr>
          <w:noProof/>
        </w:rPr>
        <w:t>Actualul sistem de primire a migranților și a solicitanților de protecție internațională din Spania va fi consolidat pentru a-i îmbunătăți capacitatea, adaptând-o la nevoile existente și la cele viitoare estimate și contribuind la eficientizarea acestuia. Accentul se pune în special pe reducerea perioadelor lungi de așteptare și a ratelor scăzute de recunoaștere pentru solicitanții de protecție internațională. Cu un sistem mai solid și mai bine funcțional, se preconizează că gestionarea viitoarelor crize ale migrației va fi mai ușoară.</w:t>
      </w:r>
    </w:p>
    <w:p w14:paraId="14108F2E" w14:textId="77777777" w:rsidR="00011DE9" w:rsidRDefault="00011DE9">
      <w:pPr>
        <w:pStyle w:val="P68B1DB1-Normal16"/>
        <w:spacing w:before="120" w:after="120" w:line="240" w:lineRule="auto"/>
        <w:jc w:val="both"/>
        <w:rPr>
          <w:rFonts w:cs="Times New Roman"/>
          <w:noProof/>
        </w:rPr>
      </w:pPr>
      <w:r>
        <w:rPr>
          <w:noProof/>
        </w:rPr>
        <w:t xml:space="preserve">Politicile de primire sunt adaptate la nevoile persoanelor vulnerabile și ale solicitanților de azil și la obiectivele de integrare în UE, sporind reziliența întregului sistem. Ele stabilesc, de asemenea, nivelul prestațiilor pentru serviciile de bază pentru solicitanții care nu dispun de resurse financiare și pentru solicitanții cu un profil mai vulnerabil care au nevoie de protecție sporită, cu scopul de a reduce la minimum furnizarea condițiilor de primire sub formă de prestații financiare. În plus, sistemul care acoperă serviciile și căile însoțitoare trebuie adaptat. Aceasta abordează organizarea sistemului de primire din punct de vedere teritorial, cu scopul de a accelera preluarea competențelor de către comunitățile autonome, astfel cum se prevede în jurisprudență, prin intermediul a două proiecte-pilot. În cele din urmă, parametrii de distribuție teritorială pentru solicitanții care cooperează sunt conveniți cu comunitățile autonome. </w:t>
      </w:r>
    </w:p>
    <w:p w14:paraId="5A519992" w14:textId="77777777" w:rsidR="00011DE9" w:rsidRDefault="00011DE9">
      <w:pPr>
        <w:pStyle w:val="P68B1DB1-Normal16"/>
        <w:spacing w:before="120" w:after="120" w:line="240" w:lineRule="auto"/>
        <w:jc w:val="both"/>
        <w:rPr>
          <w:rFonts w:cs="Times New Roman"/>
          <w:noProof/>
        </w:rPr>
      </w:pPr>
      <w:r>
        <w:rPr>
          <w:noProof/>
        </w:rPr>
        <w:t>Pentru a asigura punerea în aplicare, se utilizează un sistem de indicatori care include elemente precum naționalitatea, sexul, etnia, vulnerabilitatea, condițiile din țara de origine etc., într-o formulă ponderată care permite un calcul obiectiv al probabilității de acordare a protecției. În timpul prelucrării cererilor, rezultatul formulei trebuie să permită autorităților responsabile cu primirea să direcționeze solicitanții către calea de primire de bază sau îmbunătățită. Această dispoziție se aplică și prestațiilor corespunzătoare. Acest lucru va permite aplicarea unor condiții de primire de bază pentru toți solicitanții de azil și a unor condiții de primire îmbunătățite pentru cei cu o probabilitate ridicată de recunoaștere.</w:t>
      </w:r>
    </w:p>
    <w:p w14:paraId="077D6948" w14:textId="77777777" w:rsidR="00011DE9" w:rsidRDefault="00011DE9">
      <w:pPr>
        <w:pStyle w:val="P68B1DB1-Normal47"/>
        <w:spacing w:before="120" w:after="120" w:line="240" w:lineRule="auto"/>
        <w:jc w:val="both"/>
        <w:rPr>
          <w:rFonts w:cs="Times New Roman"/>
          <w:noProof/>
        </w:rPr>
      </w:pPr>
      <w:r>
        <w:rPr>
          <w:noProof/>
        </w:rPr>
        <w:t>Punerea în aplicare a măsurii se finalizează până la 31 martie 2022.</w:t>
      </w:r>
    </w:p>
    <w:p w14:paraId="713CB091" w14:textId="77777777" w:rsidR="00011DE9" w:rsidRDefault="00011DE9">
      <w:pPr>
        <w:pStyle w:val="P68B1DB1-Normal17"/>
        <w:spacing w:before="120" w:after="120" w:line="240" w:lineRule="auto"/>
        <w:jc w:val="both"/>
        <w:rPr>
          <w:rFonts w:cs="Times New Roman"/>
          <w:noProof/>
        </w:rPr>
      </w:pPr>
      <w:r>
        <w:rPr>
          <w:noProof/>
          <w:shd w:val="clear" w:color="auto" w:fill="FFFFFF"/>
        </w:rPr>
        <w:t xml:space="preserve">Reforma 5 (C22.R5) – </w:t>
      </w:r>
      <w:r>
        <w:rPr>
          <w:noProof/>
        </w:rPr>
        <w:t>Îmbunătățirea sistemului de prestații financiare de tip necontributiv al Administrației Generale de Stat</w:t>
      </w:r>
    </w:p>
    <w:p w14:paraId="404E9A78" w14:textId="77777777" w:rsidR="00011DE9" w:rsidRDefault="00011DE9">
      <w:pPr>
        <w:pStyle w:val="P68B1DB1-Normal16"/>
        <w:spacing w:before="120" w:after="120" w:line="240" w:lineRule="auto"/>
        <w:jc w:val="both"/>
        <w:rPr>
          <w:noProof/>
        </w:rPr>
      </w:pPr>
      <w:r>
        <w:rPr>
          <w:noProof/>
        </w:rPr>
        <w:t xml:space="preserve">Obiectivul acestei măsuri este de a sprijini persoanele expuse riscului de sărăcie și de excluziune socială. </w:t>
      </w:r>
    </w:p>
    <w:p w14:paraId="2288C7BC" w14:textId="77777777" w:rsidR="00011DE9" w:rsidRDefault="00011DE9">
      <w:pPr>
        <w:pStyle w:val="P68B1DB1-Normal16"/>
        <w:spacing w:before="120" w:after="120" w:line="240" w:lineRule="auto"/>
        <w:jc w:val="both"/>
        <w:rPr>
          <w:noProof/>
        </w:rPr>
      </w:pPr>
      <w:r>
        <w:rPr>
          <w:noProof/>
        </w:rPr>
        <w:t>Această măsură constă în aprobarea sistemului de venit minim de subzistență (IMV), adoptarea unui plan de reorganizare și simplificare a sistemului de prestații financiare de tip necontributiv și intrarea în vigoare a actului juridic de modificare a Decretului regal nr. 789/2022 de reglementare a venitului minim de subzistență, în vederea modificării normelor privind compatibilitatea IMV cu veniturile din activități salariate sau independente.</w:t>
      </w:r>
    </w:p>
    <w:p w14:paraId="74633E7A" w14:textId="77777777" w:rsidR="00011DE9" w:rsidRDefault="00011DE9">
      <w:pPr>
        <w:pStyle w:val="P68B1DB1-Normal17"/>
        <w:spacing w:before="120" w:after="120" w:line="240" w:lineRule="auto"/>
        <w:jc w:val="both"/>
        <w:rPr>
          <w:noProof/>
        </w:rPr>
      </w:pPr>
      <w:r>
        <w:rPr>
          <w:noProof/>
        </w:rPr>
        <w:t>Reforma 6 (C22.R6) – Măsuri de sprijinire a egalității de gen în funcțiile publice și în procesul de elaborare a politicilor și de consolidare a protecției forței de muncă</w:t>
      </w:r>
    </w:p>
    <w:p w14:paraId="1E60BD97" w14:textId="77777777" w:rsidR="00011DE9" w:rsidRDefault="00011DE9">
      <w:pPr>
        <w:pStyle w:val="P68B1DB1-Normal16"/>
        <w:spacing w:before="120" w:after="120" w:line="240" w:lineRule="auto"/>
        <w:jc w:val="both"/>
        <w:rPr>
          <w:noProof/>
        </w:rPr>
      </w:pPr>
      <w:r>
        <w:rPr>
          <w:noProof/>
        </w:rPr>
        <w:t>Obiectivul acestei reforme este de a consolida protecția victimelor violenței sexuale, de a promova o reprezentare echilibrată din punctul de vedere al genului în toate instituțiile politice și constituționale și de a consolida capacitatea instituțională de a aborda și a reduce disparitățile de gen în politicile publice.</w:t>
      </w:r>
    </w:p>
    <w:p w14:paraId="005619A9" w14:textId="77777777" w:rsidR="00011DE9" w:rsidRDefault="00011DE9">
      <w:pPr>
        <w:pStyle w:val="P68B1DB1-Normal16"/>
        <w:spacing w:before="120" w:after="120" w:line="240" w:lineRule="auto"/>
        <w:jc w:val="both"/>
        <w:rPr>
          <w:noProof/>
        </w:rPr>
      </w:pPr>
      <w:r>
        <w:rPr>
          <w:noProof/>
        </w:rPr>
        <w:t>Această măsură constă în intrarea în vigoare a unei legislații care extinde protecția drepturilor în materie de muncă la victimele violenței sexuale și care stabilește norme privind paritatea de gen pe listele electorale și reprezentarea echilibrată din punctul de vedere al genului în cadrul organismelor constituționale și al organismelor de importanță constituțională, precum și în numirile guvernamentale. Aceasta constă, de asemenea, în adoptarea unui ordin ministerial de instituire a unui consiliu consultativ privind disparitatea de gen pentru a consilia Ministerul Incluziunii, Securității Sociale și Migrației cu privire la elaborarea, monitorizarea și evaluarea politicilor care vizează reducerea disparității de gen.</w:t>
      </w:r>
    </w:p>
    <w:p w14:paraId="022306AB" w14:textId="77777777" w:rsidR="00011DE9" w:rsidRDefault="00011DE9">
      <w:pPr>
        <w:pStyle w:val="P68B1DB1-Normal16"/>
        <w:spacing w:before="120" w:after="120" w:line="240" w:lineRule="auto"/>
        <w:jc w:val="both"/>
        <w:rPr>
          <w:rFonts w:cs="Times New Roman"/>
          <w:noProof/>
          <w:u w:val="single"/>
        </w:rPr>
      </w:pPr>
      <w:r>
        <w:rPr>
          <w:noProof/>
          <w:u w:val="single"/>
        </w:rPr>
        <w:t xml:space="preserve">Investiția 1 </w:t>
      </w:r>
      <w:r>
        <w:rPr>
          <w:noProof/>
          <w:u w:val="single"/>
          <w:shd w:val="clear" w:color="auto" w:fill="FFFFFF"/>
        </w:rPr>
        <w:t>(C22.I1)</w:t>
      </w:r>
      <w:r>
        <w:rPr>
          <w:noProof/>
          <w:u w:val="single"/>
        </w:rPr>
        <w:t>: Planul de îngrijire și sprijin pe termen lung: dezinstituționalizare, echipamente și tehnologie</w:t>
      </w:r>
      <w:r>
        <w:rPr>
          <w:noProof/>
        </w:rPr>
        <w:t xml:space="preserve"> </w:t>
      </w:r>
    </w:p>
    <w:p w14:paraId="14C3904A" w14:textId="77777777" w:rsidR="00011DE9" w:rsidRDefault="00011DE9">
      <w:pPr>
        <w:pStyle w:val="P68B1DB1-Normal16"/>
        <w:spacing w:before="120" w:after="120" w:line="240" w:lineRule="auto"/>
        <w:jc w:val="both"/>
        <w:rPr>
          <w:noProof/>
        </w:rPr>
      </w:pPr>
      <w:r>
        <w:rPr>
          <w:noProof/>
        </w:rPr>
        <w:t>Obiectivul acestei investiții este de a sprijini serviciile de îngrijire și de sprijin pe termen lung.</w:t>
      </w:r>
    </w:p>
    <w:p w14:paraId="2D831148" w14:textId="77777777" w:rsidR="00011DE9" w:rsidRDefault="00011DE9">
      <w:pPr>
        <w:pStyle w:val="P68B1DB1-Normal16"/>
        <w:spacing w:before="120" w:after="120" w:line="240" w:lineRule="auto"/>
        <w:jc w:val="both"/>
        <w:rPr>
          <w:rFonts w:cs="Times New Roman"/>
          <w:noProof/>
          <w:u w:val="single"/>
        </w:rPr>
      </w:pPr>
      <w:r>
        <w:rPr>
          <w:noProof/>
        </w:rPr>
        <w:t>Această măsură constă în executarea a șase proiecte-pilot care vizează stimularea dezinstituționalizării, construirea sau renovarea de centre rezidențiale, nerezidențiale și de îngrijire de zi și înființarea de servicii de îngrijire la distanță.</w:t>
      </w:r>
    </w:p>
    <w:p w14:paraId="183AC9C4" w14:textId="77777777" w:rsidR="00011DE9" w:rsidRDefault="00011DE9">
      <w:pPr>
        <w:pStyle w:val="P68B1DB1-Normal16"/>
        <w:keepNext/>
        <w:tabs>
          <w:tab w:val="left" w:pos="709"/>
        </w:tabs>
        <w:spacing w:before="120" w:after="120" w:line="240" w:lineRule="auto"/>
        <w:jc w:val="both"/>
        <w:rPr>
          <w:rFonts w:cs="Times New Roman"/>
          <w:noProof/>
          <w:u w:val="single"/>
        </w:rPr>
      </w:pPr>
      <w:r>
        <w:rPr>
          <w:noProof/>
          <w:u w:val="single"/>
        </w:rPr>
        <w:t xml:space="preserve">Investiția 2 </w:t>
      </w:r>
      <w:r>
        <w:rPr>
          <w:noProof/>
          <w:u w:val="single"/>
          <w:shd w:val="clear" w:color="auto" w:fill="FFFFFF"/>
        </w:rPr>
        <w:t>(C22.I2)</w:t>
      </w:r>
      <w:r>
        <w:rPr>
          <w:noProof/>
          <w:u w:val="single"/>
        </w:rPr>
        <w:t>: Planul pentru modernizarea serviciilor sociale – Transformare tehnologică, inovare, formare și consolidarea serviciilor de îngrijire a copiilor</w:t>
      </w:r>
      <w:r>
        <w:rPr>
          <w:noProof/>
        </w:rPr>
        <w:t xml:space="preserve"> </w:t>
      </w:r>
    </w:p>
    <w:p w14:paraId="225B34CA" w14:textId="77777777" w:rsidR="00011DE9" w:rsidRDefault="00011DE9">
      <w:pPr>
        <w:pStyle w:val="P68B1DB1-Normal16"/>
        <w:keepNext/>
        <w:spacing w:before="120" w:after="120" w:line="240" w:lineRule="auto"/>
        <w:jc w:val="both"/>
        <w:rPr>
          <w:noProof/>
        </w:rPr>
      </w:pPr>
      <w:r>
        <w:rPr>
          <w:noProof/>
        </w:rPr>
        <w:t>Obiectivul acestei investiții este de a sprijini transformarea tehnologică și inovarea serviciilor sociale, precum și modernizarea infrastructurii și a serviciilor asociate cu protecția rezidențială a îngrijirii copiilor și adolescenților și a familiilor substitutive.</w:t>
      </w:r>
    </w:p>
    <w:p w14:paraId="2004FDA4" w14:textId="77777777" w:rsidR="00011DE9" w:rsidRDefault="00011DE9">
      <w:pPr>
        <w:pStyle w:val="P68B1DB1-Normal16"/>
        <w:keepNext/>
        <w:spacing w:before="120" w:after="120" w:line="240" w:lineRule="auto"/>
        <w:jc w:val="both"/>
        <w:rPr>
          <w:noProof/>
        </w:rPr>
      </w:pPr>
      <w:r>
        <w:rPr>
          <w:noProof/>
        </w:rPr>
        <w:t>Această măsură constă în crearea de instrumente tehnologice pentru sistemele de informare și gestionare a serviciilor sociale și în investiții în transformarea tehnologică și inovarea serviciilor sociale și în modernizarea infrastructurii și a serviciilor asociate îngrijirii copiilor și adolescenților, precum și în executarea de proiecte-pilot pentru a stimula inovarea în domeniul serviciilor sociale.</w:t>
      </w:r>
    </w:p>
    <w:p w14:paraId="7A834D03" w14:textId="77777777" w:rsidR="00011DE9" w:rsidRDefault="00011DE9">
      <w:pPr>
        <w:pStyle w:val="P68B1DB1-Normal17"/>
        <w:spacing w:before="120" w:after="120" w:line="240" w:lineRule="auto"/>
        <w:jc w:val="both"/>
        <w:rPr>
          <w:rFonts w:cs="Times New Roman"/>
          <w:noProof/>
        </w:rPr>
      </w:pPr>
      <w:r>
        <w:rPr>
          <w:noProof/>
        </w:rPr>
        <w:t xml:space="preserve">Investiția 3 </w:t>
      </w:r>
      <w:r>
        <w:rPr>
          <w:noProof/>
          <w:shd w:val="clear" w:color="auto" w:fill="FFFFFF"/>
        </w:rPr>
        <w:t>(C22.I3)</w:t>
      </w:r>
      <w:r>
        <w:rPr>
          <w:noProof/>
        </w:rPr>
        <w:t xml:space="preserve">: Planul de țară pentru Spania accesibilă </w:t>
      </w:r>
    </w:p>
    <w:p w14:paraId="1A2E58C7" w14:textId="77777777" w:rsidR="00011DE9" w:rsidRDefault="00011DE9">
      <w:pPr>
        <w:pStyle w:val="P68B1DB1-Normal16"/>
        <w:spacing w:before="120" w:after="120" w:line="240" w:lineRule="auto"/>
        <w:jc w:val="both"/>
        <w:rPr>
          <w:noProof/>
        </w:rPr>
      </w:pPr>
      <w:r>
        <w:rPr>
          <w:noProof/>
        </w:rPr>
        <w:t xml:space="preserve">Obiectivul acestei măsuri este de a investi în domeniul accesibilității pentru persoanele cu handicap. </w:t>
      </w:r>
    </w:p>
    <w:p w14:paraId="7F107CB7" w14:textId="77777777" w:rsidR="00011DE9" w:rsidRDefault="00011DE9">
      <w:pPr>
        <w:pStyle w:val="P68B1DB1-Normal16"/>
        <w:spacing w:before="120" w:after="120" w:line="240" w:lineRule="auto"/>
        <w:jc w:val="both"/>
        <w:rPr>
          <w:rFonts w:cs="Times New Roman"/>
          <w:noProof/>
        </w:rPr>
      </w:pPr>
      <w:r>
        <w:rPr>
          <w:noProof/>
        </w:rPr>
        <w:t>Această măsură constă în investiții în domeniul accesibilității cognitive în comunicarea cu autoritățile publice (inclusiv site-uri web), al accesului fizic la clădirile publice și la spațiile publice, inclusiv la unitățile de sănătate și educație, al transportului public, al locuințelor private, al lucrărilor de adaptare și al achiziționării de echipamente de către municipalități, al cursurilor de formare, al campaniilor de comunicare și de sensibilizare și al proiectelor CDI în domeniul accesibilității cognitive.</w:t>
      </w:r>
    </w:p>
    <w:p w14:paraId="368D820D" w14:textId="77777777" w:rsidR="00011DE9" w:rsidRDefault="00011DE9">
      <w:pPr>
        <w:pStyle w:val="P68B1DB1-Normal16"/>
        <w:spacing w:before="120" w:after="120" w:line="240" w:lineRule="auto"/>
        <w:jc w:val="both"/>
        <w:rPr>
          <w:rFonts w:cs="Times New Roman"/>
          <w:noProof/>
          <w:u w:val="single"/>
        </w:rPr>
      </w:pPr>
      <w:r>
        <w:rPr>
          <w:noProof/>
          <w:u w:val="single"/>
        </w:rPr>
        <w:t xml:space="preserve">Investiția 4 </w:t>
      </w:r>
      <w:r>
        <w:rPr>
          <w:noProof/>
          <w:u w:val="single"/>
          <w:shd w:val="clear" w:color="auto" w:fill="FFFFFF"/>
        </w:rPr>
        <w:t>(C22.I4)</w:t>
      </w:r>
      <w:r>
        <w:rPr>
          <w:noProof/>
          <w:u w:val="single"/>
        </w:rPr>
        <w:t>: Planul Spaniei vă protejează împotriva violenței împotriva femeilor</w:t>
      </w:r>
      <w:r>
        <w:rPr>
          <w:noProof/>
        </w:rPr>
        <w:t xml:space="preserve"> </w:t>
      </w:r>
    </w:p>
    <w:p w14:paraId="6DC2F314" w14:textId="77777777" w:rsidR="00011DE9" w:rsidRDefault="00011DE9">
      <w:pPr>
        <w:pStyle w:val="P68B1DB1-Normal16"/>
        <w:spacing w:before="120" w:after="120" w:line="240" w:lineRule="auto"/>
        <w:jc w:val="both"/>
        <w:rPr>
          <w:noProof/>
        </w:rPr>
      </w:pPr>
      <w:r>
        <w:rPr>
          <w:noProof/>
        </w:rPr>
        <w:t>Obiectivul acestei investiții este de a oferi sprijin victimelor violenței împotriva femeilor prin servicii și structuri de îngrijire accesibile.</w:t>
      </w:r>
    </w:p>
    <w:p w14:paraId="6AF4359B" w14:textId="77777777" w:rsidR="00011DE9" w:rsidRDefault="00011DE9">
      <w:pPr>
        <w:pStyle w:val="P68B1DB1-Normal16"/>
        <w:spacing w:before="120" w:after="120" w:line="240" w:lineRule="auto"/>
        <w:jc w:val="both"/>
        <w:rPr>
          <w:noProof/>
        </w:rPr>
      </w:pPr>
      <w:r>
        <w:rPr>
          <w:noProof/>
        </w:rPr>
        <w:t>Această măsură constă în înființarea unui serviciu de orientare socială și de ocupare a forței de muncă pentru victimele traficului de persoane și ale exploatării sexuale, a 52 de centre pentru victimele violenței sexuale („centros de crisis”, „centros de atención integral și similar”), dintre care 6 sunt unități mobile, precum și în achiziționarea de dispozitive de monitorizare a alertei și distanțării, a unei aplicații mobile pentru victime și a unei platforme de volume mari de date și de inteligență artificială pentru serviciile de sprijinire a victimelor.</w:t>
      </w:r>
    </w:p>
    <w:p w14:paraId="35B97884" w14:textId="77777777" w:rsidR="00011DE9" w:rsidRDefault="00011DE9">
      <w:pPr>
        <w:pStyle w:val="P68B1DB1-Normal16"/>
        <w:spacing w:before="120" w:after="120" w:line="240" w:lineRule="auto"/>
        <w:jc w:val="both"/>
        <w:rPr>
          <w:rFonts w:cs="Times New Roman"/>
          <w:noProof/>
        </w:rPr>
      </w:pPr>
      <w:r>
        <w:rPr>
          <w:noProof/>
          <w:u w:val="single"/>
        </w:rPr>
        <w:t xml:space="preserve">Investiția 5 </w:t>
      </w:r>
      <w:r>
        <w:rPr>
          <w:noProof/>
          <w:u w:val="single"/>
          <w:shd w:val="clear" w:color="auto" w:fill="FFFFFF"/>
        </w:rPr>
        <w:t>(C22.I5)</w:t>
      </w:r>
      <w:r>
        <w:rPr>
          <w:noProof/>
          <w:u w:val="single"/>
        </w:rPr>
        <w:t>: Construirea, achiziționarea sau renovarea centrelor de primire a migranților și a solicitanților de protecție internațională</w:t>
      </w:r>
      <w:r>
        <w:rPr>
          <w:noProof/>
        </w:rPr>
        <w:t xml:space="preserve"> </w:t>
      </w:r>
    </w:p>
    <w:p w14:paraId="27512783" w14:textId="77777777" w:rsidR="00011DE9" w:rsidRDefault="00011DE9">
      <w:pPr>
        <w:pStyle w:val="P68B1DB1-Normal16"/>
        <w:spacing w:before="120" w:after="120" w:line="240" w:lineRule="auto"/>
        <w:jc w:val="both"/>
        <w:rPr>
          <w:noProof/>
        </w:rPr>
      </w:pPr>
      <w:r>
        <w:rPr>
          <w:noProof/>
        </w:rPr>
        <w:t>Obiectivul acestei investiții este de a spori capacitatea Spaniei de primire a migranților și a solicitanților de protecție internațională.</w:t>
      </w:r>
    </w:p>
    <w:p w14:paraId="6F6591F9" w14:textId="77777777" w:rsidR="00011DE9" w:rsidRDefault="00011DE9">
      <w:pPr>
        <w:pStyle w:val="P68B1DB1-Normal16"/>
        <w:spacing w:before="120" w:after="120" w:line="240" w:lineRule="auto"/>
        <w:jc w:val="both"/>
        <w:rPr>
          <w:noProof/>
        </w:rPr>
      </w:pPr>
      <w:r>
        <w:rPr>
          <w:noProof/>
        </w:rPr>
        <w:t>Această măsură constă în construirea, achiziționarea sau renovarea de centre de primire pentru migranți și solicitanți de protecție internațională.</w:t>
      </w:r>
    </w:p>
    <w:p w14:paraId="269DDEF1" w14:textId="79D2E16E" w:rsidR="00011DE9" w:rsidRDefault="00011DE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V.2.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117E832B" w14:textId="77777777" w:rsidR="00011DE9" w:rsidRDefault="00011DE9">
      <w:pPr>
        <w:pStyle w:val="P68B1DB1-Normal16"/>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3D7AC444" w14:textId="77777777" w:rsidR="00011DE9" w:rsidRDefault="00011DE9">
      <w:pPr>
        <w:spacing w:before="120" w:after="120" w:line="240" w:lineRule="auto"/>
        <w:ind w:left="709"/>
        <w:jc w:val="both"/>
        <w:rPr>
          <w:rFonts w:ascii="Times New Roman" w:hAnsi="Times New Roman" w:cs="Times New Roman"/>
          <w:noProof/>
        </w:rPr>
        <w:sectPr w:rsidR="00011DE9" w:rsidSect="00011DE9">
          <w:headerReference w:type="even" r:id="rId298"/>
          <w:headerReference w:type="default" r:id="rId299"/>
          <w:footerReference w:type="even" r:id="rId300"/>
          <w:footerReference w:type="default" r:id="rId301"/>
          <w:headerReference w:type="first" r:id="rId302"/>
          <w:footerReference w:type="first" r:id="rId303"/>
          <w:pgSz w:w="11907" w:h="16839"/>
          <w:pgMar w:top="1134" w:right="1134" w:bottom="1134" w:left="1134" w:header="567" w:footer="567" w:gutter="0"/>
          <w:cols w:space="720"/>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992"/>
        <w:gridCol w:w="2688"/>
        <w:gridCol w:w="1423"/>
        <w:gridCol w:w="850"/>
        <w:gridCol w:w="851"/>
        <w:gridCol w:w="709"/>
        <w:gridCol w:w="567"/>
        <w:gridCol w:w="810"/>
        <w:gridCol w:w="4860"/>
      </w:tblGrid>
      <w:tr w:rsidR="00011DE9" w14:paraId="46D0C180" w14:textId="77777777">
        <w:trPr>
          <w:trHeight w:val="309"/>
          <w:tblHeader/>
          <w:jc w:val="center"/>
        </w:trPr>
        <w:tc>
          <w:tcPr>
            <w:tcW w:w="709" w:type="dxa"/>
            <w:vMerge w:val="restart"/>
            <w:shd w:val="clear" w:color="auto" w:fill="B7D4EF"/>
            <w:noWrap/>
            <w:vAlign w:val="center"/>
          </w:tcPr>
          <w:p w14:paraId="29C82EA9" w14:textId="77777777" w:rsidR="00011DE9" w:rsidRDefault="00011DE9">
            <w:pPr>
              <w:pStyle w:val="P68B1DB1-Normal18"/>
              <w:spacing w:after="0" w:line="240" w:lineRule="auto"/>
              <w:jc w:val="center"/>
              <w:rPr>
                <w:rFonts w:cs="Times New Roman"/>
                <w:bCs/>
                <w:noProof/>
                <w:szCs w:val="18"/>
              </w:rPr>
            </w:pPr>
            <w:r>
              <w:rPr>
                <w:noProof/>
              </w:rPr>
              <w:t>Număr</w:t>
            </w:r>
          </w:p>
        </w:tc>
        <w:tc>
          <w:tcPr>
            <w:tcW w:w="851" w:type="dxa"/>
            <w:vMerge w:val="restart"/>
            <w:shd w:val="clear" w:color="auto" w:fill="B7D4EF"/>
            <w:noWrap/>
            <w:vAlign w:val="center"/>
          </w:tcPr>
          <w:p w14:paraId="7FB2C795" w14:textId="77777777" w:rsidR="00011DE9" w:rsidRDefault="00011DE9">
            <w:pPr>
              <w:pStyle w:val="P68B1DB1-Normal18"/>
              <w:spacing w:after="0" w:line="240" w:lineRule="auto"/>
              <w:jc w:val="center"/>
              <w:rPr>
                <w:rFonts w:cs="Times New Roman"/>
                <w:bCs/>
                <w:noProof/>
                <w:szCs w:val="18"/>
              </w:rPr>
            </w:pPr>
            <w:r>
              <w:rPr>
                <w:noProof/>
              </w:rPr>
              <w:t>Măsură</w:t>
            </w:r>
          </w:p>
        </w:tc>
        <w:tc>
          <w:tcPr>
            <w:tcW w:w="992" w:type="dxa"/>
            <w:vMerge w:val="restart"/>
            <w:shd w:val="clear" w:color="auto" w:fill="B7D4EF"/>
            <w:noWrap/>
            <w:vAlign w:val="center"/>
          </w:tcPr>
          <w:p w14:paraId="089F9632" w14:textId="079F3783" w:rsidR="00011DE9" w:rsidRDefault="00011DE9">
            <w:pPr>
              <w:spacing w:after="0" w:line="240" w:lineRule="auto"/>
              <w:jc w:val="center"/>
              <w:rPr>
                <w:rFonts w:ascii="Times New Roman" w:hAnsi="Times New Roman" w:cs="Times New Roman"/>
                <w:b/>
                <w:bCs/>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2688" w:type="dxa"/>
            <w:vMerge w:val="restart"/>
            <w:shd w:val="clear" w:color="auto" w:fill="B7D4EF"/>
            <w:noWrap/>
            <w:vAlign w:val="center"/>
          </w:tcPr>
          <w:p w14:paraId="6D51A167" w14:textId="77777777" w:rsidR="00011DE9" w:rsidRDefault="00011DE9">
            <w:pPr>
              <w:pStyle w:val="P68B1DB1-Normal18"/>
              <w:spacing w:after="0" w:line="240" w:lineRule="auto"/>
              <w:jc w:val="center"/>
              <w:rPr>
                <w:rFonts w:cs="Times New Roman"/>
                <w:bCs/>
                <w:noProof/>
                <w:szCs w:val="18"/>
              </w:rPr>
            </w:pPr>
            <w:r>
              <w:rPr>
                <w:noProof/>
              </w:rPr>
              <w:t>Nume</w:t>
            </w:r>
          </w:p>
        </w:tc>
        <w:tc>
          <w:tcPr>
            <w:tcW w:w="1423" w:type="dxa"/>
            <w:vMerge w:val="restart"/>
            <w:shd w:val="clear" w:color="auto" w:fill="B7D4EF"/>
            <w:noWrap/>
            <w:vAlign w:val="center"/>
          </w:tcPr>
          <w:p w14:paraId="6FA9D0D2" w14:textId="77777777" w:rsidR="00011DE9" w:rsidRDefault="00011DE9">
            <w:pPr>
              <w:pStyle w:val="P68B1DB1-Normal18"/>
              <w:spacing w:after="0" w:line="240" w:lineRule="auto"/>
              <w:jc w:val="center"/>
              <w:rPr>
                <w:rFonts w:cs="Times New Roman"/>
                <w:bCs/>
                <w:noProof/>
                <w:szCs w:val="18"/>
              </w:rPr>
            </w:pPr>
            <w:r>
              <w:rPr>
                <w:noProof/>
              </w:rPr>
              <w:t>Indicator calitativ pentru jaloane</w:t>
            </w:r>
          </w:p>
        </w:tc>
        <w:tc>
          <w:tcPr>
            <w:tcW w:w="2410" w:type="dxa"/>
            <w:gridSpan w:val="3"/>
            <w:shd w:val="clear" w:color="auto" w:fill="B7D4EF"/>
            <w:noWrap/>
            <w:vAlign w:val="center"/>
          </w:tcPr>
          <w:p w14:paraId="60BCF169" w14:textId="77777777" w:rsidR="00011DE9" w:rsidRDefault="00011DE9">
            <w:pPr>
              <w:pStyle w:val="P68B1DB1-Normal18"/>
              <w:spacing w:after="0" w:line="240" w:lineRule="auto"/>
              <w:jc w:val="center"/>
              <w:rPr>
                <w:rFonts w:cs="Times New Roman"/>
                <w:bCs/>
                <w:noProof/>
                <w:szCs w:val="18"/>
              </w:rPr>
            </w:pPr>
            <w:r>
              <w:rPr>
                <w:noProof/>
              </w:rPr>
              <w:t>Indicator cantitativ pentru ținte</w:t>
            </w:r>
          </w:p>
        </w:tc>
        <w:tc>
          <w:tcPr>
            <w:tcW w:w="1377" w:type="dxa"/>
            <w:gridSpan w:val="2"/>
            <w:shd w:val="clear" w:color="auto" w:fill="B7D4EF"/>
            <w:noWrap/>
            <w:vAlign w:val="center"/>
          </w:tcPr>
          <w:p w14:paraId="4B86435A" w14:textId="77777777" w:rsidR="00011DE9" w:rsidRDefault="00011DE9">
            <w:pPr>
              <w:pStyle w:val="P68B1DB1-Normal18"/>
              <w:spacing w:after="0" w:line="240" w:lineRule="auto"/>
              <w:jc w:val="center"/>
              <w:rPr>
                <w:rFonts w:cs="Times New Roman"/>
                <w:bCs/>
                <w:noProof/>
                <w:szCs w:val="18"/>
              </w:rPr>
            </w:pPr>
            <w:r>
              <w:rPr>
                <w:noProof/>
              </w:rPr>
              <w:t>Timp</w:t>
            </w:r>
          </w:p>
        </w:tc>
        <w:tc>
          <w:tcPr>
            <w:tcW w:w="4860" w:type="dxa"/>
            <w:vMerge w:val="restart"/>
            <w:shd w:val="clear" w:color="auto" w:fill="B7D4EF"/>
            <w:noWrap/>
            <w:vAlign w:val="center"/>
          </w:tcPr>
          <w:p w14:paraId="78D2B759" w14:textId="77777777" w:rsidR="00011DE9" w:rsidRDefault="00011DE9">
            <w:pPr>
              <w:pStyle w:val="P68B1DB1-Normal18"/>
              <w:spacing w:after="0" w:line="240" w:lineRule="auto"/>
              <w:jc w:val="center"/>
              <w:rPr>
                <w:rFonts w:cs="Times New Roman"/>
                <w:noProof/>
                <w:szCs w:val="18"/>
              </w:rPr>
            </w:pPr>
            <w:r>
              <w:rPr>
                <w:noProof/>
              </w:rPr>
              <w:t>Descrierea fiecărui jalon și a fiecărei ținte</w:t>
            </w:r>
          </w:p>
        </w:tc>
      </w:tr>
      <w:tr w:rsidR="00011DE9" w14:paraId="64638F4D" w14:textId="77777777">
        <w:trPr>
          <w:trHeight w:val="309"/>
          <w:tblHeader/>
          <w:jc w:val="center"/>
        </w:trPr>
        <w:tc>
          <w:tcPr>
            <w:tcW w:w="709" w:type="dxa"/>
            <w:vMerge/>
            <w:noWrap/>
          </w:tcPr>
          <w:p w14:paraId="519C2231" w14:textId="77777777" w:rsidR="00011DE9" w:rsidRDefault="00011DE9">
            <w:pPr>
              <w:spacing w:after="0" w:line="240" w:lineRule="auto"/>
              <w:jc w:val="center"/>
              <w:rPr>
                <w:rFonts w:ascii="Times New Roman" w:hAnsi="Times New Roman" w:cs="Times New Roman"/>
                <w:b/>
                <w:noProof/>
                <w:sz w:val="18"/>
                <w:szCs w:val="18"/>
              </w:rPr>
            </w:pPr>
          </w:p>
        </w:tc>
        <w:tc>
          <w:tcPr>
            <w:tcW w:w="851" w:type="dxa"/>
            <w:vMerge/>
            <w:noWrap/>
          </w:tcPr>
          <w:p w14:paraId="6DD891B5" w14:textId="77777777" w:rsidR="00011DE9" w:rsidRDefault="00011DE9">
            <w:pPr>
              <w:spacing w:after="0" w:line="240" w:lineRule="auto"/>
              <w:jc w:val="center"/>
              <w:rPr>
                <w:rFonts w:ascii="Times New Roman" w:hAnsi="Times New Roman" w:cs="Times New Roman"/>
                <w:b/>
                <w:noProof/>
                <w:sz w:val="18"/>
                <w:szCs w:val="18"/>
              </w:rPr>
            </w:pPr>
          </w:p>
        </w:tc>
        <w:tc>
          <w:tcPr>
            <w:tcW w:w="992" w:type="dxa"/>
            <w:vMerge/>
            <w:noWrap/>
          </w:tcPr>
          <w:p w14:paraId="285AB9C7" w14:textId="77777777" w:rsidR="00011DE9" w:rsidRDefault="00011DE9">
            <w:pPr>
              <w:spacing w:after="0" w:line="240" w:lineRule="auto"/>
              <w:jc w:val="center"/>
              <w:rPr>
                <w:rFonts w:ascii="Times New Roman" w:hAnsi="Times New Roman" w:cs="Times New Roman"/>
                <w:b/>
                <w:noProof/>
                <w:sz w:val="18"/>
                <w:szCs w:val="18"/>
              </w:rPr>
            </w:pPr>
          </w:p>
        </w:tc>
        <w:tc>
          <w:tcPr>
            <w:tcW w:w="2688" w:type="dxa"/>
            <w:vMerge/>
            <w:noWrap/>
          </w:tcPr>
          <w:p w14:paraId="3B95C5DC" w14:textId="77777777" w:rsidR="00011DE9" w:rsidRDefault="00011DE9">
            <w:pPr>
              <w:spacing w:after="0" w:line="240" w:lineRule="auto"/>
              <w:rPr>
                <w:rFonts w:ascii="Times New Roman" w:hAnsi="Times New Roman" w:cs="Times New Roman"/>
                <w:b/>
                <w:noProof/>
                <w:sz w:val="18"/>
                <w:szCs w:val="18"/>
              </w:rPr>
            </w:pPr>
          </w:p>
        </w:tc>
        <w:tc>
          <w:tcPr>
            <w:tcW w:w="1423" w:type="dxa"/>
            <w:vMerge/>
            <w:noWrap/>
          </w:tcPr>
          <w:p w14:paraId="7BD45618" w14:textId="77777777" w:rsidR="00011DE9" w:rsidRDefault="00011DE9">
            <w:pPr>
              <w:spacing w:after="0" w:line="240" w:lineRule="auto"/>
              <w:jc w:val="center"/>
              <w:rPr>
                <w:rFonts w:ascii="Times New Roman" w:hAnsi="Times New Roman" w:cs="Times New Roman"/>
                <w:b/>
                <w:noProof/>
                <w:sz w:val="18"/>
                <w:szCs w:val="18"/>
              </w:rPr>
            </w:pPr>
          </w:p>
        </w:tc>
        <w:tc>
          <w:tcPr>
            <w:tcW w:w="850" w:type="dxa"/>
            <w:shd w:val="clear" w:color="auto" w:fill="B7D4EF"/>
            <w:noWrap/>
          </w:tcPr>
          <w:p w14:paraId="1BF7DA5F" w14:textId="77777777" w:rsidR="00011DE9" w:rsidRDefault="00011DE9">
            <w:pPr>
              <w:pStyle w:val="P68B1DB1-Normal18"/>
              <w:spacing w:after="0" w:line="240" w:lineRule="auto"/>
              <w:jc w:val="center"/>
              <w:rPr>
                <w:rFonts w:cs="Times New Roman"/>
                <w:bCs/>
                <w:noProof/>
                <w:szCs w:val="18"/>
              </w:rPr>
            </w:pPr>
            <w:r>
              <w:rPr>
                <w:noProof/>
              </w:rPr>
              <w:t>Unitate</w:t>
            </w:r>
          </w:p>
        </w:tc>
        <w:tc>
          <w:tcPr>
            <w:tcW w:w="851" w:type="dxa"/>
            <w:shd w:val="clear" w:color="auto" w:fill="B7D4EF"/>
            <w:noWrap/>
          </w:tcPr>
          <w:p w14:paraId="0E812789" w14:textId="77777777" w:rsidR="00011DE9" w:rsidRDefault="00011DE9">
            <w:pPr>
              <w:pStyle w:val="P68B1DB1-Normal18"/>
              <w:spacing w:after="0" w:line="240" w:lineRule="auto"/>
              <w:jc w:val="center"/>
              <w:rPr>
                <w:rFonts w:cs="Times New Roman"/>
                <w:bCs/>
                <w:noProof/>
                <w:szCs w:val="18"/>
              </w:rPr>
            </w:pPr>
            <w:r>
              <w:rPr>
                <w:noProof/>
              </w:rPr>
              <w:t>Situația de referință</w:t>
            </w:r>
          </w:p>
        </w:tc>
        <w:tc>
          <w:tcPr>
            <w:tcW w:w="709" w:type="dxa"/>
            <w:shd w:val="clear" w:color="auto" w:fill="B7D4EF"/>
            <w:noWrap/>
          </w:tcPr>
          <w:p w14:paraId="0BD66F04" w14:textId="77777777" w:rsidR="00011DE9" w:rsidRDefault="00011DE9">
            <w:pPr>
              <w:pStyle w:val="P68B1DB1-Normal18"/>
              <w:spacing w:after="0" w:line="240" w:lineRule="auto"/>
              <w:jc w:val="center"/>
              <w:rPr>
                <w:rFonts w:cs="Times New Roman"/>
                <w:bCs/>
                <w:noProof/>
                <w:szCs w:val="18"/>
              </w:rPr>
            </w:pPr>
            <w:r>
              <w:rPr>
                <w:noProof/>
              </w:rPr>
              <w:t>Obiectiv</w:t>
            </w:r>
          </w:p>
        </w:tc>
        <w:tc>
          <w:tcPr>
            <w:tcW w:w="567" w:type="dxa"/>
            <w:shd w:val="clear" w:color="auto" w:fill="B7D4EF"/>
            <w:noWrap/>
          </w:tcPr>
          <w:p w14:paraId="3C6DA16E" w14:textId="426CDB1A" w:rsidR="00011DE9" w:rsidRDefault="003010A3">
            <w:pPr>
              <w:pStyle w:val="P68B1DB1-Normal18"/>
              <w:spacing w:after="0" w:line="240" w:lineRule="auto"/>
              <w:jc w:val="center"/>
              <w:rPr>
                <w:rFonts w:cs="Times New Roman"/>
                <w:bCs/>
                <w:noProof/>
                <w:szCs w:val="18"/>
              </w:rPr>
            </w:pPr>
            <w:r>
              <w:rPr>
                <w:noProof/>
              </w:rPr>
              <w:t>T</w:t>
            </w:r>
          </w:p>
        </w:tc>
        <w:tc>
          <w:tcPr>
            <w:tcW w:w="810" w:type="dxa"/>
            <w:shd w:val="clear" w:color="auto" w:fill="B7D4EF"/>
            <w:noWrap/>
          </w:tcPr>
          <w:p w14:paraId="54D6BC8C" w14:textId="77777777" w:rsidR="00011DE9" w:rsidRDefault="00011DE9">
            <w:pPr>
              <w:pStyle w:val="P68B1DB1-Normal18"/>
              <w:spacing w:after="0" w:line="240" w:lineRule="auto"/>
              <w:jc w:val="center"/>
              <w:rPr>
                <w:rFonts w:cs="Times New Roman"/>
                <w:bCs/>
                <w:noProof/>
                <w:szCs w:val="18"/>
              </w:rPr>
            </w:pPr>
            <w:r>
              <w:rPr>
                <w:noProof/>
              </w:rPr>
              <w:t>Anul</w:t>
            </w:r>
          </w:p>
        </w:tc>
        <w:tc>
          <w:tcPr>
            <w:tcW w:w="4860" w:type="dxa"/>
            <w:vMerge/>
            <w:noWrap/>
            <w:vAlign w:val="center"/>
          </w:tcPr>
          <w:p w14:paraId="4D0C1A8E" w14:textId="77777777" w:rsidR="00011DE9" w:rsidRDefault="00011DE9">
            <w:pPr>
              <w:spacing w:after="0" w:line="240" w:lineRule="auto"/>
              <w:rPr>
                <w:rFonts w:ascii="Times New Roman" w:hAnsi="Times New Roman" w:cs="Times New Roman"/>
                <w:b/>
                <w:noProof/>
                <w:sz w:val="18"/>
                <w:szCs w:val="18"/>
              </w:rPr>
            </w:pPr>
          </w:p>
        </w:tc>
      </w:tr>
      <w:tr w:rsidR="00011DE9" w14:paraId="4EA752E5" w14:textId="77777777">
        <w:trPr>
          <w:trHeight w:val="309"/>
          <w:jc w:val="center"/>
        </w:trPr>
        <w:tc>
          <w:tcPr>
            <w:tcW w:w="709" w:type="dxa"/>
            <w:shd w:val="clear" w:color="auto" w:fill="C6EFCE"/>
            <w:noWrap/>
          </w:tcPr>
          <w:p w14:paraId="5A7D7562" w14:textId="77777777" w:rsidR="00011DE9" w:rsidRDefault="00011DE9">
            <w:pPr>
              <w:pStyle w:val="P68B1DB1-Normal19"/>
              <w:spacing w:after="0" w:line="240" w:lineRule="auto"/>
              <w:jc w:val="center"/>
              <w:rPr>
                <w:rFonts w:eastAsia="Times New Roman"/>
                <w:noProof/>
              </w:rPr>
            </w:pPr>
            <w:r>
              <w:rPr>
                <w:noProof/>
              </w:rPr>
              <w:t>314</w:t>
            </w:r>
          </w:p>
        </w:tc>
        <w:tc>
          <w:tcPr>
            <w:tcW w:w="851" w:type="dxa"/>
            <w:shd w:val="clear" w:color="auto" w:fill="C6EFCE"/>
            <w:noWrap/>
          </w:tcPr>
          <w:p w14:paraId="1A0D0679" w14:textId="77777777" w:rsidR="00011DE9" w:rsidRDefault="00011DE9">
            <w:pPr>
              <w:pStyle w:val="P68B1DB1-Normal19"/>
              <w:spacing w:after="0" w:line="240" w:lineRule="auto"/>
              <w:jc w:val="center"/>
              <w:rPr>
                <w:rFonts w:eastAsia="Times New Roman"/>
                <w:noProof/>
              </w:rPr>
            </w:pPr>
            <w:r>
              <w:rPr>
                <w:noProof/>
              </w:rPr>
              <w:t>C22.R1</w:t>
            </w:r>
          </w:p>
        </w:tc>
        <w:tc>
          <w:tcPr>
            <w:tcW w:w="992" w:type="dxa"/>
            <w:shd w:val="clear" w:color="auto" w:fill="C6EFCE"/>
            <w:noWrap/>
          </w:tcPr>
          <w:p w14:paraId="00BE0995" w14:textId="77777777" w:rsidR="00011DE9" w:rsidRDefault="00011DE9">
            <w:pPr>
              <w:pStyle w:val="P68B1DB1-Normal19"/>
              <w:spacing w:after="0" w:line="240" w:lineRule="auto"/>
              <w:jc w:val="center"/>
              <w:rPr>
                <w:rFonts w:eastAsia="Times New Roman"/>
                <w:noProof/>
              </w:rPr>
            </w:pPr>
            <w:r>
              <w:rPr>
                <w:noProof/>
              </w:rPr>
              <w:t>M</w:t>
            </w:r>
          </w:p>
        </w:tc>
        <w:tc>
          <w:tcPr>
            <w:tcW w:w="2688" w:type="dxa"/>
            <w:shd w:val="clear" w:color="auto" w:fill="C6EFCE"/>
            <w:noWrap/>
          </w:tcPr>
          <w:p w14:paraId="15824065" w14:textId="77777777" w:rsidR="00011DE9" w:rsidRDefault="00011DE9">
            <w:pPr>
              <w:pStyle w:val="P68B1DB1-Normal19"/>
              <w:spacing w:after="0" w:line="240" w:lineRule="auto"/>
              <w:rPr>
                <w:rFonts w:eastAsia="Times New Roman"/>
                <w:noProof/>
              </w:rPr>
            </w:pPr>
            <w:r>
              <w:rPr>
                <w:noProof/>
              </w:rPr>
              <w:t xml:space="preserve">Aprobarea de către Consiliul teritorial a evaluării Sistemului de autonomie și îngrijire a dependenței (SAAD). </w:t>
            </w:r>
          </w:p>
        </w:tc>
        <w:tc>
          <w:tcPr>
            <w:tcW w:w="1423" w:type="dxa"/>
            <w:shd w:val="clear" w:color="auto" w:fill="C6EFCE"/>
            <w:noWrap/>
          </w:tcPr>
          <w:p w14:paraId="40ED1D10" w14:textId="77777777" w:rsidR="00011DE9" w:rsidRDefault="00011DE9">
            <w:pPr>
              <w:pStyle w:val="P68B1DB1-Normal19"/>
              <w:spacing w:after="0" w:line="240" w:lineRule="auto"/>
              <w:jc w:val="center"/>
              <w:rPr>
                <w:rFonts w:eastAsia="Times New Roman"/>
                <w:noProof/>
              </w:rPr>
            </w:pPr>
            <w:r>
              <w:rPr>
                <w:noProof/>
              </w:rPr>
              <w:t xml:space="preserve">Publicarea evaluării </w:t>
            </w:r>
          </w:p>
        </w:tc>
        <w:tc>
          <w:tcPr>
            <w:tcW w:w="850" w:type="dxa"/>
            <w:shd w:val="clear" w:color="auto" w:fill="C6EFCE"/>
            <w:noWrap/>
          </w:tcPr>
          <w:p w14:paraId="6380C0E5" w14:textId="77777777" w:rsidR="00011DE9" w:rsidRDefault="00011DE9">
            <w:pPr>
              <w:pStyle w:val="P68B1DB1-Normal19"/>
              <w:spacing w:after="0" w:line="240" w:lineRule="auto"/>
              <w:jc w:val="center"/>
              <w:rPr>
                <w:rFonts w:eastAsia="Times New Roman"/>
                <w:noProof/>
              </w:rPr>
            </w:pPr>
            <w:r>
              <w:rPr>
                <w:noProof/>
              </w:rPr>
              <w:t xml:space="preserve"> </w:t>
            </w:r>
          </w:p>
        </w:tc>
        <w:tc>
          <w:tcPr>
            <w:tcW w:w="851" w:type="dxa"/>
            <w:shd w:val="clear" w:color="auto" w:fill="C6EFCE"/>
            <w:noWrap/>
          </w:tcPr>
          <w:p w14:paraId="5D74FDB0"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6C352360" w14:textId="77777777" w:rsidR="00011DE9" w:rsidRDefault="00011DE9">
            <w:pPr>
              <w:pStyle w:val="P68B1DB1-Normal19"/>
              <w:spacing w:after="0" w:line="240" w:lineRule="auto"/>
              <w:jc w:val="right"/>
              <w:rPr>
                <w:rFonts w:eastAsia="Times New Roman"/>
                <w:noProof/>
              </w:rPr>
            </w:pPr>
            <w:r>
              <w:rPr>
                <w:noProof/>
              </w:rPr>
              <w:t xml:space="preserve"> </w:t>
            </w:r>
          </w:p>
        </w:tc>
        <w:tc>
          <w:tcPr>
            <w:tcW w:w="567" w:type="dxa"/>
            <w:shd w:val="clear" w:color="auto" w:fill="C6EFCE"/>
            <w:noWrap/>
          </w:tcPr>
          <w:p w14:paraId="4D9AFCEE" w14:textId="57195396" w:rsidR="00011DE9" w:rsidRDefault="005701C9">
            <w:pPr>
              <w:pStyle w:val="P68B1DB1-Normal19"/>
              <w:spacing w:after="0" w:line="240" w:lineRule="auto"/>
              <w:jc w:val="center"/>
              <w:rPr>
                <w:rFonts w:eastAsia="Times New Roman"/>
                <w:noProof/>
              </w:rPr>
            </w:pPr>
            <w:r>
              <w:rPr>
                <w:noProof/>
              </w:rPr>
              <w:t>T2</w:t>
            </w:r>
          </w:p>
        </w:tc>
        <w:tc>
          <w:tcPr>
            <w:tcW w:w="810" w:type="dxa"/>
            <w:shd w:val="clear" w:color="auto" w:fill="C6EFCE"/>
            <w:noWrap/>
          </w:tcPr>
          <w:p w14:paraId="4DE61565" w14:textId="77777777" w:rsidR="00011DE9" w:rsidRDefault="00011DE9">
            <w:pPr>
              <w:pStyle w:val="P68B1DB1-Normal19"/>
              <w:spacing w:after="0" w:line="240" w:lineRule="auto"/>
              <w:jc w:val="center"/>
              <w:rPr>
                <w:rFonts w:eastAsia="Times New Roman"/>
                <w:noProof/>
              </w:rPr>
            </w:pPr>
            <w:r>
              <w:rPr>
                <w:noProof/>
              </w:rPr>
              <w:t>2022</w:t>
            </w:r>
          </w:p>
        </w:tc>
        <w:tc>
          <w:tcPr>
            <w:tcW w:w="4860" w:type="dxa"/>
            <w:shd w:val="clear" w:color="auto" w:fill="C6EFCE"/>
            <w:noWrap/>
          </w:tcPr>
          <w:p w14:paraId="0ECFA2DB" w14:textId="77777777" w:rsidR="00011DE9" w:rsidRDefault="00011DE9">
            <w:pPr>
              <w:pStyle w:val="P68B1DB1-Normal19"/>
              <w:spacing w:after="0" w:line="240" w:lineRule="auto"/>
              <w:rPr>
                <w:rFonts w:eastAsia="Times New Roman"/>
                <w:noProof/>
              </w:rPr>
            </w:pPr>
            <w:r>
              <w:rPr>
                <w:noProof/>
              </w:rPr>
              <w:t xml:space="preserve">Evaluarea va avea loc în cursul anului 2021 pentru a dobândi o înțelegere aprofundată a progreselor înregistrate în procesul de reformă a îngrijirii pe termen lung inițiat în 2020 și a impactului acestuia. Concluziile acestei evaluări sunt prezentate consiliului teritorial în prima jumătate a anului 2022. </w:t>
            </w:r>
          </w:p>
        </w:tc>
      </w:tr>
      <w:tr w:rsidR="00011DE9" w14:paraId="727D3412" w14:textId="77777777">
        <w:trPr>
          <w:trHeight w:val="309"/>
          <w:jc w:val="center"/>
        </w:trPr>
        <w:tc>
          <w:tcPr>
            <w:tcW w:w="709" w:type="dxa"/>
            <w:shd w:val="clear" w:color="auto" w:fill="C6EFCE"/>
            <w:noWrap/>
          </w:tcPr>
          <w:p w14:paraId="042402E5" w14:textId="77777777" w:rsidR="00011DE9" w:rsidRDefault="00011DE9">
            <w:pPr>
              <w:pStyle w:val="P68B1DB1-Normal19"/>
              <w:spacing w:after="0" w:line="240" w:lineRule="auto"/>
              <w:jc w:val="center"/>
              <w:rPr>
                <w:rFonts w:eastAsia="Times New Roman"/>
                <w:noProof/>
              </w:rPr>
            </w:pPr>
            <w:r>
              <w:rPr>
                <w:noProof/>
              </w:rPr>
              <w:t>315</w:t>
            </w:r>
          </w:p>
        </w:tc>
        <w:tc>
          <w:tcPr>
            <w:tcW w:w="851" w:type="dxa"/>
            <w:shd w:val="clear" w:color="auto" w:fill="C6EFCE"/>
            <w:noWrap/>
          </w:tcPr>
          <w:p w14:paraId="748FCDA6" w14:textId="77777777" w:rsidR="00011DE9" w:rsidRDefault="00011DE9">
            <w:pPr>
              <w:pStyle w:val="P68B1DB1-Normal19"/>
              <w:spacing w:after="0" w:line="240" w:lineRule="auto"/>
              <w:jc w:val="center"/>
              <w:rPr>
                <w:rFonts w:eastAsia="Times New Roman"/>
                <w:noProof/>
              </w:rPr>
            </w:pPr>
            <w:r>
              <w:rPr>
                <w:noProof/>
              </w:rPr>
              <w:t>C22.R2</w:t>
            </w:r>
          </w:p>
        </w:tc>
        <w:tc>
          <w:tcPr>
            <w:tcW w:w="992" w:type="dxa"/>
            <w:shd w:val="clear" w:color="auto" w:fill="C6EFCE"/>
            <w:noWrap/>
          </w:tcPr>
          <w:p w14:paraId="4BD15DED" w14:textId="77777777" w:rsidR="00011DE9" w:rsidRDefault="00011DE9">
            <w:pPr>
              <w:pStyle w:val="P68B1DB1-Normal19"/>
              <w:spacing w:after="0" w:line="240" w:lineRule="auto"/>
              <w:jc w:val="center"/>
              <w:rPr>
                <w:rFonts w:eastAsia="Times New Roman"/>
                <w:noProof/>
              </w:rPr>
            </w:pPr>
            <w:r>
              <w:rPr>
                <w:noProof/>
              </w:rPr>
              <w:t>M</w:t>
            </w:r>
          </w:p>
        </w:tc>
        <w:tc>
          <w:tcPr>
            <w:tcW w:w="2688" w:type="dxa"/>
            <w:shd w:val="clear" w:color="auto" w:fill="C6EFCE"/>
            <w:noWrap/>
          </w:tcPr>
          <w:p w14:paraId="3A0D3A6B" w14:textId="77777777" w:rsidR="00011DE9" w:rsidRDefault="00011DE9">
            <w:pPr>
              <w:pStyle w:val="P68B1DB1-Normal19"/>
              <w:spacing w:after="0" w:line="240" w:lineRule="auto"/>
              <w:rPr>
                <w:rFonts w:eastAsia="Times New Roman"/>
                <w:noProof/>
              </w:rPr>
            </w:pPr>
            <w:r>
              <w:rPr>
                <w:noProof/>
              </w:rPr>
              <w:t>Publicarea în Jurnalul Oficial a Acordului Consiliului teritorial al serviciilor sociale și aprobarea actelor juridice relevante.</w:t>
            </w:r>
          </w:p>
        </w:tc>
        <w:tc>
          <w:tcPr>
            <w:tcW w:w="1423" w:type="dxa"/>
            <w:shd w:val="clear" w:color="auto" w:fill="C6EFCE"/>
            <w:noWrap/>
          </w:tcPr>
          <w:p w14:paraId="2886F53D" w14:textId="77777777" w:rsidR="00011DE9" w:rsidRDefault="00011DE9">
            <w:pPr>
              <w:pStyle w:val="P68B1DB1-Normal19"/>
              <w:spacing w:after="0" w:line="240" w:lineRule="auto"/>
              <w:jc w:val="center"/>
              <w:rPr>
                <w:rFonts w:eastAsia="Times New Roman"/>
                <w:noProof/>
              </w:rPr>
            </w:pPr>
            <w:r>
              <w:rPr>
                <w:noProof/>
              </w:rPr>
              <w:t>Publicarea în Jurnalul Oficial a acordurilor Consiliului teritorial și a dispoziției din actele juridice care indică intrarea lor în vigoare</w:t>
            </w:r>
          </w:p>
        </w:tc>
        <w:tc>
          <w:tcPr>
            <w:tcW w:w="850" w:type="dxa"/>
            <w:shd w:val="clear" w:color="auto" w:fill="C6EFCE"/>
            <w:noWrap/>
          </w:tcPr>
          <w:p w14:paraId="5C7ADAE2" w14:textId="77777777" w:rsidR="00011DE9" w:rsidRDefault="00011DE9">
            <w:pPr>
              <w:pStyle w:val="P68B1DB1-Normal19"/>
              <w:spacing w:after="0" w:line="240" w:lineRule="auto"/>
              <w:jc w:val="center"/>
              <w:rPr>
                <w:rFonts w:eastAsia="Times New Roman"/>
                <w:noProof/>
              </w:rPr>
            </w:pPr>
            <w:r>
              <w:rPr>
                <w:noProof/>
              </w:rPr>
              <w:t xml:space="preserve"> </w:t>
            </w:r>
          </w:p>
        </w:tc>
        <w:tc>
          <w:tcPr>
            <w:tcW w:w="851" w:type="dxa"/>
            <w:shd w:val="clear" w:color="auto" w:fill="C6EFCE"/>
            <w:noWrap/>
          </w:tcPr>
          <w:p w14:paraId="702BF301"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61166493" w14:textId="77777777" w:rsidR="00011DE9" w:rsidRDefault="00011DE9">
            <w:pPr>
              <w:pStyle w:val="P68B1DB1-Normal19"/>
              <w:spacing w:after="0" w:line="240" w:lineRule="auto"/>
              <w:jc w:val="right"/>
              <w:rPr>
                <w:rFonts w:eastAsia="Times New Roman"/>
                <w:noProof/>
              </w:rPr>
            </w:pPr>
            <w:r>
              <w:rPr>
                <w:noProof/>
              </w:rPr>
              <w:t xml:space="preserve"> </w:t>
            </w:r>
          </w:p>
        </w:tc>
        <w:tc>
          <w:tcPr>
            <w:tcW w:w="567" w:type="dxa"/>
            <w:shd w:val="clear" w:color="auto" w:fill="C6EFCE"/>
            <w:noWrap/>
          </w:tcPr>
          <w:p w14:paraId="331D34F1" w14:textId="39030CDE" w:rsidR="00011DE9" w:rsidRDefault="005701C9">
            <w:pPr>
              <w:pStyle w:val="P68B1DB1-Normal19"/>
              <w:spacing w:after="0" w:line="240" w:lineRule="auto"/>
              <w:jc w:val="center"/>
              <w:rPr>
                <w:rFonts w:eastAsia="Times New Roman"/>
                <w:noProof/>
              </w:rPr>
            </w:pPr>
            <w:r>
              <w:rPr>
                <w:noProof/>
              </w:rPr>
              <w:t>T2</w:t>
            </w:r>
          </w:p>
        </w:tc>
        <w:tc>
          <w:tcPr>
            <w:tcW w:w="810" w:type="dxa"/>
            <w:shd w:val="clear" w:color="auto" w:fill="C6EFCE"/>
            <w:noWrap/>
          </w:tcPr>
          <w:p w14:paraId="0284DDB7" w14:textId="77777777" w:rsidR="00011DE9" w:rsidRDefault="00011DE9">
            <w:pPr>
              <w:pStyle w:val="P68B1DB1-Normal19"/>
              <w:spacing w:after="0" w:line="240" w:lineRule="auto"/>
              <w:jc w:val="center"/>
              <w:rPr>
                <w:rFonts w:eastAsia="Times New Roman"/>
                <w:noProof/>
              </w:rPr>
            </w:pPr>
            <w:r>
              <w:rPr>
                <w:noProof/>
              </w:rPr>
              <w:t>2026</w:t>
            </w:r>
          </w:p>
        </w:tc>
        <w:tc>
          <w:tcPr>
            <w:tcW w:w="4860" w:type="dxa"/>
            <w:shd w:val="clear" w:color="auto" w:fill="C6EFCE"/>
            <w:noWrap/>
          </w:tcPr>
          <w:p w14:paraId="3E3A78FE" w14:textId="77777777" w:rsidR="00011DE9" w:rsidRDefault="00011DE9">
            <w:pPr>
              <w:pStyle w:val="P68B1DB1-Normal19"/>
              <w:spacing w:after="0" w:line="240" w:lineRule="auto"/>
              <w:rPr>
                <w:noProof/>
              </w:rPr>
            </w:pPr>
            <w:r>
              <w:rPr>
                <w:noProof/>
              </w:rPr>
              <w:t>Publicarea în Jurnalul Oficial a:</w:t>
            </w:r>
          </w:p>
          <w:p w14:paraId="64407500" w14:textId="77777777" w:rsidR="00011DE9" w:rsidRDefault="00011DE9">
            <w:pPr>
              <w:pStyle w:val="P68B1DB1-ListParagraph50"/>
              <w:numPr>
                <w:ilvl w:val="0"/>
                <w:numId w:val="161"/>
              </w:numPr>
              <w:spacing w:after="0" w:line="240" w:lineRule="auto"/>
              <w:ind w:left="428" w:hanging="283"/>
              <w:rPr>
                <w:noProof/>
              </w:rPr>
            </w:pPr>
            <w:r>
              <w:rPr>
                <w:noProof/>
              </w:rPr>
              <w:t>Actul juridic de aprobare a Acordului Consiliului teritorial, care stabilește un set minim comun de servicii sociale, condițiile de bază ale acestora, termenele de punere în aplicare și mecanismele de monitorizare și control care trebuie aplicate de regiuni.</w:t>
            </w:r>
          </w:p>
          <w:p w14:paraId="17D571D8" w14:textId="77777777" w:rsidR="00011DE9" w:rsidRDefault="00011DE9">
            <w:pPr>
              <w:pStyle w:val="P68B1DB1-ListParagraph50"/>
              <w:numPr>
                <w:ilvl w:val="0"/>
                <w:numId w:val="161"/>
              </w:numPr>
              <w:spacing w:after="0" w:line="240" w:lineRule="auto"/>
              <w:ind w:left="428" w:hanging="283"/>
              <w:rPr>
                <w:noProof/>
              </w:rPr>
            </w:pPr>
            <w:r>
              <w:rPr>
                <w:noProof/>
              </w:rPr>
              <w:t>Actul juridic care reglementează sistemul de informații privind serviciile sociale pentru monitorizarea și controlul aplicării acestuia de către regiuni.</w:t>
            </w:r>
          </w:p>
        </w:tc>
      </w:tr>
      <w:tr w:rsidR="00011DE9" w14:paraId="58D9F04E" w14:textId="77777777">
        <w:trPr>
          <w:trHeight w:val="309"/>
          <w:jc w:val="center"/>
        </w:trPr>
        <w:tc>
          <w:tcPr>
            <w:tcW w:w="709" w:type="dxa"/>
            <w:shd w:val="clear" w:color="auto" w:fill="C6EFCE"/>
            <w:noWrap/>
          </w:tcPr>
          <w:p w14:paraId="4843971E" w14:textId="77777777" w:rsidR="00011DE9" w:rsidRDefault="00011DE9">
            <w:pPr>
              <w:pStyle w:val="P68B1DB1-Normal19"/>
              <w:spacing w:after="0" w:line="240" w:lineRule="auto"/>
              <w:jc w:val="center"/>
              <w:rPr>
                <w:rFonts w:eastAsia="Times New Roman"/>
                <w:noProof/>
              </w:rPr>
            </w:pPr>
            <w:r>
              <w:rPr>
                <w:noProof/>
              </w:rPr>
              <w:t>316a</w:t>
            </w:r>
          </w:p>
        </w:tc>
        <w:tc>
          <w:tcPr>
            <w:tcW w:w="851" w:type="dxa"/>
            <w:shd w:val="clear" w:color="auto" w:fill="C6EFCE"/>
            <w:noWrap/>
          </w:tcPr>
          <w:p w14:paraId="6409280C" w14:textId="77777777" w:rsidR="00011DE9" w:rsidRDefault="00011DE9">
            <w:pPr>
              <w:pStyle w:val="P68B1DB1-Normal19"/>
              <w:spacing w:after="0" w:line="240" w:lineRule="auto"/>
              <w:jc w:val="center"/>
              <w:rPr>
                <w:rFonts w:eastAsia="Times New Roman"/>
                <w:noProof/>
              </w:rPr>
            </w:pPr>
            <w:r>
              <w:rPr>
                <w:noProof/>
              </w:rPr>
              <w:t>C22.R3a</w:t>
            </w:r>
          </w:p>
        </w:tc>
        <w:tc>
          <w:tcPr>
            <w:tcW w:w="992" w:type="dxa"/>
            <w:shd w:val="clear" w:color="auto" w:fill="C6EFCE"/>
            <w:noWrap/>
          </w:tcPr>
          <w:p w14:paraId="4E523F82" w14:textId="77777777" w:rsidR="00011DE9" w:rsidRDefault="00011DE9">
            <w:pPr>
              <w:pStyle w:val="P68B1DB1-Normal19"/>
              <w:spacing w:after="0" w:line="240" w:lineRule="auto"/>
              <w:jc w:val="center"/>
              <w:rPr>
                <w:rFonts w:eastAsia="Times New Roman"/>
                <w:noProof/>
              </w:rPr>
            </w:pPr>
            <w:r>
              <w:rPr>
                <w:noProof/>
              </w:rPr>
              <w:t>M</w:t>
            </w:r>
          </w:p>
        </w:tc>
        <w:tc>
          <w:tcPr>
            <w:tcW w:w="2688" w:type="dxa"/>
            <w:shd w:val="clear" w:color="auto" w:fill="C6EFCE"/>
            <w:noWrap/>
          </w:tcPr>
          <w:p w14:paraId="445B2E53" w14:textId="77777777" w:rsidR="00011DE9" w:rsidRDefault="00011DE9">
            <w:pPr>
              <w:pStyle w:val="P68B1DB1-Normal20"/>
              <w:spacing w:after="0" w:line="240" w:lineRule="auto"/>
              <w:rPr>
                <w:rFonts w:eastAsia="Times New Roman" w:cs="Times New Roman"/>
                <w:noProof/>
              </w:rPr>
            </w:pPr>
            <w:r>
              <w:rPr>
                <w:noProof/>
              </w:rPr>
              <w:t>Intrarea în vigoare a Decretului-lege regal de prelungire a duratei concediului de naștere și de îngrijire plătit.</w:t>
            </w:r>
          </w:p>
        </w:tc>
        <w:tc>
          <w:tcPr>
            <w:tcW w:w="1423" w:type="dxa"/>
            <w:shd w:val="clear" w:color="auto" w:fill="C6EFCE"/>
            <w:noWrap/>
          </w:tcPr>
          <w:p w14:paraId="790D06A8" w14:textId="77777777" w:rsidR="00011DE9" w:rsidRDefault="00011DE9">
            <w:pPr>
              <w:pStyle w:val="P68B1DB1-Normal19"/>
              <w:spacing w:after="0" w:line="240" w:lineRule="auto"/>
              <w:jc w:val="center"/>
              <w:rPr>
                <w:rFonts w:eastAsia="Times New Roman"/>
                <w:noProof/>
              </w:rPr>
            </w:pPr>
            <w:r>
              <w:rPr>
                <w:noProof/>
              </w:rPr>
              <w:t>Dispoziție din Decretul-lege regal care indică intrarea în vigoare.</w:t>
            </w:r>
          </w:p>
        </w:tc>
        <w:tc>
          <w:tcPr>
            <w:tcW w:w="850" w:type="dxa"/>
            <w:shd w:val="clear" w:color="auto" w:fill="C6EFCE"/>
            <w:noWrap/>
          </w:tcPr>
          <w:p w14:paraId="03C55970" w14:textId="77777777" w:rsidR="00011DE9" w:rsidRDefault="00011DE9">
            <w:pPr>
              <w:pStyle w:val="P68B1DB1-Normal19"/>
              <w:spacing w:after="0" w:line="240" w:lineRule="auto"/>
              <w:jc w:val="center"/>
              <w:rPr>
                <w:rFonts w:eastAsia="Times New Roman"/>
                <w:noProof/>
              </w:rPr>
            </w:pPr>
            <w:r>
              <w:rPr>
                <w:noProof/>
              </w:rPr>
              <w:t xml:space="preserve"> </w:t>
            </w:r>
          </w:p>
        </w:tc>
        <w:tc>
          <w:tcPr>
            <w:tcW w:w="851" w:type="dxa"/>
            <w:shd w:val="clear" w:color="auto" w:fill="C6EFCE"/>
            <w:noWrap/>
          </w:tcPr>
          <w:p w14:paraId="4504E1A6"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67516D7A" w14:textId="77777777" w:rsidR="00011DE9" w:rsidRDefault="00011DE9">
            <w:pPr>
              <w:pStyle w:val="P68B1DB1-Normal19"/>
              <w:spacing w:after="0" w:line="240" w:lineRule="auto"/>
              <w:jc w:val="right"/>
              <w:rPr>
                <w:rFonts w:eastAsia="Times New Roman"/>
                <w:noProof/>
              </w:rPr>
            </w:pPr>
            <w:r>
              <w:rPr>
                <w:noProof/>
              </w:rPr>
              <w:t xml:space="preserve"> </w:t>
            </w:r>
          </w:p>
        </w:tc>
        <w:tc>
          <w:tcPr>
            <w:tcW w:w="567" w:type="dxa"/>
            <w:shd w:val="clear" w:color="auto" w:fill="C6EFCE"/>
            <w:noWrap/>
          </w:tcPr>
          <w:p w14:paraId="39E1C8CC" w14:textId="126650AB" w:rsidR="00011DE9" w:rsidRDefault="005701C9">
            <w:pPr>
              <w:pStyle w:val="P68B1DB1-Normal19"/>
              <w:spacing w:after="0" w:line="240" w:lineRule="auto"/>
              <w:jc w:val="center"/>
              <w:rPr>
                <w:rFonts w:eastAsia="Times New Roman"/>
                <w:noProof/>
              </w:rPr>
            </w:pPr>
            <w:r>
              <w:rPr>
                <w:noProof/>
              </w:rPr>
              <w:t>T4</w:t>
            </w:r>
          </w:p>
        </w:tc>
        <w:tc>
          <w:tcPr>
            <w:tcW w:w="810" w:type="dxa"/>
            <w:shd w:val="clear" w:color="auto" w:fill="C6EFCE"/>
            <w:noWrap/>
          </w:tcPr>
          <w:p w14:paraId="25E10E08" w14:textId="77777777" w:rsidR="00011DE9" w:rsidRDefault="00011DE9">
            <w:pPr>
              <w:pStyle w:val="P68B1DB1-Normal19"/>
              <w:spacing w:after="0" w:line="240" w:lineRule="auto"/>
              <w:jc w:val="center"/>
              <w:rPr>
                <w:rFonts w:eastAsia="Times New Roman"/>
                <w:noProof/>
              </w:rPr>
            </w:pPr>
            <w:r>
              <w:rPr>
                <w:noProof/>
              </w:rPr>
              <w:t>2025</w:t>
            </w:r>
          </w:p>
        </w:tc>
        <w:tc>
          <w:tcPr>
            <w:tcW w:w="4860" w:type="dxa"/>
            <w:shd w:val="clear" w:color="auto" w:fill="C6EFCE"/>
            <w:noWrap/>
          </w:tcPr>
          <w:p w14:paraId="45E40D2A" w14:textId="77777777" w:rsidR="00011DE9" w:rsidRDefault="00011DE9">
            <w:pPr>
              <w:pStyle w:val="P68B1DB1-Normal20"/>
              <w:spacing w:after="0" w:line="240" w:lineRule="auto"/>
              <w:rPr>
                <w:rFonts w:eastAsia="Times New Roman" w:cs="Times New Roman"/>
                <w:noProof/>
              </w:rPr>
            </w:pPr>
            <w:r>
              <w:rPr>
                <w:noProof/>
              </w:rPr>
              <w:t>Intrarea în vigoare a legislației de prelungire a duratei concediului de naștere și de îngrijire plătit.</w:t>
            </w:r>
          </w:p>
        </w:tc>
      </w:tr>
      <w:tr w:rsidR="00011DE9" w14:paraId="2A88AF18" w14:textId="77777777">
        <w:trPr>
          <w:trHeight w:val="309"/>
          <w:jc w:val="center"/>
        </w:trPr>
        <w:tc>
          <w:tcPr>
            <w:tcW w:w="709" w:type="dxa"/>
            <w:shd w:val="clear" w:color="auto" w:fill="C6EFCE"/>
            <w:noWrap/>
          </w:tcPr>
          <w:p w14:paraId="3BE4B754" w14:textId="77777777" w:rsidR="00011DE9" w:rsidRDefault="00011DE9">
            <w:pPr>
              <w:pStyle w:val="P68B1DB1-Normal19"/>
              <w:spacing w:after="0" w:line="240" w:lineRule="auto"/>
              <w:jc w:val="center"/>
              <w:rPr>
                <w:rFonts w:eastAsia="Times New Roman"/>
                <w:noProof/>
              </w:rPr>
            </w:pPr>
            <w:r>
              <w:rPr>
                <w:noProof/>
              </w:rPr>
              <w:t>317</w:t>
            </w:r>
          </w:p>
        </w:tc>
        <w:tc>
          <w:tcPr>
            <w:tcW w:w="851" w:type="dxa"/>
            <w:shd w:val="clear" w:color="auto" w:fill="C6EFCE"/>
            <w:noWrap/>
          </w:tcPr>
          <w:p w14:paraId="5059E6EF" w14:textId="77777777" w:rsidR="00011DE9" w:rsidRDefault="00011DE9">
            <w:pPr>
              <w:pStyle w:val="P68B1DB1-Normal19"/>
              <w:spacing w:after="0" w:line="240" w:lineRule="auto"/>
              <w:jc w:val="center"/>
              <w:rPr>
                <w:rFonts w:eastAsia="Times New Roman"/>
                <w:noProof/>
              </w:rPr>
            </w:pPr>
            <w:r>
              <w:rPr>
                <w:noProof/>
              </w:rPr>
              <w:t>C22.R4</w:t>
            </w:r>
          </w:p>
        </w:tc>
        <w:tc>
          <w:tcPr>
            <w:tcW w:w="992" w:type="dxa"/>
            <w:shd w:val="clear" w:color="auto" w:fill="C6EFCE"/>
            <w:noWrap/>
          </w:tcPr>
          <w:p w14:paraId="23FD3B5D" w14:textId="77777777" w:rsidR="00011DE9" w:rsidRDefault="00011DE9">
            <w:pPr>
              <w:pStyle w:val="P68B1DB1-Normal19"/>
              <w:spacing w:after="0" w:line="240" w:lineRule="auto"/>
              <w:jc w:val="center"/>
              <w:rPr>
                <w:rFonts w:eastAsia="Times New Roman"/>
                <w:noProof/>
              </w:rPr>
            </w:pPr>
            <w:r>
              <w:rPr>
                <w:noProof/>
              </w:rPr>
              <w:t>M</w:t>
            </w:r>
          </w:p>
        </w:tc>
        <w:tc>
          <w:tcPr>
            <w:tcW w:w="2688" w:type="dxa"/>
            <w:shd w:val="clear" w:color="auto" w:fill="C6EFCE"/>
            <w:noWrap/>
          </w:tcPr>
          <w:p w14:paraId="44DB1EC6" w14:textId="77777777" w:rsidR="00011DE9" w:rsidRDefault="00011DE9">
            <w:pPr>
              <w:pStyle w:val="P68B1DB1-Normal19"/>
              <w:spacing w:after="0" w:line="240" w:lineRule="auto"/>
              <w:rPr>
                <w:rFonts w:eastAsia="Times New Roman"/>
                <w:noProof/>
              </w:rPr>
            </w:pPr>
            <w:r>
              <w:rPr>
                <w:noProof/>
              </w:rPr>
              <w:t xml:space="preserve">Intrarea în vigoare a reformei legislative a sistemului de primire a migranților și a solicitanților de protecție internațională în Spania </w:t>
            </w:r>
          </w:p>
        </w:tc>
        <w:tc>
          <w:tcPr>
            <w:tcW w:w="1423" w:type="dxa"/>
            <w:shd w:val="clear" w:color="auto" w:fill="C6EFCE"/>
            <w:noWrap/>
          </w:tcPr>
          <w:p w14:paraId="2538706B" w14:textId="77777777" w:rsidR="00011DE9" w:rsidRDefault="00011DE9">
            <w:pPr>
              <w:pStyle w:val="P68B1DB1-Normal19"/>
              <w:spacing w:after="0" w:line="240" w:lineRule="auto"/>
              <w:jc w:val="center"/>
              <w:rPr>
                <w:rFonts w:eastAsia="Times New Roman"/>
                <w:noProof/>
              </w:rPr>
            </w:pPr>
            <w:r>
              <w:rPr>
                <w:noProof/>
              </w:rPr>
              <w:t>Dispoziție din ordin care indică data de intrare în vigoare a ordinului.</w:t>
            </w:r>
          </w:p>
        </w:tc>
        <w:tc>
          <w:tcPr>
            <w:tcW w:w="850" w:type="dxa"/>
            <w:shd w:val="clear" w:color="auto" w:fill="C6EFCE"/>
            <w:noWrap/>
          </w:tcPr>
          <w:p w14:paraId="013D6E39" w14:textId="77777777" w:rsidR="00011DE9" w:rsidRDefault="00011DE9">
            <w:pPr>
              <w:pStyle w:val="P68B1DB1-Normal19"/>
              <w:spacing w:after="0" w:line="240" w:lineRule="auto"/>
              <w:jc w:val="center"/>
              <w:rPr>
                <w:rFonts w:eastAsia="Times New Roman"/>
                <w:noProof/>
              </w:rPr>
            </w:pPr>
            <w:r>
              <w:rPr>
                <w:noProof/>
              </w:rPr>
              <w:t xml:space="preserve"> </w:t>
            </w:r>
          </w:p>
        </w:tc>
        <w:tc>
          <w:tcPr>
            <w:tcW w:w="851" w:type="dxa"/>
            <w:shd w:val="clear" w:color="auto" w:fill="C6EFCE"/>
            <w:noWrap/>
          </w:tcPr>
          <w:p w14:paraId="2CBA40C6"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0053AB06" w14:textId="77777777" w:rsidR="00011DE9" w:rsidRDefault="00011DE9">
            <w:pPr>
              <w:pStyle w:val="P68B1DB1-Normal19"/>
              <w:spacing w:after="0" w:line="240" w:lineRule="auto"/>
              <w:jc w:val="right"/>
              <w:rPr>
                <w:rFonts w:eastAsia="Times New Roman"/>
                <w:noProof/>
              </w:rPr>
            </w:pPr>
            <w:r>
              <w:rPr>
                <w:noProof/>
              </w:rPr>
              <w:t xml:space="preserve"> </w:t>
            </w:r>
          </w:p>
        </w:tc>
        <w:tc>
          <w:tcPr>
            <w:tcW w:w="567" w:type="dxa"/>
            <w:shd w:val="clear" w:color="auto" w:fill="C6EFCE"/>
            <w:noWrap/>
          </w:tcPr>
          <w:p w14:paraId="24D4C1E9" w14:textId="1BE7C258" w:rsidR="00011DE9" w:rsidRDefault="003010A3">
            <w:pPr>
              <w:pStyle w:val="P68B1DB1-Normal19"/>
              <w:spacing w:after="0" w:line="240" w:lineRule="auto"/>
              <w:jc w:val="center"/>
              <w:rPr>
                <w:rFonts w:eastAsia="Times New Roman"/>
                <w:noProof/>
              </w:rPr>
            </w:pPr>
            <w:r>
              <w:rPr>
                <w:noProof/>
              </w:rPr>
              <w:t>T1</w:t>
            </w:r>
          </w:p>
        </w:tc>
        <w:tc>
          <w:tcPr>
            <w:tcW w:w="810" w:type="dxa"/>
            <w:shd w:val="clear" w:color="auto" w:fill="C6EFCE"/>
            <w:noWrap/>
          </w:tcPr>
          <w:p w14:paraId="111FD6BC" w14:textId="77777777" w:rsidR="00011DE9" w:rsidRDefault="00011DE9">
            <w:pPr>
              <w:pStyle w:val="P68B1DB1-Normal19"/>
              <w:spacing w:after="0" w:line="240" w:lineRule="auto"/>
              <w:jc w:val="center"/>
              <w:rPr>
                <w:rFonts w:eastAsia="Times New Roman"/>
                <w:noProof/>
              </w:rPr>
            </w:pPr>
            <w:r>
              <w:rPr>
                <w:noProof/>
              </w:rPr>
              <w:t>2022</w:t>
            </w:r>
          </w:p>
        </w:tc>
        <w:tc>
          <w:tcPr>
            <w:tcW w:w="4860" w:type="dxa"/>
            <w:shd w:val="clear" w:color="auto" w:fill="C6EFCE"/>
            <w:noWrap/>
          </w:tcPr>
          <w:p w14:paraId="0D7DB4AB" w14:textId="77777777" w:rsidR="00011DE9" w:rsidRDefault="00011DE9">
            <w:pPr>
              <w:pStyle w:val="P68B1DB1-Normal19"/>
              <w:spacing w:after="0" w:line="240" w:lineRule="auto"/>
              <w:rPr>
                <w:rFonts w:eastAsia="Times New Roman"/>
                <w:noProof/>
              </w:rPr>
            </w:pPr>
            <w:r>
              <w:rPr>
                <w:noProof/>
              </w:rPr>
              <w:t>Un ordin ministerial central va reforma sistemul de primire a migranților și a solicitanților de protecție internațională în Spania, adoptat de Ministerul Incluziunii, Securității Sociale și Migrației. Obiectivele reformei sunt de a dezvolta noi proceduri de primire pentru toate centrele din rețeaua de primire și de a recunoaște condițiile de primire de bază pentru toți solicitanții de azil și condițiile de primire îmbunătățite pentru persoanele cu o probabilitate ridicată de recunoaștere.</w:t>
            </w:r>
          </w:p>
        </w:tc>
      </w:tr>
      <w:tr w:rsidR="00011DE9" w14:paraId="4DD8E7FD" w14:textId="77777777">
        <w:trPr>
          <w:trHeight w:val="309"/>
          <w:jc w:val="center"/>
        </w:trPr>
        <w:tc>
          <w:tcPr>
            <w:tcW w:w="709" w:type="dxa"/>
            <w:shd w:val="clear" w:color="auto" w:fill="C6EFCE"/>
            <w:noWrap/>
          </w:tcPr>
          <w:p w14:paraId="58B1F8EE" w14:textId="77777777" w:rsidR="00011DE9" w:rsidRDefault="00011DE9">
            <w:pPr>
              <w:pStyle w:val="P68B1DB1-Normal19"/>
              <w:spacing w:after="0" w:line="240" w:lineRule="auto"/>
              <w:jc w:val="center"/>
              <w:rPr>
                <w:rFonts w:eastAsia="Times New Roman"/>
                <w:noProof/>
              </w:rPr>
            </w:pPr>
            <w:r>
              <w:rPr>
                <w:noProof/>
              </w:rPr>
              <w:t>318</w:t>
            </w:r>
          </w:p>
        </w:tc>
        <w:tc>
          <w:tcPr>
            <w:tcW w:w="851" w:type="dxa"/>
            <w:shd w:val="clear" w:color="auto" w:fill="C6EFCE"/>
            <w:noWrap/>
          </w:tcPr>
          <w:p w14:paraId="3EA7B66A" w14:textId="77777777" w:rsidR="00011DE9" w:rsidRDefault="00011DE9">
            <w:pPr>
              <w:pStyle w:val="P68B1DB1-Normal19"/>
              <w:spacing w:after="0" w:line="240" w:lineRule="auto"/>
              <w:jc w:val="center"/>
              <w:rPr>
                <w:rFonts w:eastAsia="Times New Roman"/>
                <w:noProof/>
              </w:rPr>
            </w:pPr>
            <w:r>
              <w:rPr>
                <w:noProof/>
              </w:rPr>
              <w:t>C22.R5</w:t>
            </w:r>
          </w:p>
        </w:tc>
        <w:tc>
          <w:tcPr>
            <w:tcW w:w="992" w:type="dxa"/>
            <w:shd w:val="clear" w:color="auto" w:fill="C6EFCE"/>
            <w:noWrap/>
          </w:tcPr>
          <w:p w14:paraId="430DCA89" w14:textId="77777777" w:rsidR="00011DE9" w:rsidRDefault="00011DE9">
            <w:pPr>
              <w:pStyle w:val="P68B1DB1-Normal19"/>
              <w:spacing w:after="0" w:line="240" w:lineRule="auto"/>
              <w:jc w:val="center"/>
              <w:rPr>
                <w:rFonts w:eastAsia="Times New Roman"/>
                <w:noProof/>
              </w:rPr>
            </w:pPr>
            <w:r>
              <w:rPr>
                <w:noProof/>
              </w:rPr>
              <w:t>M</w:t>
            </w:r>
          </w:p>
        </w:tc>
        <w:tc>
          <w:tcPr>
            <w:tcW w:w="2688" w:type="dxa"/>
            <w:shd w:val="clear" w:color="auto" w:fill="C6EFCE"/>
            <w:noWrap/>
          </w:tcPr>
          <w:p w14:paraId="031FD54C" w14:textId="77777777" w:rsidR="00011DE9" w:rsidRDefault="00011DE9">
            <w:pPr>
              <w:pStyle w:val="P68B1DB1-Normal19"/>
              <w:spacing w:after="0" w:line="240" w:lineRule="auto"/>
              <w:rPr>
                <w:rFonts w:eastAsia="Times New Roman"/>
                <w:noProof/>
              </w:rPr>
            </w:pPr>
            <w:r>
              <w:rPr>
                <w:noProof/>
              </w:rPr>
              <w:t>Intrarea în vigoare a Decretului-lege regal nr. 20/2020 din 29 mai de aprobare a venitului minim vital</w:t>
            </w:r>
          </w:p>
        </w:tc>
        <w:tc>
          <w:tcPr>
            <w:tcW w:w="1423" w:type="dxa"/>
            <w:shd w:val="clear" w:color="auto" w:fill="C6EFCE"/>
            <w:noWrap/>
          </w:tcPr>
          <w:p w14:paraId="77466AD2" w14:textId="77777777" w:rsidR="00011DE9" w:rsidRDefault="00011DE9">
            <w:pPr>
              <w:pStyle w:val="P68B1DB1-Normal19"/>
              <w:spacing w:after="0" w:line="240" w:lineRule="auto"/>
              <w:jc w:val="center"/>
              <w:rPr>
                <w:rFonts w:eastAsia="Times New Roman"/>
                <w:noProof/>
              </w:rPr>
            </w:pPr>
            <w:r>
              <w:rPr>
                <w:noProof/>
              </w:rPr>
              <w:t xml:space="preserve">Dispoziție legală care indică data de intrare în vigoare a legii </w:t>
            </w:r>
          </w:p>
        </w:tc>
        <w:tc>
          <w:tcPr>
            <w:tcW w:w="850" w:type="dxa"/>
            <w:shd w:val="clear" w:color="auto" w:fill="C6EFCE"/>
            <w:noWrap/>
          </w:tcPr>
          <w:p w14:paraId="637CEC8E" w14:textId="77777777" w:rsidR="00011DE9" w:rsidRDefault="00011DE9">
            <w:pPr>
              <w:pStyle w:val="P68B1DB1-Normal19"/>
              <w:spacing w:after="0" w:line="240" w:lineRule="auto"/>
              <w:jc w:val="center"/>
              <w:rPr>
                <w:rFonts w:eastAsia="Times New Roman"/>
                <w:noProof/>
              </w:rPr>
            </w:pPr>
            <w:r>
              <w:rPr>
                <w:noProof/>
              </w:rPr>
              <w:t xml:space="preserve"> </w:t>
            </w:r>
          </w:p>
        </w:tc>
        <w:tc>
          <w:tcPr>
            <w:tcW w:w="851" w:type="dxa"/>
            <w:shd w:val="clear" w:color="auto" w:fill="C6EFCE"/>
            <w:noWrap/>
          </w:tcPr>
          <w:p w14:paraId="4A8BF481"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762FC86F" w14:textId="77777777" w:rsidR="00011DE9" w:rsidRDefault="00011DE9">
            <w:pPr>
              <w:pStyle w:val="P68B1DB1-Normal19"/>
              <w:spacing w:after="0" w:line="240" w:lineRule="auto"/>
              <w:rPr>
                <w:rFonts w:eastAsia="Times New Roman"/>
                <w:noProof/>
              </w:rPr>
            </w:pPr>
            <w:r>
              <w:rPr>
                <w:noProof/>
              </w:rPr>
              <w:t xml:space="preserve"> </w:t>
            </w:r>
          </w:p>
        </w:tc>
        <w:tc>
          <w:tcPr>
            <w:tcW w:w="567" w:type="dxa"/>
            <w:shd w:val="clear" w:color="auto" w:fill="C6EFCE"/>
            <w:noWrap/>
          </w:tcPr>
          <w:p w14:paraId="222946C8" w14:textId="4B5581E1" w:rsidR="00011DE9" w:rsidRDefault="005701C9">
            <w:pPr>
              <w:pStyle w:val="P68B1DB1-Normal19"/>
              <w:spacing w:after="0" w:line="240" w:lineRule="auto"/>
              <w:jc w:val="center"/>
              <w:rPr>
                <w:rFonts w:eastAsia="Times New Roman"/>
                <w:noProof/>
              </w:rPr>
            </w:pPr>
            <w:r>
              <w:rPr>
                <w:noProof/>
              </w:rPr>
              <w:t>T2</w:t>
            </w:r>
          </w:p>
        </w:tc>
        <w:tc>
          <w:tcPr>
            <w:tcW w:w="810" w:type="dxa"/>
            <w:shd w:val="clear" w:color="auto" w:fill="C6EFCE"/>
            <w:noWrap/>
          </w:tcPr>
          <w:p w14:paraId="248D3542" w14:textId="77777777" w:rsidR="00011DE9" w:rsidRDefault="00011DE9">
            <w:pPr>
              <w:pStyle w:val="P68B1DB1-Normal19"/>
              <w:spacing w:after="0" w:line="240" w:lineRule="auto"/>
              <w:jc w:val="center"/>
              <w:rPr>
                <w:rFonts w:eastAsia="Times New Roman"/>
                <w:noProof/>
              </w:rPr>
            </w:pPr>
            <w:r>
              <w:rPr>
                <w:noProof/>
              </w:rPr>
              <w:t>2020</w:t>
            </w:r>
          </w:p>
        </w:tc>
        <w:tc>
          <w:tcPr>
            <w:tcW w:w="4860" w:type="dxa"/>
            <w:shd w:val="clear" w:color="auto" w:fill="C6EFCE"/>
            <w:noWrap/>
          </w:tcPr>
          <w:p w14:paraId="5840ED35" w14:textId="77777777" w:rsidR="00011DE9" w:rsidRDefault="00011DE9">
            <w:pPr>
              <w:pStyle w:val="P68B1DB1-Normal19"/>
              <w:spacing w:after="0" w:line="240" w:lineRule="auto"/>
              <w:rPr>
                <w:rFonts w:eastAsia="Times New Roman"/>
                <w:noProof/>
              </w:rPr>
            </w:pPr>
            <w:r>
              <w:rPr>
                <w:noProof/>
              </w:rPr>
              <w:t>Intrarea în vigoare a venitului minim de subzistență (Decretul-lege regal nr. 20/2020 din 29 mai).</w:t>
            </w:r>
          </w:p>
        </w:tc>
      </w:tr>
      <w:tr w:rsidR="00011DE9" w14:paraId="439BD079" w14:textId="77777777">
        <w:trPr>
          <w:trHeight w:val="309"/>
          <w:jc w:val="center"/>
        </w:trPr>
        <w:tc>
          <w:tcPr>
            <w:tcW w:w="709" w:type="dxa"/>
            <w:shd w:val="clear" w:color="auto" w:fill="C6EFCE"/>
            <w:noWrap/>
          </w:tcPr>
          <w:p w14:paraId="1548B7AB" w14:textId="77777777" w:rsidR="00011DE9" w:rsidRDefault="00011DE9">
            <w:pPr>
              <w:pStyle w:val="P68B1DB1-Normal19"/>
              <w:spacing w:after="0" w:line="240" w:lineRule="auto"/>
              <w:jc w:val="center"/>
              <w:rPr>
                <w:rFonts w:eastAsia="Times New Roman"/>
                <w:noProof/>
              </w:rPr>
            </w:pPr>
            <w:r>
              <w:rPr>
                <w:noProof/>
              </w:rPr>
              <w:t>319</w:t>
            </w:r>
          </w:p>
        </w:tc>
        <w:tc>
          <w:tcPr>
            <w:tcW w:w="851" w:type="dxa"/>
            <w:shd w:val="clear" w:color="auto" w:fill="C6EFCE"/>
            <w:noWrap/>
          </w:tcPr>
          <w:p w14:paraId="21BADE09" w14:textId="77777777" w:rsidR="00011DE9" w:rsidRDefault="00011DE9">
            <w:pPr>
              <w:pStyle w:val="P68B1DB1-Normal19"/>
              <w:spacing w:after="0" w:line="240" w:lineRule="auto"/>
              <w:jc w:val="center"/>
              <w:rPr>
                <w:rFonts w:eastAsia="Times New Roman"/>
                <w:noProof/>
              </w:rPr>
            </w:pPr>
            <w:r>
              <w:rPr>
                <w:noProof/>
              </w:rPr>
              <w:t>C22.R5</w:t>
            </w:r>
          </w:p>
        </w:tc>
        <w:tc>
          <w:tcPr>
            <w:tcW w:w="992" w:type="dxa"/>
            <w:shd w:val="clear" w:color="auto" w:fill="C6EFCE"/>
            <w:noWrap/>
          </w:tcPr>
          <w:p w14:paraId="18E4BA9E" w14:textId="77777777" w:rsidR="00011DE9" w:rsidRDefault="00011DE9">
            <w:pPr>
              <w:pStyle w:val="P68B1DB1-Normal19"/>
              <w:spacing w:after="0" w:line="240" w:lineRule="auto"/>
              <w:jc w:val="center"/>
              <w:rPr>
                <w:rFonts w:eastAsia="Times New Roman"/>
                <w:noProof/>
              </w:rPr>
            </w:pPr>
            <w:r>
              <w:rPr>
                <w:noProof/>
              </w:rPr>
              <w:t>M</w:t>
            </w:r>
          </w:p>
        </w:tc>
        <w:tc>
          <w:tcPr>
            <w:tcW w:w="2688" w:type="dxa"/>
            <w:shd w:val="clear" w:color="auto" w:fill="C6EFCE"/>
            <w:noWrap/>
          </w:tcPr>
          <w:p w14:paraId="19D7ED7B" w14:textId="77777777" w:rsidR="00011DE9" w:rsidRDefault="00011DE9">
            <w:pPr>
              <w:pStyle w:val="P68B1DB1-Normal19"/>
              <w:spacing w:after="0" w:line="240" w:lineRule="auto"/>
              <w:rPr>
                <w:rFonts w:eastAsia="Times New Roman"/>
                <w:noProof/>
              </w:rPr>
            </w:pPr>
            <w:r>
              <w:rPr>
                <w:noProof/>
              </w:rPr>
              <w:t>Publicarea „Planului de reorganizare și simplificare a sistemului de beneficii financiare necontributive ale Administrației Generale de Stat”.</w:t>
            </w:r>
          </w:p>
        </w:tc>
        <w:tc>
          <w:tcPr>
            <w:tcW w:w="1423" w:type="dxa"/>
            <w:shd w:val="clear" w:color="auto" w:fill="C6EFCE"/>
            <w:noWrap/>
          </w:tcPr>
          <w:p w14:paraId="0BBE565D" w14:textId="77777777" w:rsidR="00011DE9" w:rsidRDefault="00011DE9">
            <w:pPr>
              <w:pStyle w:val="P68B1DB1-Normal19"/>
              <w:spacing w:after="0" w:line="240" w:lineRule="auto"/>
              <w:jc w:val="center"/>
              <w:rPr>
                <w:rFonts w:eastAsia="Times New Roman"/>
                <w:noProof/>
              </w:rPr>
            </w:pPr>
            <w:r>
              <w:rPr>
                <w:noProof/>
              </w:rPr>
              <w:t>Publicarea planului în Jurnalul Oficial.</w:t>
            </w:r>
          </w:p>
        </w:tc>
        <w:tc>
          <w:tcPr>
            <w:tcW w:w="850" w:type="dxa"/>
            <w:shd w:val="clear" w:color="auto" w:fill="C6EFCE"/>
            <w:noWrap/>
          </w:tcPr>
          <w:p w14:paraId="2003D6A0" w14:textId="77777777" w:rsidR="00011DE9" w:rsidRDefault="00011DE9">
            <w:pPr>
              <w:pStyle w:val="P68B1DB1-Normal19"/>
              <w:spacing w:after="0" w:line="240" w:lineRule="auto"/>
              <w:jc w:val="center"/>
              <w:rPr>
                <w:rFonts w:eastAsia="Times New Roman"/>
                <w:noProof/>
              </w:rPr>
            </w:pPr>
            <w:r>
              <w:rPr>
                <w:noProof/>
              </w:rPr>
              <w:t xml:space="preserve"> </w:t>
            </w:r>
          </w:p>
        </w:tc>
        <w:tc>
          <w:tcPr>
            <w:tcW w:w="851" w:type="dxa"/>
            <w:shd w:val="clear" w:color="auto" w:fill="C6EFCE"/>
            <w:noWrap/>
          </w:tcPr>
          <w:p w14:paraId="4E4D6B60"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0B1D2502" w14:textId="77777777" w:rsidR="00011DE9" w:rsidRDefault="00011DE9">
            <w:pPr>
              <w:pStyle w:val="P68B1DB1-Normal19"/>
              <w:spacing w:after="0" w:line="240" w:lineRule="auto"/>
              <w:jc w:val="right"/>
              <w:rPr>
                <w:rFonts w:eastAsia="Times New Roman"/>
                <w:noProof/>
              </w:rPr>
            </w:pPr>
            <w:r>
              <w:rPr>
                <w:noProof/>
              </w:rPr>
              <w:t xml:space="preserve"> </w:t>
            </w:r>
          </w:p>
        </w:tc>
        <w:tc>
          <w:tcPr>
            <w:tcW w:w="567" w:type="dxa"/>
            <w:shd w:val="clear" w:color="auto" w:fill="C6EFCE"/>
            <w:noWrap/>
          </w:tcPr>
          <w:p w14:paraId="78217D1D" w14:textId="4C7BCC57" w:rsidR="00011DE9" w:rsidRDefault="005701C9">
            <w:pPr>
              <w:pStyle w:val="P68B1DB1-Normal19"/>
              <w:spacing w:after="0" w:line="240" w:lineRule="auto"/>
              <w:jc w:val="center"/>
              <w:rPr>
                <w:rFonts w:eastAsia="Times New Roman"/>
                <w:noProof/>
              </w:rPr>
            </w:pPr>
            <w:r>
              <w:rPr>
                <w:noProof/>
              </w:rPr>
              <w:t>T3</w:t>
            </w:r>
          </w:p>
        </w:tc>
        <w:tc>
          <w:tcPr>
            <w:tcW w:w="810" w:type="dxa"/>
            <w:shd w:val="clear" w:color="auto" w:fill="C6EFCE"/>
            <w:noWrap/>
          </w:tcPr>
          <w:p w14:paraId="37C9B500" w14:textId="77777777" w:rsidR="00011DE9" w:rsidRDefault="00011DE9">
            <w:pPr>
              <w:pStyle w:val="P68B1DB1-Normal19"/>
              <w:spacing w:after="0" w:line="240" w:lineRule="auto"/>
              <w:jc w:val="center"/>
              <w:rPr>
                <w:rFonts w:eastAsia="Times New Roman"/>
                <w:noProof/>
              </w:rPr>
            </w:pPr>
            <w:r>
              <w:rPr>
                <w:noProof/>
              </w:rPr>
              <w:t>2022</w:t>
            </w:r>
          </w:p>
        </w:tc>
        <w:tc>
          <w:tcPr>
            <w:tcW w:w="4860" w:type="dxa"/>
            <w:shd w:val="clear" w:color="auto" w:fill="C6EFCE"/>
            <w:noWrap/>
          </w:tcPr>
          <w:p w14:paraId="50319764" w14:textId="77777777" w:rsidR="00011DE9" w:rsidRDefault="00011DE9">
            <w:pPr>
              <w:pStyle w:val="P68B1DB1-Normal19"/>
              <w:spacing w:after="0" w:line="240" w:lineRule="auto"/>
              <w:rPr>
                <w:noProof/>
              </w:rPr>
            </w:pPr>
            <w:r>
              <w:rPr>
                <w:noProof/>
              </w:rPr>
              <w:t xml:space="preserve">Adoptarea unui „Plan de reorganizare și simplificare a sistemului de beneficii financiare necontributive ale Administrației Generale de Stat” (publicare în Jurnalul Oficial). Planul urmărește să integreze prestațiile necontributive în jurul unui instrument de acoperire a veniturilor pentru a îmbunătăți eficacitatea și eficiența resurselor publice și pentru a le concentra asupra persoanelor expuse riscului de vulnerabilitate sau de excluziune socială. Acest plan se axează pe acoperirea adecvată a diferitelor circumstanțe care conduc la vulnerabilitate, precum și pe caracterul adecvat al sprijinului pentru venit. În acest scop, Comisia ține seama, pe de o parte, de nevoile structurale, cum ar fi gospodăriile cu copii și persoanele cu handicap, și, pe de altă parte, de corelarea sprijinului pentru venit cu căutarea activă a unui loc de muncă în vederea incluziunii și a evitării „capcanelor sărăciei”. Planul ia în considerare toate contribuțiile existente în vederea integrării treptate și în timp a acestora într-un sistem național unic pentru a se asigura că obiectivul planului este atins pe deplin. </w:t>
            </w:r>
          </w:p>
          <w:p w14:paraId="1989C1BB" w14:textId="77777777" w:rsidR="00011DE9" w:rsidRDefault="00011DE9">
            <w:pPr>
              <w:spacing w:after="0" w:line="240" w:lineRule="auto"/>
              <w:rPr>
                <w:rFonts w:ascii="Times New Roman" w:hAnsi="Times New Roman"/>
                <w:noProof/>
                <w:sz w:val="18"/>
              </w:rPr>
            </w:pPr>
          </w:p>
          <w:p w14:paraId="54D9D3B6" w14:textId="77777777" w:rsidR="00011DE9" w:rsidRDefault="00011DE9">
            <w:pPr>
              <w:pStyle w:val="P68B1DB1-Normal20"/>
              <w:spacing w:after="0" w:line="240" w:lineRule="auto"/>
              <w:rPr>
                <w:rFonts w:eastAsia="Times New Roman" w:cs="Times New Roman"/>
                <w:noProof/>
              </w:rPr>
            </w:pPr>
            <w:r>
              <w:rPr>
                <w:noProof/>
              </w:rPr>
              <w:t>În sensul acordului operațional, publicarea pe site-ul oficial relevant este considerată un indicator calitativ al intrării în vigoare.</w:t>
            </w:r>
          </w:p>
        </w:tc>
      </w:tr>
      <w:tr w:rsidR="00011DE9" w14:paraId="29276247" w14:textId="77777777">
        <w:trPr>
          <w:trHeight w:val="309"/>
          <w:jc w:val="center"/>
        </w:trPr>
        <w:tc>
          <w:tcPr>
            <w:tcW w:w="709" w:type="dxa"/>
            <w:shd w:val="clear" w:color="auto" w:fill="C6EFCE"/>
            <w:noWrap/>
          </w:tcPr>
          <w:p w14:paraId="4B998640" w14:textId="77777777" w:rsidR="00011DE9" w:rsidRDefault="00011DE9">
            <w:pPr>
              <w:pStyle w:val="P68B1DB1-Normal19"/>
              <w:spacing w:after="0" w:line="240" w:lineRule="auto"/>
              <w:jc w:val="center"/>
              <w:rPr>
                <w:rFonts w:eastAsia="Times New Roman"/>
                <w:noProof/>
              </w:rPr>
            </w:pPr>
            <w:r>
              <w:rPr>
                <w:noProof/>
              </w:rPr>
              <w:t>320a</w:t>
            </w:r>
          </w:p>
        </w:tc>
        <w:tc>
          <w:tcPr>
            <w:tcW w:w="851" w:type="dxa"/>
            <w:shd w:val="clear" w:color="auto" w:fill="C6EFCE"/>
            <w:noWrap/>
          </w:tcPr>
          <w:p w14:paraId="5BC02C5A" w14:textId="77777777" w:rsidR="00011DE9" w:rsidRDefault="00011DE9">
            <w:pPr>
              <w:pStyle w:val="P68B1DB1-Normal19"/>
              <w:spacing w:after="0" w:line="240" w:lineRule="auto"/>
              <w:jc w:val="center"/>
              <w:rPr>
                <w:rFonts w:eastAsia="Times New Roman"/>
                <w:noProof/>
              </w:rPr>
            </w:pPr>
            <w:r>
              <w:rPr>
                <w:noProof/>
              </w:rPr>
              <w:t>C22.R5</w:t>
            </w:r>
          </w:p>
        </w:tc>
        <w:tc>
          <w:tcPr>
            <w:tcW w:w="992" w:type="dxa"/>
            <w:shd w:val="clear" w:color="auto" w:fill="C6EFCE"/>
            <w:noWrap/>
          </w:tcPr>
          <w:p w14:paraId="76725022" w14:textId="77777777" w:rsidR="00011DE9" w:rsidRDefault="00011DE9">
            <w:pPr>
              <w:pStyle w:val="P68B1DB1-Normal19"/>
              <w:spacing w:after="0" w:line="240" w:lineRule="auto"/>
              <w:jc w:val="center"/>
              <w:rPr>
                <w:rFonts w:eastAsia="Times New Roman"/>
                <w:noProof/>
              </w:rPr>
            </w:pPr>
            <w:r>
              <w:rPr>
                <w:noProof/>
              </w:rPr>
              <w:t>M</w:t>
            </w:r>
          </w:p>
        </w:tc>
        <w:tc>
          <w:tcPr>
            <w:tcW w:w="2688" w:type="dxa"/>
            <w:shd w:val="clear" w:color="auto" w:fill="C6EFCE"/>
            <w:noWrap/>
          </w:tcPr>
          <w:p w14:paraId="1A792795" w14:textId="77777777" w:rsidR="00011DE9" w:rsidRDefault="00011DE9">
            <w:pPr>
              <w:pStyle w:val="P68B1DB1-Normal19"/>
              <w:spacing w:after="0" w:line="240" w:lineRule="auto"/>
              <w:rPr>
                <w:rFonts w:eastAsia="Times New Roman"/>
                <w:noProof/>
              </w:rPr>
            </w:pPr>
            <w:r>
              <w:rPr>
                <w:noProof/>
              </w:rPr>
              <w:t>Intrarea în vigoare a actului juridic privind venitul minim de subzistență (IMV).</w:t>
            </w:r>
          </w:p>
        </w:tc>
        <w:tc>
          <w:tcPr>
            <w:tcW w:w="1423" w:type="dxa"/>
            <w:shd w:val="clear" w:color="auto" w:fill="C6EFCE"/>
            <w:noWrap/>
          </w:tcPr>
          <w:p w14:paraId="34F04317" w14:textId="77777777" w:rsidR="00011DE9" w:rsidRDefault="00011DE9">
            <w:pPr>
              <w:pStyle w:val="P68B1DB1-Normal19"/>
              <w:spacing w:after="0" w:line="240" w:lineRule="auto"/>
              <w:jc w:val="center"/>
              <w:rPr>
                <w:rFonts w:eastAsia="Times New Roman"/>
                <w:noProof/>
              </w:rPr>
            </w:pPr>
            <w:r>
              <w:rPr>
                <w:noProof/>
              </w:rPr>
              <w:t xml:space="preserve">Dispoziție din actul juridic care indică intrarea în vigoare. </w:t>
            </w:r>
          </w:p>
        </w:tc>
        <w:tc>
          <w:tcPr>
            <w:tcW w:w="850" w:type="dxa"/>
            <w:shd w:val="clear" w:color="auto" w:fill="C6EFCE"/>
            <w:noWrap/>
          </w:tcPr>
          <w:p w14:paraId="004A9988" w14:textId="77777777" w:rsidR="00011DE9" w:rsidRDefault="00011DE9">
            <w:pPr>
              <w:pStyle w:val="P68B1DB1-Normal19"/>
              <w:spacing w:after="0" w:line="240" w:lineRule="auto"/>
              <w:jc w:val="center"/>
              <w:rPr>
                <w:rFonts w:eastAsia="Times New Roman"/>
                <w:noProof/>
              </w:rPr>
            </w:pPr>
            <w:r>
              <w:rPr>
                <w:noProof/>
              </w:rPr>
              <w:t xml:space="preserve"> </w:t>
            </w:r>
          </w:p>
        </w:tc>
        <w:tc>
          <w:tcPr>
            <w:tcW w:w="851" w:type="dxa"/>
            <w:shd w:val="clear" w:color="auto" w:fill="C6EFCE"/>
            <w:noWrap/>
          </w:tcPr>
          <w:p w14:paraId="48F0B785"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55BD3D3D" w14:textId="77777777" w:rsidR="00011DE9" w:rsidRDefault="00011DE9">
            <w:pPr>
              <w:pStyle w:val="P68B1DB1-Normal19"/>
              <w:spacing w:after="0" w:line="240" w:lineRule="auto"/>
              <w:jc w:val="right"/>
              <w:rPr>
                <w:rFonts w:eastAsia="Times New Roman"/>
                <w:noProof/>
              </w:rPr>
            </w:pPr>
            <w:r>
              <w:rPr>
                <w:noProof/>
              </w:rPr>
              <w:t xml:space="preserve"> </w:t>
            </w:r>
          </w:p>
        </w:tc>
        <w:tc>
          <w:tcPr>
            <w:tcW w:w="567" w:type="dxa"/>
            <w:shd w:val="clear" w:color="auto" w:fill="C6EFCE"/>
            <w:noWrap/>
          </w:tcPr>
          <w:p w14:paraId="57E31FCE" w14:textId="5461EF45" w:rsidR="00011DE9" w:rsidRDefault="005701C9">
            <w:pPr>
              <w:pStyle w:val="P68B1DB1-Normal19"/>
              <w:spacing w:after="0" w:line="240" w:lineRule="auto"/>
              <w:jc w:val="center"/>
              <w:rPr>
                <w:rFonts w:eastAsia="Times New Roman"/>
                <w:noProof/>
              </w:rPr>
            </w:pPr>
            <w:r>
              <w:rPr>
                <w:noProof/>
              </w:rPr>
              <w:t>T4</w:t>
            </w:r>
          </w:p>
        </w:tc>
        <w:tc>
          <w:tcPr>
            <w:tcW w:w="810" w:type="dxa"/>
            <w:shd w:val="clear" w:color="auto" w:fill="C6EFCE"/>
            <w:noWrap/>
          </w:tcPr>
          <w:p w14:paraId="3F480916" w14:textId="77777777" w:rsidR="00011DE9" w:rsidRDefault="00011DE9">
            <w:pPr>
              <w:pStyle w:val="P68B1DB1-Normal19"/>
              <w:spacing w:after="0" w:line="240" w:lineRule="auto"/>
              <w:jc w:val="center"/>
              <w:rPr>
                <w:rFonts w:eastAsia="Times New Roman"/>
                <w:noProof/>
              </w:rPr>
            </w:pPr>
            <w:r>
              <w:rPr>
                <w:noProof/>
              </w:rPr>
              <w:t>2025</w:t>
            </w:r>
          </w:p>
        </w:tc>
        <w:tc>
          <w:tcPr>
            <w:tcW w:w="4860" w:type="dxa"/>
            <w:shd w:val="clear" w:color="auto" w:fill="C6EFCE"/>
            <w:noWrap/>
          </w:tcPr>
          <w:p w14:paraId="4991765F" w14:textId="77777777" w:rsidR="00011DE9" w:rsidRDefault="00011DE9">
            <w:pPr>
              <w:pStyle w:val="P68B1DB1-Normal19"/>
              <w:spacing w:after="0" w:line="240" w:lineRule="auto"/>
              <w:rPr>
                <w:noProof/>
              </w:rPr>
            </w:pPr>
            <w:r>
              <w:rPr>
                <w:noProof/>
              </w:rPr>
              <w:t xml:space="preserve">Intrarea în vigoare a actului juridic de modificare a Decretului regal nr. 789/2022 de reglementare a venitului minim de subzistență (IMV), de modificare a normelor privind compatibilitatea IMV cu veniturile din activități salariate sau independente. </w:t>
            </w:r>
          </w:p>
          <w:p w14:paraId="6C76EB22" w14:textId="77777777" w:rsidR="00011DE9" w:rsidRDefault="00011DE9">
            <w:pPr>
              <w:spacing w:after="0" w:line="240" w:lineRule="auto"/>
              <w:rPr>
                <w:rFonts w:ascii="Times New Roman" w:eastAsia="Times New Roman" w:hAnsi="Times New Roman" w:cs="Times New Roman"/>
                <w:noProof/>
                <w:sz w:val="18"/>
                <w:szCs w:val="18"/>
              </w:rPr>
            </w:pPr>
          </w:p>
        </w:tc>
      </w:tr>
      <w:tr w:rsidR="00011DE9" w14:paraId="2FDEBAC0" w14:textId="77777777">
        <w:trPr>
          <w:trHeight w:val="309"/>
          <w:jc w:val="center"/>
        </w:trPr>
        <w:tc>
          <w:tcPr>
            <w:tcW w:w="709" w:type="dxa"/>
            <w:shd w:val="clear" w:color="auto" w:fill="C6EFCE"/>
            <w:noWrap/>
          </w:tcPr>
          <w:p w14:paraId="66F1F90F" w14:textId="77777777" w:rsidR="00011DE9" w:rsidRDefault="00011DE9">
            <w:pPr>
              <w:pStyle w:val="P68B1DB1-Normal19"/>
              <w:spacing w:after="0" w:line="240" w:lineRule="auto"/>
              <w:jc w:val="center"/>
              <w:rPr>
                <w:noProof/>
              </w:rPr>
            </w:pPr>
            <w:r>
              <w:rPr>
                <w:noProof/>
              </w:rPr>
              <w:t>412a</w:t>
            </w:r>
          </w:p>
        </w:tc>
        <w:tc>
          <w:tcPr>
            <w:tcW w:w="851" w:type="dxa"/>
            <w:shd w:val="clear" w:color="auto" w:fill="C6EFCE"/>
            <w:noWrap/>
          </w:tcPr>
          <w:p w14:paraId="6BECA849" w14:textId="77777777" w:rsidR="00011DE9" w:rsidRDefault="00011DE9">
            <w:pPr>
              <w:pStyle w:val="P68B1DB1-Normal19"/>
              <w:spacing w:after="0" w:line="240" w:lineRule="auto"/>
              <w:jc w:val="center"/>
              <w:rPr>
                <w:noProof/>
              </w:rPr>
            </w:pPr>
            <w:r>
              <w:rPr>
                <w:noProof/>
              </w:rPr>
              <w:t>C22.R6</w:t>
            </w:r>
          </w:p>
        </w:tc>
        <w:tc>
          <w:tcPr>
            <w:tcW w:w="992" w:type="dxa"/>
            <w:shd w:val="clear" w:color="auto" w:fill="C6EFCE"/>
            <w:noWrap/>
          </w:tcPr>
          <w:p w14:paraId="7100F1AD" w14:textId="77777777" w:rsidR="00011DE9" w:rsidRDefault="00011DE9">
            <w:pPr>
              <w:pStyle w:val="P68B1DB1-Normal19"/>
              <w:spacing w:after="0" w:line="240" w:lineRule="auto"/>
              <w:jc w:val="center"/>
              <w:rPr>
                <w:noProof/>
              </w:rPr>
            </w:pPr>
            <w:r>
              <w:rPr>
                <w:noProof/>
              </w:rPr>
              <w:t>M</w:t>
            </w:r>
          </w:p>
        </w:tc>
        <w:tc>
          <w:tcPr>
            <w:tcW w:w="2688" w:type="dxa"/>
            <w:shd w:val="clear" w:color="auto" w:fill="C6EFCE"/>
            <w:noWrap/>
          </w:tcPr>
          <w:p w14:paraId="4C446F1C" w14:textId="77777777" w:rsidR="00011DE9" w:rsidRDefault="00011DE9">
            <w:pPr>
              <w:pStyle w:val="P68B1DB1-Normal19"/>
              <w:spacing w:after="0" w:line="240" w:lineRule="auto"/>
              <w:rPr>
                <w:noProof/>
              </w:rPr>
            </w:pPr>
            <w:r>
              <w:rPr>
                <w:noProof/>
              </w:rPr>
              <w:t xml:space="preserve">Intrarea în vigoare a legii privind reprezentarea egală și prezența echilibrată a femeilor și bărbaților și intrarea în vigoare a ordinului ministerial de instituire și reglementare a unui consiliu consultativ privind disparitatea de gen </w:t>
            </w:r>
          </w:p>
        </w:tc>
        <w:tc>
          <w:tcPr>
            <w:tcW w:w="1423" w:type="dxa"/>
            <w:shd w:val="clear" w:color="auto" w:fill="C6EFCE"/>
            <w:noWrap/>
          </w:tcPr>
          <w:p w14:paraId="78676959" w14:textId="77777777" w:rsidR="00011DE9" w:rsidRDefault="00011DE9">
            <w:pPr>
              <w:pStyle w:val="P68B1DB1-Normal19"/>
              <w:spacing w:after="0" w:line="240" w:lineRule="auto"/>
              <w:jc w:val="center"/>
              <w:rPr>
                <w:noProof/>
              </w:rPr>
            </w:pPr>
            <w:r>
              <w:rPr>
                <w:noProof/>
              </w:rPr>
              <w:t>Dispoziție din actul juridic care indică data intrării în vigoare sau data intrării în vigoare</w:t>
            </w:r>
          </w:p>
        </w:tc>
        <w:tc>
          <w:tcPr>
            <w:tcW w:w="850" w:type="dxa"/>
            <w:shd w:val="clear" w:color="auto" w:fill="C6EFCE"/>
            <w:noWrap/>
          </w:tcPr>
          <w:p w14:paraId="324175EA" w14:textId="77777777" w:rsidR="00011DE9" w:rsidRDefault="00011DE9">
            <w:pPr>
              <w:spacing w:after="0" w:line="240" w:lineRule="auto"/>
              <w:jc w:val="center"/>
              <w:rPr>
                <w:rFonts w:ascii="Times New Roman" w:hAnsi="Times New Roman"/>
                <w:noProof/>
                <w:sz w:val="18"/>
              </w:rPr>
            </w:pPr>
          </w:p>
        </w:tc>
        <w:tc>
          <w:tcPr>
            <w:tcW w:w="851" w:type="dxa"/>
            <w:shd w:val="clear" w:color="auto" w:fill="C6EFCE"/>
            <w:noWrap/>
          </w:tcPr>
          <w:p w14:paraId="14557225" w14:textId="77777777" w:rsidR="00011DE9" w:rsidRDefault="00011DE9">
            <w:pPr>
              <w:spacing w:after="0" w:line="240" w:lineRule="auto"/>
              <w:jc w:val="right"/>
              <w:rPr>
                <w:rFonts w:ascii="Times New Roman" w:hAnsi="Times New Roman"/>
                <w:noProof/>
                <w:sz w:val="18"/>
              </w:rPr>
            </w:pPr>
          </w:p>
        </w:tc>
        <w:tc>
          <w:tcPr>
            <w:tcW w:w="709" w:type="dxa"/>
            <w:shd w:val="clear" w:color="auto" w:fill="C6EFCE"/>
            <w:noWrap/>
          </w:tcPr>
          <w:p w14:paraId="2D08AAA4" w14:textId="77777777" w:rsidR="00011DE9" w:rsidRDefault="00011DE9">
            <w:pPr>
              <w:spacing w:after="0" w:line="240" w:lineRule="auto"/>
              <w:jc w:val="right"/>
              <w:rPr>
                <w:rFonts w:ascii="Times New Roman" w:hAnsi="Times New Roman"/>
                <w:noProof/>
                <w:sz w:val="18"/>
              </w:rPr>
            </w:pPr>
          </w:p>
        </w:tc>
        <w:tc>
          <w:tcPr>
            <w:tcW w:w="567" w:type="dxa"/>
            <w:shd w:val="clear" w:color="auto" w:fill="C6EFCE"/>
            <w:noWrap/>
          </w:tcPr>
          <w:p w14:paraId="40872E12" w14:textId="6D4B8EE5" w:rsidR="00011DE9" w:rsidRDefault="005701C9">
            <w:pPr>
              <w:pStyle w:val="P68B1DB1-Normal19"/>
              <w:spacing w:after="0" w:line="240" w:lineRule="auto"/>
              <w:jc w:val="center"/>
              <w:rPr>
                <w:noProof/>
              </w:rPr>
            </w:pPr>
            <w:r>
              <w:rPr>
                <w:noProof/>
              </w:rPr>
              <w:t>T2</w:t>
            </w:r>
          </w:p>
        </w:tc>
        <w:tc>
          <w:tcPr>
            <w:tcW w:w="810" w:type="dxa"/>
            <w:shd w:val="clear" w:color="auto" w:fill="C6EFCE"/>
            <w:noWrap/>
          </w:tcPr>
          <w:p w14:paraId="1CFF2FE0" w14:textId="77777777" w:rsidR="00011DE9" w:rsidRDefault="00011DE9">
            <w:pPr>
              <w:pStyle w:val="P68B1DB1-Normal19"/>
              <w:spacing w:after="0" w:line="240" w:lineRule="auto"/>
              <w:jc w:val="center"/>
              <w:rPr>
                <w:noProof/>
              </w:rPr>
            </w:pPr>
            <w:r>
              <w:rPr>
                <w:noProof/>
              </w:rPr>
              <w:t>2026</w:t>
            </w:r>
          </w:p>
        </w:tc>
        <w:tc>
          <w:tcPr>
            <w:tcW w:w="4860" w:type="dxa"/>
            <w:shd w:val="clear" w:color="auto" w:fill="C6EFCE"/>
            <w:noWrap/>
          </w:tcPr>
          <w:p w14:paraId="04DC54DC" w14:textId="77777777" w:rsidR="00011DE9" w:rsidRDefault="00011DE9">
            <w:pPr>
              <w:pStyle w:val="P68B1DB1-Normal19"/>
              <w:spacing w:after="0" w:line="240" w:lineRule="auto"/>
              <w:rPr>
                <w:noProof/>
              </w:rPr>
            </w:pPr>
            <w:r>
              <w:rPr>
                <w:noProof/>
              </w:rPr>
              <w:t>Intrarea în vigoare a legislației care extinde protecția drepturilor în materie de muncă la victimele violenței sexuale și care stabilește norme privind paritatea de gen pe listele electorale și reprezentarea echilibrată din punctul de vedere al genului în cadrul organismelor constituționale și al organismelor de importanță constituțională, precum și în numirile în cadrul vicepreședințiilor guvernului și al birourilor ministeriale.</w:t>
            </w:r>
          </w:p>
          <w:p w14:paraId="13B01D0B" w14:textId="77777777" w:rsidR="00011DE9" w:rsidRDefault="00011DE9">
            <w:pPr>
              <w:spacing w:after="0" w:line="240" w:lineRule="auto"/>
              <w:rPr>
                <w:rFonts w:ascii="Times New Roman" w:hAnsi="Times New Roman"/>
                <w:noProof/>
                <w:sz w:val="18"/>
              </w:rPr>
            </w:pPr>
          </w:p>
          <w:p w14:paraId="6656ED69" w14:textId="77777777" w:rsidR="00011DE9" w:rsidRDefault="00011DE9">
            <w:pPr>
              <w:pStyle w:val="P68B1DB1-Normal19"/>
              <w:spacing w:after="0" w:line="240" w:lineRule="auto"/>
              <w:rPr>
                <w:noProof/>
              </w:rPr>
            </w:pPr>
            <w:r>
              <w:rPr>
                <w:noProof/>
              </w:rPr>
              <w:t>Intrarea în vigoare a unui ordin ministerial de instituire a unui consiliu consultativ pentru disparitatea de gen care să consilieze Ministerul Incluziunii, Securității Sociale și Migrației cu privire la elaborarea, monitorizarea și evaluarea politicilor menite să reducă disparitatea de gen.</w:t>
            </w:r>
          </w:p>
        </w:tc>
      </w:tr>
      <w:tr w:rsidR="00011DE9" w14:paraId="459E942D" w14:textId="77777777">
        <w:trPr>
          <w:trHeight w:val="309"/>
          <w:jc w:val="center"/>
        </w:trPr>
        <w:tc>
          <w:tcPr>
            <w:tcW w:w="709" w:type="dxa"/>
            <w:shd w:val="clear" w:color="auto" w:fill="C6EFCE"/>
            <w:noWrap/>
          </w:tcPr>
          <w:p w14:paraId="0EAF16EB" w14:textId="77777777" w:rsidR="00011DE9" w:rsidRDefault="00011DE9">
            <w:pPr>
              <w:pStyle w:val="P68B1DB1-Normal19"/>
              <w:spacing w:after="0" w:line="240" w:lineRule="auto"/>
              <w:jc w:val="center"/>
              <w:rPr>
                <w:noProof/>
              </w:rPr>
            </w:pPr>
            <w:r>
              <w:rPr>
                <w:noProof/>
              </w:rPr>
              <w:t>321</w:t>
            </w:r>
          </w:p>
        </w:tc>
        <w:tc>
          <w:tcPr>
            <w:tcW w:w="851" w:type="dxa"/>
            <w:shd w:val="clear" w:color="auto" w:fill="C6EFCE"/>
            <w:noWrap/>
          </w:tcPr>
          <w:p w14:paraId="6E0EED91" w14:textId="77777777" w:rsidR="00011DE9" w:rsidRDefault="00011DE9">
            <w:pPr>
              <w:pStyle w:val="P68B1DB1-Normal19"/>
              <w:spacing w:after="0" w:line="240" w:lineRule="auto"/>
              <w:jc w:val="center"/>
              <w:rPr>
                <w:noProof/>
              </w:rPr>
            </w:pPr>
            <w:r>
              <w:rPr>
                <w:noProof/>
              </w:rPr>
              <w:t>C22.I1</w:t>
            </w:r>
          </w:p>
        </w:tc>
        <w:tc>
          <w:tcPr>
            <w:tcW w:w="992" w:type="dxa"/>
            <w:shd w:val="clear" w:color="auto" w:fill="C6EFCE"/>
            <w:noWrap/>
          </w:tcPr>
          <w:p w14:paraId="4DBCB65B" w14:textId="77777777" w:rsidR="00011DE9" w:rsidRDefault="00011DE9">
            <w:pPr>
              <w:pStyle w:val="P68B1DB1-Normal19"/>
              <w:spacing w:after="0" w:line="240" w:lineRule="auto"/>
              <w:jc w:val="center"/>
              <w:rPr>
                <w:noProof/>
              </w:rPr>
            </w:pPr>
            <w:r>
              <w:rPr>
                <w:noProof/>
              </w:rPr>
              <w:t>T</w:t>
            </w:r>
          </w:p>
        </w:tc>
        <w:tc>
          <w:tcPr>
            <w:tcW w:w="2688" w:type="dxa"/>
            <w:shd w:val="clear" w:color="auto" w:fill="C6EFCE"/>
            <w:noWrap/>
          </w:tcPr>
          <w:p w14:paraId="5BACA370" w14:textId="77777777" w:rsidR="00011DE9" w:rsidRDefault="00011DE9">
            <w:pPr>
              <w:pStyle w:val="P68B1DB1-Normal19"/>
              <w:spacing w:after="0" w:line="240" w:lineRule="auto"/>
              <w:rPr>
                <w:noProof/>
              </w:rPr>
            </w:pPr>
            <w:r>
              <w:rPr>
                <w:noProof/>
              </w:rPr>
              <w:t>Proiecte executate de Ministerul Drepturilor Sociale și Agenda 2030</w:t>
            </w:r>
          </w:p>
        </w:tc>
        <w:tc>
          <w:tcPr>
            <w:tcW w:w="1423" w:type="dxa"/>
            <w:shd w:val="clear" w:color="auto" w:fill="C6EFCE"/>
            <w:noWrap/>
          </w:tcPr>
          <w:p w14:paraId="0906EC7D" w14:textId="77777777" w:rsidR="00011DE9" w:rsidRDefault="00011DE9">
            <w:pPr>
              <w:pStyle w:val="P68B1DB1-Normal19"/>
              <w:spacing w:after="0" w:line="240" w:lineRule="auto"/>
              <w:jc w:val="center"/>
              <w:rPr>
                <w:rFonts w:eastAsia="Times New Roman"/>
                <w:noProof/>
              </w:rPr>
            </w:pPr>
            <w:r>
              <w:rPr>
                <w:noProof/>
              </w:rPr>
              <w:t xml:space="preserve"> </w:t>
            </w:r>
          </w:p>
        </w:tc>
        <w:tc>
          <w:tcPr>
            <w:tcW w:w="850" w:type="dxa"/>
            <w:shd w:val="clear" w:color="auto" w:fill="C6EFCE"/>
            <w:noWrap/>
          </w:tcPr>
          <w:p w14:paraId="69AB20FE" w14:textId="77777777" w:rsidR="00011DE9" w:rsidRDefault="00011DE9">
            <w:pPr>
              <w:pStyle w:val="P68B1DB1-Normal19"/>
              <w:spacing w:after="0" w:line="240" w:lineRule="auto"/>
              <w:jc w:val="center"/>
              <w:rPr>
                <w:noProof/>
              </w:rPr>
            </w:pPr>
            <w:r>
              <w:rPr>
                <w:noProof/>
              </w:rPr>
              <w:t>Număr</w:t>
            </w:r>
          </w:p>
        </w:tc>
        <w:tc>
          <w:tcPr>
            <w:tcW w:w="851" w:type="dxa"/>
            <w:shd w:val="clear" w:color="auto" w:fill="C6EFCE"/>
            <w:noWrap/>
          </w:tcPr>
          <w:p w14:paraId="651DA935" w14:textId="77777777" w:rsidR="00011DE9" w:rsidRDefault="00011DE9">
            <w:pPr>
              <w:pStyle w:val="P68B1DB1-Normal19"/>
              <w:spacing w:after="0" w:line="240" w:lineRule="auto"/>
              <w:jc w:val="center"/>
              <w:rPr>
                <w:noProof/>
              </w:rPr>
            </w:pPr>
            <w:r>
              <w:rPr>
                <w:noProof/>
              </w:rPr>
              <w:t>0</w:t>
            </w:r>
          </w:p>
        </w:tc>
        <w:tc>
          <w:tcPr>
            <w:tcW w:w="709" w:type="dxa"/>
            <w:shd w:val="clear" w:color="auto" w:fill="C6EFCE"/>
            <w:noWrap/>
          </w:tcPr>
          <w:p w14:paraId="3DF1368A" w14:textId="77777777" w:rsidR="00011DE9" w:rsidRDefault="00011DE9">
            <w:pPr>
              <w:pStyle w:val="P68B1DB1-Normal19"/>
              <w:spacing w:after="0" w:line="240" w:lineRule="auto"/>
              <w:jc w:val="center"/>
              <w:rPr>
                <w:noProof/>
              </w:rPr>
            </w:pPr>
            <w:r>
              <w:rPr>
                <w:noProof/>
              </w:rPr>
              <w:t>6</w:t>
            </w:r>
          </w:p>
        </w:tc>
        <w:tc>
          <w:tcPr>
            <w:tcW w:w="567" w:type="dxa"/>
            <w:shd w:val="clear" w:color="auto" w:fill="C6EFCE"/>
            <w:noWrap/>
          </w:tcPr>
          <w:p w14:paraId="69C60F44" w14:textId="0B5860FE" w:rsidR="00011DE9" w:rsidRDefault="005701C9">
            <w:pPr>
              <w:pStyle w:val="P68B1DB1-Normal19"/>
              <w:spacing w:after="0" w:line="240" w:lineRule="auto"/>
              <w:jc w:val="center"/>
              <w:rPr>
                <w:noProof/>
              </w:rPr>
            </w:pPr>
            <w:r>
              <w:rPr>
                <w:noProof/>
              </w:rPr>
              <w:t>T2</w:t>
            </w:r>
          </w:p>
        </w:tc>
        <w:tc>
          <w:tcPr>
            <w:tcW w:w="810" w:type="dxa"/>
            <w:shd w:val="clear" w:color="auto" w:fill="C6EFCE"/>
            <w:noWrap/>
          </w:tcPr>
          <w:p w14:paraId="6E449A50" w14:textId="77777777" w:rsidR="00011DE9" w:rsidRDefault="00011DE9">
            <w:pPr>
              <w:pStyle w:val="P68B1DB1-Normal19"/>
              <w:spacing w:after="0" w:line="240" w:lineRule="auto"/>
              <w:jc w:val="center"/>
              <w:rPr>
                <w:noProof/>
              </w:rPr>
            </w:pPr>
            <w:r>
              <w:rPr>
                <w:noProof/>
              </w:rPr>
              <w:t>2023</w:t>
            </w:r>
          </w:p>
        </w:tc>
        <w:tc>
          <w:tcPr>
            <w:tcW w:w="4860" w:type="dxa"/>
            <w:shd w:val="clear" w:color="auto" w:fill="C6EFCE"/>
            <w:noWrap/>
          </w:tcPr>
          <w:p w14:paraId="58E0DD81" w14:textId="77777777" w:rsidR="00011DE9" w:rsidRDefault="00011DE9">
            <w:pPr>
              <w:pStyle w:val="P68B1DB1-Normal19"/>
              <w:spacing w:after="0" w:line="240" w:lineRule="auto"/>
              <w:rPr>
                <w:noProof/>
              </w:rPr>
            </w:pPr>
            <w:r>
              <w:rPr>
                <w:noProof/>
              </w:rPr>
              <w:t>Finalizarea a 6 proiecte-pilot privind îngrijirea dezinstituționalizată, dintre care unul se axează pe sprijinirea și îngrijirea persoanelor cu dizabilități intelectuale.</w:t>
            </w:r>
          </w:p>
        </w:tc>
      </w:tr>
      <w:tr w:rsidR="00011DE9" w14:paraId="447B4750" w14:textId="77777777">
        <w:trPr>
          <w:trHeight w:val="309"/>
          <w:jc w:val="center"/>
        </w:trPr>
        <w:tc>
          <w:tcPr>
            <w:tcW w:w="709" w:type="dxa"/>
            <w:shd w:val="clear" w:color="auto" w:fill="C6EFCE"/>
            <w:noWrap/>
          </w:tcPr>
          <w:p w14:paraId="6FA754EB" w14:textId="77777777" w:rsidR="00011DE9" w:rsidRDefault="00011DE9">
            <w:pPr>
              <w:pStyle w:val="P68B1DB1-Normal19"/>
              <w:spacing w:after="0" w:line="240" w:lineRule="auto"/>
              <w:jc w:val="center"/>
              <w:rPr>
                <w:noProof/>
              </w:rPr>
            </w:pPr>
            <w:r>
              <w:rPr>
                <w:noProof/>
              </w:rPr>
              <w:t>322</w:t>
            </w:r>
          </w:p>
        </w:tc>
        <w:tc>
          <w:tcPr>
            <w:tcW w:w="851" w:type="dxa"/>
            <w:shd w:val="clear" w:color="auto" w:fill="C6EFCE"/>
            <w:noWrap/>
          </w:tcPr>
          <w:p w14:paraId="01719BA8" w14:textId="77777777" w:rsidR="00011DE9" w:rsidRDefault="00011DE9">
            <w:pPr>
              <w:pStyle w:val="P68B1DB1-Normal19"/>
              <w:spacing w:after="0" w:line="240" w:lineRule="auto"/>
              <w:jc w:val="center"/>
              <w:rPr>
                <w:noProof/>
              </w:rPr>
            </w:pPr>
            <w:r>
              <w:rPr>
                <w:noProof/>
              </w:rPr>
              <w:t>C22.I1</w:t>
            </w:r>
          </w:p>
        </w:tc>
        <w:tc>
          <w:tcPr>
            <w:tcW w:w="992" w:type="dxa"/>
            <w:shd w:val="clear" w:color="auto" w:fill="C6EFCE"/>
            <w:noWrap/>
          </w:tcPr>
          <w:p w14:paraId="7E6D3F3D" w14:textId="77777777" w:rsidR="00011DE9" w:rsidRDefault="00011DE9">
            <w:pPr>
              <w:pStyle w:val="P68B1DB1-Normal19"/>
              <w:spacing w:after="0" w:line="240" w:lineRule="auto"/>
              <w:jc w:val="center"/>
              <w:rPr>
                <w:noProof/>
              </w:rPr>
            </w:pPr>
            <w:r>
              <w:rPr>
                <w:noProof/>
              </w:rPr>
              <w:t>T</w:t>
            </w:r>
          </w:p>
        </w:tc>
        <w:tc>
          <w:tcPr>
            <w:tcW w:w="2688" w:type="dxa"/>
            <w:shd w:val="clear" w:color="auto" w:fill="C6EFCE"/>
            <w:noWrap/>
          </w:tcPr>
          <w:p w14:paraId="402004BE" w14:textId="77777777" w:rsidR="00011DE9" w:rsidRDefault="00011DE9">
            <w:pPr>
              <w:pStyle w:val="P68B1DB1-Normal19"/>
              <w:spacing w:after="0" w:line="240" w:lineRule="auto"/>
              <w:rPr>
                <w:noProof/>
              </w:rPr>
            </w:pPr>
            <w:r>
              <w:rPr>
                <w:noProof/>
              </w:rPr>
              <w:t>Investiții în servicii de telecomunicații</w:t>
            </w:r>
          </w:p>
        </w:tc>
        <w:tc>
          <w:tcPr>
            <w:tcW w:w="1423" w:type="dxa"/>
            <w:shd w:val="clear" w:color="auto" w:fill="C6EFCE"/>
            <w:noWrap/>
          </w:tcPr>
          <w:p w14:paraId="2762BC86" w14:textId="77777777" w:rsidR="00011DE9" w:rsidRDefault="00011DE9">
            <w:pPr>
              <w:pStyle w:val="P68B1DB1-Normal19"/>
              <w:spacing w:after="0" w:line="240" w:lineRule="auto"/>
              <w:jc w:val="center"/>
              <w:rPr>
                <w:rFonts w:eastAsia="Times New Roman"/>
                <w:noProof/>
              </w:rPr>
            </w:pPr>
            <w:r>
              <w:rPr>
                <w:noProof/>
              </w:rPr>
              <w:t xml:space="preserve"> </w:t>
            </w:r>
          </w:p>
        </w:tc>
        <w:tc>
          <w:tcPr>
            <w:tcW w:w="850" w:type="dxa"/>
            <w:shd w:val="clear" w:color="auto" w:fill="C6EFCE"/>
            <w:noWrap/>
          </w:tcPr>
          <w:p w14:paraId="11E72FCF" w14:textId="77777777" w:rsidR="00011DE9" w:rsidRDefault="00011DE9">
            <w:pPr>
              <w:pStyle w:val="P68B1DB1-Normal19"/>
              <w:spacing w:after="0" w:line="240" w:lineRule="auto"/>
              <w:jc w:val="center"/>
              <w:rPr>
                <w:noProof/>
              </w:rPr>
            </w:pPr>
            <w:r>
              <w:rPr>
                <w:noProof/>
              </w:rPr>
              <w:t>EUR (milioane)</w:t>
            </w:r>
          </w:p>
        </w:tc>
        <w:tc>
          <w:tcPr>
            <w:tcW w:w="851" w:type="dxa"/>
            <w:shd w:val="clear" w:color="auto" w:fill="C6EFCE"/>
            <w:noWrap/>
          </w:tcPr>
          <w:p w14:paraId="6D21C47B" w14:textId="77777777" w:rsidR="00011DE9" w:rsidRDefault="00011DE9">
            <w:pPr>
              <w:pStyle w:val="P68B1DB1-Normal19"/>
              <w:spacing w:after="0" w:line="240" w:lineRule="auto"/>
              <w:jc w:val="center"/>
              <w:rPr>
                <w:noProof/>
              </w:rPr>
            </w:pPr>
            <w:r>
              <w:rPr>
                <w:noProof/>
              </w:rPr>
              <w:t>0</w:t>
            </w:r>
          </w:p>
        </w:tc>
        <w:tc>
          <w:tcPr>
            <w:tcW w:w="709" w:type="dxa"/>
            <w:shd w:val="clear" w:color="auto" w:fill="C6EFCE"/>
            <w:noWrap/>
          </w:tcPr>
          <w:p w14:paraId="437B89EF" w14:textId="77777777" w:rsidR="00011DE9" w:rsidRDefault="00011DE9">
            <w:pPr>
              <w:pStyle w:val="P68B1DB1-Normal19"/>
              <w:spacing w:after="0" w:line="240" w:lineRule="auto"/>
              <w:jc w:val="center"/>
              <w:rPr>
                <w:noProof/>
              </w:rPr>
            </w:pPr>
            <w:r>
              <w:rPr>
                <w:noProof/>
              </w:rPr>
              <w:t>304</w:t>
            </w:r>
          </w:p>
        </w:tc>
        <w:tc>
          <w:tcPr>
            <w:tcW w:w="567" w:type="dxa"/>
            <w:shd w:val="clear" w:color="auto" w:fill="C6EFCE"/>
            <w:noWrap/>
          </w:tcPr>
          <w:p w14:paraId="75677B59" w14:textId="4427A08A" w:rsidR="00011DE9" w:rsidRDefault="005701C9">
            <w:pPr>
              <w:pStyle w:val="P68B1DB1-Normal19"/>
              <w:spacing w:after="0" w:line="240" w:lineRule="auto"/>
              <w:jc w:val="center"/>
              <w:rPr>
                <w:noProof/>
              </w:rPr>
            </w:pPr>
            <w:r>
              <w:rPr>
                <w:noProof/>
              </w:rPr>
              <w:t>T4</w:t>
            </w:r>
          </w:p>
        </w:tc>
        <w:tc>
          <w:tcPr>
            <w:tcW w:w="810" w:type="dxa"/>
            <w:shd w:val="clear" w:color="auto" w:fill="C6EFCE"/>
            <w:noWrap/>
          </w:tcPr>
          <w:p w14:paraId="1DF40A42" w14:textId="77777777" w:rsidR="00011DE9" w:rsidRDefault="00011DE9">
            <w:pPr>
              <w:pStyle w:val="P68B1DB1-Normal19"/>
              <w:spacing w:after="0" w:line="240" w:lineRule="auto"/>
              <w:jc w:val="center"/>
              <w:rPr>
                <w:noProof/>
              </w:rPr>
            </w:pPr>
            <w:r>
              <w:rPr>
                <w:noProof/>
              </w:rPr>
              <w:t>2025</w:t>
            </w:r>
          </w:p>
        </w:tc>
        <w:tc>
          <w:tcPr>
            <w:tcW w:w="4860" w:type="dxa"/>
            <w:shd w:val="clear" w:color="auto" w:fill="C6EFCE"/>
            <w:noWrap/>
          </w:tcPr>
          <w:p w14:paraId="363A4272" w14:textId="77777777" w:rsidR="00011DE9" w:rsidRDefault="00011DE9">
            <w:pPr>
              <w:spacing w:after="0" w:line="240" w:lineRule="auto"/>
              <w:rPr>
                <w:noProof/>
              </w:rPr>
            </w:pPr>
            <w:r>
              <w:rPr>
                <w:noProof/>
              </w:rPr>
              <w:t xml:space="preserve"> </w:t>
            </w:r>
            <w:r>
              <w:rPr>
                <w:rFonts w:ascii="Times New Roman" w:hAnsi="Times New Roman"/>
                <w:noProof/>
                <w:sz w:val="18"/>
              </w:rPr>
              <w:t>În domeniul serviciilor de telecomunicații, pentru o sumă totală cumulată de 304 000 000 EUR:</w:t>
            </w:r>
          </w:p>
          <w:p w14:paraId="7413D94A" w14:textId="77777777" w:rsidR="00011DE9" w:rsidRDefault="00011DE9">
            <w:pPr>
              <w:spacing w:after="0" w:line="240" w:lineRule="auto"/>
              <w:rPr>
                <w:rFonts w:ascii="Times New Roman" w:hAnsi="Times New Roman"/>
                <w:noProof/>
                <w:sz w:val="18"/>
              </w:rPr>
            </w:pPr>
          </w:p>
          <w:p w14:paraId="3883EFD5" w14:textId="77777777" w:rsidR="00011DE9" w:rsidRDefault="00011DE9">
            <w:pPr>
              <w:pStyle w:val="P68B1DB1-Normal20"/>
              <w:spacing w:after="0" w:line="240" w:lineRule="auto"/>
              <w:rPr>
                <w:noProof/>
              </w:rPr>
            </w:pPr>
            <w:r>
              <w:rPr>
                <w:noProof/>
              </w:rPr>
              <w:t>Confirmarea de către administrație sau de către o entitate publică a executării contractelor și acordurilor (convenios) (inclusiv a modificărilor) sau a părților corespunzătoare ale acestora. Contribuția la suma totală cumulată este suma efectuată, astfel cum este definită în certificatele de acceptare, declarațiile de conformitate, certificatele de plată, facturile semnate în mod corespunzător ca fiind conforme de către administrație sau în documentele echivalente.</w:t>
            </w:r>
          </w:p>
          <w:p w14:paraId="38949346" w14:textId="77777777" w:rsidR="00011DE9" w:rsidRDefault="00011DE9">
            <w:pPr>
              <w:spacing w:after="0" w:line="240" w:lineRule="auto"/>
              <w:rPr>
                <w:rFonts w:ascii="Times New Roman" w:hAnsi="Times New Roman"/>
                <w:noProof/>
                <w:sz w:val="18"/>
              </w:rPr>
            </w:pPr>
          </w:p>
          <w:p w14:paraId="36E2B68D" w14:textId="77777777" w:rsidR="00011DE9" w:rsidRDefault="00011DE9">
            <w:pPr>
              <w:pStyle w:val="P68B1DB1-Normal20"/>
              <w:spacing w:after="0" w:line="240" w:lineRule="auto"/>
              <w:rPr>
                <w:noProof/>
              </w:rPr>
            </w:pPr>
            <w:r>
              <w:rPr>
                <w:noProof/>
              </w:rPr>
              <w:t>Verificarea de către administrație sau de către o entitate publică a documentelor justificative pentru plata granturilor. Contribuția la suma totală cumulată este suma care urmează să fie subvenționată în cadrul acestei verificări.</w:t>
            </w:r>
          </w:p>
          <w:p w14:paraId="32821C0F" w14:textId="77777777" w:rsidR="00011DE9" w:rsidRDefault="00011DE9">
            <w:pPr>
              <w:spacing w:after="0" w:line="240" w:lineRule="auto"/>
              <w:rPr>
                <w:rFonts w:ascii="Times New Roman" w:hAnsi="Times New Roman"/>
                <w:noProof/>
                <w:sz w:val="18"/>
                <w:szCs w:val="18"/>
              </w:rPr>
            </w:pPr>
          </w:p>
        </w:tc>
      </w:tr>
      <w:tr w:rsidR="00011DE9" w14:paraId="0FBA7D30" w14:textId="77777777">
        <w:trPr>
          <w:trHeight w:val="309"/>
          <w:jc w:val="center"/>
        </w:trPr>
        <w:tc>
          <w:tcPr>
            <w:tcW w:w="709" w:type="dxa"/>
            <w:shd w:val="clear" w:color="auto" w:fill="C6EFCE"/>
            <w:noWrap/>
          </w:tcPr>
          <w:p w14:paraId="486B9610" w14:textId="77777777" w:rsidR="00011DE9" w:rsidRDefault="00011DE9">
            <w:pPr>
              <w:pStyle w:val="P68B1DB1-Normal19"/>
              <w:spacing w:after="0" w:line="240" w:lineRule="auto"/>
              <w:jc w:val="center"/>
              <w:rPr>
                <w:noProof/>
              </w:rPr>
            </w:pPr>
            <w:r>
              <w:rPr>
                <w:noProof/>
              </w:rPr>
              <w:t>323</w:t>
            </w:r>
          </w:p>
        </w:tc>
        <w:tc>
          <w:tcPr>
            <w:tcW w:w="851" w:type="dxa"/>
            <w:shd w:val="clear" w:color="auto" w:fill="C6EFCE"/>
            <w:noWrap/>
          </w:tcPr>
          <w:p w14:paraId="6268C106" w14:textId="77777777" w:rsidR="00011DE9" w:rsidRDefault="00011DE9">
            <w:pPr>
              <w:pStyle w:val="P68B1DB1-Normal19"/>
              <w:spacing w:after="0" w:line="240" w:lineRule="auto"/>
              <w:jc w:val="center"/>
              <w:rPr>
                <w:noProof/>
              </w:rPr>
            </w:pPr>
            <w:r>
              <w:rPr>
                <w:noProof/>
              </w:rPr>
              <w:t>C22.I1</w:t>
            </w:r>
          </w:p>
        </w:tc>
        <w:tc>
          <w:tcPr>
            <w:tcW w:w="992" w:type="dxa"/>
            <w:shd w:val="clear" w:color="auto" w:fill="C6EFCE"/>
            <w:noWrap/>
          </w:tcPr>
          <w:p w14:paraId="67C1DB85" w14:textId="77777777" w:rsidR="00011DE9" w:rsidRDefault="00011DE9">
            <w:pPr>
              <w:pStyle w:val="P68B1DB1-Normal19"/>
              <w:spacing w:after="0" w:line="240" w:lineRule="auto"/>
              <w:jc w:val="center"/>
              <w:rPr>
                <w:noProof/>
              </w:rPr>
            </w:pPr>
            <w:r>
              <w:rPr>
                <w:noProof/>
              </w:rPr>
              <w:t>T</w:t>
            </w:r>
          </w:p>
        </w:tc>
        <w:tc>
          <w:tcPr>
            <w:tcW w:w="2688" w:type="dxa"/>
            <w:shd w:val="clear" w:color="auto" w:fill="C6EFCE"/>
            <w:noWrap/>
          </w:tcPr>
          <w:p w14:paraId="130F5D14" w14:textId="54E3B882" w:rsidR="00011DE9" w:rsidRDefault="00011DE9">
            <w:pPr>
              <w:pStyle w:val="P68B1DB1-Normal19"/>
              <w:spacing w:after="0" w:line="240" w:lineRule="auto"/>
              <w:rPr>
                <w:noProof/>
              </w:rPr>
            </w:pPr>
            <w:r>
              <w:rPr>
                <w:noProof/>
              </w:rPr>
              <w:t>Centre rezidențiale, nerezidențiale și de zi.</w:t>
            </w:r>
            <w:r w:rsidR="00971820">
              <w:rPr>
                <w:noProof/>
              </w:rPr>
              <w:t xml:space="preserve"> </w:t>
            </w:r>
          </w:p>
        </w:tc>
        <w:tc>
          <w:tcPr>
            <w:tcW w:w="1423" w:type="dxa"/>
            <w:shd w:val="clear" w:color="auto" w:fill="C6EFCE"/>
            <w:noWrap/>
          </w:tcPr>
          <w:p w14:paraId="4F7280FC" w14:textId="77777777" w:rsidR="00011DE9" w:rsidRDefault="00011DE9">
            <w:pPr>
              <w:pStyle w:val="P68B1DB1-Normal19"/>
              <w:spacing w:after="0" w:line="240" w:lineRule="auto"/>
              <w:jc w:val="center"/>
              <w:rPr>
                <w:rFonts w:eastAsia="Times New Roman"/>
                <w:noProof/>
              </w:rPr>
            </w:pPr>
            <w:r>
              <w:rPr>
                <w:noProof/>
              </w:rPr>
              <w:t xml:space="preserve"> </w:t>
            </w:r>
          </w:p>
        </w:tc>
        <w:tc>
          <w:tcPr>
            <w:tcW w:w="850" w:type="dxa"/>
            <w:shd w:val="clear" w:color="auto" w:fill="C6EFCE"/>
            <w:noWrap/>
          </w:tcPr>
          <w:p w14:paraId="76CB30A4" w14:textId="77777777" w:rsidR="00011DE9" w:rsidRDefault="00011DE9">
            <w:pPr>
              <w:pStyle w:val="P68B1DB1-Normal19"/>
              <w:spacing w:after="0" w:line="240" w:lineRule="auto"/>
              <w:jc w:val="center"/>
              <w:rPr>
                <w:noProof/>
              </w:rPr>
            </w:pPr>
            <w:r>
              <w:rPr>
                <w:noProof/>
              </w:rPr>
              <w:t>EUR (milioane)</w:t>
            </w:r>
          </w:p>
        </w:tc>
        <w:tc>
          <w:tcPr>
            <w:tcW w:w="851" w:type="dxa"/>
            <w:shd w:val="clear" w:color="auto" w:fill="C6EFCE"/>
            <w:noWrap/>
          </w:tcPr>
          <w:p w14:paraId="6C15EF66" w14:textId="77777777" w:rsidR="00011DE9" w:rsidRDefault="00011DE9">
            <w:pPr>
              <w:pStyle w:val="P68B1DB1-Normal19"/>
              <w:spacing w:after="0" w:line="240" w:lineRule="auto"/>
              <w:jc w:val="center"/>
              <w:rPr>
                <w:noProof/>
              </w:rPr>
            </w:pPr>
            <w:r>
              <w:rPr>
                <w:noProof/>
              </w:rPr>
              <w:t>0</w:t>
            </w:r>
          </w:p>
        </w:tc>
        <w:tc>
          <w:tcPr>
            <w:tcW w:w="709" w:type="dxa"/>
            <w:shd w:val="clear" w:color="auto" w:fill="C6EFCE"/>
            <w:noWrap/>
          </w:tcPr>
          <w:p w14:paraId="208E0495" w14:textId="77777777" w:rsidR="00011DE9" w:rsidRDefault="00011DE9">
            <w:pPr>
              <w:pStyle w:val="P68B1DB1-Normal19"/>
              <w:spacing w:after="0" w:line="240" w:lineRule="auto"/>
              <w:jc w:val="center"/>
              <w:rPr>
                <w:noProof/>
              </w:rPr>
            </w:pPr>
            <w:r>
              <w:rPr>
                <w:noProof/>
              </w:rPr>
              <w:t>1 355</w:t>
            </w:r>
          </w:p>
        </w:tc>
        <w:tc>
          <w:tcPr>
            <w:tcW w:w="567" w:type="dxa"/>
            <w:shd w:val="clear" w:color="auto" w:fill="C6EFCE"/>
            <w:noWrap/>
          </w:tcPr>
          <w:p w14:paraId="03528A98" w14:textId="4F735008" w:rsidR="00011DE9" w:rsidRDefault="005701C9">
            <w:pPr>
              <w:pStyle w:val="P68B1DB1-Normal19"/>
              <w:spacing w:after="0" w:line="240" w:lineRule="auto"/>
              <w:jc w:val="center"/>
              <w:rPr>
                <w:noProof/>
              </w:rPr>
            </w:pPr>
            <w:r>
              <w:rPr>
                <w:noProof/>
              </w:rPr>
              <w:t>T2</w:t>
            </w:r>
          </w:p>
        </w:tc>
        <w:tc>
          <w:tcPr>
            <w:tcW w:w="810" w:type="dxa"/>
            <w:shd w:val="clear" w:color="auto" w:fill="C6EFCE"/>
            <w:noWrap/>
          </w:tcPr>
          <w:p w14:paraId="109BA11E" w14:textId="77777777" w:rsidR="00011DE9" w:rsidRDefault="00011DE9">
            <w:pPr>
              <w:pStyle w:val="P68B1DB1-Normal19"/>
              <w:spacing w:after="0" w:line="240" w:lineRule="auto"/>
              <w:jc w:val="center"/>
              <w:rPr>
                <w:noProof/>
              </w:rPr>
            </w:pPr>
            <w:r>
              <w:rPr>
                <w:noProof/>
              </w:rPr>
              <w:t>2026</w:t>
            </w:r>
          </w:p>
        </w:tc>
        <w:tc>
          <w:tcPr>
            <w:tcW w:w="4860" w:type="dxa"/>
            <w:shd w:val="clear" w:color="auto" w:fill="C6EFCE"/>
            <w:noWrap/>
          </w:tcPr>
          <w:p w14:paraId="3D80C2B5" w14:textId="77777777" w:rsidR="00011DE9" w:rsidRDefault="00011DE9">
            <w:pPr>
              <w:pStyle w:val="P68B1DB1-Normal20"/>
              <w:spacing w:after="0" w:line="240" w:lineRule="auto"/>
              <w:rPr>
                <w:rFonts w:cs="Times New Roman"/>
                <w:noProof/>
              </w:rPr>
            </w:pPr>
            <w:r>
              <w:rPr>
                <w:noProof/>
              </w:rPr>
              <w:t>Entitățile beneficiare sau persoanele fizice au prezentat rapoarte finale care confirmă finalizarea activităților atribuite pentru granturi legate de construirea sau renovarea centrelor rezidențiale, nerezidențiale și de zi sau pentru confirmarea de către administrație a executării contractelor sau a unor părți ale acestora legate de construirea sau renovarea centrelor rezidențiale, nerezidențiale și de zi, pentru o sumă totală cumulată de 1 355 000 000 EUR sub formă de granturi și contracte atribuite (inclusiv eventualele modificări).</w:t>
            </w:r>
          </w:p>
        </w:tc>
      </w:tr>
      <w:tr w:rsidR="00011DE9" w14:paraId="75008840" w14:textId="77777777">
        <w:trPr>
          <w:trHeight w:val="309"/>
          <w:jc w:val="center"/>
        </w:trPr>
        <w:tc>
          <w:tcPr>
            <w:tcW w:w="709" w:type="dxa"/>
            <w:shd w:val="clear" w:color="auto" w:fill="C6EFCE"/>
            <w:noWrap/>
          </w:tcPr>
          <w:p w14:paraId="00614F57" w14:textId="77777777" w:rsidR="00011DE9" w:rsidRDefault="00011DE9">
            <w:pPr>
              <w:pStyle w:val="P68B1DB1-Normal19"/>
              <w:spacing w:after="0" w:line="240" w:lineRule="auto"/>
              <w:jc w:val="center"/>
              <w:rPr>
                <w:rFonts w:eastAsia="Times New Roman"/>
                <w:noProof/>
              </w:rPr>
            </w:pPr>
            <w:r>
              <w:rPr>
                <w:noProof/>
              </w:rPr>
              <w:t>324</w:t>
            </w:r>
          </w:p>
        </w:tc>
        <w:tc>
          <w:tcPr>
            <w:tcW w:w="851" w:type="dxa"/>
            <w:shd w:val="clear" w:color="auto" w:fill="C6EFCE"/>
            <w:noWrap/>
          </w:tcPr>
          <w:p w14:paraId="302D7939" w14:textId="77777777" w:rsidR="00011DE9" w:rsidRDefault="00011DE9">
            <w:pPr>
              <w:pStyle w:val="P68B1DB1-Normal19"/>
              <w:spacing w:after="0" w:line="240" w:lineRule="auto"/>
              <w:jc w:val="center"/>
              <w:rPr>
                <w:rFonts w:eastAsia="Times New Roman"/>
                <w:noProof/>
              </w:rPr>
            </w:pPr>
            <w:r>
              <w:rPr>
                <w:noProof/>
              </w:rPr>
              <w:t>C22.I2</w:t>
            </w:r>
          </w:p>
        </w:tc>
        <w:tc>
          <w:tcPr>
            <w:tcW w:w="992" w:type="dxa"/>
            <w:shd w:val="clear" w:color="auto" w:fill="C6EFCE"/>
            <w:noWrap/>
          </w:tcPr>
          <w:p w14:paraId="5B905786" w14:textId="77777777" w:rsidR="00011DE9" w:rsidRDefault="00011DE9">
            <w:pPr>
              <w:pStyle w:val="P68B1DB1-Normal19"/>
              <w:spacing w:after="0" w:line="240" w:lineRule="auto"/>
              <w:jc w:val="center"/>
              <w:rPr>
                <w:rFonts w:eastAsia="Times New Roman"/>
                <w:noProof/>
              </w:rPr>
            </w:pPr>
            <w:r>
              <w:rPr>
                <w:noProof/>
              </w:rPr>
              <w:t>M</w:t>
            </w:r>
          </w:p>
        </w:tc>
        <w:tc>
          <w:tcPr>
            <w:tcW w:w="2688" w:type="dxa"/>
            <w:shd w:val="clear" w:color="auto" w:fill="C6EFCE"/>
            <w:noWrap/>
          </w:tcPr>
          <w:p w14:paraId="4B7A9369" w14:textId="77777777" w:rsidR="00011DE9" w:rsidRDefault="00011DE9">
            <w:pPr>
              <w:pStyle w:val="P68B1DB1-Normal19"/>
              <w:spacing w:after="0" w:line="240" w:lineRule="auto"/>
              <w:rPr>
                <w:rFonts w:eastAsia="Times New Roman"/>
                <w:noProof/>
              </w:rPr>
            </w:pPr>
            <w:r>
              <w:rPr>
                <w:noProof/>
              </w:rPr>
              <w:t>Crearea de instrumente tehnologice pentru sistemele de informare și gestionare a serviciilor sociale.</w:t>
            </w:r>
          </w:p>
        </w:tc>
        <w:tc>
          <w:tcPr>
            <w:tcW w:w="1423" w:type="dxa"/>
            <w:shd w:val="clear" w:color="auto" w:fill="C6EFCE"/>
            <w:noWrap/>
          </w:tcPr>
          <w:p w14:paraId="3875F3EB" w14:textId="77777777" w:rsidR="00011DE9" w:rsidRDefault="00011DE9">
            <w:pPr>
              <w:pStyle w:val="P68B1DB1-Normal19"/>
              <w:spacing w:after="0" w:line="240" w:lineRule="auto"/>
              <w:jc w:val="center"/>
              <w:rPr>
                <w:rFonts w:eastAsia="Times New Roman"/>
                <w:noProof/>
              </w:rPr>
            </w:pPr>
            <w:r>
              <w:rPr>
                <w:noProof/>
              </w:rPr>
              <w:t>Certificate de acceptare, declarații de conformitate sau alte documente echivalente care atestă executarea contractelor.</w:t>
            </w:r>
          </w:p>
        </w:tc>
        <w:tc>
          <w:tcPr>
            <w:tcW w:w="850" w:type="dxa"/>
            <w:shd w:val="clear" w:color="auto" w:fill="C6EFCE"/>
            <w:noWrap/>
          </w:tcPr>
          <w:p w14:paraId="201B50DF" w14:textId="77777777" w:rsidR="00011DE9" w:rsidRDefault="00011DE9">
            <w:pPr>
              <w:pStyle w:val="P68B1DB1-Normal19"/>
              <w:spacing w:after="0" w:line="240" w:lineRule="auto"/>
              <w:jc w:val="center"/>
              <w:rPr>
                <w:rFonts w:eastAsia="Times New Roman"/>
                <w:noProof/>
              </w:rPr>
            </w:pPr>
            <w:r>
              <w:rPr>
                <w:noProof/>
              </w:rPr>
              <w:t xml:space="preserve"> </w:t>
            </w:r>
          </w:p>
        </w:tc>
        <w:tc>
          <w:tcPr>
            <w:tcW w:w="851" w:type="dxa"/>
            <w:shd w:val="clear" w:color="auto" w:fill="C6EFCE"/>
            <w:noWrap/>
          </w:tcPr>
          <w:p w14:paraId="52FA2DF6"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62C223FC" w14:textId="77777777" w:rsidR="00011DE9" w:rsidRDefault="00011DE9">
            <w:pPr>
              <w:pStyle w:val="P68B1DB1-Normal19"/>
              <w:spacing w:after="0" w:line="240" w:lineRule="auto"/>
              <w:jc w:val="right"/>
              <w:rPr>
                <w:rFonts w:eastAsia="Times New Roman"/>
                <w:noProof/>
              </w:rPr>
            </w:pPr>
            <w:r>
              <w:rPr>
                <w:noProof/>
              </w:rPr>
              <w:t xml:space="preserve"> </w:t>
            </w:r>
          </w:p>
        </w:tc>
        <w:tc>
          <w:tcPr>
            <w:tcW w:w="567" w:type="dxa"/>
            <w:shd w:val="clear" w:color="auto" w:fill="C6EFCE"/>
            <w:noWrap/>
          </w:tcPr>
          <w:p w14:paraId="4CEB70C9" w14:textId="12C9A29A" w:rsidR="00011DE9" w:rsidRDefault="005701C9">
            <w:pPr>
              <w:pStyle w:val="P68B1DB1-Normal19"/>
              <w:spacing w:after="0" w:line="240" w:lineRule="auto"/>
              <w:jc w:val="center"/>
              <w:rPr>
                <w:rFonts w:eastAsia="Times New Roman"/>
                <w:noProof/>
              </w:rPr>
            </w:pPr>
            <w:r>
              <w:rPr>
                <w:noProof/>
              </w:rPr>
              <w:t>T4</w:t>
            </w:r>
            <w:r w:rsidR="00011DE9">
              <w:rPr>
                <w:noProof/>
              </w:rPr>
              <w:t xml:space="preserve"> </w:t>
            </w:r>
          </w:p>
        </w:tc>
        <w:tc>
          <w:tcPr>
            <w:tcW w:w="810" w:type="dxa"/>
            <w:shd w:val="clear" w:color="auto" w:fill="C6EFCE"/>
            <w:noWrap/>
          </w:tcPr>
          <w:p w14:paraId="7F529A9E" w14:textId="77777777" w:rsidR="00011DE9" w:rsidRDefault="00011DE9">
            <w:pPr>
              <w:pStyle w:val="P68B1DB1-Normal19"/>
              <w:spacing w:after="0" w:line="240" w:lineRule="auto"/>
              <w:jc w:val="center"/>
              <w:rPr>
                <w:rFonts w:eastAsia="Times New Roman"/>
                <w:noProof/>
              </w:rPr>
            </w:pPr>
            <w:r>
              <w:rPr>
                <w:noProof/>
              </w:rPr>
              <w:t>2025</w:t>
            </w:r>
          </w:p>
        </w:tc>
        <w:tc>
          <w:tcPr>
            <w:tcW w:w="4860" w:type="dxa"/>
            <w:shd w:val="clear" w:color="auto" w:fill="C6EFCE"/>
            <w:noWrap/>
          </w:tcPr>
          <w:p w14:paraId="1F02AA2B" w14:textId="77777777" w:rsidR="00011DE9" w:rsidRDefault="00011DE9">
            <w:pPr>
              <w:pStyle w:val="P68B1DB1-Normal19"/>
              <w:spacing w:after="0" w:line="240" w:lineRule="auto"/>
              <w:rPr>
                <w:noProof/>
              </w:rPr>
            </w:pPr>
            <w:r>
              <w:rPr>
                <w:noProof/>
              </w:rPr>
              <w:t xml:space="preserve">Confirmarea de către administrație a executării contractelor, pentru instituirea următoarelor instrumente tehnologice: </w:t>
            </w:r>
          </w:p>
          <w:p w14:paraId="4446F662" w14:textId="77777777" w:rsidR="00011DE9" w:rsidRDefault="00011DE9">
            <w:pPr>
              <w:pStyle w:val="P68B1DB1-ListParagraph43"/>
              <w:numPr>
                <w:ilvl w:val="0"/>
                <w:numId w:val="158"/>
              </w:numPr>
              <w:spacing w:after="0" w:line="240" w:lineRule="auto"/>
              <w:rPr>
                <w:rFonts w:cs="Times New Roman"/>
                <w:noProof/>
                <w:szCs w:val="18"/>
              </w:rPr>
            </w:pPr>
            <w:r>
              <w:rPr>
                <w:noProof/>
              </w:rPr>
              <w:t xml:space="preserve">Sistemul de informații de stat al serviciilor sociale (SIESS) și instrumentele telematice ale Sistemului de informații de stat pentru gestionarea serviciilor sociale (SEGISS); </w:t>
            </w:r>
          </w:p>
          <w:p w14:paraId="7166E15E" w14:textId="77777777" w:rsidR="00011DE9" w:rsidRDefault="00011DE9">
            <w:pPr>
              <w:pStyle w:val="P68B1DB1-ListParagraph43"/>
              <w:numPr>
                <w:ilvl w:val="0"/>
                <w:numId w:val="158"/>
              </w:numPr>
              <w:spacing w:after="0" w:line="240" w:lineRule="auto"/>
              <w:rPr>
                <w:rFonts w:cs="Times New Roman"/>
                <w:noProof/>
                <w:szCs w:val="18"/>
              </w:rPr>
            </w:pPr>
            <w:r>
              <w:rPr>
                <w:noProof/>
              </w:rPr>
              <w:t xml:space="preserve">Un instrument telematic pentru analiza proiectelor desfășurate de entități din sectorul terțiar; </w:t>
            </w:r>
          </w:p>
          <w:p w14:paraId="12E0D633" w14:textId="77777777" w:rsidR="00011DE9" w:rsidRDefault="00011DE9">
            <w:pPr>
              <w:pStyle w:val="P68B1DB1-ListParagraph44"/>
              <w:numPr>
                <w:ilvl w:val="0"/>
                <w:numId w:val="158"/>
              </w:numPr>
              <w:spacing w:after="0" w:line="240" w:lineRule="auto"/>
              <w:rPr>
                <w:rFonts w:cs="Times New Roman"/>
                <w:noProof/>
              </w:rPr>
            </w:pPr>
            <w:r>
              <w:rPr>
                <w:noProof/>
              </w:rPr>
              <w:t xml:space="preserve">Instrumente telematice pentru gestionarea creditelor și pentru acțiuni în copilărie și adolescență; și </w:t>
            </w:r>
          </w:p>
          <w:p w14:paraId="56863087" w14:textId="77777777" w:rsidR="00011DE9" w:rsidRDefault="00011DE9">
            <w:pPr>
              <w:pStyle w:val="P68B1DB1-ListParagraph43"/>
              <w:numPr>
                <w:ilvl w:val="0"/>
                <w:numId w:val="158"/>
              </w:numPr>
              <w:spacing w:after="0" w:line="240" w:lineRule="auto"/>
              <w:rPr>
                <w:rFonts w:cs="Times New Roman"/>
                <w:noProof/>
                <w:szCs w:val="18"/>
              </w:rPr>
            </w:pPr>
            <w:r>
              <w:rPr>
                <w:noProof/>
              </w:rPr>
              <w:t>O platformă online: serviciu de portal web pentru harta serviciilor de îngrijire.</w:t>
            </w:r>
            <w:r>
              <w:rPr>
                <w:noProof/>
                <w:shd w:val="clear" w:color="auto" w:fill="E6E6E6"/>
              </w:rPr>
              <w:t xml:space="preserve"> </w:t>
            </w:r>
          </w:p>
        </w:tc>
      </w:tr>
      <w:tr w:rsidR="00011DE9" w14:paraId="1B7DD13C" w14:textId="77777777">
        <w:trPr>
          <w:trHeight w:val="309"/>
          <w:jc w:val="center"/>
        </w:trPr>
        <w:tc>
          <w:tcPr>
            <w:tcW w:w="709" w:type="dxa"/>
            <w:shd w:val="clear" w:color="auto" w:fill="C6EFCE"/>
            <w:noWrap/>
          </w:tcPr>
          <w:p w14:paraId="3077FDF4" w14:textId="77777777" w:rsidR="00011DE9" w:rsidRDefault="00011DE9">
            <w:pPr>
              <w:pStyle w:val="P68B1DB1-Normal19"/>
              <w:spacing w:after="0" w:line="240" w:lineRule="auto"/>
              <w:jc w:val="center"/>
              <w:rPr>
                <w:rFonts w:eastAsia="Times New Roman"/>
                <w:noProof/>
              </w:rPr>
            </w:pPr>
            <w:r>
              <w:rPr>
                <w:noProof/>
              </w:rPr>
              <w:t>325</w:t>
            </w:r>
          </w:p>
        </w:tc>
        <w:tc>
          <w:tcPr>
            <w:tcW w:w="851" w:type="dxa"/>
            <w:shd w:val="clear" w:color="auto" w:fill="C6EFCE"/>
            <w:noWrap/>
          </w:tcPr>
          <w:p w14:paraId="0656597A" w14:textId="77777777" w:rsidR="00011DE9" w:rsidRDefault="00011DE9">
            <w:pPr>
              <w:pStyle w:val="P68B1DB1-Normal19"/>
              <w:spacing w:after="0" w:line="240" w:lineRule="auto"/>
              <w:jc w:val="center"/>
              <w:rPr>
                <w:rFonts w:eastAsia="Times New Roman"/>
                <w:noProof/>
              </w:rPr>
            </w:pPr>
            <w:r>
              <w:rPr>
                <w:noProof/>
              </w:rPr>
              <w:t>C22.I2</w:t>
            </w:r>
          </w:p>
        </w:tc>
        <w:tc>
          <w:tcPr>
            <w:tcW w:w="992" w:type="dxa"/>
            <w:shd w:val="clear" w:color="auto" w:fill="C6EFCE"/>
            <w:noWrap/>
          </w:tcPr>
          <w:p w14:paraId="39B35D03" w14:textId="77777777" w:rsidR="00011DE9" w:rsidRDefault="00011DE9">
            <w:pPr>
              <w:pStyle w:val="P68B1DB1-Normal19"/>
              <w:spacing w:after="0" w:line="240" w:lineRule="auto"/>
              <w:jc w:val="center"/>
              <w:rPr>
                <w:rFonts w:eastAsia="Times New Roman"/>
                <w:noProof/>
              </w:rPr>
            </w:pPr>
            <w:r>
              <w:rPr>
                <w:noProof/>
              </w:rPr>
              <w:t>T</w:t>
            </w:r>
          </w:p>
        </w:tc>
        <w:tc>
          <w:tcPr>
            <w:tcW w:w="2688" w:type="dxa"/>
            <w:shd w:val="clear" w:color="auto" w:fill="C6EFCE"/>
            <w:noWrap/>
          </w:tcPr>
          <w:p w14:paraId="3103FEB4" w14:textId="77777777" w:rsidR="00011DE9" w:rsidRDefault="00011DE9">
            <w:pPr>
              <w:pStyle w:val="P68B1DB1-Normal19"/>
              <w:spacing w:after="0" w:line="240" w:lineRule="auto"/>
              <w:rPr>
                <w:rFonts w:eastAsia="Times New Roman"/>
                <w:noProof/>
              </w:rPr>
            </w:pPr>
            <w:r>
              <w:rPr>
                <w:noProof/>
              </w:rPr>
              <w:t xml:space="preserve">Investiții ale regiunilor pentru transformarea tehnologică și inovarea serviciilor sociale, precum și pentru modernizarea infrastructurii și a serviciilor asociate îngrijirii copiilor și adolescenților </w:t>
            </w:r>
          </w:p>
        </w:tc>
        <w:tc>
          <w:tcPr>
            <w:tcW w:w="1423" w:type="dxa"/>
            <w:shd w:val="clear" w:color="auto" w:fill="C6EFCE"/>
            <w:noWrap/>
          </w:tcPr>
          <w:p w14:paraId="014F053A" w14:textId="77777777" w:rsidR="00011DE9" w:rsidRDefault="00011DE9">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F8840A3" w14:textId="77777777" w:rsidR="00011DE9" w:rsidRDefault="00011DE9">
            <w:pPr>
              <w:pStyle w:val="P68B1DB1-Normal19"/>
              <w:spacing w:after="0" w:line="240" w:lineRule="auto"/>
              <w:jc w:val="center"/>
              <w:rPr>
                <w:rFonts w:eastAsia="Times New Roman"/>
                <w:noProof/>
              </w:rPr>
            </w:pPr>
            <w:r>
              <w:rPr>
                <w:noProof/>
              </w:rPr>
              <w:t>EUR (milioane)</w:t>
            </w:r>
          </w:p>
        </w:tc>
        <w:tc>
          <w:tcPr>
            <w:tcW w:w="851" w:type="dxa"/>
            <w:shd w:val="clear" w:color="auto" w:fill="C6EFCE"/>
            <w:noWrap/>
          </w:tcPr>
          <w:p w14:paraId="39247A65" w14:textId="77777777" w:rsidR="00011DE9" w:rsidRDefault="00011DE9">
            <w:pPr>
              <w:pStyle w:val="P68B1DB1-Normal19"/>
              <w:spacing w:after="0" w:line="240" w:lineRule="auto"/>
              <w:jc w:val="center"/>
              <w:rPr>
                <w:rFonts w:eastAsia="Times New Roman"/>
                <w:noProof/>
              </w:rPr>
            </w:pPr>
            <w:r>
              <w:rPr>
                <w:noProof/>
              </w:rPr>
              <w:t>0</w:t>
            </w:r>
          </w:p>
        </w:tc>
        <w:tc>
          <w:tcPr>
            <w:tcW w:w="709" w:type="dxa"/>
            <w:shd w:val="clear" w:color="auto" w:fill="C6EFCE"/>
            <w:noWrap/>
          </w:tcPr>
          <w:p w14:paraId="47783714" w14:textId="77777777" w:rsidR="00011DE9" w:rsidRDefault="00011DE9">
            <w:pPr>
              <w:pStyle w:val="P68B1DB1-Normal22"/>
              <w:spacing w:after="0" w:line="240" w:lineRule="auto"/>
              <w:jc w:val="center"/>
              <w:rPr>
                <w:noProof/>
              </w:rPr>
            </w:pPr>
            <w:r>
              <w:rPr>
                <w:noProof/>
              </w:rPr>
              <w:t>450</w:t>
            </w:r>
          </w:p>
        </w:tc>
        <w:tc>
          <w:tcPr>
            <w:tcW w:w="567" w:type="dxa"/>
            <w:shd w:val="clear" w:color="auto" w:fill="C6EFCE"/>
            <w:noWrap/>
          </w:tcPr>
          <w:p w14:paraId="69E5D18E" w14:textId="372D0E00" w:rsidR="00011DE9" w:rsidRDefault="005701C9">
            <w:pPr>
              <w:pStyle w:val="P68B1DB1-Normal19"/>
              <w:spacing w:after="0" w:line="240" w:lineRule="auto"/>
              <w:jc w:val="center"/>
              <w:rPr>
                <w:rFonts w:eastAsia="Times New Roman"/>
                <w:noProof/>
              </w:rPr>
            </w:pPr>
            <w:r>
              <w:rPr>
                <w:noProof/>
              </w:rPr>
              <w:t>T2</w:t>
            </w:r>
          </w:p>
        </w:tc>
        <w:tc>
          <w:tcPr>
            <w:tcW w:w="810" w:type="dxa"/>
            <w:shd w:val="clear" w:color="auto" w:fill="C6EFCE"/>
            <w:noWrap/>
          </w:tcPr>
          <w:p w14:paraId="30A525E1" w14:textId="77777777" w:rsidR="00011DE9" w:rsidRDefault="00011DE9">
            <w:pPr>
              <w:pStyle w:val="P68B1DB1-Normal19"/>
              <w:spacing w:after="0" w:line="240" w:lineRule="auto"/>
              <w:jc w:val="center"/>
              <w:rPr>
                <w:noProof/>
              </w:rPr>
            </w:pPr>
            <w:r>
              <w:rPr>
                <w:noProof/>
              </w:rPr>
              <w:t>2026</w:t>
            </w:r>
          </w:p>
        </w:tc>
        <w:tc>
          <w:tcPr>
            <w:tcW w:w="4860" w:type="dxa"/>
            <w:shd w:val="clear" w:color="auto" w:fill="C6EFCE"/>
            <w:noWrap/>
          </w:tcPr>
          <w:p w14:paraId="4AAAF4CA" w14:textId="77777777" w:rsidR="00011DE9" w:rsidRDefault="00011DE9">
            <w:pPr>
              <w:pStyle w:val="P68B1DB1-Normal19"/>
              <w:spacing w:after="0" w:line="240" w:lineRule="auto"/>
              <w:rPr>
                <w:rFonts w:eastAsia="Times New Roman"/>
                <w:noProof/>
              </w:rPr>
            </w:pPr>
            <w:r>
              <w:rPr>
                <w:noProof/>
              </w:rPr>
              <w:t>Entitățile beneficiare sau persoanele fizice au prezentat rapoarte finale care confirmă finalizarea activităților atribuite pentru granturi legate de i) transformarea tehnologică, ii) inovarea serviciilor sociale și iii) modernizarea infrastructurii și a serviciilor asociate îngrijirii copiilor și adolescenților sau confirmarea de către administrație a faptului că au fost executate contracte sau părți ale acestora legate de i) transformarea tehnologică, ii) inovarea serviciilor sociale și iii) modernizarea infrastructurii și a serviciilor asociate îngrijirii copiilor și adolescenților, pentru o sumă cumulată de 450 000 000 EUR în granturi și contracte atribuite (inclusiv eventualele modificări).</w:t>
            </w:r>
          </w:p>
        </w:tc>
      </w:tr>
      <w:tr w:rsidR="00011DE9" w14:paraId="60DC0214" w14:textId="77777777">
        <w:trPr>
          <w:trHeight w:val="309"/>
          <w:jc w:val="center"/>
        </w:trPr>
        <w:tc>
          <w:tcPr>
            <w:tcW w:w="709" w:type="dxa"/>
            <w:shd w:val="clear" w:color="auto" w:fill="C6EFCE"/>
            <w:noWrap/>
          </w:tcPr>
          <w:p w14:paraId="44D0BB32" w14:textId="77777777" w:rsidR="00011DE9" w:rsidRDefault="00011DE9">
            <w:pPr>
              <w:pStyle w:val="P68B1DB1-Normal19"/>
              <w:spacing w:after="0" w:line="240" w:lineRule="auto"/>
              <w:jc w:val="center"/>
              <w:rPr>
                <w:noProof/>
              </w:rPr>
            </w:pPr>
            <w:r>
              <w:rPr>
                <w:noProof/>
              </w:rPr>
              <w:t>471</w:t>
            </w:r>
          </w:p>
        </w:tc>
        <w:tc>
          <w:tcPr>
            <w:tcW w:w="851" w:type="dxa"/>
            <w:shd w:val="clear" w:color="auto" w:fill="C6EFCE"/>
            <w:noWrap/>
          </w:tcPr>
          <w:p w14:paraId="16AA432F" w14:textId="77777777" w:rsidR="00011DE9" w:rsidRDefault="00011DE9">
            <w:pPr>
              <w:pStyle w:val="P68B1DB1-Normal19"/>
              <w:spacing w:after="0" w:line="240" w:lineRule="auto"/>
              <w:jc w:val="center"/>
              <w:rPr>
                <w:noProof/>
              </w:rPr>
            </w:pPr>
            <w:r>
              <w:rPr>
                <w:noProof/>
              </w:rPr>
              <w:t>C22.I2</w:t>
            </w:r>
          </w:p>
        </w:tc>
        <w:tc>
          <w:tcPr>
            <w:tcW w:w="992" w:type="dxa"/>
            <w:shd w:val="clear" w:color="auto" w:fill="C6EFCE"/>
            <w:noWrap/>
          </w:tcPr>
          <w:p w14:paraId="1CE029A2" w14:textId="77777777" w:rsidR="00011DE9" w:rsidRDefault="00011DE9">
            <w:pPr>
              <w:pStyle w:val="P68B1DB1-Normal19"/>
              <w:spacing w:after="0" w:line="240" w:lineRule="auto"/>
              <w:jc w:val="center"/>
              <w:rPr>
                <w:noProof/>
              </w:rPr>
            </w:pPr>
            <w:r>
              <w:rPr>
                <w:noProof/>
              </w:rPr>
              <w:t>T</w:t>
            </w:r>
          </w:p>
        </w:tc>
        <w:tc>
          <w:tcPr>
            <w:tcW w:w="2688" w:type="dxa"/>
            <w:shd w:val="clear" w:color="auto" w:fill="C6EFCE"/>
            <w:noWrap/>
          </w:tcPr>
          <w:p w14:paraId="5EA9F13C" w14:textId="77777777" w:rsidR="00011DE9" w:rsidRDefault="00011DE9">
            <w:pPr>
              <w:pStyle w:val="P68B1DB1-Normal19"/>
              <w:spacing w:after="0" w:line="240" w:lineRule="auto"/>
              <w:rPr>
                <w:noProof/>
              </w:rPr>
            </w:pPr>
            <w:r>
              <w:rPr>
                <w:noProof/>
              </w:rPr>
              <w:t>Proiecte-pilot de promovare a inovării în domeniul serviciilor sociale</w:t>
            </w:r>
          </w:p>
        </w:tc>
        <w:tc>
          <w:tcPr>
            <w:tcW w:w="1423" w:type="dxa"/>
            <w:shd w:val="clear" w:color="auto" w:fill="C6EFCE"/>
            <w:noWrap/>
          </w:tcPr>
          <w:p w14:paraId="38986C48" w14:textId="77777777" w:rsidR="00011DE9" w:rsidRDefault="00011DE9">
            <w:pPr>
              <w:spacing w:after="0" w:line="240" w:lineRule="auto"/>
              <w:jc w:val="center"/>
              <w:rPr>
                <w:rFonts w:ascii="Times New Roman" w:hAnsi="Times New Roman" w:cs="Times New Roman"/>
                <w:noProof/>
                <w:sz w:val="18"/>
                <w:szCs w:val="18"/>
              </w:rPr>
            </w:pPr>
          </w:p>
        </w:tc>
        <w:tc>
          <w:tcPr>
            <w:tcW w:w="850" w:type="dxa"/>
            <w:shd w:val="clear" w:color="auto" w:fill="C6EFCE"/>
            <w:noWrap/>
          </w:tcPr>
          <w:p w14:paraId="4A7EC5B2" w14:textId="77777777" w:rsidR="00011DE9" w:rsidRDefault="00011DE9">
            <w:pPr>
              <w:pStyle w:val="P68B1DB1-Normal19"/>
              <w:spacing w:after="0" w:line="240" w:lineRule="auto"/>
              <w:jc w:val="center"/>
              <w:rPr>
                <w:noProof/>
              </w:rPr>
            </w:pPr>
            <w:r>
              <w:rPr>
                <w:noProof/>
              </w:rPr>
              <w:t>Număr</w:t>
            </w:r>
          </w:p>
        </w:tc>
        <w:tc>
          <w:tcPr>
            <w:tcW w:w="851" w:type="dxa"/>
            <w:shd w:val="clear" w:color="auto" w:fill="C6EFCE"/>
            <w:noWrap/>
          </w:tcPr>
          <w:p w14:paraId="7C7318B3" w14:textId="77777777" w:rsidR="00011DE9" w:rsidRDefault="00011DE9">
            <w:pPr>
              <w:pStyle w:val="P68B1DB1-Normal19"/>
              <w:spacing w:after="0" w:line="240" w:lineRule="auto"/>
              <w:jc w:val="center"/>
              <w:rPr>
                <w:noProof/>
              </w:rPr>
            </w:pPr>
            <w:r>
              <w:rPr>
                <w:noProof/>
              </w:rPr>
              <w:t>0</w:t>
            </w:r>
          </w:p>
        </w:tc>
        <w:tc>
          <w:tcPr>
            <w:tcW w:w="709" w:type="dxa"/>
            <w:shd w:val="clear" w:color="auto" w:fill="C6EFCE"/>
            <w:noWrap/>
          </w:tcPr>
          <w:p w14:paraId="66877F77" w14:textId="77777777" w:rsidR="00011DE9" w:rsidRDefault="00011DE9">
            <w:pPr>
              <w:pStyle w:val="P68B1DB1-Normal19"/>
              <w:spacing w:after="0" w:line="240" w:lineRule="auto"/>
              <w:jc w:val="center"/>
              <w:rPr>
                <w:noProof/>
              </w:rPr>
            </w:pPr>
            <w:r>
              <w:rPr>
                <w:noProof/>
              </w:rPr>
              <w:t>19</w:t>
            </w:r>
          </w:p>
        </w:tc>
        <w:tc>
          <w:tcPr>
            <w:tcW w:w="567" w:type="dxa"/>
            <w:shd w:val="clear" w:color="auto" w:fill="C6EFCE"/>
            <w:noWrap/>
          </w:tcPr>
          <w:p w14:paraId="7731DC8E" w14:textId="5F1CF8C4" w:rsidR="00011DE9" w:rsidRDefault="005701C9">
            <w:pPr>
              <w:pStyle w:val="P68B1DB1-Normal19"/>
              <w:spacing w:after="0" w:line="240" w:lineRule="auto"/>
              <w:jc w:val="center"/>
              <w:rPr>
                <w:noProof/>
              </w:rPr>
            </w:pPr>
            <w:r>
              <w:rPr>
                <w:noProof/>
              </w:rPr>
              <w:t>T2</w:t>
            </w:r>
          </w:p>
        </w:tc>
        <w:tc>
          <w:tcPr>
            <w:tcW w:w="810" w:type="dxa"/>
            <w:shd w:val="clear" w:color="auto" w:fill="C6EFCE"/>
            <w:noWrap/>
          </w:tcPr>
          <w:p w14:paraId="4EE73C1B" w14:textId="77777777" w:rsidR="00011DE9" w:rsidRDefault="00011DE9">
            <w:pPr>
              <w:pStyle w:val="P68B1DB1-Normal19"/>
              <w:spacing w:after="0" w:line="240" w:lineRule="auto"/>
              <w:jc w:val="center"/>
              <w:rPr>
                <w:noProof/>
              </w:rPr>
            </w:pPr>
            <w:r>
              <w:rPr>
                <w:noProof/>
              </w:rPr>
              <w:t>2026</w:t>
            </w:r>
          </w:p>
        </w:tc>
        <w:tc>
          <w:tcPr>
            <w:tcW w:w="4860" w:type="dxa"/>
            <w:shd w:val="clear" w:color="auto" w:fill="C6EFCE"/>
            <w:noWrap/>
          </w:tcPr>
          <w:p w14:paraId="17F9AFDA" w14:textId="77777777" w:rsidR="00011DE9" w:rsidRDefault="00011DE9">
            <w:pPr>
              <w:pStyle w:val="P68B1DB1-Normal20"/>
              <w:spacing w:after="0" w:line="240" w:lineRule="auto"/>
              <w:rPr>
                <w:rFonts w:cs="Times New Roman"/>
                <w:noProof/>
              </w:rPr>
            </w:pPr>
            <w:r>
              <w:rPr>
                <w:noProof/>
              </w:rPr>
              <w:t>19 entitățile sau persoanele beneficiare prezintă rapoarte finale care confirmă finalizarea activităților atribuite pentru granturi legate de proiecte-pilot de promovare a inovării în domeniul serviciilor sociale.</w:t>
            </w:r>
          </w:p>
        </w:tc>
      </w:tr>
      <w:tr w:rsidR="00011DE9" w14:paraId="1D09D6D5" w14:textId="77777777">
        <w:trPr>
          <w:trHeight w:val="309"/>
          <w:jc w:val="center"/>
        </w:trPr>
        <w:tc>
          <w:tcPr>
            <w:tcW w:w="709" w:type="dxa"/>
            <w:shd w:val="clear" w:color="auto" w:fill="C6EFCE"/>
            <w:noWrap/>
          </w:tcPr>
          <w:p w14:paraId="7348A8D5" w14:textId="77777777" w:rsidR="00011DE9" w:rsidRDefault="00011DE9">
            <w:pPr>
              <w:pStyle w:val="P68B1DB1-Normal19"/>
              <w:spacing w:after="0" w:line="240" w:lineRule="auto"/>
              <w:jc w:val="center"/>
              <w:rPr>
                <w:noProof/>
              </w:rPr>
            </w:pPr>
            <w:r>
              <w:rPr>
                <w:noProof/>
              </w:rPr>
              <w:t>326</w:t>
            </w:r>
          </w:p>
        </w:tc>
        <w:tc>
          <w:tcPr>
            <w:tcW w:w="851" w:type="dxa"/>
            <w:shd w:val="clear" w:color="auto" w:fill="C6EFCE"/>
            <w:noWrap/>
          </w:tcPr>
          <w:p w14:paraId="4581DEFA" w14:textId="77777777" w:rsidR="00011DE9" w:rsidRDefault="00011DE9">
            <w:pPr>
              <w:pStyle w:val="P68B1DB1-Normal19"/>
              <w:spacing w:after="0" w:line="240" w:lineRule="auto"/>
              <w:jc w:val="center"/>
              <w:rPr>
                <w:noProof/>
              </w:rPr>
            </w:pPr>
            <w:r>
              <w:rPr>
                <w:noProof/>
              </w:rPr>
              <w:t>C22.I3</w:t>
            </w:r>
          </w:p>
        </w:tc>
        <w:tc>
          <w:tcPr>
            <w:tcW w:w="992" w:type="dxa"/>
            <w:shd w:val="clear" w:color="auto" w:fill="C6EFCE"/>
            <w:noWrap/>
          </w:tcPr>
          <w:p w14:paraId="2253F05E" w14:textId="77777777" w:rsidR="00011DE9" w:rsidRDefault="00011DE9">
            <w:pPr>
              <w:pStyle w:val="P68B1DB1-Normal19"/>
              <w:spacing w:after="0" w:line="240" w:lineRule="auto"/>
              <w:jc w:val="center"/>
              <w:rPr>
                <w:noProof/>
              </w:rPr>
            </w:pPr>
            <w:r>
              <w:rPr>
                <w:noProof/>
              </w:rPr>
              <w:t>T</w:t>
            </w:r>
          </w:p>
        </w:tc>
        <w:tc>
          <w:tcPr>
            <w:tcW w:w="2688" w:type="dxa"/>
            <w:shd w:val="clear" w:color="auto" w:fill="C6EFCE"/>
            <w:noWrap/>
          </w:tcPr>
          <w:p w14:paraId="09390DEF" w14:textId="77777777" w:rsidR="00011DE9" w:rsidRDefault="00011DE9">
            <w:pPr>
              <w:pStyle w:val="P68B1DB1-Normal19"/>
              <w:spacing w:after="0" w:line="240" w:lineRule="auto"/>
              <w:rPr>
                <w:noProof/>
              </w:rPr>
            </w:pPr>
            <w:r>
              <w:rPr>
                <w:noProof/>
              </w:rPr>
              <w:t>Investiții în accesibilitate</w:t>
            </w:r>
          </w:p>
        </w:tc>
        <w:tc>
          <w:tcPr>
            <w:tcW w:w="1423" w:type="dxa"/>
            <w:shd w:val="clear" w:color="auto" w:fill="C6EFCE"/>
            <w:noWrap/>
          </w:tcPr>
          <w:p w14:paraId="6CD83DBF" w14:textId="77777777" w:rsidR="00011DE9" w:rsidRDefault="00011DE9">
            <w:pPr>
              <w:pStyle w:val="P68B1DB1-Normal19"/>
              <w:spacing w:after="0" w:line="240" w:lineRule="auto"/>
              <w:jc w:val="center"/>
              <w:rPr>
                <w:noProof/>
              </w:rPr>
            </w:pPr>
            <w:r>
              <w:rPr>
                <w:noProof/>
              </w:rPr>
              <w:t xml:space="preserve"> </w:t>
            </w:r>
          </w:p>
        </w:tc>
        <w:tc>
          <w:tcPr>
            <w:tcW w:w="850" w:type="dxa"/>
            <w:shd w:val="clear" w:color="auto" w:fill="C6EFCE"/>
            <w:noWrap/>
          </w:tcPr>
          <w:p w14:paraId="3EC5C3DE" w14:textId="77777777" w:rsidR="00011DE9" w:rsidRDefault="00011DE9">
            <w:pPr>
              <w:pStyle w:val="P68B1DB1-Normal19"/>
              <w:spacing w:after="0" w:line="240" w:lineRule="auto"/>
              <w:jc w:val="center"/>
              <w:rPr>
                <w:noProof/>
              </w:rPr>
            </w:pPr>
            <w:r>
              <w:rPr>
                <w:noProof/>
              </w:rPr>
              <w:t>EUR (milioane)</w:t>
            </w:r>
          </w:p>
        </w:tc>
        <w:tc>
          <w:tcPr>
            <w:tcW w:w="851" w:type="dxa"/>
            <w:shd w:val="clear" w:color="auto" w:fill="C6EFCE"/>
            <w:noWrap/>
          </w:tcPr>
          <w:p w14:paraId="43F802AD" w14:textId="77777777" w:rsidR="00011DE9" w:rsidRDefault="00011DE9">
            <w:pPr>
              <w:pStyle w:val="P68B1DB1-Normal19"/>
              <w:spacing w:after="0" w:line="240" w:lineRule="auto"/>
              <w:jc w:val="center"/>
              <w:rPr>
                <w:noProof/>
              </w:rPr>
            </w:pPr>
            <w:r>
              <w:rPr>
                <w:noProof/>
              </w:rPr>
              <w:t>0</w:t>
            </w:r>
          </w:p>
        </w:tc>
        <w:tc>
          <w:tcPr>
            <w:tcW w:w="709" w:type="dxa"/>
            <w:shd w:val="clear" w:color="auto" w:fill="C6EFCE"/>
            <w:noWrap/>
          </w:tcPr>
          <w:p w14:paraId="1C8B7753" w14:textId="77777777" w:rsidR="00011DE9" w:rsidRDefault="00011DE9">
            <w:pPr>
              <w:pStyle w:val="P68B1DB1-Normal19"/>
              <w:spacing w:after="0" w:line="240" w:lineRule="auto"/>
              <w:jc w:val="center"/>
              <w:rPr>
                <w:noProof/>
              </w:rPr>
            </w:pPr>
            <w:r>
              <w:rPr>
                <w:noProof/>
              </w:rPr>
              <w:t>103,5</w:t>
            </w:r>
          </w:p>
        </w:tc>
        <w:tc>
          <w:tcPr>
            <w:tcW w:w="567" w:type="dxa"/>
            <w:shd w:val="clear" w:color="auto" w:fill="C6EFCE"/>
            <w:noWrap/>
          </w:tcPr>
          <w:p w14:paraId="2D6D61C7" w14:textId="408809CE" w:rsidR="00011DE9" w:rsidRDefault="005701C9">
            <w:pPr>
              <w:pStyle w:val="P68B1DB1-Normal19"/>
              <w:spacing w:after="0" w:line="240" w:lineRule="auto"/>
              <w:jc w:val="center"/>
              <w:rPr>
                <w:noProof/>
              </w:rPr>
            </w:pPr>
            <w:r>
              <w:rPr>
                <w:noProof/>
              </w:rPr>
              <w:t>T4</w:t>
            </w:r>
          </w:p>
        </w:tc>
        <w:tc>
          <w:tcPr>
            <w:tcW w:w="810" w:type="dxa"/>
            <w:shd w:val="clear" w:color="auto" w:fill="C6EFCE"/>
            <w:noWrap/>
          </w:tcPr>
          <w:p w14:paraId="584CD2BA" w14:textId="77777777" w:rsidR="00011DE9" w:rsidRDefault="00011DE9">
            <w:pPr>
              <w:pStyle w:val="P68B1DB1-Normal19"/>
              <w:spacing w:after="0" w:line="240" w:lineRule="auto"/>
              <w:jc w:val="center"/>
              <w:rPr>
                <w:noProof/>
              </w:rPr>
            </w:pPr>
            <w:r>
              <w:rPr>
                <w:noProof/>
              </w:rPr>
              <w:t>2025</w:t>
            </w:r>
          </w:p>
        </w:tc>
        <w:tc>
          <w:tcPr>
            <w:tcW w:w="4860" w:type="dxa"/>
            <w:shd w:val="clear" w:color="auto" w:fill="C6EFCE"/>
            <w:noWrap/>
          </w:tcPr>
          <w:p w14:paraId="163D15B2" w14:textId="77777777" w:rsidR="00011DE9" w:rsidRDefault="00011DE9">
            <w:pPr>
              <w:pStyle w:val="P68B1DB1-Normal20"/>
              <w:spacing w:after="0" w:line="240" w:lineRule="auto"/>
              <w:contextualSpacing/>
              <w:rPr>
                <w:rFonts w:eastAsia="Times New Roman" w:cs="Times New Roman"/>
                <w:noProof/>
              </w:rPr>
            </w:pPr>
            <w:r>
              <w:rPr>
                <w:noProof/>
              </w:rPr>
              <w:t xml:space="preserve">Investiții în accesibilitate în următoarele domenii: </w:t>
            </w:r>
          </w:p>
          <w:p w14:paraId="40760543" w14:textId="77777777" w:rsidR="00011DE9" w:rsidRDefault="00011DE9">
            <w:pPr>
              <w:pStyle w:val="P68B1DB1-ListParagraph50"/>
              <w:numPr>
                <w:ilvl w:val="0"/>
                <w:numId w:val="160"/>
              </w:numPr>
              <w:spacing w:after="0" w:line="240" w:lineRule="auto"/>
              <w:rPr>
                <w:noProof/>
              </w:rPr>
            </w:pPr>
            <w:r>
              <w:rPr>
                <w:noProof/>
              </w:rPr>
              <w:t>accesibilitatea cognitivă în comunicarea cu autoritățile publice (inclusiv site-uri web);</w:t>
            </w:r>
          </w:p>
          <w:p w14:paraId="0AB4ACA4" w14:textId="77777777" w:rsidR="00011DE9" w:rsidRDefault="00011DE9">
            <w:pPr>
              <w:pStyle w:val="P68B1DB1-ListParagraph50"/>
              <w:numPr>
                <w:ilvl w:val="0"/>
                <w:numId w:val="160"/>
              </w:numPr>
              <w:spacing w:after="0" w:line="240" w:lineRule="auto"/>
              <w:rPr>
                <w:noProof/>
              </w:rPr>
            </w:pPr>
            <w:r>
              <w:rPr>
                <w:noProof/>
              </w:rPr>
              <w:t>accesul fizic în clădirile publice și în spațiile publice, inclusiv în unitățile de sănătate și de învățământ;</w:t>
            </w:r>
          </w:p>
          <w:p w14:paraId="504FC620" w14:textId="77777777" w:rsidR="00011DE9" w:rsidRDefault="00011DE9">
            <w:pPr>
              <w:pStyle w:val="P68B1DB1-ListParagraph50"/>
              <w:numPr>
                <w:ilvl w:val="0"/>
                <w:numId w:val="160"/>
              </w:numPr>
              <w:spacing w:after="0" w:line="240" w:lineRule="auto"/>
              <w:rPr>
                <w:noProof/>
              </w:rPr>
            </w:pPr>
            <w:r>
              <w:rPr>
                <w:noProof/>
              </w:rPr>
              <w:t>transporturile publice;</w:t>
            </w:r>
          </w:p>
          <w:p w14:paraId="1F709C75" w14:textId="77777777" w:rsidR="00011DE9" w:rsidRDefault="00011DE9">
            <w:pPr>
              <w:pStyle w:val="P68B1DB1-ListParagraph50"/>
              <w:numPr>
                <w:ilvl w:val="0"/>
                <w:numId w:val="160"/>
              </w:numPr>
              <w:spacing w:after="0" w:line="240" w:lineRule="auto"/>
              <w:rPr>
                <w:noProof/>
              </w:rPr>
            </w:pPr>
            <w:r>
              <w:rPr>
                <w:noProof/>
              </w:rPr>
              <w:t>locuințe private;</w:t>
            </w:r>
          </w:p>
          <w:p w14:paraId="3E2EFE62" w14:textId="77777777" w:rsidR="00011DE9" w:rsidRDefault="00011DE9">
            <w:pPr>
              <w:pStyle w:val="P68B1DB1-ListParagraph50"/>
              <w:numPr>
                <w:ilvl w:val="0"/>
                <w:numId w:val="160"/>
              </w:numPr>
              <w:spacing w:after="0" w:line="240" w:lineRule="auto"/>
              <w:rPr>
                <w:noProof/>
              </w:rPr>
            </w:pPr>
            <w:r>
              <w:rPr>
                <w:noProof/>
              </w:rPr>
              <w:t>lucrări de adaptare și achiziționarea de echipamente de către municipalități;</w:t>
            </w:r>
          </w:p>
          <w:p w14:paraId="2BE1D330" w14:textId="77777777" w:rsidR="00011DE9" w:rsidRDefault="00011DE9">
            <w:pPr>
              <w:pStyle w:val="P68B1DB1-ListParagraph50"/>
              <w:numPr>
                <w:ilvl w:val="0"/>
                <w:numId w:val="160"/>
              </w:numPr>
              <w:spacing w:line="259" w:lineRule="auto"/>
              <w:rPr>
                <w:noProof/>
              </w:rPr>
            </w:pPr>
            <w:r>
              <w:rPr>
                <w:noProof/>
              </w:rPr>
              <w:t>cursuri de formare, campanii de comunicare și de sensibilizare;</w:t>
            </w:r>
          </w:p>
          <w:p w14:paraId="116FAD42" w14:textId="77777777" w:rsidR="00011DE9" w:rsidRDefault="00011DE9">
            <w:pPr>
              <w:pStyle w:val="P68B1DB1-ListParagraph50"/>
              <w:numPr>
                <w:ilvl w:val="0"/>
                <w:numId w:val="160"/>
              </w:numPr>
              <w:spacing w:line="259" w:lineRule="auto"/>
              <w:rPr>
                <w:noProof/>
              </w:rPr>
            </w:pPr>
            <w:r>
              <w:rPr>
                <w:noProof/>
              </w:rPr>
              <w:t>Proiecte CDI în domeniul accesibilității cognitive.</w:t>
            </w:r>
          </w:p>
          <w:p w14:paraId="04568822" w14:textId="77777777" w:rsidR="00011DE9" w:rsidRDefault="00011DE9">
            <w:pPr>
              <w:pStyle w:val="P68B1DB1-Normal39"/>
              <w:spacing w:after="0" w:line="240" w:lineRule="auto"/>
              <w:contextualSpacing/>
              <w:rPr>
                <w:rFonts w:ascii="Times New Roman" w:eastAsia="Times New Roman" w:hAnsi="Times New Roman" w:cs="Times New Roman"/>
                <w:noProof/>
                <w:szCs w:val="18"/>
              </w:rPr>
            </w:pPr>
            <w:r>
              <w:rPr>
                <w:rFonts w:ascii="Times New Roman" w:eastAsia="Times New Roman" w:hAnsi="Times New Roman" w:cs="Times New Roman"/>
                <w:noProof/>
                <w:szCs w:val="18"/>
              </w:rPr>
              <w:t>pentru o sumă totală cumulată de 103</w:t>
            </w:r>
            <w:r>
              <w:rPr>
                <w:rFonts w:ascii="Times New Roman" w:hAnsi="Times New Roman"/>
                <w:noProof/>
              </w:rPr>
              <w:t xml:space="preserve"> </w:t>
            </w:r>
            <w:r>
              <w:rPr>
                <w:rFonts w:ascii="Times New Roman" w:eastAsia="Times New Roman" w:hAnsi="Times New Roman" w:cs="Times New Roman"/>
                <w:noProof/>
                <w:szCs w:val="18"/>
              </w:rPr>
              <w:t>500</w:t>
            </w:r>
            <w:r>
              <w:rPr>
                <w:rFonts w:ascii="Times New Roman" w:hAnsi="Times New Roman"/>
                <w:noProof/>
              </w:rPr>
              <w:t xml:space="preserve"> </w:t>
            </w:r>
            <w:r>
              <w:rPr>
                <w:rFonts w:ascii="Times New Roman" w:eastAsia="Times New Roman" w:hAnsi="Times New Roman" w:cs="Times New Roman"/>
                <w:noProof/>
                <w:szCs w:val="18"/>
              </w:rPr>
              <w:t>000 EUR:</w:t>
            </w:r>
          </w:p>
          <w:p w14:paraId="06B13AF3" w14:textId="77777777" w:rsidR="00011DE9" w:rsidRDefault="00011DE9">
            <w:pPr>
              <w:spacing w:after="0" w:line="240" w:lineRule="auto"/>
              <w:rPr>
                <w:rFonts w:ascii="Times New Roman" w:eastAsia="Times New Roman" w:hAnsi="Times New Roman" w:cs="Times New Roman"/>
                <w:noProof/>
                <w:sz w:val="18"/>
                <w:szCs w:val="18"/>
              </w:rPr>
            </w:pPr>
          </w:p>
          <w:p w14:paraId="582F3166" w14:textId="77777777" w:rsidR="00011DE9" w:rsidRDefault="00011DE9">
            <w:pPr>
              <w:pStyle w:val="P68B1DB1-ListParagraph50"/>
              <w:numPr>
                <w:ilvl w:val="0"/>
                <w:numId w:val="287"/>
              </w:numPr>
              <w:spacing w:after="0" w:line="240" w:lineRule="auto"/>
              <w:rPr>
                <w:noProof/>
              </w:rPr>
            </w:pPr>
            <w:r>
              <w:rPr>
                <w:noProof/>
              </w:rPr>
              <w:t xml:space="preserve">Confirmarea de către administrație sau de către o entitate publică a executării contractelor și acordurilor (convenios) (inclusiv a modificărilor) sau a părților corespunzătoare ale acestora. </w:t>
            </w:r>
            <w:r>
              <w:rPr>
                <w:noProof/>
                <w:color w:val="000000" w:themeColor="text1"/>
              </w:rPr>
              <w:t>Contribuția la suma totală cumulată este suma efectuată, astfel cum este definită în certificatele de acceptare, declarațiile de conformitate, certificatele de plată, facturile semnate în mod corespunzător ca fiind conforme de către administrație sau în documentele echivalente.</w:t>
            </w:r>
          </w:p>
          <w:p w14:paraId="25870DF1" w14:textId="77777777" w:rsidR="00011DE9" w:rsidRDefault="00011DE9">
            <w:pPr>
              <w:pStyle w:val="P68B1DB1-ListParagraph50"/>
              <w:numPr>
                <w:ilvl w:val="0"/>
                <w:numId w:val="288"/>
              </w:numPr>
              <w:spacing w:after="0" w:line="240" w:lineRule="auto"/>
              <w:rPr>
                <w:noProof/>
              </w:rPr>
            </w:pPr>
            <w:r>
              <w:rPr>
                <w:noProof/>
              </w:rPr>
              <w:t xml:space="preserve">Verificarea de către administrație sau de către o entitate publică a documentelor justificative pentru plata granturilor. </w:t>
            </w:r>
            <w:r>
              <w:rPr>
                <w:noProof/>
                <w:color w:val="000000" w:themeColor="text1"/>
              </w:rPr>
              <w:t>Contribuția la suma totală cumulată este suma care urmează să fie subvenționată în cadrul acestei verificări.</w:t>
            </w:r>
          </w:p>
          <w:p w14:paraId="492EA201" w14:textId="77777777" w:rsidR="00011DE9" w:rsidRDefault="00011DE9">
            <w:pPr>
              <w:pStyle w:val="P68B1DB1-ListParagraph44"/>
              <w:spacing w:after="0" w:line="240" w:lineRule="auto"/>
              <w:rPr>
                <w:rFonts w:eastAsia="Times New Roman" w:cs="Times New Roman"/>
                <w:noProof/>
              </w:rPr>
            </w:pPr>
            <w:r>
              <w:rPr>
                <w:noProof/>
              </w:rPr>
              <w:t xml:space="preserve"> </w:t>
            </w:r>
          </w:p>
        </w:tc>
      </w:tr>
      <w:tr w:rsidR="00011DE9" w14:paraId="46092123" w14:textId="77777777">
        <w:trPr>
          <w:trHeight w:val="309"/>
          <w:jc w:val="center"/>
        </w:trPr>
        <w:tc>
          <w:tcPr>
            <w:tcW w:w="709" w:type="dxa"/>
            <w:shd w:val="clear" w:color="auto" w:fill="C6EFCE"/>
            <w:noWrap/>
          </w:tcPr>
          <w:p w14:paraId="1D837462" w14:textId="77777777" w:rsidR="00011DE9" w:rsidRDefault="00011DE9">
            <w:pPr>
              <w:pStyle w:val="P68B1DB1-Normal19"/>
              <w:spacing w:after="0" w:line="240" w:lineRule="auto"/>
              <w:jc w:val="center"/>
              <w:rPr>
                <w:noProof/>
              </w:rPr>
            </w:pPr>
            <w:r>
              <w:rPr>
                <w:noProof/>
              </w:rPr>
              <w:t>473</w:t>
            </w:r>
          </w:p>
        </w:tc>
        <w:tc>
          <w:tcPr>
            <w:tcW w:w="851" w:type="dxa"/>
            <w:shd w:val="clear" w:color="auto" w:fill="C6EFCE"/>
            <w:noWrap/>
          </w:tcPr>
          <w:p w14:paraId="5714A69F" w14:textId="77777777" w:rsidR="00011DE9" w:rsidRDefault="00011DE9">
            <w:pPr>
              <w:pStyle w:val="P68B1DB1-Normal19"/>
              <w:spacing w:after="0" w:line="240" w:lineRule="auto"/>
              <w:jc w:val="center"/>
              <w:rPr>
                <w:noProof/>
              </w:rPr>
            </w:pPr>
            <w:r>
              <w:rPr>
                <w:noProof/>
              </w:rPr>
              <w:t>C22.I4</w:t>
            </w:r>
          </w:p>
        </w:tc>
        <w:tc>
          <w:tcPr>
            <w:tcW w:w="992" w:type="dxa"/>
            <w:shd w:val="clear" w:color="auto" w:fill="C6EFCE"/>
            <w:noWrap/>
          </w:tcPr>
          <w:p w14:paraId="4E49057E" w14:textId="77777777" w:rsidR="00011DE9" w:rsidRDefault="00011DE9">
            <w:pPr>
              <w:pStyle w:val="P68B1DB1-Normal19"/>
              <w:spacing w:after="0" w:line="240" w:lineRule="auto"/>
              <w:jc w:val="center"/>
              <w:rPr>
                <w:noProof/>
              </w:rPr>
            </w:pPr>
            <w:r>
              <w:rPr>
                <w:noProof/>
              </w:rPr>
              <w:t>M</w:t>
            </w:r>
          </w:p>
        </w:tc>
        <w:tc>
          <w:tcPr>
            <w:tcW w:w="2688" w:type="dxa"/>
            <w:shd w:val="clear" w:color="auto" w:fill="C6EFCE"/>
            <w:noWrap/>
          </w:tcPr>
          <w:p w14:paraId="6264838B" w14:textId="77777777" w:rsidR="00011DE9" w:rsidRDefault="00011DE9">
            <w:pPr>
              <w:pStyle w:val="P68B1DB1-Normal19"/>
              <w:spacing w:after="0" w:line="240" w:lineRule="auto"/>
              <w:rPr>
                <w:noProof/>
              </w:rPr>
            </w:pPr>
            <w:r>
              <w:rPr>
                <w:noProof/>
              </w:rPr>
              <w:t>Instituirea diferitelor tipuri de servicii pentru victimele violenței sexuale.</w:t>
            </w:r>
          </w:p>
        </w:tc>
        <w:tc>
          <w:tcPr>
            <w:tcW w:w="1423" w:type="dxa"/>
            <w:shd w:val="clear" w:color="auto" w:fill="C6EFCE"/>
            <w:noWrap/>
          </w:tcPr>
          <w:p w14:paraId="4517645B" w14:textId="77777777" w:rsidR="00011DE9" w:rsidRDefault="00011DE9">
            <w:pPr>
              <w:pStyle w:val="P68B1DB1-Normal19"/>
              <w:spacing w:after="0" w:line="240" w:lineRule="auto"/>
              <w:jc w:val="center"/>
              <w:rPr>
                <w:noProof/>
              </w:rPr>
            </w:pPr>
            <w:r>
              <w:rPr>
                <w:noProof/>
              </w:rPr>
              <w:t>Intrarea în vigoare a legislației.</w:t>
            </w:r>
          </w:p>
        </w:tc>
        <w:tc>
          <w:tcPr>
            <w:tcW w:w="850" w:type="dxa"/>
            <w:shd w:val="clear" w:color="auto" w:fill="C6EFCE"/>
            <w:noWrap/>
          </w:tcPr>
          <w:p w14:paraId="2D71D060" w14:textId="77777777" w:rsidR="00011DE9" w:rsidRDefault="00011DE9">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0253BA23" w14:textId="77777777" w:rsidR="00011DE9" w:rsidRDefault="00011DE9">
            <w:pPr>
              <w:spacing w:after="0" w:line="240" w:lineRule="auto"/>
              <w:jc w:val="right"/>
              <w:rPr>
                <w:rFonts w:ascii="Times New Roman" w:hAnsi="Times New Roman" w:cs="Times New Roman"/>
                <w:noProof/>
                <w:sz w:val="18"/>
                <w:szCs w:val="18"/>
              </w:rPr>
            </w:pPr>
          </w:p>
        </w:tc>
        <w:tc>
          <w:tcPr>
            <w:tcW w:w="709" w:type="dxa"/>
            <w:shd w:val="clear" w:color="auto" w:fill="C6EFCE"/>
            <w:noWrap/>
          </w:tcPr>
          <w:p w14:paraId="61187A39" w14:textId="77777777" w:rsidR="00011DE9" w:rsidRDefault="00011DE9">
            <w:pPr>
              <w:spacing w:after="0" w:line="240" w:lineRule="auto"/>
              <w:jc w:val="center"/>
              <w:rPr>
                <w:rFonts w:ascii="Times New Roman" w:hAnsi="Times New Roman" w:cs="Times New Roman"/>
                <w:noProof/>
                <w:sz w:val="18"/>
                <w:szCs w:val="18"/>
              </w:rPr>
            </w:pPr>
          </w:p>
        </w:tc>
        <w:tc>
          <w:tcPr>
            <w:tcW w:w="567" w:type="dxa"/>
            <w:shd w:val="clear" w:color="auto" w:fill="C6EFCE"/>
            <w:noWrap/>
          </w:tcPr>
          <w:p w14:paraId="0315CEAE" w14:textId="53FC373B" w:rsidR="00011DE9" w:rsidRDefault="003010A3">
            <w:pPr>
              <w:pStyle w:val="P68B1DB1-Normal19"/>
              <w:spacing w:after="0" w:line="240" w:lineRule="auto"/>
              <w:jc w:val="center"/>
              <w:rPr>
                <w:noProof/>
              </w:rPr>
            </w:pPr>
            <w:r>
              <w:rPr>
                <w:noProof/>
              </w:rPr>
              <w:t>T</w:t>
            </w:r>
            <w:r w:rsidR="00011DE9">
              <w:rPr>
                <w:noProof/>
              </w:rPr>
              <w:t>1</w:t>
            </w:r>
          </w:p>
        </w:tc>
        <w:tc>
          <w:tcPr>
            <w:tcW w:w="810" w:type="dxa"/>
            <w:shd w:val="clear" w:color="auto" w:fill="C6EFCE"/>
            <w:noWrap/>
          </w:tcPr>
          <w:p w14:paraId="76A697E3" w14:textId="77777777" w:rsidR="00011DE9" w:rsidRDefault="00011DE9">
            <w:pPr>
              <w:pStyle w:val="P68B1DB1-Normal19"/>
              <w:spacing w:after="0" w:line="240" w:lineRule="auto"/>
              <w:jc w:val="center"/>
              <w:rPr>
                <w:noProof/>
              </w:rPr>
            </w:pPr>
            <w:r>
              <w:rPr>
                <w:noProof/>
              </w:rPr>
              <w:t>2023</w:t>
            </w:r>
          </w:p>
        </w:tc>
        <w:tc>
          <w:tcPr>
            <w:tcW w:w="4860" w:type="dxa"/>
            <w:shd w:val="clear" w:color="auto" w:fill="C6EFCE"/>
            <w:noWrap/>
          </w:tcPr>
          <w:p w14:paraId="701DE5E3" w14:textId="77777777" w:rsidR="00011DE9" w:rsidRDefault="00011DE9">
            <w:pPr>
              <w:pStyle w:val="P68B1DB1-Normal19"/>
              <w:spacing w:line="240" w:lineRule="auto"/>
              <w:rPr>
                <w:noProof/>
              </w:rPr>
            </w:pPr>
            <w:r>
              <w:rPr>
                <w:noProof/>
              </w:rPr>
              <w:t>Intrarea în vigoare a legislației care creează dreptul victimelor violenței sexuale de a beneficia de servicii de orientare socială și de ocupare a forței de muncă, inclusiv de consiliere juridică, de sprijin psihologic și emoțional și de asistență pentru integrarea pe piața muncii.</w:t>
            </w:r>
          </w:p>
        </w:tc>
      </w:tr>
      <w:tr w:rsidR="00011DE9" w14:paraId="572A2A87" w14:textId="77777777">
        <w:trPr>
          <w:trHeight w:val="309"/>
          <w:jc w:val="center"/>
        </w:trPr>
        <w:tc>
          <w:tcPr>
            <w:tcW w:w="709" w:type="dxa"/>
            <w:shd w:val="clear" w:color="auto" w:fill="C6EFCE"/>
            <w:noWrap/>
          </w:tcPr>
          <w:p w14:paraId="6749164D" w14:textId="77777777" w:rsidR="00011DE9" w:rsidRDefault="00011DE9">
            <w:pPr>
              <w:pStyle w:val="P68B1DB1-Normal19"/>
              <w:spacing w:after="0" w:line="240" w:lineRule="auto"/>
              <w:jc w:val="center"/>
              <w:rPr>
                <w:noProof/>
              </w:rPr>
            </w:pPr>
            <w:r>
              <w:rPr>
                <w:noProof/>
              </w:rPr>
              <w:t>472</w:t>
            </w:r>
          </w:p>
        </w:tc>
        <w:tc>
          <w:tcPr>
            <w:tcW w:w="851" w:type="dxa"/>
            <w:shd w:val="clear" w:color="auto" w:fill="C6EFCE"/>
            <w:noWrap/>
          </w:tcPr>
          <w:p w14:paraId="79E978F6" w14:textId="77777777" w:rsidR="00011DE9" w:rsidRDefault="00011DE9">
            <w:pPr>
              <w:pStyle w:val="P68B1DB1-Normal19"/>
              <w:spacing w:after="0" w:line="240" w:lineRule="auto"/>
              <w:jc w:val="center"/>
              <w:rPr>
                <w:noProof/>
              </w:rPr>
            </w:pPr>
            <w:r>
              <w:rPr>
                <w:noProof/>
              </w:rPr>
              <w:t>C22.I4</w:t>
            </w:r>
          </w:p>
        </w:tc>
        <w:tc>
          <w:tcPr>
            <w:tcW w:w="992" w:type="dxa"/>
            <w:shd w:val="clear" w:color="auto" w:fill="C6EFCE"/>
            <w:noWrap/>
          </w:tcPr>
          <w:p w14:paraId="0CD27247" w14:textId="77777777" w:rsidR="00011DE9" w:rsidRDefault="00011DE9">
            <w:pPr>
              <w:pStyle w:val="P68B1DB1-Normal19"/>
              <w:spacing w:after="0" w:line="240" w:lineRule="auto"/>
              <w:jc w:val="center"/>
              <w:rPr>
                <w:noProof/>
              </w:rPr>
            </w:pPr>
            <w:r>
              <w:rPr>
                <w:noProof/>
              </w:rPr>
              <w:t>M</w:t>
            </w:r>
          </w:p>
        </w:tc>
        <w:tc>
          <w:tcPr>
            <w:tcW w:w="2688" w:type="dxa"/>
            <w:shd w:val="clear" w:color="auto" w:fill="C6EFCE"/>
            <w:noWrap/>
          </w:tcPr>
          <w:p w14:paraId="0076B97B" w14:textId="77777777" w:rsidR="00011DE9" w:rsidRDefault="00011DE9">
            <w:pPr>
              <w:pStyle w:val="P68B1DB1-Normal19"/>
              <w:spacing w:after="0" w:line="240" w:lineRule="auto"/>
              <w:rPr>
                <w:noProof/>
              </w:rPr>
            </w:pPr>
            <w:r>
              <w:rPr>
                <w:noProof/>
              </w:rPr>
              <w:t>Achiziționarea de dispozitive de monitorizare a alertării și distanțării și de servicii online pentru sprijinirea victimelor violenței împotriva femeilor.</w:t>
            </w:r>
          </w:p>
        </w:tc>
        <w:tc>
          <w:tcPr>
            <w:tcW w:w="1423" w:type="dxa"/>
            <w:shd w:val="clear" w:color="auto" w:fill="C6EFCE"/>
            <w:noWrap/>
          </w:tcPr>
          <w:p w14:paraId="65B65330" w14:textId="77777777" w:rsidR="00011DE9" w:rsidRDefault="00011DE9">
            <w:pPr>
              <w:pStyle w:val="P68B1DB1-Normal23"/>
              <w:spacing w:after="0" w:line="240" w:lineRule="auto"/>
              <w:jc w:val="center"/>
              <w:rPr>
                <w:noProof/>
              </w:rPr>
            </w:pPr>
            <w:r>
              <w:rPr>
                <w:noProof/>
              </w:rPr>
              <w:t>Certificate de acceptare, declarații de conformitate sau alte documente echivalente care atestă executarea contractelor.</w:t>
            </w:r>
          </w:p>
        </w:tc>
        <w:tc>
          <w:tcPr>
            <w:tcW w:w="850" w:type="dxa"/>
            <w:shd w:val="clear" w:color="auto" w:fill="C6EFCE"/>
            <w:noWrap/>
          </w:tcPr>
          <w:p w14:paraId="1EA2386D" w14:textId="77777777" w:rsidR="00011DE9" w:rsidRDefault="00011DE9">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505B6053" w14:textId="77777777" w:rsidR="00011DE9" w:rsidRDefault="00011DE9">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5C8B28DE" w14:textId="77777777" w:rsidR="00011DE9" w:rsidRDefault="00011DE9">
            <w:pPr>
              <w:spacing w:after="0" w:line="240" w:lineRule="auto"/>
              <w:jc w:val="center"/>
              <w:rPr>
                <w:rFonts w:ascii="Times New Roman" w:hAnsi="Times New Roman" w:cs="Times New Roman"/>
                <w:noProof/>
                <w:sz w:val="18"/>
                <w:szCs w:val="18"/>
              </w:rPr>
            </w:pPr>
          </w:p>
        </w:tc>
        <w:tc>
          <w:tcPr>
            <w:tcW w:w="567" w:type="dxa"/>
            <w:shd w:val="clear" w:color="auto" w:fill="C6EFCE"/>
            <w:noWrap/>
          </w:tcPr>
          <w:p w14:paraId="61ABA8E2" w14:textId="5A7A9915" w:rsidR="00011DE9" w:rsidRDefault="005701C9">
            <w:pPr>
              <w:pStyle w:val="P68B1DB1-Normal19"/>
              <w:spacing w:after="0" w:line="240" w:lineRule="auto"/>
              <w:jc w:val="center"/>
              <w:rPr>
                <w:noProof/>
              </w:rPr>
            </w:pPr>
            <w:r>
              <w:rPr>
                <w:noProof/>
              </w:rPr>
              <w:t>T2</w:t>
            </w:r>
          </w:p>
        </w:tc>
        <w:tc>
          <w:tcPr>
            <w:tcW w:w="810" w:type="dxa"/>
            <w:shd w:val="clear" w:color="auto" w:fill="C6EFCE"/>
            <w:noWrap/>
          </w:tcPr>
          <w:p w14:paraId="117AD6F2" w14:textId="77777777" w:rsidR="00011DE9" w:rsidRDefault="00011DE9">
            <w:pPr>
              <w:pStyle w:val="P68B1DB1-Normal19"/>
              <w:spacing w:after="0" w:line="240" w:lineRule="auto"/>
              <w:jc w:val="center"/>
              <w:rPr>
                <w:noProof/>
              </w:rPr>
            </w:pPr>
            <w:r>
              <w:rPr>
                <w:noProof/>
              </w:rPr>
              <w:t>2026</w:t>
            </w:r>
          </w:p>
        </w:tc>
        <w:tc>
          <w:tcPr>
            <w:tcW w:w="4860" w:type="dxa"/>
            <w:shd w:val="clear" w:color="auto" w:fill="C6EFCE"/>
            <w:noWrap/>
          </w:tcPr>
          <w:p w14:paraId="3094CA85" w14:textId="77777777" w:rsidR="00011DE9" w:rsidRDefault="00011DE9">
            <w:pPr>
              <w:pStyle w:val="P68B1DB1-Normal19"/>
              <w:spacing w:after="0" w:line="240" w:lineRule="auto"/>
              <w:jc w:val="both"/>
              <w:rPr>
                <w:noProof/>
              </w:rPr>
            </w:pPr>
            <w:r>
              <w:rPr>
                <w:noProof/>
              </w:rPr>
              <w:t>Confirmarea de către administrație a faptului că au fost executate contractele (inclusiv eventualele modificări) privind achiziționarea a 30 000 dispozitive de monitorizare a alertării și distanțării, a unei aplicații pentru victime și a unei platforme de volume mari de date și de inteligență artificială pentru serviciile de sprijinire a victimelor.</w:t>
            </w:r>
          </w:p>
        </w:tc>
      </w:tr>
      <w:tr w:rsidR="00011DE9" w14:paraId="3E552D52" w14:textId="77777777">
        <w:trPr>
          <w:trHeight w:val="309"/>
          <w:jc w:val="center"/>
        </w:trPr>
        <w:tc>
          <w:tcPr>
            <w:tcW w:w="709" w:type="dxa"/>
            <w:shd w:val="clear" w:color="auto" w:fill="C6EFCE"/>
            <w:noWrap/>
          </w:tcPr>
          <w:p w14:paraId="07AE718F" w14:textId="77777777" w:rsidR="00011DE9" w:rsidRDefault="00011DE9">
            <w:pPr>
              <w:pStyle w:val="P68B1DB1-Normal19"/>
              <w:spacing w:after="0" w:line="240" w:lineRule="auto"/>
              <w:jc w:val="center"/>
              <w:rPr>
                <w:noProof/>
              </w:rPr>
            </w:pPr>
            <w:r>
              <w:rPr>
                <w:noProof/>
              </w:rPr>
              <w:t>327</w:t>
            </w:r>
          </w:p>
        </w:tc>
        <w:tc>
          <w:tcPr>
            <w:tcW w:w="851" w:type="dxa"/>
            <w:shd w:val="clear" w:color="auto" w:fill="C6EFCE"/>
            <w:noWrap/>
          </w:tcPr>
          <w:p w14:paraId="4A473FBC" w14:textId="77777777" w:rsidR="00011DE9" w:rsidRDefault="00011DE9">
            <w:pPr>
              <w:pStyle w:val="P68B1DB1-Normal19"/>
              <w:spacing w:after="0" w:line="240" w:lineRule="auto"/>
              <w:jc w:val="center"/>
              <w:rPr>
                <w:noProof/>
              </w:rPr>
            </w:pPr>
            <w:r>
              <w:rPr>
                <w:noProof/>
              </w:rPr>
              <w:t>C22.I4</w:t>
            </w:r>
          </w:p>
        </w:tc>
        <w:tc>
          <w:tcPr>
            <w:tcW w:w="992" w:type="dxa"/>
            <w:shd w:val="clear" w:color="auto" w:fill="C6EFCE"/>
            <w:noWrap/>
          </w:tcPr>
          <w:p w14:paraId="2A64DF66" w14:textId="77777777" w:rsidR="00011DE9" w:rsidRDefault="00011DE9">
            <w:pPr>
              <w:pStyle w:val="P68B1DB1-Normal19"/>
              <w:spacing w:after="0" w:line="240" w:lineRule="auto"/>
              <w:jc w:val="center"/>
              <w:rPr>
                <w:noProof/>
              </w:rPr>
            </w:pPr>
            <w:r>
              <w:rPr>
                <w:noProof/>
              </w:rPr>
              <w:t>T</w:t>
            </w:r>
          </w:p>
        </w:tc>
        <w:tc>
          <w:tcPr>
            <w:tcW w:w="2688" w:type="dxa"/>
            <w:shd w:val="clear" w:color="auto" w:fill="C6EFCE"/>
            <w:noWrap/>
          </w:tcPr>
          <w:p w14:paraId="7ADB0632" w14:textId="77777777" w:rsidR="00011DE9" w:rsidRDefault="00011DE9">
            <w:pPr>
              <w:pStyle w:val="P68B1DB1-Normal19"/>
              <w:spacing w:after="0" w:line="240" w:lineRule="auto"/>
              <w:rPr>
                <w:noProof/>
              </w:rPr>
            </w:pPr>
            <w:r>
              <w:rPr>
                <w:noProof/>
              </w:rPr>
              <w:t>Centre pentru victimele violenței sexuale.</w:t>
            </w:r>
          </w:p>
        </w:tc>
        <w:tc>
          <w:tcPr>
            <w:tcW w:w="1423" w:type="dxa"/>
            <w:shd w:val="clear" w:color="auto" w:fill="C6EFCE"/>
            <w:noWrap/>
          </w:tcPr>
          <w:p w14:paraId="3F89AA92" w14:textId="77777777" w:rsidR="00011DE9" w:rsidRDefault="00011DE9">
            <w:pPr>
              <w:pStyle w:val="P68B1DB1-Normal19"/>
              <w:spacing w:after="0" w:line="240" w:lineRule="auto"/>
              <w:jc w:val="center"/>
              <w:rPr>
                <w:noProof/>
              </w:rPr>
            </w:pPr>
            <w:r>
              <w:rPr>
                <w:noProof/>
              </w:rPr>
              <w:t xml:space="preserve"> </w:t>
            </w:r>
          </w:p>
        </w:tc>
        <w:tc>
          <w:tcPr>
            <w:tcW w:w="850" w:type="dxa"/>
            <w:shd w:val="clear" w:color="auto" w:fill="C6EFCE"/>
            <w:noWrap/>
          </w:tcPr>
          <w:p w14:paraId="1F616700" w14:textId="77777777" w:rsidR="00011DE9" w:rsidRDefault="00011DE9">
            <w:pPr>
              <w:pStyle w:val="P68B1DB1-Normal19"/>
              <w:spacing w:after="0" w:line="240" w:lineRule="auto"/>
              <w:jc w:val="center"/>
              <w:rPr>
                <w:noProof/>
              </w:rPr>
            </w:pPr>
            <w:r>
              <w:rPr>
                <w:noProof/>
              </w:rPr>
              <w:t>Număr</w:t>
            </w:r>
          </w:p>
        </w:tc>
        <w:tc>
          <w:tcPr>
            <w:tcW w:w="851" w:type="dxa"/>
            <w:shd w:val="clear" w:color="auto" w:fill="C6EFCE"/>
            <w:noWrap/>
          </w:tcPr>
          <w:p w14:paraId="76B93B2C" w14:textId="77777777" w:rsidR="00011DE9" w:rsidRDefault="00011DE9">
            <w:pPr>
              <w:pStyle w:val="P68B1DB1-Normal19"/>
              <w:spacing w:after="0" w:line="240" w:lineRule="auto"/>
              <w:jc w:val="center"/>
              <w:rPr>
                <w:noProof/>
              </w:rPr>
            </w:pPr>
            <w:r>
              <w:rPr>
                <w:noProof/>
              </w:rPr>
              <w:t>0</w:t>
            </w:r>
          </w:p>
        </w:tc>
        <w:tc>
          <w:tcPr>
            <w:tcW w:w="709" w:type="dxa"/>
            <w:shd w:val="clear" w:color="auto" w:fill="C6EFCE"/>
            <w:noWrap/>
          </w:tcPr>
          <w:p w14:paraId="3B1FEE76" w14:textId="77777777" w:rsidR="00011DE9" w:rsidRDefault="00011DE9">
            <w:pPr>
              <w:pStyle w:val="P68B1DB1-Normal19"/>
              <w:spacing w:after="0" w:line="240" w:lineRule="auto"/>
              <w:jc w:val="center"/>
              <w:rPr>
                <w:noProof/>
              </w:rPr>
            </w:pPr>
            <w:r>
              <w:rPr>
                <w:noProof/>
              </w:rPr>
              <w:t>52</w:t>
            </w:r>
          </w:p>
        </w:tc>
        <w:tc>
          <w:tcPr>
            <w:tcW w:w="567" w:type="dxa"/>
            <w:shd w:val="clear" w:color="auto" w:fill="C6EFCE"/>
            <w:noWrap/>
          </w:tcPr>
          <w:p w14:paraId="530BF8DC" w14:textId="470EF00E" w:rsidR="00011DE9" w:rsidRDefault="005701C9">
            <w:pPr>
              <w:pStyle w:val="P68B1DB1-Normal19"/>
              <w:spacing w:after="0" w:line="240" w:lineRule="auto"/>
              <w:jc w:val="center"/>
              <w:rPr>
                <w:noProof/>
              </w:rPr>
            </w:pPr>
            <w:r>
              <w:rPr>
                <w:noProof/>
              </w:rPr>
              <w:t>T4</w:t>
            </w:r>
          </w:p>
        </w:tc>
        <w:tc>
          <w:tcPr>
            <w:tcW w:w="810" w:type="dxa"/>
            <w:shd w:val="clear" w:color="auto" w:fill="C6EFCE"/>
            <w:noWrap/>
          </w:tcPr>
          <w:p w14:paraId="0D570184" w14:textId="77777777" w:rsidR="00011DE9" w:rsidRDefault="00011DE9">
            <w:pPr>
              <w:pStyle w:val="P68B1DB1-Normal19"/>
              <w:spacing w:after="0" w:line="240" w:lineRule="auto"/>
              <w:jc w:val="center"/>
              <w:rPr>
                <w:noProof/>
              </w:rPr>
            </w:pPr>
            <w:r>
              <w:rPr>
                <w:noProof/>
              </w:rPr>
              <w:t>2025</w:t>
            </w:r>
          </w:p>
        </w:tc>
        <w:tc>
          <w:tcPr>
            <w:tcW w:w="4860" w:type="dxa"/>
            <w:shd w:val="clear" w:color="auto" w:fill="C6EFCE"/>
            <w:noWrap/>
          </w:tcPr>
          <w:p w14:paraId="5DE1E684" w14:textId="77777777" w:rsidR="00011DE9" w:rsidRDefault="00011DE9">
            <w:pPr>
              <w:pStyle w:val="P68B1DB1-Normal20"/>
              <w:spacing w:after="0" w:line="240" w:lineRule="auto"/>
              <w:rPr>
                <w:rFonts w:cs="Times New Roman"/>
                <w:noProof/>
              </w:rPr>
            </w:pPr>
            <w:r>
              <w:rPr>
                <w:noProof/>
              </w:rPr>
              <w:t>Confirmarea de către administrație a executării contractelor (inclusiv a oricăror modificări) sau dovada achiziționării, referitoare la înființarea a 52 centre pentru victimele violenței sexuale („centros de crisis”, „centros de atención integral” și similare), dintre care 6 sunt unități mobile.</w:t>
            </w:r>
          </w:p>
        </w:tc>
      </w:tr>
      <w:tr w:rsidR="00011DE9" w14:paraId="18672E66" w14:textId="77777777">
        <w:trPr>
          <w:trHeight w:val="309"/>
          <w:jc w:val="center"/>
        </w:trPr>
        <w:tc>
          <w:tcPr>
            <w:tcW w:w="709" w:type="dxa"/>
            <w:shd w:val="clear" w:color="auto" w:fill="C6EFCE"/>
            <w:noWrap/>
          </w:tcPr>
          <w:p w14:paraId="64B874AF" w14:textId="77777777" w:rsidR="00011DE9" w:rsidRDefault="00011DE9">
            <w:pPr>
              <w:pStyle w:val="P68B1DB1-Normal20"/>
              <w:spacing w:after="0" w:line="240" w:lineRule="auto"/>
              <w:jc w:val="center"/>
              <w:rPr>
                <w:rFonts w:cs="Times New Roman"/>
                <w:noProof/>
              </w:rPr>
            </w:pPr>
            <w:r>
              <w:rPr>
                <w:noProof/>
              </w:rPr>
              <w:t>328</w:t>
            </w:r>
          </w:p>
        </w:tc>
        <w:tc>
          <w:tcPr>
            <w:tcW w:w="851" w:type="dxa"/>
            <w:shd w:val="clear" w:color="auto" w:fill="C6EFCE"/>
            <w:noWrap/>
          </w:tcPr>
          <w:p w14:paraId="13614BDF" w14:textId="77777777" w:rsidR="00011DE9" w:rsidRDefault="00011DE9">
            <w:pPr>
              <w:pStyle w:val="P68B1DB1-Normal19"/>
              <w:spacing w:after="0" w:line="240" w:lineRule="auto"/>
              <w:jc w:val="center"/>
              <w:rPr>
                <w:noProof/>
              </w:rPr>
            </w:pPr>
            <w:r>
              <w:rPr>
                <w:noProof/>
              </w:rPr>
              <w:t>C22.I5</w:t>
            </w:r>
          </w:p>
        </w:tc>
        <w:tc>
          <w:tcPr>
            <w:tcW w:w="992" w:type="dxa"/>
            <w:shd w:val="clear" w:color="auto" w:fill="C6EFCE"/>
            <w:noWrap/>
          </w:tcPr>
          <w:p w14:paraId="16A86BE0" w14:textId="77777777" w:rsidR="00011DE9" w:rsidRDefault="00011DE9">
            <w:pPr>
              <w:pStyle w:val="P68B1DB1-Normal19"/>
              <w:spacing w:after="0" w:line="240" w:lineRule="auto"/>
              <w:jc w:val="center"/>
              <w:rPr>
                <w:noProof/>
              </w:rPr>
            </w:pPr>
            <w:r>
              <w:rPr>
                <w:noProof/>
              </w:rPr>
              <w:t>M</w:t>
            </w:r>
          </w:p>
        </w:tc>
        <w:tc>
          <w:tcPr>
            <w:tcW w:w="2688" w:type="dxa"/>
            <w:shd w:val="clear" w:color="auto" w:fill="C6EFCE"/>
            <w:noWrap/>
          </w:tcPr>
          <w:p w14:paraId="563F3D40" w14:textId="77777777" w:rsidR="00011DE9" w:rsidRDefault="00011DE9">
            <w:pPr>
              <w:pStyle w:val="P68B1DB1-Normal19"/>
              <w:spacing w:after="0" w:line="240" w:lineRule="auto"/>
              <w:rPr>
                <w:noProof/>
              </w:rPr>
            </w:pPr>
            <w:r>
              <w:rPr>
                <w:noProof/>
              </w:rPr>
              <w:t xml:space="preserve">Construirea, achiziționarea sau renovarea de centre de primire pentru migranți și solicitanți de protecție internațională. </w:t>
            </w:r>
          </w:p>
        </w:tc>
        <w:tc>
          <w:tcPr>
            <w:tcW w:w="1423" w:type="dxa"/>
            <w:shd w:val="clear" w:color="auto" w:fill="C6EFCE"/>
            <w:noWrap/>
          </w:tcPr>
          <w:p w14:paraId="531DA806" w14:textId="77777777" w:rsidR="00011DE9" w:rsidRDefault="00011DE9">
            <w:pPr>
              <w:pStyle w:val="P68B1DB1-Normal19"/>
              <w:spacing w:after="0" w:line="240" w:lineRule="auto"/>
              <w:jc w:val="center"/>
              <w:rPr>
                <w:noProof/>
              </w:rPr>
            </w:pPr>
            <w:r>
              <w:rPr>
                <w:noProof/>
              </w:rPr>
              <w:t>Certificate de acceptare, declarații de conformitate sau alte documente echivalente care atestă executarea contractelor și dovada achiziționării în vederea achizițiilor.</w:t>
            </w:r>
          </w:p>
        </w:tc>
        <w:tc>
          <w:tcPr>
            <w:tcW w:w="850" w:type="dxa"/>
            <w:shd w:val="clear" w:color="auto" w:fill="C6EFCE"/>
            <w:noWrap/>
          </w:tcPr>
          <w:p w14:paraId="33C3DDF9" w14:textId="77777777" w:rsidR="00011DE9" w:rsidRDefault="00011DE9">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7C277398" w14:textId="77777777" w:rsidR="00011DE9" w:rsidRDefault="00011DE9">
            <w:pPr>
              <w:spacing w:after="0" w:line="240" w:lineRule="auto"/>
              <w:jc w:val="right"/>
              <w:rPr>
                <w:rFonts w:ascii="Times New Roman" w:hAnsi="Times New Roman" w:cs="Times New Roman"/>
                <w:noProof/>
                <w:sz w:val="18"/>
                <w:szCs w:val="18"/>
              </w:rPr>
            </w:pPr>
          </w:p>
        </w:tc>
        <w:tc>
          <w:tcPr>
            <w:tcW w:w="709" w:type="dxa"/>
            <w:shd w:val="clear" w:color="auto" w:fill="C6EFCE"/>
            <w:noWrap/>
          </w:tcPr>
          <w:p w14:paraId="108A7BC4" w14:textId="77777777" w:rsidR="00011DE9" w:rsidRDefault="00011DE9">
            <w:pPr>
              <w:spacing w:after="0" w:line="240" w:lineRule="auto"/>
              <w:jc w:val="center"/>
              <w:rPr>
                <w:rFonts w:ascii="Times New Roman" w:hAnsi="Times New Roman" w:cs="Times New Roman"/>
                <w:noProof/>
                <w:sz w:val="18"/>
                <w:szCs w:val="18"/>
              </w:rPr>
            </w:pPr>
          </w:p>
        </w:tc>
        <w:tc>
          <w:tcPr>
            <w:tcW w:w="567" w:type="dxa"/>
            <w:shd w:val="clear" w:color="auto" w:fill="C6EFCE"/>
            <w:noWrap/>
          </w:tcPr>
          <w:p w14:paraId="2BBAD743" w14:textId="0888DD06" w:rsidR="00011DE9" w:rsidRDefault="005701C9">
            <w:pPr>
              <w:pStyle w:val="P68B1DB1-Normal19"/>
              <w:spacing w:after="0" w:line="240" w:lineRule="auto"/>
              <w:jc w:val="center"/>
              <w:rPr>
                <w:noProof/>
              </w:rPr>
            </w:pPr>
            <w:r>
              <w:rPr>
                <w:noProof/>
              </w:rPr>
              <w:t>T2</w:t>
            </w:r>
          </w:p>
        </w:tc>
        <w:tc>
          <w:tcPr>
            <w:tcW w:w="810" w:type="dxa"/>
            <w:shd w:val="clear" w:color="auto" w:fill="C6EFCE"/>
            <w:noWrap/>
          </w:tcPr>
          <w:p w14:paraId="39E0DCA3" w14:textId="77777777" w:rsidR="00011DE9" w:rsidRDefault="00011DE9">
            <w:pPr>
              <w:pStyle w:val="P68B1DB1-Normal19"/>
              <w:spacing w:after="0" w:line="240" w:lineRule="auto"/>
              <w:jc w:val="center"/>
              <w:rPr>
                <w:noProof/>
              </w:rPr>
            </w:pPr>
            <w:r>
              <w:rPr>
                <w:noProof/>
              </w:rPr>
              <w:t>2026</w:t>
            </w:r>
          </w:p>
        </w:tc>
        <w:tc>
          <w:tcPr>
            <w:tcW w:w="4860" w:type="dxa"/>
            <w:shd w:val="clear" w:color="auto" w:fill="C6EFCE"/>
            <w:noWrap/>
          </w:tcPr>
          <w:p w14:paraId="027D3502" w14:textId="77777777" w:rsidR="00011DE9" w:rsidRDefault="00011DE9">
            <w:pPr>
              <w:pStyle w:val="P68B1DB1-Normal20"/>
              <w:spacing w:after="0" w:line="240" w:lineRule="auto"/>
              <w:rPr>
                <w:rFonts w:cs="Times New Roman"/>
                <w:noProof/>
              </w:rPr>
            </w:pPr>
            <w:r>
              <w:rPr>
                <w:noProof/>
              </w:rPr>
              <w:t>Confirmarea din partea administrației că au fost executate contracte (inclusiv modificări) sau părți corespunzătoare ale acestora în ceea ce privește construirea sau renovarea centrelor de primire sau dovada achiziționării unui centru sau a terenului pentru construirea acestuia, pentru o sumă totală cumulată de 126 000 000 EUR.</w:t>
            </w:r>
          </w:p>
        </w:tc>
      </w:tr>
    </w:tbl>
    <w:p w14:paraId="496BBA06" w14:textId="77777777" w:rsidR="00011DE9" w:rsidRDefault="00011DE9">
      <w:pPr>
        <w:rPr>
          <w:rFonts w:ascii="Times New Roman" w:hAnsi="Times New Roman" w:cs="Times New Roman"/>
          <w:noProof/>
        </w:rPr>
        <w:sectPr w:rsidR="00011DE9" w:rsidSect="00011DE9">
          <w:headerReference w:type="even" r:id="rId304"/>
          <w:headerReference w:type="default" r:id="rId305"/>
          <w:footerReference w:type="even" r:id="rId306"/>
          <w:footerReference w:type="default" r:id="rId307"/>
          <w:headerReference w:type="first" r:id="rId308"/>
          <w:footerReference w:type="first" r:id="rId309"/>
          <w:pgSz w:w="16839" w:h="11907" w:orient="landscape"/>
          <w:pgMar w:top="1134" w:right="1134" w:bottom="1134" w:left="1134" w:header="567" w:footer="567" w:gutter="0"/>
          <w:cols w:space="720"/>
          <w:docGrid w:linePitch="360"/>
        </w:sectPr>
      </w:pPr>
    </w:p>
    <w:p w14:paraId="44CC6726" w14:textId="77777777" w:rsidR="00011DE9" w:rsidRDefault="00011DE9">
      <w:pPr>
        <w:pStyle w:val="Text1"/>
        <w:ind w:left="709"/>
        <w:rPr>
          <w:rFonts w:ascii="Times New Roman" w:hAnsi="Times New Roman" w:cs="Times New Roman"/>
          <w:b/>
          <w:noProof/>
          <w:szCs w:val="24"/>
          <w:u w:val="single"/>
        </w:rPr>
      </w:pPr>
      <w:r>
        <w:rPr>
          <w:rFonts w:ascii="Times New Roman" w:hAnsi="Times New Roman"/>
          <w:b/>
          <w:noProof/>
          <w:u w:val="single"/>
        </w:rPr>
        <w:t xml:space="preserve">V.3. </w:t>
      </w:r>
      <w:r>
        <w:rPr>
          <w:noProof/>
        </w:rPr>
        <w:t></w:t>
      </w:r>
      <w:r>
        <w:rPr>
          <w:rFonts w:ascii="Times New Roman" w:hAnsi="Times New Roman"/>
          <w:b/>
          <w:noProof/>
          <w:u w:val="single"/>
        </w:rPr>
        <w:t>Descrierea reformelor și a investițiilor pentru care se acordă sprijin sub formă de împrumut</w:t>
      </w:r>
    </w:p>
    <w:p w14:paraId="709DF704" w14:textId="77777777" w:rsidR="00011DE9" w:rsidRDefault="00011DE9">
      <w:pPr>
        <w:pStyle w:val="P68B1DB1-Normal17"/>
        <w:rPr>
          <w:rFonts w:eastAsiaTheme="minorEastAsia" w:cs="Times New Roman"/>
          <w:noProof/>
        </w:rPr>
      </w:pPr>
      <w:r>
        <w:rPr>
          <w:noProof/>
        </w:rPr>
        <w:t>Investiția 6 (C22.I6): Fondul pentru impact social (FIS)</w:t>
      </w:r>
    </w:p>
    <w:p w14:paraId="771A48F7" w14:textId="5193DC64" w:rsidR="00011DE9" w:rsidRDefault="00011DE9">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rPr>
        <w:t>Această măsură constă într-o investiție publică într-o facilitate, Fondul pentru impact social, pentru a stimula investițiile private și a</w:t>
      </w:r>
      <w:r>
        <w:rPr>
          <w:rStyle w:val="normaltextrun"/>
          <w:rFonts w:ascii="Times New Roman" w:hAnsi="Times New Roman"/>
          <w:noProof/>
          <w:shd w:val="clear" w:color="auto" w:fill="FFFFFF"/>
        </w:rPr>
        <w:t xml:space="preserve"> îmbunătăți accesul la finanțare în sectorul cu impact social din Spania, în</w:t>
      </w:r>
      <w:r>
        <w:rPr>
          <w:rStyle w:val="normaltextrun"/>
          <w:rFonts w:ascii="Times New Roman" w:hAnsi="Times New Roman"/>
          <w:noProof/>
        </w:rPr>
        <w:t xml:space="preserve"> </w:t>
      </w:r>
      <w:r>
        <w:rPr>
          <w:rFonts w:ascii="Times New Roman" w:hAnsi="Times New Roman"/>
          <w:noProof/>
        </w:rPr>
        <w:t xml:space="preserve">special proiectele care contribuie la soluții sociale și de mediu, ținând seama de procedurile de măsurare și gestionare a impactului stabilite de cele mai bune practici din industrie (GIIN și altele), precum și pentru a dezvolta piețele de capital în aceste domenii. Mecanismul respectiv funcționează prin acordarea de </w:t>
      </w:r>
      <w:r>
        <w:rPr>
          <w:rStyle w:val="normaltextrun"/>
          <w:rFonts w:ascii="Times New Roman" w:hAnsi="Times New Roman"/>
          <w:noProof/>
        </w:rPr>
        <w:t>împrumuturi,</w:t>
      </w:r>
      <w:r>
        <w:rPr>
          <w:rStyle w:val="normaltextrun"/>
          <w:rFonts w:ascii="Times New Roman" w:hAnsi="Times New Roman"/>
          <w:noProof/>
          <w:shd w:val="clear" w:color="auto" w:fill="FFFFFF"/>
        </w:rPr>
        <w:t xml:space="preserve"> investiții de capital și de cvasicapital, în mod direct sau prin intermediari,</w:t>
      </w:r>
      <w:r>
        <w:rPr>
          <w:rStyle w:val="normaltextrun"/>
          <w:rFonts w:ascii="Times New Roman" w:hAnsi="Times New Roman"/>
          <w:noProof/>
        </w:rPr>
        <w:t xml:space="preserve"> sectorului privat, precum și entităților din sectorul public implicate în activități similare.</w:t>
      </w:r>
      <w:r>
        <w:rPr>
          <w:rStyle w:val="normaltextrun"/>
          <w:rFonts w:ascii="Times New Roman" w:hAnsi="Times New Roman"/>
          <w:noProof/>
          <w:shd w:val="clear" w:color="auto" w:fill="FFFFFF"/>
        </w:rPr>
        <w:t xml:space="preserve"> Pe baza investițiilor MRR, mecanismul urmărește să ofere inițial o finanțare de cel puțin</w:t>
      </w:r>
      <w:r>
        <w:rPr>
          <w:rFonts w:ascii="Times New Roman" w:hAnsi="Times New Roman"/>
          <w:noProof/>
        </w:rPr>
        <w:t xml:space="preserve"> </w:t>
      </w:r>
      <w:r>
        <w:rPr>
          <w:rStyle w:val="normaltextrun"/>
          <w:rFonts w:ascii="Times New Roman" w:hAnsi="Times New Roman"/>
          <w:noProof/>
          <w:shd w:val="clear" w:color="auto" w:fill="FFFFFF"/>
        </w:rPr>
        <w:t>400</w:t>
      </w:r>
      <w:r>
        <w:rPr>
          <w:rFonts w:ascii="Times New Roman" w:hAnsi="Times New Roman"/>
          <w:noProof/>
        </w:rPr>
        <w:t xml:space="preserve"> </w:t>
      </w:r>
      <w:r>
        <w:rPr>
          <w:rStyle w:val="normaltextrun"/>
          <w:rFonts w:ascii="Times New Roman" w:hAnsi="Times New Roman"/>
          <w:noProof/>
          <w:shd w:val="clear" w:color="auto" w:fill="FFFFFF"/>
        </w:rPr>
        <w:t>000</w:t>
      </w:r>
      <w:r>
        <w:rPr>
          <w:rFonts w:ascii="Times New Roman" w:hAnsi="Times New Roman"/>
          <w:noProof/>
        </w:rPr>
        <w:t xml:space="preserve"> </w:t>
      </w:r>
      <w:r>
        <w:rPr>
          <w:rStyle w:val="normaltextrun"/>
          <w:rFonts w:ascii="Times New Roman" w:hAnsi="Times New Roman"/>
          <w:noProof/>
          <w:shd w:val="clear" w:color="auto" w:fill="FFFFFF"/>
        </w:rPr>
        <w:t>000 EUR.</w:t>
      </w:r>
      <w:r w:rsidR="00971820">
        <w:rPr>
          <w:rStyle w:val="normaltextrun"/>
          <w:rFonts w:ascii="Times New Roman" w:hAnsi="Times New Roman"/>
          <w:noProof/>
          <w:shd w:val="clear" w:color="auto" w:fill="FFFFFF"/>
        </w:rPr>
        <w:t xml:space="preserve"> </w:t>
      </w:r>
    </w:p>
    <w:p w14:paraId="466E16F4" w14:textId="77777777" w:rsidR="00011DE9" w:rsidRDefault="00011DE9">
      <w:pPr>
        <w:spacing w:line="240" w:lineRule="auto"/>
        <w:jc w:val="both"/>
        <w:rPr>
          <w:rFonts w:ascii="Times New Roman" w:eastAsiaTheme="minorEastAsia" w:hAnsi="Times New Roman" w:cs="Times New Roman"/>
          <w:noProof/>
        </w:rPr>
      </w:pPr>
      <w:r>
        <w:rPr>
          <w:rStyle w:val="normaltextrun"/>
          <w:rFonts w:ascii="Times New Roman" w:hAnsi="Times New Roman"/>
          <w:noProof/>
          <w:shd w:val="clear" w:color="auto" w:fill="FFFFFF"/>
        </w:rPr>
        <w:t xml:space="preserve">Facilitatea este gestionată de Compañía Española de Financiación del Desarrollo (COFIDES) în calitate de partener de implementare. Mecanismul include următoarele trei linii de produse: </w:t>
      </w:r>
    </w:p>
    <w:p w14:paraId="087365C9" w14:textId="77777777" w:rsidR="00011DE9" w:rsidRDefault="00011DE9">
      <w:pPr>
        <w:pStyle w:val="P68B1DB1-ListParagraph25"/>
        <w:numPr>
          <w:ilvl w:val="0"/>
          <w:numId w:val="157"/>
        </w:numPr>
        <w:spacing w:line="259" w:lineRule="auto"/>
        <w:jc w:val="both"/>
        <w:rPr>
          <w:rFonts w:eastAsiaTheme="minorEastAsia" w:cs="Times New Roman"/>
          <w:noProof/>
        </w:rPr>
      </w:pPr>
      <w:r>
        <w:rPr>
          <w:noProof/>
        </w:rPr>
        <w:t xml:space="preserve">Subscrierea de acțiuni în fonduri de investiții cu impact social. Această linie va achiziționa acțiuni ale vehiculelor de investiții, gestionate de administratori financiari privați, cu scopul de a investi în proiecte sociale și de mediu în toate etapele de maturitate. Achiziționarea este limitată la 25 % din totalul acțiunilor fiecărui fond, cu excepția cazurilor justificate în mod corespunzător, în care procentul respectiv ar putea crește, dar nu depășește 49 %. În plus, facilitatea nu cumpără acțiuni din mai mult de două fonduri gestionate de același administrator financiar, cu excepția cazului în care unul dintre cele două fonduri se află într-o perioadă de dezinvestire și a dezinvestit cel puțin 50 % din activele administrate. </w:t>
      </w:r>
    </w:p>
    <w:p w14:paraId="4E148D03" w14:textId="77777777" w:rsidR="00011DE9" w:rsidRDefault="00011DE9">
      <w:pPr>
        <w:pStyle w:val="P68B1DB1-ListParagraph25"/>
        <w:numPr>
          <w:ilvl w:val="0"/>
          <w:numId w:val="157"/>
        </w:numPr>
        <w:spacing w:line="259" w:lineRule="auto"/>
        <w:jc w:val="both"/>
        <w:rPr>
          <w:rFonts w:eastAsiaTheme="minorEastAsia" w:cs="Times New Roman"/>
          <w:noProof/>
        </w:rPr>
      </w:pPr>
      <w:r>
        <w:rPr>
          <w:noProof/>
        </w:rPr>
        <w:t xml:space="preserve">Coinvestiții sau cofinanțări, prin instrumente de capitaluri proprii sau alte instrumente de datorie, în proiecte cu un impact social sau de mediu măsurabil sau în întreprinderi care s-au angajat să realizeze noi proiecte cu aceste caracteristici. Această linie coinvestește sau cofinanțează proiecte cu alte fonduri publice sau private, inclusiv, eventual, cu cele pentru care facilitatea a achiziționat acțiuni. </w:t>
      </w:r>
    </w:p>
    <w:p w14:paraId="05728063" w14:textId="77777777" w:rsidR="00011DE9" w:rsidRDefault="00011DE9">
      <w:pPr>
        <w:pStyle w:val="P68B1DB1-ListParagraph25"/>
        <w:numPr>
          <w:ilvl w:val="0"/>
          <w:numId w:val="157"/>
        </w:numPr>
        <w:spacing w:line="259" w:lineRule="auto"/>
        <w:jc w:val="both"/>
        <w:rPr>
          <w:rFonts w:eastAsiaTheme="minorEastAsia" w:cs="Times New Roman"/>
          <w:noProof/>
        </w:rPr>
      </w:pPr>
      <w:r>
        <w:rPr>
          <w:noProof/>
        </w:rPr>
        <w:t>Împrumuturi directe și împrumuturi participative în întreprinderi care realizează proiecte cu un impact social sau de mediu măsurabil.</w:t>
      </w:r>
    </w:p>
    <w:p w14:paraId="14B416B5" w14:textId="77777777" w:rsidR="00011DE9" w:rsidRDefault="00011DE9">
      <w:pPr>
        <w:pStyle w:val="P68B1DB1-Normal16"/>
        <w:jc w:val="both"/>
        <w:rPr>
          <w:rFonts w:eastAsia="Times New Roman" w:cs="Times New Roman"/>
          <w:noProof/>
          <w:u w:val="single"/>
        </w:rPr>
      </w:pPr>
      <w:r>
        <w:rPr>
          <w:noProof/>
        </w:rPr>
        <w:t>Această investiție acoperă, de asemenea, un mecanism de asistență tehnică (ATTM), care vizează îmbunătățirea capacităților beneficiarilor de a-și gestiona și măsura impactul proiectelor lor de investiții. Acesta sprijină, de asemenea, buna gestiune financiară a mecanismului. TAF va fi gestionat de COFIDES și va beneficia de o alocare inițială de până la 8 de milioane EUR.</w:t>
      </w:r>
    </w:p>
    <w:p w14:paraId="5BD7CED5" w14:textId="77777777" w:rsidR="00011DE9" w:rsidRDefault="00011DE9">
      <w:pPr>
        <w:pStyle w:val="P68B1DB1-Normal16"/>
        <w:spacing w:line="240" w:lineRule="auto"/>
        <w:jc w:val="both"/>
        <w:rPr>
          <w:rFonts w:eastAsia="Times New Roman" w:cs="Times New Roman"/>
          <w:noProof/>
        </w:rPr>
      </w:pPr>
      <w:r>
        <w:rPr>
          <w:noProof/>
        </w:rPr>
        <w:t xml:space="preserve">Pentru a pune în aplicare investiția în mecanism, Spania aprobă un regulament și orice documente conexe pentru crearea și gestionarea mecanismului, care includ următorul conținut: </w:t>
      </w:r>
    </w:p>
    <w:p w14:paraId="01269A3F" w14:textId="77777777" w:rsidR="00011DE9" w:rsidRDefault="00011DE9">
      <w:pPr>
        <w:pStyle w:val="P68B1DB1-ListParagraph25"/>
        <w:numPr>
          <w:ilvl w:val="0"/>
          <w:numId w:val="159"/>
        </w:numPr>
        <w:spacing w:line="240" w:lineRule="auto"/>
        <w:contextualSpacing w:val="0"/>
        <w:jc w:val="both"/>
        <w:rPr>
          <w:rFonts w:eastAsia="Times New Roman" w:cs="Times New Roman"/>
          <w:noProof/>
        </w:rPr>
      </w:pPr>
      <w:r>
        <w:rPr>
          <w:noProof/>
        </w:rPr>
        <w:t>Descrierea procesului decizional al instrumentului: Decizia inițială de investiție a facilității este luată de un comitet pentru investiții sau de un alt organ de conducere echivalent relevant și este aprobată cu o majoritate de voturi de către membri care sunt independenți de guvernul spaniol. Decizia finală de investiții a facilității se limitează la aprobarea (fără modificări) sau la exercitarea unui drept de veto cu privire la o decizie de investiții propusă de comitetul pentru investiții sau de organul de conducere echivalent relevant. În cazul investițiilor intermediate, decizia finală de investiție este luată de intermediari.</w:t>
      </w:r>
    </w:p>
    <w:p w14:paraId="40F826B2" w14:textId="77777777" w:rsidR="00011DE9" w:rsidRDefault="00011DE9">
      <w:pPr>
        <w:pStyle w:val="P68B1DB1-ListParagraph25"/>
        <w:numPr>
          <w:ilvl w:val="0"/>
          <w:numId w:val="159"/>
        </w:numPr>
        <w:spacing w:line="240" w:lineRule="auto"/>
        <w:jc w:val="both"/>
        <w:rPr>
          <w:rFonts w:eastAsia="Times New Roman" w:cs="Times New Roman"/>
          <w:noProof/>
        </w:rPr>
      </w:pPr>
      <w:r>
        <w:rPr>
          <w:noProof/>
        </w:rPr>
        <w:t>Cerințele-cheie ale politicii de investiții asociate, care includ:</w:t>
      </w:r>
    </w:p>
    <w:p w14:paraId="0AF16345" w14:textId="77777777" w:rsidR="00011DE9" w:rsidRDefault="00011DE9">
      <w:pPr>
        <w:pStyle w:val="P68B1DB1-ListParagraph25"/>
        <w:numPr>
          <w:ilvl w:val="1"/>
          <w:numId w:val="159"/>
        </w:numPr>
        <w:spacing w:line="240" w:lineRule="auto"/>
        <w:jc w:val="both"/>
        <w:rPr>
          <w:rFonts w:eastAsia="Times New Roman" w:cs="Times New Roman"/>
          <w:noProof/>
        </w:rPr>
      </w:pPr>
      <w:r>
        <w:rPr>
          <w:noProof/>
        </w:rPr>
        <w:t>Descrierea produselor financiare și a beneficiarilor finali eligibili în conformitate cu descrierea măsurii.</w:t>
      </w:r>
    </w:p>
    <w:p w14:paraId="6979FC85" w14:textId="77777777" w:rsidR="00011DE9" w:rsidRDefault="00011DE9">
      <w:pPr>
        <w:pStyle w:val="P68B1DB1-ListParagraph25"/>
        <w:numPr>
          <w:ilvl w:val="1"/>
          <w:numId w:val="159"/>
        </w:numPr>
        <w:spacing w:line="240" w:lineRule="auto"/>
        <w:jc w:val="both"/>
        <w:rPr>
          <w:rFonts w:eastAsia="Times New Roman" w:cs="Times New Roman"/>
          <w:noProof/>
        </w:rPr>
      </w:pPr>
      <w:r>
        <w:rPr>
          <w:noProof/>
        </w:rPr>
        <w:t>Cerința ca toate investițiile care beneficiază de sprijin să fie viabile din punct de vedere economic.</w:t>
      </w:r>
    </w:p>
    <w:p w14:paraId="07D96BD6" w14:textId="71E7ACBD" w:rsidR="00011DE9" w:rsidRDefault="00011DE9">
      <w:pPr>
        <w:pStyle w:val="P68B1DB1-ListParagraph25"/>
        <w:numPr>
          <w:ilvl w:val="1"/>
          <w:numId w:val="159"/>
        </w:numPr>
        <w:spacing w:line="240" w:lineRule="auto"/>
        <w:jc w:val="both"/>
        <w:rPr>
          <w:rFonts w:eastAsia="Times New Roman" w:cs="Times New Roman"/>
          <w:noProof/>
        </w:rPr>
      </w:pPr>
      <w:r>
        <w:rPr>
          <w:noProof/>
        </w:rPr>
        <w:t>Interdicția de a refinanța orice împrumut restant.</w:t>
      </w:r>
      <w:r w:rsidR="00971820">
        <w:rPr>
          <w:noProof/>
        </w:rPr>
        <w:t xml:space="preserve"> </w:t>
      </w:r>
    </w:p>
    <w:p w14:paraId="3B0AAB56" w14:textId="77777777" w:rsidR="00011DE9" w:rsidRDefault="00011DE9">
      <w:pPr>
        <w:pStyle w:val="P68B1DB1-ListParagraph25"/>
        <w:numPr>
          <w:ilvl w:val="1"/>
          <w:numId w:val="159"/>
        </w:numPr>
        <w:spacing w:line="240" w:lineRule="auto"/>
        <w:jc w:val="both"/>
        <w:rPr>
          <w:rFonts w:eastAsia="Times New Roman" w:cs="Times New Roman"/>
          <w:noProof/>
        </w:rPr>
      </w:pPr>
      <w:r>
        <w:rPr>
          <w:noProof/>
        </w:rPr>
        <w:t xml:space="preserve">Cerința de a respecta principiul de „a nu prejudicia în mod semnificativ”, astfel cum este prevăzută în Orientările tehnice privind principiul de „a nu prejudicia în mod semnificativ” (2021/C58/01), în special: </w:t>
      </w:r>
    </w:p>
    <w:p w14:paraId="235BDDBB" w14:textId="77777777" w:rsidR="00011DE9" w:rsidRDefault="00011DE9">
      <w:pPr>
        <w:pStyle w:val="ListParagraph"/>
        <w:numPr>
          <w:ilvl w:val="2"/>
          <w:numId w:val="159"/>
        </w:numPr>
        <w:spacing w:line="259" w:lineRule="auto"/>
        <w:jc w:val="both"/>
        <w:rPr>
          <w:rFonts w:ascii="Times New Roman" w:eastAsia="Times New Roman" w:hAnsi="Times New Roman" w:cs="Times New Roman"/>
          <w:noProof/>
        </w:rPr>
      </w:pPr>
      <w:r>
        <w:rPr>
          <w:rFonts w:ascii="Times New Roman" w:hAnsi="Times New Roman"/>
          <w:noProof/>
        </w:rPr>
        <w:t>În cazul împrumuturilor, al obligațiunilor pentru finanțarea proiectelor sau al instrumentelor echivalente: politica de investiții exclude de la eligibilitate următoarele activități și active: (I) activitățile și activele legate de combustibilii fosili, inclusiv utilizarea în aval</w:t>
      </w:r>
      <w:r>
        <w:rPr>
          <w:rStyle w:val="FootnoteReference"/>
          <w:rFonts w:ascii="Times New Roman" w:eastAsia="Times New Roman" w:hAnsi="Times New Roman" w:cs="Times New Roman"/>
          <w:noProof/>
        </w:rPr>
        <w:footnoteReference w:id="133"/>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Times New Roman" w:hAnsi="Times New Roman" w:cs="Times New Roman"/>
          <w:noProof/>
        </w:rPr>
        <w:footnoteReference w:id="134"/>
      </w:r>
      <w:r>
        <w:rPr>
          <w:rFonts w:ascii="Times New Roman" w:hAnsi="Times New Roman"/>
          <w:noProof/>
        </w:rPr>
        <w:t xml:space="preserve">, (iii) activitățile și activele legate de depozitele de deșeuri, incineratoare și stațiile de tratare mecano-biologică. </w:t>
      </w:r>
    </w:p>
    <w:p w14:paraId="16562075" w14:textId="77777777" w:rsidR="00011DE9" w:rsidRDefault="00011DE9">
      <w:pPr>
        <w:pStyle w:val="ListParagraph"/>
        <w:numPr>
          <w:ilvl w:val="2"/>
          <w:numId w:val="159"/>
        </w:numPr>
        <w:spacing w:line="259" w:lineRule="auto"/>
        <w:jc w:val="both"/>
        <w:rPr>
          <w:rFonts w:ascii="Times New Roman" w:eastAsia="Times New Roman" w:hAnsi="Times New Roman" w:cs="Times New Roman"/>
          <w:noProof/>
        </w:rPr>
      </w:pPr>
      <w:r>
        <w:rPr>
          <w:rFonts w:ascii="Times New Roman" w:hAnsi="Times New Roman"/>
          <w:noProof/>
        </w:rPr>
        <w:t>În cazul capitalului propriu, al cvasicapitalului, al obligațiunilor corporative sau al instrumentelor echivalente: politica de investiții exclude întreprinderile care pun un accent deosebit</w:t>
      </w:r>
      <w:r>
        <w:rPr>
          <w:rStyle w:val="FootnoteReference"/>
          <w:rFonts w:ascii="Times New Roman" w:eastAsia="Times New Roman" w:hAnsi="Times New Roman" w:cs="Times New Roman"/>
          <w:noProof/>
        </w:rPr>
        <w:footnoteReference w:id="135"/>
      </w:r>
      <w:r>
        <w:rPr>
          <w:rFonts w:ascii="Times New Roman" w:hAnsi="Times New Roman"/>
          <w:noProof/>
        </w:rPr>
        <w:t xml:space="preserve"> pe următoarele sectoare: (I) producția de energie pe bază de combustibili fosili și activitățile conexe</w:t>
      </w:r>
      <w:r>
        <w:rPr>
          <w:rStyle w:val="FootnoteReference"/>
          <w:rFonts w:ascii="Times New Roman" w:eastAsia="Times New Roman" w:hAnsi="Times New Roman" w:cs="Times New Roman"/>
          <w:noProof/>
        </w:rPr>
        <w:footnoteReference w:id="136"/>
      </w:r>
      <w:r>
        <w:rPr>
          <w:rFonts w:ascii="Times New Roman" w:hAnsi="Times New Roman"/>
          <w:noProof/>
        </w:rPr>
        <w:t>; (II) industriile mari consumatoare de energie și/sau cu emisii ridicate de CO2</w:t>
      </w:r>
      <w:r>
        <w:rPr>
          <w:rStyle w:val="FootnoteReference"/>
          <w:rFonts w:ascii="Times New Roman" w:eastAsia="Times New Roman" w:hAnsi="Times New Roman" w:cs="Times New Roman"/>
          <w:noProof/>
        </w:rPr>
        <w:footnoteReference w:id="137"/>
      </w:r>
      <w:r>
        <w:rPr>
          <w:rFonts w:ascii="Times New Roman" w:hAnsi="Times New Roman"/>
          <w:noProof/>
        </w:rPr>
        <w:t>; (III) producția, închirierea sau vânzarea de vehicule poluante</w:t>
      </w:r>
      <w:r>
        <w:rPr>
          <w:rStyle w:val="FootnoteReference"/>
          <w:rFonts w:ascii="Times New Roman" w:eastAsia="Times New Roman" w:hAnsi="Times New Roman" w:cs="Times New Roman"/>
          <w:noProof/>
        </w:rPr>
        <w:footnoteReference w:id="138"/>
      </w:r>
      <w:r>
        <w:rPr>
          <w:rFonts w:ascii="Times New Roman" w:hAnsi="Times New Roman"/>
          <w:noProof/>
        </w:rPr>
        <w:t>; (IV) colectarea deșeurilor, tratarea și eliminarea deșeurilor</w:t>
      </w:r>
      <w:r>
        <w:rPr>
          <w:rStyle w:val="FootnoteReference"/>
          <w:rFonts w:ascii="Times New Roman" w:eastAsia="Times New Roman" w:hAnsi="Times New Roman" w:cs="Times New Roman"/>
          <w:noProof/>
        </w:rPr>
        <w:footnoteReference w:id="139"/>
      </w:r>
      <w:r>
        <w:rPr>
          <w:rFonts w:ascii="Times New Roman" w:hAnsi="Times New Roman"/>
          <w:noProof/>
        </w:rPr>
        <w:t>, (v) prelucrarea combustibilului nuclear, producția de energie nucleară</w:t>
      </w:r>
    </w:p>
    <w:p w14:paraId="0127F3F6" w14:textId="77777777" w:rsidR="00011DE9" w:rsidRDefault="00011DE9">
      <w:pPr>
        <w:pStyle w:val="P68B1DB1-ListParagraph25"/>
        <w:numPr>
          <w:ilvl w:val="2"/>
          <w:numId w:val="159"/>
        </w:numPr>
        <w:spacing w:line="259" w:lineRule="auto"/>
        <w:jc w:val="both"/>
        <w:rPr>
          <w:rFonts w:eastAsia="Times New Roman" w:cs="Times New Roman"/>
          <w:noProof/>
        </w:rPr>
      </w:pPr>
      <w:r>
        <w:rPr>
          <w:noProof/>
        </w:rPr>
        <w:t>În plus, politica de investiții impune respectarea legislației UE și naționale relevante în materie de mediu de către beneficiarii finali ai facilității.</w:t>
      </w:r>
    </w:p>
    <w:p w14:paraId="74C6D478" w14:textId="77777777" w:rsidR="00011DE9" w:rsidRDefault="00011DE9">
      <w:pPr>
        <w:pStyle w:val="P68B1DB1-ListParagraph25"/>
        <w:numPr>
          <w:ilvl w:val="1"/>
          <w:numId w:val="159"/>
        </w:numPr>
        <w:spacing w:line="259" w:lineRule="auto"/>
        <w:jc w:val="both"/>
        <w:rPr>
          <w:rFonts w:eastAsia="Times New Roman" w:cs="Times New Roman"/>
          <w:noProof/>
        </w:rPr>
      </w:pPr>
      <w:r>
        <w:rPr>
          <w:noProof/>
        </w:rPr>
        <w:t>Cerința ca beneficiarii finali ai mecanismului să nu primească sprijin din partea altor instrumente ale Uniunii pentru a acoperi aceleași costuri.</w:t>
      </w:r>
    </w:p>
    <w:p w14:paraId="0AD1F0F7" w14:textId="77777777" w:rsidR="00011DE9" w:rsidRDefault="00011DE9">
      <w:pPr>
        <w:pStyle w:val="P68B1DB1-ListParagraph25"/>
        <w:numPr>
          <w:ilvl w:val="0"/>
          <w:numId w:val="159"/>
        </w:numPr>
        <w:spacing w:line="259" w:lineRule="auto"/>
        <w:jc w:val="both"/>
        <w:rPr>
          <w:rFonts w:eastAsia="Times New Roman" w:cs="Times New Roman"/>
          <w:noProof/>
        </w:rPr>
      </w:pPr>
      <w:r>
        <w:rPr>
          <w:noProof/>
        </w:rPr>
        <w:t>Suma care face obiectul regulamentelor și al oricăror documente asociate de instituire a mecanismului, structura comisioanelor pentru partenerul de implementare și cerința de a reinvesti orice restituiri în conformitate cu politica de investiții a mecanismului, cu excepția cazului în care acestea sunt utilizate pentru a rambursa împrumuturile din cadrul Mecanismului de redresare și reziliență.</w:t>
      </w:r>
    </w:p>
    <w:p w14:paraId="3315EC01" w14:textId="77777777" w:rsidR="00011DE9" w:rsidRDefault="00011DE9">
      <w:pPr>
        <w:pStyle w:val="P68B1DB1-ListParagraph25"/>
        <w:numPr>
          <w:ilvl w:val="0"/>
          <w:numId w:val="159"/>
        </w:numPr>
        <w:spacing w:line="259" w:lineRule="auto"/>
        <w:jc w:val="both"/>
        <w:rPr>
          <w:rFonts w:eastAsia="Times New Roman" w:cs="Times New Roman"/>
          <w:noProof/>
        </w:rPr>
      </w:pPr>
      <w:r>
        <w:rPr>
          <w:noProof/>
        </w:rPr>
        <w:t>Cerințe de monitorizare, audit și control, inclusiv:</w:t>
      </w:r>
    </w:p>
    <w:p w14:paraId="6B0BA5A6" w14:textId="77777777" w:rsidR="00011DE9" w:rsidRDefault="00011DE9">
      <w:pPr>
        <w:pStyle w:val="P68B1DB1-ListParagraph25"/>
        <w:numPr>
          <w:ilvl w:val="1"/>
          <w:numId w:val="159"/>
        </w:numPr>
        <w:spacing w:line="259" w:lineRule="auto"/>
        <w:jc w:val="both"/>
        <w:rPr>
          <w:rFonts w:eastAsia="Times New Roman" w:cs="Times New Roman"/>
          <w:noProof/>
        </w:rPr>
      </w:pPr>
      <w:r>
        <w:rPr>
          <w:noProof/>
        </w:rPr>
        <w:t>Descrierea sistemului de monitorizare al partenerului de implementare pentru raportarea cu privire la investițiile mobilizate.</w:t>
      </w:r>
    </w:p>
    <w:p w14:paraId="38DEAF7E" w14:textId="77777777" w:rsidR="00011DE9" w:rsidRDefault="00011DE9">
      <w:pPr>
        <w:pStyle w:val="P68B1DB1-ListParagraph25"/>
        <w:numPr>
          <w:ilvl w:val="1"/>
          <w:numId w:val="159"/>
        </w:numPr>
        <w:spacing w:line="259" w:lineRule="auto"/>
        <w:jc w:val="both"/>
        <w:rPr>
          <w:rFonts w:eastAsia="Times New Roman" w:cs="Times New Roman"/>
          <w:noProof/>
        </w:rPr>
      </w:pPr>
      <w:r>
        <w:rPr>
          <w:noProof/>
        </w:rPr>
        <w:t xml:space="preserve">Descrierea procedurilor partenerului de implementare care vor asigura prevenirea, detectarea și corectarea fraudei, a corupției și a conflictelor de interese. </w:t>
      </w:r>
    </w:p>
    <w:p w14:paraId="51FF34B0" w14:textId="77777777" w:rsidR="00011DE9" w:rsidRDefault="00011DE9">
      <w:pPr>
        <w:pStyle w:val="P68B1DB1-ListParagraph25"/>
        <w:numPr>
          <w:ilvl w:val="1"/>
          <w:numId w:val="159"/>
        </w:numPr>
        <w:spacing w:line="259" w:lineRule="auto"/>
        <w:jc w:val="both"/>
        <w:rPr>
          <w:rFonts w:eastAsia="Times New Roman" w:cs="Times New Roman"/>
          <w:noProof/>
        </w:rPr>
      </w:pPr>
      <w:r>
        <w:rPr>
          <w:noProof/>
        </w:rPr>
        <w:t xml:space="preserve">Obligația de a verifica eligibilitatea fiecărei operațiuni în conformitate cu cerințele prevăzute în regulamentele de instituire a instrumentului înainte de a se angaja să finanțeze o operațiune. </w:t>
      </w:r>
    </w:p>
    <w:p w14:paraId="46951B74" w14:textId="77777777" w:rsidR="00011DE9" w:rsidRDefault="00011DE9">
      <w:pPr>
        <w:pStyle w:val="P68B1DB1-ListParagraph25"/>
        <w:numPr>
          <w:ilvl w:val="1"/>
          <w:numId w:val="159"/>
        </w:numPr>
        <w:spacing w:line="259" w:lineRule="auto"/>
        <w:jc w:val="both"/>
        <w:rPr>
          <w:rFonts w:eastAsia="Times New Roman" w:cs="Times New Roman"/>
          <w:noProof/>
        </w:rPr>
      </w:pPr>
      <w:r>
        <w:rPr>
          <w:noProof/>
        </w:rPr>
        <w:t xml:space="preserve">Obligația de a efectua audituri ex post bazate pe riscuri, în conformitate cu un plan de audit al COFIDES. Aceste audituri verifică i) dacă sistemele de control sunt eficace, inclusiv detectarea fraudei, a corupției și a conflictelor de interese; respectarea principiului DNSH, a normelor privind ajutoarele de stat, a cerințelor privind țintele climatice și digitale; și iii) respectarea cerinței ca intermediarul să verifice dacă beneficiarul final prezintă o declarație responsabilă pentru a verifica dacă același cost este acoperit de un alt instrument al Uniunii. Auditurile verifică, de asemenea, legalitatea tranzacțiilor și respectarea condițiilor din regulamentul aplicabil și din documentele conexe de instituire a mecanismului și a acordurilor de finanțare. </w:t>
      </w:r>
    </w:p>
    <w:p w14:paraId="614B10F9" w14:textId="63DDB878" w:rsidR="00011DE9" w:rsidRDefault="00011DE9">
      <w:pPr>
        <w:pStyle w:val="P68B1DB1-ListParagraph25"/>
        <w:numPr>
          <w:ilvl w:val="0"/>
          <w:numId w:val="159"/>
        </w:numPr>
        <w:spacing w:line="259" w:lineRule="auto"/>
        <w:jc w:val="both"/>
        <w:rPr>
          <w:rFonts w:eastAsia="Times New Roman" w:cs="Times New Roman"/>
          <w:noProof/>
        </w:rPr>
      </w:pPr>
      <w:r>
        <w:rPr>
          <w:noProof/>
        </w:rPr>
        <w:t>Cerințe pentru selectarea intermediarilor financiari: COFIDES selectează intermediarii financiari în mod deschis, transparent și nediscriminatoriu. Controalele privind absența conflictelor de interese în ceea ce privește intermediarii financiari au loc și se efectuează ex ante prin intermediul unui sistem informatic, cum ar fi Minerva, pentru toți actorii financiari implicați.</w:t>
      </w:r>
      <w:r w:rsidR="00971820">
        <w:rPr>
          <w:noProof/>
        </w:rPr>
        <w:t xml:space="preserve"> </w:t>
      </w:r>
    </w:p>
    <w:p w14:paraId="17D70683" w14:textId="6B3B28BA" w:rsidR="00011DE9" w:rsidRDefault="00011DE9">
      <w:pPr>
        <w:pStyle w:val="P68B1DB1-ListParagraph25"/>
        <w:numPr>
          <w:ilvl w:val="0"/>
          <w:numId w:val="159"/>
        </w:numPr>
        <w:spacing w:line="259" w:lineRule="auto"/>
        <w:jc w:val="both"/>
        <w:rPr>
          <w:rFonts w:eastAsia="Times New Roman" w:cs="Times New Roman"/>
          <w:noProof/>
        </w:rPr>
      </w:pPr>
      <w:r>
        <w:rPr>
          <w:noProof/>
        </w:rPr>
        <w:t>Cerința de a semna acorduri de finanțare: COFIDES semnează acorduri de finanțare cu intermediarii financiari în conformitate cu cerințele-cheie care vor fi furnizate ca parte a documentelor asociate de instituire a mecanismului. Cerințele-cheie ale acordului de finanțare includ toate cerințele în temeiul cărora funcționează mecanismul, inclusiv:</w:t>
      </w:r>
      <w:r w:rsidR="00971820">
        <w:rPr>
          <w:noProof/>
        </w:rPr>
        <w:t xml:space="preserve"> </w:t>
      </w:r>
    </w:p>
    <w:p w14:paraId="2F219234" w14:textId="77777777" w:rsidR="00011DE9" w:rsidRDefault="00011DE9">
      <w:pPr>
        <w:pStyle w:val="P68B1DB1-ListParagraph25"/>
        <w:numPr>
          <w:ilvl w:val="1"/>
          <w:numId w:val="159"/>
        </w:numPr>
        <w:spacing w:line="259" w:lineRule="auto"/>
        <w:jc w:val="both"/>
        <w:rPr>
          <w:rFonts w:cs="Times New Roman"/>
          <w:noProof/>
        </w:rPr>
      </w:pPr>
      <w:r>
        <w:rPr>
          <w:noProof/>
        </w:rPr>
        <w:t xml:space="preserve">Obligația intermediarului financiar de a lua decizii în conformitate </w:t>
      </w:r>
      <w:r>
        <w:rPr>
          <w:i/>
          <w:noProof/>
        </w:rPr>
        <w:t>mutatis mutandis</w:t>
      </w:r>
      <w:r>
        <w:rPr>
          <w:noProof/>
        </w:rPr>
        <w:t xml:space="preserve"> cu cerințele de luare a deciziilor și de politică de investiții specificate mai sus, inclusiv în ceea ce privește respectarea principiului DNSH. </w:t>
      </w:r>
    </w:p>
    <w:p w14:paraId="35F29ABA" w14:textId="3CE4AD9C" w:rsidR="00011DE9" w:rsidRDefault="00011DE9">
      <w:pPr>
        <w:pStyle w:val="P68B1DB1-ListParagraph25"/>
        <w:numPr>
          <w:ilvl w:val="1"/>
          <w:numId w:val="159"/>
        </w:numPr>
        <w:spacing w:line="259" w:lineRule="auto"/>
        <w:jc w:val="both"/>
        <w:rPr>
          <w:rFonts w:cs="Times New Roman"/>
          <w:noProof/>
        </w:rPr>
      </w:pPr>
      <w:r>
        <w:rPr>
          <w:noProof/>
        </w:rPr>
        <w:t xml:space="preserve">Descrierea cadrului de monitorizare, audit și control pe care intermediarul financiar trebuie să îl instituie și care, </w:t>
      </w:r>
      <w:r>
        <w:rPr>
          <w:i/>
          <w:noProof/>
        </w:rPr>
        <w:t>mutatis mutandis</w:t>
      </w:r>
      <w:r>
        <w:rPr>
          <w:noProof/>
        </w:rPr>
        <w:t>, face obiectul tuturor cerințelor de monitorizare, audit și control specificate mai sus.</w:t>
      </w:r>
      <w:r w:rsidR="00971820">
        <w:rPr>
          <w:noProof/>
        </w:rPr>
        <w:t xml:space="preserve"> </w:t>
      </w:r>
    </w:p>
    <w:p w14:paraId="37269023" w14:textId="0DF97C77" w:rsidR="00011DE9" w:rsidRDefault="00011DE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V.4.</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punere în aplicare pentru sprijinul sub formă de împrumut</w:t>
      </w:r>
    </w:p>
    <w:p w14:paraId="5D745BE4" w14:textId="77777777" w:rsidR="00011DE9" w:rsidRDefault="00011DE9">
      <w:pPr>
        <w:pStyle w:val="P68B1DB1-Normal16"/>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w:t>
      </w:r>
    </w:p>
    <w:p w14:paraId="53F6171D" w14:textId="77777777" w:rsidR="00011DE9" w:rsidRDefault="00011DE9">
      <w:pPr>
        <w:spacing w:line="240" w:lineRule="auto"/>
        <w:jc w:val="both"/>
        <w:rPr>
          <w:rFonts w:ascii="Times New Roman" w:eastAsia="Times New Roman" w:hAnsi="Times New Roman" w:cs="Times New Roman"/>
          <w:noProof/>
        </w:rPr>
      </w:pPr>
    </w:p>
    <w:p w14:paraId="22E192D9" w14:textId="77777777" w:rsidR="00011DE9" w:rsidRDefault="00011DE9">
      <w:pPr>
        <w:spacing w:line="240" w:lineRule="auto"/>
        <w:jc w:val="both"/>
        <w:rPr>
          <w:rFonts w:ascii="Times New Roman" w:eastAsia="Times New Roman" w:hAnsi="Times New Roman" w:cs="Times New Roman"/>
          <w:noProof/>
        </w:rPr>
      </w:pPr>
    </w:p>
    <w:p w14:paraId="42CB441B" w14:textId="77777777" w:rsidR="00011DE9" w:rsidRDefault="00011DE9">
      <w:pPr>
        <w:jc w:val="both"/>
        <w:rPr>
          <w:rFonts w:ascii="Times New Roman" w:eastAsiaTheme="minorEastAsia" w:hAnsi="Times New Roman" w:cs="Times New Roman"/>
          <w:noProof/>
        </w:rPr>
        <w:sectPr w:rsidR="00011DE9" w:rsidSect="00011DE9">
          <w:headerReference w:type="even" r:id="rId310"/>
          <w:headerReference w:type="default" r:id="rId311"/>
          <w:footerReference w:type="even" r:id="rId312"/>
          <w:footerReference w:type="default" r:id="rId313"/>
          <w:headerReference w:type="first" r:id="rId314"/>
          <w:footerReference w:type="first" r:id="rId315"/>
          <w:pgSz w:w="11907" w:h="16839"/>
          <w:pgMar w:top="1134" w:right="1134" w:bottom="1134" w:left="1134" w:header="567" w:footer="567" w:gutter="0"/>
          <w:cols w:space="720"/>
          <w:docGrid w:linePitch="360"/>
        </w:sectPr>
      </w:pPr>
    </w:p>
    <w:p w14:paraId="0B009F45" w14:textId="77777777" w:rsidR="00011DE9" w:rsidRDefault="00011DE9">
      <w:pPr>
        <w:rPr>
          <w:rFonts w:ascii="Times New Roman" w:hAnsi="Times New Roman" w:cs="Times New Roman"/>
          <w:noProof/>
        </w:rPr>
      </w:pPr>
    </w:p>
    <w:tbl>
      <w:tblPr>
        <w:tblpPr w:leftFromText="141" w:rightFromText="141" w:vertAnchor="text" w:horzAnchor="margin" w:tblpXSpec="center" w:tblpY="507"/>
        <w:tblW w:w="16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70" w:type="dxa"/>
        </w:tblCellMar>
        <w:tblLook w:val="04A0" w:firstRow="1" w:lastRow="0" w:firstColumn="1" w:lastColumn="0" w:noHBand="0" w:noVBand="1"/>
      </w:tblPr>
      <w:tblGrid>
        <w:gridCol w:w="1867"/>
        <w:gridCol w:w="850"/>
        <w:gridCol w:w="851"/>
        <w:gridCol w:w="1417"/>
        <w:gridCol w:w="1560"/>
        <w:gridCol w:w="628"/>
        <w:gridCol w:w="992"/>
        <w:gridCol w:w="850"/>
        <w:gridCol w:w="567"/>
        <w:gridCol w:w="709"/>
        <w:gridCol w:w="5953"/>
      </w:tblGrid>
      <w:tr w:rsidR="00011DE9" w14:paraId="5255F562" w14:textId="77777777">
        <w:trPr>
          <w:trHeight w:val="524"/>
          <w:jc w:val="center"/>
        </w:trPr>
        <w:tc>
          <w:tcPr>
            <w:tcW w:w="1928" w:type="dxa"/>
            <w:vMerge w:val="restart"/>
            <w:shd w:val="clear" w:color="auto" w:fill="B7D4EF" w:themeFill="text2" w:themeFillTint="33"/>
            <w:vAlign w:val="center"/>
          </w:tcPr>
          <w:p w14:paraId="31EADD47" w14:textId="77777777" w:rsidR="00011DE9" w:rsidRDefault="00011DE9">
            <w:pPr>
              <w:pStyle w:val="P68B1DB1-Normal18"/>
              <w:spacing w:after="0" w:line="240" w:lineRule="auto"/>
              <w:jc w:val="center"/>
              <w:rPr>
                <w:rFonts w:cs="Times New Roman"/>
                <w:bCs/>
                <w:noProof/>
                <w:szCs w:val="18"/>
              </w:rPr>
            </w:pPr>
            <w:r>
              <w:rPr>
                <w:noProof/>
              </w:rPr>
              <w:t>Număr</w:t>
            </w:r>
          </w:p>
        </w:tc>
        <w:tc>
          <w:tcPr>
            <w:tcW w:w="850" w:type="dxa"/>
            <w:vMerge w:val="restart"/>
            <w:shd w:val="clear" w:color="auto" w:fill="B7D4EF" w:themeFill="text2" w:themeFillTint="33"/>
            <w:vAlign w:val="center"/>
            <w:hideMark/>
          </w:tcPr>
          <w:p w14:paraId="1A37C403" w14:textId="77777777" w:rsidR="00011DE9" w:rsidRDefault="00011DE9">
            <w:pPr>
              <w:pStyle w:val="P68B1DB1-Normal18"/>
              <w:spacing w:after="0" w:line="240" w:lineRule="auto"/>
              <w:jc w:val="center"/>
              <w:rPr>
                <w:rFonts w:cs="Times New Roman"/>
                <w:bCs/>
                <w:noProof/>
                <w:szCs w:val="18"/>
              </w:rPr>
            </w:pPr>
            <w:r>
              <w:rPr>
                <w:noProof/>
              </w:rPr>
              <w:t xml:space="preserve">Măsură </w:t>
            </w:r>
          </w:p>
        </w:tc>
        <w:tc>
          <w:tcPr>
            <w:tcW w:w="851" w:type="dxa"/>
            <w:vMerge w:val="restart"/>
            <w:shd w:val="clear" w:color="auto" w:fill="B7D4EF" w:themeFill="text2" w:themeFillTint="33"/>
            <w:vAlign w:val="center"/>
            <w:hideMark/>
          </w:tcPr>
          <w:p w14:paraId="68676B0C" w14:textId="77777777" w:rsidR="00011DE9" w:rsidRDefault="00011DE9">
            <w:pPr>
              <w:pStyle w:val="P68B1DB1-Normal18"/>
              <w:spacing w:after="0" w:line="240" w:lineRule="auto"/>
              <w:jc w:val="center"/>
              <w:rPr>
                <w:rFonts w:cs="Times New Roman"/>
                <w:bCs/>
                <w:noProof/>
                <w:szCs w:val="18"/>
              </w:rPr>
            </w:pPr>
            <w:r>
              <w:rPr>
                <w:noProof/>
              </w:rPr>
              <w:t>Etapă</w:t>
            </w:r>
          </w:p>
          <w:p w14:paraId="6282A1E5" w14:textId="77777777" w:rsidR="00011DE9" w:rsidRDefault="00011DE9">
            <w:pPr>
              <w:pStyle w:val="P68B1DB1-Normal18"/>
              <w:spacing w:after="0" w:line="240" w:lineRule="auto"/>
              <w:jc w:val="center"/>
              <w:rPr>
                <w:rFonts w:cs="Times New Roman"/>
                <w:bCs/>
                <w:noProof/>
                <w:szCs w:val="18"/>
              </w:rPr>
            </w:pPr>
            <w:r>
              <w:rPr>
                <w:noProof/>
              </w:rPr>
              <w:t>/Țintei</w:t>
            </w:r>
          </w:p>
        </w:tc>
        <w:tc>
          <w:tcPr>
            <w:tcW w:w="1417" w:type="dxa"/>
            <w:vMerge w:val="restart"/>
            <w:shd w:val="clear" w:color="auto" w:fill="B7D4EF" w:themeFill="text2" w:themeFillTint="33"/>
            <w:vAlign w:val="center"/>
            <w:hideMark/>
          </w:tcPr>
          <w:p w14:paraId="4889B5AB" w14:textId="77777777" w:rsidR="00011DE9" w:rsidRDefault="00011DE9">
            <w:pPr>
              <w:pStyle w:val="P68B1DB1-Normal18"/>
              <w:spacing w:after="0" w:line="240" w:lineRule="auto"/>
              <w:jc w:val="center"/>
              <w:rPr>
                <w:rFonts w:cs="Times New Roman"/>
                <w:bCs/>
                <w:noProof/>
                <w:szCs w:val="18"/>
              </w:rPr>
            </w:pPr>
            <w:r>
              <w:rPr>
                <w:noProof/>
              </w:rPr>
              <w:t xml:space="preserve">Nume </w:t>
            </w:r>
          </w:p>
        </w:tc>
        <w:tc>
          <w:tcPr>
            <w:tcW w:w="1560" w:type="dxa"/>
            <w:vMerge w:val="restart"/>
            <w:shd w:val="clear" w:color="auto" w:fill="B7D4EF" w:themeFill="text2" w:themeFillTint="33"/>
            <w:vAlign w:val="center"/>
            <w:hideMark/>
          </w:tcPr>
          <w:p w14:paraId="660B350A" w14:textId="29CCA1B7" w:rsidR="00011DE9" w:rsidRDefault="00011DE9">
            <w:pPr>
              <w:pStyle w:val="P68B1DB1-Normal18"/>
              <w:spacing w:after="0" w:line="240" w:lineRule="auto"/>
              <w:jc w:val="center"/>
              <w:rPr>
                <w:rFonts w:cs="Times New Roman"/>
                <w:bCs/>
                <w:noProof/>
                <w:szCs w:val="18"/>
              </w:rPr>
            </w:pPr>
            <w:r>
              <w:rPr>
                <w:noProof/>
              </w:rPr>
              <w:t>Indicatori calitativi (pentru obiectivele de etapă)</w:t>
            </w:r>
            <w:r w:rsidR="00971820">
              <w:rPr>
                <w:noProof/>
              </w:rPr>
              <w:t xml:space="preserve"> </w:t>
            </w:r>
          </w:p>
        </w:tc>
        <w:tc>
          <w:tcPr>
            <w:tcW w:w="2409" w:type="dxa"/>
            <w:gridSpan w:val="3"/>
            <w:shd w:val="clear" w:color="auto" w:fill="B7D4EF" w:themeFill="text2" w:themeFillTint="33"/>
            <w:vAlign w:val="center"/>
            <w:hideMark/>
          </w:tcPr>
          <w:p w14:paraId="56FEAB41" w14:textId="77777777" w:rsidR="00011DE9" w:rsidRDefault="00011DE9">
            <w:pPr>
              <w:pStyle w:val="P68B1DB1-Normal18"/>
              <w:spacing w:after="0" w:line="240" w:lineRule="auto"/>
              <w:jc w:val="center"/>
              <w:rPr>
                <w:rFonts w:cs="Times New Roman"/>
                <w:bCs/>
                <w:noProof/>
                <w:szCs w:val="18"/>
              </w:rPr>
            </w:pPr>
            <w:r>
              <w:rPr>
                <w:noProof/>
              </w:rPr>
              <w:t xml:space="preserve">Indicatori cantitativi (pentru ținte) </w:t>
            </w:r>
          </w:p>
        </w:tc>
        <w:tc>
          <w:tcPr>
            <w:tcW w:w="1276" w:type="dxa"/>
            <w:gridSpan w:val="2"/>
            <w:shd w:val="clear" w:color="auto" w:fill="B7D4EF" w:themeFill="text2" w:themeFillTint="33"/>
            <w:vAlign w:val="center"/>
            <w:hideMark/>
          </w:tcPr>
          <w:p w14:paraId="02FCC8AA" w14:textId="77777777" w:rsidR="00011DE9" w:rsidRDefault="00011DE9">
            <w:pPr>
              <w:pStyle w:val="P68B1DB1-Normal18"/>
              <w:spacing w:after="0" w:line="240" w:lineRule="auto"/>
              <w:jc w:val="center"/>
              <w:rPr>
                <w:rFonts w:cs="Times New Roman"/>
                <w:bCs/>
                <w:noProof/>
                <w:szCs w:val="18"/>
              </w:rPr>
            </w:pPr>
            <w:r>
              <w:rPr>
                <w:noProof/>
              </w:rPr>
              <w:t xml:space="preserve">Timp </w:t>
            </w:r>
          </w:p>
        </w:tc>
        <w:tc>
          <w:tcPr>
            <w:tcW w:w="5953" w:type="dxa"/>
            <w:vMerge w:val="restart"/>
            <w:shd w:val="clear" w:color="auto" w:fill="B7D4EF" w:themeFill="text2" w:themeFillTint="33"/>
            <w:vAlign w:val="center"/>
            <w:hideMark/>
          </w:tcPr>
          <w:p w14:paraId="36AAD263" w14:textId="77777777" w:rsidR="00011DE9" w:rsidRDefault="00011DE9">
            <w:pPr>
              <w:pStyle w:val="P68B1DB1-Normal18"/>
              <w:spacing w:after="0" w:line="240" w:lineRule="auto"/>
              <w:jc w:val="center"/>
              <w:rPr>
                <w:rFonts w:cs="Times New Roman"/>
                <w:noProof/>
                <w:szCs w:val="18"/>
              </w:rPr>
            </w:pPr>
            <w:r>
              <w:rPr>
                <w:noProof/>
              </w:rPr>
              <w:t xml:space="preserve">Descrierea fiecărui jalon și obiectiv </w:t>
            </w:r>
          </w:p>
        </w:tc>
      </w:tr>
      <w:tr w:rsidR="00011DE9" w14:paraId="6409B049" w14:textId="77777777">
        <w:trPr>
          <w:trHeight w:val="387"/>
          <w:jc w:val="center"/>
        </w:trPr>
        <w:tc>
          <w:tcPr>
            <w:tcW w:w="1928" w:type="dxa"/>
            <w:vMerge/>
          </w:tcPr>
          <w:p w14:paraId="46B3A424" w14:textId="77777777" w:rsidR="00011DE9" w:rsidRDefault="00011DE9">
            <w:pPr>
              <w:spacing w:after="0" w:line="240" w:lineRule="auto"/>
              <w:jc w:val="center"/>
              <w:rPr>
                <w:rFonts w:ascii="Times New Roman" w:hAnsi="Times New Roman" w:cs="Times New Roman"/>
                <w:b/>
                <w:bCs/>
                <w:noProof/>
                <w:sz w:val="18"/>
                <w:szCs w:val="18"/>
              </w:rPr>
            </w:pPr>
          </w:p>
        </w:tc>
        <w:tc>
          <w:tcPr>
            <w:tcW w:w="850" w:type="dxa"/>
            <w:vMerge/>
            <w:noWrap/>
            <w:vAlign w:val="bottom"/>
            <w:hideMark/>
          </w:tcPr>
          <w:p w14:paraId="74ACD65C" w14:textId="77777777" w:rsidR="00011DE9" w:rsidRDefault="00011DE9">
            <w:pPr>
              <w:spacing w:after="0" w:line="240" w:lineRule="auto"/>
              <w:jc w:val="center"/>
              <w:rPr>
                <w:rFonts w:ascii="Times New Roman" w:hAnsi="Times New Roman" w:cs="Times New Roman"/>
                <w:b/>
                <w:bCs/>
                <w:noProof/>
                <w:sz w:val="18"/>
                <w:szCs w:val="18"/>
              </w:rPr>
            </w:pPr>
          </w:p>
        </w:tc>
        <w:tc>
          <w:tcPr>
            <w:tcW w:w="851" w:type="dxa"/>
            <w:vMerge/>
            <w:noWrap/>
            <w:vAlign w:val="bottom"/>
            <w:hideMark/>
          </w:tcPr>
          <w:p w14:paraId="25A88D19" w14:textId="77777777" w:rsidR="00011DE9" w:rsidRDefault="00011DE9">
            <w:pPr>
              <w:spacing w:after="0" w:line="240" w:lineRule="auto"/>
              <w:jc w:val="center"/>
              <w:rPr>
                <w:rFonts w:ascii="Times New Roman" w:hAnsi="Times New Roman" w:cs="Times New Roman"/>
                <w:b/>
                <w:bCs/>
                <w:noProof/>
                <w:sz w:val="18"/>
                <w:szCs w:val="18"/>
              </w:rPr>
            </w:pPr>
          </w:p>
        </w:tc>
        <w:tc>
          <w:tcPr>
            <w:tcW w:w="1417" w:type="dxa"/>
            <w:vMerge/>
            <w:noWrap/>
            <w:vAlign w:val="bottom"/>
            <w:hideMark/>
          </w:tcPr>
          <w:p w14:paraId="4E39AD5B" w14:textId="77777777" w:rsidR="00011DE9" w:rsidRDefault="00011DE9">
            <w:pPr>
              <w:spacing w:after="0" w:line="240" w:lineRule="auto"/>
              <w:jc w:val="center"/>
              <w:rPr>
                <w:rFonts w:ascii="Times New Roman" w:hAnsi="Times New Roman" w:cs="Times New Roman"/>
                <w:b/>
                <w:bCs/>
                <w:noProof/>
                <w:sz w:val="18"/>
                <w:szCs w:val="18"/>
              </w:rPr>
            </w:pPr>
          </w:p>
        </w:tc>
        <w:tc>
          <w:tcPr>
            <w:tcW w:w="1560" w:type="dxa"/>
            <w:vMerge/>
            <w:noWrap/>
            <w:vAlign w:val="bottom"/>
            <w:hideMark/>
          </w:tcPr>
          <w:p w14:paraId="15BC5B85" w14:textId="77777777" w:rsidR="00011DE9" w:rsidRDefault="00011DE9">
            <w:pPr>
              <w:spacing w:after="0" w:line="240" w:lineRule="auto"/>
              <w:jc w:val="center"/>
              <w:rPr>
                <w:rFonts w:ascii="Times New Roman" w:hAnsi="Times New Roman" w:cs="Times New Roman"/>
                <w:b/>
                <w:bCs/>
                <w:noProof/>
                <w:sz w:val="18"/>
                <w:szCs w:val="18"/>
              </w:rPr>
            </w:pPr>
          </w:p>
        </w:tc>
        <w:tc>
          <w:tcPr>
            <w:tcW w:w="567" w:type="dxa"/>
            <w:shd w:val="clear" w:color="auto" w:fill="B7D4EF" w:themeFill="text2" w:themeFillTint="33"/>
            <w:vAlign w:val="center"/>
            <w:hideMark/>
          </w:tcPr>
          <w:p w14:paraId="760FC086" w14:textId="77777777" w:rsidR="00011DE9" w:rsidRDefault="00011DE9">
            <w:pPr>
              <w:pStyle w:val="P68B1DB1-Normal18"/>
              <w:spacing w:after="0" w:line="240" w:lineRule="auto"/>
              <w:jc w:val="center"/>
              <w:rPr>
                <w:rFonts w:cs="Times New Roman"/>
                <w:bCs/>
                <w:noProof/>
                <w:szCs w:val="18"/>
              </w:rPr>
            </w:pPr>
            <w:r>
              <w:rPr>
                <w:noProof/>
              </w:rPr>
              <w:t>Unitate</w:t>
            </w:r>
          </w:p>
        </w:tc>
        <w:tc>
          <w:tcPr>
            <w:tcW w:w="992" w:type="dxa"/>
            <w:shd w:val="clear" w:color="auto" w:fill="B7D4EF" w:themeFill="text2" w:themeFillTint="33"/>
            <w:vAlign w:val="center"/>
            <w:hideMark/>
          </w:tcPr>
          <w:p w14:paraId="5559D242" w14:textId="77777777" w:rsidR="00011DE9" w:rsidRDefault="00011DE9">
            <w:pPr>
              <w:pStyle w:val="P68B1DB1-Normal18"/>
              <w:spacing w:after="0" w:line="240" w:lineRule="auto"/>
              <w:jc w:val="center"/>
              <w:rPr>
                <w:rFonts w:cs="Times New Roman"/>
                <w:bCs/>
                <w:noProof/>
                <w:szCs w:val="18"/>
              </w:rPr>
            </w:pPr>
            <w:r>
              <w:rPr>
                <w:noProof/>
              </w:rPr>
              <w:t>Situația de referință</w:t>
            </w:r>
          </w:p>
        </w:tc>
        <w:tc>
          <w:tcPr>
            <w:tcW w:w="850" w:type="dxa"/>
            <w:shd w:val="clear" w:color="auto" w:fill="B7D4EF" w:themeFill="text2" w:themeFillTint="33"/>
            <w:vAlign w:val="center"/>
            <w:hideMark/>
          </w:tcPr>
          <w:p w14:paraId="71E4184C" w14:textId="77777777" w:rsidR="00011DE9" w:rsidRDefault="00011DE9">
            <w:pPr>
              <w:pStyle w:val="P68B1DB1-Normal18"/>
              <w:spacing w:after="0" w:line="240" w:lineRule="auto"/>
              <w:jc w:val="center"/>
              <w:rPr>
                <w:rFonts w:cs="Times New Roman"/>
                <w:bCs/>
                <w:noProof/>
                <w:szCs w:val="18"/>
              </w:rPr>
            </w:pPr>
            <w:r>
              <w:rPr>
                <w:noProof/>
              </w:rPr>
              <w:t>Obiectiv</w:t>
            </w:r>
          </w:p>
        </w:tc>
        <w:tc>
          <w:tcPr>
            <w:tcW w:w="567" w:type="dxa"/>
            <w:shd w:val="clear" w:color="auto" w:fill="B7D4EF" w:themeFill="text2" w:themeFillTint="33"/>
            <w:vAlign w:val="center"/>
            <w:hideMark/>
          </w:tcPr>
          <w:p w14:paraId="56851225" w14:textId="578D9A5C" w:rsidR="00011DE9" w:rsidRDefault="003010A3">
            <w:pPr>
              <w:pStyle w:val="P68B1DB1-Normal18"/>
              <w:spacing w:after="0" w:line="240" w:lineRule="auto"/>
              <w:jc w:val="center"/>
              <w:rPr>
                <w:rFonts w:cs="Times New Roman"/>
                <w:bCs/>
                <w:noProof/>
                <w:szCs w:val="18"/>
              </w:rPr>
            </w:pPr>
            <w:r>
              <w:rPr>
                <w:noProof/>
              </w:rPr>
              <w:t>T</w:t>
            </w:r>
          </w:p>
        </w:tc>
        <w:tc>
          <w:tcPr>
            <w:tcW w:w="709" w:type="dxa"/>
            <w:shd w:val="clear" w:color="auto" w:fill="B7D4EF" w:themeFill="text2" w:themeFillTint="33"/>
            <w:vAlign w:val="center"/>
            <w:hideMark/>
          </w:tcPr>
          <w:p w14:paraId="4A15FD11" w14:textId="77777777" w:rsidR="00011DE9" w:rsidRDefault="00011DE9">
            <w:pPr>
              <w:pStyle w:val="P68B1DB1-Normal18"/>
              <w:spacing w:after="0" w:line="240" w:lineRule="auto"/>
              <w:jc w:val="center"/>
              <w:rPr>
                <w:rFonts w:cs="Times New Roman"/>
                <w:bCs/>
                <w:noProof/>
                <w:szCs w:val="18"/>
              </w:rPr>
            </w:pPr>
            <w:r>
              <w:rPr>
                <w:noProof/>
              </w:rPr>
              <w:t>Anul</w:t>
            </w:r>
          </w:p>
        </w:tc>
        <w:tc>
          <w:tcPr>
            <w:tcW w:w="5953" w:type="dxa"/>
            <w:vMerge/>
            <w:noWrap/>
            <w:vAlign w:val="bottom"/>
            <w:hideMark/>
          </w:tcPr>
          <w:p w14:paraId="489A5708" w14:textId="77777777" w:rsidR="00011DE9" w:rsidRDefault="00011DE9">
            <w:pPr>
              <w:spacing w:after="0" w:line="240" w:lineRule="auto"/>
              <w:jc w:val="center"/>
              <w:rPr>
                <w:rFonts w:ascii="Times New Roman" w:hAnsi="Times New Roman" w:cs="Times New Roman"/>
                <w:b/>
                <w:bCs/>
                <w:noProof/>
                <w:sz w:val="18"/>
                <w:szCs w:val="18"/>
              </w:rPr>
            </w:pPr>
          </w:p>
        </w:tc>
      </w:tr>
      <w:tr w:rsidR="00011DE9" w14:paraId="300A202B" w14:textId="77777777">
        <w:trPr>
          <w:trHeight w:val="284"/>
          <w:jc w:val="center"/>
        </w:trPr>
        <w:tc>
          <w:tcPr>
            <w:tcW w:w="1928" w:type="dxa"/>
            <w:shd w:val="clear" w:color="auto" w:fill="C6EFCE"/>
            <w:vAlign w:val="center"/>
          </w:tcPr>
          <w:p w14:paraId="62BCCD50" w14:textId="77777777" w:rsidR="00011DE9" w:rsidRDefault="00011DE9">
            <w:pPr>
              <w:pStyle w:val="P68B1DB1-Normal19"/>
              <w:spacing w:line="240" w:lineRule="auto"/>
              <w:jc w:val="center"/>
              <w:rPr>
                <w:noProof/>
              </w:rPr>
            </w:pPr>
            <w:r>
              <w:rPr>
                <w:noProof/>
              </w:rPr>
              <w:t>L72</w:t>
            </w:r>
          </w:p>
        </w:tc>
        <w:tc>
          <w:tcPr>
            <w:tcW w:w="850" w:type="dxa"/>
            <w:shd w:val="clear" w:color="auto" w:fill="C6EFCE"/>
            <w:noWrap/>
            <w:vAlign w:val="center"/>
          </w:tcPr>
          <w:p w14:paraId="001D6C61" w14:textId="77777777" w:rsidR="00011DE9" w:rsidRDefault="00011DE9">
            <w:pPr>
              <w:pStyle w:val="P68B1DB1-Normal19"/>
              <w:spacing w:line="240" w:lineRule="auto"/>
              <w:jc w:val="center"/>
              <w:rPr>
                <w:noProof/>
              </w:rPr>
            </w:pPr>
            <w:r>
              <w:rPr>
                <w:noProof/>
              </w:rPr>
              <w:t>C22.I6</w:t>
            </w:r>
          </w:p>
        </w:tc>
        <w:tc>
          <w:tcPr>
            <w:tcW w:w="851" w:type="dxa"/>
            <w:shd w:val="clear" w:color="auto" w:fill="C6EFCE"/>
            <w:noWrap/>
            <w:vAlign w:val="center"/>
          </w:tcPr>
          <w:p w14:paraId="03D37173" w14:textId="77777777" w:rsidR="00011DE9" w:rsidRDefault="00011DE9">
            <w:pPr>
              <w:pStyle w:val="P68B1DB1-Normal19"/>
              <w:spacing w:line="240" w:lineRule="auto"/>
              <w:jc w:val="center"/>
              <w:rPr>
                <w:noProof/>
              </w:rPr>
            </w:pPr>
            <w:r>
              <w:rPr>
                <w:noProof/>
              </w:rPr>
              <w:t>M</w:t>
            </w:r>
          </w:p>
        </w:tc>
        <w:tc>
          <w:tcPr>
            <w:tcW w:w="1417" w:type="dxa"/>
            <w:shd w:val="clear" w:color="auto" w:fill="C6EFCE"/>
            <w:noWrap/>
            <w:vAlign w:val="center"/>
          </w:tcPr>
          <w:p w14:paraId="61B402B2" w14:textId="77777777" w:rsidR="00011DE9" w:rsidRDefault="00011DE9">
            <w:pPr>
              <w:pStyle w:val="P68B1DB1-Normal19"/>
              <w:spacing w:after="0" w:line="240" w:lineRule="auto"/>
              <w:rPr>
                <w:noProof/>
              </w:rPr>
            </w:pPr>
            <w:r>
              <w:rPr>
                <w:noProof/>
              </w:rPr>
              <w:t>Fondul pentru impact social: Regulamentul de instituire a mecanismului</w:t>
            </w:r>
          </w:p>
        </w:tc>
        <w:tc>
          <w:tcPr>
            <w:tcW w:w="1560" w:type="dxa"/>
            <w:shd w:val="clear" w:color="auto" w:fill="C6EFCE"/>
            <w:noWrap/>
            <w:vAlign w:val="center"/>
          </w:tcPr>
          <w:p w14:paraId="51D85E89" w14:textId="77777777" w:rsidR="00011DE9" w:rsidRDefault="00011DE9">
            <w:pPr>
              <w:pStyle w:val="P68B1DB1-Normal19"/>
              <w:spacing w:after="0" w:line="240" w:lineRule="auto"/>
              <w:rPr>
                <w:noProof/>
              </w:rPr>
            </w:pPr>
            <w:r>
              <w:rPr>
                <w:noProof/>
              </w:rPr>
              <w:t>Intrarea în vigoare a regulamentului de instituire a mecanismului</w:t>
            </w:r>
          </w:p>
        </w:tc>
        <w:tc>
          <w:tcPr>
            <w:tcW w:w="567" w:type="dxa"/>
            <w:shd w:val="clear" w:color="auto" w:fill="C6EFCE"/>
            <w:noWrap/>
            <w:vAlign w:val="center"/>
          </w:tcPr>
          <w:p w14:paraId="74AF88BB" w14:textId="77777777" w:rsidR="00011DE9" w:rsidRDefault="00011DE9">
            <w:pPr>
              <w:spacing w:after="0" w:line="240" w:lineRule="auto"/>
              <w:rPr>
                <w:rFonts w:ascii="Times New Roman" w:hAnsi="Times New Roman" w:cs="Times New Roman"/>
                <w:noProof/>
                <w:sz w:val="18"/>
                <w:szCs w:val="18"/>
              </w:rPr>
            </w:pPr>
          </w:p>
        </w:tc>
        <w:tc>
          <w:tcPr>
            <w:tcW w:w="992" w:type="dxa"/>
            <w:shd w:val="clear" w:color="auto" w:fill="C6EFCE"/>
            <w:noWrap/>
            <w:vAlign w:val="center"/>
          </w:tcPr>
          <w:p w14:paraId="0D1D5B68" w14:textId="77777777" w:rsidR="00011DE9" w:rsidRDefault="00011DE9">
            <w:pPr>
              <w:spacing w:after="0" w:line="240" w:lineRule="auto"/>
              <w:jc w:val="center"/>
              <w:rPr>
                <w:rFonts w:ascii="Times New Roman" w:hAnsi="Times New Roman" w:cs="Times New Roman"/>
                <w:noProof/>
                <w:sz w:val="18"/>
                <w:szCs w:val="18"/>
              </w:rPr>
            </w:pPr>
          </w:p>
        </w:tc>
        <w:tc>
          <w:tcPr>
            <w:tcW w:w="850" w:type="dxa"/>
            <w:shd w:val="clear" w:color="auto" w:fill="C6EFCE"/>
            <w:noWrap/>
            <w:vAlign w:val="center"/>
          </w:tcPr>
          <w:p w14:paraId="3A4866CB" w14:textId="77777777" w:rsidR="00011DE9" w:rsidRDefault="00011DE9">
            <w:pPr>
              <w:spacing w:after="0" w:line="240" w:lineRule="auto"/>
              <w:jc w:val="center"/>
              <w:rPr>
                <w:rFonts w:ascii="Times New Roman" w:hAnsi="Times New Roman" w:cs="Times New Roman"/>
                <w:noProof/>
                <w:sz w:val="18"/>
                <w:szCs w:val="18"/>
              </w:rPr>
            </w:pPr>
          </w:p>
        </w:tc>
        <w:tc>
          <w:tcPr>
            <w:tcW w:w="567" w:type="dxa"/>
            <w:shd w:val="clear" w:color="auto" w:fill="C6EFCE"/>
            <w:noWrap/>
            <w:vAlign w:val="center"/>
          </w:tcPr>
          <w:p w14:paraId="069C5490" w14:textId="74054841" w:rsidR="00011DE9" w:rsidRDefault="005701C9">
            <w:pPr>
              <w:pStyle w:val="P68B1DB1-Normal19"/>
              <w:spacing w:after="0" w:line="240" w:lineRule="auto"/>
              <w:jc w:val="center"/>
              <w:rPr>
                <w:noProof/>
              </w:rPr>
            </w:pPr>
            <w:r>
              <w:rPr>
                <w:noProof/>
              </w:rPr>
              <w:t>T2</w:t>
            </w:r>
          </w:p>
        </w:tc>
        <w:tc>
          <w:tcPr>
            <w:tcW w:w="709" w:type="dxa"/>
            <w:shd w:val="clear" w:color="auto" w:fill="C6EFCE"/>
            <w:noWrap/>
            <w:vAlign w:val="center"/>
          </w:tcPr>
          <w:p w14:paraId="3664D17C" w14:textId="77777777" w:rsidR="00011DE9" w:rsidRDefault="00011DE9">
            <w:pPr>
              <w:pStyle w:val="P68B1DB1-Normal19"/>
              <w:spacing w:after="0" w:line="240" w:lineRule="auto"/>
              <w:jc w:val="center"/>
              <w:rPr>
                <w:noProof/>
              </w:rPr>
            </w:pPr>
            <w:r>
              <w:rPr>
                <w:noProof/>
              </w:rPr>
              <w:t>2023</w:t>
            </w:r>
          </w:p>
        </w:tc>
        <w:tc>
          <w:tcPr>
            <w:tcW w:w="5953" w:type="dxa"/>
            <w:shd w:val="clear" w:color="auto" w:fill="C6EFCE"/>
            <w:noWrap/>
            <w:vAlign w:val="center"/>
          </w:tcPr>
          <w:p w14:paraId="54C54C3A" w14:textId="77777777" w:rsidR="00011DE9" w:rsidRDefault="00011DE9">
            <w:pPr>
              <w:pStyle w:val="P68B1DB1-Normal19"/>
              <w:spacing w:after="0" w:line="240" w:lineRule="auto"/>
              <w:rPr>
                <w:noProof/>
              </w:rPr>
            </w:pPr>
            <w:r>
              <w:rPr>
                <w:noProof/>
              </w:rPr>
              <w:t>Intrarea în vigoare a regulamentului de instituire a mecanismului și a oricăror documente conexe</w:t>
            </w:r>
          </w:p>
        </w:tc>
      </w:tr>
      <w:tr w:rsidR="00011DE9" w14:paraId="7F36F4FF" w14:textId="77777777">
        <w:trPr>
          <w:trHeight w:val="284"/>
          <w:jc w:val="center"/>
        </w:trPr>
        <w:tc>
          <w:tcPr>
            <w:tcW w:w="1928" w:type="dxa"/>
            <w:shd w:val="clear" w:color="auto" w:fill="C6EFCE"/>
            <w:vAlign w:val="center"/>
          </w:tcPr>
          <w:p w14:paraId="0F80D5F5" w14:textId="77777777" w:rsidR="00011DE9" w:rsidRDefault="00011DE9">
            <w:pPr>
              <w:pStyle w:val="P68B1DB1-Normal19"/>
              <w:spacing w:line="240" w:lineRule="auto"/>
              <w:jc w:val="center"/>
              <w:rPr>
                <w:noProof/>
              </w:rPr>
            </w:pPr>
            <w:r>
              <w:rPr>
                <w:noProof/>
              </w:rPr>
              <w:t>L73</w:t>
            </w:r>
          </w:p>
        </w:tc>
        <w:tc>
          <w:tcPr>
            <w:tcW w:w="850" w:type="dxa"/>
            <w:shd w:val="clear" w:color="auto" w:fill="C6EFCE"/>
            <w:noWrap/>
            <w:vAlign w:val="center"/>
          </w:tcPr>
          <w:p w14:paraId="5C9CE4A7" w14:textId="77777777" w:rsidR="00011DE9" w:rsidRDefault="00011DE9">
            <w:pPr>
              <w:pStyle w:val="P68B1DB1-Normal19"/>
              <w:spacing w:line="240" w:lineRule="auto"/>
              <w:jc w:val="center"/>
              <w:rPr>
                <w:noProof/>
              </w:rPr>
            </w:pPr>
            <w:r>
              <w:rPr>
                <w:noProof/>
              </w:rPr>
              <w:t>C22.I6</w:t>
            </w:r>
          </w:p>
        </w:tc>
        <w:tc>
          <w:tcPr>
            <w:tcW w:w="851" w:type="dxa"/>
            <w:shd w:val="clear" w:color="auto" w:fill="C6EFCE"/>
            <w:noWrap/>
            <w:vAlign w:val="center"/>
          </w:tcPr>
          <w:p w14:paraId="09FCD3E8" w14:textId="77777777" w:rsidR="00011DE9" w:rsidRDefault="00011DE9">
            <w:pPr>
              <w:pStyle w:val="P68B1DB1-Normal19"/>
              <w:spacing w:line="240" w:lineRule="auto"/>
              <w:jc w:val="center"/>
              <w:rPr>
                <w:noProof/>
              </w:rPr>
            </w:pPr>
            <w:r>
              <w:rPr>
                <w:noProof/>
              </w:rPr>
              <w:t>M</w:t>
            </w:r>
          </w:p>
        </w:tc>
        <w:tc>
          <w:tcPr>
            <w:tcW w:w="1417" w:type="dxa"/>
            <w:shd w:val="clear" w:color="auto" w:fill="C6EFCE"/>
            <w:noWrap/>
            <w:vAlign w:val="center"/>
          </w:tcPr>
          <w:p w14:paraId="435A1AB6" w14:textId="77777777" w:rsidR="00011DE9" w:rsidRDefault="00011DE9">
            <w:pPr>
              <w:pStyle w:val="P68B1DB1-Normal19"/>
              <w:spacing w:after="0" w:line="240" w:lineRule="auto"/>
              <w:rPr>
                <w:noProof/>
              </w:rPr>
            </w:pPr>
            <w:r>
              <w:rPr>
                <w:noProof/>
              </w:rPr>
              <w:t>Fondul pentru impact social: Acorduri juridice de finanțare semnate cu beneficiarii finali (inclusiv fonduri de investiții în acțiuni) și finalizarea investiției</w:t>
            </w:r>
          </w:p>
        </w:tc>
        <w:tc>
          <w:tcPr>
            <w:tcW w:w="1560" w:type="dxa"/>
            <w:shd w:val="clear" w:color="auto" w:fill="C6EFCE"/>
            <w:noWrap/>
            <w:vAlign w:val="center"/>
          </w:tcPr>
          <w:p w14:paraId="72BF9121" w14:textId="77777777" w:rsidR="00011DE9" w:rsidRDefault="00011DE9">
            <w:pPr>
              <w:pStyle w:val="P68B1DB1-Normal23"/>
              <w:spacing w:after="0" w:line="240" w:lineRule="auto"/>
              <w:jc w:val="center"/>
              <w:rPr>
                <w:noProof/>
              </w:rPr>
            </w:pPr>
            <w:r>
              <w:rPr>
                <w:noProof/>
              </w:rPr>
              <w:t>Acorduri de finanțare legală și certificat de transfer</w:t>
            </w:r>
          </w:p>
        </w:tc>
        <w:tc>
          <w:tcPr>
            <w:tcW w:w="567" w:type="dxa"/>
            <w:shd w:val="clear" w:color="auto" w:fill="C6EFCE"/>
            <w:noWrap/>
            <w:vAlign w:val="center"/>
          </w:tcPr>
          <w:p w14:paraId="3A2F9719" w14:textId="77777777" w:rsidR="00011DE9" w:rsidRDefault="00011DE9">
            <w:pPr>
              <w:spacing w:after="0" w:line="240" w:lineRule="auto"/>
              <w:rPr>
                <w:rFonts w:ascii="Times New Roman" w:hAnsi="Times New Roman" w:cs="Times New Roman"/>
                <w:noProof/>
                <w:sz w:val="18"/>
                <w:szCs w:val="18"/>
              </w:rPr>
            </w:pPr>
          </w:p>
        </w:tc>
        <w:tc>
          <w:tcPr>
            <w:tcW w:w="992" w:type="dxa"/>
            <w:shd w:val="clear" w:color="auto" w:fill="C6EFCE"/>
            <w:noWrap/>
            <w:vAlign w:val="center"/>
          </w:tcPr>
          <w:p w14:paraId="4EC47A84" w14:textId="77777777" w:rsidR="00011DE9" w:rsidRDefault="00011DE9">
            <w:pPr>
              <w:spacing w:after="0" w:line="240" w:lineRule="auto"/>
              <w:jc w:val="center"/>
              <w:rPr>
                <w:rFonts w:ascii="Times New Roman" w:hAnsi="Times New Roman" w:cs="Times New Roman"/>
                <w:noProof/>
                <w:sz w:val="18"/>
                <w:szCs w:val="18"/>
              </w:rPr>
            </w:pPr>
          </w:p>
        </w:tc>
        <w:tc>
          <w:tcPr>
            <w:tcW w:w="850" w:type="dxa"/>
            <w:shd w:val="clear" w:color="auto" w:fill="C6EFCE"/>
            <w:noWrap/>
            <w:vAlign w:val="center"/>
          </w:tcPr>
          <w:p w14:paraId="629CEB06" w14:textId="77777777" w:rsidR="00011DE9" w:rsidRDefault="00011DE9">
            <w:pPr>
              <w:spacing w:after="0" w:line="240" w:lineRule="auto"/>
              <w:jc w:val="center"/>
              <w:rPr>
                <w:rFonts w:ascii="Times New Roman" w:hAnsi="Times New Roman" w:cs="Times New Roman"/>
                <w:noProof/>
                <w:sz w:val="18"/>
                <w:szCs w:val="18"/>
              </w:rPr>
            </w:pPr>
          </w:p>
        </w:tc>
        <w:tc>
          <w:tcPr>
            <w:tcW w:w="567" w:type="dxa"/>
            <w:shd w:val="clear" w:color="auto" w:fill="C6EFCE"/>
            <w:noWrap/>
            <w:vAlign w:val="center"/>
          </w:tcPr>
          <w:p w14:paraId="38F1338D" w14:textId="096E2D3B" w:rsidR="00011DE9" w:rsidRDefault="005701C9">
            <w:pPr>
              <w:pStyle w:val="P68B1DB1-Normal19"/>
              <w:spacing w:after="0" w:line="240" w:lineRule="auto"/>
              <w:jc w:val="center"/>
              <w:rPr>
                <w:noProof/>
              </w:rPr>
            </w:pPr>
            <w:r>
              <w:rPr>
                <w:noProof/>
              </w:rPr>
              <w:t>T2</w:t>
            </w:r>
          </w:p>
        </w:tc>
        <w:tc>
          <w:tcPr>
            <w:tcW w:w="709" w:type="dxa"/>
            <w:shd w:val="clear" w:color="auto" w:fill="C6EFCE"/>
            <w:noWrap/>
            <w:vAlign w:val="center"/>
          </w:tcPr>
          <w:p w14:paraId="1853710E" w14:textId="77777777" w:rsidR="00011DE9" w:rsidRDefault="00011DE9">
            <w:pPr>
              <w:pStyle w:val="P68B1DB1-Normal19"/>
              <w:spacing w:after="0" w:line="240" w:lineRule="auto"/>
              <w:jc w:val="center"/>
              <w:rPr>
                <w:noProof/>
              </w:rPr>
            </w:pPr>
            <w:r>
              <w:rPr>
                <w:noProof/>
              </w:rPr>
              <w:t>2026</w:t>
            </w:r>
          </w:p>
        </w:tc>
        <w:tc>
          <w:tcPr>
            <w:tcW w:w="5953" w:type="dxa"/>
            <w:shd w:val="clear" w:color="auto" w:fill="C6EFCE"/>
            <w:noWrap/>
            <w:vAlign w:val="center"/>
          </w:tcPr>
          <w:p w14:paraId="5424EED7" w14:textId="77777777" w:rsidR="00011DE9" w:rsidRDefault="00011DE9">
            <w:pPr>
              <w:pStyle w:val="P68B1DB1-Normal19"/>
              <w:spacing w:after="0" w:line="240" w:lineRule="auto"/>
              <w:rPr>
                <w:noProof/>
              </w:rPr>
            </w:pPr>
            <w:r>
              <w:rPr>
                <w:noProof/>
              </w:rPr>
              <w:t xml:space="preserve">Mecanismul și intermediarii selectați de COFIDES trebuie să fi încheiat acorduri juridice de finanțare cu beneficiarii finali (inclusiv fonduri de capital) pentru o sumă necesară pentru a utiliza 100 % din investițiile MRR în mecanism (ținând seama de comisioanele de gestionare). </w:t>
            </w:r>
          </w:p>
          <w:p w14:paraId="27EB9642" w14:textId="77777777" w:rsidR="00011DE9" w:rsidRDefault="00011DE9">
            <w:pPr>
              <w:spacing w:after="0" w:line="240" w:lineRule="auto"/>
              <w:rPr>
                <w:rFonts w:ascii="Times New Roman" w:hAnsi="Times New Roman" w:cs="Times New Roman"/>
                <w:noProof/>
                <w:sz w:val="18"/>
                <w:szCs w:val="18"/>
              </w:rPr>
            </w:pPr>
          </w:p>
          <w:p w14:paraId="13F027E3" w14:textId="77777777" w:rsidR="00011DE9" w:rsidRDefault="00011DE9">
            <w:pPr>
              <w:pStyle w:val="P68B1DB1-Normal16"/>
              <w:spacing w:after="0" w:line="240" w:lineRule="auto"/>
              <w:rPr>
                <w:rFonts w:cs="Times New Roman"/>
                <w:noProof/>
                <w:sz w:val="18"/>
                <w:szCs w:val="18"/>
              </w:rPr>
            </w:pPr>
            <w:r>
              <w:rPr>
                <w:noProof/>
                <w:sz w:val="18"/>
              </w:rPr>
              <w:t>Spania transferă</w:t>
            </w:r>
            <w:r>
              <w:rPr>
                <w:noProof/>
                <w:sz w:val="20"/>
              </w:rPr>
              <w:t xml:space="preserve"> </w:t>
            </w:r>
            <w:r>
              <w:rPr>
                <w:noProof/>
                <w:sz w:val="18"/>
              </w:rPr>
              <w:t>400</w:t>
            </w:r>
            <w:r>
              <w:rPr>
                <w:noProof/>
                <w:sz w:val="20"/>
              </w:rPr>
              <w:t xml:space="preserve"> </w:t>
            </w:r>
            <w:r>
              <w:rPr>
                <w:noProof/>
                <w:sz w:val="18"/>
              </w:rPr>
              <w:t>000</w:t>
            </w:r>
            <w:r>
              <w:rPr>
                <w:noProof/>
                <w:sz w:val="20"/>
              </w:rPr>
              <w:t xml:space="preserve"> </w:t>
            </w:r>
            <w:r>
              <w:rPr>
                <w:noProof/>
                <w:sz w:val="18"/>
              </w:rPr>
              <w:t>000 EUR către mecanism.</w:t>
            </w:r>
          </w:p>
        </w:tc>
      </w:tr>
    </w:tbl>
    <w:p w14:paraId="7A61CA0D" w14:textId="77777777" w:rsidR="00011DE9" w:rsidRDefault="00011DE9">
      <w:pPr>
        <w:rPr>
          <w:noProof/>
        </w:rPr>
      </w:pPr>
    </w:p>
    <w:p w14:paraId="149158D3" w14:textId="77777777" w:rsidR="00011DE9" w:rsidRDefault="00011DE9">
      <w:pPr>
        <w:pStyle w:val="P68B1DB1-Normal16"/>
        <w:rPr>
          <w:noProof/>
        </w:rPr>
        <w:sectPr w:rsidR="00011DE9" w:rsidSect="00011DE9">
          <w:headerReference w:type="even" r:id="rId316"/>
          <w:headerReference w:type="default" r:id="rId317"/>
          <w:footerReference w:type="even" r:id="rId318"/>
          <w:footerReference w:type="default" r:id="rId319"/>
          <w:headerReference w:type="first" r:id="rId320"/>
          <w:footerReference w:type="first" r:id="rId321"/>
          <w:pgSz w:w="16839" w:h="11907" w:orient="landscape"/>
          <w:pgMar w:top="1134" w:right="1134" w:bottom="1134" w:left="1134" w:header="567" w:footer="567" w:gutter="0"/>
          <w:cols w:space="720"/>
          <w:docGrid w:linePitch="360"/>
        </w:sectPr>
      </w:pPr>
      <w:r>
        <w:rPr>
          <w:noProof/>
        </w:rPr>
        <w:br w:type="page"/>
      </w:r>
    </w:p>
    <w:p w14:paraId="2709531F" w14:textId="77777777" w:rsidR="00011DE9" w:rsidRDefault="00011DE9">
      <w:pPr>
        <w:pStyle w:val="Heading1"/>
        <w:rPr>
          <w:rFonts w:cs="Times New Roman"/>
          <w:noProof/>
        </w:rPr>
      </w:pPr>
      <w:r>
        <w:rPr>
          <w:noProof/>
        </w:rPr>
        <w:t>W. COMPONENTA 23: Noi politici publice pentru o piață a muncii dinamică, rezilientă și favorabilă incluziunii</w:t>
      </w:r>
    </w:p>
    <w:p w14:paraId="2BC69624" w14:textId="77777777" w:rsidR="00011DE9" w:rsidRDefault="00011DE9">
      <w:pPr>
        <w:pStyle w:val="P68B1DB1-Normal16"/>
        <w:spacing w:before="120" w:after="120" w:line="240" w:lineRule="auto"/>
        <w:jc w:val="both"/>
        <w:rPr>
          <w:rFonts w:cs="Times New Roman"/>
          <w:noProof/>
        </w:rPr>
      </w:pPr>
      <w:r>
        <w:rPr>
          <w:noProof/>
        </w:rPr>
        <w:t xml:space="preserve">Componenta planului spaniol de redresare și reziliență abordează provocări structurale importante ale pieței forței de muncă din Spania. Principalele sale obiective sunt reducerea șomajului structural și a șomajului în rândul tinerilor, reducerea utilizării pe scară largă a contractelor temporare și corectarea dualității pieței forței de muncă, creșterea investițiilor în capitalul uman, modernizarea instrumentelor de negociere colectivă și creșterea eficacității și eficienței politicilor active în domeniul pieței forței de muncă. </w:t>
      </w:r>
    </w:p>
    <w:p w14:paraId="7C7AC0A9" w14:textId="77777777" w:rsidR="00011DE9" w:rsidRDefault="00011DE9">
      <w:pPr>
        <w:pStyle w:val="P68B1DB1-Normal16"/>
        <w:spacing w:before="120" w:after="120" w:line="240" w:lineRule="auto"/>
        <w:jc w:val="both"/>
        <w:rPr>
          <w:rFonts w:cs="Times New Roman"/>
          <w:noProof/>
        </w:rPr>
      </w:pPr>
      <w:r>
        <w:rPr>
          <w:noProof/>
        </w:rPr>
        <w:t xml:space="preserve">Componenta include investiții relevante, complementare celor finanțate din fondurile structurale (în special Fondul social european), care vizează maximizarea impactului reformelor asupra creării de locuri de muncă de calitate, a creșterii productivității și a reducerii disparităților sociale, teritoriale și de gen. </w:t>
      </w:r>
    </w:p>
    <w:p w14:paraId="0C3E0E95" w14:textId="77777777" w:rsidR="00011DE9" w:rsidRDefault="00011DE9">
      <w:pPr>
        <w:pStyle w:val="P68B1DB1-Normal16"/>
        <w:spacing w:before="120" w:after="120" w:line="240" w:lineRule="auto"/>
        <w:jc w:val="both"/>
        <w:rPr>
          <w:rFonts w:cs="Times New Roman"/>
          <w:noProof/>
        </w:rPr>
      </w:pPr>
      <w:r>
        <w:rPr>
          <w:noProof/>
        </w:rPr>
        <w:t xml:space="preserve">În general, măsurile incluse în componentă sunt menite să abordeze provocările de lungă durată ale pieței forței de muncă din Spania și să prezinte un set de reforme ambițioase și coerente, majoritatea acestora urmând să fie realizate până la sfârșitul anului 2021. Unele dintre propunerile de reformă sunt discutate în prezent cu partenerii sociali prin intermediul unui proces de dialog social. Prin urmare, unele detalii au fost lăsate deschise în mod explicit, cu scopul de a lăsa suficient spațiu pentru acord și aprobare de către partenerii sociali. </w:t>
      </w:r>
    </w:p>
    <w:p w14:paraId="43C20EEB" w14:textId="77777777" w:rsidR="00011DE9" w:rsidRDefault="00011DE9">
      <w:pPr>
        <w:pStyle w:val="P68B1DB1-Normal16"/>
        <w:spacing w:before="120" w:after="120" w:line="240" w:lineRule="auto"/>
        <w:jc w:val="both"/>
        <w:rPr>
          <w:rFonts w:cs="Times New Roman"/>
          <w:noProof/>
        </w:rPr>
      </w:pPr>
      <w:r>
        <w:rPr>
          <w:noProof/>
        </w:rPr>
        <w:t>Componenta abordează recomandările specifice fiecărei țări privind tranzițiile către contracte pe durată nedeterminată și stimulentele pentru angajare, serviciile publice de ocupare a forței de muncă, politicile active în domeniul pieței forței de muncă și învățarea în rândul adulților, protecția împotriva șomajului, sistemele de venit minim și conservarea locurilor de muncă (recomandările specifice fiecărei țări 2 2019 și 2 2020).</w:t>
      </w:r>
    </w:p>
    <w:p w14:paraId="06C32E55" w14:textId="77777777" w:rsidR="00011DE9" w:rsidRDefault="00011DE9">
      <w:pPr>
        <w:pStyle w:val="P68B1DB1-Normal16"/>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08D52802" w14:textId="7202C7DF" w:rsidR="00011DE9" w:rsidRDefault="00011DE9">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W.1.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746C7FE2" w14:textId="77777777" w:rsidR="00011DE9" w:rsidRDefault="00011DE9">
      <w:pPr>
        <w:pStyle w:val="P68B1DB1-Normal17"/>
        <w:spacing w:before="120" w:after="120" w:line="240" w:lineRule="auto"/>
        <w:jc w:val="both"/>
        <w:rPr>
          <w:rFonts w:cs="Times New Roman"/>
          <w:noProof/>
        </w:rPr>
      </w:pPr>
      <w:r>
        <w:rPr>
          <w:noProof/>
        </w:rPr>
        <w:t>Reforma 1 (C23.R1) – Reglementarea muncii la distanță</w:t>
      </w:r>
    </w:p>
    <w:p w14:paraId="0172F2EC" w14:textId="77777777" w:rsidR="00011DE9" w:rsidRDefault="00011DE9">
      <w:pPr>
        <w:pStyle w:val="P68B1DB1-Normal16"/>
        <w:spacing w:before="120" w:after="120" w:line="240" w:lineRule="auto"/>
        <w:jc w:val="both"/>
        <w:rPr>
          <w:rFonts w:cs="Times New Roman"/>
          <w:noProof/>
        </w:rPr>
      </w:pPr>
      <w:r>
        <w:rPr>
          <w:noProof/>
        </w:rPr>
        <w:t>Această reformă stabilește un cadru de reglementare pentru furnizarea de muncă la distanță, cu scopul de a îmbunătăți protecția și flexibilitatea lucrătorilor, menținând în același timp productivitatea întreprinderilor. Aceasta constă în aprobarea a două decrete-lege regale:</w:t>
      </w:r>
    </w:p>
    <w:p w14:paraId="31DDF7EA" w14:textId="77777777" w:rsidR="00011DE9" w:rsidRDefault="00011DE9">
      <w:pPr>
        <w:pStyle w:val="P68B1DB1-Normal16"/>
        <w:numPr>
          <w:ilvl w:val="0"/>
          <w:numId w:val="162"/>
        </w:numPr>
        <w:spacing w:before="120" w:line="259" w:lineRule="auto"/>
        <w:contextualSpacing/>
        <w:jc w:val="both"/>
        <w:rPr>
          <w:rFonts w:cs="Times New Roman"/>
          <w:noProof/>
        </w:rPr>
      </w:pPr>
      <w:r>
        <w:rPr>
          <w:noProof/>
        </w:rPr>
        <w:t xml:space="preserve">Decretul-lege regal nr. 28/2020 din 22 septembrie prevede un cadru de reglementare care favorizează introducerea muncii la distanță în sectorul privat, menținând în același timp productivitatea întreprinderilor și oferind protecție și flexibilitate lucrătorilor. Aceasta garantează aceleași condiții de muncă pentru cei care lucrează de la distanță și la fața locului, precum și caracterul voluntar al telemuncii, atât pentru lucrător, cât și pentru angajator. Cadrul stabilit favorizează formele mixte de muncă la distanță și la fața locului. </w:t>
      </w:r>
    </w:p>
    <w:p w14:paraId="2B7C9DFB" w14:textId="77777777" w:rsidR="00011DE9" w:rsidRDefault="00011DE9">
      <w:pPr>
        <w:pStyle w:val="P68B1DB1-Normal16"/>
        <w:numPr>
          <w:ilvl w:val="0"/>
          <w:numId w:val="162"/>
        </w:numPr>
        <w:spacing w:before="120" w:line="259" w:lineRule="auto"/>
        <w:contextualSpacing/>
        <w:jc w:val="both"/>
        <w:rPr>
          <w:rFonts w:cs="Times New Roman"/>
          <w:noProof/>
        </w:rPr>
      </w:pPr>
      <w:r>
        <w:rPr>
          <w:noProof/>
        </w:rPr>
        <w:t>Decretul-lege regal nr. 29/2020 din 29 septembrie privind telemunca în administrațiile publice stabilește un cadru de reglementare pentru angajații din sectorul public care recunoaște posibilitatea de a oferi acest tip de muncă în mod voluntar și reversibil, cu autorizare prealabilă.</w:t>
      </w:r>
    </w:p>
    <w:p w14:paraId="66C58095" w14:textId="77777777" w:rsidR="00011DE9" w:rsidRDefault="00011DE9">
      <w:pPr>
        <w:pStyle w:val="P68B1DB1-Normal16"/>
        <w:spacing w:before="240" w:after="120" w:line="240" w:lineRule="auto"/>
        <w:jc w:val="both"/>
        <w:rPr>
          <w:rFonts w:cs="Times New Roman"/>
          <w:noProof/>
        </w:rPr>
      </w:pPr>
      <w:r>
        <w:rPr>
          <w:noProof/>
        </w:rPr>
        <w:t>Această reformă este legată de reforma 1 din cadrul componentei 11 privind administrația publică.</w:t>
      </w:r>
    </w:p>
    <w:p w14:paraId="41E2C6E2" w14:textId="77777777" w:rsidR="00011DE9" w:rsidRDefault="00011DE9">
      <w:pPr>
        <w:pStyle w:val="P68B1DB1-Normal16"/>
        <w:spacing w:before="240" w:after="120" w:line="240" w:lineRule="auto"/>
        <w:jc w:val="both"/>
        <w:rPr>
          <w:rFonts w:cs="Times New Roman"/>
          <w:noProof/>
        </w:rPr>
      </w:pPr>
      <w:r>
        <w:rPr>
          <w:noProof/>
        </w:rPr>
        <w:t>Punerea în aplicare a măsurii se finalizează până la 31 decembrie 2020.</w:t>
      </w:r>
    </w:p>
    <w:p w14:paraId="33F499BA" w14:textId="77777777" w:rsidR="00011DE9" w:rsidRDefault="00011DE9">
      <w:pPr>
        <w:pStyle w:val="P68B1DB1-Normal17"/>
        <w:keepNext/>
        <w:spacing w:before="120" w:after="120" w:line="240" w:lineRule="auto"/>
        <w:jc w:val="both"/>
        <w:rPr>
          <w:rFonts w:cs="Times New Roman"/>
          <w:noProof/>
        </w:rPr>
      </w:pPr>
      <w:r>
        <w:rPr>
          <w:noProof/>
        </w:rPr>
        <w:t>Reforma 2 (C23.R2) – Măsuri de eliminare a disparității de gen</w:t>
      </w:r>
    </w:p>
    <w:p w14:paraId="49BA554D" w14:textId="77777777" w:rsidR="00011DE9" w:rsidRDefault="00011DE9">
      <w:pPr>
        <w:pStyle w:val="P68B1DB1-Normal16"/>
        <w:keepNext/>
        <w:spacing w:before="120" w:after="120" w:line="240" w:lineRule="auto"/>
        <w:jc w:val="both"/>
        <w:rPr>
          <w:rFonts w:cs="Times New Roman"/>
          <w:noProof/>
        </w:rPr>
      </w:pPr>
      <w:r>
        <w:rPr>
          <w:noProof/>
        </w:rPr>
        <w:t>Această reformă are obiectivul de a elimina diferența de remunerare între femei și bărbați. Acesta se compune din două regulamente:</w:t>
      </w:r>
    </w:p>
    <w:p w14:paraId="0C6757EC" w14:textId="77777777" w:rsidR="00011DE9" w:rsidRDefault="00011DE9">
      <w:pPr>
        <w:pStyle w:val="P68B1DB1-Normal16"/>
        <w:numPr>
          <w:ilvl w:val="0"/>
          <w:numId w:val="162"/>
        </w:numPr>
        <w:spacing w:before="120" w:line="259" w:lineRule="auto"/>
        <w:contextualSpacing/>
        <w:jc w:val="both"/>
        <w:rPr>
          <w:rFonts w:cs="Times New Roman"/>
          <w:noProof/>
        </w:rPr>
      </w:pPr>
      <w:r>
        <w:rPr>
          <w:noProof/>
        </w:rPr>
        <w:t xml:space="preserve">Decretul regal nr. 901/2020 din 13 octombrie reglementează obligația angajatorilor de a elabora și de a înregistra planuri de promovare a egalității pentru a asigura transparența salarială. Toate întreprinderile cu peste 150 de angajați sunt obligate să elaboreze și să înregistreze astfel de planuri, iar în 2022 toate întreprinderile cu peste 50 de lucrători sunt, de asemenea, obligate. Decretul regal stabilește procedura de negociere a planurilor, cerințele care trebuie urmate de diagnostic și caracteristicile evaluării și monitorizării acestora. </w:t>
      </w:r>
    </w:p>
    <w:p w14:paraId="73A4B041" w14:textId="77777777" w:rsidR="00011DE9" w:rsidRDefault="00011DE9">
      <w:pPr>
        <w:pStyle w:val="P68B1DB1-Normal16"/>
        <w:numPr>
          <w:ilvl w:val="0"/>
          <w:numId w:val="162"/>
        </w:numPr>
        <w:spacing w:before="120" w:line="259" w:lineRule="auto"/>
        <w:contextualSpacing/>
        <w:jc w:val="both"/>
        <w:rPr>
          <w:rFonts w:cs="Times New Roman"/>
          <w:noProof/>
        </w:rPr>
      </w:pPr>
      <w:r>
        <w:rPr>
          <w:noProof/>
        </w:rPr>
        <w:t>Decretul regal nr. 902/2020 din 13 octombrie privind egalitatea de remunerare între bărbați și femei garantează principiul transparenței salariale pentru a identifica situațiile discriminatorii cauzate de evaluări incorecte ale locurilor de muncă (și anume, salarii mai mici pentru o muncă de aceeași valoare). Decretul definește situațiile în care o operă este considerată de aceeași valoare. Acesta este în vigoare din aprilie 2021, după perioada de 6 luni acordată angajatorilor pentru a institui mecanismele de punere în aplicare necesare.</w:t>
      </w:r>
    </w:p>
    <w:p w14:paraId="100A9E4F" w14:textId="77777777" w:rsidR="00011DE9" w:rsidRDefault="00011DE9">
      <w:pPr>
        <w:pStyle w:val="P68B1DB1-Normal16"/>
        <w:spacing w:before="240" w:after="120" w:line="240" w:lineRule="auto"/>
        <w:jc w:val="both"/>
        <w:rPr>
          <w:rFonts w:cs="Times New Roman"/>
          <w:noProof/>
        </w:rPr>
      </w:pPr>
      <w:r>
        <w:rPr>
          <w:noProof/>
        </w:rPr>
        <w:t>Punerea în aplicare a măsurii se finalizează până la 30 iunie 2021.</w:t>
      </w:r>
    </w:p>
    <w:p w14:paraId="0267F75F" w14:textId="77777777" w:rsidR="00011DE9" w:rsidRDefault="00011DE9">
      <w:pPr>
        <w:pStyle w:val="P68B1DB1-Normal17"/>
        <w:spacing w:before="120" w:after="120" w:line="240" w:lineRule="auto"/>
        <w:jc w:val="both"/>
        <w:rPr>
          <w:rFonts w:cs="Times New Roman"/>
          <w:noProof/>
        </w:rPr>
      </w:pPr>
      <w:r>
        <w:rPr>
          <w:noProof/>
        </w:rPr>
        <w:t>Reforma 3 (C23.R3) – Reglementarea activității distribuitorilor casnici de către platformele digitale (</w:t>
      </w:r>
      <w:r>
        <w:rPr>
          <w:i/>
          <w:noProof/>
        </w:rPr>
        <w:t>riders</w:t>
      </w:r>
      <w:r>
        <w:rPr>
          <w:noProof/>
        </w:rPr>
        <w:t>)</w:t>
      </w:r>
    </w:p>
    <w:p w14:paraId="6989B39A" w14:textId="77777777" w:rsidR="00011DE9" w:rsidRDefault="00011DE9">
      <w:pPr>
        <w:pStyle w:val="P68B1DB1-Normal16"/>
        <w:spacing w:before="120" w:after="120" w:line="240" w:lineRule="auto"/>
        <w:jc w:val="both"/>
        <w:rPr>
          <w:rFonts w:cs="Times New Roman"/>
          <w:noProof/>
        </w:rPr>
      </w:pPr>
      <w:r>
        <w:rPr>
          <w:noProof/>
        </w:rPr>
        <w:t xml:space="preserve">Reforma are obiectivul de a reglementa condițiile de muncă ale așa-numiților „ </w:t>
      </w:r>
      <w:r>
        <w:rPr>
          <w:i/>
          <w:noProof/>
        </w:rPr>
        <w:t>riders</w:t>
      </w:r>
      <w:r>
        <w:rPr>
          <w:noProof/>
        </w:rPr>
        <w:t xml:space="preserve">”, care sunt implicați în activități de distribuție către terți utilizând mijloace tehnologice. Un decret-lege regal garantează acestor lucrători dreptul la un tratament echitabil și egal în ceea ce privește condițiile de muncă, precum și dreptul de acces la protecție socială și la formare, prin prezumția legală a unui raport de muncă între întreprindere și călăuzitor. Aceasta permite, de asemenea, ca reprezentarea juridică a lucrătorilor să fie informată cu privire la normele conținute în algoritmii și sistemele de inteligență artificială care pot avea un impact asupra condițiilor de muncă, inclusiv accesul la locurile de muncă și menținerea acestora, precum și crearea de profiluri. </w:t>
      </w:r>
    </w:p>
    <w:p w14:paraId="62BC0EB6" w14:textId="77777777" w:rsidR="00011DE9" w:rsidRDefault="00011DE9">
      <w:pPr>
        <w:pStyle w:val="P68B1DB1-Normal16"/>
        <w:spacing w:before="120" w:after="120" w:line="240" w:lineRule="auto"/>
        <w:jc w:val="both"/>
        <w:rPr>
          <w:rFonts w:cs="Times New Roman"/>
          <w:noProof/>
        </w:rPr>
      </w:pPr>
      <w:r>
        <w:rPr>
          <w:noProof/>
        </w:rPr>
        <w:t>Punerea în aplicare a măsurii se finalizează până la 30 septembrie 2021.</w:t>
      </w:r>
    </w:p>
    <w:p w14:paraId="638D3EF2" w14:textId="77777777" w:rsidR="00011DE9" w:rsidRDefault="00011DE9">
      <w:pPr>
        <w:pStyle w:val="P68B1DB1-Normal17"/>
        <w:spacing w:before="120" w:after="120" w:line="240" w:lineRule="auto"/>
        <w:jc w:val="both"/>
        <w:rPr>
          <w:rFonts w:cs="Times New Roman"/>
          <w:noProof/>
        </w:rPr>
      </w:pPr>
      <w:r>
        <w:rPr>
          <w:noProof/>
        </w:rPr>
        <w:t>Reforma 4 (C23.R4) – Simplificarea contractelor: generalizarea contractului pe durată nedeterminată, motivele pentru utilizarea contractelor temporare și reglementarea contractului de formare/ucenicie.</w:t>
      </w:r>
    </w:p>
    <w:p w14:paraId="3CB4BA28" w14:textId="77777777" w:rsidR="00011DE9" w:rsidRDefault="00011DE9">
      <w:pPr>
        <w:pStyle w:val="P68B1DB1-Normal16"/>
        <w:spacing w:before="120" w:after="120" w:line="240" w:lineRule="auto"/>
        <w:jc w:val="both"/>
        <w:rPr>
          <w:rFonts w:cs="Times New Roman"/>
          <w:noProof/>
        </w:rPr>
      </w:pPr>
      <w:r>
        <w:rPr>
          <w:noProof/>
        </w:rPr>
        <w:t>Această reformă constă în modificarea regulamentului privind contractele prevăzut în Statutul lucrătorilor (Decretul legislativ nr. 2/2015), cu scopul de a reglementa utilizarea contractelor temporare ca origine exclusiv cauzală și de a generaliza utilizarea contractelor pe durată nedeterminată. Reforma include următoarele elemente:</w:t>
      </w:r>
    </w:p>
    <w:p w14:paraId="7C566E1D" w14:textId="77777777" w:rsidR="00011DE9" w:rsidRDefault="00011DE9">
      <w:pPr>
        <w:pStyle w:val="P68B1DB1-Normal16"/>
        <w:numPr>
          <w:ilvl w:val="0"/>
          <w:numId w:val="163"/>
        </w:numPr>
        <w:spacing w:before="120" w:line="259" w:lineRule="auto"/>
        <w:contextualSpacing/>
        <w:jc w:val="both"/>
        <w:rPr>
          <w:rFonts w:cs="Times New Roman"/>
          <w:noProof/>
        </w:rPr>
      </w:pPr>
      <w:r>
        <w:rPr>
          <w:noProof/>
        </w:rPr>
        <w:t xml:space="preserve">Simplificarea și reorganizarea gamei de contracte, cu trei tipuri principale: durată nedeterminată, temporară și formare/ucenicie. Modul în care sunt concepute noile tipuri de contracte urmărește să limiteze cauzele valabile ale utilizării contractelor temporare, făcând astfel ca contractele pe durată nedeterminată să devină regula generală. </w:t>
      </w:r>
    </w:p>
    <w:p w14:paraId="1ACB49B8" w14:textId="77777777" w:rsidR="00011DE9" w:rsidRDefault="00011DE9">
      <w:pPr>
        <w:pStyle w:val="P68B1DB1-Normal16"/>
        <w:numPr>
          <w:ilvl w:val="0"/>
          <w:numId w:val="163"/>
        </w:numPr>
        <w:spacing w:before="120" w:line="259" w:lineRule="auto"/>
        <w:contextualSpacing/>
        <w:jc w:val="both"/>
        <w:rPr>
          <w:rFonts w:cs="Times New Roman"/>
          <w:noProof/>
        </w:rPr>
      </w:pPr>
      <w:r>
        <w:rPr>
          <w:noProof/>
        </w:rPr>
        <w:t xml:space="preserve">Revizuirea utilizării contractului de formare/ucenicie, pentru a oferi un cadru adecvat pentru ca tinerii să intre pe piața forței de muncă. </w:t>
      </w:r>
    </w:p>
    <w:p w14:paraId="03D7E300" w14:textId="77777777" w:rsidR="00011DE9" w:rsidRDefault="00011DE9">
      <w:pPr>
        <w:pStyle w:val="P68B1DB1-Normal16"/>
        <w:numPr>
          <w:ilvl w:val="0"/>
          <w:numId w:val="163"/>
        </w:numPr>
        <w:spacing w:before="120" w:line="259" w:lineRule="auto"/>
        <w:contextualSpacing/>
        <w:jc w:val="both"/>
        <w:rPr>
          <w:rFonts w:cs="Times New Roman"/>
          <w:noProof/>
        </w:rPr>
      </w:pPr>
      <w:r>
        <w:rPr>
          <w:noProof/>
        </w:rPr>
        <w:t>Consolidarea utilizării contractului sezonier, care este un tip special de contract pe durată nedeterminată utilizat în activități sezoniere.</w:t>
      </w:r>
    </w:p>
    <w:p w14:paraId="0C2C3199" w14:textId="77777777" w:rsidR="00011DE9" w:rsidRDefault="00011DE9">
      <w:pPr>
        <w:pStyle w:val="P68B1DB1-Normal16"/>
        <w:numPr>
          <w:ilvl w:val="0"/>
          <w:numId w:val="163"/>
        </w:numPr>
        <w:spacing w:before="120" w:line="259" w:lineRule="auto"/>
        <w:contextualSpacing/>
        <w:jc w:val="both"/>
        <w:rPr>
          <w:rFonts w:cs="Times New Roman"/>
          <w:noProof/>
        </w:rPr>
      </w:pPr>
      <w:r>
        <w:rPr>
          <w:noProof/>
        </w:rPr>
        <w:t>Reforma consolidează controlul în ceea ce privește utilizarea contractelor cu fracțiune de normă, pentru a preveni timpul de lucru neregulat.</w:t>
      </w:r>
    </w:p>
    <w:p w14:paraId="16776FB6" w14:textId="77777777" w:rsidR="00011DE9" w:rsidRDefault="00011DE9">
      <w:pPr>
        <w:pStyle w:val="P68B1DB1-Normal16"/>
        <w:numPr>
          <w:ilvl w:val="0"/>
          <w:numId w:val="163"/>
        </w:numPr>
        <w:spacing w:before="120" w:line="259" w:lineRule="auto"/>
        <w:contextualSpacing/>
        <w:jc w:val="both"/>
        <w:rPr>
          <w:rFonts w:cs="Times New Roman"/>
          <w:noProof/>
        </w:rPr>
      </w:pPr>
      <w:r>
        <w:rPr>
          <w:noProof/>
        </w:rPr>
        <w:t>Consolidarea luptei împotriva fraudei în domeniul muncii, inclusiv prin actualizarea sistemului de sancțiuni.</w:t>
      </w:r>
    </w:p>
    <w:p w14:paraId="7F054446" w14:textId="77777777" w:rsidR="00011DE9" w:rsidRDefault="00011DE9">
      <w:pPr>
        <w:pStyle w:val="P68B1DB1-Normal16"/>
        <w:spacing w:before="240" w:after="120" w:line="240" w:lineRule="auto"/>
        <w:jc w:val="both"/>
        <w:rPr>
          <w:rFonts w:cs="Times New Roman"/>
          <w:noProof/>
        </w:rPr>
      </w:pPr>
      <w:r>
        <w:rPr>
          <w:noProof/>
        </w:rPr>
        <w:t>Această reformă este strâns legată de reforma 1 din cadrul componentei 11, care introduce alte modificări juridice în Statutul lucrătorilor din sectorul public pentru a reduce utilizarea contractelor temporare în sectorul public. Aceasta este, de asemenea, legată de reforma 6 (mecanismul de flexibilitate și stabilitate) din cadrul acestei componente.</w:t>
      </w:r>
    </w:p>
    <w:p w14:paraId="08192340" w14:textId="77777777" w:rsidR="00011DE9" w:rsidRDefault="00011DE9">
      <w:pPr>
        <w:pStyle w:val="P68B1DB1-Normal16"/>
        <w:spacing w:before="240" w:after="120" w:line="240" w:lineRule="auto"/>
        <w:jc w:val="both"/>
        <w:rPr>
          <w:rFonts w:cs="Times New Roman"/>
          <w:noProof/>
        </w:rPr>
      </w:pPr>
      <w:r>
        <w:rPr>
          <w:noProof/>
        </w:rPr>
        <w:t>Punerea în aplicare a măsurii se finalizează până la 31 decembrie 2021.</w:t>
      </w:r>
    </w:p>
    <w:p w14:paraId="4769FE6E" w14:textId="77777777" w:rsidR="00011DE9" w:rsidRDefault="00011DE9">
      <w:pPr>
        <w:pStyle w:val="P68B1DB1-Normal17"/>
        <w:spacing w:before="120" w:after="120" w:line="240" w:lineRule="auto"/>
        <w:jc w:val="both"/>
        <w:rPr>
          <w:rFonts w:cs="Times New Roman"/>
          <w:noProof/>
        </w:rPr>
      </w:pPr>
      <w:r>
        <w:rPr>
          <w:noProof/>
        </w:rPr>
        <w:t>Reforma 5 (C23.R5) – Modernizarea politicilor active în domeniul pieței forței de muncă</w:t>
      </w:r>
    </w:p>
    <w:p w14:paraId="485293EF" w14:textId="77777777" w:rsidR="00011DE9" w:rsidRDefault="00011DE9">
      <w:pPr>
        <w:pStyle w:val="P68B1DB1-Normal16"/>
        <w:spacing w:before="120" w:after="120" w:line="240" w:lineRule="auto"/>
        <w:jc w:val="both"/>
        <w:rPr>
          <w:rFonts w:cs="Times New Roman"/>
          <w:noProof/>
        </w:rPr>
      </w:pPr>
      <w:r>
        <w:rPr>
          <w:noProof/>
        </w:rPr>
        <w:t>Obiectivul acestei reforme este de a moderniza punerea în aplicare a politicilor active în domeniul pieței forței de muncă în Spania, ținând seama de concluziile analizelor cheltuielilor efectuate de autoritatea bugetară independentă („AIReF”). Reforma constă în mai multe elemente, cum ar fi dezvoltarea unor parcursuri individuale de consiliere, prevenirea abuzurilor în cadrul cursurilor de formare la locul de muncă (cum ar fi stagiile și contractele de formare), consolidarea sistemului de învățare în rândul adulților și recunoașterea competențelor, înființarea unui ghișeu unic pentru tineri, îmbunătățirea coordonării dintre serviciile sociale și de ocupare a forței de muncă și cu regiunile, precum și îmbunătățirea cooperării cu sectorul privat.</w:t>
      </w:r>
    </w:p>
    <w:p w14:paraId="230206BA" w14:textId="77777777" w:rsidR="00011DE9" w:rsidRDefault="00011DE9">
      <w:pPr>
        <w:pStyle w:val="P68B1DB1-Normal16"/>
        <w:spacing w:before="120" w:after="120" w:line="240" w:lineRule="auto"/>
        <w:jc w:val="both"/>
        <w:rPr>
          <w:rFonts w:cs="Times New Roman"/>
          <w:noProof/>
        </w:rPr>
      </w:pPr>
      <w:r>
        <w:rPr>
          <w:noProof/>
        </w:rPr>
        <w:t>Această reformă este completată de alte două reforme din cadrul acestei componente, și anume reforma 7 (stimulente pentru angajare) și reforma 11 (digitalizarea serviciilor publice de ocupare a forței de muncă). Unele elemente ale reformei (cum ar fi consolidarea programului de recalificare și asistență pentru lucrătorii în vârstă) prezintă sinergii cu reforma 2 din cadrul componentei 30 (alinierea vârstei efective de pensionare la vârsta legală de pensionare).</w:t>
      </w:r>
    </w:p>
    <w:p w14:paraId="1FC8CB50" w14:textId="77777777" w:rsidR="00011DE9" w:rsidRDefault="00011DE9">
      <w:pPr>
        <w:pStyle w:val="P68B1DB1-Normal16"/>
        <w:spacing w:before="120" w:after="120" w:line="240" w:lineRule="auto"/>
        <w:jc w:val="both"/>
        <w:rPr>
          <w:rFonts w:cs="Times New Roman"/>
          <w:noProof/>
        </w:rPr>
      </w:pPr>
      <w:r>
        <w:rPr>
          <w:noProof/>
        </w:rPr>
        <w:t>Reforma include o serie de măsuri legislative în 2021 și 2022:</w:t>
      </w:r>
    </w:p>
    <w:p w14:paraId="752C8950" w14:textId="77777777" w:rsidR="00011DE9" w:rsidRDefault="00011DE9">
      <w:pPr>
        <w:pStyle w:val="P68B1DB1-Normal16"/>
        <w:numPr>
          <w:ilvl w:val="0"/>
          <w:numId w:val="164"/>
        </w:numPr>
        <w:spacing w:before="120" w:line="240" w:lineRule="auto"/>
        <w:contextualSpacing/>
        <w:jc w:val="both"/>
        <w:rPr>
          <w:rFonts w:cs="Times New Roman"/>
          <w:noProof/>
        </w:rPr>
      </w:pPr>
      <w:r>
        <w:rPr>
          <w:noProof/>
        </w:rPr>
        <w:t>Planul de acțiune 2021-2027 pentru combaterea șomajului în rândul tinerilor cu ocazia punerii în aplicare a Garanției UE pentru tineret Plus. Planul de acțiune include o revizuire a contractelor de stagiu/ucenicie și aprobarea unui statut al stagiarilor. Aceste măsuri sunt coerente cu politicile educaționale de combatere a părăsirii timpurii a școlii (astfel cum se prevede în componenta 21). Punerea în aplicare a acestui element al măsurii se finalizează până la 30 iunie 2021.</w:t>
      </w:r>
    </w:p>
    <w:p w14:paraId="489CA651" w14:textId="77777777" w:rsidR="00011DE9" w:rsidRDefault="00011DE9">
      <w:pPr>
        <w:pStyle w:val="P68B1DB1-Normal16"/>
        <w:numPr>
          <w:ilvl w:val="0"/>
          <w:numId w:val="164"/>
        </w:numPr>
        <w:spacing w:before="120" w:line="240" w:lineRule="auto"/>
        <w:contextualSpacing/>
        <w:jc w:val="both"/>
        <w:rPr>
          <w:rFonts w:cs="Times New Roman"/>
          <w:noProof/>
        </w:rPr>
      </w:pPr>
      <w:r>
        <w:rPr>
          <w:noProof/>
        </w:rPr>
        <w:t xml:space="preserve">Strategia spaniolă de activare a forței de muncă pentru perioada 2021-2024, în urma unui proces de dialog social. Principalele obiective ale noii strategii sunt: </w:t>
      </w:r>
    </w:p>
    <w:p w14:paraId="3CA54CC4" w14:textId="77777777" w:rsidR="00011DE9" w:rsidRDefault="00011DE9">
      <w:pPr>
        <w:pStyle w:val="P68B1DB1-Normal16"/>
        <w:numPr>
          <w:ilvl w:val="1"/>
          <w:numId w:val="165"/>
        </w:numPr>
        <w:spacing w:before="120" w:line="240" w:lineRule="auto"/>
        <w:contextualSpacing/>
        <w:jc w:val="both"/>
        <w:rPr>
          <w:rFonts w:cs="Times New Roman"/>
          <w:noProof/>
        </w:rPr>
      </w:pPr>
      <w:r>
        <w:rPr>
          <w:noProof/>
        </w:rPr>
        <w:t>O abordare centrată pe oameni și pe întreprinderi: se preconizează că elaborarea politicilor active în domeniul pieței forței de muncă se va concentra asupra circumstanțelor specifice ale fiecărei persoane și întreprinderi.</w:t>
      </w:r>
    </w:p>
    <w:p w14:paraId="2C7EBECA" w14:textId="77777777" w:rsidR="00011DE9" w:rsidRDefault="00011DE9">
      <w:pPr>
        <w:pStyle w:val="P68B1DB1-Normal16"/>
        <w:numPr>
          <w:ilvl w:val="1"/>
          <w:numId w:val="165"/>
        </w:numPr>
        <w:spacing w:before="120" w:line="240" w:lineRule="auto"/>
        <w:contextualSpacing/>
        <w:jc w:val="both"/>
        <w:rPr>
          <w:rFonts w:cs="Times New Roman"/>
          <w:noProof/>
        </w:rPr>
      </w:pPr>
      <w:r>
        <w:rPr>
          <w:noProof/>
        </w:rPr>
        <w:t>Coerența cu transformarea productivă: Politicile active în domeniul pieței forței de muncă ar trebui să permită tranzițiile profesionale care însoțesc tranziția modelului de producție către o economie verde și digitală.</w:t>
      </w:r>
    </w:p>
    <w:p w14:paraId="156A1F15" w14:textId="77777777" w:rsidR="00011DE9" w:rsidRDefault="00011DE9">
      <w:pPr>
        <w:pStyle w:val="P68B1DB1-Normal16"/>
        <w:numPr>
          <w:ilvl w:val="1"/>
          <w:numId w:val="165"/>
        </w:numPr>
        <w:spacing w:before="120" w:line="240" w:lineRule="auto"/>
        <w:contextualSpacing/>
        <w:jc w:val="both"/>
        <w:rPr>
          <w:rFonts w:cs="Times New Roman"/>
          <w:noProof/>
        </w:rPr>
      </w:pPr>
      <w:r>
        <w:rPr>
          <w:noProof/>
        </w:rPr>
        <w:t>Orientarea către rezultate: Se preconizează că politicile active în domeniul pieței forței de muncă vor fi evaluate, monitorizate și promovate în vederea obținerii de rezultate.</w:t>
      </w:r>
    </w:p>
    <w:p w14:paraId="233717FC" w14:textId="77777777" w:rsidR="00011DE9" w:rsidRDefault="00011DE9">
      <w:pPr>
        <w:pStyle w:val="P68B1DB1-Normal16"/>
        <w:numPr>
          <w:ilvl w:val="1"/>
          <w:numId w:val="165"/>
        </w:numPr>
        <w:spacing w:before="120" w:line="240" w:lineRule="auto"/>
        <w:contextualSpacing/>
        <w:jc w:val="both"/>
        <w:rPr>
          <w:rFonts w:cs="Times New Roman"/>
          <w:noProof/>
        </w:rPr>
      </w:pPr>
      <w:r>
        <w:rPr>
          <w:noProof/>
        </w:rPr>
        <w:t xml:space="preserve">Îmbunătățirea capacităților serviciilor publice de ocupare a forței de muncă prin digitalizarea și modernizarea acestora. </w:t>
      </w:r>
    </w:p>
    <w:p w14:paraId="139FF099" w14:textId="77777777" w:rsidR="00011DE9" w:rsidRDefault="00011DE9">
      <w:pPr>
        <w:pStyle w:val="P68B1DB1-Normal16"/>
        <w:numPr>
          <w:ilvl w:val="1"/>
          <w:numId w:val="165"/>
        </w:numPr>
        <w:spacing w:before="120" w:line="240" w:lineRule="auto"/>
        <w:contextualSpacing/>
        <w:jc w:val="both"/>
        <w:rPr>
          <w:rFonts w:cs="Times New Roman"/>
          <w:noProof/>
        </w:rPr>
      </w:pPr>
      <w:r>
        <w:rPr>
          <w:noProof/>
        </w:rPr>
        <w:t>Guvernanța și coeziunea sistemului național de ocupare a forței de muncă pentru a îmbunătăți coordonarea la nivel național și regional și părțile interesate implicate în politicile active în domeniul pieței forței de muncă.</w:t>
      </w:r>
    </w:p>
    <w:p w14:paraId="79DDCD15" w14:textId="77777777" w:rsidR="00011DE9" w:rsidRDefault="00011DE9">
      <w:pPr>
        <w:pStyle w:val="P68B1DB1-Normal16"/>
        <w:spacing w:before="120" w:line="240" w:lineRule="auto"/>
        <w:ind w:left="709"/>
        <w:contextualSpacing/>
        <w:jc w:val="both"/>
        <w:rPr>
          <w:rFonts w:cs="Times New Roman"/>
          <w:noProof/>
        </w:rPr>
      </w:pPr>
      <w:r>
        <w:rPr>
          <w:noProof/>
        </w:rPr>
        <w:t>Punerea în aplicare a acestui element al măsurii se finalizează până la 31 decembrie 2021.</w:t>
      </w:r>
    </w:p>
    <w:p w14:paraId="4D11A4FA" w14:textId="77777777" w:rsidR="00011DE9" w:rsidRDefault="00011DE9">
      <w:pPr>
        <w:pStyle w:val="P68B1DB1-Normal16"/>
        <w:numPr>
          <w:ilvl w:val="0"/>
          <w:numId w:val="164"/>
        </w:numPr>
        <w:spacing w:before="120" w:line="240" w:lineRule="auto"/>
        <w:contextualSpacing/>
        <w:jc w:val="both"/>
        <w:rPr>
          <w:rFonts w:cs="Times New Roman"/>
          <w:noProof/>
        </w:rPr>
      </w:pPr>
      <w:r>
        <w:rPr>
          <w:noProof/>
        </w:rPr>
        <w:t>Reforma Legii privind ocuparea forței de muncă, cu următoarele obiective: (I) consolidarea instrumentelor de politică și de coordonare ale sistemului național de ocupare a forței de muncă; (II) reformarea politicilor active în domeniul pieței forței de muncă; (III) să revizuiască guvernanța sistemului; (IV) consolidarea dimensiunii locale a politicii de ocupare a forței de muncă; și (v) să îndeplinească cerințele pentru punerea în aplicare a diferitelor măsuri prevăzute în cadrul Planului național pentru politici active de ocupare a forței de muncă. În acest context, principalele elemente ale modificărilor legislative includ:</w:t>
      </w:r>
    </w:p>
    <w:p w14:paraId="38F2D886" w14:textId="77777777" w:rsidR="00011DE9" w:rsidRDefault="00011DE9">
      <w:pPr>
        <w:pStyle w:val="P68B1DB1-Normal16"/>
        <w:numPr>
          <w:ilvl w:val="1"/>
          <w:numId w:val="165"/>
        </w:numPr>
        <w:spacing w:before="120" w:line="240" w:lineRule="auto"/>
        <w:contextualSpacing/>
        <w:jc w:val="both"/>
        <w:rPr>
          <w:rFonts w:cs="Times New Roman"/>
          <w:noProof/>
        </w:rPr>
      </w:pPr>
      <w:r>
        <w:rPr>
          <w:noProof/>
        </w:rPr>
        <w:t>Consolidarea politicilor active și pasive de ocupare a forței de muncă, ținând seama de repartizarea competențelor între stat și comunitățile autonome.</w:t>
      </w:r>
    </w:p>
    <w:p w14:paraId="57694E04" w14:textId="77777777" w:rsidR="00011DE9" w:rsidRDefault="00011DE9">
      <w:pPr>
        <w:pStyle w:val="P68B1DB1-Normal16"/>
        <w:numPr>
          <w:ilvl w:val="1"/>
          <w:numId w:val="165"/>
        </w:numPr>
        <w:spacing w:before="120" w:line="240" w:lineRule="auto"/>
        <w:contextualSpacing/>
        <w:jc w:val="both"/>
        <w:rPr>
          <w:rFonts w:cs="Times New Roman"/>
          <w:noProof/>
        </w:rPr>
      </w:pPr>
      <w:r>
        <w:rPr>
          <w:noProof/>
        </w:rPr>
        <w:t xml:space="preserve">Consolidarea sistemului de mediere și a parteneriatelor public-privat. </w:t>
      </w:r>
    </w:p>
    <w:p w14:paraId="7DE2D846" w14:textId="77777777" w:rsidR="00011DE9" w:rsidRDefault="00011DE9">
      <w:pPr>
        <w:pStyle w:val="P68B1DB1-Normal16"/>
        <w:numPr>
          <w:ilvl w:val="1"/>
          <w:numId w:val="165"/>
        </w:numPr>
        <w:spacing w:before="120" w:line="240" w:lineRule="auto"/>
        <w:contextualSpacing/>
        <w:jc w:val="both"/>
        <w:rPr>
          <w:rFonts w:cs="Times New Roman"/>
          <w:noProof/>
        </w:rPr>
      </w:pPr>
      <w:r>
        <w:rPr>
          <w:noProof/>
        </w:rPr>
        <w:t>Portofoliul de servicii comune al sistemului național de ocupare a forței de muncă.</w:t>
      </w:r>
    </w:p>
    <w:p w14:paraId="028FFA0F" w14:textId="77777777" w:rsidR="00011DE9" w:rsidRDefault="00011DE9">
      <w:pPr>
        <w:pStyle w:val="P68B1DB1-Normal16"/>
        <w:numPr>
          <w:ilvl w:val="1"/>
          <w:numId w:val="165"/>
        </w:numPr>
        <w:spacing w:before="120" w:line="240" w:lineRule="auto"/>
        <w:contextualSpacing/>
        <w:jc w:val="both"/>
        <w:rPr>
          <w:rFonts w:cs="Times New Roman"/>
          <w:noProof/>
        </w:rPr>
      </w:pPr>
      <w:r>
        <w:rPr>
          <w:noProof/>
        </w:rPr>
        <w:t xml:space="preserve">Revizuirea modelului de finanțare. </w:t>
      </w:r>
    </w:p>
    <w:p w14:paraId="6878B20A" w14:textId="77777777" w:rsidR="00011DE9" w:rsidRDefault="00011DE9">
      <w:pPr>
        <w:pStyle w:val="P68B1DB1-Normal16"/>
        <w:numPr>
          <w:ilvl w:val="1"/>
          <w:numId w:val="165"/>
        </w:numPr>
        <w:spacing w:before="120" w:line="240" w:lineRule="auto"/>
        <w:contextualSpacing/>
        <w:jc w:val="both"/>
        <w:rPr>
          <w:rFonts w:cs="Times New Roman"/>
          <w:noProof/>
        </w:rPr>
      </w:pPr>
      <w:r>
        <w:rPr>
          <w:noProof/>
        </w:rPr>
        <w:t>Cooperarea cu serviciile sociale.</w:t>
      </w:r>
    </w:p>
    <w:p w14:paraId="79532A5C" w14:textId="77777777" w:rsidR="00011DE9" w:rsidRDefault="00011DE9">
      <w:pPr>
        <w:pStyle w:val="P68B1DB1-Normal16"/>
        <w:numPr>
          <w:ilvl w:val="1"/>
          <w:numId w:val="165"/>
        </w:numPr>
        <w:spacing w:before="120" w:line="240" w:lineRule="auto"/>
        <w:contextualSpacing/>
        <w:jc w:val="both"/>
        <w:rPr>
          <w:rFonts w:cs="Times New Roman"/>
          <w:noProof/>
        </w:rPr>
      </w:pPr>
      <w:r>
        <w:rPr>
          <w:noProof/>
        </w:rPr>
        <w:t>Dimensiunea locală și europeană.</w:t>
      </w:r>
    </w:p>
    <w:p w14:paraId="068CFE84" w14:textId="77777777" w:rsidR="00011DE9" w:rsidRDefault="00011DE9">
      <w:pPr>
        <w:pStyle w:val="P68B1DB1-Normal16"/>
        <w:numPr>
          <w:ilvl w:val="1"/>
          <w:numId w:val="165"/>
        </w:numPr>
        <w:spacing w:before="120" w:line="240" w:lineRule="auto"/>
        <w:contextualSpacing/>
        <w:jc w:val="both"/>
        <w:rPr>
          <w:rFonts w:cs="Times New Roman"/>
          <w:noProof/>
        </w:rPr>
      </w:pPr>
      <w:r>
        <w:rPr>
          <w:noProof/>
        </w:rPr>
        <w:t>Dezvoltarea tehnologică pentru capacitatea de inserție profesională.</w:t>
      </w:r>
    </w:p>
    <w:p w14:paraId="6A0CC16D" w14:textId="77777777" w:rsidR="00011DE9" w:rsidRDefault="00011DE9">
      <w:pPr>
        <w:pStyle w:val="P68B1DB1-Normal16"/>
        <w:numPr>
          <w:ilvl w:val="1"/>
          <w:numId w:val="165"/>
        </w:numPr>
        <w:spacing w:before="120" w:line="240" w:lineRule="auto"/>
        <w:contextualSpacing/>
        <w:jc w:val="both"/>
        <w:rPr>
          <w:rFonts w:cs="Times New Roman"/>
          <w:noProof/>
        </w:rPr>
      </w:pPr>
      <w:r>
        <w:rPr>
          <w:noProof/>
        </w:rPr>
        <w:t>Utilizarea TIC și a volumelor mari de date.</w:t>
      </w:r>
    </w:p>
    <w:p w14:paraId="06656AA3" w14:textId="77777777" w:rsidR="00011DE9" w:rsidRDefault="00011DE9">
      <w:pPr>
        <w:pStyle w:val="P68B1DB1-Normal16"/>
        <w:numPr>
          <w:ilvl w:val="1"/>
          <w:numId w:val="165"/>
        </w:numPr>
        <w:spacing w:before="120" w:line="240" w:lineRule="auto"/>
        <w:contextualSpacing/>
        <w:jc w:val="both"/>
        <w:rPr>
          <w:rFonts w:cs="Times New Roman"/>
          <w:noProof/>
        </w:rPr>
      </w:pPr>
      <w:r>
        <w:rPr>
          <w:noProof/>
        </w:rPr>
        <w:t>Îmbunătățirea capacității de inserție profesională.</w:t>
      </w:r>
    </w:p>
    <w:p w14:paraId="7BB8A23D" w14:textId="77777777" w:rsidR="00011DE9" w:rsidRDefault="00011DE9">
      <w:pPr>
        <w:pStyle w:val="P68B1DB1-Normal16"/>
        <w:spacing w:before="120" w:line="240" w:lineRule="auto"/>
        <w:ind w:left="709"/>
        <w:contextualSpacing/>
        <w:jc w:val="both"/>
        <w:rPr>
          <w:rFonts w:cs="Times New Roman"/>
          <w:noProof/>
        </w:rPr>
      </w:pPr>
      <w:r>
        <w:rPr>
          <w:noProof/>
        </w:rPr>
        <w:t>Punerea în aplicare a acestui element al măsurii se finalizează până la 31 decembrie 2022.</w:t>
      </w:r>
    </w:p>
    <w:p w14:paraId="7534F2BF" w14:textId="77777777" w:rsidR="00011DE9" w:rsidRDefault="00011DE9">
      <w:pPr>
        <w:pStyle w:val="P68B1DB1-Normal17"/>
        <w:spacing w:before="240" w:after="120" w:line="240" w:lineRule="auto"/>
        <w:jc w:val="both"/>
        <w:rPr>
          <w:rFonts w:cs="Times New Roman"/>
          <w:noProof/>
        </w:rPr>
      </w:pPr>
      <w:r>
        <w:rPr>
          <w:noProof/>
        </w:rPr>
        <w:t>Reforma 6 (C23.R6) – Mecanismul permanent de flexibilitate internă, stabilitate a locurilor de muncă și recalificare a lucrătorilor în tranziție.</w:t>
      </w:r>
    </w:p>
    <w:p w14:paraId="0B517B82" w14:textId="77777777" w:rsidR="00011DE9" w:rsidRDefault="00011DE9">
      <w:pPr>
        <w:pStyle w:val="P68B1DB1-Normal16"/>
        <w:spacing w:before="120" w:after="120" w:line="240" w:lineRule="auto"/>
        <w:jc w:val="both"/>
        <w:rPr>
          <w:rFonts w:cs="Times New Roman"/>
          <w:noProof/>
        </w:rPr>
      </w:pPr>
      <w:r>
        <w:rPr>
          <w:noProof/>
        </w:rPr>
        <w:t xml:space="preserve">Această reformă are obiectivul de a institui un sistem permanent de adaptare la șocurile ciclice și structurale, acoperind suspendarea sau reducerea timpului de lucru printr-un plan de reglementare a ocupării forței de muncă care să includă cerința de a îmbunătăți sau de a recalifica lucrătorii în ceea ce privește competențele identificate ca fiind solicitate. Schema se bazează pe experiența schemelor privind reducerea timpului de muncă (așa-numitele „ERTE”) utilizate în timpul crizei provocate de pandemia de COVID-19 pentru a menține locurile de muncă în timpul izolării și al altor restricții de activitate cauzate de pandemie. </w:t>
      </w:r>
    </w:p>
    <w:p w14:paraId="4FFBCFEA" w14:textId="77777777" w:rsidR="00011DE9" w:rsidRDefault="00011DE9">
      <w:pPr>
        <w:pStyle w:val="P68B1DB1-Normal16"/>
        <w:spacing w:before="120" w:after="120" w:line="240" w:lineRule="auto"/>
        <w:jc w:val="both"/>
        <w:rPr>
          <w:rFonts w:cs="Times New Roman"/>
          <w:noProof/>
        </w:rPr>
      </w:pPr>
      <w:r>
        <w:rPr>
          <w:noProof/>
        </w:rPr>
        <w:t>Reforma constă în două noi mecanisme de ajustare:</w:t>
      </w:r>
    </w:p>
    <w:p w14:paraId="0A642BDD" w14:textId="77777777" w:rsidR="00011DE9" w:rsidRDefault="00011DE9">
      <w:pPr>
        <w:pStyle w:val="P68B1DB1-Normal16"/>
        <w:numPr>
          <w:ilvl w:val="0"/>
          <w:numId w:val="166"/>
        </w:numPr>
        <w:spacing w:before="120" w:line="240" w:lineRule="auto"/>
        <w:contextualSpacing/>
        <w:jc w:val="both"/>
        <w:rPr>
          <w:rFonts w:cs="Times New Roman"/>
          <w:noProof/>
        </w:rPr>
      </w:pPr>
      <w:r>
        <w:rPr>
          <w:noProof/>
        </w:rPr>
        <w:t>Un mecanism de stabilizare economică care să ofere flexibilitate internă întreprinderilor și stabilitate lucrătorilor în fața șocurilor tranzitorii sau ciclice, cu un accent special pe formarea lucrătorilor.</w:t>
      </w:r>
    </w:p>
    <w:p w14:paraId="3FF36752" w14:textId="77777777" w:rsidR="00011DE9" w:rsidRDefault="00011DE9">
      <w:pPr>
        <w:pStyle w:val="P68B1DB1-Normal16"/>
        <w:numPr>
          <w:ilvl w:val="0"/>
          <w:numId w:val="166"/>
        </w:numPr>
        <w:spacing w:before="120" w:line="240" w:lineRule="auto"/>
        <w:contextualSpacing/>
        <w:jc w:val="both"/>
        <w:rPr>
          <w:rFonts w:cs="Times New Roman"/>
          <w:noProof/>
        </w:rPr>
      </w:pPr>
      <w:r>
        <w:rPr>
          <w:noProof/>
        </w:rPr>
        <w:t>Un mecanism care sprijină recalificarea și perfecționarea lucrătorilor și a întreprinderilor aflate în tranziție pentru a-i ajuta să facă față inovațiilor tehnologice sau legate de cerere și care facilitează mobilitatea voluntară a lucrătorilor în cadrul întreprinderilor și între acestea.</w:t>
      </w:r>
    </w:p>
    <w:p w14:paraId="77CF8ACE" w14:textId="77777777" w:rsidR="00011DE9" w:rsidRDefault="00011DE9">
      <w:pPr>
        <w:pStyle w:val="P68B1DB1-Normal16"/>
        <w:spacing w:before="240" w:after="120" w:line="240" w:lineRule="auto"/>
        <w:jc w:val="both"/>
        <w:rPr>
          <w:rFonts w:cs="Times New Roman"/>
          <w:noProof/>
        </w:rPr>
      </w:pPr>
      <w:r>
        <w:rPr>
          <w:noProof/>
        </w:rPr>
        <w:t xml:space="preserve">Măsura este pusă în aplicare prin modificarea Statutului lucrătorilor. Aceasta include crearea unui fond tripartit care să fie finanțat prin contribuții la asigurările sociale din partea angajatorilor și a lucrătorilor și completat de stat. Acesta asigură sustenabilitatea finanțelor publice pe termen mediu și lung, luând în considerare diferite opțiuni și scenarii. Funcționarea concretă a acestui fond se negociază cu partenerii sociali. </w:t>
      </w:r>
    </w:p>
    <w:p w14:paraId="700CEEC1" w14:textId="77777777" w:rsidR="00011DE9" w:rsidRDefault="00011DE9">
      <w:pPr>
        <w:pStyle w:val="P68B1DB1-Normal16"/>
        <w:spacing w:before="240" w:after="120" w:line="240" w:lineRule="auto"/>
        <w:jc w:val="both"/>
        <w:rPr>
          <w:rFonts w:cs="Times New Roman"/>
          <w:noProof/>
        </w:rPr>
      </w:pPr>
      <w:r>
        <w:rPr>
          <w:noProof/>
        </w:rPr>
        <w:t>Punerea în aplicare a măsurii se finalizează până la 31 decembrie 2021.</w:t>
      </w:r>
    </w:p>
    <w:p w14:paraId="3B304DF0" w14:textId="77777777" w:rsidR="00011DE9" w:rsidRDefault="00011DE9">
      <w:pPr>
        <w:pStyle w:val="P68B1DB1-Normal17"/>
        <w:spacing w:before="120" w:after="120" w:line="240" w:lineRule="auto"/>
        <w:jc w:val="both"/>
        <w:rPr>
          <w:rFonts w:cs="Times New Roman"/>
          <w:noProof/>
        </w:rPr>
      </w:pPr>
      <w:r>
        <w:rPr>
          <w:noProof/>
        </w:rPr>
        <w:t>Reforma 7 (C23.R7) – Revizuirea stimulentelor pentru angajare</w:t>
      </w:r>
    </w:p>
    <w:p w14:paraId="472AB259" w14:textId="77777777" w:rsidR="00011DE9" w:rsidRDefault="00011DE9">
      <w:pPr>
        <w:pStyle w:val="P68B1DB1-Normal16"/>
        <w:spacing w:before="120" w:after="120" w:line="240" w:lineRule="auto"/>
        <w:jc w:val="both"/>
        <w:rPr>
          <w:rFonts w:cs="Times New Roman"/>
          <w:noProof/>
        </w:rPr>
      </w:pPr>
      <w:r>
        <w:rPr>
          <w:noProof/>
        </w:rPr>
        <w:t>Obiectivul reformei este de a simplifica sistemul de stimulente pentru angajare și de a-i spori eficacitatea printr-o mai bună direcționare, ținând seama de analiza cheltuielilor efectuată de autoritatea bugetară independentă („AIReF”). În special, scopul său este de a îmbunătăți capacitatea de inserție profesională a unor grupuri foarte specifice cu o participare scăzută pe piața forței de muncă, prin promovarea locurilor de muncă de calitate și a contractelor permanente. Numărul stimulentelor se reduce, iar cerințele pentru societățile beneficiare se standardizează. Se are în vedere o monitorizare și o evaluare continuă a sistemului de stimulente pentru angajare.</w:t>
      </w:r>
    </w:p>
    <w:p w14:paraId="4C08E915" w14:textId="77777777" w:rsidR="00011DE9" w:rsidRDefault="00011DE9">
      <w:pPr>
        <w:pStyle w:val="P68B1DB1-Normal16"/>
        <w:spacing w:before="120" w:after="120" w:line="240" w:lineRule="auto"/>
        <w:jc w:val="both"/>
        <w:rPr>
          <w:rFonts w:cs="Times New Roman"/>
          <w:noProof/>
        </w:rPr>
      </w:pPr>
      <w:r>
        <w:rPr>
          <w:noProof/>
        </w:rPr>
        <w:t>Reforma se pune în aplicare printr-o modificare a Legii nr. 43/2006. Aceasta este strâns legată de alte măsuri din cadrul acestei componente, cum ar fi reforma 5 (reforma generală a politicilor active în domeniul pieței forței de muncă) și investiția 7 (parcursuri de activare pentru beneficiarii sistemului de venit minim).</w:t>
      </w:r>
    </w:p>
    <w:p w14:paraId="0CE2A1EC" w14:textId="77777777" w:rsidR="00011DE9" w:rsidRDefault="00011DE9">
      <w:pPr>
        <w:pStyle w:val="P68B1DB1-Normal16"/>
        <w:spacing w:before="120" w:after="120" w:line="240" w:lineRule="auto"/>
        <w:jc w:val="both"/>
        <w:rPr>
          <w:rFonts w:cs="Times New Roman"/>
          <w:noProof/>
        </w:rPr>
      </w:pPr>
      <w:r>
        <w:rPr>
          <w:noProof/>
        </w:rPr>
        <w:t>Punerea în aplicare a măsurii se finalizează până la 31 decembrie 2022.</w:t>
      </w:r>
    </w:p>
    <w:p w14:paraId="6D6AA5A9" w14:textId="77777777" w:rsidR="00011DE9" w:rsidRDefault="00011DE9">
      <w:pPr>
        <w:pStyle w:val="P68B1DB1-Normal17"/>
        <w:keepNext/>
        <w:spacing w:before="120" w:after="120" w:line="240" w:lineRule="auto"/>
        <w:jc w:val="both"/>
        <w:rPr>
          <w:rFonts w:cs="Times New Roman"/>
          <w:noProof/>
        </w:rPr>
      </w:pPr>
      <w:r>
        <w:rPr>
          <w:noProof/>
        </w:rPr>
        <w:t>Reforma 8 (C23.R8) – Modernizarea negocierilor colective</w:t>
      </w:r>
    </w:p>
    <w:p w14:paraId="2F6236D0" w14:textId="77777777" w:rsidR="00011DE9" w:rsidRDefault="00011DE9">
      <w:pPr>
        <w:pStyle w:val="P68B1DB1-Normal16"/>
        <w:keepNext/>
        <w:spacing w:before="120" w:after="120" w:line="240" w:lineRule="auto"/>
        <w:jc w:val="both"/>
        <w:rPr>
          <w:rFonts w:cs="Times New Roman"/>
          <w:noProof/>
        </w:rPr>
      </w:pPr>
      <w:r>
        <w:rPr>
          <w:noProof/>
        </w:rPr>
        <w:t>Această reformă are obiectivul de a îmbunătăți funcționarea negocierilor colective prin modificarea normelor juridice relevante din Statutul lucrătorilor (titlul III din Decretul legislativ nr. 2/2015) în urma unui proces de dialog social. Din acest motiv, modificările normative avute în vedere nu sunt pe deplin detaliate în plan. Modificările îmbunătățesc normele juridice care reglementează negocierile colective.</w:t>
      </w:r>
    </w:p>
    <w:p w14:paraId="65DD8B1F" w14:textId="77777777" w:rsidR="00011DE9" w:rsidRDefault="00011DE9">
      <w:pPr>
        <w:pStyle w:val="P68B1DB1-Normal16"/>
        <w:spacing w:before="120" w:after="120" w:line="240" w:lineRule="auto"/>
        <w:jc w:val="both"/>
        <w:rPr>
          <w:rFonts w:cs="Times New Roman"/>
          <w:noProof/>
        </w:rPr>
      </w:pPr>
      <w:r>
        <w:rPr>
          <w:noProof/>
        </w:rPr>
        <w:t>Modernizarea negocierilor colective include modificări ale structurii de negociere în sine, cu scopul de a consolida reprezentativitatea părților la negocieri, de a îmbogăți conținutul dialogului și de a spori securitatea juridică în ceea ce privește punerea sa în aplicare și efectele sale. Modificările nu trebuie să genereze obstacole disproporționate pentru întreprinderi în ceea ce privește adaptarea la ciclu și răspunsul la evoluția productivității.</w:t>
      </w:r>
    </w:p>
    <w:p w14:paraId="7F2F21FD" w14:textId="77777777" w:rsidR="00011DE9" w:rsidRDefault="00011DE9">
      <w:pPr>
        <w:pStyle w:val="P68B1DB1-Normal16"/>
        <w:spacing w:before="120" w:after="120" w:line="240" w:lineRule="auto"/>
        <w:jc w:val="both"/>
        <w:rPr>
          <w:rFonts w:cs="Times New Roman"/>
          <w:noProof/>
        </w:rPr>
      </w:pPr>
      <w:r>
        <w:rPr>
          <w:noProof/>
        </w:rPr>
        <w:t xml:space="preserve">Punerea în aplicare a reformei se finalizează până la 31 decembrie 2021. </w:t>
      </w:r>
    </w:p>
    <w:p w14:paraId="4E37DF2B" w14:textId="77777777" w:rsidR="00011DE9" w:rsidRDefault="00011DE9">
      <w:pPr>
        <w:pStyle w:val="P68B1DB1-Normal17"/>
        <w:spacing w:before="120" w:after="120" w:line="240" w:lineRule="auto"/>
        <w:jc w:val="both"/>
        <w:rPr>
          <w:rFonts w:cs="Times New Roman"/>
          <w:noProof/>
        </w:rPr>
      </w:pPr>
      <w:r>
        <w:rPr>
          <w:noProof/>
        </w:rPr>
        <w:t>Reforma 9 (C23.R9) – Modernizarea activităților de subcontractare</w:t>
      </w:r>
    </w:p>
    <w:p w14:paraId="507962FD" w14:textId="77777777" w:rsidR="00011DE9" w:rsidRDefault="00011DE9">
      <w:pPr>
        <w:pStyle w:val="P68B1DB1-Normal16"/>
        <w:spacing w:before="120" w:after="120" w:line="240" w:lineRule="auto"/>
        <w:jc w:val="both"/>
        <w:rPr>
          <w:rFonts w:cs="Times New Roman"/>
          <w:noProof/>
        </w:rPr>
      </w:pPr>
      <w:r>
        <w:rPr>
          <w:noProof/>
        </w:rPr>
        <w:t xml:space="preserve">Această reformă are ca obiectiv îmbunătățirea condițiilor de muncă și a drepturilor persoanelor care lucrează în întreprinderile subcontractate, prin modificarea articolului 42 din Statutul lucrătorilor (Decretul legislativ nr. 2/2015) pentru a asigura utilizarea corespunzătoare a acestuia în cazurile în care îmbunătățește activitatea productivă și o descurajează de la cele în care este doar un mijloc de reducere a costurilor. </w:t>
      </w:r>
    </w:p>
    <w:p w14:paraId="5BD7731A" w14:textId="77777777" w:rsidR="00011DE9" w:rsidRDefault="00011DE9">
      <w:pPr>
        <w:pStyle w:val="P68B1DB1-Normal16"/>
        <w:spacing w:before="120" w:after="120" w:line="240" w:lineRule="auto"/>
        <w:jc w:val="both"/>
        <w:rPr>
          <w:rFonts w:cs="Times New Roman"/>
          <w:noProof/>
        </w:rPr>
      </w:pPr>
      <w:r>
        <w:rPr>
          <w:noProof/>
        </w:rPr>
        <w:t>Această reformă asigură un nivel adecvat de protecție a lucrătorilor în ceea ce privește subcontractarea și evoluează către condiții de concurență echitabile între lucrătorii subcontractați și cei din cadrul întreprinderii. Aceasta consolidează, de asemenea, responsabilitatea contractanților sau a subcontractanților și împiedică externalizarea serviciilor prin subcontractare în cazurile în care acest lucru s-a realizat cu scopul de a reduce standardele de muncă pentru persoanele care lucrează pentru subcontractanți.</w:t>
      </w:r>
    </w:p>
    <w:p w14:paraId="73679B90" w14:textId="77777777" w:rsidR="00011DE9" w:rsidRDefault="00011DE9">
      <w:pPr>
        <w:pStyle w:val="P68B1DB1-Normal16"/>
        <w:spacing w:before="120" w:after="120" w:line="240" w:lineRule="auto"/>
        <w:jc w:val="both"/>
        <w:rPr>
          <w:rFonts w:cs="Times New Roman"/>
          <w:noProof/>
        </w:rPr>
      </w:pPr>
      <w:r>
        <w:rPr>
          <w:noProof/>
        </w:rPr>
        <w:t>Punerea în aplicare a reformei se finalizează până la 31 decembrie 2021.</w:t>
      </w:r>
    </w:p>
    <w:p w14:paraId="68C7CB76" w14:textId="77777777" w:rsidR="00011DE9" w:rsidRDefault="00011DE9">
      <w:pPr>
        <w:pStyle w:val="P68B1DB1-Normal17"/>
        <w:spacing w:before="120" w:after="120" w:line="240" w:lineRule="auto"/>
        <w:jc w:val="both"/>
        <w:rPr>
          <w:rFonts w:cs="Times New Roman"/>
          <w:noProof/>
        </w:rPr>
      </w:pPr>
      <w:r>
        <w:rPr>
          <w:noProof/>
        </w:rPr>
        <w:t>Reforma 10 (C23.R10) – Simplificarea și îmbunătățirea asistenței pentru șomaj</w:t>
      </w:r>
    </w:p>
    <w:p w14:paraId="53D55A4A" w14:textId="77777777" w:rsidR="00011DE9" w:rsidRDefault="00011DE9">
      <w:pPr>
        <w:pStyle w:val="P68B1DB1-Normal16"/>
        <w:spacing w:before="120" w:after="120" w:line="240" w:lineRule="auto"/>
        <w:jc w:val="both"/>
        <w:rPr>
          <w:rFonts w:cs="Times New Roman"/>
          <w:noProof/>
        </w:rPr>
      </w:pPr>
      <w:r>
        <w:rPr>
          <w:noProof/>
        </w:rPr>
        <w:t xml:space="preserve">Această reformă legislativă se referă la ajutorul de șomaj de tip necontributiv și va avea loc prin modificarea Decretului regal legislativ nr. 8/2015. Aceasta este strâns legată de reforma 5 din cadrul componentei 22, care prezintă o reformă mai generală a prestațiilor sociale de tip necontributiv. </w:t>
      </w:r>
    </w:p>
    <w:p w14:paraId="3AF59C5B" w14:textId="77777777" w:rsidR="00011DE9" w:rsidRDefault="00011DE9">
      <w:pPr>
        <w:pStyle w:val="P68B1DB1-Normal16"/>
        <w:spacing w:before="120" w:after="120" w:line="240" w:lineRule="auto"/>
        <w:jc w:val="both"/>
        <w:rPr>
          <w:rFonts w:cs="Times New Roman"/>
          <w:noProof/>
        </w:rPr>
      </w:pPr>
      <w:r>
        <w:rPr>
          <w:noProof/>
        </w:rPr>
        <w:t>Reforma include următoarele obiective:</w:t>
      </w:r>
    </w:p>
    <w:p w14:paraId="7B7C0FDE" w14:textId="77777777" w:rsidR="00011DE9" w:rsidRDefault="00011DE9">
      <w:pPr>
        <w:pStyle w:val="P68B1DB1-Normal16"/>
        <w:numPr>
          <w:ilvl w:val="2"/>
          <w:numId w:val="167"/>
        </w:numPr>
        <w:spacing w:before="120" w:line="240" w:lineRule="auto"/>
        <w:ind w:left="709"/>
        <w:contextualSpacing/>
        <w:jc w:val="both"/>
        <w:rPr>
          <w:rFonts w:cs="Times New Roman"/>
          <w:noProof/>
        </w:rPr>
      </w:pPr>
      <w:r>
        <w:rPr>
          <w:noProof/>
        </w:rPr>
        <w:t xml:space="preserve">să extindă protecția împotriva șomajului prin eliminarea unora dintre lacunele de acoperire ale sistemului actual și prin prelungirea duratei maxime; </w:t>
      </w:r>
    </w:p>
    <w:p w14:paraId="6179BC6B" w14:textId="77777777" w:rsidR="00011DE9" w:rsidRDefault="00011DE9">
      <w:pPr>
        <w:pStyle w:val="P68B1DB1-Normal16"/>
        <w:numPr>
          <w:ilvl w:val="2"/>
          <w:numId w:val="167"/>
        </w:numPr>
        <w:spacing w:before="120" w:line="240" w:lineRule="auto"/>
        <w:ind w:left="709"/>
        <w:contextualSpacing/>
        <w:jc w:val="both"/>
        <w:rPr>
          <w:rFonts w:cs="Times New Roman"/>
          <w:noProof/>
        </w:rPr>
      </w:pPr>
      <w:r>
        <w:rPr>
          <w:noProof/>
        </w:rPr>
        <w:t xml:space="preserve">simplificarea sistemului, în prezent fragmentat în mai multe sisteme; </w:t>
      </w:r>
    </w:p>
    <w:p w14:paraId="163E4FFB" w14:textId="77777777" w:rsidR="00011DE9" w:rsidRDefault="00011DE9">
      <w:pPr>
        <w:pStyle w:val="P68B1DB1-Normal16"/>
        <w:numPr>
          <w:ilvl w:val="2"/>
          <w:numId w:val="167"/>
        </w:numPr>
        <w:spacing w:before="120" w:line="240" w:lineRule="auto"/>
        <w:ind w:left="709"/>
        <w:contextualSpacing/>
        <w:jc w:val="both"/>
        <w:rPr>
          <w:rFonts w:cs="Times New Roman"/>
          <w:noProof/>
        </w:rPr>
      </w:pPr>
      <w:r>
        <w:rPr>
          <w:noProof/>
        </w:rPr>
        <w:t xml:space="preserve">corelarea prestației cu un itinerar de activare personalizat; </w:t>
      </w:r>
    </w:p>
    <w:p w14:paraId="6F8F145E" w14:textId="77777777" w:rsidR="00011DE9" w:rsidRDefault="00011DE9">
      <w:pPr>
        <w:pStyle w:val="P68B1DB1-Normal16"/>
        <w:numPr>
          <w:ilvl w:val="2"/>
          <w:numId w:val="167"/>
        </w:numPr>
        <w:spacing w:before="120" w:line="240" w:lineRule="auto"/>
        <w:ind w:left="709"/>
        <w:contextualSpacing/>
        <w:jc w:val="both"/>
        <w:rPr>
          <w:rFonts w:cs="Times New Roman"/>
          <w:noProof/>
        </w:rPr>
      </w:pPr>
      <w:r>
        <w:rPr>
          <w:noProof/>
        </w:rPr>
        <w:t>facilitarea tranziției către protecția socială atunci când beneficiarul nu se întoarce la locul de muncă și se află într-o situație vulnerabilă.</w:t>
      </w:r>
    </w:p>
    <w:p w14:paraId="5F0D3F3A" w14:textId="77777777" w:rsidR="00011DE9" w:rsidRDefault="00011DE9">
      <w:pPr>
        <w:pStyle w:val="P68B1DB1-Normal16"/>
        <w:spacing w:before="240" w:after="120" w:line="240" w:lineRule="auto"/>
        <w:jc w:val="both"/>
        <w:rPr>
          <w:rFonts w:cs="Times New Roman"/>
          <w:noProof/>
        </w:rPr>
      </w:pPr>
      <w:r>
        <w:rPr>
          <w:noProof/>
        </w:rPr>
        <w:t>Ca regulă generală, grupul-țintă al noului sistem este același ca în sistemul actual, și anume șomerii care nu sunt eligibili pentru prestații de șomaj de tip contributiv, fie pentru că sunt șomeri de prea mult timp și și-au epuizat drepturile, fie pentru că stagiul lor de cotizare este prea scurt (mai puțin de 12 luni, dar mai mult de șase luni). Cuantumul lunar al prestației rămâne la 80 % din „IPREM” (indicatorul privind veniturile publice cu efecte multiple).</w:t>
      </w:r>
    </w:p>
    <w:p w14:paraId="1A3F6F43" w14:textId="77777777" w:rsidR="00011DE9" w:rsidRDefault="00011DE9">
      <w:pPr>
        <w:pStyle w:val="P68B1DB1-Normal16"/>
        <w:spacing w:before="120" w:after="120" w:line="240" w:lineRule="auto"/>
        <w:jc w:val="both"/>
        <w:rPr>
          <w:rFonts w:cs="Times New Roman"/>
          <w:noProof/>
        </w:rPr>
      </w:pPr>
      <w:r>
        <w:rPr>
          <w:noProof/>
        </w:rPr>
        <w:t>Punerea în aplicare a măsurii se finalizează până la 31 decembrie 2022.</w:t>
      </w:r>
    </w:p>
    <w:p w14:paraId="0E9C12FE" w14:textId="77777777" w:rsidR="00011DE9" w:rsidRDefault="00011DE9">
      <w:pPr>
        <w:pStyle w:val="P68B1DB1-Normal17"/>
        <w:spacing w:before="120" w:after="120" w:line="240" w:lineRule="auto"/>
        <w:jc w:val="both"/>
        <w:rPr>
          <w:rFonts w:cs="Times New Roman"/>
          <w:noProof/>
        </w:rPr>
      </w:pPr>
      <w:r>
        <w:rPr>
          <w:noProof/>
        </w:rPr>
        <w:t>Investiția 1 (C23.I1) – Ocuparea forței de muncă în rândul tinerilor</w:t>
      </w:r>
    </w:p>
    <w:p w14:paraId="14914FDA" w14:textId="77777777" w:rsidR="00011DE9" w:rsidRDefault="00011DE9">
      <w:pPr>
        <w:pStyle w:val="P68B1DB1-Normal16"/>
        <w:spacing w:before="120" w:after="120" w:line="240" w:lineRule="auto"/>
        <w:jc w:val="both"/>
        <w:rPr>
          <w:rFonts w:cs="Times New Roman"/>
          <w:noProof/>
          <w:u w:val="single"/>
        </w:rPr>
      </w:pPr>
      <w:r>
        <w:rPr>
          <w:noProof/>
        </w:rPr>
        <w:t>Obiectivul acestei măsuri este de a sprijini integrarea tinerilor aflați în căutarea unui loc de muncă pe piața forței de muncă. Această măsură constă în participarea tinerilor aflați în căutarea unui loc de muncă la programele</w:t>
      </w:r>
      <w:r>
        <w:rPr>
          <w:i/>
          <w:noProof/>
        </w:rPr>
        <w:t xml:space="preserve"> „Tandem”, „First Experience” </w:t>
      </w:r>
      <w:r>
        <w:rPr>
          <w:noProof/>
        </w:rPr>
        <w:t>sau</w:t>
      </w:r>
      <w:r>
        <w:rPr>
          <w:i/>
          <w:noProof/>
        </w:rPr>
        <w:t xml:space="preserve"> „Investigo”</w:t>
      </w:r>
      <w:r>
        <w:rPr>
          <w:noProof/>
        </w:rPr>
        <w:t>.</w:t>
      </w:r>
    </w:p>
    <w:p w14:paraId="25B10CCD" w14:textId="77777777" w:rsidR="00011DE9" w:rsidRDefault="00011DE9">
      <w:pPr>
        <w:pStyle w:val="P68B1DB1-Normal17"/>
        <w:spacing w:before="120" w:after="120" w:line="240" w:lineRule="auto"/>
        <w:jc w:val="both"/>
        <w:rPr>
          <w:rFonts w:cs="Times New Roman"/>
          <w:noProof/>
        </w:rPr>
      </w:pPr>
      <w:r>
        <w:rPr>
          <w:noProof/>
        </w:rPr>
        <w:t>Investiția 2 (C23.I2) – Ocuparea forței de muncă în rândul femeilor și integrarea perspectivei de gen în politicile active în domeniul pieței forței de muncă</w:t>
      </w:r>
    </w:p>
    <w:p w14:paraId="1444ED91" w14:textId="77777777" w:rsidR="00011DE9" w:rsidRDefault="00011DE9">
      <w:pPr>
        <w:pStyle w:val="P68B1DB1-Normal16"/>
        <w:spacing w:before="120" w:after="120" w:line="240" w:lineRule="auto"/>
        <w:jc w:val="both"/>
        <w:rPr>
          <w:rFonts w:cs="Times New Roman"/>
          <w:noProof/>
        </w:rPr>
      </w:pPr>
      <w:r>
        <w:rPr>
          <w:noProof/>
        </w:rPr>
        <w:t xml:space="preserve">Obiectivul acestei măsuri este de a sprijini integrarea femeilor pe piața forței de muncă. Această măsură constă în participarea femeilor la programele </w:t>
      </w:r>
      <w:r>
        <w:rPr>
          <w:i/>
          <w:noProof/>
        </w:rPr>
        <w:t>„Plan Empleo Mujer, Rural and Urban areas” sau „Victims of Gender Violence and Human Traffic” (Victimele violenței de gen și ale traficului uman</w:t>
      </w:r>
      <w:r>
        <w:rPr>
          <w:noProof/>
        </w:rPr>
        <w:t>)</w:t>
      </w:r>
      <w:r>
        <w:rPr>
          <w:i/>
          <w:noProof/>
        </w:rPr>
        <w:t>.</w:t>
      </w:r>
    </w:p>
    <w:p w14:paraId="335A8607" w14:textId="77777777" w:rsidR="00011DE9" w:rsidRDefault="00011DE9">
      <w:pPr>
        <w:pStyle w:val="P68B1DB1-Normal17"/>
        <w:spacing w:before="120" w:after="120" w:line="240" w:lineRule="auto"/>
        <w:jc w:val="both"/>
        <w:rPr>
          <w:rFonts w:cs="Times New Roman"/>
          <w:noProof/>
        </w:rPr>
      </w:pPr>
      <w:r>
        <w:rPr>
          <w:noProof/>
        </w:rPr>
        <w:t>Investiția 3 (C23.I3) – Noi competențe pentru tranziția verde, digitală și productivă</w:t>
      </w:r>
    </w:p>
    <w:p w14:paraId="32D496C8" w14:textId="77777777" w:rsidR="00011DE9" w:rsidRDefault="00011DE9">
      <w:pPr>
        <w:pStyle w:val="P68B1DB1-Normal16"/>
        <w:spacing w:before="120" w:after="120" w:line="240" w:lineRule="auto"/>
        <w:jc w:val="both"/>
        <w:rPr>
          <w:rFonts w:cs="Times New Roman"/>
          <w:noProof/>
        </w:rPr>
      </w:pPr>
      <w:r>
        <w:rPr>
          <w:noProof/>
        </w:rPr>
        <w:t>Obiectivul acestei măsuri este recalificarea persoanelor. Această măsură constă în participarea persoanelor la programe de formare pentru a dobândi competențe pentru transformarea digitală, ecologică sau productivă</w:t>
      </w:r>
      <w:r>
        <w:rPr>
          <w:i/>
          <w:noProof/>
        </w:rPr>
        <w:t>.</w:t>
      </w:r>
    </w:p>
    <w:p w14:paraId="20A94123" w14:textId="77777777" w:rsidR="00011DE9" w:rsidRDefault="00011DE9">
      <w:pPr>
        <w:pStyle w:val="P68B1DB1-Normal17"/>
        <w:spacing w:before="120" w:after="120" w:line="240" w:lineRule="auto"/>
        <w:jc w:val="both"/>
        <w:rPr>
          <w:rFonts w:cs="Times New Roman"/>
          <w:noProof/>
        </w:rPr>
      </w:pPr>
      <w:r>
        <w:rPr>
          <w:noProof/>
        </w:rPr>
        <w:t>Investiția 4 (C23.I4) – Proiecte pentru reechilibrare și capitaluri proprii</w:t>
      </w:r>
    </w:p>
    <w:p w14:paraId="1834A453" w14:textId="77777777" w:rsidR="00011DE9" w:rsidRDefault="00011DE9">
      <w:pPr>
        <w:pStyle w:val="P68B1DB1-Normal16"/>
        <w:spacing w:before="120" w:after="120" w:line="240" w:lineRule="auto"/>
        <w:jc w:val="both"/>
        <w:rPr>
          <w:rFonts w:cs="Times New Roman"/>
          <w:noProof/>
        </w:rPr>
      </w:pPr>
      <w:r>
        <w:rPr>
          <w:noProof/>
        </w:rPr>
        <w:t xml:space="preserve">Obiectivul acestei măsuri este de a contribui la abordarea provocării demografice și la facilitarea transformării productive. Această măsură constă în realizarea a 68 de proiecte pentru grupuri vulnerabile, antreprenori sau microîntreprinderi. </w:t>
      </w:r>
    </w:p>
    <w:p w14:paraId="3690B801" w14:textId="77777777" w:rsidR="00011DE9" w:rsidRDefault="00011DE9">
      <w:pPr>
        <w:pStyle w:val="P68B1DB1-Normal17"/>
        <w:spacing w:before="240" w:after="120" w:line="240" w:lineRule="auto"/>
        <w:jc w:val="both"/>
        <w:rPr>
          <w:rFonts w:cs="Times New Roman"/>
          <w:noProof/>
        </w:rPr>
      </w:pPr>
      <w:r>
        <w:rPr>
          <w:noProof/>
        </w:rPr>
        <w:t>Investiția 5 (C23.I5) – Guvernanța și stimularea politicilor de sprijinire a activării</w:t>
      </w:r>
    </w:p>
    <w:p w14:paraId="68EFCC83" w14:textId="6535B875" w:rsidR="00011DE9" w:rsidRDefault="00011DE9">
      <w:pPr>
        <w:pStyle w:val="P68B1DB1-Normal16"/>
        <w:spacing w:before="120" w:after="120" w:line="240" w:lineRule="auto"/>
        <w:jc w:val="both"/>
        <w:rPr>
          <w:noProof/>
        </w:rPr>
      </w:pPr>
      <w:r>
        <w:rPr>
          <w:noProof/>
        </w:rPr>
        <w:t>Obiectivul acestei măsuri este de a sprijini serviciile publice de ocupare a forței de muncă și de a consolida eficiența politicilor active în domeniul pieței forței de muncă. Această măsură constă în realizarea a cel puțin 42 000 de acțiuni de formare pentru personalul SPOFM, precum și în calificarea a 20 de centre publice de orientare, antreprenoriat, sprijin și inovare pentru ocuparea forței de muncă.</w:t>
      </w:r>
      <w:r w:rsidR="00971820">
        <w:rPr>
          <w:noProof/>
        </w:rPr>
        <w:t xml:space="preserve"> </w:t>
      </w:r>
    </w:p>
    <w:p w14:paraId="5285A8BD" w14:textId="77777777" w:rsidR="00011DE9" w:rsidRDefault="00011DE9">
      <w:pPr>
        <w:pStyle w:val="P68B1DB1-Normal17"/>
        <w:spacing w:before="120" w:after="120" w:line="240" w:lineRule="auto"/>
        <w:jc w:val="both"/>
        <w:rPr>
          <w:rFonts w:cs="Times New Roman"/>
          <w:noProof/>
        </w:rPr>
      </w:pPr>
      <w:r>
        <w:rPr>
          <w:noProof/>
        </w:rPr>
        <w:t>Investiția 6 (C23.I6) – Plan cuprinzător de stimulare a economiei sociale</w:t>
      </w:r>
    </w:p>
    <w:p w14:paraId="6CA72AC2" w14:textId="77777777" w:rsidR="00011DE9" w:rsidRDefault="00011DE9">
      <w:pPr>
        <w:pStyle w:val="P68B1DB1-Normal16"/>
        <w:spacing w:before="120" w:after="120" w:line="240" w:lineRule="auto"/>
        <w:jc w:val="both"/>
        <w:rPr>
          <w:rFonts w:cs="Times New Roman"/>
          <w:noProof/>
        </w:rPr>
      </w:pPr>
      <w:r>
        <w:rPr>
          <w:noProof/>
        </w:rPr>
        <w:t>Obiectivul acestei măsuri este de a sprijini proiectele din domeniul economiei sociale. Această măsură constă în proiecte privind programele TRANSFORMA_ES, INICIATIVA_ES, IMPULSA-TEC, ALIANZA_ES și SOSTENIBLE_ES, astfel cum sunt definite în Ordinul TES/1233/2022 din 5 decembrie și în Ordinul TES/869/2023 din 22 iulie, care stabilesc baza de reglementare pentru ajutorul acordat în cadrul Planului cuprinzător de promovare a economiei sociale pentru crearea unei fabrici economice durabile și favorabile incluziunii, în cadrul Planului de redresare și reziliență.</w:t>
      </w:r>
    </w:p>
    <w:p w14:paraId="642034FB" w14:textId="62D9EF6D" w:rsidR="00011DE9" w:rsidRDefault="00011DE9">
      <w:pPr>
        <w:pStyle w:val="P68B1DB1-Normal17"/>
        <w:spacing w:before="120" w:after="120" w:line="240" w:lineRule="auto"/>
        <w:jc w:val="both"/>
        <w:rPr>
          <w:rFonts w:cs="Times New Roman"/>
          <w:noProof/>
        </w:rPr>
      </w:pPr>
      <w:r>
        <w:rPr>
          <w:noProof/>
        </w:rPr>
        <w:t>Investiția 7 (C23.I7) – Promovarea creșterii favorabile incluziunii prin corelarea politicilor de incluziune socială cu sistemul național de venit minim („IMV”)</w:t>
      </w:r>
      <w:r w:rsidR="00971820">
        <w:rPr>
          <w:noProof/>
        </w:rPr>
        <w:t xml:space="preserve"> </w:t>
      </w:r>
    </w:p>
    <w:p w14:paraId="429D7F96" w14:textId="77777777" w:rsidR="00011DE9" w:rsidRDefault="00011DE9">
      <w:pPr>
        <w:pStyle w:val="P68B1DB1-Normal16"/>
        <w:spacing w:before="120" w:after="120" w:line="240" w:lineRule="auto"/>
        <w:jc w:val="both"/>
        <w:rPr>
          <w:noProof/>
        </w:rPr>
      </w:pPr>
      <w:r>
        <w:rPr>
          <w:noProof/>
        </w:rPr>
        <w:t>Obiectivul acestei măsuri este de a îmbunătăți eficacitatea căilor de integrare pentru beneficiarii sistemului de venit minim (IMV). Această măsură constă în semnarea primelor opt acorduri de parteneriat cu administrațiile publice subnaționale, cu partenerii sociali și cu entitățile de acțiune socială din sectorul terțiar pentru a realiza căile de sprijinire a incluziunii socioeconomice a beneficiarilor IMV, precum și în publicarea unui raport de evaluare privind rezultatele proiectelor-pilot legate de sistemul de venit minim sau de grupurile vulnerabile.</w:t>
      </w:r>
    </w:p>
    <w:p w14:paraId="2F3487BE" w14:textId="227CD818" w:rsidR="00011DE9" w:rsidRDefault="00011DE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W.2.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0D484D3B" w14:textId="77777777" w:rsidR="00011DE9" w:rsidRDefault="00011DE9">
      <w:pPr>
        <w:pStyle w:val="P68B1DB1-Normal16"/>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29C795AB" w14:textId="77777777" w:rsidR="00011DE9" w:rsidRDefault="00011DE9">
      <w:pPr>
        <w:spacing w:before="120" w:after="120" w:line="240" w:lineRule="auto"/>
        <w:ind w:left="709"/>
        <w:jc w:val="both"/>
        <w:rPr>
          <w:rFonts w:ascii="Times New Roman" w:hAnsi="Times New Roman" w:cs="Times New Roman"/>
          <w:noProof/>
        </w:rPr>
        <w:sectPr w:rsidR="00011DE9" w:rsidSect="00011DE9">
          <w:headerReference w:type="default" r:id="rId322"/>
          <w:footerReference w:type="default" r:id="rId323"/>
          <w:pgSz w:w="11907" w:h="16839"/>
          <w:pgMar w:top="1134" w:right="1134" w:bottom="1134" w:left="1134" w:header="567" w:footer="567" w:gutter="0"/>
          <w:cols w:space="720"/>
          <w:docGrid w:linePitch="360"/>
        </w:sectPr>
      </w:pP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93"/>
        <w:gridCol w:w="792"/>
        <w:gridCol w:w="921"/>
        <w:gridCol w:w="2025"/>
        <w:gridCol w:w="1519"/>
        <w:gridCol w:w="608"/>
        <w:gridCol w:w="992"/>
        <w:gridCol w:w="709"/>
        <w:gridCol w:w="486"/>
        <w:gridCol w:w="528"/>
        <w:gridCol w:w="5506"/>
      </w:tblGrid>
      <w:tr w:rsidR="00011DE9" w14:paraId="008764C5" w14:textId="77777777" w:rsidTr="003010A3">
        <w:trPr>
          <w:trHeight w:val="309"/>
          <w:tblHeader/>
          <w:jc w:val="center"/>
        </w:trPr>
        <w:tc>
          <w:tcPr>
            <w:tcW w:w="793" w:type="dxa"/>
            <w:vMerge w:val="restart"/>
            <w:shd w:val="clear" w:color="auto" w:fill="B7D4EF"/>
            <w:noWrap/>
            <w:vAlign w:val="center"/>
          </w:tcPr>
          <w:p w14:paraId="68C594AA" w14:textId="77777777" w:rsidR="00011DE9" w:rsidRDefault="00011DE9">
            <w:pPr>
              <w:pStyle w:val="P68B1DB1-Normal18"/>
              <w:spacing w:after="0" w:line="240" w:lineRule="auto"/>
              <w:jc w:val="center"/>
              <w:rPr>
                <w:rFonts w:cs="Times New Roman"/>
                <w:noProof/>
                <w:szCs w:val="18"/>
              </w:rPr>
            </w:pPr>
            <w:r>
              <w:rPr>
                <w:noProof/>
              </w:rPr>
              <w:t>Număr</w:t>
            </w:r>
          </w:p>
        </w:tc>
        <w:tc>
          <w:tcPr>
            <w:tcW w:w="792" w:type="dxa"/>
            <w:vMerge w:val="restart"/>
            <w:shd w:val="clear" w:color="auto" w:fill="B7D4EF"/>
            <w:noWrap/>
            <w:vAlign w:val="center"/>
          </w:tcPr>
          <w:p w14:paraId="7EE52BE6" w14:textId="77777777" w:rsidR="00011DE9" w:rsidRDefault="00011DE9">
            <w:pPr>
              <w:pStyle w:val="P68B1DB1-Normal18"/>
              <w:spacing w:after="0" w:line="240" w:lineRule="auto"/>
              <w:jc w:val="center"/>
              <w:rPr>
                <w:rFonts w:cs="Times New Roman"/>
                <w:noProof/>
                <w:szCs w:val="18"/>
              </w:rPr>
            </w:pPr>
            <w:r>
              <w:rPr>
                <w:noProof/>
              </w:rPr>
              <w:t>Măsură</w:t>
            </w:r>
          </w:p>
        </w:tc>
        <w:tc>
          <w:tcPr>
            <w:tcW w:w="921" w:type="dxa"/>
            <w:vMerge w:val="restart"/>
            <w:shd w:val="clear" w:color="auto" w:fill="B7D4EF"/>
            <w:noWrap/>
            <w:vAlign w:val="center"/>
          </w:tcPr>
          <w:p w14:paraId="38D21735" w14:textId="481DC647" w:rsidR="00011DE9" w:rsidRDefault="00011DE9">
            <w:pPr>
              <w:spacing w:after="0" w:line="240" w:lineRule="auto"/>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2025" w:type="dxa"/>
            <w:vMerge w:val="restart"/>
            <w:shd w:val="clear" w:color="auto" w:fill="B7D4EF"/>
            <w:noWrap/>
            <w:vAlign w:val="center"/>
          </w:tcPr>
          <w:p w14:paraId="6ED12172" w14:textId="77777777" w:rsidR="00011DE9" w:rsidRDefault="00011DE9">
            <w:pPr>
              <w:pStyle w:val="P68B1DB1-Normal18"/>
              <w:spacing w:after="0" w:line="240" w:lineRule="auto"/>
              <w:jc w:val="center"/>
              <w:rPr>
                <w:rFonts w:cs="Times New Roman"/>
                <w:noProof/>
                <w:szCs w:val="18"/>
              </w:rPr>
            </w:pPr>
            <w:r>
              <w:rPr>
                <w:noProof/>
              </w:rPr>
              <w:t>Nume</w:t>
            </w:r>
          </w:p>
        </w:tc>
        <w:tc>
          <w:tcPr>
            <w:tcW w:w="1519" w:type="dxa"/>
            <w:vMerge w:val="restart"/>
            <w:shd w:val="clear" w:color="auto" w:fill="B7D4EF"/>
            <w:noWrap/>
            <w:vAlign w:val="center"/>
          </w:tcPr>
          <w:p w14:paraId="67FD0068" w14:textId="77777777" w:rsidR="00011DE9" w:rsidRDefault="00011DE9">
            <w:pPr>
              <w:pStyle w:val="P68B1DB1-Normal18"/>
              <w:spacing w:after="0" w:line="240" w:lineRule="auto"/>
              <w:jc w:val="center"/>
              <w:rPr>
                <w:rFonts w:cs="Times New Roman"/>
                <w:noProof/>
                <w:szCs w:val="18"/>
              </w:rPr>
            </w:pPr>
            <w:r>
              <w:rPr>
                <w:noProof/>
              </w:rPr>
              <w:t>Indicator calitativ pentru jaloane</w:t>
            </w:r>
          </w:p>
        </w:tc>
        <w:tc>
          <w:tcPr>
            <w:tcW w:w="2309" w:type="dxa"/>
            <w:gridSpan w:val="3"/>
            <w:shd w:val="clear" w:color="auto" w:fill="B7D4EF"/>
            <w:noWrap/>
            <w:vAlign w:val="center"/>
          </w:tcPr>
          <w:p w14:paraId="7005887E" w14:textId="77777777" w:rsidR="00011DE9" w:rsidRDefault="00011DE9">
            <w:pPr>
              <w:pStyle w:val="P68B1DB1-Normal18"/>
              <w:spacing w:after="0" w:line="240" w:lineRule="auto"/>
              <w:jc w:val="center"/>
              <w:rPr>
                <w:rFonts w:cs="Times New Roman"/>
                <w:noProof/>
                <w:szCs w:val="18"/>
              </w:rPr>
            </w:pPr>
            <w:r>
              <w:rPr>
                <w:noProof/>
              </w:rPr>
              <w:t>Indicator cantitativ pentru ținte</w:t>
            </w:r>
          </w:p>
        </w:tc>
        <w:tc>
          <w:tcPr>
            <w:tcW w:w="1014" w:type="dxa"/>
            <w:gridSpan w:val="2"/>
            <w:shd w:val="clear" w:color="auto" w:fill="B7D4EF"/>
            <w:noWrap/>
            <w:vAlign w:val="center"/>
          </w:tcPr>
          <w:p w14:paraId="1F524D80" w14:textId="77777777" w:rsidR="00011DE9" w:rsidRDefault="00011DE9">
            <w:pPr>
              <w:pStyle w:val="P68B1DB1-Normal18"/>
              <w:spacing w:after="0" w:line="240" w:lineRule="auto"/>
              <w:jc w:val="center"/>
              <w:rPr>
                <w:rFonts w:cs="Times New Roman"/>
                <w:noProof/>
                <w:szCs w:val="18"/>
              </w:rPr>
            </w:pPr>
            <w:r>
              <w:rPr>
                <w:noProof/>
              </w:rPr>
              <w:t>Timp</w:t>
            </w:r>
          </w:p>
        </w:tc>
        <w:tc>
          <w:tcPr>
            <w:tcW w:w="5506" w:type="dxa"/>
            <w:vMerge w:val="restart"/>
            <w:shd w:val="clear" w:color="auto" w:fill="B7D4EF"/>
            <w:noWrap/>
            <w:vAlign w:val="center"/>
          </w:tcPr>
          <w:p w14:paraId="3373E791" w14:textId="77777777" w:rsidR="00011DE9" w:rsidRDefault="00011DE9">
            <w:pPr>
              <w:pStyle w:val="P68B1DB1-Normal18"/>
              <w:spacing w:after="0" w:line="240" w:lineRule="auto"/>
              <w:jc w:val="center"/>
              <w:rPr>
                <w:rFonts w:cs="Times New Roman"/>
                <w:noProof/>
                <w:szCs w:val="18"/>
              </w:rPr>
            </w:pPr>
            <w:r>
              <w:rPr>
                <w:noProof/>
              </w:rPr>
              <w:t>Descrierea fiecărui jalon și a fiecărei ținte</w:t>
            </w:r>
          </w:p>
        </w:tc>
      </w:tr>
      <w:tr w:rsidR="00011DE9" w14:paraId="7CBDC723" w14:textId="77777777" w:rsidTr="003010A3">
        <w:trPr>
          <w:trHeight w:val="309"/>
          <w:tblHeader/>
          <w:jc w:val="center"/>
        </w:trPr>
        <w:tc>
          <w:tcPr>
            <w:tcW w:w="793" w:type="dxa"/>
            <w:vMerge/>
            <w:noWrap/>
          </w:tcPr>
          <w:p w14:paraId="65318ACB" w14:textId="77777777" w:rsidR="00011DE9" w:rsidRDefault="00011DE9">
            <w:pPr>
              <w:spacing w:after="0" w:line="240" w:lineRule="auto"/>
              <w:jc w:val="center"/>
              <w:rPr>
                <w:rFonts w:ascii="Times New Roman" w:hAnsi="Times New Roman" w:cs="Times New Roman"/>
                <w:b/>
                <w:noProof/>
                <w:sz w:val="18"/>
                <w:szCs w:val="18"/>
              </w:rPr>
            </w:pPr>
          </w:p>
        </w:tc>
        <w:tc>
          <w:tcPr>
            <w:tcW w:w="792" w:type="dxa"/>
            <w:vMerge/>
            <w:noWrap/>
          </w:tcPr>
          <w:p w14:paraId="38A6748D" w14:textId="77777777" w:rsidR="00011DE9" w:rsidRDefault="00011DE9">
            <w:pPr>
              <w:spacing w:after="0" w:line="240" w:lineRule="auto"/>
              <w:jc w:val="center"/>
              <w:rPr>
                <w:rFonts w:ascii="Times New Roman" w:hAnsi="Times New Roman" w:cs="Times New Roman"/>
                <w:b/>
                <w:noProof/>
                <w:sz w:val="18"/>
                <w:szCs w:val="18"/>
              </w:rPr>
            </w:pPr>
          </w:p>
        </w:tc>
        <w:tc>
          <w:tcPr>
            <w:tcW w:w="921" w:type="dxa"/>
            <w:vMerge/>
            <w:noWrap/>
          </w:tcPr>
          <w:p w14:paraId="64D20C41" w14:textId="77777777" w:rsidR="00011DE9" w:rsidRDefault="00011DE9">
            <w:pPr>
              <w:spacing w:after="0" w:line="240" w:lineRule="auto"/>
              <w:jc w:val="center"/>
              <w:rPr>
                <w:rFonts w:ascii="Times New Roman" w:hAnsi="Times New Roman" w:cs="Times New Roman"/>
                <w:b/>
                <w:noProof/>
                <w:sz w:val="18"/>
                <w:szCs w:val="18"/>
              </w:rPr>
            </w:pPr>
          </w:p>
        </w:tc>
        <w:tc>
          <w:tcPr>
            <w:tcW w:w="2025" w:type="dxa"/>
            <w:vMerge/>
            <w:noWrap/>
          </w:tcPr>
          <w:p w14:paraId="692CFAF1" w14:textId="77777777" w:rsidR="00011DE9" w:rsidRDefault="00011DE9">
            <w:pPr>
              <w:spacing w:after="0" w:line="240" w:lineRule="auto"/>
              <w:rPr>
                <w:rFonts w:ascii="Times New Roman" w:hAnsi="Times New Roman" w:cs="Times New Roman"/>
                <w:b/>
                <w:noProof/>
                <w:sz w:val="18"/>
                <w:szCs w:val="18"/>
              </w:rPr>
            </w:pPr>
          </w:p>
        </w:tc>
        <w:tc>
          <w:tcPr>
            <w:tcW w:w="1519" w:type="dxa"/>
            <w:vMerge/>
            <w:noWrap/>
          </w:tcPr>
          <w:p w14:paraId="7DA3EDE0" w14:textId="77777777" w:rsidR="00011DE9" w:rsidRDefault="00011DE9">
            <w:pPr>
              <w:spacing w:after="0" w:line="240" w:lineRule="auto"/>
              <w:jc w:val="center"/>
              <w:rPr>
                <w:rFonts w:ascii="Times New Roman" w:hAnsi="Times New Roman" w:cs="Times New Roman"/>
                <w:b/>
                <w:noProof/>
                <w:sz w:val="18"/>
                <w:szCs w:val="18"/>
              </w:rPr>
            </w:pPr>
          </w:p>
        </w:tc>
        <w:tc>
          <w:tcPr>
            <w:tcW w:w="608" w:type="dxa"/>
            <w:shd w:val="clear" w:color="auto" w:fill="B7D4EF"/>
            <w:noWrap/>
          </w:tcPr>
          <w:p w14:paraId="14E9B405" w14:textId="77777777" w:rsidR="00011DE9" w:rsidRDefault="00011DE9">
            <w:pPr>
              <w:pStyle w:val="P68B1DB1-Normal18"/>
              <w:spacing w:after="0" w:line="240" w:lineRule="auto"/>
              <w:jc w:val="center"/>
              <w:rPr>
                <w:rFonts w:cs="Times New Roman"/>
                <w:noProof/>
                <w:szCs w:val="18"/>
              </w:rPr>
            </w:pPr>
            <w:r>
              <w:rPr>
                <w:noProof/>
              </w:rPr>
              <w:t>Unitate</w:t>
            </w:r>
          </w:p>
        </w:tc>
        <w:tc>
          <w:tcPr>
            <w:tcW w:w="992" w:type="dxa"/>
            <w:shd w:val="clear" w:color="auto" w:fill="B7D4EF"/>
            <w:noWrap/>
          </w:tcPr>
          <w:p w14:paraId="64ABF137" w14:textId="77777777" w:rsidR="00011DE9" w:rsidRDefault="00011DE9">
            <w:pPr>
              <w:pStyle w:val="P68B1DB1-Normal18"/>
              <w:spacing w:after="0" w:line="240" w:lineRule="auto"/>
              <w:jc w:val="center"/>
              <w:rPr>
                <w:rFonts w:cs="Times New Roman"/>
                <w:noProof/>
                <w:szCs w:val="18"/>
              </w:rPr>
            </w:pPr>
            <w:r>
              <w:rPr>
                <w:noProof/>
              </w:rPr>
              <w:t>Situația de referință</w:t>
            </w:r>
          </w:p>
        </w:tc>
        <w:tc>
          <w:tcPr>
            <w:tcW w:w="709" w:type="dxa"/>
            <w:shd w:val="clear" w:color="auto" w:fill="B7D4EF"/>
            <w:noWrap/>
          </w:tcPr>
          <w:p w14:paraId="3351BD2C" w14:textId="77777777" w:rsidR="00011DE9" w:rsidRDefault="00011DE9">
            <w:pPr>
              <w:pStyle w:val="P68B1DB1-Normal18"/>
              <w:spacing w:after="0" w:line="240" w:lineRule="auto"/>
              <w:jc w:val="center"/>
              <w:rPr>
                <w:rFonts w:cs="Times New Roman"/>
                <w:noProof/>
                <w:szCs w:val="18"/>
              </w:rPr>
            </w:pPr>
            <w:r>
              <w:rPr>
                <w:noProof/>
              </w:rPr>
              <w:t>Obiectiv</w:t>
            </w:r>
          </w:p>
        </w:tc>
        <w:tc>
          <w:tcPr>
            <w:tcW w:w="486" w:type="dxa"/>
            <w:shd w:val="clear" w:color="auto" w:fill="B7D4EF"/>
            <w:noWrap/>
          </w:tcPr>
          <w:p w14:paraId="61D313EE" w14:textId="1AA7510B" w:rsidR="00011DE9" w:rsidRDefault="003010A3">
            <w:pPr>
              <w:pStyle w:val="P68B1DB1-Normal18"/>
              <w:spacing w:after="0" w:line="240" w:lineRule="auto"/>
              <w:jc w:val="center"/>
              <w:rPr>
                <w:rFonts w:cs="Times New Roman"/>
                <w:noProof/>
                <w:szCs w:val="18"/>
              </w:rPr>
            </w:pPr>
            <w:r>
              <w:rPr>
                <w:noProof/>
              </w:rPr>
              <w:t>T</w:t>
            </w:r>
          </w:p>
        </w:tc>
        <w:tc>
          <w:tcPr>
            <w:tcW w:w="528" w:type="dxa"/>
            <w:shd w:val="clear" w:color="auto" w:fill="B7D4EF"/>
            <w:noWrap/>
          </w:tcPr>
          <w:p w14:paraId="79B06E38" w14:textId="77777777" w:rsidR="00011DE9" w:rsidRDefault="00011DE9">
            <w:pPr>
              <w:pStyle w:val="P68B1DB1-Normal18"/>
              <w:spacing w:after="0" w:line="240" w:lineRule="auto"/>
              <w:jc w:val="center"/>
              <w:rPr>
                <w:rFonts w:cs="Times New Roman"/>
                <w:noProof/>
                <w:szCs w:val="18"/>
              </w:rPr>
            </w:pPr>
            <w:r>
              <w:rPr>
                <w:noProof/>
              </w:rPr>
              <w:t>Anul</w:t>
            </w:r>
          </w:p>
        </w:tc>
        <w:tc>
          <w:tcPr>
            <w:tcW w:w="5506" w:type="dxa"/>
            <w:vMerge/>
            <w:noWrap/>
          </w:tcPr>
          <w:p w14:paraId="0081559B" w14:textId="77777777" w:rsidR="00011DE9" w:rsidRDefault="00011DE9">
            <w:pPr>
              <w:spacing w:after="0" w:line="240" w:lineRule="auto"/>
              <w:rPr>
                <w:rFonts w:ascii="Times New Roman" w:hAnsi="Times New Roman" w:cs="Times New Roman"/>
                <w:b/>
                <w:noProof/>
                <w:sz w:val="18"/>
                <w:szCs w:val="18"/>
              </w:rPr>
            </w:pPr>
          </w:p>
        </w:tc>
      </w:tr>
      <w:tr w:rsidR="00011DE9" w14:paraId="179B6551" w14:textId="77777777" w:rsidTr="003010A3">
        <w:trPr>
          <w:trHeight w:val="309"/>
          <w:jc w:val="center"/>
        </w:trPr>
        <w:tc>
          <w:tcPr>
            <w:tcW w:w="793" w:type="dxa"/>
            <w:shd w:val="clear" w:color="auto" w:fill="C6EFCE"/>
            <w:noWrap/>
          </w:tcPr>
          <w:p w14:paraId="178D93E3" w14:textId="77777777" w:rsidR="00011DE9" w:rsidRDefault="00011DE9">
            <w:pPr>
              <w:pStyle w:val="P68B1DB1-Normal19"/>
              <w:spacing w:after="0" w:line="240" w:lineRule="auto"/>
              <w:jc w:val="center"/>
              <w:rPr>
                <w:rFonts w:eastAsia="Times New Roman"/>
                <w:noProof/>
              </w:rPr>
            </w:pPr>
            <w:r>
              <w:rPr>
                <w:noProof/>
              </w:rPr>
              <w:t>329</w:t>
            </w:r>
          </w:p>
        </w:tc>
        <w:tc>
          <w:tcPr>
            <w:tcW w:w="792" w:type="dxa"/>
            <w:shd w:val="clear" w:color="auto" w:fill="C6EFCE"/>
            <w:noWrap/>
          </w:tcPr>
          <w:p w14:paraId="2D6F2862" w14:textId="77777777" w:rsidR="00011DE9" w:rsidRDefault="00011DE9">
            <w:pPr>
              <w:pStyle w:val="P68B1DB1-Normal19"/>
              <w:spacing w:after="0" w:line="240" w:lineRule="auto"/>
              <w:jc w:val="center"/>
              <w:rPr>
                <w:rFonts w:eastAsia="Times New Roman"/>
                <w:noProof/>
              </w:rPr>
            </w:pPr>
            <w:r>
              <w:rPr>
                <w:noProof/>
              </w:rPr>
              <w:t>C23.R1</w:t>
            </w:r>
          </w:p>
        </w:tc>
        <w:tc>
          <w:tcPr>
            <w:tcW w:w="921" w:type="dxa"/>
            <w:shd w:val="clear" w:color="auto" w:fill="C6EFCE"/>
            <w:noWrap/>
          </w:tcPr>
          <w:p w14:paraId="1C6D04EE" w14:textId="77777777" w:rsidR="00011DE9" w:rsidRDefault="00011DE9">
            <w:pPr>
              <w:pStyle w:val="P68B1DB1-Normal19"/>
              <w:spacing w:after="0" w:line="240" w:lineRule="auto"/>
              <w:jc w:val="center"/>
              <w:rPr>
                <w:rFonts w:eastAsia="Times New Roman"/>
                <w:noProof/>
              </w:rPr>
            </w:pPr>
            <w:r>
              <w:rPr>
                <w:noProof/>
              </w:rPr>
              <w:t>M</w:t>
            </w:r>
          </w:p>
        </w:tc>
        <w:tc>
          <w:tcPr>
            <w:tcW w:w="2025" w:type="dxa"/>
            <w:shd w:val="clear" w:color="auto" w:fill="C6EFCE"/>
            <w:noWrap/>
          </w:tcPr>
          <w:p w14:paraId="1D62E353" w14:textId="77777777" w:rsidR="00011DE9" w:rsidRDefault="00011DE9">
            <w:pPr>
              <w:pStyle w:val="P68B1DB1-Normal19"/>
              <w:spacing w:after="0" w:line="240" w:lineRule="auto"/>
              <w:rPr>
                <w:noProof/>
              </w:rPr>
            </w:pPr>
            <w:r>
              <w:rPr>
                <w:noProof/>
              </w:rPr>
              <w:t>Intrarea în vigoare a două decrete-lege regale care reglementează munca la distanță în sectorul privat și în administrațiile publice</w:t>
            </w:r>
          </w:p>
          <w:p w14:paraId="75B797DA" w14:textId="77777777" w:rsidR="00011DE9" w:rsidRDefault="00011DE9">
            <w:pPr>
              <w:jc w:val="right"/>
              <w:rPr>
                <w:rFonts w:ascii="Times New Roman" w:eastAsia="Times New Roman" w:hAnsi="Times New Roman" w:cs="Times New Roman"/>
                <w:noProof/>
                <w:sz w:val="18"/>
                <w:szCs w:val="18"/>
              </w:rPr>
            </w:pPr>
          </w:p>
        </w:tc>
        <w:tc>
          <w:tcPr>
            <w:tcW w:w="1519" w:type="dxa"/>
            <w:shd w:val="clear" w:color="auto" w:fill="C6EFCE"/>
            <w:noWrap/>
          </w:tcPr>
          <w:p w14:paraId="1F4988F3" w14:textId="77777777" w:rsidR="00011DE9" w:rsidRDefault="00011DE9">
            <w:pPr>
              <w:pStyle w:val="P68B1DB1-Normal19"/>
              <w:spacing w:after="0" w:line="240" w:lineRule="auto"/>
              <w:jc w:val="center"/>
              <w:rPr>
                <w:rFonts w:eastAsia="Times New Roman"/>
                <w:noProof/>
              </w:rPr>
            </w:pPr>
            <w:r>
              <w:rPr>
                <w:noProof/>
              </w:rPr>
              <w:t>Dispoziții din decretele-lege regale privind intrarea în vigoare</w:t>
            </w:r>
          </w:p>
        </w:tc>
        <w:tc>
          <w:tcPr>
            <w:tcW w:w="608" w:type="dxa"/>
            <w:shd w:val="clear" w:color="auto" w:fill="C6EFCE"/>
            <w:noWrap/>
          </w:tcPr>
          <w:p w14:paraId="63178467"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shd w:val="clear" w:color="auto" w:fill="C6EFCE"/>
            <w:noWrap/>
          </w:tcPr>
          <w:p w14:paraId="183F511E"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50179C60" w14:textId="77777777" w:rsidR="00011DE9" w:rsidRDefault="00011DE9">
            <w:pPr>
              <w:pStyle w:val="P68B1DB1-Normal19"/>
              <w:spacing w:after="0" w:line="240" w:lineRule="auto"/>
              <w:jc w:val="right"/>
              <w:rPr>
                <w:rFonts w:eastAsia="Times New Roman"/>
                <w:noProof/>
              </w:rPr>
            </w:pPr>
            <w:r>
              <w:rPr>
                <w:noProof/>
              </w:rPr>
              <w:t xml:space="preserve"> </w:t>
            </w:r>
          </w:p>
        </w:tc>
        <w:tc>
          <w:tcPr>
            <w:tcW w:w="486" w:type="dxa"/>
            <w:shd w:val="clear" w:color="auto" w:fill="C6EFCE"/>
            <w:noWrap/>
          </w:tcPr>
          <w:p w14:paraId="34D6FCB9" w14:textId="18DF0D6B" w:rsidR="00011DE9" w:rsidRDefault="005701C9">
            <w:pPr>
              <w:pStyle w:val="P68B1DB1-Normal19"/>
              <w:spacing w:after="0" w:line="240" w:lineRule="auto"/>
              <w:jc w:val="center"/>
              <w:rPr>
                <w:rFonts w:eastAsia="Times New Roman"/>
                <w:noProof/>
              </w:rPr>
            </w:pPr>
            <w:r>
              <w:rPr>
                <w:noProof/>
              </w:rPr>
              <w:t>T4</w:t>
            </w:r>
          </w:p>
        </w:tc>
        <w:tc>
          <w:tcPr>
            <w:tcW w:w="528" w:type="dxa"/>
            <w:shd w:val="clear" w:color="auto" w:fill="C6EFCE"/>
            <w:noWrap/>
          </w:tcPr>
          <w:p w14:paraId="36AA03A0" w14:textId="77777777" w:rsidR="00011DE9" w:rsidRDefault="00011DE9">
            <w:pPr>
              <w:pStyle w:val="P68B1DB1-Normal19"/>
              <w:spacing w:after="0" w:line="240" w:lineRule="auto"/>
              <w:jc w:val="center"/>
              <w:rPr>
                <w:rFonts w:eastAsia="Times New Roman"/>
                <w:noProof/>
              </w:rPr>
            </w:pPr>
            <w:r>
              <w:rPr>
                <w:noProof/>
              </w:rPr>
              <w:t>2020</w:t>
            </w:r>
          </w:p>
        </w:tc>
        <w:tc>
          <w:tcPr>
            <w:tcW w:w="5506" w:type="dxa"/>
            <w:shd w:val="clear" w:color="auto" w:fill="C6EFCE"/>
            <w:noWrap/>
          </w:tcPr>
          <w:p w14:paraId="3359D05E" w14:textId="77777777" w:rsidR="00011DE9" w:rsidRDefault="00011DE9">
            <w:pPr>
              <w:pStyle w:val="P68B1DB1-Normal19"/>
              <w:spacing w:after="0" w:line="240" w:lineRule="auto"/>
              <w:rPr>
                <w:rFonts w:eastAsia="Times New Roman"/>
                <w:noProof/>
              </w:rPr>
            </w:pPr>
            <w:r>
              <w:rPr>
                <w:noProof/>
              </w:rPr>
              <w:t>Cele două decrete-lege regale reglementează munca la distanță în sectorul privat și în administrațiile publice. Obiectivele legilor sunt: (I) să ofere un cadru de reglementare (RDL 28/2020) care să favorizeze introducerea muncii la distanță, menținând în același timp productivitatea întreprinderilor și oferind protecție și flexibilitate lucrătorilor; și (ii) reglementarea telemuncii în toate administrațiile publice (RDL 29/2020) ca o nouă modalitate de organizare și structurare a muncii, pentru a servi mai bine interesele generale și pentru a asigura funcționarea normală a administrațiilor publice.</w:t>
            </w:r>
          </w:p>
        </w:tc>
      </w:tr>
      <w:tr w:rsidR="00011DE9" w14:paraId="6FCCB2F0" w14:textId="77777777" w:rsidTr="003010A3">
        <w:trPr>
          <w:trHeight w:val="309"/>
          <w:jc w:val="center"/>
        </w:trPr>
        <w:tc>
          <w:tcPr>
            <w:tcW w:w="793" w:type="dxa"/>
            <w:shd w:val="clear" w:color="auto" w:fill="C6EFCE"/>
            <w:noWrap/>
          </w:tcPr>
          <w:p w14:paraId="3F8A8C9F" w14:textId="77777777" w:rsidR="00011DE9" w:rsidRDefault="00011DE9">
            <w:pPr>
              <w:pStyle w:val="P68B1DB1-Normal19"/>
              <w:spacing w:after="0" w:line="240" w:lineRule="auto"/>
              <w:jc w:val="center"/>
              <w:rPr>
                <w:rFonts w:eastAsia="Times New Roman"/>
                <w:noProof/>
              </w:rPr>
            </w:pPr>
            <w:r>
              <w:rPr>
                <w:noProof/>
              </w:rPr>
              <w:t>330</w:t>
            </w:r>
          </w:p>
        </w:tc>
        <w:tc>
          <w:tcPr>
            <w:tcW w:w="792" w:type="dxa"/>
            <w:shd w:val="clear" w:color="auto" w:fill="C6EFCE"/>
            <w:noWrap/>
          </w:tcPr>
          <w:p w14:paraId="41419271" w14:textId="77777777" w:rsidR="00011DE9" w:rsidRDefault="00011DE9">
            <w:pPr>
              <w:pStyle w:val="P68B1DB1-Normal19"/>
              <w:spacing w:after="0" w:line="240" w:lineRule="auto"/>
              <w:jc w:val="center"/>
              <w:rPr>
                <w:rFonts w:eastAsia="Times New Roman"/>
                <w:noProof/>
              </w:rPr>
            </w:pPr>
            <w:r>
              <w:rPr>
                <w:noProof/>
              </w:rPr>
              <w:t>C23.R2</w:t>
            </w:r>
          </w:p>
        </w:tc>
        <w:tc>
          <w:tcPr>
            <w:tcW w:w="921" w:type="dxa"/>
            <w:shd w:val="clear" w:color="auto" w:fill="C6EFCE"/>
            <w:noWrap/>
          </w:tcPr>
          <w:p w14:paraId="0B9BDB5C" w14:textId="77777777" w:rsidR="00011DE9" w:rsidRDefault="00011DE9">
            <w:pPr>
              <w:pStyle w:val="P68B1DB1-Normal19"/>
              <w:spacing w:after="0" w:line="240" w:lineRule="auto"/>
              <w:jc w:val="center"/>
              <w:rPr>
                <w:rFonts w:eastAsia="Times New Roman"/>
                <w:noProof/>
              </w:rPr>
            </w:pPr>
            <w:r>
              <w:rPr>
                <w:noProof/>
              </w:rPr>
              <w:t>M</w:t>
            </w:r>
          </w:p>
        </w:tc>
        <w:tc>
          <w:tcPr>
            <w:tcW w:w="2025" w:type="dxa"/>
            <w:shd w:val="clear" w:color="auto" w:fill="C6EFCE"/>
            <w:noWrap/>
          </w:tcPr>
          <w:p w14:paraId="753B17E2" w14:textId="77777777" w:rsidR="00011DE9" w:rsidRDefault="00011DE9">
            <w:pPr>
              <w:pStyle w:val="P68B1DB1-Normal19"/>
              <w:spacing w:after="0" w:line="240" w:lineRule="auto"/>
              <w:rPr>
                <w:rFonts w:eastAsia="Times New Roman"/>
                <w:noProof/>
              </w:rPr>
            </w:pPr>
            <w:r>
              <w:rPr>
                <w:noProof/>
              </w:rPr>
              <w:t>Intrarea în vigoare a două regulamente privind egalitatea de remunerare între femei și bărbați și privind planurile de promovare a egalității și înregistrarea acestora</w:t>
            </w:r>
          </w:p>
        </w:tc>
        <w:tc>
          <w:tcPr>
            <w:tcW w:w="1519" w:type="dxa"/>
            <w:shd w:val="clear" w:color="auto" w:fill="C6EFCE"/>
            <w:noWrap/>
          </w:tcPr>
          <w:p w14:paraId="77103388" w14:textId="77777777" w:rsidR="00011DE9" w:rsidRDefault="00011DE9">
            <w:pPr>
              <w:pStyle w:val="P68B1DB1-Normal19"/>
              <w:spacing w:after="0" w:line="240" w:lineRule="auto"/>
              <w:jc w:val="center"/>
              <w:rPr>
                <w:rFonts w:eastAsia="Times New Roman"/>
                <w:noProof/>
              </w:rPr>
            </w:pPr>
            <w:r>
              <w:rPr>
                <w:noProof/>
              </w:rPr>
              <w:t>Dispoziții statutare privind intrarea în vigoare</w:t>
            </w:r>
          </w:p>
        </w:tc>
        <w:tc>
          <w:tcPr>
            <w:tcW w:w="608" w:type="dxa"/>
            <w:shd w:val="clear" w:color="auto" w:fill="C6EFCE"/>
            <w:noWrap/>
          </w:tcPr>
          <w:p w14:paraId="4395E11E"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shd w:val="clear" w:color="auto" w:fill="C6EFCE"/>
            <w:noWrap/>
          </w:tcPr>
          <w:p w14:paraId="67EA0759"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1828DE2A" w14:textId="77777777" w:rsidR="00011DE9" w:rsidRDefault="00011DE9">
            <w:pPr>
              <w:pStyle w:val="P68B1DB1-Normal19"/>
              <w:spacing w:after="0" w:line="240" w:lineRule="auto"/>
              <w:jc w:val="right"/>
              <w:rPr>
                <w:rFonts w:eastAsia="Times New Roman"/>
                <w:noProof/>
              </w:rPr>
            </w:pPr>
            <w:r>
              <w:rPr>
                <w:noProof/>
              </w:rPr>
              <w:t xml:space="preserve"> </w:t>
            </w:r>
          </w:p>
        </w:tc>
        <w:tc>
          <w:tcPr>
            <w:tcW w:w="486" w:type="dxa"/>
            <w:shd w:val="clear" w:color="auto" w:fill="C6EFCE"/>
            <w:noWrap/>
          </w:tcPr>
          <w:p w14:paraId="72DFBC42" w14:textId="2371072B" w:rsidR="00011DE9" w:rsidRDefault="005701C9">
            <w:pPr>
              <w:pStyle w:val="P68B1DB1-Normal19"/>
              <w:spacing w:after="0" w:line="240" w:lineRule="auto"/>
              <w:jc w:val="center"/>
              <w:rPr>
                <w:rFonts w:eastAsia="Times New Roman"/>
                <w:noProof/>
              </w:rPr>
            </w:pPr>
            <w:r>
              <w:rPr>
                <w:noProof/>
              </w:rPr>
              <w:t>T2</w:t>
            </w:r>
          </w:p>
        </w:tc>
        <w:tc>
          <w:tcPr>
            <w:tcW w:w="528" w:type="dxa"/>
            <w:shd w:val="clear" w:color="auto" w:fill="C6EFCE"/>
            <w:noWrap/>
          </w:tcPr>
          <w:p w14:paraId="0C46295D" w14:textId="77777777" w:rsidR="00011DE9" w:rsidRDefault="00011DE9">
            <w:pPr>
              <w:pStyle w:val="P68B1DB1-Normal19"/>
              <w:spacing w:after="0" w:line="240" w:lineRule="auto"/>
              <w:jc w:val="center"/>
              <w:rPr>
                <w:rFonts w:eastAsia="Times New Roman"/>
                <w:noProof/>
              </w:rPr>
            </w:pPr>
            <w:r>
              <w:rPr>
                <w:noProof/>
              </w:rPr>
              <w:t>2021</w:t>
            </w:r>
          </w:p>
        </w:tc>
        <w:tc>
          <w:tcPr>
            <w:tcW w:w="5506" w:type="dxa"/>
            <w:shd w:val="clear" w:color="auto" w:fill="C6EFCE"/>
            <w:noWrap/>
          </w:tcPr>
          <w:p w14:paraId="7AAD9226" w14:textId="77777777" w:rsidR="00011DE9" w:rsidRDefault="00011DE9">
            <w:pPr>
              <w:pStyle w:val="P68B1DB1-Normal19"/>
              <w:spacing w:after="0" w:line="240" w:lineRule="auto"/>
              <w:rPr>
                <w:rFonts w:eastAsia="Times New Roman"/>
                <w:noProof/>
              </w:rPr>
            </w:pPr>
            <w:r>
              <w:rPr>
                <w:noProof/>
              </w:rPr>
              <w:t>Cele două regulamente se aplică egalității de remunerare între femei și bărbați și planurilor privind egalitatea și înregistrării acestora. Obiectivele regulamentelor sunt: (I) să asigure principiul transparenței salariale pentru a identifica discriminarea cauzată de evaluările incorecte ale locurilor de muncă; și (ii) să elaboreze planuri privind egalitatea și să asigure înregistrarea acestora într-un registru public.</w:t>
            </w:r>
          </w:p>
        </w:tc>
      </w:tr>
      <w:tr w:rsidR="00011DE9" w14:paraId="66D4D8E4" w14:textId="77777777" w:rsidTr="003010A3">
        <w:trPr>
          <w:trHeight w:val="309"/>
          <w:jc w:val="center"/>
        </w:trPr>
        <w:tc>
          <w:tcPr>
            <w:tcW w:w="793" w:type="dxa"/>
            <w:shd w:val="clear" w:color="auto" w:fill="C6EFCE"/>
            <w:noWrap/>
          </w:tcPr>
          <w:p w14:paraId="1AF99A33" w14:textId="77777777" w:rsidR="00011DE9" w:rsidRDefault="00011DE9">
            <w:pPr>
              <w:pStyle w:val="P68B1DB1-Normal19"/>
              <w:spacing w:after="0" w:line="240" w:lineRule="auto"/>
              <w:jc w:val="center"/>
              <w:rPr>
                <w:rFonts w:eastAsia="Times New Roman"/>
                <w:noProof/>
              </w:rPr>
            </w:pPr>
            <w:r>
              <w:rPr>
                <w:noProof/>
              </w:rPr>
              <w:t>331</w:t>
            </w:r>
          </w:p>
        </w:tc>
        <w:tc>
          <w:tcPr>
            <w:tcW w:w="792" w:type="dxa"/>
            <w:shd w:val="clear" w:color="auto" w:fill="C6EFCE"/>
            <w:noWrap/>
          </w:tcPr>
          <w:p w14:paraId="749D577D" w14:textId="77777777" w:rsidR="00011DE9" w:rsidRDefault="00011DE9">
            <w:pPr>
              <w:pStyle w:val="P68B1DB1-Normal19"/>
              <w:spacing w:after="0" w:line="240" w:lineRule="auto"/>
              <w:jc w:val="center"/>
              <w:rPr>
                <w:rFonts w:eastAsia="Times New Roman"/>
                <w:noProof/>
              </w:rPr>
            </w:pPr>
            <w:r>
              <w:rPr>
                <w:noProof/>
              </w:rPr>
              <w:t>C23.R3</w:t>
            </w:r>
          </w:p>
        </w:tc>
        <w:tc>
          <w:tcPr>
            <w:tcW w:w="921" w:type="dxa"/>
            <w:shd w:val="clear" w:color="auto" w:fill="C6EFCE"/>
            <w:noWrap/>
          </w:tcPr>
          <w:p w14:paraId="533242C1" w14:textId="77777777" w:rsidR="00011DE9" w:rsidRDefault="00011DE9">
            <w:pPr>
              <w:pStyle w:val="P68B1DB1-Normal19"/>
              <w:spacing w:after="0" w:line="240" w:lineRule="auto"/>
              <w:jc w:val="center"/>
              <w:rPr>
                <w:rFonts w:eastAsia="Times New Roman"/>
                <w:noProof/>
              </w:rPr>
            </w:pPr>
            <w:r>
              <w:rPr>
                <w:noProof/>
              </w:rPr>
              <w:t>M</w:t>
            </w:r>
          </w:p>
        </w:tc>
        <w:tc>
          <w:tcPr>
            <w:tcW w:w="2025" w:type="dxa"/>
            <w:shd w:val="clear" w:color="auto" w:fill="C6EFCE"/>
            <w:noWrap/>
          </w:tcPr>
          <w:p w14:paraId="4A37D921" w14:textId="77777777" w:rsidR="00011DE9" w:rsidRDefault="00011DE9">
            <w:pPr>
              <w:pStyle w:val="P68B1DB1-Normal19"/>
              <w:spacing w:after="0" w:line="240" w:lineRule="auto"/>
              <w:rPr>
                <w:rFonts w:eastAsia="Times New Roman"/>
                <w:noProof/>
              </w:rPr>
            </w:pPr>
            <w:r>
              <w:rPr>
                <w:noProof/>
              </w:rPr>
              <w:t>Intrarea în vigoare a Decretului-lege regal privind protecția lucrătorilor care desfășoară activități de distribuție către terți prin mijloace tehnologice</w:t>
            </w:r>
          </w:p>
        </w:tc>
        <w:tc>
          <w:tcPr>
            <w:tcW w:w="1519" w:type="dxa"/>
            <w:shd w:val="clear" w:color="auto" w:fill="C6EFCE"/>
            <w:noWrap/>
          </w:tcPr>
          <w:p w14:paraId="5B9199DC" w14:textId="77777777" w:rsidR="00011DE9" w:rsidRDefault="00011DE9">
            <w:pPr>
              <w:pStyle w:val="P68B1DB1-Normal19"/>
              <w:spacing w:after="0" w:line="240" w:lineRule="auto"/>
              <w:jc w:val="center"/>
              <w:rPr>
                <w:rFonts w:eastAsia="Times New Roman"/>
                <w:noProof/>
              </w:rPr>
            </w:pPr>
            <w:r>
              <w:rPr>
                <w:noProof/>
              </w:rPr>
              <w:t>Dispoziții ale Decretului-lege regal privind intrarea în vigoare</w:t>
            </w:r>
          </w:p>
        </w:tc>
        <w:tc>
          <w:tcPr>
            <w:tcW w:w="608" w:type="dxa"/>
            <w:shd w:val="clear" w:color="auto" w:fill="C6EFCE"/>
            <w:noWrap/>
          </w:tcPr>
          <w:p w14:paraId="7BC862B6"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shd w:val="clear" w:color="auto" w:fill="C6EFCE"/>
            <w:noWrap/>
          </w:tcPr>
          <w:p w14:paraId="517FDF7F"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31ADDCE2" w14:textId="77777777" w:rsidR="00011DE9" w:rsidRDefault="00011DE9">
            <w:pPr>
              <w:pStyle w:val="P68B1DB1-Normal19"/>
              <w:spacing w:after="0" w:line="240" w:lineRule="auto"/>
              <w:jc w:val="right"/>
              <w:rPr>
                <w:rFonts w:eastAsia="Times New Roman"/>
                <w:noProof/>
              </w:rPr>
            </w:pPr>
            <w:r>
              <w:rPr>
                <w:noProof/>
              </w:rPr>
              <w:t xml:space="preserve"> </w:t>
            </w:r>
          </w:p>
        </w:tc>
        <w:tc>
          <w:tcPr>
            <w:tcW w:w="486" w:type="dxa"/>
            <w:shd w:val="clear" w:color="auto" w:fill="C6EFCE"/>
            <w:noWrap/>
          </w:tcPr>
          <w:p w14:paraId="75FFAA75" w14:textId="29E23BFF" w:rsidR="00011DE9" w:rsidRDefault="005701C9">
            <w:pPr>
              <w:pStyle w:val="P68B1DB1-Normal19"/>
              <w:spacing w:after="0" w:line="240" w:lineRule="auto"/>
              <w:jc w:val="center"/>
              <w:rPr>
                <w:rFonts w:eastAsia="Times New Roman"/>
                <w:noProof/>
              </w:rPr>
            </w:pPr>
            <w:r>
              <w:rPr>
                <w:noProof/>
              </w:rPr>
              <w:t>T3</w:t>
            </w:r>
          </w:p>
        </w:tc>
        <w:tc>
          <w:tcPr>
            <w:tcW w:w="528" w:type="dxa"/>
            <w:shd w:val="clear" w:color="auto" w:fill="C6EFCE"/>
            <w:noWrap/>
          </w:tcPr>
          <w:p w14:paraId="6C3B3AF8" w14:textId="77777777" w:rsidR="00011DE9" w:rsidRDefault="00011DE9">
            <w:pPr>
              <w:pStyle w:val="P68B1DB1-Normal19"/>
              <w:spacing w:after="0" w:line="240" w:lineRule="auto"/>
              <w:jc w:val="center"/>
              <w:rPr>
                <w:rFonts w:eastAsia="Times New Roman"/>
                <w:noProof/>
              </w:rPr>
            </w:pPr>
            <w:r>
              <w:rPr>
                <w:noProof/>
              </w:rPr>
              <w:t>2021</w:t>
            </w:r>
          </w:p>
        </w:tc>
        <w:tc>
          <w:tcPr>
            <w:tcW w:w="5506" w:type="dxa"/>
            <w:shd w:val="clear" w:color="auto" w:fill="C6EFCE"/>
            <w:noWrap/>
          </w:tcPr>
          <w:p w14:paraId="37522EA9" w14:textId="77777777" w:rsidR="00011DE9" w:rsidRDefault="00011DE9">
            <w:pPr>
              <w:pStyle w:val="P68B1DB1-Normal19"/>
              <w:spacing w:after="0" w:line="240" w:lineRule="auto"/>
              <w:rPr>
                <w:rFonts w:eastAsia="Times New Roman"/>
                <w:noProof/>
              </w:rPr>
            </w:pPr>
            <w:r>
              <w:rPr>
                <w:noProof/>
              </w:rPr>
              <w:t>Decretul-lege regal se referă la protecția lucrătorilor care desfășoară activități de distribuție către terți prin mijloace tehnologice. Obiectivele legii sunt de a garanta acestor persoane dreptul la un tratament echitabil și egal în ceea ce privește condițiile de muncă, dreptul de acces la protecție socială și formare și de a permite reprezentarea juridică a lucrătorilor să fie informată cu privire la normele conținute în algoritmii și sistemele de inteligență artificială care pot avea un impact asupra condițiilor de muncă care reglementează platformele, inclusiv accesul la locurile de muncă și menținerea acestora, precum și crearea de profiluri.</w:t>
            </w:r>
          </w:p>
        </w:tc>
      </w:tr>
      <w:tr w:rsidR="00011DE9" w14:paraId="7F0E6E45" w14:textId="77777777" w:rsidTr="003010A3">
        <w:trPr>
          <w:trHeight w:val="309"/>
          <w:jc w:val="center"/>
        </w:trPr>
        <w:tc>
          <w:tcPr>
            <w:tcW w:w="793" w:type="dxa"/>
            <w:shd w:val="clear" w:color="auto" w:fill="C6EFCE"/>
            <w:noWrap/>
          </w:tcPr>
          <w:p w14:paraId="0E919852" w14:textId="77777777" w:rsidR="00011DE9" w:rsidRDefault="00011DE9">
            <w:pPr>
              <w:pStyle w:val="P68B1DB1-Normal19"/>
              <w:spacing w:after="0" w:line="240" w:lineRule="auto"/>
              <w:jc w:val="center"/>
              <w:rPr>
                <w:rFonts w:eastAsia="Times New Roman"/>
                <w:noProof/>
              </w:rPr>
            </w:pPr>
            <w:r>
              <w:rPr>
                <w:noProof/>
              </w:rPr>
              <w:t>332</w:t>
            </w:r>
          </w:p>
        </w:tc>
        <w:tc>
          <w:tcPr>
            <w:tcW w:w="792" w:type="dxa"/>
            <w:shd w:val="clear" w:color="auto" w:fill="C6EFCE"/>
            <w:noWrap/>
          </w:tcPr>
          <w:p w14:paraId="028D2E13" w14:textId="77777777" w:rsidR="00011DE9" w:rsidRDefault="00011DE9">
            <w:pPr>
              <w:pStyle w:val="P68B1DB1-Normal19"/>
              <w:spacing w:after="0" w:line="240" w:lineRule="auto"/>
              <w:jc w:val="center"/>
              <w:rPr>
                <w:rFonts w:eastAsia="Times New Roman"/>
                <w:noProof/>
              </w:rPr>
            </w:pPr>
            <w:r>
              <w:rPr>
                <w:noProof/>
              </w:rPr>
              <w:t>C23.R4</w:t>
            </w:r>
          </w:p>
        </w:tc>
        <w:tc>
          <w:tcPr>
            <w:tcW w:w="921" w:type="dxa"/>
            <w:shd w:val="clear" w:color="auto" w:fill="C6EFCE"/>
            <w:noWrap/>
          </w:tcPr>
          <w:p w14:paraId="7D2D4FC9" w14:textId="77777777" w:rsidR="00011DE9" w:rsidRDefault="00011DE9">
            <w:pPr>
              <w:pStyle w:val="P68B1DB1-Normal19"/>
              <w:spacing w:after="0" w:line="240" w:lineRule="auto"/>
              <w:jc w:val="center"/>
              <w:rPr>
                <w:rFonts w:eastAsia="Times New Roman"/>
                <w:noProof/>
              </w:rPr>
            </w:pPr>
            <w:r>
              <w:rPr>
                <w:noProof/>
              </w:rPr>
              <w:t>M</w:t>
            </w:r>
          </w:p>
        </w:tc>
        <w:tc>
          <w:tcPr>
            <w:tcW w:w="2025" w:type="dxa"/>
            <w:shd w:val="clear" w:color="auto" w:fill="C6EFCE"/>
            <w:noWrap/>
          </w:tcPr>
          <w:p w14:paraId="4E5ADDC3" w14:textId="77777777" w:rsidR="00011DE9" w:rsidRDefault="00011DE9">
            <w:pPr>
              <w:pStyle w:val="P68B1DB1-Normal19"/>
              <w:spacing w:after="0" w:line="240" w:lineRule="auto"/>
              <w:rPr>
                <w:rFonts w:eastAsia="Times New Roman"/>
                <w:noProof/>
              </w:rPr>
            </w:pPr>
            <w:r>
              <w:rPr>
                <w:noProof/>
              </w:rPr>
              <w:t>Modificarea Statutului lucrătorilor pentru a sprijini reducerea locurilor de muncă temporare prin raționalizarea numărului de tipuri de contracte</w:t>
            </w:r>
          </w:p>
        </w:tc>
        <w:tc>
          <w:tcPr>
            <w:tcW w:w="1519" w:type="dxa"/>
            <w:shd w:val="clear" w:color="auto" w:fill="C6EFCE"/>
            <w:noWrap/>
          </w:tcPr>
          <w:p w14:paraId="0EFA6978" w14:textId="77777777" w:rsidR="00011DE9" w:rsidRDefault="00011DE9">
            <w:pPr>
              <w:pStyle w:val="P68B1DB1-Normal19"/>
              <w:spacing w:after="0" w:line="240" w:lineRule="auto"/>
              <w:jc w:val="center"/>
              <w:rPr>
                <w:rFonts w:eastAsia="Times New Roman"/>
                <w:noProof/>
              </w:rPr>
            </w:pPr>
            <w:r>
              <w:rPr>
                <w:noProof/>
              </w:rPr>
              <w:t>Dispoziții ale modificării privind intrarea în vigoare</w:t>
            </w:r>
          </w:p>
        </w:tc>
        <w:tc>
          <w:tcPr>
            <w:tcW w:w="608" w:type="dxa"/>
            <w:shd w:val="clear" w:color="auto" w:fill="C6EFCE"/>
            <w:noWrap/>
          </w:tcPr>
          <w:p w14:paraId="37ACDC16"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shd w:val="clear" w:color="auto" w:fill="C6EFCE"/>
            <w:noWrap/>
          </w:tcPr>
          <w:p w14:paraId="7D841A5F"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4FF49B4F" w14:textId="77777777" w:rsidR="00011DE9" w:rsidRDefault="00011DE9">
            <w:pPr>
              <w:pStyle w:val="P68B1DB1-Normal19"/>
              <w:spacing w:after="0" w:line="240" w:lineRule="auto"/>
              <w:jc w:val="right"/>
              <w:rPr>
                <w:rFonts w:eastAsia="Times New Roman"/>
                <w:noProof/>
              </w:rPr>
            </w:pPr>
            <w:r>
              <w:rPr>
                <w:noProof/>
              </w:rPr>
              <w:t xml:space="preserve"> </w:t>
            </w:r>
          </w:p>
        </w:tc>
        <w:tc>
          <w:tcPr>
            <w:tcW w:w="486" w:type="dxa"/>
            <w:shd w:val="clear" w:color="auto" w:fill="C6EFCE"/>
            <w:noWrap/>
          </w:tcPr>
          <w:p w14:paraId="75F6F5A5" w14:textId="205D5B4C" w:rsidR="00011DE9" w:rsidRDefault="005701C9">
            <w:pPr>
              <w:pStyle w:val="P68B1DB1-Normal19"/>
              <w:spacing w:after="0" w:line="240" w:lineRule="auto"/>
              <w:jc w:val="center"/>
              <w:rPr>
                <w:rFonts w:eastAsia="Times New Roman"/>
                <w:noProof/>
              </w:rPr>
            </w:pPr>
            <w:r>
              <w:rPr>
                <w:noProof/>
              </w:rPr>
              <w:t>T4</w:t>
            </w:r>
          </w:p>
        </w:tc>
        <w:tc>
          <w:tcPr>
            <w:tcW w:w="528" w:type="dxa"/>
            <w:shd w:val="clear" w:color="auto" w:fill="C6EFCE"/>
            <w:noWrap/>
          </w:tcPr>
          <w:p w14:paraId="1E3AB3E1" w14:textId="77777777" w:rsidR="00011DE9" w:rsidRDefault="00011DE9">
            <w:pPr>
              <w:pStyle w:val="P68B1DB1-Normal19"/>
              <w:spacing w:after="0" w:line="240" w:lineRule="auto"/>
              <w:jc w:val="center"/>
              <w:rPr>
                <w:rFonts w:eastAsia="Times New Roman"/>
                <w:noProof/>
              </w:rPr>
            </w:pPr>
            <w:r>
              <w:rPr>
                <w:noProof/>
              </w:rPr>
              <w:t>2021</w:t>
            </w:r>
          </w:p>
        </w:tc>
        <w:tc>
          <w:tcPr>
            <w:tcW w:w="5506" w:type="dxa"/>
            <w:shd w:val="clear" w:color="auto" w:fill="C6EFCE"/>
            <w:noWrap/>
          </w:tcPr>
          <w:p w14:paraId="4D1378CF" w14:textId="77777777" w:rsidR="00011DE9" w:rsidRDefault="00011DE9">
            <w:pPr>
              <w:pStyle w:val="P68B1DB1-Normal20"/>
              <w:spacing w:after="0" w:line="240" w:lineRule="auto"/>
              <w:rPr>
                <w:rFonts w:eastAsia="Times New Roman" w:cs="Times New Roman"/>
                <w:noProof/>
              </w:rPr>
            </w:pPr>
            <w:r>
              <w:rPr>
                <w:noProof/>
              </w:rPr>
              <w:t>Respectând dialogul social și ca parte a unei abordări cuprinzătoare care să echilibreze nevoia de flexibilitate și securitate pe piața forței de muncă, intrarea în vigoare a modificării dispozițiilor Decretului legislativ nr. 2/2015 din 23 octombrie de aprobare a textului reformat al Statutului lucrătorilor pentru a sprijini reducerea ocupării temporare a forței de muncă prin raționalizarea numărului de tipuri de contracte.</w:t>
            </w:r>
          </w:p>
        </w:tc>
      </w:tr>
      <w:tr w:rsidR="00011DE9" w14:paraId="4F122718" w14:textId="77777777" w:rsidTr="003010A3">
        <w:trPr>
          <w:trHeight w:val="309"/>
          <w:jc w:val="center"/>
        </w:trPr>
        <w:tc>
          <w:tcPr>
            <w:tcW w:w="793" w:type="dxa"/>
            <w:shd w:val="clear" w:color="auto" w:fill="C6EFCE"/>
            <w:noWrap/>
          </w:tcPr>
          <w:p w14:paraId="67A93B6F" w14:textId="77777777" w:rsidR="00011DE9" w:rsidRDefault="00011DE9">
            <w:pPr>
              <w:pStyle w:val="P68B1DB1-Normal19"/>
              <w:spacing w:after="0" w:line="240" w:lineRule="auto"/>
              <w:jc w:val="center"/>
              <w:rPr>
                <w:rFonts w:eastAsia="Times New Roman"/>
                <w:noProof/>
              </w:rPr>
            </w:pPr>
            <w:r>
              <w:rPr>
                <w:noProof/>
              </w:rPr>
              <w:t>333</w:t>
            </w:r>
          </w:p>
        </w:tc>
        <w:tc>
          <w:tcPr>
            <w:tcW w:w="792" w:type="dxa"/>
            <w:shd w:val="clear" w:color="auto" w:fill="C6EFCE"/>
            <w:noWrap/>
          </w:tcPr>
          <w:p w14:paraId="625A0097" w14:textId="77777777" w:rsidR="00011DE9" w:rsidRDefault="00011DE9">
            <w:pPr>
              <w:pStyle w:val="P68B1DB1-Normal19"/>
              <w:spacing w:after="0" w:line="240" w:lineRule="auto"/>
              <w:jc w:val="center"/>
              <w:rPr>
                <w:rFonts w:eastAsia="Times New Roman"/>
                <w:noProof/>
              </w:rPr>
            </w:pPr>
            <w:r>
              <w:rPr>
                <w:noProof/>
              </w:rPr>
              <w:t>C23.R5</w:t>
            </w:r>
          </w:p>
        </w:tc>
        <w:tc>
          <w:tcPr>
            <w:tcW w:w="921" w:type="dxa"/>
            <w:shd w:val="clear" w:color="auto" w:fill="C6EFCE"/>
            <w:noWrap/>
          </w:tcPr>
          <w:p w14:paraId="31D596F2" w14:textId="77777777" w:rsidR="00011DE9" w:rsidRDefault="00011DE9">
            <w:pPr>
              <w:pStyle w:val="P68B1DB1-Normal19"/>
              <w:spacing w:after="0" w:line="240" w:lineRule="auto"/>
              <w:jc w:val="center"/>
              <w:rPr>
                <w:rFonts w:eastAsia="Times New Roman"/>
                <w:noProof/>
              </w:rPr>
            </w:pPr>
            <w:r>
              <w:rPr>
                <w:noProof/>
              </w:rPr>
              <w:t>M</w:t>
            </w:r>
          </w:p>
        </w:tc>
        <w:tc>
          <w:tcPr>
            <w:tcW w:w="2025" w:type="dxa"/>
            <w:shd w:val="clear" w:color="auto" w:fill="C6EFCE"/>
            <w:noWrap/>
          </w:tcPr>
          <w:p w14:paraId="6A0C7F94" w14:textId="77777777" w:rsidR="00011DE9" w:rsidRDefault="00011DE9">
            <w:pPr>
              <w:pStyle w:val="P68B1DB1-Normal19"/>
              <w:spacing w:after="0" w:line="240" w:lineRule="auto"/>
              <w:rPr>
                <w:rFonts w:eastAsia="Times New Roman"/>
                <w:noProof/>
              </w:rPr>
            </w:pPr>
            <w:r>
              <w:rPr>
                <w:noProof/>
              </w:rPr>
              <w:t xml:space="preserve">Intrarea în vigoare a Planului de acțiune pentru combaterea șomajului în rândul tinerilor </w:t>
            </w:r>
          </w:p>
        </w:tc>
        <w:tc>
          <w:tcPr>
            <w:tcW w:w="1519" w:type="dxa"/>
            <w:shd w:val="clear" w:color="auto" w:fill="C6EFCE"/>
            <w:noWrap/>
          </w:tcPr>
          <w:p w14:paraId="7C873D69" w14:textId="77777777" w:rsidR="00011DE9" w:rsidRDefault="00011DE9">
            <w:pPr>
              <w:pStyle w:val="P68B1DB1-Normal19"/>
              <w:spacing w:after="0" w:line="240" w:lineRule="auto"/>
              <w:jc w:val="center"/>
              <w:rPr>
                <w:rFonts w:eastAsia="Times New Roman"/>
                <w:noProof/>
              </w:rPr>
            </w:pPr>
            <w:r>
              <w:rPr>
                <w:noProof/>
              </w:rPr>
              <w:t>Dispoziții din planul de acțiune privind intrarea în vigoare</w:t>
            </w:r>
          </w:p>
        </w:tc>
        <w:tc>
          <w:tcPr>
            <w:tcW w:w="608" w:type="dxa"/>
            <w:shd w:val="clear" w:color="auto" w:fill="C6EFCE"/>
            <w:noWrap/>
          </w:tcPr>
          <w:p w14:paraId="6B4BCD84"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shd w:val="clear" w:color="auto" w:fill="C6EFCE"/>
            <w:noWrap/>
          </w:tcPr>
          <w:p w14:paraId="56184234"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7BB0AB77" w14:textId="77777777" w:rsidR="00011DE9" w:rsidRDefault="00011DE9">
            <w:pPr>
              <w:pStyle w:val="P68B1DB1-Normal19"/>
              <w:spacing w:after="0" w:line="240" w:lineRule="auto"/>
              <w:rPr>
                <w:rFonts w:eastAsia="Times New Roman"/>
                <w:noProof/>
              </w:rPr>
            </w:pPr>
            <w:r>
              <w:rPr>
                <w:noProof/>
              </w:rPr>
              <w:t xml:space="preserve"> </w:t>
            </w:r>
          </w:p>
        </w:tc>
        <w:tc>
          <w:tcPr>
            <w:tcW w:w="486" w:type="dxa"/>
            <w:shd w:val="clear" w:color="auto" w:fill="C6EFCE"/>
            <w:noWrap/>
          </w:tcPr>
          <w:p w14:paraId="43AEE79F" w14:textId="4C1B41D4" w:rsidR="00011DE9" w:rsidRDefault="005701C9">
            <w:pPr>
              <w:pStyle w:val="P68B1DB1-Normal19"/>
              <w:spacing w:after="0" w:line="240" w:lineRule="auto"/>
              <w:jc w:val="center"/>
              <w:rPr>
                <w:rFonts w:eastAsia="Times New Roman"/>
                <w:noProof/>
              </w:rPr>
            </w:pPr>
            <w:r>
              <w:rPr>
                <w:noProof/>
              </w:rPr>
              <w:t>T2</w:t>
            </w:r>
          </w:p>
        </w:tc>
        <w:tc>
          <w:tcPr>
            <w:tcW w:w="528" w:type="dxa"/>
            <w:shd w:val="clear" w:color="auto" w:fill="C6EFCE"/>
            <w:noWrap/>
          </w:tcPr>
          <w:p w14:paraId="27F88E1D" w14:textId="77777777" w:rsidR="00011DE9" w:rsidRDefault="00011DE9">
            <w:pPr>
              <w:pStyle w:val="P68B1DB1-Normal19"/>
              <w:spacing w:after="0" w:line="240" w:lineRule="auto"/>
              <w:jc w:val="center"/>
              <w:rPr>
                <w:rFonts w:eastAsia="Times New Roman"/>
                <w:noProof/>
              </w:rPr>
            </w:pPr>
            <w:r>
              <w:rPr>
                <w:noProof/>
              </w:rPr>
              <w:t>2021</w:t>
            </w:r>
          </w:p>
        </w:tc>
        <w:tc>
          <w:tcPr>
            <w:tcW w:w="5506" w:type="dxa"/>
            <w:shd w:val="clear" w:color="auto" w:fill="C6EFCE"/>
            <w:noWrap/>
          </w:tcPr>
          <w:p w14:paraId="0570AFBA" w14:textId="77777777" w:rsidR="00011DE9" w:rsidRDefault="00011DE9">
            <w:pPr>
              <w:pStyle w:val="P68B1DB1-Normal19"/>
              <w:spacing w:after="0" w:line="240" w:lineRule="auto"/>
              <w:rPr>
                <w:rFonts w:eastAsia="Times New Roman"/>
                <w:noProof/>
              </w:rPr>
            </w:pPr>
            <w:r>
              <w:rPr>
                <w:noProof/>
              </w:rPr>
              <w:t>Planul de acțiune abordează șomajul în rândul tinerilor cu ocazia punerii în aplicare a Garanției UE pentru tineret Plus. Obiectivul Garanției pentru tineret este de a îmbunătăți și aprofunda coordonarea interinstituțională, de a consolida relația cu sectorul privat și cu autoritățile locale, de a îmbunătăți calitatea și caracterul adecvat al formării, de a căuta noi oportunități de angajare în sectoarele cu potențial de creștere, de a reduce părăsirea timpurie a școlii, de a menține și îmbunătăți sistemul de evaluare și monitorizare și de a consolida în continuare programele de orientare personalizată.</w:t>
            </w:r>
          </w:p>
        </w:tc>
      </w:tr>
      <w:tr w:rsidR="00011DE9" w14:paraId="4C53E01A" w14:textId="77777777" w:rsidTr="003010A3">
        <w:trPr>
          <w:trHeight w:val="309"/>
          <w:jc w:val="center"/>
        </w:trPr>
        <w:tc>
          <w:tcPr>
            <w:tcW w:w="793" w:type="dxa"/>
            <w:shd w:val="clear" w:color="auto" w:fill="C6EFCE"/>
            <w:noWrap/>
          </w:tcPr>
          <w:p w14:paraId="0672AA39" w14:textId="77777777" w:rsidR="00011DE9" w:rsidRDefault="00011DE9">
            <w:pPr>
              <w:pStyle w:val="P68B1DB1-Normal19"/>
              <w:spacing w:after="0" w:line="240" w:lineRule="auto"/>
              <w:jc w:val="center"/>
              <w:rPr>
                <w:rFonts w:eastAsia="Times New Roman"/>
                <w:noProof/>
              </w:rPr>
            </w:pPr>
            <w:r>
              <w:rPr>
                <w:noProof/>
              </w:rPr>
              <w:t>334</w:t>
            </w:r>
          </w:p>
        </w:tc>
        <w:tc>
          <w:tcPr>
            <w:tcW w:w="792" w:type="dxa"/>
            <w:shd w:val="clear" w:color="auto" w:fill="C6EFCE"/>
            <w:noWrap/>
          </w:tcPr>
          <w:p w14:paraId="77F912C3" w14:textId="77777777" w:rsidR="00011DE9" w:rsidRDefault="00011DE9">
            <w:pPr>
              <w:pStyle w:val="P68B1DB1-Normal19"/>
              <w:spacing w:after="0" w:line="240" w:lineRule="auto"/>
              <w:jc w:val="center"/>
              <w:rPr>
                <w:rFonts w:eastAsia="Times New Roman"/>
                <w:noProof/>
              </w:rPr>
            </w:pPr>
            <w:r>
              <w:rPr>
                <w:noProof/>
              </w:rPr>
              <w:t>C23.R5</w:t>
            </w:r>
          </w:p>
        </w:tc>
        <w:tc>
          <w:tcPr>
            <w:tcW w:w="921" w:type="dxa"/>
            <w:shd w:val="clear" w:color="auto" w:fill="C6EFCE"/>
            <w:noWrap/>
          </w:tcPr>
          <w:p w14:paraId="2951BCAD" w14:textId="77777777" w:rsidR="00011DE9" w:rsidRDefault="00011DE9">
            <w:pPr>
              <w:pStyle w:val="P68B1DB1-Normal19"/>
              <w:spacing w:after="0" w:line="240" w:lineRule="auto"/>
              <w:jc w:val="center"/>
              <w:rPr>
                <w:rFonts w:eastAsia="Times New Roman"/>
                <w:noProof/>
              </w:rPr>
            </w:pPr>
            <w:r>
              <w:rPr>
                <w:noProof/>
              </w:rPr>
              <w:t>M</w:t>
            </w:r>
          </w:p>
        </w:tc>
        <w:tc>
          <w:tcPr>
            <w:tcW w:w="2025" w:type="dxa"/>
            <w:shd w:val="clear" w:color="auto" w:fill="C6EFCE"/>
            <w:noWrap/>
          </w:tcPr>
          <w:p w14:paraId="3FBFF9D0" w14:textId="77777777" w:rsidR="00011DE9" w:rsidRDefault="00011DE9">
            <w:pPr>
              <w:pStyle w:val="P68B1DB1-Normal19"/>
              <w:spacing w:after="0" w:line="240" w:lineRule="auto"/>
              <w:rPr>
                <w:rFonts w:eastAsia="Times New Roman"/>
                <w:noProof/>
              </w:rPr>
            </w:pPr>
            <w:r>
              <w:rPr>
                <w:noProof/>
              </w:rPr>
              <w:t>Decretul regal pentru o nouă strategie spaniolă de ocupare a forței de muncă 2021-2024</w:t>
            </w:r>
          </w:p>
        </w:tc>
        <w:tc>
          <w:tcPr>
            <w:tcW w:w="1519" w:type="dxa"/>
            <w:shd w:val="clear" w:color="auto" w:fill="C6EFCE"/>
            <w:noWrap/>
          </w:tcPr>
          <w:p w14:paraId="42DF668C" w14:textId="77777777" w:rsidR="00011DE9" w:rsidRDefault="00011DE9">
            <w:pPr>
              <w:pStyle w:val="P68B1DB1-Normal19"/>
              <w:spacing w:after="0" w:line="240" w:lineRule="auto"/>
              <w:jc w:val="center"/>
              <w:rPr>
                <w:rFonts w:eastAsia="Times New Roman"/>
                <w:noProof/>
              </w:rPr>
            </w:pPr>
            <w:r>
              <w:rPr>
                <w:noProof/>
              </w:rPr>
              <w:t>Dispozițiile decretului regal privind intrarea în vigoare</w:t>
            </w:r>
          </w:p>
        </w:tc>
        <w:tc>
          <w:tcPr>
            <w:tcW w:w="608" w:type="dxa"/>
            <w:shd w:val="clear" w:color="auto" w:fill="C6EFCE"/>
            <w:noWrap/>
          </w:tcPr>
          <w:p w14:paraId="0F6DD55D"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shd w:val="clear" w:color="auto" w:fill="C6EFCE"/>
            <w:noWrap/>
          </w:tcPr>
          <w:p w14:paraId="039F15B9"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091111E2" w14:textId="77777777" w:rsidR="00011DE9" w:rsidRDefault="00011DE9">
            <w:pPr>
              <w:pStyle w:val="P68B1DB1-Normal19"/>
              <w:spacing w:after="0" w:line="240" w:lineRule="auto"/>
              <w:rPr>
                <w:rFonts w:eastAsia="Times New Roman"/>
                <w:noProof/>
              </w:rPr>
            </w:pPr>
            <w:r>
              <w:rPr>
                <w:noProof/>
              </w:rPr>
              <w:t xml:space="preserve"> </w:t>
            </w:r>
          </w:p>
        </w:tc>
        <w:tc>
          <w:tcPr>
            <w:tcW w:w="486" w:type="dxa"/>
            <w:shd w:val="clear" w:color="auto" w:fill="C6EFCE"/>
            <w:noWrap/>
          </w:tcPr>
          <w:p w14:paraId="6EE7BD00" w14:textId="442B43D5" w:rsidR="00011DE9" w:rsidRDefault="005701C9">
            <w:pPr>
              <w:pStyle w:val="P68B1DB1-Normal19"/>
              <w:spacing w:after="0" w:line="240" w:lineRule="auto"/>
              <w:jc w:val="center"/>
              <w:rPr>
                <w:rFonts w:eastAsia="Times New Roman"/>
                <w:noProof/>
              </w:rPr>
            </w:pPr>
            <w:r>
              <w:rPr>
                <w:noProof/>
              </w:rPr>
              <w:t>T4</w:t>
            </w:r>
          </w:p>
        </w:tc>
        <w:tc>
          <w:tcPr>
            <w:tcW w:w="528" w:type="dxa"/>
            <w:shd w:val="clear" w:color="auto" w:fill="C6EFCE"/>
            <w:noWrap/>
          </w:tcPr>
          <w:p w14:paraId="4B4AA827" w14:textId="77777777" w:rsidR="00011DE9" w:rsidRDefault="00011DE9">
            <w:pPr>
              <w:pStyle w:val="P68B1DB1-Normal19"/>
              <w:spacing w:after="0" w:line="240" w:lineRule="auto"/>
              <w:jc w:val="center"/>
              <w:rPr>
                <w:rFonts w:eastAsia="Times New Roman"/>
                <w:noProof/>
              </w:rPr>
            </w:pPr>
            <w:r>
              <w:rPr>
                <w:noProof/>
              </w:rPr>
              <w:t>2021</w:t>
            </w:r>
          </w:p>
        </w:tc>
        <w:tc>
          <w:tcPr>
            <w:tcW w:w="5506" w:type="dxa"/>
            <w:shd w:val="clear" w:color="auto" w:fill="C6EFCE"/>
            <w:noWrap/>
          </w:tcPr>
          <w:p w14:paraId="0A21C374" w14:textId="36567BAF" w:rsidR="00011DE9" w:rsidRDefault="00011DE9">
            <w:pPr>
              <w:spacing w:after="0" w:line="240" w:lineRule="auto"/>
              <w:rPr>
                <w:rFonts w:ascii="Times New Roman" w:eastAsia="Times New Roman" w:hAnsi="Times New Roman" w:cs="Times New Roman"/>
                <w:noProof/>
                <w:sz w:val="18"/>
                <w:szCs w:val="18"/>
              </w:rPr>
            </w:pPr>
            <w:r>
              <w:rPr>
                <w:rFonts w:ascii="Times New Roman" w:hAnsi="Times New Roman"/>
                <w:noProof/>
                <w:sz w:val="18"/>
              </w:rPr>
              <w:t>Respectarea dialogului social și, ca parte a unei abordări cuprinzătoare care să echilibreze nevoia de flexibilitate și securitate pe piața forței de muncă, aprobarea de către Consiliul de Miniștri și intrarea în vigoare a unui decret regal pentru o nouă strategie spaniolă de activare a forței de muncă pentru perioada 2021-2024. Principalele obiective ale noii strategii sunt:</w:t>
            </w:r>
            <w:r w:rsidR="00971820">
              <w:rPr>
                <w:rFonts w:ascii="Times New Roman" w:hAnsi="Times New Roman"/>
                <w:noProof/>
                <w:sz w:val="18"/>
              </w:rPr>
              <w:t xml:space="preserve"> </w:t>
            </w:r>
            <w:r>
              <w:rPr>
                <w:noProof/>
              </w:rPr>
              <w:t xml:space="preserve"> </w:t>
            </w:r>
            <w:r>
              <w:rPr>
                <w:noProof/>
              </w:rPr>
              <w:br/>
            </w:r>
            <w:r>
              <w:rPr>
                <w:rFonts w:ascii="Times New Roman" w:hAnsi="Times New Roman"/>
                <w:noProof/>
                <w:sz w:val="18"/>
              </w:rPr>
              <w:t>I) Abordare centrată pe oameni și centrată pe întreprinderi: Politicile active de ocupare a forței de muncă sunt concepute astfel încât să se concentreze asupra circumstanțelor specifice fiecărei persoane și întreprinderi.</w:t>
            </w:r>
            <w:r w:rsidR="00971820">
              <w:rPr>
                <w:noProof/>
              </w:rPr>
              <w:t xml:space="preserve"> </w:t>
            </w:r>
            <w:r>
              <w:rPr>
                <w:noProof/>
              </w:rPr>
              <w:br/>
            </w:r>
            <w:r>
              <w:rPr>
                <w:rFonts w:ascii="Times New Roman" w:hAnsi="Times New Roman"/>
                <w:noProof/>
                <w:sz w:val="18"/>
              </w:rPr>
              <w:t>II) Coerența cu transformarea productivă: Politicile active de ocupare a forței de muncă permit tranzițiile profesionale care însoțesc tranziția modelului de producție către o economie verde și digitală.</w:t>
            </w:r>
            <w:r>
              <w:rPr>
                <w:noProof/>
              </w:rPr>
              <w:t xml:space="preserve"> </w:t>
            </w:r>
            <w:r>
              <w:rPr>
                <w:noProof/>
              </w:rPr>
              <w:br/>
              <w:t xml:space="preserve"> </w:t>
            </w:r>
            <w:r>
              <w:rPr>
                <w:rFonts w:ascii="Times New Roman" w:hAnsi="Times New Roman"/>
                <w:noProof/>
                <w:sz w:val="18"/>
              </w:rPr>
              <w:t>orientarea către rezultate: Politicile active de ocupare a forței de muncă sunt evaluate, monitorizate și încurajează obținerea de rezultate.</w:t>
            </w:r>
            <w:r w:rsidR="00971820">
              <w:rPr>
                <w:noProof/>
              </w:rPr>
              <w:t xml:space="preserve"> </w:t>
            </w:r>
            <w:r>
              <w:rPr>
                <w:noProof/>
              </w:rPr>
              <w:br/>
            </w:r>
            <w:r>
              <w:rPr>
                <w:rFonts w:ascii="Times New Roman" w:hAnsi="Times New Roman"/>
                <w:noProof/>
                <w:sz w:val="18"/>
              </w:rPr>
              <w:t>IV) Îmbunătățirea capacităților serviciilor publice de ocupare a forței de muncă: Prin digitalizarea și modernizarea lor.</w:t>
            </w:r>
            <w:r w:rsidR="00971820">
              <w:rPr>
                <w:rFonts w:ascii="Times New Roman" w:hAnsi="Times New Roman"/>
                <w:noProof/>
                <w:sz w:val="18"/>
              </w:rPr>
              <w:t xml:space="preserve"> </w:t>
            </w:r>
            <w:r>
              <w:rPr>
                <w:noProof/>
              </w:rPr>
              <w:t xml:space="preserve"> </w:t>
            </w:r>
            <w:r>
              <w:rPr>
                <w:noProof/>
              </w:rPr>
              <w:br/>
            </w:r>
            <w:r>
              <w:rPr>
                <w:rFonts w:ascii="Times New Roman" w:hAnsi="Times New Roman"/>
                <w:noProof/>
                <w:sz w:val="18"/>
              </w:rPr>
              <w:t xml:space="preserve">V) Guvernanța și coeziunea sistemului național de ocupare a forței de muncă în vederea îmbunătățirii coordonării la nivel național și regional și a părților interesate implicate în politicile active în domeniul muncii. </w:t>
            </w:r>
          </w:p>
        </w:tc>
      </w:tr>
      <w:tr w:rsidR="00011DE9" w14:paraId="5F77E582" w14:textId="77777777" w:rsidTr="003010A3">
        <w:trPr>
          <w:trHeight w:val="309"/>
          <w:jc w:val="center"/>
        </w:trPr>
        <w:tc>
          <w:tcPr>
            <w:tcW w:w="793" w:type="dxa"/>
            <w:shd w:val="clear" w:color="auto" w:fill="C6EFCE"/>
            <w:noWrap/>
          </w:tcPr>
          <w:p w14:paraId="48C930AB" w14:textId="77777777" w:rsidR="00011DE9" w:rsidRDefault="00011DE9">
            <w:pPr>
              <w:pStyle w:val="P68B1DB1-Normal19"/>
              <w:spacing w:after="0" w:line="240" w:lineRule="auto"/>
              <w:jc w:val="center"/>
              <w:rPr>
                <w:rFonts w:eastAsia="Times New Roman"/>
                <w:noProof/>
              </w:rPr>
            </w:pPr>
            <w:r>
              <w:rPr>
                <w:noProof/>
              </w:rPr>
              <w:t>335</w:t>
            </w:r>
          </w:p>
        </w:tc>
        <w:tc>
          <w:tcPr>
            <w:tcW w:w="792" w:type="dxa"/>
            <w:shd w:val="clear" w:color="auto" w:fill="C6EFCE"/>
            <w:noWrap/>
          </w:tcPr>
          <w:p w14:paraId="695CE730" w14:textId="77777777" w:rsidR="00011DE9" w:rsidRDefault="00011DE9">
            <w:pPr>
              <w:pStyle w:val="P68B1DB1-Normal19"/>
              <w:spacing w:after="0" w:line="240" w:lineRule="auto"/>
              <w:jc w:val="center"/>
              <w:rPr>
                <w:rFonts w:eastAsia="Times New Roman"/>
                <w:noProof/>
              </w:rPr>
            </w:pPr>
            <w:r>
              <w:rPr>
                <w:noProof/>
              </w:rPr>
              <w:t>C23.R5</w:t>
            </w:r>
          </w:p>
        </w:tc>
        <w:tc>
          <w:tcPr>
            <w:tcW w:w="921" w:type="dxa"/>
            <w:shd w:val="clear" w:color="auto" w:fill="C6EFCE"/>
            <w:noWrap/>
          </w:tcPr>
          <w:p w14:paraId="2C1DF8D3" w14:textId="77777777" w:rsidR="00011DE9" w:rsidRDefault="00011DE9">
            <w:pPr>
              <w:pStyle w:val="P68B1DB1-Normal19"/>
              <w:spacing w:after="0" w:line="240" w:lineRule="auto"/>
              <w:jc w:val="center"/>
              <w:rPr>
                <w:rFonts w:eastAsia="Times New Roman"/>
                <w:noProof/>
              </w:rPr>
            </w:pPr>
            <w:r>
              <w:rPr>
                <w:noProof/>
              </w:rPr>
              <w:t>M</w:t>
            </w:r>
          </w:p>
        </w:tc>
        <w:tc>
          <w:tcPr>
            <w:tcW w:w="2025" w:type="dxa"/>
            <w:shd w:val="clear" w:color="auto" w:fill="C6EFCE"/>
            <w:noWrap/>
          </w:tcPr>
          <w:p w14:paraId="14DF8F12" w14:textId="77777777" w:rsidR="00011DE9" w:rsidRDefault="00011DE9">
            <w:pPr>
              <w:pStyle w:val="P68B1DB1-Normal19"/>
              <w:spacing w:after="0" w:line="240" w:lineRule="auto"/>
              <w:rPr>
                <w:rFonts w:eastAsia="Times New Roman"/>
                <w:noProof/>
              </w:rPr>
            </w:pPr>
            <w:r>
              <w:rPr>
                <w:noProof/>
              </w:rPr>
              <w:t>Intrarea în vigoare a modificării Legii privind ocuparea forței de muncă (Decretul legislativ regal 3/2015)</w:t>
            </w:r>
          </w:p>
        </w:tc>
        <w:tc>
          <w:tcPr>
            <w:tcW w:w="1519" w:type="dxa"/>
            <w:shd w:val="clear" w:color="auto" w:fill="C6EFCE"/>
            <w:noWrap/>
          </w:tcPr>
          <w:p w14:paraId="5F8065E7" w14:textId="77777777" w:rsidR="00011DE9" w:rsidRDefault="00011DE9">
            <w:pPr>
              <w:pStyle w:val="P68B1DB1-Normal19"/>
              <w:spacing w:after="0" w:line="240" w:lineRule="auto"/>
              <w:jc w:val="center"/>
              <w:rPr>
                <w:rFonts w:eastAsia="Times New Roman"/>
                <w:noProof/>
              </w:rPr>
            </w:pPr>
            <w:r>
              <w:rPr>
                <w:noProof/>
              </w:rPr>
              <w:t>Dispoziție din amendamentul privind intrarea în vigoare</w:t>
            </w:r>
          </w:p>
        </w:tc>
        <w:tc>
          <w:tcPr>
            <w:tcW w:w="608" w:type="dxa"/>
            <w:shd w:val="clear" w:color="auto" w:fill="C6EFCE"/>
            <w:noWrap/>
          </w:tcPr>
          <w:p w14:paraId="5BD229E1"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shd w:val="clear" w:color="auto" w:fill="C6EFCE"/>
            <w:noWrap/>
          </w:tcPr>
          <w:p w14:paraId="289D8A36"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3ECBFB8E" w14:textId="77777777" w:rsidR="00011DE9" w:rsidRDefault="00011DE9">
            <w:pPr>
              <w:pStyle w:val="P68B1DB1-Normal19"/>
              <w:spacing w:after="0" w:line="240" w:lineRule="auto"/>
              <w:rPr>
                <w:rFonts w:eastAsia="Times New Roman"/>
                <w:noProof/>
              </w:rPr>
            </w:pPr>
            <w:r>
              <w:rPr>
                <w:noProof/>
              </w:rPr>
              <w:t xml:space="preserve"> </w:t>
            </w:r>
          </w:p>
        </w:tc>
        <w:tc>
          <w:tcPr>
            <w:tcW w:w="486" w:type="dxa"/>
            <w:shd w:val="clear" w:color="auto" w:fill="C6EFCE"/>
            <w:noWrap/>
          </w:tcPr>
          <w:p w14:paraId="327E4A6F" w14:textId="1275A87C" w:rsidR="00011DE9" w:rsidRDefault="005701C9">
            <w:pPr>
              <w:pStyle w:val="P68B1DB1-Normal19"/>
              <w:spacing w:after="0" w:line="240" w:lineRule="auto"/>
              <w:jc w:val="center"/>
              <w:rPr>
                <w:rFonts w:eastAsia="Times New Roman"/>
                <w:noProof/>
              </w:rPr>
            </w:pPr>
            <w:r>
              <w:rPr>
                <w:noProof/>
              </w:rPr>
              <w:t>T4</w:t>
            </w:r>
          </w:p>
        </w:tc>
        <w:tc>
          <w:tcPr>
            <w:tcW w:w="528" w:type="dxa"/>
            <w:shd w:val="clear" w:color="auto" w:fill="C6EFCE"/>
            <w:noWrap/>
          </w:tcPr>
          <w:p w14:paraId="31FA419E" w14:textId="77777777" w:rsidR="00011DE9" w:rsidRDefault="00011DE9">
            <w:pPr>
              <w:pStyle w:val="P68B1DB1-Normal19"/>
              <w:spacing w:after="0" w:line="240" w:lineRule="auto"/>
              <w:jc w:val="center"/>
              <w:rPr>
                <w:rFonts w:eastAsia="Times New Roman"/>
                <w:noProof/>
              </w:rPr>
            </w:pPr>
            <w:r>
              <w:rPr>
                <w:noProof/>
              </w:rPr>
              <w:t>2022</w:t>
            </w:r>
          </w:p>
        </w:tc>
        <w:tc>
          <w:tcPr>
            <w:tcW w:w="5506" w:type="dxa"/>
            <w:shd w:val="clear" w:color="auto" w:fill="C6EFCE"/>
            <w:noWrap/>
          </w:tcPr>
          <w:p w14:paraId="68B41433" w14:textId="77777777" w:rsidR="00011DE9" w:rsidRDefault="00011DE9">
            <w:pPr>
              <w:pStyle w:val="P68B1DB1-Normal19"/>
              <w:spacing w:after="0" w:line="240" w:lineRule="auto"/>
              <w:rPr>
                <w:rFonts w:eastAsia="Times New Roman"/>
                <w:noProof/>
              </w:rPr>
            </w:pPr>
            <w:r>
              <w:rPr>
                <w:noProof/>
              </w:rPr>
              <w:t>Modificarea Legii privind ocuparea forței de muncă (Decretul regal legislativ nr. 3/2015): (I) să consolideze instrumentele de politică și de coordonare ale sistemului național de ocupare a forței de muncă; (II) reformarea politicilor active în domeniul pieței forței de muncă; (III) să revizuiască guvernanța sistemului; (IV) consolidarea dimensiunii locale a politicii de ocupare a forței de muncă; și (v) să îndeplinească cerințele pentru punerea în aplicare a diferitelor măsuri prevăzute în cadrul Planului național pentru politici active de ocupare a forței de muncă.</w:t>
            </w:r>
          </w:p>
        </w:tc>
      </w:tr>
      <w:tr w:rsidR="00011DE9" w14:paraId="4A6B9700" w14:textId="77777777" w:rsidTr="003010A3">
        <w:trPr>
          <w:trHeight w:val="309"/>
          <w:jc w:val="center"/>
        </w:trPr>
        <w:tc>
          <w:tcPr>
            <w:tcW w:w="793" w:type="dxa"/>
            <w:shd w:val="clear" w:color="auto" w:fill="C6EFCE"/>
            <w:noWrap/>
          </w:tcPr>
          <w:p w14:paraId="15AC852B" w14:textId="77777777" w:rsidR="00011DE9" w:rsidRDefault="00011DE9">
            <w:pPr>
              <w:pStyle w:val="P68B1DB1-Normal19"/>
              <w:spacing w:after="0" w:line="240" w:lineRule="auto"/>
              <w:jc w:val="center"/>
              <w:rPr>
                <w:rFonts w:eastAsia="Times New Roman"/>
                <w:noProof/>
              </w:rPr>
            </w:pPr>
            <w:r>
              <w:rPr>
                <w:noProof/>
              </w:rPr>
              <w:t>336</w:t>
            </w:r>
          </w:p>
        </w:tc>
        <w:tc>
          <w:tcPr>
            <w:tcW w:w="792" w:type="dxa"/>
            <w:shd w:val="clear" w:color="auto" w:fill="C6EFCE"/>
            <w:noWrap/>
          </w:tcPr>
          <w:p w14:paraId="167D8D67" w14:textId="77777777" w:rsidR="00011DE9" w:rsidRDefault="00011DE9">
            <w:pPr>
              <w:pStyle w:val="P68B1DB1-Normal19"/>
              <w:spacing w:after="0" w:line="240" w:lineRule="auto"/>
              <w:jc w:val="center"/>
              <w:rPr>
                <w:rFonts w:eastAsia="Times New Roman"/>
                <w:noProof/>
              </w:rPr>
            </w:pPr>
            <w:r>
              <w:rPr>
                <w:noProof/>
              </w:rPr>
              <w:t>C23.R6</w:t>
            </w:r>
          </w:p>
        </w:tc>
        <w:tc>
          <w:tcPr>
            <w:tcW w:w="921" w:type="dxa"/>
            <w:shd w:val="clear" w:color="auto" w:fill="C6EFCE"/>
            <w:noWrap/>
          </w:tcPr>
          <w:p w14:paraId="69A66688" w14:textId="77777777" w:rsidR="00011DE9" w:rsidRDefault="00011DE9">
            <w:pPr>
              <w:pStyle w:val="P68B1DB1-Normal19"/>
              <w:spacing w:after="0" w:line="240" w:lineRule="auto"/>
              <w:jc w:val="center"/>
              <w:rPr>
                <w:rFonts w:eastAsia="Times New Roman"/>
                <w:noProof/>
              </w:rPr>
            </w:pPr>
            <w:r>
              <w:rPr>
                <w:noProof/>
              </w:rPr>
              <w:t>M</w:t>
            </w:r>
          </w:p>
        </w:tc>
        <w:tc>
          <w:tcPr>
            <w:tcW w:w="2025" w:type="dxa"/>
            <w:shd w:val="clear" w:color="auto" w:fill="C6EFCE"/>
            <w:noWrap/>
          </w:tcPr>
          <w:p w14:paraId="2FB85F80" w14:textId="77777777" w:rsidR="00011DE9" w:rsidRDefault="00011DE9">
            <w:pPr>
              <w:pStyle w:val="P68B1DB1-Normal19"/>
              <w:spacing w:after="0" w:line="240" w:lineRule="auto"/>
              <w:rPr>
                <w:rFonts w:eastAsia="Times New Roman"/>
                <w:noProof/>
              </w:rPr>
            </w:pPr>
            <w:r>
              <w:rPr>
                <w:noProof/>
              </w:rPr>
              <w:t>Modificarea statutului lucrătorilor pentru a institui un sistem de adaptare la șocurile ciclice și structurale, inclusiv un sistem care să ofere flexibilitate internă întreprinderilor și stabilitate lucrătorilor</w:t>
            </w:r>
          </w:p>
        </w:tc>
        <w:tc>
          <w:tcPr>
            <w:tcW w:w="1519" w:type="dxa"/>
            <w:shd w:val="clear" w:color="auto" w:fill="C6EFCE"/>
            <w:noWrap/>
          </w:tcPr>
          <w:p w14:paraId="4F348126" w14:textId="77777777" w:rsidR="00011DE9" w:rsidRDefault="00011DE9">
            <w:pPr>
              <w:pStyle w:val="P68B1DB1-Normal19"/>
              <w:spacing w:after="0" w:line="240" w:lineRule="auto"/>
              <w:jc w:val="center"/>
              <w:rPr>
                <w:rFonts w:eastAsia="Times New Roman"/>
                <w:noProof/>
              </w:rPr>
            </w:pPr>
            <w:r>
              <w:rPr>
                <w:noProof/>
              </w:rPr>
              <w:t>Dispoziții ale modificării privind intrarea în vigoare</w:t>
            </w:r>
          </w:p>
        </w:tc>
        <w:tc>
          <w:tcPr>
            <w:tcW w:w="608" w:type="dxa"/>
            <w:shd w:val="clear" w:color="auto" w:fill="C6EFCE"/>
            <w:noWrap/>
          </w:tcPr>
          <w:p w14:paraId="2C4B6BDE"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shd w:val="clear" w:color="auto" w:fill="C6EFCE"/>
            <w:noWrap/>
          </w:tcPr>
          <w:p w14:paraId="6475EE0D"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1B3A50BA" w14:textId="77777777" w:rsidR="00011DE9" w:rsidRDefault="00011DE9">
            <w:pPr>
              <w:pStyle w:val="P68B1DB1-Normal19"/>
              <w:spacing w:after="0" w:line="240" w:lineRule="auto"/>
              <w:rPr>
                <w:rFonts w:eastAsia="Times New Roman"/>
                <w:noProof/>
              </w:rPr>
            </w:pPr>
            <w:r>
              <w:rPr>
                <w:noProof/>
              </w:rPr>
              <w:t xml:space="preserve"> </w:t>
            </w:r>
          </w:p>
        </w:tc>
        <w:tc>
          <w:tcPr>
            <w:tcW w:w="486" w:type="dxa"/>
            <w:shd w:val="clear" w:color="auto" w:fill="C6EFCE"/>
            <w:noWrap/>
          </w:tcPr>
          <w:p w14:paraId="2737A78B" w14:textId="4FA7DE8E" w:rsidR="00011DE9" w:rsidRDefault="005701C9">
            <w:pPr>
              <w:pStyle w:val="P68B1DB1-Normal19"/>
              <w:spacing w:after="0" w:line="240" w:lineRule="auto"/>
              <w:jc w:val="center"/>
              <w:rPr>
                <w:rFonts w:eastAsia="Times New Roman"/>
                <w:noProof/>
              </w:rPr>
            </w:pPr>
            <w:r>
              <w:rPr>
                <w:noProof/>
              </w:rPr>
              <w:t>T4</w:t>
            </w:r>
          </w:p>
        </w:tc>
        <w:tc>
          <w:tcPr>
            <w:tcW w:w="528" w:type="dxa"/>
            <w:shd w:val="clear" w:color="auto" w:fill="C6EFCE"/>
            <w:noWrap/>
          </w:tcPr>
          <w:p w14:paraId="1D234D46" w14:textId="77777777" w:rsidR="00011DE9" w:rsidRDefault="00011DE9">
            <w:pPr>
              <w:pStyle w:val="P68B1DB1-Normal19"/>
              <w:spacing w:after="0" w:line="240" w:lineRule="auto"/>
              <w:jc w:val="center"/>
              <w:rPr>
                <w:rFonts w:eastAsia="Times New Roman"/>
                <w:noProof/>
              </w:rPr>
            </w:pPr>
            <w:r>
              <w:rPr>
                <w:noProof/>
              </w:rPr>
              <w:t>2021</w:t>
            </w:r>
          </w:p>
        </w:tc>
        <w:tc>
          <w:tcPr>
            <w:tcW w:w="5506" w:type="dxa"/>
            <w:shd w:val="clear" w:color="auto" w:fill="C6EFCE"/>
            <w:noWrap/>
          </w:tcPr>
          <w:p w14:paraId="6E583EBC" w14:textId="77777777" w:rsidR="00011DE9" w:rsidRDefault="00011DE9">
            <w:pPr>
              <w:pStyle w:val="P68B1DB1-Normal19"/>
              <w:spacing w:after="0" w:line="240" w:lineRule="auto"/>
              <w:rPr>
                <w:rFonts w:eastAsia="Times New Roman"/>
                <w:noProof/>
              </w:rPr>
            </w:pPr>
            <w:r>
              <w:rPr>
                <w:noProof/>
              </w:rPr>
              <w:t>Respectarea dialogului social și, ca parte a unei abordări cuprinzătoare care să echilibreze nevoia de flexibilitate și securitate pe piața forței de muncă și asigurarea sustenabilității fiscale pe termen mediu și lung, intrarea în vigoare a dispozițiilor de modificare a Decretului legislativ regal nr. 2/2015 din 23 octombrie de aprobare a textului reformat al Statutului lucrătorilor pentru a institui un sistem de adaptare la șocurile ciclice și structurale, inclusiv un sistem care să ofere flexibilitate internă întreprinderilor și stabilitate lucrătorilor, să sprijine perfecționarea și recalificarea angajaților din întreprinderile și sectoarele aflate în tranziție și să faciliteze mobilitatea voluntară a lucrătorilor (în cadrul întreprinderilor și între întreprinderi). Reforma se bazează pe o evaluare ex ante a mecanismelor de finanțare a fondului tripartit inclus în această reformă, care dovedește sustenabilitatea fiscală a acestuia pe termen mediu și lung. Evaluarea ia în considerare diferite opțiuni și scenarii.</w:t>
            </w:r>
          </w:p>
        </w:tc>
      </w:tr>
      <w:tr w:rsidR="00011DE9" w14:paraId="64D1CFBA" w14:textId="77777777" w:rsidTr="003010A3">
        <w:trPr>
          <w:trHeight w:val="309"/>
          <w:jc w:val="center"/>
        </w:trPr>
        <w:tc>
          <w:tcPr>
            <w:tcW w:w="793" w:type="dxa"/>
            <w:shd w:val="clear" w:color="auto" w:fill="C6EFCE"/>
            <w:noWrap/>
          </w:tcPr>
          <w:p w14:paraId="1C8CB9A3" w14:textId="77777777" w:rsidR="00011DE9" w:rsidRDefault="00011DE9">
            <w:pPr>
              <w:pStyle w:val="P68B1DB1-Normal19"/>
              <w:spacing w:after="0" w:line="240" w:lineRule="auto"/>
              <w:jc w:val="center"/>
              <w:rPr>
                <w:rFonts w:eastAsia="Times New Roman"/>
                <w:noProof/>
              </w:rPr>
            </w:pPr>
            <w:r>
              <w:rPr>
                <w:noProof/>
              </w:rPr>
              <w:t>337</w:t>
            </w:r>
          </w:p>
        </w:tc>
        <w:tc>
          <w:tcPr>
            <w:tcW w:w="792" w:type="dxa"/>
            <w:shd w:val="clear" w:color="auto" w:fill="C6EFCE"/>
            <w:noWrap/>
          </w:tcPr>
          <w:p w14:paraId="5DBA6580" w14:textId="77777777" w:rsidR="00011DE9" w:rsidRDefault="00011DE9">
            <w:pPr>
              <w:pStyle w:val="P68B1DB1-Normal19"/>
              <w:spacing w:after="0" w:line="240" w:lineRule="auto"/>
              <w:jc w:val="center"/>
              <w:rPr>
                <w:rFonts w:eastAsia="Times New Roman"/>
                <w:noProof/>
              </w:rPr>
            </w:pPr>
            <w:r>
              <w:rPr>
                <w:noProof/>
              </w:rPr>
              <w:t>C23.R7</w:t>
            </w:r>
          </w:p>
        </w:tc>
        <w:tc>
          <w:tcPr>
            <w:tcW w:w="921" w:type="dxa"/>
            <w:shd w:val="clear" w:color="auto" w:fill="C6EFCE"/>
            <w:noWrap/>
          </w:tcPr>
          <w:p w14:paraId="52D4BDAF" w14:textId="77777777" w:rsidR="00011DE9" w:rsidRDefault="00011DE9">
            <w:pPr>
              <w:pStyle w:val="P68B1DB1-Normal19"/>
              <w:spacing w:after="0" w:line="240" w:lineRule="auto"/>
              <w:jc w:val="center"/>
              <w:rPr>
                <w:rFonts w:eastAsia="Times New Roman"/>
                <w:noProof/>
              </w:rPr>
            </w:pPr>
            <w:r>
              <w:rPr>
                <w:noProof/>
              </w:rPr>
              <w:t>M</w:t>
            </w:r>
          </w:p>
        </w:tc>
        <w:tc>
          <w:tcPr>
            <w:tcW w:w="2025" w:type="dxa"/>
            <w:shd w:val="clear" w:color="auto" w:fill="C6EFCE"/>
            <w:noWrap/>
          </w:tcPr>
          <w:p w14:paraId="467DC8C7" w14:textId="77777777" w:rsidR="00011DE9" w:rsidRDefault="00011DE9">
            <w:pPr>
              <w:pStyle w:val="P68B1DB1-Normal19"/>
              <w:spacing w:after="0" w:line="240" w:lineRule="auto"/>
              <w:rPr>
                <w:rFonts w:eastAsia="Times New Roman"/>
                <w:noProof/>
              </w:rPr>
            </w:pPr>
            <w:r>
              <w:rPr>
                <w:noProof/>
              </w:rPr>
              <w:t>Intrarea în vigoare a reformei Legii nr. 43/2006 pentru a simplifica și a spori eficacitatea sistemului de stimulente pentru recrutare, ținând seama de recomandările emise de AIReF</w:t>
            </w:r>
          </w:p>
        </w:tc>
        <w:tc>
          <w:tcPr>
            <w:tcW w:w="1519" w:type="dxa"/>
            <w:shd w:val="clear" w:color="auto" w:fill="C6EFCE"/>
            <w:noWrap/>
          </w:tcPr>
          <w:p w14:paraId="628C4AD7" w14:textId="77777777" w:rsidR="00011DE9" w:rsidRDefault="00011DE9">
            <w:pPr>
              <w:pStyle w:val="P68B1DB1-Normal19"/>
              <w:spacing w:after="0" w:line="240" w:lineRule="auto"/>
              <w:jc w:val="center"/>
              <w:rPr>
                <w:rFonts w:eastAsia="Times New Roman"/>
                <w:noProof/>
              </w:rPr>
            </w:pPr>
            <w:r>
              <w:rPr>
                <w:noProof/>
              </w:rPr>
              <w:t>Dispoziție în cadrul reformei privind intrarea în vigoare</w:t>
            </w:r>
          </w:p>
        </w:tc>
        <w:tc>
          <w:tcPr>
            <w:tcW w:w="608" w:type="dxa"/>
            <w:shd w:val="clear" w:color="auto" w:fill="C6EFCE"/>
            <w:noWrap/>
          </w:tcPr>
          <w:p w14:paraId="3B1FFE0F"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shd w:val="clear" w:color="auto" w:fill="C6EFCE"/>
            <w:noWrap/>
          </w:tcPr>
          <w:p w14:paraId="55626B20"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3BB4971F" w14:textId="77777777" w:rsidR="00011DE9" w:rsidRDefault="00011DE9">
            <w:pPr>
              <w:pStyle w:val="P68B1DB1-Normal19"/>
              <w:spacing w:after="0" w:line="240" w:lineRule="auto"/>
              <w:rPr>
                <w:rFonts w:eastAsia="Times New Roman"/>
                <w:noProof/>
              </w:rPr>
            </w:pPr>
            <w:r>
              <w:rPr>
                <w:noProof/>
              </w:rPr>
              <w:t xml:space="preserve"> </w:t>
            </w:r>
          </w:p>
        </w:tc>
        <w:tc>
          <w:tcPr>
            <w:tcW w:w="486" w:type="dxa"/>
            <w:shd w:val="clear" w:color="auto" w:fill="C6EFCE"/>
            <w:noWrap/>
          </w:tcPr>
          <w:p w14:paraId="1A165AB4" w14:textId="24642387" w:rsidR="00011DE9" w:rsidRDefault="005701C9">
            <w:pPr>
              <w:pStyle w:val="P68B1DB1-Normal19"/>
              <w:spacing w:after="0" w:line="240" w:lineRule="auto"/>
              <w:jc w:val="center"/>
              <w:rPr>
                <w:rFonts w:eastAsia="Times New Roman"/>
                <w:noProof/>
              </w:rPr>
            </w:pPr>
            <w:r>
              <w:rPr>
                <w:noProof/>
              </w:rPr>
              <w:t>T4</w:t>
            </w:r>
          </w:p>
        </w:tc>
        <w:tc>
          <w:tcPr>
            <w:tcW w:w="528" w:type="dxa"/>
            <w:shd w:val="clear" w:color="auto" w:fill="C6EFCE"/>
            <w:noWrap/>
          </w:tcPr>
          <w:p w14:paraId="66A26815" w14:textId="77777777" w:rsidR="00011DE9" w:rsidRDefault="00011DE9">
            <w:pPr>
              <w:pStyle w:val="P68B1DB1-Normal19"/>
              <w:spacing w:after="0" w:line="240" w:lineRule="auto"/>
              <w:jc w:val="center"/>
              <w:rPr>
                <w:rFonts w:eastAsia="Times New Roman"/>
                <w:noProof/>
              </w:rPr>
            </w:pPr>
            <w:r>
              <w:rPr>
                <w:noProof/>
              </w:rPr>
              <w:t>2022</w:t>
            </w:r>
          </w:p>
        </w:tc>
        <w:tc>
          <w:tcPr>
            <w:tcW w:w="5506" w:type="dxa"/>
            <w:shd w:val="clear" w:color="auto" w:fill="C6EFCE"/>
            <w:noWrap/>
          </w:tcPr>
          <w:p w14:paraId="7F7FCC69" w14:textId="77777777" w:rsidR="00011DE9" w:rsidRDefault="00011DE9">
            <w:pPr>
              <w:pStyle w:val="P68B1DB1-Normal19"/>
              <w:spacing w:after="0" w:line="240" w:lineRule="auto"/>
              <w:rPr>
                <w:rFonts w:eastAsia="Times New Roman"/>
                <w:noProof/>
              </w:rPr>
            </w:pPr>
            <w:r>
              <w:rPr>
                <w:noProof/>
              </w:rPr>
              <w:t>Reforma Legii nr. 43/2006 va simplifica și va spori eficacitatea sistemului de stimulente pentru recrutare, ținând seama de recomandările emise de Autoritatea independentă pentru responsabilitate fiscală (AIReF) din Spania în raportul său din 2020 de analiză a cheltuielilor: „Stimulente pentru recrutare”</w:t>
            </w:r>
          </w:p>
        </w:tc>
      </w:tr>
      <w:tr w:rsidR="00011DE9" w14:paraId="0CC25A89" w14:textId="77777777" w:rsidTr="003010A3">
        <w:trPr>
          <w:trHeight w:val="309"/>
          <w:jc w:val="center"/>
        </w:trPr>
        <w:tc>
          <w:tcPr>
            <w:tcW w:w="793" w:type="dxa"/>
            <w:shd w:val="clear" w:color="auto" w:fill="C6EFCE"/>
            <w:noWrap/>
          </w:tcPr>
          <w:p w14:paraId="601B0EE0" w14:textId="77777777" w:rsidR="00011DE9" w:rsidRDefault="00011DE9">
            <w:pPr>
              <w:pStyle w:val="P68B1DB1-Normal19"/>
              <w:spacing w:after="0" w:line="240" w:lineRule="auto"/>
              <w:jc w:val="center"/>
              <w:rPr>
                <w:noProof/>
              </w:rPr>
            </w:pPr>
            <w:r>
              <w:rPr>
                <w:noProof/>
              </w:rPr>
              <w:t>338</w:t>
            </w:r>
          </w:p>
        </w:tc>
        <w:tc>
          <w:tcPr>
            <w:tcW w:w="792" w:type="dxa"/>
            <w:shd w:val="clear" w:color="auto" w:fill="C6EFCE"/>
            <w:noWrap/>
          </w:tcPr>
          <w:p w14:paraId="09168E55" w14:textId="77777777" w:rsidR="00011DE9" w:rsidRDefault="00011DE9">
            <w:pPr>
              <w:pStyle w:val="P68B1DB1-Normal19"/>
              <w:spacing w:after="0" w:line="240" w:lineRule="auto"/>
              <w:jc w:val="center"/>
              <w:rPr>
                <w:noProof/>
              </w:rPr>
            </w:pPr>
            <w:r>
              <w:rPr>
                <w:noProof/>
              </w:rPr>
              <w:t>C23.R8</w:t>
            </w:r>
          </w:p>
        </w:tc>
        <w:tc>
          <w:tcPr>
            <w:tcW w:w="921" w:type="dxa"/>
            <w:shd w:val="clear" w:color="auto" w:fill="C6EFCE"/>
            <w:noWrap/>
          </w:tcPr>
          <w:p w14:paraId="415EF605" w14:textId="77777777" w:rsidR="00011DE9" w:rsidRDefault="00011DE9">
            <w:pPr>
              <w:pStyle w:val="P68B1DB1-Normal19"/>
              <w:spacing w:after="0" w:line="240" w:lineRule="auto"/>
              <w:jc w:val="center"/>
              <w:rPr>
                <w:noProof/>
              </w:rPr>
            </w:pPr>
            <w:r>
              <w:rPr>
                <w:noProof/>
              </w:rPr>
              <w:t>M</w:t>
            </w:r>
          </w:p>
        </w:tc>
        <w:tc>
          <w:tcPr>
            <w:tcW w:w="2025" w:type="dxa"/>
            <w:shd w:val="clear" w:color="auto" w:fill="C6EFCE"/>
            <w:noWrap/>
          </w:tcPr>
          <w:p w14:paraId="7310FEEC" w14:textId="77777777" w:rsidR="00011DE9" w:rsidRDefault="00011DE9">
            <w:pPr>
              <w:pStyle w:val="P68B1DB1-Normal19"/>
              <w:spacing w:after="0" w:line="240" w:lineRule="auto"/>
              <w:rPr>
                <w:noProof/>
              </w:rPr>
            </w:pPr>
            <w:r>
              <w:rPr>
                <w:noProof/>
              </w:rPr>
              <w:t xml:space="preserve">Modificarea statutului lucrătorilor pentru a îmbunătăți normele juridice care reglementează negocierile colective </w:t>
            </w:r>
          </w:p>
        </w:tc>
        <w:tc>
          <w:tcPr>
            <w:tcW w:w="1519" w:type="dxa"/>
            <w:shd w:val="clear" w:color="auto" w:fill="C6EFCE"/>
            <w:noWrap/>
          </w:tcPr>
          <w:p w14:paraId="6E108D28" w14:textId="77777777" w:rsidR="00011DE9" w:rsidRDefault="00011DE9">
            <w:pPr>
              <w:pStyle w:val="P68B1DB1-Normal19"/>
              <w:spacing w:after="0" w:line="240" w:lineRule="auto"/>
              <w:jc w:val="center"/>
              <w:rPr>
                <w:noProof/>
              </w:rPr>
            </w:pPr>
            <w:r>
              <w:rPr>
                <w:noProof/>
              </w:rPr>
              <w:t>Dispoziții ale modificării privind intrarea în vigoare</w:t>
            </w:r>
          </w:p>
        </w:tc>
        <w:tc>
          <w:tcPr>
            <w:tcW w:w="608" w:type="dxa"/>
            <w:shd w:val="clear" w:color="auto" w:fill="C6EFCE"/>
            <w:noWrap/>
          </w:tcPr>
          <w:p w14:paraId="0C042741" w14:textId="77777777" w:rsidR="00011DE9" w:rsidRDefault="00011DE9">
            <w:pPr>
              <w:pStyle w:val="P68B1DB1-Normal19"/>
              <w:spacing w:after="0" w:line="240" w:lineRule="auto"/>
              <w:jc w:val="center"/>
              <w:rPr>
                <w:noProof/>
              </w:rPr>
            </w:pPr>
            <w:r>
              <w:rPr>
                <w:noProof/>
              </w:rPr>
              <w:t xml:space="preserve"> </w:t>
            </w:r>
          </w:p>
        </w:tc>
        <w:tc>
          <w:tcPr>
            <w:tcW w:w="992" w:type="dxa"/>
            <w:shd w:val="clear" w:color="auto" w:fill="C6EFCE"/>
            <w:noWrap/>
          </w:tcPr>
          <w:p w14:paraId="16629580" w14:textId="0AC825DA" w:rsidR="00011DE9" w:rsidRDefault="00971820">
            <w:pPr>
              <w:pStyle w:val="P68B1DB1-Normal19"/>
              <w:spacing w:after="0" w:line="240" w:lineRule="auto"/>
              <w:jc w:val="right"/>
              <w:rPr>
                <w:noProof/>
              </w:rPr>
            </w:pPr>
            <w:r>
              <w:rPr>
                <w:noProof/>
              </w:rPr>
              <w:t xml:space="preserve"> </w:t>
            </w:r>
          </w:p>
        </w:tc>
        <w:tc>
          <w:tcPr>
            <w:tcW w:w="709" w:type="dxa"/>
            <w:shd w:val="clear" w:color="auto" w:fill="C6EFCE"/>
            <w:noWrap/>
          </w:tcPr>
          <w:p w14:paraId="5F0DFB68" w14:textId="77777777" w:rsidR="00011DE9" w:rsidRDefault="00011DE9">
            <w:pPr>
              <w:spacing w:after="0" w:line="240" w:lineRule="auto"/>
              <w:rPr>
                <w:rFonts w:ascii="Times New Roman" w:hAnsi="Times New Roman"/>
                <w:noProof/>
                <w:sz w:val="18"/>
              </w:rPr>
            </w:pPr>
          </w:p>
        </w:tc>
        <w:tc>
          <w:tcPr>
            <w:tcW w:w="486" w:type="dxa"/>
            <w:shd w:val="clear" w:color="auto" w:fill="C6EFCE"/>
            <w:noWrap/>
          </w:tcPr>
          <w:p w14:paraId="3672AF8E" w14:textId="7B25FFD7" w:rsidR="00011DE9" w:rsidRDefault="005701C9">
            <w:pPr>
              <w:pStyle w:val="P68B1DB1-Normal19"/>
              <w:spacing w:after="0" w:line="240" w:lineRule="auto"/>
              <w:jc w:val="center"/>
              <w:rPr>
                <w:noProof/>
              </w:rPr>
            </w:pPr>
            <w:r>
              <w:rPr>
                <w:noProof/>
              </w:rPr>
              <w:t>T4</w:t>
            </w:r>
          </w:p>
        </w:tc>
        <w:tc>
          <w:tcPr>
            <w:tcW w:w="528" w:type="dxa"/>
            <w:shd w:val="clear" w:color="auto" w:fill="C6EFCE"/>
            <w:noWrap/>
          </w:tcPr>
          <w:p w14:paraId="68C5AE34" w14:textId="77777777" w:rsidR="00011DE9" w:rsidRDefault="00011DE9">
            <w:pPr>
              <w:pStyle w:val="P68B1DB1-Normal20"/>
              <w:spacing w:after="0" w:line="240" w:lineRule="auto"/>
              <w:jc w:val="center"/>
              <w:rPr>
                <w:noProof/>
              </w:rPr>
            </w:pPr>
            <w:r>
              <w:rPr>
                <w:noProof/>
              </w:rPr>
              <w:t>2021</w:t>
            </w:r>
          </w:p>
        </w:tc>
        <w:tc>
          <w:tcPr>
            <w:tcW w:w="5506" w:type="dxa"/>
            <w:shd w:val="clear" w:color="auto" w:fill="C6EFCE"/>
            <w:noWrap/>
          </w:tcPr>
          <w:p w14:paraId="02B8F602" w14:textId="77777777" w:rsidR="00011DE9" w:rsidRDefault="00011DE9">
            <w:pPr>
              <w:pStyle w:val="P68B1DB1-Normal19"/>
              <w:spacing w:after="0" w:line="240" w:lineRule="auto"/>
              <w:rPr>
                <w:noProof/>
              </w:rPr>
            </w:pPr>
            <w:r>
              <w:rPr>
                <w:noProof/>
              </w:rPr>
              <w:t>Respectarea dialogului social și, ca parte a unei abordări cuprinzătoare care să echilibreze nevoia de flexibilitate și securitate pe piața forței de muncă, intrarea în vigoare a modificării anumitor dispoziții ale Decretului legislativ regal nr. 2/2015 din 23 octombrie de aprobare a textului reformat al Statutului lucrătorilor, pentru a îmbunătăți normele juridice care reglementează negocierile colective. Reforma se bazează pe o evaluare ex ante a deficiențelor din legislația actuală privind negocierile colective și pe o analiză a opțiunilor de soluționare a acestora.</w:t>
            </w:r>
          </w:p>
        </w:tc>
      </w:tr>
      <w:tr w:rsidR="00011DE9" w14:paraId="585A25D1" w14:textId="77777777" w:rsidTr="003010A3">
        <w:trPr>
          <w:trHeight w:val="309"/>
          <w:jc w:val="center"/>
        </w:trPr>
        <w:tc>
          <w:tcPr>
            <w:tcW w:w="793" w:type="dxa"/>
            <w:shd w:val="clear" w:color="auto" w:fill="C6EFCE"/>
            <w:noWrap/>
          </w:tcPr>
          <w:p w14:paraId="1717E8E8" w14:textId="77777777" w:rsidR="00011DE9" w:rsidRDefault="00011DE9">
            <w:pPr>
              <w:pStyle w:val="P68B1DB1-Normal19"/>
              <w:spacing w:after="0" w:line="240" w:lineRule="auto"/>
              <w:jc w:val="center"/>
              <w:rPr>
                <w:rFonts w:eastAsia="Times New Roman"/>
                <w:noProof/>
              </w:rPr>
            </w:pPr>
            <w:r>
              <w:rPr>
                <w:noProof/>
              </w:rPr>
              <w:t>339</w:t>
            </w:r>
          </w:p>
        </w:tc>
        <w:tc>
          <w:tcPr>
            <w:tcW w:w="792" w:type="dxa"/>
            <w:shd w:val="clear" w:color="auto" w:fill="C6EFCE"/>
            <w:noWrap/>
          </w:tcPr>
          <w:p w14:paraId="0B4EBA0E" w14:textId="77777777" w:rsidR="00011DE9" w:rsidRDefault="00011DE9">
            <w:pPr>
              <w:pStyle w:val="P68B1DB1-Normal19"/>
              <w:spacing w:after="0" w:line="240" w:lineRule="auto"/>
              <w:jc w:val="center"/>
              <w:rPr>
                <w:rFonts w:eastAsia="Times New Roman"/>
                <w:noProof/>
              </w:rPr>
            </w:pPr>
            <w:r>
              <w:rPr>
                <w:noProof/>
              </w:rPr>
              <w:t>C23.R9</w:t>
            </w:r>
          </w:p>
        </w:tc>
        <w:tc>
          <w:tcPr>
            <w:tcW w:w="921" w:type="dxa"/>
            <w:shd w:val="clear" w:color="auto" w:fill="C6EFCE"/>
            <w:noWrap/>
          </w:tcPr>
          <w:p w14:paraId="66447500" w14:textId="77777777" w:rsidR="00011DE9" w:rsidRDefault="00011DE9">
            <w:pPr>
              <w:pStyle w:val="P68B1DB1-Normal19"/>
              <w:spacing w:after="0" w:line="240" w:lineRule="auto"/>
              <w:jc w:val="center"/>
              <w:rPr>
                <w:rFonts w:eastAsia="Times New Roman"/>
                <w:noProof/>
              </w:rPr>
            </w:pPr>
            <w:r>
              <w:rPr>
                <w:noProof/>
              </w:rPr>
              <w:t>M</w:t>
            </w:r>
          </w:p>
        </w:tc>
        <w:tc>
          <w:tcPr>
            <w:tcW w:w="2025" w:type="dxa"/>
            <w:shd w:val="clear" w:color="auto" w:fill="C6EFCE"/>
            <w:noWrap/>
          </w:tcPr>
          <w:p w14:paraId="6B497540" w14:textId="77777777" w:rsidR="00011DE9" w:rsidRDefault="00011DE9">
            <w:pPr>
              <w:pStyle w:val="P68B1DB1-Normal19"/>
              <w:spacing w:after="0" w:line="240" w:lineRule="auto"/>
              <w:rPr>
                <w:rFonts w:eastAsia="Times New Roman"/>
                <w:noProof/>
              </w:rPr>
            </w:pPr>
            <w:r>
              <w:rPr>
                <w:noProof/>
              </w:rPr>
              <w:t>Modificarea statutului lucrătorilor pentru a îmbunătăți drepturile persoanelor care lucrează în întreprinderile subcontractate</w:t>
            </w:r>
          </w:p>
        </w:tc>
        <w:tc>
          <w:tcPr>
            <w:tcW w:w="1519" w:type="dxa"/>
            <w:shd w:val="clear" w:color="auto" w:fill="C6EFCE"/>
            <w:noWrap/>
          </w:tcPr>
          <w:p w14:paraId="7C23FE26" w14:textId="77777777" w:rsidR="00011DE9" w:rsidRDefault="00011DE9">
            <w:pPr>
              <w:pStyle w:val="P68B1DB1-Normal19"/>
              <w:spacing w:after="0" w:line="240" w:lineRule="auto"/>
              <w:jc w:val="center"/>
              <w:rPr>
                <w:rFonts w:eastAsia="Times New Roman"/>
                <w:noProof/>
              </w:rPr>
            </w:pPr>
            <w:r>
              <w:rPr>
                <w:noProof/>
              </w:rPr>
              <w:t>Dispoziții ale modificării privind intrarea în vigoare</w:t>
            </w:r>
          </w:p>
        </w:tc>
        <w:tc>
          <w:tcPr>
            <w:tcW w:w="608" w:type="dxa"/>
            <w:shd w:val="clear" w:color="auto" w:fill="C6EFCE"/>
            <w:noWrap/>
          </w:tcPr>
          <w:p w14:paraId="0BD9F936"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shd w:val="clear" w:color="auto" w:fill="C6EFCE"/>
            <w:noWrap/>
          </w:tcPr>
          <w:p w14:paraId="443A3467"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07F93E92" w14:textId="77777777" w:rsidR="00011DE9" w:rsidRDefault="00011DE9">
            <w:pPr>
              <w:pStyle w:val="P68B1DB1-Normal19"/>
              <w:spacing w:after="0" w:line="240" w:lineRule="auto"/>
              <w:rPr>
                <w:rFonts w:eastAsia="Times New Roman"/>
                <w:noProof/>
              </w:rPr>
            </w:pPr>
            <w:r>
              <w:rPr>
                <w:noProof/>
              </w:rPr>
              <w:t xml:space="preserve"> </w:t>
            </w:r>
          </w:p>
        </w:tc>
        <w:tc>
          <w:tcPr>
            <w:tcW w:w="486" w:type="dxa"/>
            <w:shd w:val="clear" w:color="auto" w:fill="C6EFCE"/>
            <w:noWrap/>
          </w:tcPr>
          <w:p w14:paraId="7FE210C5" w14:textId="30E56C53" w:rsidR="00011DE9" w:rsidRDefault="005701C9">
            <w:pPr>
              <w:pStyle w:val="P68B1DB1-Normal19"/>
              <w:spacing w:after="0" w:line="240" w:lineRule="auto"/>
              <w:jc w:val="center"/>
              <w:rPr>
                <w:rFonts w:eastAsia="Times New Roman"/>
                <w:noProof/>
              </w:rPr>
            </w:pPr>
            <w:r>
              <w:rPr>
                <w:noProof/>
              </w:rPr>
              <w:t>T4</w:t>
            </w:r>
          </w:p>
        </w:tc>
        <w:tc>
          <w:tcPr>
            <w:tcW w:w="528" w:type="dxa"/>
            <w:shd w:val="clear" w:color="auto" w:fill="C6EFCE"/>
            <w:noWrap/>
          </w:tcPr>
          <w:p w14:paraId="1EAA5C71" w14:textId="77777777" w:rsidR="00011DE9" w:rsidRDefault="00011DE9">
            <w:pPr>
              <w:pStyle w:val="P68B1DB1-Normal19"/>
              <w:spacing w:after="0" w:line="240" w:lineRule="auto"/>
              <w:jc w:val="center"/>
              <w:rPr>
                <w:rFonts w:eastAsia="Times New Roman"/>
                <w:noProof/>
              </w:rPr>
            </w:pPr>
            <w:r>
              <w:rPr>
                <w:noProof/>
              </w:rPr>
              <w:t>2021</w:t>
            </w:r>
          </w:p>
        </w:tc>
        <w:tc>
          <w:tcPr>
            <w:tcW w:w="5506" w:type="dxa"/>
            <w:shd w:val="clear" w:color="auto" w:fill="C6EFCE"/>
            <w:noWrap/>
          </w:tcPr>
          <w:p w14:paraId="08A90CBB" w14:textId="77777777" w:rsidR="00011DE9" w:rsidRDefault="00011DE9">
            <w:pPr>
              <w:pStyle w:val="P68B1DB1-Normal19"/>
              <w:spacing w:after="0" w:line="240" w:lineRule="auto"/>
              <w:rPr>
                <w:rFonts w:eastAsia="Times New Roman"/>
                <w:noProof/>
              </w:rPr>
            </w:pPr>
            <w:r>
              <w:rPr>
                <w:noProof/>
              </w:rPr>
              <w:t>Respectând dialogul social și ca parte a unei abordări cuprinzătoare care să echilibreze nevoia de flexibilitate și securitate pe piața forței de muncă, intrarea în vigoare a modificării dispozițiilor Decretului legislativ nr. 2/2015 din 23 octombrie de aprobare a textului reformat al Statutului lucrătorilor pentru a îmbunătăți drepturile persoanelor care lucrează în întreprinderile subcontractate.</w:t>
            </w:r>
          </w:p>
        </w:tc>
      </w:tr>
      <w:tr w:rsidR="00011DE9" w14:paraId="219331E7" w14:textId="77777777" w:rsidTr="003010A3">
        <w:trPr>
          <w:trHeight w:val="309"/>
          <w:jc w:val="center"/>
        </w:trPr>
        <w:tc>
          <w:tcPr>
            <w:tcW w:w="793" w:type="dxa"/>
            <w:shd w:val="clear" w:color="auto" w:fill="C6EFCE"/>
            <w:noWrap/>
          </w:tcPr>
          <w:p w14:paraId="1569B27F" w14:textId="77777777" w:rsidR="00011DE9" w:rsidRDefault="00011DE9">
            <w:pPr>
              <w:pStyle w:val="P68B1DB1-Normal19"/>
              <w:spacing w:after="0" w:line="240" w:lineRule="auto"/>
              <w:jc w:val="center"/>
              <w:rPr>
                <w:rFonts w:eastAsia="Times New Roman"/>
                <w:noProof/>
              </w:rPr>
            </w:pPr>
            <w:r>
              <w:rPr>
                <w:noProof/>
              </w:rPr>
              <w:t>340</w:t>
            </w:r>
          </w:p>
        </w:tc>
        <w:tc>
          <w:tcPr>
            <w:tcW w:w="792" w:type="dxa"/>
            <w:shd w:val="clear" w:color="auto" w:fill="C6EFCE"/>
            <w:noWrap/>
          </w:tcPr>
          <w:p w14:paraId="12F17760" w14:textId="77777777" w:rsidR="00011DE9" w:rsidRDefault="00011DE9">
            <w:pPr>
              <w:pStyle w:val="P68B1DB1-Normal19"/>
              <w:spacing w:after="0" w:line="240" w:lineRule="auto"/>
              <w:jc w:val="center"/>
              <w:rPr>
                <w:rFonts w:eastAsia="Times New Roman"/>
                <w:noProof/>
              </w:rPr>
            </w:pPr>
            <w:r>
              <w:rPr>
                <w:noProof/>
              </w:rPr>
              <w:t>C23.R10</w:t>
            </w:r>
          </w:p>
        </w:tc>
        <w:tc>
          <w:tcPr>
            <w:tcW w:w="921" w:type="dxa"/>
            <w:shd w:val="clear" w:color="auto" w:fill="C6EFCE"/>
            <w:noWrap/>
          </w:tcPr>
          <w:p w14:paraId="547D4B0E" w14:textId="77777777" w:rsidR="00011DE9" w:rsidRDefault="00011DE9">
            <w:pPr>
              <w:pStyle w:val="P68B1DB1-Normal19"/>
              <w:spacing w:after="0" w:line="240" w:lineRule="auto"/>
              <w:jc w:val="center"/>
              <w:rPr>
                <w:rFonts w:eastAsia="Times New Roman"/>
                <w:noProof/>
              </w:rPr>
            </w:pPr>
            <w:r>
              <w:rPr>
                <w:noProof/>
              </w:rPr>
              <w:t>M</w:t>
            </w:r>
          </w:p>
        </w:tc>
        <w:tc>
          <w:tcPr>
            <w:tcW w:w="2025" w:type="dxa"/>
            <w:shd w:val="clear" w:color="auto" w:fill="C6EFCE"/>
            <w:noWrap/>
          </w:tcPr>
          <w:p w14:paraId="65B5463B" w14:textId="77777777" w:rsidR="00011DE9" w:rsidRDefault="00011DE9">
            <w:pPr>
              <w:pStyle w:val="P68B1DB1-Normal19"/>
              <w:spacing w:after="0" w:line="240" w:lineRule="auto"/>
              <w:rPr>
                <w:rFonts w:eastAsia="Times New Roman"/>
                <w:noProof/>
              </w:rPr>
            </w:pPr>
            <w:r>
              <w:rPr>
                <w:noProof/>
              </w:rPr>
              <w:t>Intrarea în vigoare a modificării Decretului regal legislativ nr. 8/2015 de reformare a reglementării ajutorului de șomaj de tip necontributiv</w:t>
            </w:r>
          </w:p>
        </w:tc>
        <w:tc>
          <w:tcPr>
            <w:tcW w:w="1519" w:type="dxa"/>
            <w:shd w:val="clear" w:color="auto" w:fill="C6EFCE"/>
            <w:noWrap/>
          </w:tcPr>
          <w:p w14:paraId="76541FB8" w14:textId="77777777" w:rsidR="00011DE9" w:rsidRDefault="00011DE9">
            <w:pPr>
              <w:pStyle w:val="P68B1DB1-Normal19"/>
              <w:spacing w:after="0" w:line="240" w:lineRule="auto"/>
              <w:jc w:val="center"/>
              <w:rPr>
                <w:rFonts w:eastAsia="Times New Roman"/>
                <w:noProof/>
              </w:rPr>
            </w:pPr>
            <w:r>
              <w:rPr>
                <w:noProof/>
              </w:rPr>
              <w:t>Dispoziție din amendamentul privind intrarea în vigoare</w:t>
            </w:r>
          </w:p>
        </w:tc>
        <w:tc>
          <w:tcPr>
            <w:tcW w:w="608" w:type="dxa"/>
            <w:shd w:val="clear" w:color="auto" w:fill="C6EFCE"/>
            <w:noWrap/>
          </w:tcPr>
          <w:p w14:paraId="1451D154"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shd w:val="clear" w:color="auto" w:fill="C6EFCE"/>
            <w:noWrap/>
          </w:tcPr>
          <w:p w14:paraId="21D8442E"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00BC6930" w14:textId="77777777" w:rsidR="00011DE9" w:rsidRDefault="00011DE9">
            <w:pPr>
              <w:pStyle w:val="P68B1DB1-Normal19"/>
              <w:spacing w:after="0" w:line="240" w:lineRule="auto"/>
              <w:rPr>
                <w:rFonts w:eastAsia="Times New Roman"/>
                <w:noProof/>
              </w:rPr>
            </w:pPr>
            <w:r>
              <w:rPr>
                <w:noProof/>
              </w:rPr>
              <w:t xml:space="preserve"> </w:t>
            </w:r>
          </w:p>
        </w:tc>
        <w:tc>
          <w:tcPr>
            <w:tcW w:w="486" w:type="dxa"/>
            <w:shd w:val="clear" w:color="auto" w:fill="C6EFCE"/>
            <w:noWrap/>
          </w:tcPr>
          <w:p w14:paraId="571C0D0F" w14:textId="0CB47759" w:rsidR="00011DE9" w:rsidRDefault="005701C9">
            <w:pPr>
              <w:pStyle w:val="P68B1DB1-Normal19"/>
              <w:spacing w:after="0" w:line="240" w:lineRule="auto"/>
              <w:jc w:val="center"/>
              <w:rPr>
                <w:rFonts w:eastAsia="Times New Roman"/>
                <w:noProof/>
              </w:rPr>
            </w:pPr>
            <w:r>
              <w:rPr>
                <w:noProof/>
              </w:rPr>
              <w:t>T4</w:t>
            </w:r>
          </w:p>
        </w:tc>
        <w:tc>
          <w:tcPr>
            <w:tcW w:w="528" w:type="dxa"/>
            <w:shd w:val="clear" w:color="auto" w:fill="C6EFCE"/>
            <w:noWrap/>
          </w:tcPr>
          <w:p w14:paraId="6A2DE23F" w14:textId="77777777" w:rsidR="00011DE9" w:rsidRDefault="00011DE9">
            <w:pPr>
              <w:pStyle w:val="P68B1DB1-Normal19"/>
              <w:spacing w:after="0" w:line="240" w:lineRule="auto"/>
              <w:jc w:val="center"/>
              <w:rPr>
                <w:rFonts w:eastAsia="Times New Roman"/>
                <w:noProof/>
              </w:rPr>
            </w:pPr>
            <w:r>
              <w:rPr>
                <w:noProof/>
              </w:rPr>
              <w:t>2022</w:t>
            </w:r>
          </w:p>
        </w:tc>
        <w:tc>
          <w:tcPr>
            <w:tcW w:w="5506" w:type="dxa"/>
            <w:shd w:val="clear" w:color="auto" w:fill="C6EFCE"/>
            <w:noWrap/>
          </w:tcPr>
          <w:p w14:paraId="7D4D8278" w14:textId="77777777" w:rsidR="00011DE9" w:rsidRDefault="00011DE9">
            <w:pPr>
              <w:pStyle w:val="P68B1DB1-Normal19"/>
              <w:spacing w:after="0" w:line="240" w:lineRule="auto"/>
              <w:rPr>
                <w:rFonts w:eastAsia="Times New Roman"/>
                <w:noProof/>
              </w:rPr>
            </w:pPr>
            <w:r>
              <w:rPr>
                <w:noProof/>
              </w:rPr>
              <w:t>Reforma Decretului regal legislativ nr. 8/2015 vizează reglementarea ajutorului de șomaj de tip necontributiv, inclusiv următoarele obiective: (I) extinderea protecției împotriva șomajului; (II) simplificarea sistemului; (III) să coreleze prestația cu un itinerar de activare personalizat; (IV) facilitarea tranziției către protecția socială atunci când beneficiarul nu se întoarce la locul de muncă și se află într-o situație vulnerabilă.</w:t>
            </w:r>
          </w:p>
        </w:tc>
      </w:tr>
      <w:tr w:rsidR="00011DE9" w14:paraId="47C6AFCF" w14:textId="77777777" w:rsidTr="003010A3">
        <w:trPr>
          <w:trHeight w:val="309"/>
          <w:jc w:val="center"/>
        </w:trPr>
        <w:tc>
          <w:tcPr>
            <w:tcW w:w="793" w:type="dxa"/>
            <w:shd w:val="clear" w:color="auto" w:fill="C6EFCE"/>
            <w:noWrap/>
          </w:tcPr>
          <w:p w14:paraId="26EE2B95" w14:textId="77777777" w:rsidR="00011DE9" w:rsidRDefault="00011DE9">
            <w:pPr>
              <w:pStyle w:val="P68B1DB1-Normal19"/>
              <w:spacing w:after="0" w:line="240" w:lineRule="auto"/>
              <w:jc w:val="center"/>
              <w:rPr>
                <w:rFonts w:eastAsia="Times New Roman"/>
                <w:noProof/>
              </w:rPr>
            </w:pPr>
            <w:r>
              <w:rPr>
                <w:noProof/>
              </w:rPr>
              <w:t>342</w:t>
            </w:r>
          </w:p>
        </w:tc>
        <w:tc>
          <w:tcPr>
            <w:tcW w:w="792" w:type="dxa"/>
            <w:shd w:val="clear" w:color="auto" w:fill="C6EFCE"/>
            <w:noWrap/>
          </w:tcPr>
          <w:p w14:paraId="1A0AC39B" w14:textId="77777777" w:rsidR="00011DE9" w:rsidRDefault="00011DE9">
            <w:pPr>
              <w:pStyle w:val="P68B1DB1-Normal19"/>
              <w:spacing w:after="0" w:line="240" w:lineRule="auto"/>
              <w:jc w:val="center"/>
              <w:rPr>
                <w:rFonts w:eastAsia="Times New Roman"/>
                <w:noProof/>
              </w:rPr>
            </w:pPr>
            <w:r>
              <w:rPr>
                <w:noProof/>
              </w:rPr>
              <w:t>C23.I1</w:t>
            </w:r>
          </w:p>
        </w:tc>
        <w:tc>
          <w:tcPr>
            <w:tcW w:w="921" w:type="dxa"/>
            <w:shd w:val="clear" w:color="auto" w:fill="C6EFCE"/>
            <w:noWrap/>
          </w:tcPr>
          <w:p w14:paraId="29FEC7EF" w14:textId="77777777" w:rsidR="00011DE9" w:rsidRDefault="00011DE9">
            <w:pPr>
              <w:pStyle w:val="P68B1DB1-Normal19"/>
              <w:spacing w:after="0" w:line="240" w:lineRule="auto"/>
              <w:jc w:val="center"/>
              <w:rPr>
                <w:rFonts w:eastAsia="Times New Roman"/>
                <w:noProof/>
              </w:rPr>
            </w:pPr>
            <w:r>
              <w:rPr>
                <w:noProof/>
              </w:rPr>
              <w:t>T</w:t>
            </w:r>
          </w:p>
        </w:tc>
        <w:tc>
          <w:tcPr>
            <w:tcW w:w="2025" w:type="dxa"/>
            <w:shd w:val="clear" w:color="auto" w:fill="C6EFCE"/>
            <w:noWrap/>
          </w:tcPr>
          <w:p w14:paraId="2E48DF43" w14:textId="77777777" w:rsidR="00011DE9" w:rsidRDefault="00011DE9">
            <w:pPr>
              <w:pStyle w:val="P68B1DB1-Normal20"/>
              <w:spacing w:after="0" w:line="240" w:lineRule="auto"/>
              <w:rPr>
                <w:rFonts w:eastAsia="Times New Roman" w:cs="Times New Roman"/>
                <w:noProof/>
              </w:rPr>
            </w:pPr>
            <w:r>
              <w:rPr>
                <w:noProof/>
              </w:rPr>
              <w:t>Granturi pentru participarea persoanelor aflate în căutarea unui loc de muncă la programele</w:t>
            </w:r>
            <w:r>
              <w:rPr>
                <w:i/>
                <w:noProof/>
              </w:rPr>
              <w:t xml:space="preserve"> „Tandem”, „First Experience” sau</w:t>
            </w:r>
            <w:r>
              <w:rPr>
                <w:noProof/>
              </w:rPr>
              <w:t xml:space="preserve"> </w:t>
            </w:r>
            <w:r>
              <w:rPr>
                <w:i/>
                <w:noProof/>
              </w:rPr>
              <w:t xml:space="preserve">„Investigo” </w:t>
            </w:r>
          </w:p>
        </w:tc>
        <w:tc>
          <w:tcPr>
            <w:tcW w:w="1519" w:type="dxa"/>
            <w:shd w:val="clear" w:color="auto" w:fill="C6EFCE"/>
            <w:noWrap/>
          </w:tcPr>
          <w:p w14:paraId="3CA9D319" w14:textId="77777777" w:rsidR="00011DE9" w:rsidRDefault="00011DE9">
            <w:pPr>
              <w:pStyle w:val="P68B1DB1-Normal19"/>
              <w:spacing w:after="0" w:line="240" w:lineRule="auto"/>
              <w:jc w:val="center"/>
              <w:rPr>
                <w:rFonts w:eastAsia="Times New Roman"/>
                <w:noProof/>
              </w:rPr>
            </w:pPr>
            <w:r>
              <w:rPr>
                <w:noProof/>
              </w:rPr>
              <w:t>—</w:t>
            </w:r>
          </w:p>
        </w:tc>
        <w:tc>
          <w:tcPr>
            <w:tcW w:w="608" w:type="dxa"/>
            <w:shd w:val="clear" w:color="auto" w:fill="C6EFCE"/>
            <w:noWrap/>
          </w:tcPr>
          <w:p w14:paraId="5A14440A" w14:textId="77777777" w:rsidR="00011DE9" w:rsidRDefault="00011DE9">
            <w:pPr>
              <w:pStyle w:val="P68B1DB1-Normal19"/>
              <w:spacing w:after="0" w:line="240" w:lineRule="auto"/>
              <w:jc w:val="center"/>
              <w:rPr>
                <w:rFonts w:eastAsia="Times New Roman"/>
                <w:noProof/>
              </w:rPr>
            </w:pPr>
            <w:r>
              <w:rPr>
                <w:noProof/>
              </w:rPr>
              <w:t>Număr</w:t>
            </w:r>
          </w:p>
        </w:tc>
        <w:tc>
          <w:tcPr>
            <w:tcW w:w="992" w:type="dxa"/>
            <w:shd w:val="clear" w:color="auto" w:fill="C6EFCE"/>
            <w:noWrap/>
          </w:tcPr>
          <w:p w14:paraId="56832B4B" w14:textId="77777777" w:rsidR="00011DE9" w:rsidRDefault="00011DE9">
            <w:pPr>
              <w:pStyle w:val="P68B1DB1-Normal19"/>
              <w:spacing w:after="0" w:line="240" w:lineRule="auto"/>
              <w:jc w:val="right"/>
              <w:rPr>
                <w:rFonts w:eastAsia="Times New Roman"/>
                <w:noProof/>
              </w:rPr>
            </w:pPr>
            <w:r>
              <w:rPr>
                <w:noProof/>
              </w:rPr>
              <w:t>0</w:t>
            </w:r>
          </w:p>
        </w:tc>
        <w:tc>
          <w:tcPr>
            <w:tcW w:w="709" w:type="dxa"/>
            <w:shd w:val="clear" w:color="auto" w:fill="C6EFCE"/>
            <w:noWrap/>
          </w:tcPr>
          <w:p w14:paraId="0120B929" w14:textId="77777777" w:rsidR="00011DE9" w:rsidRDefault="00011DE9">
            <w:pPr>
              <w:pStyle w:val="P68B1DB1-Normal19"/>
              <w:spacing w:after="0" w:line="240" w:lineRule="auto"/>
              <w:rPr>
                <w:rFonts w:eastAsia="Times New Roman"/>
                <w:noProof/>
              </w:rPr>
            </w:pPr>
            <w:r>
              <w:rPr>
                <w:noProof/>
              </w:rPr>
              <w:t>18 300</w:t>
            </w:r>
          </w:p>
        </w:tc>
        <w:tc>
          <w:tcPr>
            <w:tcW w:w="486" w:type="dxa"/>
            <w:shd w:val="clear" w:color="auto" w:fill="C6EFCE"/>
            <w:noWrap/>
          </w:tcPr>
          <w:p w14:paraId="5F6C165C" w14:textId="78FAD513" w:rsidR="00011DE9" w:rsidRDefault="005701C9">
            <w:pPr>
              <w:pStyle w:val="P68B1DB1-Normal20"/>
              <w:spacing w:after="0" w:line="240" w:lineRule="auto"/>
              <w:jc w:val="center"/>
              <w:rPr>
                <w:rFonts w:eastAsia="Times New Roman" w:cs="Times New Roman"/>
                <w:noProof/>
              </w:rPr>
            </w:pPr>
            <w:r>
              <w:rPr>
                <w:noProof/>
              </w:rPr>
              <w:t>T2</w:t>
            </w:r>
          </w:p>
        </w:tc>
        <w:tc>
          <w:tcPr>
            <w:tcW w:w="528" w:type="dxa"/>
            <w:shd w:val="clear" w:color="auto" w:fill="C6EFCE"/>
            <w:noWrap/>
          </w:tcPr>
          <w:p w14:paraId="50A2B7AA" w14:textId="77777777" w:rsidR="00011DE9" w:rsidRDefault="00011DE9">
            <w:pPr>
              <w:pStyle w:val="P68B1DB1-Normal20"/>
              <w:spacing w:after="0" w:line="240" w:lineRule="auto"/>
              <w:jc w:val="center"/>
              <w:rPr>
                <w:rFonts w:eastAsia="Times New Roman" w:cs="Times New Roman"/>
                <w:noProof/>
              </w:rPr>
            </w:pPr>
            <w:r>
              <w:rPr>
                <w:noProof/>
              </w:rPr>
              <w:t>2026</w:t>
            </w:r>
          </w:p>
        </w:tc>
        <w:tc>
          <w:tcPr>
            <w:tcW w:w="5506" w:type="dxa"/>
            <w:shd w:val="clear" w:color="auto" w:fill="C6EFCE"/>
            <w:noWrap/>
          </w:tcPr>
          <w:p w14:paraId="0D6CDDD0" w14:textId="77777777" w:rsidR="00011DE9" w:rsidRDefault="00011DE9">
            <w:pPr>
              <w:pStyle w:val="P68B1DB1-Normal20"/>
              <w:spacing w:after="0" w:line="240" w:lineRule="auto"/>
              <w:rPr>
                <w:noProof/>
              </w:rPr>
            </w:pPr>
            <w:r>
              <w:rPr>
                <w:noProof/>
              </w:rPr>
              <w:t xml:space="preserve">Verificarea de către administrație a justificării documentare a plăților de granturi pentru un total de 18 300 de persoane care au participat la programele Tandem, First Experience sau Investigo. </w:t>
            </w:r>
          </w:p>
          <w:p w14:paraId="24861B01" w14:textId="77777777" w:rsidR="00011DE9" w:rsidRDefault="00011DE9">
            <w:pPr>
              <w:spacing w:after="0" w:line="240" w:lineRule="auto"/>
              <w:rPr>
                <w:rFonts w:ascii="Times New Roman" w:eastAsia="Times New Roman" w:hAnsi="Times New Roman" w:cs="Times New Roman"/>
                <w:noProof/>
                <w:sz w:val="18"/>
                <w:szCs w:val="18"/>
              </w:rPr>
            </w:pPr>
          </w:p>
        </w:tc>
      </w:tr>
      <w:tr w:rsidR="00011DE9" w14:paraId="4AC480CA" w14:textId="77777777" w:rsidTr="003010A3">
        <w:trPr>
          <w:trHeight w:val="309"/>
          <w:jc w:val="center"/>
        </w:trPr>
        <w:tc>
          <w:tcPr>
            <w:tcW w:w="793" w:type="dxa"/>
            <w:shd w:val="clear" w:color="auto" w:fill="C6EFCE"/>
            <w:noWrap/>
          </w:tcPr>
          <w:p w14:paraId="2C5365C0" w14:textId="77777777" w:rsidR="00011DE9" w:rsidRDefault="00011DE9">
            <w:pPr>
              <w:pStyle w:val="P68B1DB1-Normal19"/>
              <w:spacing w:after="0" w:line="240" w:lineRule="auto"/>
              <w:jc w:val="center"/>
              <w:rPr>
                <w:rFonts w:eastAsia="Times New Roman"/>
                <w:noProof/>
              </w:rPr>
            </w:pPr>
            <w:r>
              <w:rPr>
                <w:noProof/>
              </w:rPr>
              <w:t>343</w:t>
            </w:r>
          </w:p>
        </w:tc>
        <w:tc>
          <w:tcPr>
            <w:tcW w:w="792" w:type="dxa"/>
            <w:shd w:val="clear" w:color="auto" w:fill="C6EFCE"/>
            <w:noWrap/>
          </w:tcPr>
          <w:p w14:paraId="16735084" w14:textId="77777777" w:rsidR="00011DE9" w:rsidRDefault="00011DE9">
            <w:pPr>
              <w:pStyle w:val="P68B1DB1-Normal19"/>
              <w:spacing w:after="0" w:line="240" w:lineRule="auto"/>
              <w:jc w:val="center"/>
              <w:rPr>
                <w:rFonts w:eastAsia="Times New Roman"/>
                <w:noProof/>
              </w:rPr>
            </w:pPr>
            <w:r>
              <w:rPr>
                <w:noProof/>
              </w:rPr>
              <w:t>C23.I2</w:t>
            </w:r>
          </w:p>
        </w:tc>
        <w:tc>
          <w:tcPr>
            <w:tcW w:w="921" w:type="dxa"/>
            <w:shd w:val="clear" w:color="auto" w:fill="C6EFCE"/>
            <w:noWrap/>
          </w:tcPr>
          <w:p w14:paraId="60E4A2A8" w14:textId="77777777" w:rsidR="00011DE9" w:rsidRDefault="00011DE9">
            <w:pPr>
              <w:pStyle w:val="P68B1DB1-Normal19"/>
              <w:spacing w:after="0" w:line="240" w:lineRule="auto"/>
              <w:jc w:val="center"/>
              <w:rPr>
                <w:rFonts w:eastAsia="Times New Roman"/>
                <w:noProof/>
              </w:rPr>
            </w:pPr>
            <w:r>
              <w:rPr>
                <w:noProof/>
              </w:rPr>
              <w:t>T</w:t>
            </w:r>
          </w:p>
        </w:tc>
        <w:tc>
          <w:tcPr>
            <w:tcW w:w="2025" w:type="dxa"/>
            <w:shd w:val="clear" w:color="auto" w:fill="C6EFCE"/>
            <w:noWrap/>
          </w:tcPr>
          <w:p w14:paraId="3E40E48B" w14:textId="77777777" w:rsidR="00011DE9" w:rsidRDefault="00011DE9">
            <w:pPr>
              <w:pStyle w:val="P68B1DB1-Normal20"/>
              <w:spacing w:after="0" w:line="240" w:lineRule="auto"/>
              <w:rPr>
                <w:rFonts w:eastAsia="Times New Roman" w:cs="Times New Roman"/>
                <w:noProof/>
              </w:rPr>
            </w:pPr>
            <w:r>
              <w:rPr>
                <w:noProof/>
              </w:rPr>
              <w:t>Granturi pentru participarea persoanelor la programele „</w:t>
            </w:r>
            <w:r>
              <w:rPr>
                <w:i/>
                <w:noProof/>
              </w:rPr>
              <w:t>Plan Empleo Mujer, zone rurale și urbane”</w:t>
            </w:r>
            <w:r>
              <w:rPr>
                <w:noProof/>
              </w:rPr>
              <w:t xml:space="preserve"> sau „</w:t>
            </w:r>
            <w:r>
              <w:rPr>
                <w:i/>
                <w:noProof/>
              </w:rPr>
              <w:t>Victimele violenței de gen și ale traficului</w:t>
            </w:r>
            <w:r>
              <w:rPr>
                <w:noProof/>
              </w:rPr>
              <w:t xml:space="preserve"> uman”</w:t>
            </w:r>
          </w:p>
        </w:tc>
        <w:tc>
          <w:tcPr>
            <w:tcW w:w="1519" w:type="dxa"/>
            <w:shd w:val="clear" w:color="auto" w:fill="C6EFCE"/>
            <w:noWrap/>
          </w:tcPr>
          <w:p w14:paraId="5A8C7658" w14:textId="77777777" w:rsidR="00011DE9" w:rsidRDefault="00011DE9">
            <w:pPr>
              <w:pStyle w:val="P68B1DB1-Normal19"/>
              <w:spacing w:after="0" w:line="240" w:lineRule="auto"/>
              <w:jc w:val="center"/>
              <w:rPr>
                <w:rFonts w:eastAsia="Times New Roman"/>
                <w:noProof/>
              </w:rPr>
            </w:pPr>
            <w:r>
              <w:rPr>
                <w:noProof/>
              </w:rPr>
              <w:t>—</w:t>
            </w:r>
          </w:p>
        </w:tc>
        <w:tc>
          <w:tcPr>
            <w:tcW w:w="608" w:type="dxa"/>
            <w:shd w:val="clear" w:color="auto" w:fill="C6EFCE"/>
            <w:noWrap/>
          </w:tcPr>
          <w:p w14:paraId="59A5039B" w14:textId="77777777" w:rsidR="00011DE9" w:rsidRDefault="00011DE9">
            <w:pPr>
              <w:pStyle w:val="P68B1DB1-Normal19"/>
              <w:spacing w:after="0" w:line="240" w:lineRule="auto"/>
              <w:jc w:val="center"/>
              <w:rPr>
                <w:rFonts w:eastAsia="Times New Roman"/>
                <w:noProof/>
              </w:rPr>
            </w:pPr>
            <w:r>
              <w:rPr>
                <w:noProof/>
              </w:rPr>
              <w:t>Număr</w:t>
            </w:r>
          </w:p>
        </w:tc>
        <w:tc>
          <w:tcPr>
            <w:tcW w:w="992" w:type="dxa"/>
            <w:shd w:val="clear" w:color="auto" w:fill="C6EFCE"/>
            <w:noWrap/>
          </w:tcPr>
          <w:p w14:paraId="2A8831E5" w14:textId="77777777" w:rsidR="00011DE9" w:rsidRDefault="00011DE9">
            <w:pPr>
              <w:pStyle w:val="P68B1DB1-Normal19"/>
              <w:spacing w:after="0" w:line="240" w:lineRule="auto"/>
              <w:jc w:val="right"/>
              <w:rPr>
                <w:rFonts w:eastAsia="Times New Roman"/>
                <w:noProof/>
              </w:rPr>
            </w:pPr>
            <w:r>
              <w:rPr>
                <w:noProof/>
              </w:rPr>
              <w:t>0</w:t>
            </w:r>
          </w:p>
        </w:tc>
        <w:tc>
          <w:tcPr>
            <w:tcW w:w="709" w:type="dxa"/>
            <w:shd w:val="clear" w:color="auto" w:fill="C6EFCE"/>
            <w:noWrap/>
          </w:tcPr>
          <w:p w14:paraId="45EED6D6" w14:textId="77777777" w:rsidR="00011DE9" w:rsidRDefault="00011DE9">
            <w:pPr>
              <w:pStyle w:val="P68B1DB1-Normal19"/>
              <w:spacing w:after="0" w:line="240" w:lineRule="auto"/>
              <w:jc w:val="right"/>
              <w:rPr>
                <w:rFonts w:eastAsia="Times New Roman"/>
                <w:noProof/>
              </w:rPr>
            </w:pPr>
            <w:r>
              <w:rPr>
                <w:noProof/>
              </w:rPr>
              <w:t>23 200</w:t>
            </w:r>
          </w:p>
        </w:tc>
        <w:tc>
          <w:tcPr>
            <w:tcW w:w="486" w:type="dxa"/>
            <w:shd w:val="clear" w:color="auto" w:fill="C6EFCE"/>
            <w:noWrap/>
          </w:tcPr>
          <w:p w14:paraId="76B4B5DE" w14:textId="5D809A7D" w:rsidR="00011DE9" w:rsidRDefault="005701C9">
            <w:pPr>
              <w:pStyle w:val="P68B1DB1-Normal20"/>
              <w:spacing w:after="0" w:line="240" w:lineRule="auto"/>
              <w:jc w:val="right"/>
              <w:rPr>
                <w:rFonts w:eastAsia="Times New Roman" w:cs="Times New Roman"/>
                <w:noProof/>
              </w:rPr>
            </w:pPr>
            <w:r>
              <w:rPr>
                <w:noProof/>
              </w:rPr>
              <w:t>T2</w:t>
            </w:r>
          </w:p>
        </w:tc>
        <w:tc>
          <w:tcPr>
            <w:tcW w:w="528" w:type="dxa"/>
            <w:shd w:val="clear" w:color="auto" w:fill="C6EFCE"/>
            <w:noWrap/>
          </w:tcPr>
          <w:p w14:paraId="0DB1F598" w14:textId="77777777" w:rsidR="00011DE9" w:rsidRDefault="00011DE9">
            <w:pPr>
              <w:pStyle w:val="P68B1DB1-Normal20"/>
              <w:spacing w:after="0" w:line="240" w:lineRule="auto"/>
              <w:jc w:val="right"/>
              <w:rPr>
                <w:rFonts w:eastAsia="Times New Roman" w:cs="Times New Roman"/>
                <w:noProof/>
              </w:rPr>
            </w:pPr>
            <w:r>
              <w:rPr>
                <w:noProof/>
              </w:rPr>
              <w:t>2026</w:t>
            </w:r>
          </w:p>
        </w:tc>
        <w:tc>
          <w:tcPr>
            <w:tcW w:w="5506" w:type="dxa"/>
            <w:shd w:val="clear" w:color="auto" w:fill="C6EFCE"/>
            <w:noWrap/>
          </w:tcPr>
          <w:p w14:paraId="7F278A14" w14:textId="77777777" w:rsidR="00011DE9" w:rsidRDefault="00011DE9">
            <w:pPr>
              <w:pStyle w:val="P68B1DB1-Normal20"/>
              <w:spacing w:after="0" w:line="240" w:lineRule="auto"/>
              <w:rPr>
                <w:noProof/>
              </w:rPr>
            </w:pPr>
            <w:r>
              <w:rPr>
                <w:noProof/>
              </w:rPr>
              <w:t>Verificarea de către administrație a justificării documentare pentru plata granturilor și confirmarea de către administrație a executării contractelor, referitoare la un total cumulat de 23 200 de persoane care au participat la programele „</w:t>
            </w:r>
            <w:r>
              <w:rPr>
                <w:i/>
                <w:noProof/>
              </w:rPr>
              <w:t>Plan Empleo Mujer, zone rurale și urbane”</w:t>
            </w:r>
            <w:r>
              <w:rPr>
                <w:noProof/>
              </w:rPr>
              <w:t xml:space="preserve"> sau „</w:t>
            </w:r>
            <w:r>
              <w:rPr>
                <w:i/>
                <w:noProof/>
              </w:rPr>
              <w:t>Victimele violenței de gen și ale traficului uman</w:t>
            </w:r>
            <w:r>
              <w:rPr>
                <w:noProof/>
              </w:rPr>
              <w:t>”.</w:t>
            </w:r>
          </w:p>
          <w:p w14:paraId="2AE91482" w14:textId="77777777" w:rsidR="00011DE9" w:rsidRDefault="00011DE9">
            <w:pPr>
              <w:spacing w:after="0" w:line="240" w:lineRule="auto"/>
              <w:rPr>
                <w:rFonts w:ascii="Times New Roman" w:eastAsia="Times New Roman" w:hAnsi="Times New Roman" w:cs="Times New Roman"/>
                <w:noProof/>
                <w:sz w:val="18"/>
                <w:szCs w:val="18"/>
              </w:rPr>
            </w:pPr>
          </w:p>
        </w:tc>
      </w:tr>
      <w:tr w:rsidR="00011DE9" w14:paraId="5EBE9298" w14:textId="77777777" w:rsidTr="003010A3">
        <w:trPr>
          <w:trHeight w:val="309"/>
          <w:jc w:val="center"/>
        </w:trPr>
        <w:tc>
          <w:tcPr>
            <w:tcW w:w="793" w:type="dxa"/>
            <w:shd w:val="clear" w:color="auto" w:fill="C6EFCE"/>
            <w:noWrap/>
          </w:tcPr>
          <w:p w14:paraId="6F8D9CBF" w14:textId="77777777" w:rsidR="00011DE9" w:rsidRDefault="00011DE9">
            <w:pPr>
              <w:pStyle w:val="P68B1DB1-Normal19"/>
              <w:spacing w:after="0" w:line="240" w:lineRule="auto"/>
              <w:jc w:val="center"/>
              <w:rPr>
                <w:rFonts w:eastAsia="Times New Roman"/>
                <w:noProof/>
              </w:rPr>
            </w:pPr>
            <w:r>
              <w:rPr>
                <w:noProof/>
              </w:rPr>
              <w:t>344</w:t>
            </w:r>
          </w:p>
        </w:tc>
        <w:tc>
          <w:tcPr>
            <w:tcW w:w="792" w:type="dxa"/>
            <w:shd w:val="clear" w:color="auto" w:fill="C6EFCE"/>
            <w:noWrap/>
          </w:tcPr>
          <w:p w14:paraId="26C343A6" w14:textId="77777777" w:rsidR="00011DE9" w:rsidRDefault="00011DE9">
            <w:pPr>
              <w:pStyle w:val="P68B1DB1-Normal19"/>
              <w:spacing w:after="0" w:line="240" w:lineRule="auto"/>
              <w:jc w:val="center"/>
              <w:rPr>
                <w:rFonts w:eastAsia="Times New Roman"/>
                <w:noProof/>
              </w:rPr>
            </w:pPr>
            <w:r>
              <w:rPr>
                <w:noProof/>
              </w:rPr>
              <w:t>C23.I3</w:t>
            </w:r>
          </w:p>
        </w:tc>
        <w:tc>
          <w:tcPr>
            <w:tcW w:w="921" w:type="dxa"/>
            <w:shd w:val="clear" w:color="auto" w:fill="C6EFCE"/>
            <w:noWrap/>
          </w:tcPr>
          <w:p w14:paraId="2C06FF50" w14:textId="77777777" w:rsidR="00011DE9" w:rsidRDefault="00011DE9">
            <w:pPr>
              <w:pStyle w:val="P68B1DB1-Normal19"/>
              <w:spacing w:after="0" w:line="240" w:lineRule="auto"/>
              <w:jc w:val="center"/>
              <w:rPr>
                <w:rFonts w:eastAsia="Times New Roman"/>
                <w:noProof/>
              </w:rPr>
            </w:pPr>
            <w:r>
              <w:rPr>
                <w:noProof/>
              </w:rPr>
              <w:t>T</w:t>
            </w:r>
          </w:p>
        </w:tc>
        <w:tc>
          <w:tcPr>
            <w:tcW w:w="2025" w:type="dxa"/>
            <w:shd w:val="clear" w:color="auto" w:fill="C6EFCE"/>
            <w:noWrap/>
          </w:tcPr>
          <w:p w14:paraId="237D68E5" w14:textId="77777777" w:rsidR="00011DE9" w:rsidRDefault="00011DE9">
            <w:pPr>
              <w:pStyle w:val="P68B1DB1-Normal20"/>
              <w:spacing w:after="0" w:line="240" w:lineRule="auto"/>
              <w:rPr>
                <w:rFonts w:eastAsia="Times New Roman" w:cs="Times New Roman"/>
                <w:noProof/>
              </w:rPr>
            </w:pPr>
            <w:r>
              <w:rPr>
                <w:noProof/>
              </w:rPr>
              <w:t>Persoane care au participat la programe de formare pentru a dobândi competențe pentru transformarea digitală, ecologică sau productivă</w:t>
            </w:r>
          </w:p>
        </w:tc>
        <w:tc>
          <w:tcPr>
            <w:tcW w:w="1519" w:type="dxa"/>
            <w:shd w:val="clear" w:color="auto" w:fill="C6EFCE"/>
            <w:noWrap/>
          </w:tcPr>
          <w:p w14:paraId="1D2DE1F3" w14:textId="77777777" w:rsidR="00011DE9" w:rsidRDefault="00011DE9">
            <w:pPr>
              <w:pStyle w:val="P68B1DB1-Normal19"/>
              <w:spacing w:after="0" w:line="240" w:lineRule="auto"/>
              <w:jc w:val="center"/>
              <w:rPr>
                <w:rFonts w:eastAsia="Times New Roman"/>
                <w:noProof/>
              </w:rPr>
            </w:pPr>
            <w:r>
              <w:rPr>
                <w:noProof/>
              </w:rPr>
              <w:t>—</w:t>
            </w:r>
          </w:p>
        </w:tc>
        <w:tc>
          <w:tcPr>
            <w:tcW w:w="608" w:type="dxa"/>
            <w:shd w:val="clear" w:color="auto" w:fill="C6EFCE"/>
            <w:noWrap/>
          </w:tcPr>
          <w:p w14:paraId="0441E911" w14:textId="77777777" w:rsidR="00011DE9" w:rsidRDefault="00011DE9">
            <w:pPr>
              <w:pStyle w:val="P68B1DB1-Normal19"/>
              <w:spacing w:after="0" w:line="240" w:lineRule="auto"/>
              <w:jc w:val="center"/>
              <w:rPr>
                <w:rFonts w:eastAsia="Times New Roman"/>
                <w:noProof/>
              </w:rPr>
            </w:pPr>
            <w:r>
              <w:rPr>
                <w:noProof/>
              </w:rPr>
              <w:t>Număr</w:t>
            </w:r>
          </w:p>
        </w:tc>
        <w:tc>
          <w:tcPr>
            <w:tcW w:w="992" w:type="dxa"/>
            <w:shd w:val="clear" w:color="auto" w:fill="C6EFCE"/>
            <w:noWrap/>
          </w:tcPr>
          <w:p w14:paraId="6F96F715" w14:textId="77777777" w:rsidR="00011DE9" w:rsidRDefault="00011DE9">
            <w:pPr>
              <w:pStyle w:val="P68B1DB1-Normal19"/>
              <w:spacing w:after="0" w:line="240" w:lineRule="auto"/>
              <w:jc w:val="right"/>
              <w:rPr>
                <w:rFonts w:eastAsia="Times New Roman"/>
                <w:noProof/>
              </w:rPr>
            </w:pPr>
            <w:r>
              <w:rPr>
                <w:noProof/>
              </w:rPr>
              <w:t>0</w:t>
            </w:r>
          </w:p>
        </w:tc>
        <w:tc>
          <w:tcPr>
            <w:tcW w:w="709" w:type="dxa"/>
            <w:shd w:val="clear" w:color="auto" w:fill="C6EFCE"/>
            <w:noWrap/>
          </w:tcPr>
          <w:p w14:paraId="0D91CC87" w14:textId="77777777" w:rsidR="00011DE9" w:rsidRDefault="00011DE9">
            <w:pPr>
              <w:pStyle w:val="P68B1DB1-Normal20"/>
              <w:spacing w:after="0" w:line="240" w:lineRule="auto"/>
              <w:jc w:val="right"/>
              <w:rPr>
                <w:rFonts w:eastAsia="Times New Roman" w:cs="Times New Roman"/>
                <w:noProof/>
              </w:rPr>
            </w:pPr>
            <w:r>
              <w:rPr>
                <w:noProof/>
              </w:rPr>
              <w:t>520 063</w:t>
            </w:r>
          </w:p>
        </w:tc>
        <w:tc>
          <w:tcPr>
            <w:tcW w:w="486" w:type="dxa"/>
            <w:shd w:val="clear" w:color="auto" w:fill="C6EFCE"/>
            <w:noWrap/>
          </w:tcPr>
          <w:p w14:paraId="2D602019" w14:textId="6C23DCB3" w:rsidR="00011DE9" w:rsidRDefault="005701C9">
            <w:pPr>
              <w:pStyle w:val="P68B1DB1-Normal20"/>
              <w:spacing w:after="0" w:line="240" w:lineRule="auto"/>
              <w:jc w:val="right"/>
              <w:rPr>
                <w:rFonts w:eastAsia="Times New Roman" w:cs="Times New Roman"/>
                <w:noProof/>
              </w:rPr>
            </w:pPr>
            <w:r>
              <w:rPr>
                <w:noProof/>
              </w:rPr>
              <w:t>T2</w:t>
            </w:r>
          </w:p>
        </w:tc>
        <w:tc>
          <w:tcPr>
            <w:tcW w:w="528" w:type="dxa"/>
            <w:shd w:val="clear" w:color="auto" w:fill="C6EFCE"/>
            <w:noWrap/>
          </w:tcPr>
          <w:p w14:paraId="5BBC3CBE" w14:textId="77777777" w:rsidR="00011DE9" w:rsidRDefault="00011DE9">
            <w:pPr>
              <w:pStyle w:val="P68B1DB1-Normal20"/>
              <w:spacing w:after="0" w:line="240" w:lineRule="auto"/>
              <w:jc w:val="right"/>
              <w:rPr>
                <w:rFonts w:eastAsia="Times New Roman" w:cs="Times New Roman"/>
                <w:noProof/>
              </w:rPr>
            </w:pPr>
            <w:r>
              <w:rPr>
                <w:noProof/>
              </w:rPr>
              <w:t>2026</w:t>
            </w:r>
          </w:p>
        </w:tc>
        <w:tc>
          <w:tcPr>
            <w:tcW w:w="5506" w:type="dxa"/>
            <w:shd w:val="clear" w:color="auto" w:fill="C6EFCE"/>
            <w:noWrap/>
          </w:tcPr>
          <w:p w14:paraId="5F7320CF" w14:textId="77777777" w:rsidR="00011DE9" w:rsidRDefault="00011DE9">
            <w:pPr>
              <w:pStyle w:val="P68B1DB1-Normal20"/>
              <w:spacing w:after="0" w:line="240" w:lineRule="auto"/>
              <w:rPr>
                <w:rFonts w:eastAsia="Times New Roman" w:cs="Times New Roman"/>
                <w:noProof/>
              </w:rPr>
            </w:pPr>
            <w:r>
              <w:rPr>
                <w:noProof/>
              </w:rPr>
              <w:t>520 063 de certificate de participare la formare eliberate pentru programele de formare în vederea dobândirii de competențe pentru transformarea digitală, ecologică sau productivă. O persoană care participă la mai multe cursuri de formare este luată în calcul separat pentru fiecare formare la care a participat.</w:t>
            </w:r>
          </w:p>
        </w:tc>
      </w:tr>
      <w:tr w:rsidR="00011DE9" w14:paraId="5047E723" w14:textId="77777777" w:rsidTr="003010A3">
        <w:trPr>
          <w:trHeight w:val="309"/>
          <w:jc w:val="center"/>
        </w:trPr>
        <w:tc>
          <w:tcPr>
            <w:tcW w:w="793" w:type="dxa"/>
            <w:shd w:val="clear" w:color="auto" w:fill="C6EFCE"/>
            <w:noWrap/>
          </w:tcPr>
          <w:p w14:paraId="500AB28D" w14:textId="77777777" w:rsidR="00011DE9" w:rsidRDefault="00011DE9">
            <w:pPr>
              <w:pStyle w:val="P68B1DB1-Normal19"/>
              <w:spacing w:after="0" w:line="240" w:lineRule="auto"/>
              <w:jc w:val="center"/>
              <w:rPr>
                <w:rFonts w:eastAsia="Times New Roman"/>
                <w:noProof/>
              </w:rPr>
            </w:pPr>
            <w:r>
              <w:rPr>
                <w:noProof/>
              </w:rPr>
              <w:t>345</w:t>
            </w:r>
          </w:p>
        </w:tc>
        <w:tc>
          <w:tcPr>
            <w:tcW w:w="792" w:type="dxa"/>
            <w:shd w:val="clear" w:color="auto" w:fill="C6EFCE"/>
            <w:noWrap/>
          </w:tcPr>
          <w:p w14:paraId="4570A330" w14:textId="77777777" w:rsidR="00011DE9" w:rsidRDefault="00011DE9">
            <w:pPr>
              <w:pStyle w:val="P68B1DB1-Normal19"/>
              <w:spacing w:after="0" w:line="240" w:lineRule="auto"/>
              <w:jc w:val="center"/>
              <w:rPr>
                <w:rFonts w:eastAsia="Times New Roman"/>
                <w:noProof/>
              </w:rPr>
            </w:pPr>
            <w:r>
              <w:rPr>
                <w:noProof/>
              </w:rPr>
              <w:t>C23.I4</w:t>
            </w:r>
          </w:p>
        </w:tc>
        <w:tc>
          <w:tcPr>
            <w:tcW w:w="921" w:type="dxa"/>
            <w:shd w:val="clear" w:color="auto" w:fill="C6EFCE"/>
            <w:noWrap/>
          </w:tcPr>
          <w:p w14:paraId="0D314BB9" w14:textId="77777777" w:rsidR="00011DE9" w:rsidRDefault="00011DE9">
            <w:pPr>
              <w:pStyle w:val="P68B1DB1-Normal19"/>
              <w:spacing w:after="0" w:line="240" w:lineRule="auto"/>
              <w:jc w:val="center"/>
              <w:rPr>
                <w:rFonts w:eastAsia="Times New Roman"/>
                <w:noProof/>
              </w:rPr>
            </w:pPr>
            <w:r>
              <w:rPr>
                <w:noProof/>
              </w:rPr>
              <w:t>M</w:t>
            </w:r>
          </w:p>
        </w:tc>
        <w:tc>
          <w:tcPr>
            <w:tcW w:w="2025" w:type="dxa"/>
            <w:shd w:val="clear" w:color="auto" w:fill="C6EFCE"/>
            <w:noWrap/>
          </w:tcPr>
          <w:p w14:paraId="37329F2C" w14:textId="77777777" w:rsidR="00011DE9" w:rsidRDefault="00011DE9">
            <w:pPr>
              <w:pStyle w:val="P68B1DB1-Normal19"/>
              <w:spacing w:after="0" w:line="240" w:lineRule="auto"/>
              <w:rPr>
                <w:rFonts w:eastAsia="Times New Roman"/>
                <w:noProof/>
              </w:rPr>
            </w:pPr>
            <w:r>
              <w:rPr>
                <w:noProof/>
              </w:rPr>
              <w:t xml:space="preserve">Aprobarea alocării regionale de fonduri pentru proiecte teritoriale destinate grupurilor vulnerabile, antreprenoriatului și microîntreprinderilor. </w:t>
            </w:r>
          </w:p>
        </w:tc>
        <w:tc>
          <w:tcPr>
            <w:tcW w:w="1519" w:type="dxa"/>
            <w:shd w:val="clear" w:color="auto" w:fill="C6EFCE"/>
            <w:noWrap/>
          </w:tcPr>
          <w:p w14:paraId="2C111FD8" w14:textId="77777777" w:rsidR="00011DE9" w:rsidRDefault="00011DE9">
            <w:pPr>
              <w:pStyle w:val="P68B1DB1-Normal19"/>
              <w:spacing w:after="0" w:line="240" w:lineRule="auto"/>
              <w:jc w:val="center"/>
              <w:rPr>
                <w:rFonts w:eastAsia="Times New Roman"/>
                <w:noProof/>
              </w:rPr>
            </w:pPr>
            <w:r>
              <w:rPr>
                <w:noProof/>
              </w:rPr>
              <w:t xml:space="preserve">Proces-verbal de referință al Conferinței sectoriale privind ocuparea forței de muncă </w:t>
            </w:r>
          </w:p>
        </w:tc>
        <w:tc>
          <w:tcPr>
            <w:tcW w:w="608" w:type="dxa"/>
            <w:shd w:val="clear" w:color="auto" w:fill="C6EFCE"/>
            <w:noWrap/>
          </w:tcPr>
          <w:p w14:paraId="27FF788A"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shd w:val="clear" w:color="auto" w:fill="C6EFCE"/>
            <w:noWrap/>
          </w:tcPr>
          <w:p w14:paraId="0EBFFC29" w14:textId="77777777" w:rsidR="00011DE9" w:rsidRDefault="00011DE9">
            <w:pPr>
              <w:pStyle w:val="P68B1DB1-Normal19"/>
              <w:spacing w:after="0" w:line="240" w:lineRule="auto"/>
              <w:jc w:val="right"/>
              <w:rPr>
                <w:rFonts w:eastAsia="Times New Roman"/>
                <w:noProof/>
              </w:rPr>
            </w:pPr>
            <w:r>
              <w:rPr>
                <w:noProof/>
              </w:rPr>
              <w:t xml:space="preserve"> </w:t>
            </w:r>
          </w:p>
        </w:tc>
        <w:tc>
          <w:tcPr>
            <w:tcW w:w="709" w:type="dxa"/>
            <w:shd w:val="clear" w:color="auto" w:fill="C6EFCE"/>
            <w:noWrap/>
          </w:tcPr>
          <w:p w14:paraId="763962F2" w14:textId="77777777" w:rsidR="00011DE9" w:rsidRDefault="00011DE9">
            <w:pPr>
              <w:pStyle w:val="P68B1DB1-Normal19"/>
              <w:spacing w:after="0" w:line="240" w:lineRule="auto"/>
              <w:jc w:val="right"/>
              <w:rPr>
                <w:rFonts w:eastAsia="Times New Roman"/>
                <w:noProof/>
              </w:rPr>
            </w:pPr>
            <w:r>
              <w:rPr>
                <w:noProof/>
              </w:rPr>
              <w:t xml:space="preserve"> </w:t>
            </w:r>
          </w:p>
        </w:tc>
        <w:tc>
          <w:tcPr>
            <w:tcW w:w="486" w:type="dxa"/>
            <w:shd w:val="clear" w:color="auto" w:fill="C6EFCE"/>
            <w:noWrap/>
          </w:tcPr>
          <w:p w14:paraId="1295C4A5" w14:textId="79E5AEE9" w:rsidR="00011DE9" w:rsidRDefault="005701C9">
            <w:pPr>
              <w:pStyle w:val="P68B1DB1-Normal19"/>
              <w:spacing w:after="0" w:line="240" w:lineRule="auto"/>
              <w:jc w:val="right"/>
              <w:rPr>
                <w:rFonts w:eastAsia="Times New Roman"/>
                <w:noProof/>
              </w:rPr>
            </w:pPr>
            <w:r>
              <w:rPr>
                <w:noProof/>
              </w:rPr>
              <w:t>T3</w:t>
            </w:r>
          </w:p>
        </w:tc>
        <w:tc>
          <w:tcPr>
            <w:tcW w:w="528" w:type="dxa"/>
            <w:shd w:val="clear" w:color="auto" w:fill="C6EFCE"/>
            <w:noWrap/>
          </w:tcPr>
          <w:p w14:paraId="16A5A29E" w14:textId="77777777" w:rsidR="00011DE9" w:rsidRDefault="00011DE9">
            <w:pPr>
              <w:pStyle w:val="P68B1DB1-Normal19"/>
              <w:spacing w:after="0" w:line="240" w:lineRule="auto"/>
              <w:jc w:val="right"/>
              <w:rPr>
                <w:rFonts w:eastAsia="Times New Roman"/>
                <w:noProof/>
              </w:rPr>
            </w:pPr>
            <w:r>
              <w:rPr>
                <w:noProof/>
              </w:rPr>
              <w:t>2021</w:t>
            </w:r>
          </w:p>
        </w:tc>
        <w:tc>
          <w:tcPr>
            <w:tcW w:w="5506" w:type="dxa"/>
            <w:shd w:val="clear" w:color="auto" w:fill="C6EFCE"/>
            <w:noWrap/>
          </w:tcPr>
          <w:p w14:paraId="6B5C5579" w14:textId="77777777" w:rsidR="00011DE9" w:rsidRDefault="00011DE9">
            <w:pPr>
              <w:pStyle w:val="P68B1DB1-Normal19"/>
              <w:spacing w:after="0" w:line="240" w:lineRule="auto"/>
              <w:rPr>
                <w:rFonts w:eastAsia="Times New Roman"/>
                <w:noProof/>
              </w:rPr>
            </w:pPr>
            <w:r>
              <w:rPr>
                <w:noProof/>
              </w:rPr>
              <w:t xml:space="preserve">Aprobarea, în cadrul Conferinței sectoriale privind ocuparea forței de muncă, a alocării regionale de fonduri pentru proiecte teritoriale destinate grupurilor vulnerabile și pentru proiecte teritoriale destinate antreprenoriatului și microîntreprinderilor, cum ar fi dezvoltarea de proiecte care promovează antreprenoriatul, inițiative de dezvoltare locală, inițiative ale economiei sociale și noi proiecte teritoriale care facilitează transformarea producției, în special către o economie verde și digitală. </w:t>
            </w:r>
          </w:p>
        </w:tc>
      </w:tr>
      <w:tr w:rsidR="00011DE9" w14:paraId="7A464928" w14:textId="77777777" w:rsidTr="003010A3">
        <w:trPr>
          <w:trHeight w:val="309"/>
          <w:jc w:val="center"/>
        </w:trPr>
        <w:tc>
          <w:tcPr>
            <w:tcW w:w="793" w:type="dxa"/>
            <w:shd w:val="clear" w:color="auto" w:fill="C6EFCE"/>
            <w:noWrap/>
          </w:tcPr>
          <w:p w14:paraId="717AFE02" w14:textId="77777777" w:rsidR="00011DE9" w:rsidRDefault="00011DE9">
            <w:pPr>
              <w:pStyle w:val="P68B1DB1-Normal19"/>
              <w:spacing w:after="0" w:line="240" w:lineRule="auto"/>
              <w:jc w:val="center"/>
              <w:rPr>
                <w:rFonts w:eastAsia="Times New Roman"/>
                <w:noProof/>
              </w:rPr>
            </w:pPr>
            <w:r>
              <w:rPr>
                <w:noProof/>
              </w:rPr>
              <w:t>346</w:t>
            </w:r>
          </w:p>
        </w:tc>
        <w:tc>
          <w:tcPr>
            <w:tcW w:w="792" w:type="dxa"/>
            <w:shd w:val="clear" w:color="auto" w:fill="C6EFCE"/>
            <w:noWrap/>
          </w:tcPr>
          <w:p w14:paraId="166F79D5" w14:textId="77777777" w:rsidR="00011DE9" w:rsidRDefault="00011DE9">
            <w:pPr>
              <w:pStyle w:val="P68B1DB1-Normal19"/>
              <w:spacing w:after="0" w:line="240" w:lineRule="auto"/>
              <w:jc w:val="center"/>
              <w:rPr>
                <w:rFonts w:eastAsia="Times New Roman"/>
                <w:noProof/>
              </w:rPr>
            </w:pPr>
            <w:r>
              <w:rPr>
                <w:noProof/>
              </w:rPr>
              <w:t>C23.I4</w:t>
            </w:r>
          </w:p>
        </w:tc>
        <w:tc>
          <w:tcPr>
            <w:tcW w:w="921" w:type="dxa"/>
            <w:shd w:val="clear" w:color="auto" w:fill="C6EFCE"/>
            <w:noWrap/>
          </w:tcPr>
          <w:p w14:paraId="4DA19175" w14:textId="77777777" w:rsidR="00011DE9" w:rsidRDefault="00011DE9">
            <w:pPr>
              <w:pStyle w:val="P68B1DB1-Normal19"/>
              <w:spacing w:after="0" w:line="240" w:lineRule="auto"/>
              <w:jc w:val="center"/>
              <w:rPr>
                <w:rFonts w:eastAsia="Times New Roman"/>
                <w:noProof/>
              </w:rPr>
            </w:pPr>
            <w:r>
              <w:rPr>
                <w:noProof/>
              </w:rPr>
              <w:t>T</w:t>
            </w:r>
          </w:p>
        </w:tc>
        <w:tc>
          <w:tcPr>
            <w:tcW w:w="2025" w:type="dxa"/>
            <w:shd w:val="clear" w:color="auto" w:fill="C6EFCE"/>
            <w:noWrap/>
          </w:tcPr>
          <w:p w14:paraId="4A560E5E" w14:textId="77777777" w:rsidR="00011DE9" w:rsidRDefault="00011DE9">
            <w:pPr>
              <w:pStyle w:val="P68B1DB1-Normal20"/>
              <w:spacing w:after="0" w:line="240" w:lineRule="auto"/>
              <w:rPr>
                <w:rFonts w:eastAsia="Times New Roman" w:cs="Times New Roman"/>
                <w:noProof/>
              </w:rPr>
            </w:pPr>
            <w:r>
              <w:rPr>
                <w:noProof/>
              </w:rPr>
              <w:t>Proiecte pentru grupuri vulnerabile, antreprenori sau microîntreprinderi</w:t>
            </w:r>
          </w:p>
        </w:tc>
        <w:tc>
          <w:tcPr>
            <w:tcW w:w="1519" w:type="dxa"/>
            <w:shd w:val="clear" w:color="auto" w:fill="C6EFCE"/>
            <w:noWrap/>
          </w:tcPr>
          <w:p w14:paraId="62721652" w14:textId="77777777" w:rsidR="00011DE9" w:rsidRDefault="00011DE9">
            <w:pPr>
              <w:pStyle w:val="P68B1DB1-Normal19"/>
              <w:spacing w:after="0" w:line="240" w:lineRule="auto"/>
              <w:jc w:val="center"/>
              <w:rPr>
                <w:rFonts w:eastAsia="Times New Roman"/>
                <w:noProof/>
              </w:rPr>
            </w:pPr>
            <w:r>
              <w:rPr>
                <w:noProof/>
              </w:rPr>
              <w:t>—</w:t>
            </w:r>
          </w:p>
        </w:tc>
        <w:tc>
          <w:tcPr>
            <w:tcW w:w="608" w:type="dxa"/>
            <w:shd w:val="clear" w:color="auto" w:fill="C6EFCE"/>
            <w:noWrap/>
          </w:tcPr>
          <w:p w14:paraId="4DCF3063" w14:textId="77777777" w:rsidR="00011DE9" w:rsidRDefault="00011DE9">
            <w:pPr>
              <w:pStyle w:val="P68B1DB1-Normal19"/>
              <w:spacing w:after="0" w:line="240" w:lineRule="auto"/>
              <w:jc w:val="center"/>
              <w:rPr>
                <w:rFonts w:eastAsia="Times New Roman"/>
                <w:noProof/>
              </w:rPr>
            </w:pPr>
            <w:r>
              <w:rPr>
                <w:noProof/>
              </w:rPr>
              <w:t>Număr</w:t>
            </w:r>
          </w:p>
        </w:tc>
        <w:tc>
          <w:tcPr>
            <w:tcW w:w="992" w:type="dxa"/>
            <w:shd w:val="clear" w:color="auto" w:fill="C6EFCE"/>
            <w:noWrap/>
          </w:tcPr>
          <w:p w14:paraId="208035AF" w14:textId="77777777" w:rsidR="00011DE9" w:rsidRDefault="00011DE9">
            <w:pPr>
              <w:pStyle w:val="P68B1DB1-Normal19"/>
              <w:spacing w:after="0" w:line="240" w:lineRule="auto"/>
              <w:jc w:val="right"/>
              <w:rPr>
                <w:rFonts w:eastAsia="Times New Roman"/>
                <w:noProof/>
              </w:rPr>
            </w:pPr>
            <w:r>
              <w:rPr>
                <w:noProof/>
              </w:rPr>
              <w:t>0</w:t>
            </w:r>
          </w:p>
        </w:tc>
        <w:tc>
          <w:tcPr>
            <w:tcW w:w="709" w:type="dxa"/>
            <w:shd w:val="clear" w:color="auto" w:fill="C6EFCE"/>
            <w:noWrap/>
          </w:tcPr>
          <w:p w14:paraId="71984DBE" w14:textId="77777777" w:rsidR="00011DE9" w:rsidRDefault="00011DE9">
            <w:pPr>
              <w:pStyle w:val="P68B1DB1-Normal19"/>
              <w:spacing w:after="0" w:line="240" w:lineRule="auto"/>
              <w:jc w:val="right"/>
              <w:rPr>
                <w:rFonts w:eastAsia="Times New Roman"/>
                <w:noProof/>
              </w:rPr>
            </w:pPr>
            <w:r>
              <w:rPr>
                <w:noProof/>
              </w:rPr>
              <w:t>68</w:t>
            </w:r>
          </w:p>
        </w:tc>
        <w:tc>
          <w:tcPr>
            <w:tcW w:w="486" w:type="dxa"/>
            <w:shd w:val="clear" w:color="auto" w:fill="C6EFCE"/>
            <w:noWrap/>
          </w:tcPr>
          <w:p w14:paraId="7AEB63B0" w14:textId="4D72A2AB" w:rsidR="00011DE9" w:rsidRDefault="005701C9">
            <w:pPr>
              <w:pStyle w:val="P68B1DB1-Normal19"/>
              <w:spacing w:after="0" w:line="240" w:lineRule="auto"/>
              <w:jc w:val="center"/>
              <w:rPr>
                <w:rFonts w:eastAsia="Times New Roman"/>
                <w:noProof/>
              </w:rPr>
            </w:pPr>
            <w:r>
              <w:rPr>
                <w:noProof/>
              </w:rPr>
              <w:t>T4</w:t>
            </w:r>
          </w:p>
        </w:tc>
        <w:tc>
          <w:tcPr>
            <w:tcW w:w="528" w:type="dxa"/>
            <w:shd w:val="clear" w:color="auto" w:fill="C6EFCE"/>
            <w:noWrap/>
          </w:tcPr>
          <w:p w14:paraId="335C45E8" w14:textId="77777777" w:rsidR="00011DE9" w:rsidRDefault="00011DE9">
            <w:pPr>
              <w:pStyle w:val="P68B1DB1-Normal20"/>
              <w:spacing w:after="0" w:line="240" w:lineRule="auto"/>
              <w:jc w:val="right"/>
              <w:rPr>
                <w:rFonts w:eastAsia="Times New Roman" w:cs="Times New Roman"/>
                <w:noProof/>
              </w:rPr>
            </w:pPr>
            <w:r>
              <w:rPr>
                <w:noProof/>
              </w:rPr>
              <w:t>2025</w:t>
            </w:r>
          </w:p>
        </w:tc>
        <w:tc>
          <w:tcPr>
            <w:tcW w:w="5506" w:type="dxa"/>
            <w:shd w:val="clear" w:color="auto" w:fill="C6EFCE"/>
            <w:noWrap/>
          </w:tcPr>
          <w:p w14:paraId="75F2AF91" w14:textId="071EF543" w:rsidR="00011DE9" w:rsidRDefault="00011DE9">
            <w:pPr>
              <w:spacing w:after="0" w:line="240" w:lineRule="auto"/>
              <w:rPr>
                <w:rFonts w:ascii="Times New Roman" w:eastAsia="Times New Roman" w:hAnsi="Times New Roman" w:cs="Times New Roman"/>
                <w:noProof/>
                <w:sz w:val="18"/>
                <w:szCs w:val="18"/>
              </w:rPr>
            </w:pPr>
            <w:r>
              <w:rPr>
                <w:rFonts w:ascii="Times New Roman" w:hAnsi="Times New Roman"/>
                <w:noProof/>
                <w:sz w:val="18"/>
                <w:szCs w:val="18"/>
              </w:rPr>
              <w:t>Realizarea a 68 de proiecte pentru grupuri vulnerabile, antreprenori sau microîntreprinderi. În fiecare comunitate autonomă se realizează patru proiecte.</w:t>
            </w:r>
            <w:r w:rsidR="00971820">
              <w:rPr>
                <w:rFonts w:ascii="Times New Roman" w:hAnsi="Times New Roman"/>
                <w:noProof/>
                <w:sz w:val="18"/>
                <w:szCs w:val="18"/>
              </w:rPr>
              <w:t xml:space="preserve"> </w:t>
            </w:r>
            <w:r w:rsidR="00971820">
              <w:rPr>
                <w:noProof/>
              </w:rPr>
              <w:t xml:space="preserve"> </w:t>
            </w:r>
          </w:p>
        </w:tc>
      </w:tr>
      <w:tr w:rsidR="00011DE9" w14:paraId="36667C67" w14:textId="77777777" w:rsidTr="003010A3">
        <w:trPr>
          <w:trHeight w:val="309"/>
          <w:jc w:val="center"/>
        </w:trPr>
        <w:tc>
          <w:tcPr>
            <w:tcW w:w="793" w:type="dxa"/>
            <w:shd w:val="clear" w:color="auto" w:fill="C6EFCE"/>
            <w:noWrap/>
          </w:tcPr>
          <w:p w14:paraId="75716A8E" w14:textId="77777777" w:rsidR="00011DE9" w:rsidRDefault="00011DE9">
            <w:pPr>
              <w:pStyle w:val="P68B1DB1-Normal19"/>
              <w:spacing w:after="0" w:line="240" w:lineRule="auto"/>
              <w:jc w:val="center"/>
              <w:rPr>
                <w:rFonts w:eastAsia="Times New Roman"/>
                <w:noProof/>
              </w:rPr>
            </w:pPr>
            <w:r>
              <w:rPr>
                <w:noProof/>
              </w:rPr>
              <w:t>347</w:t>
            </w:r>
          </w:p>
        </w:tc>
        <w:tc>
          <w:tcPr>
            <w:tcW w:w="792" w:type="dxa"/>
            <w:shd w:val="clear" w:color="auto" w:fill="C6EFCE"/>
            <w:noWrap/>
          </w:tcPr>
          <w:p w14:paraId="1B11C080" w14:textId="77777777" w:rsidR="00011DE9" w:rsidRDefault="00011DE9">
            <w:pPr>
              <w:pStyle w:val="P68B1DB1-Normal19"/>
              <w:spacing w:after="0" w:line="240" w:lineRule="auto"/>
              <w:jc w:val="center"/>
              <w:rPr>
                <w:rFonts w:eastAsia="Times New Roman"/>
                <w:noProof/>
              </w:rPr>
            </w:pPr>
            <w:r>
              <w:rPr>
                <w:noProof/>
              </w:rPr>
              <w:t>C23.I5</w:t>
            </w:r>
          </w:p>
        </w:tc>
        <w:tc>
          <w:tcPr>
            <w:tcW w:w="921" w:type="dxa"/>
            <w:shd w:val="clear" w:color="auto" w:fill="C6EFCE"/>
            <w:noWrap/>
          </w:tcPr>
          <w:p w14:paraId="1312AC2B" w14:textId="77777777" w:rsidR="00011DE9" w:rsidRDefault="00011DE9">
            <w:pPr>
              <w:pStyle w:val="P68B1DB1-Normal19"/>
              <w:spacing w:after="0" w:line="240" w:lineRule="auto"/>
              <w:jc w:val="center"/>
              <w:rPr>
                <w:rFonts w:eastAsia="Times New Roman"/>
                <w:noProof/>
              </w:rPr>
            </w:pPr>
            <w:r>
              <w:rPr>
                <w:noProof/>
              </w:rPr>
              <w:t>M</w:t>
            </w:r>
          </w:p>
        </w:tc>
        <w:tc>
          <w:tcPr>
            <w:tcW w:w="2025" w:type="dxa"/>
            <w:shd w:val="clear" w:color="auto" w:fill="C6EFCE"/>
            <w:noWrap/>
          </w:tcPr>
          <w:p w14:paraId="4E63B3E7" w14:textId="77777777" w:rsidR="00011DE9" w:rsidRDefault="00011DE9">
            <w:pPr>
              <w:pStyle w:val="P68B1DB1-Normal20"/>
              <w:spacing w:after="0" w:line="240" w:lineRule="auto"/>
              <w:rPr>
                <w:rFonts w:eastAsia="Times New Roman" w:cs="Times New Roman"/>
                <w:noProof/>
              </w:rPr>
            </w:pPr>
            <w:r>
              <w:rPr>
                <w:noProof/>
              </w:rPr>
              <w:t>Centre publice de orientare, antreprenoriat, sprijin și inovare pentru ocuparea forței de muncă</w:t>
            </w:r>
          </w:p>
        </w:tc>
        <w:tc>
          <w:tcPr>
            <w:tcW w:w="1519" w:type="dxa"/>
            <w:shd w:val="clear" w:color="auto" w:fill="C6EFCE"/>
            <w:noWrap/>
          </w:tcPr>
          <w:p w14:paraId="61F98D4B" w14:textId="77777777" w:rsidR="00011DE9" w:rsidRDefault="00011DE9">
            <w:pPr>
              <w:pStyle w:val="P68B1DB1-Normal20"/>
              <w:spacing w:after="0" w:line="240" w:lineRule="auto"/>
              <w:jc w:val="center"/>
              <w:rPr>
                <w:rFonts w:eastAsia="Times New Roman" w:cs="Times New Roman"/>
                <w:noProof/>
              </w:rPr>
            </w:pPr>
            <w:r>
              <w:rPr>
                <w:noProof/>
              </w:rPr>
              <w:t>Publicarea în Jurnalul Oficial și copia programelor anuale de lucru care au obținut un aviz favorabil din partea Serviciului public de stat pentru ocuparea forței de muncă</w:t>
            </w:r>
          </w:p>
        </w:tc>
        <w:tc>
          <w:tcPr>
            <w:tcW w:w="608" w:type="dxa"/>
            <w:shd w:val="clear" w:color="auto" w:fill="C6EFCE"/>
            <w:noWrap/>
          </w:tcPr>
          <w:p w14:paraId="3DAE510F" w14:textId="77777777" w:rsidR="00011DE9" w:rsidRDefault="00011DE9">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63688BFB" w14:textId="77777777" w:rsidR="00011DE9" w:rsidRDefault="00011DE9">
            <w:pPr>
              <w:spacing w:after="0" w:line="240" w:lineRule="auto"/>
              <w:jc w:val="right"/>
              <w:rPr>
                <w:rFonts w:ascii="Times New Roman" w:eastAsia="Times New Roman" w:hAnsi="Times New Roman" w:cs="Times New Roman"/>
                <w:noProof/>
                <w:sz w:val="18"/>
                <w:szCs w:val="18"/>
              </w:rPr>
            </w:pPr>
          </w:p>
        </w:tc>
        <w:tc>
          <w:tcPr>
            <w:tcW w:w="709" w:type="dxa"/>
            <w:shd w:val="clear" w:color="auto" w:fill="C6EFCE"/>
            <w:noWrap/>
          </w:tcPr>
          <w:p w14:paraId="3CCF0CBA" w14:textId="77777777" w:rsidR="00011DE9" w:rsidRDefault="00011DE9">
            <w:pPr>
              <w:spacing w:after="0" w:line="240" w:lineRule="auto"/>
              <w:jc w:val="center"/>
              <w:rPr>
                <w:rFonts w:ascii="Times New Roman" w:eastAsia="Times New Roman" w:hAnsi="Times New Roman" w:cs="Times New Roman"/>
                <w:noProof/>
                <w:sz w:val="18"/>
                <w:szCs w:val="18"/>
              </w:rPr>
            </w:pPr>
          </w:p>
        </w:tc>
        <w:tc>
          <w:tcPr>
            <w:tcW w:w="486" w:type="dxa"/>
            <w:shd w:val="clear" w:color="auto" w:fill="C6EFCE"/>
            <w:noWrap/>
          </w:tcPr>
          <w:p w14:paraId="6E280EAA" w14:textId="7B52BD55" w:rsidR="00011DE9" w:rsidRDefault="005701C9">
            <w:pPr>
              <w:pStyle w:val="P68B1DB1-Normal19"/>
              <w:spacing w:after="0" w:line="240" w:lineRule="auto"/>
              <w:jc w:val="center"/>
              <w:rPr>
                <w:rFonts w:eastAsia="Times New Roman"/>
                <w:noProof/>
              </w:rPr>
            </w:pPr>
            <w:r>
              <w:rPr>
                <w:noProof/>
              </w:rPr>
              <w:t>T4</w:t>
            </w:r>
          </w:p>
        </w:tc>
        <w:tc>
          <w:tcPr>
            <w:tcW w:w="528" w:type="dxa"/>
            <w:shd w:val="clear" w:color="auto" w:fill="C6EFCE"/>
            <w:noWrap/>
          </w:tcPr>
          <w:p w14:paraId="11C77A75" w14:textId="77777777" w:rsidR="00011DE9" w:rsidRDefault="00011DE9">
            <w:pPr>
              <w:pStyle w:val="P68B1DB1-Normal20"/>
              <w:spacing w:after="0" w:line="240" w:lineRule="auto"/>
              <w:jc w:val="center"/>
              <w:rPr>
                <w:rFonts w:eastAsia="Times New Roman" w:cs="Times New Roman"/>
                <w:noProof/>
              </w:rPr>
            </w:pPr>
            <w:r>
              <w:rPr>
                <w:noProof/>
              </w:rPr>
              <w:t>2025</w:t>
            </w:r>
          </w:p>
        </w:tc>
        <w:tc>
          <w:tcPr>
            <w:tcW w:w="5506" w:type="dxa"/>
            <w:shd w:val="clear" w:color="auto" w:fill="C6EFCE"/>
            <w:noWrap/>
          </w:tcPr>
          <w:p w14:paraId="2CB1A728" w14:textId="77777777" w:rsidR="00011DE9" w:rsidRDefault="00011DE9">
            <w:pPr>
              <w:pStyle w:val="P68B1DB1-Normal20"/>
              <w:spacing w:after="0" w:line="240" w:lineRule="auto"/>
              <w:rPr>
                <w:rFonts w:eastAsia="Times New Roman" w:cs="Times New Roman"/>
                <w:noProof/>
              </w:rPr>
            </w:pPr>
            <w:r>
              <w:rPr>
                <w:noProof/>
              </w:rPr>
              <w:t>Publicarea în Jurnalul Oficial a rezoluțiilor de aprobare a calificării a 20 de centre publice de orientare, antreprenoriat, sprijin și inovare pentru ocuparea forței de muncă; și avizul favorabil privind programele anuale de lucru (2021-2024) al Serviciului public de stat pentru ocuparea forței de muncă. Un centru este la nivelul administrației centrale și unul în fiecare teritoriu autonom, inclusiv Ceuta și Melilla.</w:t>
            </w:r>
          </w:p>
        </w:tc>
      </w:tr>
      <w:tr w:rsidR="00011DE9" w14:paraId="288FAEA6" w14:textId="77777777" w:rsidTr="003010A3">
        <w:trPr>
          <w:trHeight w:val="309"/>
          <w:jc w:val="center"/>
        </w:trPr>
        <w:tc>
          <w:tcPr>
            <w:tcW w:w="793" w:type="dxa"/>
            <w:shd w:val="clear" w:color="auto" w:fill="C6EFCE"/>
            <w:noWrap/>
          </w:tcPr>
          <w:p w14:paraId="14BF5137" w14:textId="77777777" w:rsidR="00011DE9" w:rsidRDefault="00011DE9">
            <w:pPr>
              <w:pStyle w:val="P68B1DB1-Normal19"/>
              <w:spacing w:after="0" w:line="240" w:lineRule="auto"/>
              <w:jc w:val="center"/>
              <w:rPr>
                <w:rFonts w:eastAsia="Times New Roman"/>
                <w:noProof/>
              </w:rPr>
            </w:pPr>
            <w:r>
              <w:rPr>
                <w:noProof/>
              </w:rPr>
              <w:t>348</w:t>
            </w:r>
          </w:p>
        </w:tc>
        <w:tc>
          <w:tcPr>
            <w:tcW w:w="792" w:type="dxa"/>
            <w:shd w:val="clear" w:color="auto" w:fill="C6EFCE"/>
            <w:noWrap/>
          </w:tcPr>
          <w:p w14:paraId="0A9B5DA3" w14:textId="77777777" w:rsidR="00011DE9" w:rsidRDefault="00011DE9">
            <w:pPr>
              <w:pStyle w:val="P68B1DB1-Normal19"/>
              <w:spacing w:after="0" w:line="240" w:lineRule="auto"/>
              <w:jc w:val="center"/>
              <w:rPr>
                <w:rFonts w:eastAsia="Times New Roman"/>
                <w:noProof/>
              </w:rPr>
            </w:pPr>
            <w:r>
              <w:rPr>
                <w:noProof/>
              </w:rPr>
              <w:t>C23.I5</w:t>
            </w:r>
          </w:p>
        </w:tc>
        <w:tc>
          <w:tcPr>
            <w:tcW w:w="921" w:type="dxa"/>
            <w:shd w:val="clear" w:color="auto" w:fill="C6EFCE"/>
            <w:noWrap/>
          </w:tcPr>
          <w:p w14:paraId="0563E19A" w14:textId="77777777" w:rsidR="00011DE9" w:rsidRDefault="00011DE9">
            <w:pPr>
              <w:pStyle w:val="P68B1DB1-Normal19"/>
              <w:spacing w:after="0" w:line="240" w:lineRule="auto"/>
              <w:jc w:val="center"/>
              <w:rPr>
                <w:rFonts w:eastAsia="Times New Roman"/>
                <w:noProof/>
              </w:rPr>
            </w:pPr>
            <w:r>
              <w:rPr>
                <w:noProof/>
              </w:rPr>
              <w:t>T</w:t>
            </w:r>
          </w:p>
        </w:tc>
        <w:tc>
          <w:tcPr>
            <w:tcW w:w="2025" w:type="dxa"/>
            <w:shd w:val="clear" w:color="auto" w:fill="C6EFCE"/>
            <w:noWrap/>
          </w:tcPr>
          <w:p w14:paraId="63D28AF0" w14:textId="77777777" w:rsidR="00011DE9" w:rsidRDefault="00011DE9">
            <w:pPr>
              <w:pStyle w:val="P68B1DB1-Normal19"/>
              <w:spacing w:after="0" w:line="240" w:lineRule="auto"/>
              <w:rPr>
                <w:rFonts w:eastAsia="Times New Roman"/>
                <w:noProof/>
              </w:rPr>
            </w:pPr>
            <w:r>
              <w:rPr>
                <w:noProof/>
              </w:rPr>
              <w:t>Acțiuni de formare pentru personalul SPOFM</w:t>
            </w:r>
          </w:p>
        </w:tc>
        <w:tc>
          <w:tcPr>
            <w:tcW w:w="1519" w:type="dxa"/>
            <w:shd w:val="clear" w:color="auto" w:fill="C6EFCE"/>
            <w:noWrap/>
          </w:tcPr>
          <w:p w14:paraId="1F2909A8" w14:textId="77777777" w:rsidR="00011DE9" w:rsidRDefault="00011DE9">
            <w:pPr>
              <w:pStyle w:val="P68B1DB1-Normal19"/>
              <w:spacing w:after="0" w:line="240" w:lineRule="auto"/>
              <w:jc w:val="center"/>
              <w:rPr>
                <w:rFonts w:eastAsia="Times New Roman"/>
                <w:noProof/>
              </w:rPr>
            </w:pPr>
            <w:r>
              <w:rPr>
                <w:noProof/>
              </w:rPr>
              <w:t xml:space="preserve"> </w:t>
            </w:r>
          </w:p>
        </w:tc>
        <w:tc>
          <w:tcPr>
            <w:tcW w:w="608" w:type="dxa"/>
            <w:shd w:val="clear" w:color="auto" w:fill="C6EFCE"/>
            <w:noWrap/>
          </w:tcPr>
          <w:p w14:paraId="04643E2A" w14:textId="77777777" w:rsidR="00011DE9" w:rsidRDefault="00011DE9">
            <w:pPr>
              <w:pStyle w:val="P68B1DB1-Normal19"/>
              <w:spacing w:after="0" w:line="240" w:lineRule="auto"/>
              <w:jc w:val="center"/>
              <w:rPr>
                <w:rFonts w:eastAsia="Times New Roman"/>
                <w:noProof/>
              </w:rPr>
            </w:pPr>
            <w:r>
              <w:rPr>
                <w:noProof/>
              </w:rPr>
              <w:t>Număr</w:t>
            </w:r>
          </w:p>
        </w:tc>
        <w:tc>
          <w:tcPr>
            <w:tcW w:w="992" w:type="dxa"/>
            <w:shd w:val="clear" w:color="auto" w:fill="C6EFCE"/>
            <w:noWrap/>
          </w:tcPr>
          <w:p w14:paraId="14B1735A" w14:textId="77777777" w:rsidR="00011DE9" w:rsidRDefault="00011DE9">
            <w:pPr>
              <w:pStyle w:val="P68B1DB1-Normal19"/>
              <w:spacing w:after="0" w:line="240" w:lineRule="auto"/>
              <w:jc w:val="right"/>
              <w:rPr>
                <w:rFonts w:eastAsia="Times New Roman"/>
                <w:noProof/>
              </w:rPr>
            </w:pPr>
            <w:r>
              <w:rPr>
                <w:noProof/>
              </w:rPr>
              <w:t>0</w:t>
            </w:r>
          </w:p>
        </w:tc>
        <w:tc>
          <w:tcPr>
            <w:tcW w:w="709" w:type="dxa"/>
            <w:shd w:val="clear" w:color="auto" w:fill="C6EFCE"/>
            <w:noWrap/>
          </w:tcPr>
          <w:p w14:paraId="76A30FF8" w14:textId="77777777" w:rsidR="00011DE9" w:rsidRDefault="00011DE9">
            <w:pPr>
              <w:pStyle w:val="P68B1DB1-Normal19"/>
              <w:spacing w:after="0" w:line="240" w:lineRule="auto"/>
              <w:jc w:val="center"/>
              <w:rPr>
                <w:rFonts w:eastAsia="Times New Roman"/>
                <w:noProof/>
              </w:rPr>
            </w:pPr>
            <w:r>
              <w:rPr>
                <w:noProof/>
              </w:rPr>
              <w:t>42 000</w:t>
            </w:r>
          </w:p>
        </w:tc>
        <w:tc>
          <w:tcPr>
            <w:tcW w:w="486" w:type="dxa"/>
            <w:shd w:val="clear" w:color="auto" w:fill="C6EFCE"/>
            <w:noWrap/>
          </w:tcPr>
          <w:p w14:paraId="68A899D9" w14:textId="6262A66E" w:rsidR="00011DE9" w:rsidRDefault="005701C9">
            <w:pPr>
              <w:pStyle w:val="P68B1DB1-Normal19"/>
              <w:spacing w:after="0" w:line="240" w:lineRule="auto"/>
              <w:jc w:val="center"/>
              <w:rPr>
                <w:rFonts w:eastAsia="Times New Roman"/>
                <w:noProof/>
              </w:rPr>
            </w:pPr>
            <w:r>
              <w:rPr>
                <w:noProof/>
              </w:rPr>
              <w:t>T2</w:t>
            </w:r>
          </w:p>
        </w:tc>
        <w:tc>
          <w:tcPr>
            <w:tcW w:w="528" w:type="dxa"/>
            <w:shd w:val="clear" w:color="auto" w:fill="C6EFCE"/>
            <w:noWrap/>
          </w:tcPr>
          <w:p w14:paraId="2723044F" w14:textId="77777777" w:rsidR="00011DE9" w:rsidRDefault="00011DE9">
            <w:pPr>
              <w:pStyle w:val="P68B1DB1-Normal19"/>
              <w:spacing w:after="0" w:line="240" w:lineRule="auto"/>
              <w:jc w:val="center"/>
              <w:rPr>
                <w:rFonts w:eastAsia="Times New Roman"/>
                <w:noProof/>
              </w:rPr>
            </w:pPr>
            <w:r>
              <w:rPr>
                <w:noProof/>
              </w:rPr>
              <w:t>2023</w:t>
            </w:r>
          </w:p>
        </w:tc>
        <w:tc>
          <w:tcPr>
            <w:tcW w:w="5506" w:type="dxa"/>
            <w:shd w:val="clear" w:color="auto" w:fill="C6EFCE"/>
            <w:noWrap/>
          </w:tcPr>
          <w:p w14:paraId="05690273" w14:textId="77777777" w:rsidR="00011DE9" w:rsidRDefault="00011DE9">
            <w:pPr>
              <w:pStyle w:val="P68B1DB1-Normal19"/>
              <w:spacing w:after="0" w:line="240" w:lineRule="auto"/>
              <w:rPr>
                <w:rFonts w:eastAsia="Times New Roman"/>
                <w:noProof/>
              </w:rPr>
            </w:pPr>
            <w:r>
              <w:rPr>
                <w:noProof/>
              </w:rPr>
              <w:t>Au fost finalizate cel puțin 42 000 de acțiuni de formare pentru personalul SPOFM, cu scopul de a îmbunătăți competențele acestora și de a oferi un sprijin mai eficace persoanelor aflate în căutarea unui loc de muncă.</w:t>
            </w:r>
          </w:p>
        </w:tc>
      </w:tr>
      <w:tr w:rsidR="00011DE9" w14:paraId="70A6CCCE" w14:textId="77777777" w:rsidTr="003010A3">
        <w:trPr>
          <w:trHeight w:val="309"/>
          <w:jc w:val="center"/>
        </w:trPr>
        <w:tc>
          <w:tcPr>
            <w:tcW w:w="793" w:type="dxa"/>
            <w:shd w:val="clear" w:color="auto" w:fill="C6EFCE"/>
            <w:noWrap/>
          </w:tcPr>
          <w:p w14:paraId="2B2BEAFA" w14:textId="77777777" w:rsidR="00011DE9" w:rsidRDefault="00011DE9">
            <w:pPr>
              <w:pStyle w:val="P68B1DB1-Normal19"/>
              <w:spacing w:after="0" w:line="240" w:lineRule="auto"/>
              <w:jc w:val="center"/>
              <w:rPr>
                <w:rFonts w:eastAsia="Times New Roman"/>
                <w:noProof/>
              </w:rPr>
            </w:pPr>
            <w:r>
              <w:rPr>
                <w:noProof/>
              </w:rPr>
              <w:t>349</w:t>
            </w:r>
          </w:p>
        </w:tc>
        <w:tc>
          <w:tcPr>
            <w:tcW w:w="792" w:type="dxa"/>
            <w:shd w:val="clear" w:color="auto" w:fill="C6EFCE"/>
            <w:noWrap/>
          </w:tcPr>
          <w:p w14:paraId="4EE23609" w14:textId="77777777" w:rsidR="00011DE9" w:rsidRDefault="00011DE9">
            <w:pPr>
              <w:pStyle w:val="P68B1DB1-Normal19"/>
              <w:spacing w:after="0" w:line="240" w:lineRule="auto"/>
              <w:jc w:val="center"/>
              <w:rPr>
                <w:rFonts w:eastAsia="Times New Roman"/>
                <w:noProof/>
              </w:rPr>
            </w:pPr>
            <w:r>
              <w:rPr>
                <w:noProof/>
              </w:rPr>
              <w:t>C23.I6</w:t>
            </w:r>
          </w:p>
        </w:tc>
        <w:tc>
          <w:tcPr>
            <w:tcW w:w="921" w:type="dxa"/>
            <w:shd w:val="clear" w:color="auto" w:fill="C6EFCE"/>
            <w:noWrap/>
          </w:tcPr>
          <w:p w14:paraId="573FE078" w14:textId="77777777" w:rsidR="00011DE9" w:rsidRDefault="00011DE9">
            <w:pPr>
              <w:pStyle w:val="P68B1DB1-Normal19"/>
              <w:spacing w:after="0" w:line="240" w:lineRule="auto"/>
              <w:jc w:val="center"/>
              <w:rPr>
                <w:rFonts w:eastAsia="Times New Roman"/>
                <w:noProof/>
              </w:rPr>
            </w:pPr>
            <w:r>
              <w:rPr>
                <w:noProof/>
              </w:rPr>
              <w:t>T</w:t>
            </w:r>
          </w:p>
        </w:tc>
        <w:tc>
          <w:tcPr>
            <w:tcW w:w="2025" w:type="dxa"/>
            <w:shd w:val="clear" w:color="auto" w:fill="C6EFCE"/>
            <w:noWrap/>
          </w:tcPr>
          <w:p w14:paraId="48933655" w14:textId="1119392D" w:rsidR="00011DE9" w:rsidRDefault="00011DE9">
            <w:pPr>
              <w:pStyle w:val="P68B1DB1-Normal20"/>
              <w:spacing w:after="0" w:line="240" w:lineRule="auto"/>
              <w:rPr>
                <w:rFonts w:eastAsia="Times New Roman" w:cs="Times New Roman"/>
                <w:noProof/>
              </w:rPr>
            </w:pPr>
            <w:r>
              <w:rPr>
                <w:noProof/>
              </w:rPr>
              <w:t>Proiecte privind programele TRANSFORMA_ES, INICIATIVA_ES, IMPULSA-TEC, ALIANZA_ES și SOSTENIBLE_ES</w:t>
            </w:r>
            <w:r w:rsidR="00971820">
              <w:rPr>
                <w:noProof/>
              </w:rPr>
              <w:t xml:space="preserve"> </w:t>
            </w:r>
          </w:p>
        </w:tc>
        <w:tc>
          <w:tcPr>
            <w:tcW w:w="1519" w:type="dxa"/>
            <w:shd w:val="clear" w:color="auto" w:fill="C6EFCE"/>
            <w:noWrap/>
          </w:tcPr>
          <w:p w14:paraId="52983371" w14:textId="77777777" w:rsidR="00011DE9" w:rsidRDefault="00011DE9">
            <w:pPr>
              <w:pStyle w:val="P68B1DB1-Normal19"/>
              <w:spacing w:after="0" w:line="240" w:lineRule="auto"/>
              <w:jc w:val="center"/>
              <w:rPr>
                <w:rFonts w:eastAsia="Times New Roman"/>
                <w:noProof/>
              </w:rPr>
            </w:pPr>
            <w:r>
              <w:rPr>
                <w:noProof/>
              </w:rPr>
              <w:t>—</w:t>
            </w:r>
          </w:p>
        </w:tc>
        <w:tc>
          <w:tcPr>
            <w:tcW w:w="608" w:type="dxa"/>
            <w:shd w:val="clear" w:color="auto" w:fill="C6EFCE"/>
            <w:noWrap/>
          </w:tcPr>
          <w:p w14:paraId="33FA6AB7" w14:textId="77777777" w:rsidR="00011DE9" w:rsidRDefault="00011DE9">
            <w:pPr>
              <w:pStyle w:val="P68B1DB1-Normal19"/>
              <w:spacing w:after="0" w:line="240" w:lineRule="auto"/>
              <w:jc w:val="center"/>
              <w:rPr>
                <w:rFonts w:eastAsia="Times New Roman"/>
                <w:noProof/>
              </w:rPr>
            </w:pPr>
            <w:r>
              <w:rPr>
                <w:noProof/>
              </w:rPr>
              <w:t>Număr</w:t>
            </w:r>
          </w:p>
        </w:tc>
        <w:tc>
          <w:tcPr>
            <w:tcW w:w="992" w:type="dxa"/>
            <w:shd w:val="clear" w:color="auto" w:fill="C6EFCE"/>
            <w:noWrap/>
          </w:tcPr>
          <w:p w14:paraId="28DCC134" w14:textId="77777777" w:rsidR="00011DE9" w:rsidRDefault="00011DE9">
            <w:pPr>
              <w:pStyle w:val="P68B1DB1-Normal19"/>
              <w:spacing w:after="0" w:line="240" w:lineRule="auto"/>
              <w:jc w:val="right"/>
              <w:rPr>
                <w:rFonts w:eastAsia="Times New Roman"/>
                <w:noProof/>
              </w:rPr>
            </w:pPr>
            <w:r>
              <w:rPr>
                <w:noProof/>
              </w:rPr>
              <w:t>0</w:t>
            </w:r>
          </w:p>
        </w:tc>
        <w:tc>
          <w:tcPr>
            <w:tcW w:w="709" w:type="dxa"/>
            <w:shd w:val="clear" w:color="auto" w:fill="C6EFCE"/>
            <w:noWrap/>
          </w:tcPr>
          <w:p w14:paraId="37ECAFBF" w14:textId="77777777" w:rsidR="00011DE9" w:rsidRDefault="00011DE9">
            <w:pPr>
              <w:pStyle w:val="P68B1DB1-Normal19"/>
              <w:spacing w:after="0" w:line="240" w:lineRule="auto"/>
              <w:jc w:val="center"/>
              <w:rPr>
                <w:rFonts w:eastAsia="Times New Roman"/>
                <w:noProof/>
              </w:rPr>
            </w:pPr>
            <w:r>
              <w:rPr>
                <w:noProof/>
              </w:rPr>
              <w:t>250</w:t>
            </w:r>
          </w:p>
        </w:tc>
        <w:tc>
          <w:tcPr>
            <w:tcW w:w="486" w:type="dxa"/>
            <w:shd w:val="clear" w:color="auto" w:fill="C6EFCE"/>
            <w:noWrap/>
          </w:tcPr>
          <w:p w14:paraId="0E1F13A6" w14:textId="339D9271" w:rsidR="00011DE9" w:rsidRDefault="005701C9">
            <w:pPr>
              <w:pStyle w:val="P68B1DB1-Normal19"/>
              <w:spacing w:after="0" w:line="240" w:lineRule="auto"/>
              <w:jc w:val="center"/>
              <w:rPr>
                <w:rFonts w:eastAsia="Times New Roman"/>
                <w:noProof/>
              </w:rPr>
            </w:pPr>
            <w:r>
              <w:rPr>
                <w:noProof/>
              </w:rPr>
              <w:t>T4</w:t>
            </w:r>
          </w:p>
        </w:tc>
        <w:tc>
          <w:tcPr>
            <w:tcW w:w="528" w:type="dxa"/>
            <w:shd w:val="clear" w:color="auto" w:fill="C6EFCE"/>
            <w:noWrap/>
          </w:tcPr>
          <w:p w14:paraId="594171F0" w14:textId="77777777" w:rsidR="00011DE9" w:rsidRDefault="00011DE9">
            <w:pPr>
              <w:pStyle w:val="P68B1DB1-Normal19"/>
              <w:spacing w:after="0" w:line="240" w:lineRule="auto"/>
              <w:jc w:val="center"/>
              <w:rPr>
                <w:rFonts w:eastAsia="Times New Roman"/>
                <w:noProof/>
              </w:rPr>
            </w:pPr>
            <w:r>
              <w:rPr>
                <w:noProof/>
              </w:rPr>
              <w:t>2025</w:t>
            </w:r>
          </w:p>
        </w:tc>
        <w:tc>
          <w:tcPr>
            <w:tcW w:w="5506" w:type="dxa"/>
            <w:shd w:val="clear" w:color="auto" w:fill="C6EFCE"/>
            <w:noWrap/>
          </w:tcPr>
          <w:p w14:paraId="3EBCEB97" w14:textId="77777777" w:rsidR="00011DE9" w:rsidRDefault="00011DE9">
            <w:pPr>
              <w:pStyle w:val="P68B1DB1-Normal20"/>
              <w:spacing w:after="0" w:line="240" w:lineRule="auto"/>
              <w:rPr>
                <w:rFonts w:eastAsia="Times New Roman" w:cs="Times New Roman"/>
                <w:noProof/>
              </w:rPr>
            </w:pPr>
            <w:r>
              <w:rPr>
                <w:noProof/>
              </w:rPr>
              <w:t>250 rapoartele finale care confirmă finalizarea proiectelor atribuite se depun de către entitățile sau persoanele beneficiare pentru granturi în ceea ce privește programele TRANSFORMA_ES, INICIATIVA_ES, IMPULSA-TEC, ALIANZA_ES și SOSTENIBLE_ES, astfel cum sunt definite în Ordinul TES/1233/2022 din 5 decembrie și în Ordinul TES/869/2023 din 22 iulie, care stabilesc baza de reglementare pentru ajutorul acordat în cadrul Planului cuprinzător de promovare a economiei sociale pentru crearea unei fabrici economice durabile și favorabile incluziunii, în cadrul Planului de redresare și reziliență.</w:t>
            </w:r>
          </w:p>
        </w:tc>
      </w:tr>
      <w:tr w:rsidR="00011DE9" w14:paraId="28B7C0D1" w14:textId="77777777" w:rsidTr="003010A3">
        <w:trPr>
          <w:trHeight w:val="309"/>
          <w:jc w:val="center"/>
        </w:trPr>
        <w:tc>
          <w:tcPr>
            <w:tcW w:w="793" w:type="dxa"/>
            <w:shd w:val="clear" w:color="auto" w:fill="C6EFCE"/>
            <w:noWrap/>
          </w:tcPr>
          <w:p w14:paraId="4A0BE994" w14:textId="77777777" w:rsidR="00011DE9" w:rsidRDefault="00011DE9">
            <w:pPr>
              <w:pStyle w:val="P68B1DB1-Normal19"/>
              <w:spacing w:after="0" w:line="240" w:lineRule="auto"/>
              <w:jc w:val="center"/>
              <w:rPr>
                <w:rFonts w:eastAsia="Times New Roman"/>
                <w:noProof/>
              </w:rPr>
            </w:pPr>
            <w:r>
              <w:rPr>
                <w:noProof/>
              </w:rPr>
              <w:t>350</w:t>
            </w:r>
          </w:p>
        </w:tc>
        <w:tc>
          <w:tcPr>
            <w:tcW w:w="792" w:type="dxa"/>
            <w:shd w:val="clear" w:color="auto" w:fill="C6EFCE"/>
            <w:noWrap/>
          </w:tcPr>
          <w:p w14:paraId="460CBE96" w14:textId="77777777" w:rsidR="00011DE9" w:rsidRDefault="00011DE9">
            <w:pPr>
              <w:pStyle w:val="P68B1DB1-Normal19"/>
              <w:spacing w:after="0" w:line="240" w:lineRule="auto"/>
              <w:jc w:val="center"/>
              <w:rPr>
                <w:rFonts w:eastAsia="Times New Roman"/>
                <w:noProof/>
              </w:rPr>
            </w:pPr>
            <w:r>
              <w:rPr>
                <w:noProof/>
              </w:rPr>
              <w:t>C23.I7</w:t>
            </w:r>
          </w:p>
        </w:tc>
        <w:tc>
          <w:tcPr>
            <w:tcW w:w="921" w:type="dxa"/>
            <w:shd w:val="clear" w:color="auto" w:fill="C6EFCE"/>
            <w:noWrap/>
          </w:tcPr>
          <w:p w14:paraId="71F868F1" w14:textId="77777777" w:rsidR="00011DE9" w:rsidRDefault="00011DE9">
            <w:pPr>
              <w:pStyle w:val="P68B1DB1-Normal19"/>
              <w:spacing w:after="0" w:line="240" w:lineRule="auto"/>
              <w:jc w:val="center"/>
              <w:rPr>
                <w:rFonts w:eastAsia="Times New Roman"/>
                <w:noProof/>
              </w:rPr>
            </w:pPr>
            <w:r>
              <w:rPr>
                <w:noProof/>
              </w:rPr>
              <w:t>M</w:t>
            </w:r>
          </w:p>
        </w:tc>
        <w:tc>
          <w:tcPr>
            <w:tcW w:w="2025" w:type="dxa"/>
            <w:shd w:val="clear" w:color="auto" w:fill="C6EFCE"/>
            <w:noWrap/>
          </w:tcPr>
          <w:p w14:paraId="61DEC755" w14:textId="77777777" w:rsidR="00011DE9" w:rsidRDefault="00011DE9">
            <w:pPr>
              <w:pStyle w:val="P68B1DB1-Normal19"/>
              <w:spacing w:after="0" w:line="240" w:lineRule="auto"/>
              <w:rPr>
                <w:rFonts w:eastAsia="Times New Roman"/>
                <w:noProof/>
              </w:rPr>
            </w:pPr>
            <w:r>
              <w:rPr>
                <w:noProof/>
              </w:rPr>
              <w:t>Îmbunătățirea ratei de adoptare a venitului minim de subzistență (IMV) și creșterea eficacității acestuia prin politici de incluziune</w:t>
            </w:r>
          </w:p>
        </w:tc>
        <w:tc>
          <w:tcPr>
            <w:tcW w:w="1519" w:type="dxa"/>
            <w:shd w:val="clear" w:color="auto" w:fill="C6EFCE"/>
            <w:noWrap/>
          </w:tcPr>
          <w:p w14:paraId="3A91E35E" w14:textId="77777777" w:rsidR="00011DE9" w:rsidRDefault="00011DE9">
            <w:pPr>
              <w:pStyle w:val="P68B1DB1-Normal19"/>
              <w:spacing w:after="0" w:line="240" w:lineRule="auto"/>
              <w:jc w:val="center"/>
              <w:rPr>
                <w:rFonts w:eastAsia="Times New Roman"/>
                <w:noProof/>
              </w:rPr>
            </w:pPr>
            <w:r>
              <w:rPr>
                <w:noProof/>
              </w:rPr>
              <w:t>Publicarea acordului de parteneriat („</w:t>
            </w:r>
            <w:r>
              <w:rPr>
                <w:i/>
                <w:noProof/>
              </w:rPr>
              <w:t>Convenio”</w:t>
            </w:r>
            <w:r>
              <w:rPr>
                <w:noProof/>
              </w:rPr>
              <w:t>)</w:t>
            </w:r>
          </w:p>
        </w:tc>
        <w:tc>
          <w:tcPr>
            <w:tcW w:w="608" w:type="dxa"/>
            <w:shd w:val="clear" w:color="auto" w:fill="C6EFCE"/>
            <w:noWrap/>
          </w:tcPr>
          <w:p w14:paraId="09CC5EAD" w14:textId="77777777" w:rsidR="00011DE9" w:rsidRDefault="00011DE9">
            <w:pPr>
              <w:pStyle w:val="P68B1DB1-Normal19"/>
              <w:spacing w:after="0" w:line="240" w:lineRule="auto"/>
              <w:jc w:val="center"/>
              <w:rPr>
                <w:rFonts w:eastAsia="Times New Roman"/>
                <w:noProof/>
              </w:rPr>
            </w:pPr>
            <w:r>
              <w:rPr>
                <w:noProof/>
              </w:rPr>
              <w:t xml:space="preserve"> </w:t>
            </w:r>
          </w:p>
        </w:tc>
        <w:tc>
          <w:tcPr>
            <w:tcW w:w="992" w:type="dxa"/>
            <w:shd w:val="clear" w:color="auto" w:fill="C6EFCE"/>
            <w:noWrap/>
          </w:tcPr>
          <w:p w14:paraId="0058B7F1" w14:textId="77777777" w:rsidR="00011DE9" w:rsidRDefault="00011DE9">
            <w:pPr>
              <w:pStyle w:val="P68B1DB1-Normal19"/>
              <w:spacing w:after="0" w:line="240" w:lineRule="auto"/>
              <w:jc w:val="center"/>
              <w:rPr>
                <w:rFonts w:eastAsia="Times New Roman"/>
                <w:noProof/>
              </w:rPr>
            </w:pPr>
            <w:r>
              <w:rPr>
                <w:noProof/>
              </w:rPr>
              <w:t xml:space="preserve"> </w:t>
            </w:r>
          </w:p>
        </w:tc>
        <w:tc>
          <w:tcPr>
            <w:tcW w:w="709" w:type="dxa"/>
            <w:shd w:val="clear" w:color="auto" w:fill="C6EFCE"/>
            <w:noWrap/>
          </w:tcPr>
          <w:p w14:paraId="669548A7" w14:textId="77777777" w:rsidR="00011DE9" w:rsidRDefault="00011DE9">
            <w:pPr>
              <w:pStyle w:val="P68B1DB1-Normal19"/>
              <w:spacing w:after="0" w:line="240" w:lineRule="auto"/>
              <w:jc w:val="center"/>
              <w:rPr>
                <w:rFonts w:eastAsia="Times New Roman"/>
                <w:noProof/>
              </w:rPr>
            </w:pPr>
            <w:r>
              <w:rPr>
                <w:noProof/>
              </w:rPr>
              <w:t xml:space="preserve"> </w:t>
            </w:r>
          </w:p>
        </w:tc>
        <w:tc>
          <w:tcPr>
            <w:tcW w:w="486" w:type="dxa"/>
            <w:shd w:val="clear" w:color="auto" w:fill="C6EFCE"/>
            <w:noWrap/>
          </w:tcPr>
          <w:p w14:paraId="0811200A" w14:textId="101A658A" w:rsidR="00011DE9" w:rsidRDefault="003010A3">
            <w:pPr>
              <w:pStyle w:val="P68B1DB1-Normal19"/>
              <w:spacing w:after="0" w:line="240" w:lineRule="auto"/>
              <w:jc w:val="center"/>
              <w:rPr>
                <w:rFonts w:eastAsia="Times New Roman"/>
                <w:noProof/>
              </w:rPr>
            </w:pPr>
            <w:r>
              <w:rPr>
                <w:noProof/>
              </w:rPr>
              <w:t>T1</w:t>
            </w:r>
          </w:p>
        </w:tc>
        <w:tc>
          <w:tcPr>
            <w:tcW w:w="528" w:type="dxa"/>
            <w:shd w:val="clear" w:color="auto" w:fill="C6EFCE"/>
            <w:noWrap/>
          </w:tcPr>
          <w:p w14:paraId="1406DAAE" w14:textId="77777777" w:rsidR="00011DE9" w:rsidRDefault="00011DE9">
            <w:pPr>
              <w:pStyle w:val="P68B1DB1-Normal19"/>
              <w:spacing w:after="0" w:line="240" w:lineRule="auto"/>
              <w:jc w:val="center"/>
              <w:rPr>
                <w:rFonts w:eastAsia="Times New Roman"/>
                <w:noProof/>
              </w:rPr>
            </w:pPr>
            <w:r>
              <w:rPr>
                <w:noProof/>
              </w:rPr>
              <w:t>2022</w:t>
            </w:r>
          </w:p>
        </w:tc>
        <w:tc>
          <w:tcPr>
            <w:tcW w:w="5506" w:type="dxa"/>
            <w:shd w:val="clear" w:color="auto" w:fill="C6EFCE"/>
            <w:noWrap/>
          </w:tcPr>
          <w:p w14:paraId="65FFFDC8" w14:textId="77777777" w:rsidR="00011DE9" w:rsidRDefault="00011DE9">
            <w:pPr>
              <w:pStyle w:val="P68B1DB1-Normal19"/>
              <w:spacing w:after="0" w:line="240" w:lineRule="auto"/>
              <w:rPr>
                <w:rFonts w:eastAsia="Times New Roman"/>
                <w:noProof/>
              </w:rPr>
            </w:pPr>
            <w:r>
              <w:rPr>
                <w:noProof/>
              </w:rPr>
              <w:t>Sprijinirea incluziunii socioeconomice a beneficiarilor IMV prin intermediul unor căi: opt acorduri de parteneriat semnate cu administrațiile publice subnaționale, cu partenerii sociali și cu entitățile de acțiune socială din sectorul terțiar pentru a realiza parcursurile. Aceste acorduri de parteneriat au următoarele obiective: I) îmbunătățirea ratei de adoptare a IMV; II) creșterea eficacității IMV prin politici de incluziune.</w:t>
            </w:r>
          </w:p>
        </w:tc>
      </w:tr>
      <w:tr w:rsidR="00011DE9" w14:paraId="740E3D5A" w14:textId="77777777" w:rsidTr="003010A3">
        <w:trPr>
          <w:trHeight w:val="309"/>
          <w:jc w:val="center"/>
        </w:trPr>
        <w:tc>
          <w:tcPr>
            <w:tcW w:w="793" w:type="dxa"/>
            <w:shd w:val="clear" w:color="auto" w:fill="C6EFCE"/>
            <w:noWrap/>
          </w:tcPr>
          <w:p w14:paraId="2C6CDFA1" w14:textId="77777777" w:rsidR="00011DE9" w:rsidRDefault="00011DE9">
            <w:pPr>
              <w:pStyle w:val="P68B1DB1-Normal19"/>
              <w:spacing w:after="0" w:line="240" w:lineRule="auto"/>
              <w:jc w:val="center"/>
              <w:rPr>
                <w:noProof/>
              </w:rPr>
            </w:pPr>
            <w:r>
              <w:rPr>
                <w:noProof/>
              </w:rPr>
              <w:t>351</w:t>
            </w:r>
          </w:p>
        </w:tc>
        <w:tc>
          <w:tcPr>
            <w:tcW w:w="792" w:type="dxa"/>
            <w:shd w:val="clear" w:color="auto" w:fill="C6EFCE"/>
            <w:noWrap/>
          </w:tcPr>
          <w:p w14:paraId="67CBE4D3" w14:textId="77777777" w:rsidR="00011DE9" w:rsidRDefault="00011DE9">
            <w:pPr>
              <w:pStyle w:val="P68B1DB1-Normal19"/>
              <w:spacing w:after="0" w:line="240" w:lineRule="auto"/>
              <w:jc w:val="center"/>
              <w:rPr>
                <w:noProof/>
              </w:rPr>
            </w:pPr>
            <w:r>
              <w:rPr>
                <w:noProof/>
              </w:rPr>
              <w:t>C23.I7</w:t>
            </w:r>
          </w:p>
        </w:tc>
        <w:tc>
          <w:tcPr>
            <w:tcW w:w="921" w:type="dxa"/>
            <w:shd w:val="clear" w:color="auto" w:fill="C6EFCE"/>
            <w:noWrap/>
          </w:tcPr>
          <w:p w14:paraId="14165B7B" w14:textId="77777777" w:rsidR="00011DE9" w:rsidRDefault="00011DE9">
            <w:pPr>
              <w:pStyle w:val="P68B1DB1-Normal19"/>
              <w:spacing w:after="0" w:line="240" w:lineRule="auto"/>
              <w:jc w:val="center"/>
              <w:rPr>
                <w:noProof/>
              </w:rPr>
            </w:pPr>
            <w:r>
              <w:rPr>
                <w:noProof/>
              </w:rPr>
              <w:t>M</w:t>
            </w:r>
          </w:p>
        </w:tc>
        <w:tc>
          <w:tcPr>
            <w:tcW w:w="2025" w:type="dxa"/>
            <w:shd w:val="clear" w:color="auto" w:fill="C6EFCE"/>
            <w:noWrap/>
          </w:tcPr>
          <w:p w14:paraId="38C03595" w14:textId="77777777" w:rsidR="00011DE9" w:rsidRDefault="00011DE9">
            <w:pPr>
              <w:pStyle w:val="P68B1DB1-Normal20"/>
              <w:spacing w:after="0" w:line="240" w:lineRule="auto"/>
              <w:rPr>
                <w:rFonts w:cs="Times New Roman"/>
                <w:noProof/>
              </w:rPr>
            </w:pPr>
            <w:r>
              <w:rPr>
                <w:noProof/>
              </w:rPr>
              <w:t>Raport de evaluare privind rezultatele proiectelor-pilot legate de sistemul de venit minim sau de grupurile vulnerabile</w:t>
            </w:r>
          </w:p>
        </w:tc>
        <w:tc>
          <w:tcPr>
            <w:tcW w:w="1519" w:type="dxa"/>
            <w:shd w:val="clear" w:color="auto" w:fill="C6EFCE"/>
            <w:noWrap/>
          </w:tcPr>
          <w:p w14:paraId="40D45BF0" w14:textId="77777777" w:rsidR="00011DE9" w:rsidRDefault="00011DE9">
            <w:pPr>
              <w:pStyle w:val="P68B1DB1-Normal19"/>
              <w:spacing w:after="0" w:line="240" w:lineRule="auto"/>
              <w:jc w:val="center"/>
              <w:rPr>
                <w:noProof/>
              </w:rPr>
            </w:pPr>
            <w:r>
              <w:rPr>
                <w:noProof/>
              </w:rPr>
              <w:t>Publicarea raportului de evaluare pe site-ul ministerului de resort</w:t>
            </w:r>
          </w:p>
        </w:tc>
        <w:tc>
          <w:tcPr>
            <w:tcW w:w="608" w:type="dxa"/>
            <w:shd w:val="clear" w:color="auto" w:fill="C6EFCE"/>
            <w:noWrap/>
          </w:tcPr>
          <w:p w14:paraId="2DD7D29E" w14:textId="77777777" w:rsidR="00011DE9" w:rsidRDefault="00011DE9">
            <w:pPr>
              <w:pStyle w:val="P68B1DB1-Normal19"/>
              <w:spacing w:after="0" w:line="240" w:lineRule="auto"/>
              <w:jc w:val="center"/>
              <w:rPr>
                <w:noProof/>
              </w:rPr>
            </w:pPr>
            <w:r>
              <w:rPr>
                <w:noProof/>
              </w:rPr>
              <w:t xml:space="preserve"> </w:t>
            </w:r>
          </w:p>
        </w:tc>
        <w:tc>
          <w:tcPr>
            <w:tcW w:w="992" w:type="dxa"/>
            <w:shd w:val="clear" w:color="auto" w:fill="C6EFCE"/>
            <w:noWrap/>
          </w:tcPr>
          <w:p w14:paraId="4BB7B55D" w14:textId="77777777" w:rsidR="00011DE9" w:rsidRDefault="00011DE9">
            <w:pPr>
              <w:pStyle w:val="P68B1DB1-Normal19"/>
              <w:spacing w:after="0" w:line="240" w:lineRule="auto"/>
              <w:jc w:val="right"/>
              <w:rPr>
                <w:noProof/>
              </w:rPr>
            </w:pPr>
            <w:r>
              <w:rPr>
                <w:noProof/>
              </w:rPr>
              <w:t xml:space="preserve"> </w:t>
            </w:r>
          </w:p>
        </w:tc>
        <w:tc>
          <w:tcPr>
            <w:tcW w:w="709" w:type="dxa"/>
            <w:shd w:val="clear" w:color="auto" w:fill="C6EFCE"/>
            <w:noWrap/>
          </w:tcPr>
          <w:p w14:paraId="61B592F1" w14:textId="77777777" w:rsidR="00011DE9" w:rsidRDefault="00011DE9">
            <w:pPr>
              <w:pStyle w:val="P68B1DB1-Normal19"/>
              <w:spacing w:after="0" w:line="240" w:lineRule="auto"/>
              <w:jc w:val="right"/>
              <w:rPr>
                <w:noProof/>
              </w:rPr>
            </w:pPr>
            <w:r>
              <w:rPr>
                <w:noProof/>
              </w:rPr>
              <w:t xml:space="preserve"> </w:t>
            </w:r>
          </w:p>
        </w:tc>
        <w:tc>
          <w:tcPr>
            <w:tcW w:w="486" w:type="dxa"/>
            <w:shd w:val="clear" w:color="auto" w:fill="C6EFCE"/>
            <w:noWrap/>
          </w:tcPr>
          <w:p w14:paraId="0DD2FF72" w14:textId="27AB839A" w:rsidR="00011DE9" w:rsidRDefault="005701C9">
            <w:pPr>
              <w:pStyle w:val="P68B1DB1-Normal20"/>
              <w:spacing w:after="0" w:line="240" w:lineRule="auto"/>
              <w:jc w:val="center"/>
              <w:rPr>
                <w:rFonts w:cs="Times New Roman"/>
                <w:noProof/>
              </w:rPr>
            </w:pPr>
            <w:r>
              <w:rPr>
                <w:noProof/>
              </w:rPr>
              <w:t>T4</w:t>
            </w:r>
          </w:p>
        </w:tc>
        <w:tc>
          <w:tcPr>
            <w:tcW w:w="528" w:type="dxa"/>
            <w:shd w:val="clear" w:color="auto" w:fill="C6EFCE"/>
            <w:noWrap/>
          </w:tcPr>
          <w:p w14:paraId="729E6E5C" w14:textId="77777777" w:rsidR="00011DE9" w:rsidRDefault="00011DE9">
            <w:pPr>
              <w:pStyle w:val="P68B1DB1-Normal20"/>
              <w:spacing w:after="0" w:line="240" w:lineRule="auto"/>
              <w:jc w:val="center"/>
              <w:rPr>
                <w:rFonts w:cs="Times New Roman"/>
                <w:noProof/>
              </w:rPr>
            </w:pPr>
            <w:r>
              <w:rPr>
                <w:noProof/>
              </w:rPr>
              <w:t>2025</w:t>
            </w:r>
          </w:p>
        </w:tc>
        <w:tc>
          <w:tcPr>
            <w:tcW w:w="5506" w:type="dxa"/>
            <w:shd w:val="clear" w:color="auto" w:fill="C6EFCE"/>
            <w:noWrap/>
          </w:tcPr>
          <w:p w14:paraId="42FCB73B" w14:textId="77777777" w:rsidR="00011DE9" w:rsidRDefault="00011DE9">
            <w:pPr>
              <w:pStyle w:val="P68B1DB1-Normal20"/>
              <w:spacing w:after="0" w:line="240" w:lineRule="auto"/>
              <w:rPr>
                <w:rFonts w:cs="Times New Roman"/>
                <w:noProof/>
              </w:rPr>
            </w:pPr>
            <w:r>
              <w:rPr>
                <w:noProof/>
              </w:rPr>
              <w:t>Publicarea unui raport de evaluare pe site-ul instituțional al ministerului de resort cu privire la rezultatele a 18 proiecte-pilot legate de sistemul de venit minim sau de grupurile vulnerabile. Raportul de evaluare ar trebui să includă recomandări pentru elaborarea politicilor publice și pentru extinderea itinerarelor de incluziune în cadrul administrațiilor publice.</w:t>
            </w:r>
          </w:p>
        </w:tc>
      </w:tr>
    </w:tbl>
    <w:p w14:paraId="6154AD9D" w14:textId="77777777" w:rsidR="00011DE9" w:rsidRDefault="00011DE9">
      <w:pPr>
        <w:spacing w:before="120" w:after="120" w:line="240" w:lineRule="auto"/>
        <w:jc w:val="both"/>
        <w:rPr>
          <w:rFonts w:ascii="Times New Roman" w:hAnsi="Times New Roman" w:cs="Times New Roman"/>
          <w:noProof/>
        </w:rPr>
        <w:sectPr w:rsidR="00011DE9" w:rsidSect="00011DE9">
          <w:headerReference w:type="even" r:id="rId324"/>
          <w:headerReference w:type="default" r:id="rId325"/>
          <w:footerReference w:type="even" r:id="rId326"/>
          <w:footerReference w:type="default" r:id="rId327"/>
          <w:headerReference w:type="first" r:id="rId328"/>
          <w:footerReference w:type="first" r:id="rId329"/>
          <w:pgSz w:w="16839" w:h="11907" w:orient="landscape"/>
          <w:pgMar w:top="1134" w:right="1134" w:bottom="1134" w:left="1134" w:header="567" w:footer="567" w:gutter="0"/>
          <w:cols w:space="720"/>
          <w:docGrid w:linePitch="360"/>
        </w:sectPr>
      </w:pPr>
    </w:p>
    <w:p w14:paraId="08954D0F" w14:textId="77777777" w:rsidR="00011DE9" w:rsidRDefault="00011DE9">
      <w:pPr>
        <w:pStyle w:val="Heading1"/>
        <w:rPr>
          <w:rFonts w:cs="Times New Roman"/>
          <w:noProof/>
        </w:rPr>
      </w:pPr>
      <w:r>
        <w:rPr>
          <w:noProof/>
        </w:rPr>
        <w:t>X. COMPONENTA 24: Industria culturală</w:t>
      </w:r>
    </w:p>
    <w:p w14:paraId="62B9F6F0" w14:textId="68E2076E" w:rsidR="00011DE9" w:rsidRDefault="00011DE9">
      <w:pPr>
        <w:pStyle w:val="P68B1DB1-Normal16"/>
        <w:spacing w:before="120" w:after="120" w:line="240" w:lineRule="auto"/>
        <w:jc w:val="both"/>
        <w:rPr>
          <w:rFonts w:cs="Times New Roman"/>
          <w:noProof/>
        </w:rPr>
      </w:pPr>
      <w:r>
        <w:rPr>
          <w:noProof/>
        </w:rPr>
        <w:t>Industria culturală joacă un rol important în economia spaniolă, reprezentând 3,2 % din PIB-ul țării, precum și 3,6 % din totalul locurilor de muncă din țară înainte de pandemia de COVID-19. În plus, aceasta are o valoare indispensabilă pentru societate, după cum o demonstrează nivelul ridicat de participare culturală a populației spaniole înainte de pandemie. Cu toate acestea, industria suferă de o serie de caracteristici structurale care au împiedicat-o să își valorifice întregul potențial și au făcut-o deosebit de vulnerabilă în perioade de criză.</w:t>
      </w:r>
      <w:r w:rsidR="00971820">
        <w:rPr>
          <w:noProof/>
        </w:rPr>
        <w:t xml:space="preserve"> </w:t>
      </w:r>
    </w:p>
    <w:p w14:paraId="134341C3" w14:textId="77777777" w:rsidR="00011DE9" w:rsidRDefault="00011DE9">
      <w:pPr>
        <w:pStyle w:val="P68B1DB1-Normal16"/>
        <w:spacing w:before="120" w:after="120" w:line="240" w:lineRule="auto"/>
        <w:jc w:val="both"/>
        <w:rPr>
          <w:rFonts w:cs="Times New Roman"/>
          <w:noProof/>
        </w:rPr>
      </w:pPr>
      <w:r>
        <w:rPr>
          <w:noProof/>
        </w:rPr>
        <w:t xml:space="preserve">În acest context, componenta 24 a planului spaniol de redresare și reziliență include reforme și investiții menite să reformeze cadrul de lucru al artiștilor și să consolideze și să modernizeze structura antreprenorială culturală. </w:t>
      </w:r>
    </w:p>
    <w:p w14:paraId="163E90E3" w14:textId="77777777" w:rsidR="00011DE9" w:rsidRDefault="00011DE9">
      <w:pPr>
        <w:pStyle w:val="P68B1DB1-Normal16"/>
        <w:spacing w:before="120" w:after="120" w:line="240" w:lineRule="auto"/>
        <w:jc w:val="both"/>
        <w:rPr>
          <w:rFonts w:cs="Times New Roman"/>
          <w:noProof/>
        </w:rPr>
      </w:pPr>
      <w:r>
        <w:rPr>
          <w:noProof/>
        </w:rPr>
        <w:t xml:space="preserve">Componenta abordează recomandările specifice fiecărei țări privind promovarea investițiilor pentru a susține economia și a sprijini redresarea în urma pandemiei de COVID-19 (Recomandarea specifică fiecărei țări 1 2020) și privind sprijinirea ocupării forței de muncă, consolidarea protecției împotriva șomajului și îmbunătățirea accesului la învățarea digitală (Recomandarea specifică fiecărei țări 2 2020). </w:t>
      </w:r>
    </w:p>
    <w:p w14:paraId="79490D08" w14:textId="77777777" w:rsidR="00011DE9" w:rsidRDefault="00011DE9">
      <w:pPr>
        <w:pStyle w:val="P68B1DB1-Normal16"/>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0285F16F" w14:textId="46AE499C" w:rsidR="00011DE9" w:rsidRDefault="00011DE9">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X.1.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678BD6CF" w14:textId="77777777" w:rsidR="00011DE9" w:rsidRDefault="00011DE9">
      <w:pPr>
        <w:pStyle w:val="P68B1DB1-Normal17"/>
        <w:spacing w:before="120" w:after="120" w:line="240" w:lineRule="auto"/>
        <w:jc w:val="both"/>
        <w:rPr>
          <w:rFonts w:cs="Times New Roman"/>
          <w:noProof/>
        </w:rPr>
      </w:pPr>
      <w:r>
        <w:rPr>
          <w:noProof/>
        </w:rPr>
        <w:t>Reforma 1 (C24.R1) – Dezvoltarea statutului artistului și promovarea investițiilor, a sponsorizării culturale și a participării</w:t>
      </w:r>
    </w:p>
    <w:p w14:paraId="7ABCB8D6" w14:textId="77777777" w:rsidR="00011DE9" w:rsidRDefault="00011DE9">
      <w:pPr>
        <w:pStyle w:val="P68B1DB1-Normal16"/>
        <w:spacing w:before="120" w:after="120" w:line="240" w:lineRule="auto"/>
        <w:jc w:val="both"/>
        <w:rPr>
          <w:rFonts w:cs="Times New Roman"/>
          <w:noProof/>
        </w:rPr>
      </w:pPr>
      <w:r>
        <w:rPr>
          <w:noProof/>
        </w:rPr>
        <w:t xml:space="preserve">Această reformă urmărește să abordeze provocarea care decurge din faptul că reglementările existente în domeniul muncii și al impozitării nu țin seama de particularitățile sectorului cultural (cum ar fi veniturile neregulate și modelele de muncă neregulate) și de necesitatea de a atrage finanțare privată dincolo de sprijinul public. </w:t>
      </w:r>
    </w:p>
    <w:p w14:paraId="350BE154" w14:textId="77777777" w:rsidR="00011DE9" w:rsidRDefault="00011DE9">
      <w:pPr>
        <w:pStyle w:val="P68B1DB1-Normal16"/>
        <w:spacing w:before="120" w:after="120" w:line="240" w:lineRule="auto"/>
        <w:jc w:val="both"/>
        <w:rPr>
          <w:rFonts w:cs="Times New Roman"/>
          <w:noProof/>
        </w:rPr>
      </w:pPr>
      <w:r>
        <w:rPr>
          <w:noProof/>
        </w:rPr>
        <w:t xml:space="preserve">Reforma dezvoltă un cadru juridic, fiscal și de muncă adecvat pentru sectorul cultural, pentru a îmbunătăți protecția socială a diferiților actori din sector, precum și pentru a spori atractivitatea investițiilor private. </w:t>
      </w:r>
    </w:p>
    <w:p w14:paraId="23D02976" w14:textId="7BD81CC8" w:rsidR="00011DE9" w:rsidRDefault="00011DE9">
      <w:pPr>
        <w:pStyle w:val="P68B1DB1-Normal16"/>
        <w:spacing w:before="120" w:after="120" w:line="240" w:lineRule="auto"/>
        <w:jc w:val="both"/>
        <w:rPr>
          <w:rFonts w:cs="Times New Roman"/>
          <w:noProof/>
        </w:rPr>
      </w:pPr>
      <w:r>
        <w:rPr>
          <w:noProof/>
        </w:rPr>
        <w:t>Această reformă aprobă modificările în materie de reglementare pentru punerea în aplicare a statutului artistului, inclusiv modificările în materie de reglementare cu privire la următoarele aspecte:</w:t>
      </w:r>
      <w:r w:rsidR="00971820">
        <w:rPr>
          <w:noProof/>
        </w:rPr>
        <w:t xml:space="preserve"> </w:t>
      </w:r>
    </w:p>
    <w:p w14:paraId="03D35476" w14:textId="77777777" w:rsidR="00011DE9" w:rsidRDefault="00011DE9">
      <w:pPr>
        <w:pStyle w:val="P68B1DB1-Normal16"/>
        <w:numPr>
          <w:ilvl w:val="0"/>
          <w:numId w:val="173"/>
        </w:numPr>
        <w:spacing w:before="120" w:after="120" w:line="240" w:lineRule="auto"/>
        <w:ind w:left="426" w:hanging="426"/>
        <w:jc w:val="both"/>
        <w:rPr>
          <w:rFonts w:cs="Times New Roman"/>
          <w:noProof/>
        </w:rPr>
      </w:pPr>
      <w:r>
        <w:rPr>
          <w:noProof/>
        </w:rPr>
        <w:t>caracterul adecvat al TVA-ului și al impozitului pe venitul persoanelor fizice;</w:t>
      </w:r>
    </w:p>
    <w:p w14:paraId="5D5BD602" w14:textId="77777777" w:rsidR="00011DE9" w:rsidRDefault="00011DE9">
      <w:pPr>
        <w:pStyle w:val="P68B1DB1-Normal16"/>
        <w:numPr>
          <w:ilvl w:val="0"/>
          <w:numId w:val="173"/>
        </w:numPr>
        <w:spacing w:before="120" w:after="120" w:line="240" w:lineRule="auto"/>
        <w:ind w:left="426" w:hanging="426"/>
        <w:jc w:val="both"/>
        <w:rPr>
          <w:rFonts w:cs="Times New Roman"/>
          <w:noProof/>
        </w:rPr>
      </w:pPr>
      <w:r>
        <w:rPr>
          <w:noProof/>
        </w:rPr>
        <w:t xml:space="preserve">reprezentativitatea sindicală; </w:t>
      </w:r>
    </w:p>
    <w:p w14:paraId="272DEBD6" w14:textId="77777777" w:rsidR="00011DE9" w:rsidRDefault="00011DE9">
      <w:pPr>
        <w:pStyle w:val="P68B1DB1-Normal16"/>
        <w:numPr>
          <w:ilvl w:val="0"/>
          <w:numId w:val="173"/>
        </w:numPr>
        <w:spacing w:before="120" w:after="120" w:line="240" w:lineRule="auto"/>
        <w:ind w:left="426" w:hanging="426"/>
        <w:jc w:val="both"/>
        <w:rPr>
          <w:rFonts w:cs="Times New Roman"/>
          <w:noProof/>
        </w:rPr>
      </w:pPr>
      <w:r>
        <w:rPr>
          <w:noProof/>
        </w:rPr>
        <w:t xml:space="preserve">sănătatea și raporturile speciale de muncă ale artiștilor în carierele publice; </w:t>
      </w:r>
    </w:p>
    <w:p w14:paraId="27BD33CE" w14:textId="77777777" w:rsidR="00011DE9" w:rsidRDefault="00011DE9">
      <w:pPr>
        <w:pStyle w:val="P68B1DB1-Normal16"/>
        <w:numPr>
          <w:ilvl w:val="0"/>
          <w:numId w:val="173"/>
        </w:numPr>
        <w:spacing w:before="120" w:after="120" w:line="240" w:lineRule="auto"/>
        <w:ind w:left="426" w:hanging="426"/>
        <w:jc w:val="both"/>
        <w:rPr>
          <w:rFonts w:cs="Times New Roman"/>
          <w:noProof/>
        </w:rPr>
      </w:pPr>
      <w:r>
        <w:rPr>
          <w:noProof/>
        </w:rPr>
        <w:t xml:space="preserve">reglementarea sponsorizărilor; </w:t>
      </w:r>
    </w:p>
    <w:p w14:paraId="20792F1E" w14:textId="77777777" w:rsidR="00011DE9" w:rsidRDefault="00011DE9">
      <w:pPr>
        <w:pStyle w:val="P68B1DB1-Normal16"/>
        <w:numPr>
          <w:ilvl w:val="0"/>
          <w:numId w:val="173"/>
        </w:numPr>
        <w:spacing w:before="120" w:after="120" w:line="240" w:lineRule="auto"/>
        <w:ind w:left="426" w:hanging="426"/>
        <w:jc w:val="both"/>
        <w:rPr>
          <w:rFonts w:cs="Times New Roman"/>
          <w:noProof/>
        </w:rPr>
      </w:pPr>
      <w:r>
        <w:rPr>
          <w:noProof/>
        </w:rPr>
        <w:t xml:space="preserve">regimul stimulentelor fiscale. </w:t>
      </w:r>
    </w:p>
    <w:p w14:paraId="64115E19" w14:textId="77777777" w:rsidR="00011DE9" w:rsidRDefault="00011DE9">
      <w:pPr>
        <w:pStyle w:val="P68B1DB1-Normal16"/>
        <w:spacing w:before="60" w:after="60" w:line="240" w:lineRule="auto"/>
        <w:jc w:val="both"/>
        <w:rPr>
          <w:rFonts w:cs="Times New Roman"/>
          <w:noProof/>
        </w:rPr>
      </w:pPr>
      <w:r>
        <w:rPr>
          <w:noProof/>
        </w:rPr>
        <w:t>Aceste modificări sunt puse în aplicare prin crearea Comitetului interministerial privind statutul artistului și prin elaborarea de propuneri legislative în 2021, odată cu intrarea în vigoare a instrumentului juridic până la 31 decembrie 2022. Măsurile de încurajare a investițiilor private în sectorul cultural sunt, de asemenea, puse în aplicare în perioada 2021-2023.</w:t>
      </w:r>
    </w:p>
    <w:p w14:paraId="0953DADF" w14:textId="77777777" w:rsidR="00011DE9" w:rsidRDefault="00011DE9">
      <w:pPr>
        <w:pStyle w:val="P68B1DB1-Normal16"/>
        <w:spacing w:before="120" w:after="120" w:line="240" w:lineRule="auto"/>
        <w:jc w:val="both"/>
        <w:rPr>
          <w:rFonts w:cs="Times New Roman"/>
          <w:noProof/>
        </w:rPr>
      </w:pPr>
      <w:r>
        <w:rPr>
          <w:noProof/>
        </w:rPr>
        <w:t xml:space="preserve">Punerea în aplicare a măsurii se finalizează până la 31 decembrie 2022. </w:t>
      </w:r>
    </w:p>
    <w:p w14:paraId="7100652A" w14:textId="77777777" w:rsidR="00011DE9" w:rsidRDefault="00011DE9">
      <w:pPr>
        <w:spacing w:before="60" w:after="60" w:line="240" w:lineRule="auto"/>
        <w:jc w:val="both"/>
        <w:rPr>
          <w:rFonts w:ascii="Times New Roman" w:hAnsi="Times New Roman" w:cs="Times New Roman"/>
          <w:noProof/>
        </w:rPr>
      </w:pPr>
    </w:p>
    <w:p w14:paraId="3735F964" w14:textId="77777777" w:rsidR="00011DE9" w:rsidRDefault="00011DE9">
      <w:pPr>
        <w:pStyle w:val="P68B1DB1-Normal17"/>
        <w:spacing w:before="120" w:after="120" w:line="240" w:lineRule="auto"/>
        <w:jc w:val="both"/>
        <w:rPr>
          <w:rFonts w:cs="Times New Roman"/>
          <w:noProof/>
        </w:rPr>
      </w:pPr>
      <w:r>
        <w:rPr>
          <w:noProof/>
        </w:rPr>
        <w:t xml:space="preserve">Investiția 1 (C24.I1) – Consolidarea competitivității industriilor culturale </w:t>
      </w:r>
    </w:p>
    <w:p w14:paraId="2CAD31FE" w14:textId="77777777" w:rsidR="00011DE9" w:rsidRDefault="00011DE9">
      <w:pPr>
        <w:pStyle w:val="P68B1DB1-Normal16"/>
        <w:spacing w:before="120" w:after="120" w:line="240" w:lineRule="auto"/>
        <w:jc w:val="both"/>
        <w:rPr>
          <w:rFonts w:cs="Times New Roman"/>
          <w:noProof/>
        </w:rPr>
      </w:pPr>
      <w:r>
        <w:rPr>
          <w:noProof/>
        </w:rPr>
        <w:t>Obiectivul măsurii este de a stimula competitivitatea sectorului cultural și de a contribui la tranziția digitală a acestuia. Această măsură constă în investiții care sprijină dobândirea de competențe antreprenoriale și financiare, digitalizarea sistemelor de gestionare a proprietății intelectuale și internaționalizarea industriilor culturale și creative.</w:t>
      </w:r>
    </w:p>
    <w:p w14:paraId="0B63ADC0" w14:textId="77777777" w:rsidR="00011DE9" w:rsidRDefault="00011DE9">
      <w:pPr>
        <w:pStyle w:val="P68B1DB1-Normal17"/>
        <w:spacing w:before="120" w:after="120" w:line="240" w:lineRule="auto"/>
        <w:jc w:val="both"/>
        <w:rPr>
          <w:rFonts w:cs="Times New Roman"/>
          <w:noProof/>
        </w:rPr>
      </w:pPr>
      <w:r>
        <w:rPr>
          <w:noProof/>
        </w:rPr>
        <w:t xml:space="preserve">Investiția 2 (C24.I2) – Stimularea culturii pe întreg teritoriul </w:t>
      </w:r>
    </w:p>
    <w:p w14:paraId="0A0D5560" w14:textId="77777777" w:rsidR="00011DE9" w:rsidRDefault="00011DE9">
      <w:pPr>
        <w:pStyle w:val="P68B1DB1-Normal16"/>
        <w:spacing w:before="120" w:after="120" w:line="240" w:lineRule="auto"/>
        <w:jc w:val="both"/>
        <w:rPr>
          <w:rFonts w:cs="Times New Roman"/>
          <w:noProof/>
        </w:rPr>
      </w:pPr>
      <w:r>
        <w:rPr>
          <w:noProof/>
        </w:rPr>
        <w:t>Obiectivul măsurii este de a îmbunătăți coeziunea teritorială și socială prin facilitarea accesului la cultură și de a sprijini durabilitatea și consolidarea sectorului cultural pe întreg teritoriul. Această măsură constă în investiții pentru modernizarea și gestionarea durabilă a infrastructurii artelor spectacolului și muzicale, restaurarea și consolidarea siturilor culturale spaniole, achiziționarea de licențe pentru cărțile digitale și promovarea activității culturale.</w:t>
      </w:r>
    </w:p>
    <w:p w14:paraId="3C910750" w14:textId="77777777" w:rsidR="00011DE9" w:rsidRDefault="00011DE9">
      <w:pPr>
        <w:pStyle w:val="P68B1DB1-Normal17"/>
        <w:spacing w:before="120" w:after="120" w:line="240" w:lineRule="auto"/>
        <w:jc w:val="both"/>
        <w:rPr>
          <w:rFonts w:cs="Times New Roman"/>
          <w:noProof/>
        </w:rPr>
      </w:pPr>
      <w:r>
        <w:rPr>
          <w:noProof/>
        </w:rPr>
        <w:t xml:space="preserve">Investiția 3 (C24.I3) – Digitalizarea și promovarea principalelor servicii culturale </w:t>
      </w:r>
    </w:p>
    <w:p w14:paraId="22D24DD3" w14:textId="77777777" w:rsidR="00011DE9" w:rsidRDefault="00011DE9">
      <w:pPr>
        <w:pStyle w:val="P68B1DB1-Normal16"/>
        <w:spacing w:before="120" w:after="120" w:line="240" w:lineRule="auto"/>
        <w:jc w:val="both"/>
        <w:rPr>
          <w:rFonts w:cs="Times New Roman"/>
          <w:noProof/>
        </w:rPr>
      </w:pPr>
      <w:r>
        <w:rPr>
          <w:noProof/>
        </w:rPr>
        <w:t>Această măsură are ca obiectiv digitalizarea, precum și promovarea principalelor instituții culturale. Investițiile specifice din cadrul acestei măsuri vizează sprijinirea:</w:t>
      </w:r>
    </w:p>
    <w:p w14:paraId="79004F3F" w14:textId="06F40942" w:rsidR="00011DE9" w:rsidRDefault="00011DE9">
      <w:pPr>
        <w:pStyle w:val="P68B1DB1-Normal16"/>
        <w:numPr>
          <w:ilvl w:val="0"/>
          <w:numId w:val="177"/>
        </w:numPr>
        <w:spacing w:before="120" w:after="120" w:line="240" w:lineRule="auto"/>
        <w:ind w:left="426" w:hanging="426"/>
        <w:jc w:val="both"/>
        <w:rPr>
          <w:rFonts w:cs="Times New Roman"/>
          <w:noProof/>
        </w:rPr>
      </w:pPr>
      <w:r>
        <w:rPr>
          <w:noProof/>
        </w:rPr>
        <w:t>Muzeul Național Prado, prin: (I) îmbunătățirea accesibilității și integrării sale în structura urbană, (ii) integrarea tuturor senzorilor într-un singur sistem monitorizat, (iii) dezvoltarea unei experiențe favorabile incluziunii pentru a face muzeul accesibil mai multor vizitatori, (iv) dezvoltarea unei platforme digitale interoperabile între muzee, (v) îmbunătățirea instrumentelor digitale pentru administrație și (vi) crearea de conținut multimedia;</w:t>
      </w:r>
      <w:r w:rsidR="00971820">
        <w:rPr>
          <w:noProof/>
        </w:rPr>
        <w:t xml:space="preserve"> </w:t>
      </w:r>
    </w:p>
    <w:p w14:paraId="1BED1B8D" w14:textId="77777777" w:rsidR="00011DE9" w:rsidRDefault="00011DE9">
      <w:pPr>
        <w:pStyle w:val="P68B1DB1-Normal16"/>
        <w:numPr>
          <w:ilvl w:val="0"/>
          <w:numId w:val="177"/>
        </w:numPr>
        <w:spacing w:before="120" w:after="120" w:line="240" w:lineRule="auto"/>
        <w:ind w:left="426" w:hanging="426"/>
        <w:jc w:val="both"/>
        <w:rPr>
          <w:rFonts w:cs="Times New Roman"/>
          <w:noProof/>
        </w:rPr>
      </w:pPr>
      <w:r>
        <w:rPr>
          <w:noProof/>
        </w:rPr>
        <w:t>Muzeul Național Centro de Arte Reina Sofia, oferind burse și reședințe de cercetare pentru tinerii artiști și gânditori, cu accent pe dezvoltarea de acțiuni de digitalizare pentru patrimoniul cultural;</w:t>
      </w:r>
    </w:p>
    <w:p w14:paraId="7246A6D8" w14:textId="77777777" w:rsidR="00011DE9" w:rsidRDefault="00011DE9">
      <w:pPr>
        <w:pStyle w:val="P68B1DB1-Normal16"/>
        <w:numPr>
          <w:ilvl w:val="0"/>
          <w:numId w:val="177"/>
        </w:numPr>
        <w:spacing w:before="120" w:after="120" w:line="240" w:lineRule="auto"/>
        <w:ind w:left="426" w:hanging="426"/>
        <w:jc w:val="both"/>
        <w:rPr>
          <w:rFonts w:cs="Times New Roman"/>
          <w:noProof/>
        </w:rPr>
      </w:pPr>
      <w:r>
        <w:rPr>
          <w:noProof/>
        </w:rPr>
        <w:t>Biblioteca Națională a Spaniei, prin promovarea utilizării și reutilizării datelor și colecțiilor sale digitale în sprijinul predării, cercetării, industriilor culturale și evoluțiilor tehnologice;</w:t>
      </w:r>
    </w:p>
    <w:p w14:paraId="1B7B9645" w14:textId="77777777" w:rsidR="00011DE9" w:rsidRDefault="00011DE9">
      <w:pPr>
        <w:pStyle w:val="P68B1DB1-Normal16"/>
        <w:numPr>
          <w:ilvl w:val="0"/>
          <w:numId w:val="177"/>
        </w:numPr>
        <w:spacing w:before="120" w:after="120" w:line="240" w:lineRule="auto"/>
        <w:ind w:left="426" w:hanging="426"/>
        <w:jc w:val="both"/>
        <w:rPr>
          <w:rFonts w:cs="Times New Roman"/>
          <w:noProof/>
        </w:rPr>
      </w:pPr>
      <w:r>
        <w:rPr>
          <w:noProof/>
        </w:rPr>
        <w:t>Un plan pentru digitalizarea și accesul la patrimoniul bibliografic al altor active ale bibliotecii de la administrațiile de stat sau de la entitățile private, cu scopul de a le pune la dispoziția cetățenilor prin intermediul arhivelor digitale;</w:t>
      </w:r>
    </w:p>
    <w:p w14:paraId="6F409AD2" w14:textId="77777777" w:rsidR="00011DE9" w:rsidRDefault="00011DE9">
      <w:pPr>
        <w:pStyle w:val="P68B1DB1-Normal16"/>
        <w:numPr>
          <w:ilvl w:val="0"/>
          <w:numId w:val="177"/>
        </w:numPr>
        <w:spacing w:before="120" w:after="120" w:line="240" w:lineRule="auto"/>
        <w:ind w:left="426" w:hanging="426"/>
        <w:jc w:val="both"/>
        <w:rPr>
          <w:rFonts w:cs="Times New Roman"/>
          <w:noProof/>
        </w:rPr>
      </w:pPr>
      <w:r>
        <w:rPr>
          <w:noProof/>
        </w:rPr>
        <w:t>Digitalizarea, extinderea capacității și interoperabilitatea tuturor tipurilor de sisteme de arhivare, inventare și înregistrări ale patrimoniului istoric, inclusiv ale patrimoniului audiovizual; și</w:t>
      </w:r>
    </w:p>
    <w:p w14:paraId="1C806E9D" w14:textId="77777777" w:rsidR="00011DE9" w:rsidRDefault="00011DE9">
      <w:pPr>
        <w:pStyle w:val="P68B1DB1-Normal16"/>
        <w:numPr>
          <w:ilvl w:val="0"/>
          <w:numId w:val="177"/>
        </w:numPr>
        <w:spacing w:before="120" w:after="120" w:line="240" w:lineRule="auto"/>
        <w:ind w:left="426" w:hanging="426"/>
        <w:jc w:val="both"/>
        <w:rPr>
          <w:rFonts w:cs="Times New Roman"/>
          <w:noProof/>
        </w:rPr>
      </w:pPr>
      <w:r>
        <w:rPr>
          <w:noProof/>
        </w:rPr>
        <w:t>Măsuri de modernizare a instrumentelor de gestionare publică și de punere în aplicare a unui sistem integrat de digitalizare și catalogare a resurselor, activelor, structurilor și infrastructurii INAEM (</w:t>
      </w:r>
      <w:r>
        <w:rPr>
          <w:i/>
          <w:noProof/>
        </w:rPr>
        <w:t>Instituto Nacional de las Artes Escénicas y de la Música</w:t>
      </w:r>
      <w:r>
        <w:rPr>
          <w:noProof/>
        </w:rPr>
        <w:t>), inclusiv măsuri precum punerea în aplicare a diferitelor instrumente avansate pentru planificarea, gestionarea și evaluarea impactului schemelor de sprijin public pentru sectoarele spectacolului și muzical, precum și punerea în aplicare a unui sistem digital integrat (INAEM DIGITAL) pentru digitalizarea și catalogarea documentației, a serviciilor de arhivare și a structurilor și infrastructurilor INAEM.</w:t>
      </w:r>
    </w:p>
    <w:p w14:paraId="06204E7C" w14:textId="77777777" w:rsidR="00011DE9" w:rsidRDefault="00011DE9">
      <w:pPr>
        <w:pStyle w:val="P68B1DB1-Text151"/>
        <w:ind w:left="0"/>
        <w:rPr>
          <w:noProof/>
        </w:rPr>
      </w:pPr>
      <w:r>
        <w:rPr>
          <w:noProof/>
        </w:rPr>
        <w:t>Pentru a se asigura că măsura respectă Orientările tehnice de „a nu prejudicia în mod semnificativ” (2021/C58/01), criteriile de eligibilitate cuprinse în termenii de referință pentru viitoarele cereri de proiecte exclud următoarea listă de activități: (I) activități legate de combustibilii fosili, inclusiv utilizarea în aval</w:t>
      </w:r>
      <w:r>
        <w:rPr>
          <w:noProof/>
        </w:rPr>
        <w:footnoteReference w:id="140"/>
      </w:r>
      <w:r>
        <w:rPr>
          <w:noProof/>
        </w:rPr>
        <w:t>; (II) activitățile din cadrul schemei UE de comercializare a certificatelor de emisii (ETS) care realizează emisii preconizate de gaze cu efect de seră care nu sunt mai mici decât valorile de referință relevante</w:t>
      </w:r>
      <w:r>
        <w:rPr>
          <w:noProof/>
        </w:rPr>
        <w:footnoteReference w:id="141"/>
      </w:r>
      <w:r>
        <w:rPr>
          <w:noProof/>
        </w:rPr>
        <w:t>; (III) activități legate de depozitele de deșeuri, incineratoare</w:t>
      </w:r>
      <w:r>
        <w:rPr>
          <w:noProof/>
        </w:rPr>
        <w:footnoteReference w:id="142"/>
      </w:r>
      <w:r>
        <w:rPr>
          <w:noProof/>
        </w:rPr>
        <w:t xml:space="preserve"> și stații de tratare mecano-biologică</w:t>
      </w:r>
      <w:r>
        <w:rPr>
          <w:noProof/>
        </w:rPr>
        <w:footnoteReference w:id="143"/>
      </w:r>
      <w:r>
        <w:rPr>
          <w:noProof/>
        </w:rPr>
        <w:t>; și (iv) activități în care eliminarea pe termen lung a deșeurilor poate dăuna mediului. În plus, termenii de referință prevăd că pot fi selectate numai activitățile care respectă legislația UE și națională relevantă în materie de mediu.</w:t>
      </w:r>
    </w:p>
    <w:p w14:paraId="206FAF89" w14:textId="77777777" w:rsidR="00011DE9" w:rsidRDefault="00011DE9">
      <w:pPr>
        <w:pStyle w:val="P68B1DB1-Normal16"/>
        <w:spacing w:before="120" w:after="120" w:line="240" w:lineRule="auto"/>
        <w:jc w:val="both"/>
        <w:rPr>
          <w:rFonts w:cs="Times New Roman"/>
          <w:noProof/>
        </w:rPr>
      </w:pPr>
      <w:r>
        <w:rPr>
          <w:noProof/>
        </w:rPr>
        <w:t xml:space="preserve">Punerea în aplicare a investiției se finalizează până la 30 iunie 2023. </w:t>
      </w:r>
    </w:p>
    <w:p w14:paraId="77ADCEFE" w14:textId="237BC5A2" w:rsidR="00011DE9" w:rsidRDefault="00011DE9">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X.2.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61EAD743" w14:textId="77777777" w:rsidR="00011DE9" w:rsidRDefault="00011DE9">
      <w:pPr>
        <w:pStyle w:val="P68B1DB1-Normal16"/>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09512240" w14:textId="77777777" w:rsidR="00011DE9" w:rsidRDefault="00011DE9">
      <w:pPr>
        <w:pStyle w:val="NormalWeb"/>
        <w:spacing w:after="80" w:line="259" w:lineRule="auto"/>
        <w:ind w:left="244" w:hanging="244"/>
        <w:rPr>
          <w:noProof/>
        </w:rPr>
      </w:pPr>
      <w:r>
        <w:rPr>
          <w:noProof/>
        </w:rPr>
        <w:br w:type="page"/>
      </w:r>
    </w:p>
    <w:p w14:paraId="089B9CDD" w14:textId="77777777" w:rsidR="00011DE9" w:rsidRDefault="00011DE9">
      <w:pPr>
        <w:spacing w:before="120" w:after="120" w:line="240" w:lineRule="auto"/>
        <w:jc w:val="both"/>
        <w:rPr>
          <w:rFonts w:ascii="Times New Roman" w:hAnsi="Times New Roman" w:cs="Times New Roman"/>
          <w:noProof/>
        </w:rPr>
        <w:sectPr w:rsidR="00011DE9" w:rsidSect="00011DE9">
          <w:headerReference w:type="even" r:id="rId330"/>
          <w:headerReference w:type="default" r:id="rId331"/>
          <w:footerReference w:type="even" r:id="rId332"/>
          <w:footerReference w:type="default" r:id="rId333"/>
          <w:headerReference w:type="first" r:id="rId334"/>
          <w:footerReference w:type="first" r:id="rId335"/>
          <w:pgSz w:w="11907" w:h="16839"/>
          <w:pgMar w:top="1134" w:right="1418" w:bottom="1134" w:left="1418" w:header="567" w:footer="567" w:gutter="0"/>
          <w:cols w:space="720"/>
          <w:docGrid w:linePitch="360"/>
        </w:sectPr>
      </w:pPr>
    </w:p>
    <w:tbl>
      <w:tblPr>
        <w:tblW w:w="15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0"/>
        <w:gridCol w:w="968"/>
        <w:gridCol w:w="828"/>
        <w:gridCol w:w="1655"/>
        <w:gridCol w:w="966"/>
        <w:gridCol w:w="739"/>
        <w:gridCol w:w="918"/>
        <w:gridCol w:w="691"/>
        <w:gridCol w:w="691"/>
        <w:gridCol w:w="553"/>
        <w:gridCol w:w="6646"/>
      </w:tblGrid>
      <w:tr w:rsidR="00011DE9" w14:paraId="238FA5DC" w14:textId="77777777">
        <w:trPr>
          <w:trHeight w:val="309"/>
          <w:tblHeader/>
          <w:jc w:val="center"/>
        </w:trPr>
        <w:tc>
          <w:tcPr>
            <w:tcW w:w="830" w:type="dxa"/>
            <w:vMerge w:val="restart"/>
            <w:shd w:val="clear" w:color="auto" w:fill="B7D4EF"/>
            <w:noWrap/>
            <w:vAlign w:val="center"/>
          </w:tcPr>
          <w:p w14:paraId="54DD72D2" w14:textId="77777777" w:rsidR="00011DE9" w:rsidRDefault="00011DE9">
            <w:pPr>
              <w:pStyle w:val="P68B1DB1-Normal18"/>
              <w:spacing w:after="0" w:line="240" w:lineRule="auto"/>
              <w:jc w:val="center"/>
              <w:rPr>
                <w:rFonts w:cs="Times New Roman"/>
                <w:noProof/>
                <w:szCs w:val="18"/>
              </w:rPr>
            </w:pPr>
            <w:r>
              <w:rPr>
                <w:noProof/>
              </w:rPr>
              <w:t>Număr</w:t>
            </w:r>
          </w:p>
        </w:tc>
        <w:tc>
          <w:tcPr>
            <w:tcW w:w="968" w:type="dxa"/>
            <w:vMerge w:val="restart"/>
            <w:shd w:val="clear" w:color="auto" w:fill="B7D4EF"/>
            <w:noWrap/>
            <w:vAlign w:val="center"/>
          </w:tcPr>
          <w:p w14:paraId="4E8AC665" w14:textId="77777777" w:rsidR="00011DE9" w:rsidRDefault="00011DE9">
            <w:pPr>
              <w:pStyle w:val="P68B1DB1-Normal18"/>
              <w:spacing w:after="0" w:line="240" w:lineRule="auto"/>
              <w:jc w:val="center"/>
              <w:rPr>
                <w:rFonts w:cs="Times New Roman"/>
                <w:noProof/>
                <w:szCs w:val="18"/>
              </w:rPr>
            </w:pPr>
            <w:r>
              <w:rPr>
                <w:noProof/>
              </w:rPr>
              <w:t>Măsură</w:t>
            </w:r>
          </w:p>
        </w:tc>
        <w:tc>
          <w:tcPr>
            <w:tcW w:w="828" w:type="dxa"/>
            <w:vMerge w:val="restart"/>
            <w:shd w:val="clear" w:color="auto" w:fill="B7D4EF"/>
            <w:noWrap/>
            <w:vAlign w:val="center"/>
          </w:tcPr>
          <w:p w14:paraId="3CE9DDF1" w14:textId="30FD10BE" w:rsidR="00011DE9" w:rsidRDefault="00011DE9">
            <w:pPr>
              <w:spacing w:after="0" w:line="240" w:lineRule="auto"/>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1655" w:type="dxa"/>
            <w:vMerge w:val="restart"/>
            <w:shd w:val="clear" w:color="auto" w:fill="B7D4EF"/>
            <w:noWrap/>
            <w:vAlign w:val="center"/>
          </w:tcPr>
          <w:p w14:paraId="72F44ACD" w14:textId="77777777" w:rsidR="00011DE9" w:rsidRDefault="00011DE9">
            <w:pPr>
              <w:pStyle w:val="P68B1DB1-Normal18"/>
              <w:spacing w:after="0" w:line="240" w:lineRule="auto"/>
              <w:jc w:val="center"/>
              <w:rPr>
                <w:rFonts w:cs="Times New Roman"/>
                <w:noProof/>
                <w:szCs w:val="18"/>
              </w:rPr>
            </w:pPr>
            <w:r>
              <w:rPr>
                <w:noProof/>
              </w:rPr>
              <w:t>Nume</w:t>
            </w:r>
          </w:p>
        </w:tc>
        <w:tc>
          <w:tcPr>
            <w:tcW w:w="966" w:type="dxa"/>
            <w:vMerge w:val="restart"/>
            <w:shd w:val="clear" w:color="auto" w:fill="B7D4EF"/>
            <w:noWrap/>
            <w:vAlign w:val="center"/>
          </w:tcPr>
          <w:p w14:paraId="20E69C07" w14:textId="77777777" w:rsidR="00011DE9" w:rsidRDefault="00011DE9">
            <w:pPr>
              <w:pStyle w:val="P68B1DB1-Normal18"/>
              <w:spacing w:after="0" w:line="240" w:lineRule="auto"/>
              <w:jc w:val="center"/>
              <w:rPr>
                <w:rFonts w:cs="Times New Roman"/>
                <w:noProof/>
                <w:szCs w:val="18"/>
              </w:rPr>
            </w:pPr>
            <w:r>
              <w:rPr>
                <w:noProof/>
              </w:rPr>
              <w:t>Indicator calitativ pentru jaloane</w:t>
            </w:r>
          </w:p>
        </w:tc>
        <w:tc>
          <w:tcPr>
            <w:tcW w:w="2348" w:type="dxa"/>
            <w:gridSpan w:val="3"/>
            <w:shd w:val="clear" w:color="auto" w:fill="B7D4EF"/>
            <w:noWrap/>
            <w:vAlign w:val="center"/>
          </w:tcPr>
          <w:p w14:paraId="49FC6E44" w14:textId="77777777" w:rsidR="00011DE9" w:rsidRDefault="00011DE9">
            <w:pPr>
              <w:pStyle w:val="P68B1DB1-Normal18"/>
              <w:spacing w:after="0" w:line="240" w:lineRule="auto"/>
              <w:jc w:val="center"/>
              <w:rPr>
                <w:rFonts w:cs="Times New Roman"/>
                <w:noProof/>
                <w:szCs w:val="18"/>
              </w:rPr>
            </w:pPr>
            <w:r>
              <w:rPr>
                <w:noProof/>
              </w:rPr>
              <w:t>Indicator cantitativ pentru ținte</w:t>
            </w:r>
          </w:p>
        </w:tc>
        <w:tc>
          <w:tcPr>
            <w:tcW w:w="1244" w:type="dxa"/>
            <w:gridSpan w:val="2"/>
            <w:shd w:val="clear" w:color="auto" w:fill="B7D4EF"/>
            <w:noWrap/>
            <w:vAlign w:val="center"/>
          </w:tcPr>
          <w:p w14:paraId="741F099B" w14:textId="77777777" w:rsidR="00011DE9" w:rsidRDefault="00011DE9">
            <w:pPr>
              <w:pStyle w:val="P68B1DB1-Normal18"/>
              <w:spacing w:after="0" w:line="240" w:lineRule="auto"/>
              <w:jc w:val="center"/>
              <w:rPr>
                <w:rFonts w:cs="Times New Roman"/>
                <w:noProof/>
                <w:szCs w:val="18"/>
              </w:rPr>
            </w:pPr>
            <w:r>
              <w:rPr>
                <w:noProof/>
              </w:rPr>
              <w:t>Timp</w:t>
            </w:r>
          </w:p>
        </w:tc>
        <w:tc>
          <w:tcPr>
            <w:tcW w:w="6646" w:type="dxa"/>
            <w:vMerge w:val="restart"/>
            <w:shd w:val="clear" w:color="auto" w:fill="B7D4EF"/>
            <w:noWrap/>
            <w:vAlign w:val="center"/>
          </w:tcPr>
          <w:p w14:paraId="65C07684" w14:textId="77777777" w:rsidR="00011DE9" w:rsidRDefault="00011DE9">
            <w:pPr>
              <w:pStyle w:val="P68B1DB1-Normal18"/>
              <w:spacing w:after="0" w:line="240" w:lineRule="auto"/>
              <w:jc w:val="center"/>
              <w:rPr>
                <w:rFonts w:cs="Times New Roman"/>
                <w:noProof/>
                <w:szCs w:val="18"/>
              </w:rPr>
            </w:pPr>
            <w:r>
              <w:rPr>
                <w:noProof/>
              </w:rPr>
              <w:t>Descrierea fiecărui jalon și a fiecărei ținte</w:t>
            </w:r>
          </w:p>
        </w:tc>
      </w:tr>
      <w:tr w:rsidR="00011DE9" w14:paraId="7ED5992E" w14:textId="77777777">
        <w:trPr>
          <w:trHeight w:val="309"/>
          <w:tblHeader/>
          <w:jc w:val="center"/>
        </w:trPr>
        <w:tc>
          <w:tcPr>
            <w:tcW w:w="830" w:type="dxa"/>
            <w:vMerge/>
            <w:noWrap/>
          </w:tcPr>
          <w:p w14:paraId="58DA9EB8" w14:textId="77777777" w:rsidR="00011DE9" w:rsidRDefault="00011DE9">
            <w:pPr>
              <w:spacing w:after="0" w:line="240" w:lineRule="auto"/>
              <w:jc w:val="center"/>
              <w:rPr>
                <w:rFonts w:ascii="Times New Roman" w:hAnsi="Times New Roman" w:cs="Times New Roman"/>
                <w:b/>
                <w:noProof/>
                <w:sz w:val="18"/>
                <w:szCs w:val="18"/>
              </w:rPr>
            </w:pPr>
          </w:p>
        </w:tc>
        <w:tc>
          <w:tcPr>
            <w:tcW w:w="968" w:type="dxa"/>
            <w:vMerge/>
            <w:noWrap/>
          </w:tcPr>
          <w:p w14:paraId="5607E2B7" w14:textId="77777777" w:rsidR="00011DE9" w:rsidRDefault="00011DE9">
            <w:pPr>
              <w:spacing w:after="0" w:line="240" w:lineRule="auto"/>
              <w:jc w:val="center"/>
              <w:rPr>
                <w:rFonts w:ascii="Times New Roman" w:hAnsi="Times New Roman" w:cs="Times New Roman"/>
                <w:b/>
                <w:noProof/>
                <w:sz w:val="18"/>
                <w:szCs w:val="18"/>
              </w:rPr>
            </w:pPr>
          </w:p>
        </w:tc>
        <w:tc>
          <w:tcPr>
            <w:tcW w:w="828" w:type="dxa"/>
            <w:vMerge/>
            <w:noWrap/>
          </w:tcPr>
          <w:p w14:paraId="07917993" w14:textId="77777777" w:rsidR="00011DE9" w:rsidRDefault="00011DE9">
            <w:pPr>
              <w:spacing w:after="0" w:line="240" w:lineRule="auto"/>
              <w:jc w:val="center"/>
              <w:rPr>
                <w:rFonts w:ascii="Times New Roman" w:hAnsi="Times New Roman" w:cs="Times New Roman"/>
                <w:b/>
                <w:noProof/>
                <w:sz w:val="18"/>
                <w:szCs w:val="18"/>
              </w:rPr>
            </w:pPr>
          </w:p>
        </w:tc>
        <w:tc>
          <w:tcPr>
            <w:tcW w:w="1655" w:type="dxa"/>
            <w:vMerge/>
            <w:noWrap/>
          </w:tcPr>
          <w:p w14:paraId="72F1AFE0" w14:textId="77777777" w:rsidR="00011DE9" w:rsidRDefault="00011DE9">
            <w:pPr>
              <w:spacing w:after="0" w:line="240" w:lineRule="auto"/>
              <w:rPr>
                <w:rFonts w:ascii="Times New Roman" w:hAnsi="Times New Roman" w:cs="Times New Roman"/>
                <w:b/>
                <w:noProof/>
                <w:sz w:val="18"/>
                <w:szCs w:val="18"/>
              </w:rPr>
            </w:pPr>
          </w:p>
        </w:tc>
        <w:tc>
          <w:tcPr>
            <w:tcW w:w="966" w:type="dxa"/>
            <w:vMerge/>
            <w:noWrap/>
          </w:tcPr>
          <w:p w14:paraId="3CF51C69" w14:textId="77777777" w:rsidR="00011DE9" w:rsidRDefault="00011DE9">
            <w:pPr>
              <w:spacing w:after="0" w:line="240" w:lineRule="auto"/>
              <w:jc w:val="center"/>
              <w:rPr>
                <w:rFonts w:ascii="Times New Roman" w:hAnsi="Times New Roman" w:cs="Times New Roman"/>
                <w:b/>
                <w:noProof/>
                <w:sz w:val="18"/>
                <w:szCs w:val="18"/>
              </w:rPr>
            </w:pPr>
          </w:p>
        </w:tc>
        <w:tc>
          <w:tcPr>
            <w:tcW w:w="739" w:type="dxa"/>
            <w:shd w:val="clear" w:color="auto" w:fill="B7D4EF"/>
            <w:noWrap/>
            <w:vAlign w:val="center"/>
          </w:tcPr>
          <w:p w14:paraId="224FC1B0" w14:textId="77777777" w:rsidR="00011DE9" w:rsidRDefault="00011DE9">
            <w:pPr>
              <w:pStyle w:val="P68B1DB1-Normal18"/>
              <w:spacing w:after="0" w:line="240" w:lineRule="auto"/>
              <w:jc w:val="center"/>
              <w:rPr>
                <w:rFonts w:cs="Times New Roman"/>
                <w:noProof/>
                <w:szCs w:val="18"/>
              </w:rPr>
            </w:pPr>
            <w:r>
              <w:rPr>
                <w:noProof/>
              </w:rPr>
              <w:t>Unitate</w:t>
            </w:r>
          </w:p>
        </w:tc>
        <w:tc>
          <w:tcPr>
            <w:tcW w:w="918" w:type="dxa"/>
            <w:shd w:val="clear" w:color="auto" w:fill="B7D4EF"/>
            <w:noWrap/>
            <w:vAlign w:val="center"/>
          </w:tcPr>
          <w:p w14:paraId="68C632BC" w14:textId="77777777" w:rsidR="00011DE9" w:rsidRDefault="00011DE9">
            <w:pPr>
              <w:pStyle w:val="P68B1DB1-Normal18"/>
              <w:spacing w:after="0" w:line="240" w:lineRule="auto"/>
              <w:jc w:val="center"/>
              <w:rPr>
                <w:rFonts w:cs="Times New Roman"/>
                <w:noProof/>
                <w:szCs w:val="18"/>
              </w:rPr>
            </w:pPr>
            <w:r>
              <w:rPr>
                <w:noProof/>
              </w:rPr>
              <w:t>Situația de referință</w:t>
            </w:r>
          </w:p>
        </w:tc>
        <w:tc>
          <w:tcPr>
            <w:tcW w:w="691" w:type="dxa"/>
            <w:shd w:val="clear" w:color="auto" w:fill="B7D4EF"/>
            <w:noWrap/>
            <w:vAlign w:val="center"/>
          </w:tcPr>
          <w:p w14:paraId="1695402C" w14:textId="77777777" w:rsidR="00011DE9" w:rsidRDefault="00011DE9">
            <w:pPr>
              <w:pStyle w:val="P68B1DB1-Normal18"/>
              <w:spacing w:after="0" w:line="240" w:lineRule="auto"/>
              <w:jc w:val="center"/>
              <w:rPr>
                <w:rFonts w:cs="Times New Roman"/>
                <w:noProof/>
                <w:szCs w:val="18"/>
              </w:rPr>
            </w:pPr>
            <w:r>
              <w:rPr>
                <w:noProof/>
              </w:rPr>
              <w:t>Obiectiv</w:t>
            </w:r>
          </w:p>
        </w:tc>
        <w:tc>
          <w:tcPr>
            <w:tcW w:w="691" w:type="dxa"/>
            <w:shd w:val="clear" w:color="auto" w:fill="B7D4EF"/>
            <w:noWrap/>
            <w:vAlign w:val="center"/>
          </w:tcPr>
          <w:p w14:paraId="76CBA4B5" w14:textId="5F5E2382" w:rsidR="00011DE9" w:rsidRDefault="003010A3">
            <w:pPr>
              <w:pStyle w:val="P68B1DB1-Normal18"/>
              <w:spacing w:after="0" w:line="240" w:lineRule="auto"/>
              <w:jc w:val="center"/>
              <w:rPr>
                <w:rFonts w:cs="Times New Roman"/>
                <w:noProof/>
                <w:szCs w:val="18"/>
              </w:rPr>
            </w:pPr>
            <w:r>
              <w:rPr>
                <w:noProof/>
              </w:rPr>
              <w:t>T</w:t>
            </w:r>
          </w:p>
        </w:tc>
        <w:tc>
          <w:tcPr>
            <w:tcW w:w="553" w:type="dxa"/>
            <w:shd w:val="clear" w:color="auto" w:fill="B7D4EF"/>
            <w:noWrap/>
            <w:vAlign w:val="center"/>
          </w:tcPr>
          <w:p w14:paraId="7D7AB3F4" w14:textId="77777777" w:rsidR="00011DE9" w:rsidRDefault="00011DE9">
            <w:pPr>
              <w:pStyle w:val="P68B1DB1-Normal18"/>
              <w:spacing w:after="0" w:line="240" w:lineRule="auto"/>
              <w:jc w:val="center"/>
              <w:rPr>
                <w:rFonts w:cs="Times New Roman"/>
                <w:noProof/>
                <w:szCs w:val="18"/>
              </w:rPr>
            </w:pPr>
            <w:r>
              <w:rPr>
                <w:noProof/>
              </w:rPr>
              <w:t>Anul</w:t>
            </w:r>
          </w:p>
        </w:tc>
        <w:tc>
          <w:tcPr>
            <w:tcW w:w="6646" w:type="dxa"/>
            <w:vMerge/>
            <w:noWrap/>
          </w:tcPr>
          <w:p w14:paraId="67568FC0" w14:textId="77777777" w:rsidR="00011DE9" w:rsidRDefault="00011DE9">
            <w:pPr>
              <w:spacing w:after="0" w:line="240" w:lineRule="auto"/>
              <w:rPr>
                <w:rFonts w:ascii="Times New Roman" w:hAnsi="Times New Roman" w:cs="Times New Roman"/>
                <w:b/>
                <w:noProof/>
                <w:sz w:val="18"/>
                <w:szCs w:val="18"/>
              </w:rPr>
            </w:pPr>
          </w:p>
        </w:tc>
      </w:tr>
      <w:tr w:rsidR="00011DE9" w14:paraId="1BF48D21" w14:textId="77777777">
        <w:trPr>
          <w:trHeight w:val="309"/>
          <w:jc w:val="center"/>
        </w:trPr>
        <w:tc>
          <w:tcPr>
            <w:tcW w:w="830" w:type="dxa"/>
            <w:shd w:val="clear" w:color="auto" w:fill="C6EFCE"/>
            <w:noWrap/>
          </w:tcPr>
          <w:p w14:paraId="63627125" w14:textId="77777777" w:rsidR="00011DE9" w:rsidRDefault="00011DE9">
            <w:pPr>
              <w:pStyle w:val="P68B1DB1-Normal19"/>
              <w:spacing w:after="0" w:line="240" w:lineRule="auto"/>
              <w:jc w:val="center"/>
              <w:rPr>
                <w:rFonts w:eastAsia="Times New Roman"/>
                <w:noProof/>
              </w:rPr>
            </w:pPr>
            <w:r>
              <w:rPr>
                <w:noProof/>
              </w:rPr>
              <w:t>352</w:t>
            </w:r>
          </w:p>
        </w:tc>
        <w:tc>
          <w:tcPr>
            <w:tcW w:w="968" w:type="dxa"/>
            <w:shd w:val="clear" w:color="auto" w:fill="C6EFCE"/>
            <w:noWrap/>
          </w:tcPr>
          <w:p w14:paraId="529B86F6" w14:textId="77777777" w:rsidR="00011DE9" w:rsidRDefault="00011DE9">
            <w:pPr>
              <w:pStyle w:val="P68B1DB1-Normal19"/>
              <w:spacing w:after="0" w:line="240" w:lineRule="auto"/>
              <w:jc w:val="center"/>
              <w:rPr>
                <w:rFonts w:eastAsia="Times New Roman"/>
                <w:noProof/>
              </w:rPr>
            </w:pPr>
            <w:r>
              <w:rPr>
                <w:noProof/>
              </w:rPr>
              <w:t>C24.R1</w:t>
            </w:r>
          </w:p>
        </w:tc>
        <w:tc>
          <w:tcPr>
            <w:tcW w:w="828" w:type="dxa"/>
            <w:shd w:val="clear" w:color="auto" w:fill="C6EFCE"/>
            <w:noWrap/>
          </w:tcPr>
          <w:p w14:paraId="33956223" w14:textId="77777777" w:rsidR="00011DE9" w:rsidRDefault="00011DE9">
            <w:pPr>
              <w:pStyle w:val="P68B1DB1-Normal19"/>
              <w:spacing w:after="0" w:line="240" w:lineRule="auto"/>
              <w:jc w:val="center"/>
              <w:rPr>
                <w:rFonts w:eastAsia="Times New Roman"/>
                <w:noProof/>
              </w:rPr>
            </w:pPr>
            <w:r>
              <w:rPr>
                <w:noProof/>
              </w:rPr>
              <w:t>M</w:t>
            </w:r>
          </w:p>
        </w:tc>
        <w:tc>
          <w:tcPr>
            <w:tcW w:w="1655" w:type="dxa"/>
            <w:shd w:val="clear" w:color="auto" w:fill="C6EFCE"/>
            <w:noWrap/>
          </w:tcPr>
          <w:p w14:paraId="04E2993B" w14:textId="77777777" w:rsidR="00011DE9" w:rsidRDefault="00011DE9">
            <w:pPr>
              <w:pStyle w:val="P68B1DB1-Normal19"/>
              <w:spacing w:after="0" w:line="240" w:lineRule="auto"/>
              <w:rPr>
                <w:rFonts w:eastAsia="Times New Roman"/>
                <w:noProof/>
              </w:rPr>
            </w:pPr>
            <w:r>
              <w:rPr>
                <w:noProof/>
              </w:rPr>
              <w:t>Intrarea în vigoare a statutului artistului, sponsorizarea și regimul stimulentelor fiscale.</w:t>
            </w:r>
          </w:p>
        </w:tc>
        <w:tc>
          <w:tcPr>
            <w:tcW w:w="966" w:type="dxa"/>
            <w:shd w:val="clear" w:color="auto" w:fill="C6EFCE"/>
            <w:noWrap/>
          </w:tcPr>
          <w:p w14:paraId="041D2EF9" w14:textId="77777777" w:rsidR="00011DE9" w:rsidRDefault="00011DE9">
            <w:pPr>
              <w:pStyle w:val="P68B1DB1-Normal19"/>
              <w:spacing w:after="0" w:line="240" w:lineRule="auto"/>
              <w:jc w:val="center"/>
              <w:rPr>
                <w:rFonts w:eastAsia="Times New Roman"/>
                <w:noProof/>
              </w:rPr>
            </w:pPr>
            <w:r>
              <w:rPr>
                <w:noProof/>
              </w:rPr>
              <w:t>Dispoziții ale regulamentului privind intrarea în vigoare</w:t>
            </w:r>
          </w:p>
        </w:tc>
        <w:tc>
          <w:tcPr>
            <w:tcW w:w="739" w:type="dxa"/>
            <w:shd w:val="clear" w:color="auto" w:fill="C6EFCE"/>
            <w:noWrap/>
          </w:tcPr>
          <w:p w14:paraId="6E9FC552" w14:textId="77777777" w:rsidR="00011DE9" w:rsidRDefault="00011DE9">
            <w:pPr>
              <w:pStyle w:val="P68B1DB1-Normal19"/>
              <w:spacing w:after="0" w:line="240" w:lineRule="auto"/>
              <w:jc w:val="center"/>
              <w:rPr>
                <w:rFonts w:eastAsia="Times New Roman"/>
                <w:noProof/>
              </w:rPr>
            </w:pPr>
            <w:r>
              <w:rPr>
                <w:noProof/>
              </w:rPr>
              <w:t xml:space="preserve"> </w:t>
            </w:r>
          </w:p>
        </w:tc>
        <w:tc>
          <w:tcPr>
            <w:tcW w:w="918" w:type="dxa"/>
            <w:shd w:val="clear" w:color="auto" w:fill="C6EFCE"/>
            <w:noWrap/>
          </w:tcPr>
          <w:p w14:paraId="0261C3D8" w14:textId="77777777" w:rsidR="00011DE9" w:rsidRDefault="00011DE9">
            <w:pPr>
              <w:pStyle w:val="P68B1DB1-Normal19"/>
              <w:spacing w:after="0" w:line="240" w:lineRule="auto"/>
              <w:jc w:val="right"/>
              <w:rPr>
                <w:rFonts w:eastAsia="Times New Roman"/>
                <w:noProof/>
              </w:rPr>
            </w:pPr>
            <w:r>
              <w:rPr>
                <w:noProof/>
              </w:rPr>
              <w:t xml:space="preserve"> </w:t>
            </w:r>
          </w:p>
        </w:tc>
        <w:tc>
          <w:tcPr>
            <w:tcW w:w="691" w:type="dxa"/>
            <w:shd w:val="clear" w:color="auto" w:fill="C6EFCE"/>
            <w:noWrap/>
          </w:tcPr>
          <w:p w14:paraId="7BA2DC0E" w14:textId="77777777" w:rsidR="00011DE9" w:rsidRDefault="00011DE9">
            <w:pPr>
              <w:pStyle w:val="P68B1DB1-Normal19"/>
              <w:spacing w:after="0" w:line="240" w:lineRule="auto"/>
              <w:jc w:val="right"/>
              <w:rPr>
                <w:rFonts w:eastAsia="Times New Roman"/>
                <w:noProof/>
              </w:rPr>
            </w:pPr>
            <w:r>
              <w:rPr>
                <w:noProof/>
              </w:rPr>
              <w:t xml:space="preserve"> </w:t>
            </w:r>
          </w:p>
        </w:tc>
        <w:tc>
          <w:tcPr>
            <w:tcW w:w="691" w:type="dxa"/>
            <w:shd w:val="clear" w:color="auto" w:fill="C6EFCE"/>
            <w:noWrap/>
          </w:tcPr>
          <w:p w14:paraId="31E0F3D5" w14:textId="702E2A9C" w:rsidR="00011DE9" w:rsidRDefault="005701C9">
            <w:pPr>
              <w:pStyle w:val="P68B1DB1-Normal19"/>
              <w:spacing w:after="0" w:line="240" w:lineRule="auto"/>
              <w:jc w:val="center"/>
              <w:rPr>
                <w:rFonts w:eastAsia="Times New Roman"/>
                <w:noProof/>
              </w:rPr>
            </w:pPr>
            <w:r>
              <w:rPr>
                <w:noProof/>
              </w:rPr>
              <w:t>T4</w:t>
            </w:r>
          </w:p>
        </w:tc>
        <w:tc>
          <w:tcPr>
            <w:tcW w:w="553" w:type="dxa"/>
            <w:shd w:val="clear" w:color="auto" w:fill="C6EFCE"/>
            <w:noWrap/>
          </w:tcPr>
          <w:p w14:paraId="1DF70EC5" w14:textId="77777777" w:rsidR="00011DE9" w:rsidRDefault="00011DE9">
            <w:pPr>
              <w:pStyle w:val="P68B1DB1-Normal19"/>
              <w:spacing w:after="0" w:line="240" w:lineRule="auto"/>
              <w:jc w:val="center"/>
              <w:rPr>
                <w:rFonts w:eastAsia="Times New Roman"/>
                <w:noProof/>
              </w:rPr>
            </w:pPr>
            <w:r>
              <w:rPr>
                <w:noProof/>
              </w:rPr>
              <w:t>2022</w:t>
            </w:r>
          </w:p>
        </w:tc>
        <w:tc>
          <w:tcPr>
            <w:tcW w:w="6646" w:type="dxa"/>
            <w:shd w:val="clear" w:color="auto" w:fill="C6EFCE"/>
            <w:noWrap/>
          </w:tcPr>
          <w:p w14:paraId="29FE4D9F" w14:textId="77777777" w:rsidR="00011DE9" w:rsidRDefault="00011DE9">
            <w:pPr>
              <w:pStyle w:val="P68B1DB1-Normal19"/>
              <w:spacing w:after="0" w:line="240" w:lineRule="auto"/>
              <w:rPr>
                <w:rFonts w:eastAsia="Times New Roman"/>
                <w:noProof/>
              </w:rPr>
            </w:pPr>
            <w:r>
              <w:rPr>
                <w:noProof/>
              </w:rPr>
              <w:t>Intrarea în vigoare a modificărilor normative pentru punerea în aplicare a statutului artistului și reglementarea următoarelor aspecte, cu scopul de a îmbunătăți condițiile de muncă ale artiștilor: caracterul adecvat al TVA; impozitul pe venitul persoanelor fizice; reprezentativitatea sindicală, sănătatea și raporturile speciale de muncă ale artiștilor în carierele publice; o mai bună reglementare a sponsorizării și a regimului stimulentelor fiscale.</w:t>
            </w:r>
          </w:p>
        </w:tc>
      </w:tr>
      <w:tr w:rsidR="00011DE9" w14:paraId="76662AC2" w14:textId="77777777">
        <w:trPr>
          <w:trHeight w:val="309"/>
          <w:jc w:val="center"/>
        </w:trPr>
        <w:tc>
          <w:tcPr>
            <w:tcW w:w="830" w:type="dxa"/>
            <w:shd w:val="clear" w:color="auto" w:fill="C6EFCE"/>
            <w:noWrap/>
          </w:tcPr>
          <w:p w14:paraId="0FD6DF97" w14:textId="77777777" w:rsidR="00011DE9" w:rsidRDefault="00011DE9">
            <w:pPr>
              <w:pStyle w:val="P68B1DB1-Normal19"/>
              <w:spacing w:after="0" w:line="240" w:lineRule="auto"/>
              <w:jc w:val="center"/>
              <w:rPr>
                <w:rFonts w:eastAsia="Times New Roman"/>
                <w:noProof/>
              </w:rPr>
            </w:pPr>
            <w:r>
              <w:rPr>
                <w:noProof/>
              </w:rPr>
              <w:t>354</w:t>
            </w:r>
          </w:p>
        </w:tc>
        <w:tc>
          <w:tcPr>
            <w:tcW w:w="968" w:type="dxa"/>
            <w:shd w:val="clear" w:color="auto" w:fill="C6EFCE"/>
            <w:noWrap/>
          </w:tcPr>
          <w:p w14:paraId="414C6AF6" w14:textId="77777777" w:rsidR="00011DE9" w:rsidRDefault="00011DE9">
            <w:pPr>
              <w:pStyle w:val="P68B1DB1-Normal19"/>
              <w:spacing w:after="0" w:line="240" w:lineRule="auto"/>
              <w:jc w:val="center"/>
              <w:rPr>
                <w:rFonts w:eastAsia="Times New Roman"/>
                <w:noProof/>
              </w:rPr>
            </w:pPr>
            <w:r>
              <w:rPr>
                <w:noProof/>
              </w:rPr>
              <w:t>C24.I1</w:t>
            </w:r>
          </w:p>
        </w:tc>
        <w:tc>
          <w:tcPr>
            <w:tcW w:w="828" w:type="dxa"/>
            <w:shd w:val="clear" w:color="auto" w:fill="C6EFCE"/>
            <w:noWrap/>
          </w:tcPr>
          <w:p w14:paraId="2BB047AB" w14:textId="77777777" w:rsidR="00011DE9" w:rsidRDefault="00011DE9">
            <w:pPr>
              <w:pStyle w:val="P68B1DB1-Normal19"/>
              <w:spacing w:after="0" w:line="240" w:lineRule="auto"/>
              <w:jc w:val="center"/>
              <w:rPr>
                <w:rFonts w:eastAsia="Times New Roman"/>
                <w:noProof/>
              </w:rPr>
            </w:pPr>
            <w:r>
              <w:rPr>
                <w:noProof/>
              </w:rPr>
              <w:t>T</w:t>
            </w:r>
          </w:p>
        </w:tc>
        <w:tc>
          <w:tcPr>
            <w:tcW w:w="1655" w:type="dxa"/>
            <w:shd w:val="clear" w:color="auto" w:fill="C6EFCE"/>
            <w:noWrap/>
          </w:tcPr>
          <w:p w14:paraId="24BA3EF8" w14:textId="77777777" w:rsidR="00011DE9" w:rsidRDefault="00011DE9">
            <w:pPr>
              <w:pStyle w:val="P68B1DB1-Normal19"/>
              <w:spacing w:after="0" w:line="240" w:lineRule="auto"/>
              <w:rPr>
                <w:noProof/>
              </w:rPr>
            </w:pPr>
            <w:r>
              <w:rPr>
                <w:noProof/>
              </w:rPr>
              <w:t xml:space="preserve">Consolidarea competitivității industriilor culturale </w:t>
            </w:r>
          </w:p>
        </w:tc>
        <w:tc>
          <w:tcPr>
            <w:tcW w:w="966" w:type="dxa"/>
            <w:shd w:val="clear" w:color="auto" w:fill="C6EFCE"/>
            <w:noWrap/>
          </w:tcPr>
          <w:p w14:paraId="180E6D63" w14:textId="77777777" w:rsidR="00011DE9" w:rsidRDefault="00011DE9">
            <w:pPr>
              <w:pStyle w:val="P68B1DB1-Normal19"/>
              <w:spacing w:after="0" w:line="240" w:lineRule="auto"/>
              <w:jc w:val="center"/>
              <w:rPr>
                <w:rFonts w:eastAsia="Times New Roman"/>
                <w:noProof/>
              </w:rPr>
            </w:pPr>
            <w:r>
              <w:rPr>
                <w:noProof/>
              </w:rPr>
              <w:t>—</w:t>
            </w:r>
          </w:p>
        </w:tc>
        <w:tc>
          <w:tcPr>
            <w:tcW w:w="739" w:type="dxa"/>
            <w:shd w:val="clear" w:color="auto" w:fill="C6EFCE"/>
            <w:noWrap/>
          </w:tcPr>
          <w:p w14:paraId="7C8738C4" w14:textId="77777777" w:rsidR="00011DE9" w:rsidRDefault="00011DE9">
            <w:pPr>
              <w:pStyle w:val="P68B1DB1-Normal19"/>
              <w:spacing w:after="0" w:line="240" w:lineRule="auto"/>
              <w:jc w:val="center"/>
              <w:rPr>
                <w:rFonts w:eastAsia="Times New Roman"/>
                <w:noProof/>
              </w:rPr>
            </w:pPr>
            <w:r>
              <w:rPr>
                <w:noProof/>
              </w:rPr>
              <w:t>Număr</w:t>
            </w:r>
          </w:p>
        </w:tc>
        <w:tc>
          <w:tcPr>
            <w:tcW w:w="918" w:type="dxa"/>
            <w:shd w:val="clear" w:color="auto" w:fill="C6EFCE"/>
            <w:noWrap/>
          </w:tcPr>
          <w:p w14:paraId="6A99B42E" w14:textId="77777777" w:rsidR="00011DE9" w:rsidRDefault="00011DE9">
            <w:pPr>
              <w:pStyle w:val="P68B1DB1-Normal19"/>
              <w:spacing w:after="0" w:line="240" w:lineRule="auto"/>
              <w:jc w:val="right"/>
              <w:rPr>
                <w:rFonts w:eastAsia="Times New Roman"/>
                <w:noProof/>
              </w:rPr>
            </w:pPr>
            <w:r>
              <w:rPr>
                <w:noProof/>
              </w:rPr>
              <w:t>0</w:t>
            </w:r>
          </w:p>
        </w:tc>
        <w:tc>
          <w:tcPr>
            <w:tcW w:w="691" w:type="dxa"/>
            <w:shd w:val="clear" w:color="auto" w:fill="C6EFCE"/>
            <w:noWrap/>
          </w:tcPr>
          <w:p w14:paraId="25A24804" w14:textId="77777777" w:rsidR="00011DE9" w:rsidRDefault="00011DE9">
            <w:pPr>
              <w:pStyle w:val="P68B1DB1-Normal19"/>
              <w:spacing w:after="0" w:line="240" w:lineRule="auto"/>
              <w:jc w:val="right"/>
              <w:rPr>
                <w:rFonts w:eastAsia="Times New Roman"/>
                <w:noProof/>
              </w:rPr>
            </w:pPr>
            <w:r>
              <w:rPr>
                <w:noProof/>
              </w:rPr>
              <w:t>1 216</w:t>
            </w:r>
          </w:p>
        </w:tc>
        <w:tc>
          <w:tcPr>
            <w:tcW w:w="691" w:type="dxa"/>
            <w:shd w:val="clear" w:color="auto" w:fill="C6EFCE"/>
            <w:noWrap/>
          </w:tcPr>
          <w:p w14:paraId="5DB18C3B" w14:textId="75BFBE20" w:rsidR="00011DE9" w:rsidRDefault="005701C9">
            <w:pPr>
              <w:pStyle w:val="P68B1DB1-Normal19"/>
              <w:spacing w:after="0" w:line="240" w:lineRule="auto"/>
              <w:jc w:val="center"/>
              <w:rPr>
                <w:rFonts w:eastAsia="Times New Roman"/>
                <w:noProof/>
              </w:rPr>
            </w:pPr>
            <w:r>
              <w:rPr>
                <w:noProof/>
              </w:rPr>
              <w:t>T2</w:t>
            </w:r>
          </w:p>
        </w:tc>
        <w:tc>
          <w:tcPr>
            <w:tcW w:w="553" w:type="dxa"/>
            <w:shd w:val="clear" w:color="auto" w:fill="C6EFCE"/>
            <w:noWrap/>
          </w:tcPr>
          <w:p w14:paraId="7F5D97E9" w14:textId="77777777" w:rsidR="00011DE9" w:rsidRDefault="00011DE9">
            <w:pPr>
              <w:pStyle w:val="P68B1DB1-Normal19"/>
              <w:spacing w:after="0" w:line="240" w:lineRule="auto"/>
              <w:jc w:val="center"/>
              <w:rPr>
                <w:rFonts w:eastAsia="Times New Roman"/>
                <w:noProof/>
              </w:rPr>
            </w:pPr>
            <w:r>
              <w:rPr>
                <w:noProof/>
              </w:rPr>
              <w:t>2023</w:t>
            </w:r>
          </w:p>
        </w:tc>
        <w:tc>
          <w:tcPr>
            <w:tcW w:w="6646" w:type="dxa"/>
            <w:shd w:val="clear" w:color="auto" w:fill="C6EFCE"/>
            <w:noWrap/>
          </w:tcPr>
          <w:p w14:paraId="4499B5BD" w14:textId="77777777" w:rsidR="00011DE9" w:rsidRDefault="00011DE9">
            <w:pPr>
              <w:spacing w:after="0" w:line="240" w:lineRule="auto"/>
              <w:rPr>
                <w:rFonts w:ascii="Times New Roman" w:hAnsi="Times New Roman"/>
                <w:noProof/>
                <w:sz w:val="18"/>
              </w:rPr>
            </w:pPr>
            <w:r>
              <w:rPr>
                <w:rFonts w:ascii="Times New Roman" w:hAnsi="Times New Roman"/>
                <w:noProof/>
                <w:sz w:val="18"/>
              </w:rPr>
              <w:t>Numărul de entități și proiecte cărora li s-a acordat finanțare din schema de sprijin pentru</w:t>
            </w:r>
            <w:r>
              <w:rPr>
                <w:noProof/>
              </w:rPr>
              <w:t xml:space="preserve"> </w:t>
            </w:r>
            <w:r>
              <w:rPr>
                <w:rFonts w:ascii="Times New Roman" w:hAnsi="Times New Roman"/>
                <w:noProof/>
                <w:sz w:val="18"/>
              </w:rPr>
              <w:t>competitivitatea și profesionalizarea industriilor culturale și creative (ICC), inclusiv:</w:t>
            </w:r>
          </w:p>
          <w:p w14:paraId="57DDE34F" w14:textId="4B5B3820" w:rsidR="00011DE9" w:rsidRDefault="00011DE9">
            <w:pPr>
              <w:spacing w:after="0" w:line="240" w:lineRule="auto"/>
              <w:rPr>
                <w:rFonts w:ascii="Times New Roman" w:eastAsia="Times New Roman" w:hAnsi="Times New Roman" w:cs="Times New Roman"/>
                <w:noProof/>
                <w:sz w:val="18"/>
                <w:szCs w:val="18"/>
              </w:rPr>
            </w:pPr>
            <w:r>
              <w:rPr>
                <w:rFonts w:ascii="Times New Roman" w:hAnsi="Times New Roman"/>
                <w:noProof/>
                <w:sz w:val="18"/>
              </w:rPr>
              <w:t>— competențele antreprenoriale și financiare ale profesioniștilor din industriile culturale și creative (cel puțin 900 beneficiari);</w:t>
            </w:r>
            <w:r w:rsidR="00971820">
              <w:rPr>
                <w:noProof/>
              </w:rPr>
              <w:t xml:space="preserve"> </w:t>
            </w:r>
            <w:r>
              <w:rPr>
                <w:noProof/>
              </w:rPr>
              <w:br/>
            </w:r>
            <w:r>
              <w:rPr>
                <w:rFonts w:ascii="Times New Roman" w:hAnsi="Times New Roman"/>
                <w:noProof/>
                <w:sz w:val="18"/>
              </w:rPr>
              <w:t>— implementarea planificării digitalizării și crearea de instrumente pentru a discuta despre transformarea digitală (cel puțin 16 proiecte);</w:t>
            </w:r>
            <w:r w:rsidR="00971820">
              <w:rPr>
                <w:noProof/>
              </w:rPr>
              <w:t xml:space="preserve"> </w:t>
            </w:r>
            <w:r>
              <w:rPr>
                <w:noProof/>
              </w:rPr>
              <w:br/>
            </w:r>
            <w:r>
              <w:rPr>
                <w:rFonts w:ascii="Times New Roman" w:hAnsi="Times New Roman"/>
                <w:noProof/>
                <w:sz w:val="18"/>
              </w:rPr>
              <w:t>— internaționalizarea industriilor culturale și creative (cel puțin 300 de beneficiari).</w:t>
            </w:r>
            <w:r w:rsidR="00971820">
              <w:rPr>
                <w:noProof/>
              </w:rPr>
              <w:t xml:space="preserve"> </w:t>
            </w:r>
            <w:r>
              <w:rPr>
                <w:noProof/>
              </w:rPr>
              <w:br/>
            </w:r>
            <w:r>
              <w:rPr>
                <w:rFonts w:ascii="Times New Roman" w:hAnsi="Times New Roman" w:hint="eastAsia"/>
                <w:noProof/>
                <w:sz w:val="18"/>
              </w:rPr>
              <w:t xml:space="preserve">Proiectele trebuie să respecte Orientările tehnice de </w:t>
            </w:r>
            <w:r>
              <w:rPr>
                <w:rFonts w:ascii="Times New Roman" w:hAnsi="Times New Roman" w:hint="eastAsia"/>
                <w:noProof/>
                <w:sz w:val="18"/>
              </w:rPr>
              <w:t>„</w:t>
            </w:r>
            <w:r>
              <w:rPr>
                <w:rFonts w:ascii="Times New Roman" w:hAnsi="Times New Roman" w:hint="eastAsia"/>
                <w:noProof/>
                <w:sz w:val="18"/>
              </w:rPr>
              <w:t>a nu prejudicia în mod semnificativ</w:t>
            </w:r>
            <w:r>
              <w:rPr>
                <w:rFonts w:ascii="Times New Roman" w:hAnsi="Times New Roman" w:hint="eastAsia"/>
                <w:noProof/>
                <w:sz w:val="18"/>
              </w:rPr>
              <w:t>”</w:t>
            </w:r>
            <w:r>
              <w:rPr>
                <w:rFonts w:ascii="Times New Roman" w:hAnsi="Times New Roman" w:hint="eastAsia"/>
                <w:noProof/>
                <w:sz w:val="18"/>
              </w:rPr>
              <w:t xml:space="preserve"> (2021/C58/01) prin utilizarea unei liste de excludere și a cerinței de conformitate cu legislația UE și națională relevantă în materie de mediu.</w:t>
            </w:r>
          </w:p>
        </w:tc>
      </w:tr>
      <w:tr w:rsidR="00011DE9" w14:paraId="21C85681" w14:textId="77777777">
        <w:trPr>
          <w:trHeight w:val="309"/>
          <w:jc w:val="center"/>
        </w:trPr>
        <w:tc>
          <w:tcPr>
            <w:tcW w:w="830" w:type="dxa"/>
            <w:shd w:val="clear" w:color="auto" w:fill="C6EFCE"/>
            <w:noWrap/>
          </w:tcPr>
          <w:p w14:paraId="4883453E" w14:textId="77777777" w:rsidR="00011DE9" w:rsidRDefault="00011DE9">
            <w:pPr>
              <w:pStyle w:val="P68B1DB1-Normal19"/>
              <w:spacing w:after="0" w:line="240" w:lineRule="auto"/>
              <w:jc w:val="center"/>
              <w:rPr>
                <w:noProof/>
              </w:rPr>
            </w:pPr>
            <w:r>
              <w:rPr>
                <w:noProof/>
              </w:rPr>
              <w:t>475</w:t>
            </w:r>
          </w:p>
        </w:tc>
        <w:tc>
          <w:tcPr>
            <w:tcW w:w="968" w:type="dxa"/>
            <w:shd w:val="clear" w:color="auto" w:fill="C6EFCE"/>
            <w:noWrap/>
          </w:tcPr>
          <w:p w14:paraId="6F044399" w14:textId="77777777" w:rsidR="00011DE9" w:rsidRDefault="00011DE9">
            <w:pPr>
              <w:pStyle w:val="P68B1DB1-Normal19"/>
              <w:spacing w:after="0" w:line="240" w:lineRule="auto"/>
              <w:jc w:val="center"/>
              <w:rPr>
                <w:noProof/>
              </w:rPr>
            </w:pPr>
            <w:r>
              <w:rPr>
                <w:noProof/>
              </w:rPr>
              <w:t>C24.I1</w:t>
            </w:r>
          </w:p>
        </w:tc>
        <w:tc>
          <w:tcPr>
            <w:tcW w:w="828" w:type="dxa"/>
            <w:shd w:val="clear" w:color="auto" w:fill="C6EFCE"/>
            <w:noWrap/>
          </w:tcPr>
          <w:p w14:paraId="11A229E3" w14:textId="77777777" w:rsidR="00011DE9" w:rsidRDefault="00011DE9">
            <w:pPr>
              <w:pStyle w:val="P68B1DB1-Normal19"/>
              <w:spacing w:after="0" w:line="240" w:lineRule="auto"/>
              <w:jc w:val="center"/>
              <w:rPr>
                <w:noProof/>
              </w:rPr>
            </w:pPr>
            <w:r>
              <w:rPr>
                <w:noProof/>
              </w:rPr>
              <w:t>T</w:t>
            </w:r>
          </w:p>
        </w:tc>
        <w:tc>
          <w:tcPr>
            <w:tcW w:w="1655" w:type="dxa"/>
            <w:shd w:val="clear" w:color="auto" w:fill="C6EFCE"/>
            <w:noWrap/>
          </w:tcPr>
          <w:p w14:paraId="152DB31F" w14:textId="77777777" w:rsidR="00011DE9" w:rsidRDefault="00011DE9">
            <w:pPr>
              <w:pStyle w:val="P68B1DB1-Normal23"/>
              <w:spacing w:after="0" w:line="240" w:lineRule="auto"/>
              <w:rPr>
                <w:noProof/>
              </w:rPr>
            </w:pPr>
            <w:r>
              <w:rPr>
                <w:noProof/>
              </w:rPr>
              <w:t xml:space="preserve">Consolidarea </w:t>
            </w:r>
          </w:p>
          <w:p w14:paraId="153D74F2" w14:textId="77777777" w:rsidR="00011DE9" w:rsidRDefault="00011DE9">
            <w:pPr>
              <w:pStyle w:val="P68B1DB1-Normal23"/>
              <w:spacing w:after="0" w:line="240" w:lineRule="auto"/>
              <w:rPr>
                <w:noProof/>
              </w:rPr>
            </w:pPr>
            <w:r>
              <w:rPr>
                <w:noProof/>
              </w:rPr>
              <w:t xml:space="preserve">competitivitatea </w:t>
            </w:r>
          </w:p>
          <w:p w14:paraId="71BC22BB" w14:textId="77777777" w:rsidR="00011DE9" w:rsidRDefault="00011DE9">
            <w:pPr>
              <w:pStyle w:val="P68B1DB1-Normal23"/>
              <w:spacing w:after="0" w:line="240" w:lineRule="auto"/>
              <w:rPr>
                <w:noProof/>
                <w:highlight w:val="yellow"/>
              </w:rPr>
            </w:pPr>
            <w:r>
              <w:rPr>
                <w:noProof/>
              </w:rPr>
              <w:t>industriile culturale</w:t>
            </w:r>
          </w:p>
        </w:tc>
        <w:tc>
          <w:tcPr>
            <w:tcW w:w="966" w:type="dxa"/>
            <w:shd w:val="clear" w:color="auto" w:fill="C6EFCE"/>
            <w:noWrap/>
          </w:tcPr>
          <w:p w14:paraId="598D5053" w14:textId="77777777" w:rsidR="00011DE9" w:rsidRDefault="00011DE9">
            <w:pPr>
              <w:spacing w:after="0" w:line="240" w:lineRule="auto"/>
              <w:jc w:val="center"/>
              <w:rPr>
                <w:rFonts w:ascii="Times New Roman" w:hAnsi="Times New Roman" w:cs="Times New Roman"/>
                <w:noProof/>
                <w:sz w:val="18"/>
                <w:szCs w:val="18"/>
              </w:rPr>
            </w:pPr>
          </w:p>
        </w:tc>
        <w:tc>
          <w:tcPr>
            <w:tcW w:w="739" w:type="dxa"/>
            <w:shd w:val="clear" w:color="auto" w:fill="C6EFCE"/>
            <w:noWrap/>
          </w:tcPr>
          <w:p w14:paraId="1D4F6BAD" w14:textId="77777777" w:rsidR="00011DE9" w:rsidRDefault="00011DE9">
            <w:pPr>
              <w:pStyle w:val="P68B1DB1-Normal19"/>
              <w:spacing w:after="0" w:line="240" w:lineRule="auto"/>
              <w:jc w:val="center"/>
              <w:rPr>
                <w:noProof/>
              </w:rPr>
            </w:pPr>
            <w:r>
              <w:rPr>
                <w:noProof/>
              </w:rPr>
              <w:t>Număr</w:t>
            </w:r>
          </w:p>
        </w:tc>
        <w:tc>
          <w:tcPr>
            <w:tcW w:w="918" w:type="dxa"/>
            <w:shd w:val="clear" w:color="auto" w:fill="C6EFCE"/>
            <w:noWrap/>
          </w:tcPr>
          <w:p w14:paraId="0AE2986E" w14:textId="77777777" w:rsidR="00011DE9" w:rsidRDefault="00011DE9">
            <w:pPr>
              <w:pStyle w:val="P68B1DB1-Normal19"/>
              <w:spacing w:after="0" w:line="240" w:lineRule="auto"/>
              <w:jc w:val="right"/>
              <w:rPr>
                <w:noProof/>
              </w:rPr>
            </w:pPr>
            <w:r>
              <w:rPr>
                <w:noProof/>
              </w:rPr>
              <w:t>0</w:t>
            </w:r>
          </w:p>
        </w:tc>
        <w:tc>
          <w:tcPr>
            <w:tcW w:w="691" w:type="dxa"/>
            <w:shd w:val="clear" w:color="auto" w:fill="C6EFCE"/>
            <w:noWrap/>
          </w:tcPr>
          <w:p w14:paraId="31FE5980" w14:textId="77777777" w:rsidR="00011DE9" w:rsidRDefault="00011DE9">
            <w:pPr>
              <w:pStyle w:val="P68B1DB1-Normal19"/>
              <w:spacing w:after="0" w:line="240" w:lineRule="auto"/>
              <w:jc w:val="right"/>
              <w:rPr>
                <w:noProof/>
              </w:rPr>
            </w:pPr>
            <w:r>
              <w:rPr>
                <w:noProof/>
              </w:rPr>
              <w:t>1 216</w:t>
            </w:r>
          </w:p>
        </w:tc>
        <w:tc>
          <w:tcPr>
            <w:tcW w:w="691" w:type="dxa"/>
            <w:shd w:val="clear" w:color="auto" w:fill="C6EFCE"/>
            <w:noWrap/>
          </w:tcPr>
          <w:p w14:paraId="05BC5D6B" w14:textId="598084CC" w:rsidR="00011DE9" w:rsidRDefault="005701C9">
            <w:pPr>
              <w:pStyle w:val="P68B1DB1-Normal19"/>
              <w:spacing w:after="0" w:line="240" w:lineRule="auto"/>
              <w:jc w:val="center"/>
              <w:rPr>
                <w:noProof/>
              </w:rPr>
            </w:pPr>
            <w:r>
              <w:rPr>
                <w:noProof/>
              </w:rPr>
              <w:t>T2</w:t>
            </w:r>
          </w:p>
        </w:tc>
        <w:tc>
          <w:tcPr>
            <w:tcW w:w="553" w:type="dxa"/>
            <w:shd w:val="clear" w:color="auto" w:fill="C6EFCE"/>
            <w:noWrap/>
          </w:tcPr>
          <w:p w14:paraId="26588426" w14:textId="77777777" w:rsidR="00011DE9" w:rsidRDefault="00011DE9">
            <w:pPr>
              <w:pStyle w:val="P68B1DB1-Normal19"/>
              <w:spacing w:after="0" w:line="240" w:lineRule="auto"/>
              <w:jc w:val="center"/>
              <w:rPr>
                <w:noProof/>
              </w:rPr>
            </w:pPr>
            <w:r>
              <w:rPr>
                <w:noProof/>
              </w:rPr>
              <w:t>2026</w:t>
            </w:r>
          </w:p>
        </w:tc>
        <w:tc>
          <w:tcPr>
            <w:tcW w:w="6646" w:type="dxa"/>
            <w:shd w:val="clear" w:color="auto" w:fill="C6EFCE"/>
            <w:noWrap/>
          </w:tcPr>
          <w:p w14:paraId="2CD27B13" w14:textId="370C9161" w:rsidR="00011DE9" w:rsidRDefault="00011DE9">
            <w:pPr>
              <w:spacing w:after="0" w:line="240" w:lineRule="auto"/>
              <w:rPr>
                <w:rFonts w:ascii="Times New Roman" w:hAnsi="Times New Roman" w:cs="Times New Roman"/>
                <w:noProof/>
                <w:sz w:val="18"/>
                <w:szCs w:val="18"/>
              </w:rPr>
            </w:pPr>
            <w:r>
              <w:rPr>
                <w:rFonts w:ascii="Times New Roman" w:hAnsi="Times New Roman"/>
                <w:noProof/>
                <w:sz w:val="18"/>
                <w:szCs w:val="18"/>
              </w:rPr>
              <w:t>Rapoartele finale care confirmă finalizarea activităților atribuite au fost prezentate de entitățile sau persoanele beneficiare pentru granturi sau confirmarea din partea administrației sau a comitetului de monitorizare corespunzător că contractele și, respectiv, acordurile au fost executate, acoperind sprijinul pentru:</w:t>
            </w:r>
            <w:r w:rsidR="00971820">
              <w:rPr>
                <w:noProof/>
              </w:rPr>
              <w:t xml:space="preserve"> </w:t>
            </w:r>
            <w:r>
              <w:rPr>
                <w:noProof/>
              </w:rPr>
              <w:br/>
            </w:r>
            <w:r>
              <w:rPr>
                <w:rFonts w:ascii="Times New Roman" w:hAnsi="Times New Roman"/>
                <w:noProof/>
                <w:sz w:val="18"/>
                <w:szCs w:val="18"/>
              </w:rPr>
              <w:t>— dobândirea de competențe antreprenoriale și financiare de către profesioniștii din industriile culturale și creative (cel puțin 900 beneficiari);</w:t>
            </w:r>
            <w:r w:rsidR="00971820">
              <w:rPr>
                <w:noProof/>
              </w:rPr>
              <w:t xml:space="preserve"> </w:t>
            </w:r>
            <w:r>
              <w:rPr>
                <w:noProof/>
              </w:rPr>
              <w:br/>
            </w:r>
            <w:r>
              <w:rPr>
                <w:rFonts w:ascii="Times New Roman" w:hAnsi="Times New Roman"/>
                <w:noProof/>
                <w:sz w:val="18"/>
                <w:szCs w:val="18"/>
              </w:rPr>
              <w:t>— digitalizarea operatorilor de gestionare și/sau a entităților cu competențe în domeniul drepturilor de proprietate intelectuală (cel puțin 16 proiecte);</w:t>
            </w:r>
            <w:r w:rsidR="00971820">
              <w:rPr>
                <w:noProof/>
              </w:rPr>
              <w:t xml:space="preserve"> </w:t>
            </w:r>
            <w:r>
              <w:rPr>
                <w:noProof/>
              </w:rPr>
              <w:br/>
            </w:r>
            <w:r>
              <w:rPr>
                <w:rFonts w:ascii="Times New Roman" w:hAnsi="Times New Roman"/>
                <w:noProof/>
                <w:sz w:val="18"/>
                <w:szCs w:val="18"/>
              </w:rPr>
              <w:t>internaționalizarea industriilor culturale și creative (cel puțin 300 de beneficiari).</w:t>
            </w:r>
          </w:p>
        </w:tc>
      </w:tr>
      <w:tr w:rsidR="00011DE9" w14:paraId="594E1FAD" w14:textId="77777777">
        <w:trPr>
          <w:trHeight w:val="984"/>
          <w:jc w:val="center"/>
        </w:trPr>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1DAB5B19" w14:textId="77777777" w:rsidR="00011DE9" w:rsidRDefault="00011DE9">
            <w:pPr>
              <w:pStyle w:val="P68B1DB1-Normal19"/>
              <w:spacing w:after="0" w:line="240" w:lineRule="auto"/>
              <w:jc w:val="center"/>
              <w:rPr>
                <w:rFonts w:eastAsia="Times New Roman"/>
                <w:noProof/>
              </w:rPr>
            </w:pPr>
            <w:r>
              <w:rPr>
                <w:noProof/>
              </w:rPr>
              <w:t>355</w:t>
            </w:r>
          </w:p>
        </w:tc>
        <w:tc>
          <w:tcPr>
            <w:tcW w:w="968" w:type="dxa"/>
            <w:tcBorders>
              <w:top w:val="single" w:sz="4" w:space="0" w:color="auto"/>
              <w:left w:val="single" w:sz="4" w:space="0" w:color="auto"/>
              <w:bottom w:val="single" w:sz="4" w:space="0" w:color="auto"/>
              <w:right w:val="single" w:sz="4" w:space="0" w:color="auto"/>
            </w:tcBorders>
            <w:shd w:val="clear" w:color="auto" w:fill="C6EFCE"/>
            <w:noWrap/>
          </w:tcPr>
          <w:p w14:paraId="51D28574" w14:textId="77777777" w:rsidR="00011DE9" w:rsidRDefault="00011DE9">
            <w:pPr>
              <w:pStyle w:val="P68B1DB1-Normal19"/>
              <w:spacing w:after="0" w:line="240" w:lineRule="auto"/>
              <w:jc w:val="center"/>
              <w:rPr>
                <w:rFonts w:eastAsia="Times New Roman"/>
                <w:noProof/>
              </w:rPr>
            </w:pPr>
            <w:r>
              <w:rPr>
                <w:noProof/>
              </w:rPr>
              <w:t>C24.I2</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145695E6" w14:textId="77777777" w:rsidR="00011DE9" w:rsidRDefault="00011DE9">
            <w:pPr>
              <w:pStyle w:val="P68B1DB1-Normal19"/>
              <w:spacing w:after="0" w:line="240" w:lineRule="auto"/>
              <w:jc w:val="center"/>
              <w:rPr>
                <w:rFonts w:eastAsia="Times New Roman"/>
                <w:noProof/>
              </w:rPr>
            </w:pPr>
            <w:r>
              <w:rPr>
                <w:noProof/>
              </w:rPr>
              <w:t>T</w:t>
            </w:r>
          </w:p>
        </w:tc>
        <w:tc>
          <w:tcPr>
            <w:tcW w:w="1655" w:type="dxa"/>
            <w:tcBorders>
              <w:top w:val="single" w:sz="4" w:space="0" w:color="auto"/>
              <w:left w:val="single" w:sz="4" w:space="0" w:color="auto"/>
              <w:bottom w:val="single" w:sz="4" w:space="0" w:color="auto"/>
              <w:right w:val="single" w:sz="4" w:space="0" w:color="auto"/>
            </w:tcBorders>
            <w:shd w:val="clear" w:color="auto" w:fill="C6EFCE"/>
            <w:noWrap/>
          </w:tcPr>
          <w:p w14:paraId="58C15B77" w14:textId="77777777" w:rsidR="00011DE9" w:rsidRDefault="00011DE9">
            <w:pPr>
              <w:pStyle w:val="P68B1DB1-Normal19"/>
              <w:spacing w:after="0" w:line="240" w:lineRule="auto"/>
              <w:rPr>
                <w:rFonts w:eastAsia="Times New Roman"/>
                <w:noProof/>
              </w:rPr>
            </w:pPr>
            <w:r>
              <w:rPr>
                <w:noProof/>
              </w:rPr>
              <w:t>Modernizarea și gestionarea durabilă a infrastructurii artelor spectacolului și a artelor muzicale</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0CDEC5F1" w14:textId="77777777" w:rsidR="00011DE9" w:rsidRDefault="00011DE9">
            <w:pPr>
              <w:pStyle w:val="P68B1DB1-Normal19"/>
              <w:spacing w:after="0" w:line="240" w:lineRule="auto"/>
              <w:jc w:val="center"/>
              <w:rPr>
                <w:rFonts w:eastAsia="Times New Roman"/>
                <w:noProof/>
              </w:rPr>
            </w:pPr>
            <w:r>
              <w:rPr>
                <w:noProof/>
              </w:rPr>
              <w:t>—</w:t>
            </w:r>
          </w:p>
        </w:tc>
        <w:tc>
          <w:tcPr>
            <w:tcW w:w="739" w:type="dxa"/>
            <w:tcBorders>
              <w:top w:val="single" w:sz="4" w:space="0" w:color="auto"/>
              <w:left w:val="single" w:sz="4" w:space="0" w:color="auto"/>
              <w:bottom w:val="single" w:sz="4" w:space="0" w:color="auto"/>
              <w:right w:val="single" w:sz="4" w:space="0" w:color="auto"/>
            </w:tcBorders>
            <w:shd w:val="clear" w:color="auto" w:fill="C6EFCE"/>
            <w:noWrap/>
          </w:tcPr>
          <w:p w14:paraId="595C5CA1" w14:textId="77777777" w:rsidR="00011DE9" w:rsidRDefault="00011DE9">
            <w:pPr>
              <w:pStyle w:val="P68B1DB1-Normal19"/>
              <w:spacing w:after="0" w:line="240" w:lineRule="auto"/>
              <w:jc w:val="center"/>
              <w:rPr>
                <w:rFonts w:eastAsia="Times New Roman"/>
                <w:noProof/>
              </w:rPr>
            </w:pPr>
            <w:r>
              <w:rPr>
                <w:noProof/>
              </w:rPr>
              <w:t>Număr</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475A8187" w14:textId="77777777" w:rsidR="00011DE9" w:rsidRDefault="00011DE9">
            <w:pPr>
              <w:pStyle w:val="P68B1DB1-Normal19"/>
              <w:spacing w:after="0" w:line="240" w:lineRule="auto"/>
              <w:jc w:val="right"/>
              <w:rPr>
                <w:rFonts w:eastAsia="Times New Roman"/>
                <w:noProof/>
              </w:rPr>
            </w:pPr>
            <w:r>
              <w:rPr>
                <w:noProof/>
              </w:rPr>
              <w:t>0</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7627E73D" w14:textId="77777777" w:rsidR="00011DE9" w:rsidRDefault="00011DE9">
            <w:pPr>
              <w:pStyle w:val="P68B1DB1-Normal19"/>
              <w:spacing w:after="0" w:line="240" w:lineRule="auto"/>
              <w:jc w:val="center"/>
              <w:rPr>
                <w:rFonts w:eastAsia="Times New Roman"/>
                <w:noProof/>
              </w:rPr>
            </w:pPr>
            <w:r>
              <w:rPr>
                <w:noProof/>
              </w:rPr>
              <w:t>200</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73DF0F23" w14:textId="5D2B3A04" w:rsidR="00011DE9" w:rsidRDefault="005701C9">
            <w:pPr>
              <w:pStyle w:val="P68B1DB1-Normal19"/>
              <w:spacing w:after="0" w:line="240" w:lineRule="auto"/>
              <w:jc w:val="center"/>
              <w:rPr>
                <w:rFonts w:eastAsia="Times New Roman"/>
                <w:noProof/>
              </w:rPr>
            </w:pPr>
            <w:r>
              <w:rPr>
                <w:noProof/>
              </w:rPr>
              <w:t>T4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F5494D8" w14:textId="77777777" w:rsidR="00011DE9" w:rsidRDefault="00011DE9">
            <w:pPr>
              <w:pStyle w:val="P68B1DB1-Normal19"/>
              <w:spacing w:after="0" w:line="240" w:lineRule="auto"/>
              <w:jc w:val="center"/>
              <w:rPr>
                <w:rFonts w:eastAsia="Times New Roman"/>
                <w:noProof/>
              </w:rPr>
            </w:pPr>
            <w:r>
              <w:rPr>
                <w:noProof/>
              </w:rPr>
              <w:t>2025</w:t>
            </w:r>
          </w:p>
        </w:tc>
        <w:tc>
          <w:tcPr>
            <w:tcW w:w="6646" w:type="dxa"/>
            <w:tcBorders>
              <w:top w:val="single" w:sz="4" w:space="0" w:color="auto"/>
              <w:left w:val="single" w:sz="4" w:space="0" w:color="auto"/>
              <w:bottom w:val="single" w:sz="4" w:space="0" w:color="auto"/>
              <w:right w:val="single" w:sz="4" w:space="0" w:color="auto"/>
            </w:tcBorders>
            <w:shd w:val="clear" w:color="auto" w:fill="C6EFCE"/>
            <w:noWrap/>
          </w:tcPr>
          <w:p w14:paraId="7ADF084B" w14:textId="77777777" w:rsidR="00011DE9" w:rsidRDefault="00011DE9">
            <w:pPr>
              <w:pStyle w:val="P68B1DB1-Normal20"/>
              <w:spacing w:after="0" w:line="240" w:lineRule="auto"/>
              <w:rPr>
                <w:rFonts w:eastAsia="Times New Roman" w:cs="Times New Roman"/>
                <w:noProof/>
              </w:rPr>
            </w:pPr>
            <w:r>
              <w:rPr>
                <w:noProof/>
              </w:rPr>
              <w:t>200 entitățile sau persoanele beneficiare prezintă rapoarte finale care confirmă finalizarea activităților atribuite pentru granturi legate de modernizarea și gestionarea durabilă a infrastructurii artelor spectacolului și muzicale.</w:t>
            </w:r>
          </w:p>
        </w:tc>
      </w:tr>
      <w:tr w:rsidR="00011DE9" w14:paraId="14792881" w14:textId="77777777">
        <w:trPr>
          <w:trHeight w:val="309"/>
          <w:jc w:val="center"/>
        </w:trPr>
        <w:tc>
          <w:tcPr>
            <w:tcW w:w="830" w:type="dxa"/>
            <w:shd w:val="clear" w:color="auto" w:fill="C6EFCE"/>
            <w:noWrap/>
          </w:tcPr>
          <w:p w14:paraId="2522288F" w14:textId="77777777" w:rsidR="00011DE9" w:rsidRDefault="00011DE9">
            <w:pPr>
              <w:pStyle w:val="P68B1DB1-Normal19"/>
              <w:spacing w:after="0" w:line="240" w:lineRule="auto"/>
              <w:jc w:val="center"/>
              <w:rPr>
                <w:noProof/>
              </w:rPr>
            </w:pPr>
            <w:r>
              <w:rPr>
                <w:noProof/>
              </w:rPr>
              <w:t>357</w:t>
            </w:r>
          </w:p>
        </w:tc>
        <w:tc>
          <w:tcPr>
            <w:tcW w:w="968" w:type="dxa"/>
            <w:shd w:val="clear" w:color="auto" w:fill="C6EFCE"/>
            <w:noWrap/>
          </w:tcPr>
          <w:p w14:paraId="2A7AC154" w14:textId="77777777" w:rsidR="00011DE9" w:rsidRDefault="00011DE9">
            <w:pPr>
              <w:pStyle w:val="P68B1DB1-Normal19"/>
              <w:spacing w:after="0" w:line="240" w:lineRule="auto"/>
              <w:jc w:val="center"/>
              <w:rPr>
                <w:noProof/>
              </w:rPr>
            </w:pPr>
            <w:r>
              <w:rPr>
                <w:noProof/>
              </w:rPr>
              <w:t>C24.I2</w:t>
            </w:r>
          </w:p>
        </w:tc>
        <w:tc>
          <w:tcPr>
            <w:tcW w:w="828" w:type="dxa"/>
            <w:shd w:val="clear" w:color="auto" w:fill="C6EFCE"/>
            <w:noWrap/>
          </w:tcPr>
          <w:p w14:paraId="42578304" w14:textId="77777777" w:rsidR="00011DE9" w:rsidRDefault="00011DE9">
            <w:pPr>
              <w:pStyle w:val="P68B1DB1-Normal19"/>
              <w:spacing w:after="0" w:line="240" w:lineRule="auto"/>
              <w:jc w:val="center"/>
              <w:rPr>
                <w:noProof/>
              </w:rPr>
            </w:pPr>
            <w:r>
              <w:rPr>
                <w:noProof/>
              </w:rPr>
              <w:t>T</w:t>
            </w:r>
          </w:p>
        </w:tc>
        <w:tc>
          <w:tcPr>
            <w:tcW w:w="1655" w:type="dxa"/>
            <w:shd w:val="clear" w:color="auto" w:fill="C6EFCE"/>
            <w:noWrap/>
          </w:tcPr>
          <w:p w14:paraId="3249FF94" w14:textId="77777777" w:rsidR="00011DE9" w:rsidRDefault="00011DE9">
            <w:pPr>
              <w:pStyle w:val="P68B1DB1-Normal19"/>
              <w:spacing w:after="0" w:line="240" w:lineRule="auto"/>
              <w:rPr>
                <w:noProof/>
              </w:rPr>
            </w:pPr>
            <w:r>
              <w:rPr>
                <w:noProof/>
              </w:rPr>
              <w:t>Licențe de cărți electronice pentru biblioteci</w:t>
            </w:r>
          </w:p>
        </w:tc>
        <w:tc>
          <w:tcPr>
            <w:tcW w:w="966" w:type="dxa"/>
            <w:shd w:val="clear" w:color="auto" w:fill="C6EFCE"/>
            <w:noWrap/>
          </w:tcPr>
          <w:p w14:paraId="5BDEA369" w14:textId="77777777" w:rsidR="00011DE9" w:rsidRDefault="00011DE9">
            <w:pPr>
              <w:pStyle w:val="P68B1DB1-Normal19"/>
              <w:spacing w:after="0" w:line="240" w:lineRule="auto"/>
              <w:jc w:val="center"/>
              <w:rPr>
                <w:noProof/>
              </w:rPr>
            </w:pPr>
            <w:r>
              <w:rPr>
                <w:noProof/>
              </w:rPr>
              <w:t>—</w:t>
            </w:r>
          </w:p>
        </w:tc>
        <w:tc>
          <w:tcPr>
            <w:tcW w:w="739" w:type="dxa"/>
            <w:shd w:val="clear" w:color="auto" w:fill="C6EFCE"/>
            <w:noWrap/>
          </w:tcPr>
          <w:p w14:paraId="072FDA66" w14:textId="77777777" w:rsidR="00011DE9" w:rsidRDefault="00011DE9">
            <w:pPr>
              <w:pStyle w:val="P68B1DB1-Normal19"/>
              <w:spacing w:after="0" w:line="240" w:lineRule="auto"/>
              <w:jc w:val="center"/>
              <w:rPr>
                <w:noProof/>
              </w:rPr>
            </w:pPr>
            <w:r>
              <w:rPr>
                <w:noProof/>
              </w:rPr>
              <w:t>Număr</w:t>
            </w:r>
          </w:p>
        </w:tc>
        <w:tc>
          <w:tcPr>
            <w:tcW w:w="918" w:type="dxa"/>
            <w:shd w:val="clear" w:color="auto" w:fill="C6EFCE"/>
            <w:noWrap/>
          </w:tcPr>
          <w:p w14:paraId="51DA3A12" w14:textId="77777777" w:rsidR="00011DE9" w:rsidRDefault="00011DE9">
            <w:pPr>
              <w:pStyle w:val="P68B1DB1-Normal19"/>
              <w:spacing w:after="0" w:line="240" w:lineRule="auto"/>
              <w:jc w:val="right"/>
              <w:rPr>
                <w:noProof/>
              </w:rPr>
            </w:pPr>
            <w:r>
              <w:rPr>
                <w:noProof/>
              </w:rPr>
              <w:t>0</w:t>
            </w:r>
          </w:p>
        </w:tc>
        <w:tc>
          <w:tcPr>
            <w:tcW w:w="691" w:type="dxa"/>
            <w:shd w:val="clear" w:color="auto" w:fill="C6EFCE"/>
            <w:noWrap/>
          </w:tcPr>
          <w:p w14:paraId="3BF2952A" w14:textId="77777777" w:rsidR="00011DE9" w:rsidRDefault="00011DE9">
            <w:pPr>
              <w:pStyle w:val="P68B1DB1-Normal19"/>
              <w:spacing w:after="0" w:line="240" w:lineRule="auto"/>
              <w:jc w:val="center"/>
              <w:rPr>
                <w:noProof/>
              </w:rPr>
            </w:pPr>
            <w:r>
              <w:rPr>
                <w:noProof/>
              </w:rPr>
              <w:t>300 000</w:t>
            </w:r>
          </w:p>
        </w:tc>
        <w:tc>
          <w:tcPr>
            <w:tcW w:w="691" w:type="dxa"/>
            <w:shd w:val="clear" w:color="auto" w:fill="C6EFCE"/>
            <w:noWrap/>
          </w:tcPr>
          <w:p w14:paraId="645130D1" w14:textId="0F5FDD03" w:rsidR="00011DE9" w:rsidRDefault="005701C9">
            <w:pPr>
              <w:pStyle w:val="P68B1DB1-Normal19"/>
              <w:spacing w:after="0" w:line="240" w:lineRule="auto"/>
              <w:jc w:val="center"/>
              <w:rPr>
                <w:noProof/>
              </w:rPr>
            </w:pPr>
            <w:r>
              <w:rPr>
                <w:noProof/>
              </w:rPr>
              <w:t>T2</w:t>
            </w:r>
          </w:p>
        </w:tc>
        <w:tc>
          <w:tcPr>
            <w:tcW w:w="553" w:type="dxa"/>
            <w:shd w:val="clear" w:color="auto" w:fill="C6EFCE"/>
            <w:noWrap/>
          </w:tcPr>
          <w:p w14:paraId="19CAA37C" w14:textId="77777777" w:rsidR="00011DE9" w:rsidRDefault="00011DE9">
            <w:pPr>
              <w:pStyle w:val="P68B1DB1-Normal19"/>
              <w:spacing w:after="0" w:line="240" w:lineRule="auto"/>
              <w:jc w:val="center"/>
              <w:rPr>
                <w:noProof/>
              </w:rPr>
            </w:pPr>
            <w:r>
              <w:rPr>
                <w:noProof/>
              </w:rPr>
              <w:t>2023</w:t>
            </w:r>
          </w:p>
        </w:tc>
        <w:tc>
          <w:tcPr>
            <w:tcW w:w="6646" w:type="dxa"/>
            <w:shd w:val="clear" w:color="auto" w:fill="C6EFCE"/>
            <w:noWrap/>
          </w:tcPr>
          <w:p w14:paraId="0DEE928F" w14:textId="77777777" w:rsidR="00011DE9" w:rsidRDefault="00011DE9">
            <w:pPr>
              <w:pStyle w:val="P68B1DB1-Normal19"/>
              <w:spacing w:after="0" w:line="240" w:lineRule="auto"/>
              <w:rPr>
                <w:noProof/>
              </w:rPr>
            </w:pPr>
            <w:r>
              <w:rPr>
                <w:noProof/>
              </w:rPr>
              <w:t xml:space="preserve">Licențe de cărți electronice achiziționate și furnizate bibliotecilor publice (cel puțin 300 000). </w:t>
            </w:r>
          </w:p>
        </w:tc>
      </w:tr>
      <w:tr w:rsidR="00011DE9" w14:paraId="218D1234" w14:textId="77777777">
        <w:trPr>
          <w:trHeight w:val="309"/>
          <w:jc w:val="center"/>
        </w:trPr>
        <w:tc>
          <w:tcPr>
            <w:tcW w:w="830" w:type="dxa"/>
            <w:shd w:val="clear" w:color="auto" w:fill="C6EFCE"/>
            <w:noWrap/>
          </w:tcPr>
          <w:p w14:paraId="0713AB51" w14:textId="77777777" w:rsidR="00011DE9" w:rsidRDefault="00011DE9">
            <w:pPr>
              <w:pStyle w:val="P68B1DB1-Normal19"/>
              <w:spacing w:after="0" w:line="240" w:lineRule="auto"/>
              <w:jc w:val="center"/>
              <w:rPr>
                <w:noProof/>
              </w:rPr>
            </w:pPr>
            <w:r>
              <w:rPr>
                <w:noProof/>
              </w:rPr>
              <w:t>359</w:t>
            </w:r>
          </w:p>
        </w:tc>
        <w:tc>
          <w:tcPr>
            <w:tcW w:w="968" w:type="dxa"/>
            <w:shd w:val="clear" w:color="auto" w:fill="C6EFCE"/>
            <w:noWrap/>
          </w:tcPr>
          <w:p w14:paraId="189FFCB9" w14:textId="77777777" w:rsidR="00011DE9" w:rsidRDefault="00011DE9">
            <w:pPr>
              <w:pStyle w:val="P68B1DB1-Normal19"/>
              <w:spacing w:after="0" w:line="240" w:lineRule="auto"/>
              <w:jc w:val="center"/>
              <w:rPr>
                <w:noProof/>
              </w:rPr>
            </w:pPr>
            <w:r>
              <w:rPr>
                <w:noProof/>
              </w:rPr>
              <w:t>C24.I2</w:t>
            </w:r>
          </w:p>
        </w:tc>
        <w:tc>
          <w:tcPr>
            <w:tcW w:w="828" w:type="dxa"/>
            <w:shd w:val="clear" w:color="auto" w:fill="C6EFCE"/>
            <w:noWrap/>
          </w:tcPr>
          <w:p w14:paraId="4CAF04D2" w14:textId="77777777" w:rsidR="00011DE9" w:rsidRDefault="00011DE9">
            <w:pPr>
              <w:pStyle w:val="P68B1DB1-Normal19"/>
              <w:spacing w:after="0" w:line="240" w:lineRule="auto"/>
              <w:jc w:val="center"/>
              <w:rPr>
                <w:noProof/>
              </w:rPr>
            </w:pPr>
            <w:r>
              <w:rPr>
                <w:noProof/>
              </w:rPr>
              <w:t>T</w:t>
            </w:r>
          </w:p>
        </w:tc>
        <w:tc>
          <w:tcPr>
            <w:tcW w:w="1655" w:type="dxa"/>
            <w:shd w:val="clear" w:color="auto" w:fill="C6EFCE"/>
            <w:noWrap/>
          </w:tcPr>
          <w:p w14:paraId="7158CE4B" w14:textId="77777777" w:rsidR="00011DE9" w:rsidRDefault="00011DE9">
            <w:pPr>
              <w:pStyle w:val="P68B1DB1-Normal19"/>
              <w:spacing w:after="0" w:line="240" w:lineRule="auto"/>
              <w:rPr>
                <w:noProof/>
              </w:rPr>
            </w:pPr>
            <w:r>
              <w:rPr>
                <w:noProof/>
              </w:rPr>
              <w:t xml:space="preserve">Stimularea inițiativelor culturale și creative </w:t>
            </w:r>
          </w:p>
        </w:tc>
        <w:tc>
          <w:tcPr>
            <w:tcW w:w="966" w:type="dxa"/>
            <w:shd w:val="clear" w:color="auto" w:fill="C6EFCE"/>
            <w:noWrap/>
          </w:tcPr>
          <w:p w14:paraId="76EF0390" w14:textId="77777777" w:rsidR="00011DE9" w:rsidRDefault="00011DE9">
            <w:pPr>
              <w:pStyle w:val="P68B1DB1-Normal19"/>
              <w:spacing w:after="0" w:line="240" w:lineRule="auto"/>
              <w:jc w:val="center"/>
              <w:rPr>
                <w:noProof/>
              </w:rPr>
            </w:pPr>
            <w:r>
              <w:rPr>
                <w:noProof/>
              </w:rPr>
              <w:t>—</w:t>
            </w:r>
          </w:p>
        </w:tc>
        <w:tc>
          <w:tcPr>
            <w:tcW w:w="739" w:type="dxa"/>
            <w:shd w:val="clear" w:color="auto" w:fill="C6EFCE"/>
            <w:noWrap/>
          </w:tcPr>
          <w:p w14:paraId="4A688FF1" w14:textId="77777777" w:rsidR="00011DE9" w:rsidRDefault="00011DE9">
            <w:pPr>
              <w:pStyle w:val="P68B1DB1-Normal19"/>
              <w:spacing w:after="0" w:line="240" w:lineRule="auto"/>
              <w:jc w:val="center"/>
              <w:rPr>
                <w:noProof/>
              </w:rPr>
            </w:pPr>
            <w:r>
              <w:rPr>
                <w:noProof/>
              </w:rPr>
              <w:t>Număr</w:t>
            </w:r>
          </w:p>
        </w:tc>
        <w:tc>
          <w:tcPr>
            <w:tcW w:w="918" w:type="dxa"/>
            <w:shd w:val="clear" w:color="auto" w:fill="C6EFCE"/>
            <w:noWrap/>
          </w:tcPr>
          <w:p w14:paraId="2866E84B" w14:textId="77777777" w:rsidR="00011DE9" w:rsidRDefault="00011DE9">
            <w:pPr>
              <w:pStyle w:val="P68B1DB1-Normal19"/>
              <w:spacing w:after="0" w:line="240" w:lineRule="auto"/>
              <w:jc w:val="right"/>
              <w:rPr>
                <w:noProof/>
              </w:rPr>
            </w:pPr>
            <w:r>
              <w:rPr>
                <w:noProof/>
              </w:rPr>
              <w:t>0</w:t>
            </w:r>
          </w:p>
        </w:tc>
        <w:tc>
          <w:tcPr>
            <w:tcW w:w="691" w:type="dxa"/>
            <w:shd w:val="clear" w:color="auto" w:fill="C6EFCE"/>
            <w:noWrap/>
          </w:tcPr>
          <w:p w14:paraId="0EEA53A0" w14:textId="77777777" w:rsidR="00011DE9" w:rsidRDefault="00011DE9">
            <w:pPr>
              <w:pStyle w:val="P68B1DB1-Normal19"/>
              <w:spacing w:after="0" w:line="240" w:lineRule="auto"/>
              <w:jc w:val="center"/>
              <w:rPr>
                <w:noProof/>
              </w:rPr>
            </w:pPr>
            <w:r>
              <w:rPr>
                <w:noProof/>
              </w:rPr>
              <w:t>400</w:t>
            </w:r>
          </w:p>
        </w:tc>
        <w:tc>
          <w:tcPr>
            <w:tcW w:w="691" w:type="dxa"/>
            <w:shd w:val="clear" w:color="auto" w:fill="C6EFCE"/>
            <w:noWrap/>
          </w:tcPr>
          <w:p w14:paraId="4E96D473" w14:textId="483658BB" w:rsidR="00011DE9" w:rsidRDefault="005701C9">
            <w:pPr>
              <w:pStyle w:val="P68B1DB1-Normal19"/>
              <w:spacing w:after="0" w:line="240" w:lineRule="auto"/>
              <w:jc w:val="center"/>
              <w:rPr>
                <w:noProof/>
              </w:rPr>
            </w:pPr>
            <w:r>
              <w:rPr>
                <w:noProof/>
              </w:rPr>
              <w:t>T4</w:t>
            </w:r>
          </w:p>
        </w:tc>
        <w:tc>
          <w:tcPr>
            <w:tcW w:w="553" w:type="dxa"/>
            <w:shd w:val="clear" w:color="auto" w:fill="C6EFCE"/>
            <w:noWrap/>
          </w:tcPr>
          <w:p w14:paraId="0B6129E1" w14:textId="77777777" w:rsidR="00011DE9" w:rsidRDefault="00011DE9">
            <w:pPr>
              <w:pStyle w:val="P68B1DB1-Normal19"/>
              <w:spacing w:after="0" w:line="240" w:lineRule="auto"/>
              <w:jc w:val="center"/>
              <w:rPr>
                <w:noProof/>
              </w:rPr>
            </w:pPr>
            <w:r>
              <w:rPr>
                <w:noProof/>
              </w:rPr>
              <w:t>2025</w:t>
            </w:r>
          </w:p>
        </w:tc>
        <w:tc>
          <w:tcPr>
            <w:tcW w:w="6646" w:type="dxa"/>
            <w:shd w:val="clear" w:color="auto" w:fill="C6EFCE"/>
            <w:noWrap/>
          </w:tcPr>
          <w:p w14:paraId="29905802" w14:textId="77777777" w:rsidR="00011DE9" w:rsidRDefault="00011DE9">
            <w:pPr>
              <w:pStyle w:val="P68B1DB1-Normal20"/>
              <w:spacing w:after="0" w:line="240" w:lineRule="auto"/>
              <w:rPr>
                <w:rFonts w:cs="Times New Roman"/>
                <w:noProof/>
              </w:rPr>
            </w:pPr>
            <w:r>
              <w:rPr>
                <w:noProof/>
              </w:rPr>
              <w:t xml:space="preserve">Entitățile beneficiare sau persoanele fizice au prezentat 400 rapoarte finale care confirmă finalizarea proiectelor atribuite, referitoare la promovarea activității culturale. </w:t>
            </w:r>
          </w:p>
        </w:tc>
      </w:tr>
      <w:tr w:rsidR="00011DE9" w14:paraId="738151FF" w14:textId="77777777">
        <w:trPr>
          <w:trHeight w:val="309"/>
          <w:jc w:val="center"/>
        </w:trPr>
        <w:tc>
          <w:tcPr>
            <w:tcW w:w="830" w:type="dxa"/>
            <w:shd w:val="clear" w:color="auto" w:fill="C6EFCE"/>
            <w:noWrap/>
          </w:tcPr>
          <w:p w14:paraId="3C0027B0" w14:textId="77777777" w:rsidR="00011DE9" w:rsidRDefault="00011DE9">
            <w:pPr>
              <w:pStyle w:val="P68B1DB1-Normal19"/>
              <w:spacing w:after="0" w:line="240" w:lineRule="auto"/>
              <w:jc w:val="center"/>
              <w:rPr>
                <w:rFonts w:eastAsia="Times New Roman"/>
                <w:noProof/>
              </w:rPr>
            </w:pPr>
            <w:r>
              <w:rPr>
                <w:noProof/>
              </w:rPr>
              <w:t>356</w:t>
            </w:r>
          </w:p>
        </w:tc>
        <w:tc>
          <w:tcPr>
            <w:tcW w:w="968" w:type="dxa"/>
            <w:shd w:val="clear" w:color="auto" w:fill="C6EFCE"/>
            <w:noWrap/>
          </w:tcPr>
          <w:p w14:paraId="6CFF59C2" w14:textId="77777777" w:rsidR="00011DE9" w:rsidRDefault="00011DE9">
            <w:pPr>
              <w:pStyle w:val="P68B1DB1-Normal19"/>
              <w:spacing w:after="0" w:line="240" w:lineRule="auto"/>
              <w:jc w:val="center"/>
              <w:rPr>
                <w:rFonts w:eastAsia="Times New Roman"/>
                <w:noProof/>
              </w:rPr>
            </w:pPr>
            <w:r>
              <w:rPr>
                <w:noProof/>
              </w:rPr>
              <w:t>C24.I2</w:t>
            </w:r>
          </w:p>
        </w:tc>
        <w:tc>
          <w:tcPr>
            <w:tcW w:w="828" w:type="dxa"/>
            <w:shd w:val="clear" w:color="auto" w:fill="C6EFCE"/>
            <w:noWrap/>
          </w:tcPr>
          <w:p w14:paraId="1B236AFA" w14:textId="77777777" w:rsidR="00011DE9" w:rsidRDefault="00011DE9">
            <w:pPr>
              <w:pStyle w:val="P68B1DB1-Normal19"/>
              <w:spacing w:after="0" w:line="240" w:lineRule="auto"/>
              <w:jc w:val="center"/>
              <w:rPr>
                <w:rFonts w:eastAsia="Times New Roman"/>
                <w:noProof/>
              </w:rPr>
            </w:pPr>
            <w:r>
              <w:rPr>
                <w:noProof/>
              </w:rPr>
              <w:t>T</w:t>
            </w:r>
          </w:p>
        </w:tc>
        <w:tc>
          <w:tcPr>
            <w:tcW w:w="1655" w:type="dxa"/>
            <w:shd w:val="clear" w:color="auto" w:fill="C6EFCE"/>
            <w:noWrap/>
          </w:tcPr>
          <w:p w14:paraId="38CBCA45" w14:textId="77777777" w:rsidR="00011DE9" w:rsidRDefault="00011DE9">
            <w:pPr>
              <w:pStyle w:val="P68B1DB1-Normal20"/>
              <w:spacing w:after="0" w:line="240" w:lineRule="auto"/>
              <w:rPr>
                <w:rFonts w:eastAsia="Times New Roman" w:cs="Times New Roman"/>
                <w:noProof/>
              </w:rPr>
            </w:pPr>
            <w:r>
              <w:rPr>
                <w:noProof/>
              </w:rPr>
              <w:t>Restaurarea și consolidarea siturilor culturale spaniole</w:t>
            </w:r>
          </w:p>
        </w:tc>
        <w:tc>
          <w:tcPr>
            <w:tcW w:w="966" w:type="dxa"/>
            <w:shd w:val="clear" w:color="auto" w:fill="C6EFCE"/>
            <w:noWrap/>
          </w:tcPr>
          <w:p w14:paraId="7D1B7D8C" w14:textId="77777777" w:rsidR="00011DE9" w:rsidRDefault="00011DE9">
            <w:pPr>
              <w:pStyle w:val="P68B1DB1-Normal19"/>
              <w:spacing w:after="0" w:line="240" w:lineRule="auto"/>
              <w:jc w:val="center"/>
              <w:rPr>
                <w:rFonts w:eastAsia="Times New Roman"/>
                <w:noProof/>
              </w:rPr>
            </w:pPr>
            <w:r>
              <w:rPr>
                <w:noProof/>
              </w:rPr>
              <w:t>—</w:t>
            </w:r>
          </w:p>
        </w:tc>
        <w:tc>
          <w:tcPr>
            <w:tcW w:w="739" w:type="dxa"/>
            <w:shd w:val="clear" w:color="auto" w:fill="C6EFCE"/>
            <w:noWrap/>
          </w:tcPr>
          <w:p w14:paraId="22AC64D0" w14:textId="77777777" w:rsidR="00011DE9" w:rsidRDefault="00011DE9">
            <w:pPr>
              <w:pStyle w:val="P68B1DB1-Normal19"/>
              <w:spacing w:after="0" w:line="240" w:lineRule="auto"/>
              <w:jc w:val="center"/>
              <w:rPr>
                <w:rFonts w:eastAsia="Times New Roman"/>
                <w:noProof/>
              </w:rPr>
            </w:pPr>
            <w:r>
              <w:rPr>
                <w:noProof/>
              </w:rPr>
              <w:t>Număr</w:t>
            </w:r>
          </w:p>
        </w:tc>
        <w:tc>
          <w:tcPr>
            <w:tcW w:w="918" w:type="dxa"/>
            <w:shd w:val="clear" w:color="auto" w:fill="C6EFCE"/>
            <w:noWrap/>
          </w:tcPr>
          <w:p w14:paraId="4AA44A44" w14:textId="77777777" w:rsidR="00011DE9" w:rsidRDefault="00011DE9">
            <w:pPr>
              <w:pStyle w:val="P68B1DB1-Normal19"/>
              <w:spacing w:after="0" w:line="240" w:lineRule="auto"/>
              <w:jc w:val="right"/>
              <w:rPr>
                <w:rFonts w:eastAsia="Times New Roman"/>
                <w:noProof/>
              </w:rPr>
            </w:pPr>
            <w:r>
              <w:rPr>
                <w:noProof/>
              </w:rPr>
              <w:t>0</w:t>
            </w:r>
          </w:p>
        </w:tc>
        <w:tc>
          <w:tcPr>
            <w:tcW w:w="691" w:type="dxa"/>
            <w:shd w:val="clear" w:color="auto" w:fill="C6EFCE"/>
            <w:noWrap/>
          </w:tcPr>
          <w:p w14:paraId="1BC1F037" w14:textId="77777777" w:rsidR="00011DE9" w:rsidRDefault="00011DE9">
            <w:pPr>
              <w:pStyle w:val="P68B1DB1-Normal19"/>
              <w:spacing w:after="0" w:line="240" w:lineRule="auto"/>
              <w:jc w:val="center"/>
              <w:rPr>
                <w:rFonts w:eastAsia="Times New Roman"/>
                <w:noProof/>
              </w:rPr>
            </w:pPr>
            <w:r>
              <w:rPr>
                <w:noProof/>
              </w:rPr>
              <w:t>20</w:t>
            </w:r>
          </w:p>
        </w:tc>
        <w:tc>
          <w:tcPr>
            <w:tcW w:w="691" w:type="dxa"/>
            <w:shd w:val="clear" w:color="auto" w:fill="C6EFCE"/>
            <w:noWrap/>
          </w:tcPr>
          <w:p w14:paraId="7A293BD4" w14:textId="2025A664" w:rsidR="00011DE9" w:rsidRDefault="005701C9">
            <w:pPr>
              <w:pStyle w:val="P68B1DB1-Normal19"/>
              <w:spacing w:after="0" w:line="240" w:lineRule="auto"/>
              <w:jc w:val="center"/>
              <w:rPr>
                <w:rFonts w:eastAsia="Times New Roman"/>
                <w:noProof/>
              </w:rPr>
            </w:pPr>
            <w:r>
              <w:rPr>
                <w:noProof/>
              </w:rPr>
              <w:t>T2</w:t>
            </w:r>
          </w:p>
        </w:tc>
        <w:tc>
          <w:tcPr>
            <w:tcW w:w="553" w:type="dxa"/>
            <w:shd w:val="clear" w:color="auto" w:fill="C6EFCE"/>
            <w:noWrap/>
          </w:tcPr>
          <w:p w14:paraId="1AE929A8" w14:textId="77777777" w:rsidR="00011DE9" w:rsidRDefault="00011DE9">
            <w:pPr>
              <w:pStyle w:val="P68B1DB1-Normal19"/>
              <w:spacing w:after="0" w:line="240" w:lineRule="auto"/>
              <w:jc w:val="center"/>
              <w:rPr>
                <w:rFonts w:eastAsia="Times New Roman"/>
                <w:noProof/>
              </w:rPr>
            </w:pPr>
            <w:r>
              <w:rPr>
                <w:noProof/>
              </w:rPr>
              <w:t>2026</w:t>
            </w:r>
          </w:p>
        </w:tc>
        <w:tc>
          <w:tcPr>
            <w:tcW w:w="6646" w:type="dxa"/>
            <w:shd w:val="clear" w:color="auto" w:fill="C6EFCE"/>
            <w:noWrap/>
          </w:tcPr>
          <w:p w14:paraId="7DEFCC66" w14:textId="77777777" w:rsidR="00011DE9" w:rsidRDefault="00011DE9">
            <w:pPr>
              <w:pStyle w:val="P68B1DB1-Normal19"/>
              <w:spacing w:after="0" w:line="240" w:lineRule="auto"/>
              <w:rPr>
                <w:rFonts w:eastAsia="Times New Roman"/>
                <w:noProof/>
              </w:rPr>
            </w:pPr>
            <w:r>
              <w:rPr>
                <w:noProof/>
              </w:rPr>
              <w:t xml:space="preserve">Confirmarea de către administrație a executării contractelor, care acoperă restaurarea și consolidarea a 20 de situri culturale, în 15 regiuni. </w:t>
            </w:r>
          </w:p>
        </w:tc>
      </w:tr>
      <w:tr w:rsidR="00011DE9" w14:paraId="5E062932" w14:textId="77777777">
        <w:trPr>
          <w:trHeight w:val="309"/>
          <w:jc w:val="center"/>
        </w:trPr>
        <w:tc>
          <w:tcPr>
            <w:tcW w:w="830" w:type="dxa"/>
            <w:shd w:val="clear" w:color="auto" w:fill="C6EFCE"/>
            <w:noWrap/>
          </w:tcPr>
          <w:p w14:paraId="4333A809" w14:textId="77777777" w:rsidR="00011DE9" w:rsidRDefault="00011DE9">
            <w:pPr>
              <w:pStyle w:val="P68B1DB1-Normal19"/>
              <w:spacing w:after="0" w:line="240" w:lineRule="auto"/>
              <w:jc w:val="center"/>
              <w:rPr>
                <w:rFonts w:eastAsia="Times New Roman"/>
                <w:noProof/>
              </w:rPr>
            </w:pPr>
            <w:r>
              <w:rPr>
                <w:noProof/>
              </w:rPr>
              <w:t>360</w:t>
            </w:r>
          </w:p>
        </w:tc>
        <w:tc>
          <w:tcPr>
            <w:tcW w:w="968" w:type="dxa"/>
            <w:shd w:val="clear" w:color="auto" w:fill="C6EFCE"/>
            <w:noWrap/>
          </w:tcPr>
          <w:p w14:paraId="2FC2399C" w14:textId="77777777" w:rsidR="00011DE9" w:rsidRDefault="00011DE9">
            <w:pPr>
              <w:pStyle w:val="P68B1DB1-Normal19"/>
              <w:spacing w:after="0" w:line="240" w:lineRule="auto"/>
              <w:jc w:val="center"/>
              <w:rPr>
                <w:rFonts w:eastAsia="Times New Roman"/>
                <w:noProof/>
              </w:rPr>
            </w:pPr>
            <w:r>
              <w:rPr>
                <w:noProof/>
              </w:rPr>
              <w:t>C24.I3</w:t>
            </w:r>
          </w:p>
        </w:tc>
        <w:tc>
          <w:tcPr>
            <w:tcW w:w="828" w:type="dxa"/>
            <w:shd w:val="clear" w:color="auto" w:fill="C6EFCE"/>
            <w:noWrap/>
          </w:tcPr>
          <w:p w14:paraId="4928F56E" w14:textId="77777777" w:rsidR="00011DE9" w:rsidRDefault="00011DE9">
            <w:pPr>
              <w:pStyle w:val="P68B1DB1-Normal19"/>
              <w:spacing w:after="0" w:line="240" w:lineRule="auto"/>
              <w:jc w:val="center"/>
              <w:rPr>
                <w:rFonts w:eastAsia="Times New Roman"/>
                <w:noProof/>
              </w:rPr>
            </w:pPr>
            <w:r>
              <w:rPr>
                <w:noProof/>
              </w:rPr>
              <w:t>T</w:t>
            </w:r>
          </w:p>
        </w:tc>
        <w:tc>
          <w:tcPr>
            <w:tcW w:w="1655" w:type="dxa"/>
            <w:shd w:val="clear" w:color="auto" w:fill="C6EFCE"/>
            <w:noWrap/>
          </w:tcPr>
          <w:p w14:paraId="435C5C0C" w14:textId="77777777" w:rsidR="00011DE9" w:rsidRDefault="00011DE9">
            <w:pPr>
              <w:pStyle w:val="P68B1DB1-Normal19"/>
              <w:spacing w:after="0" w:line="240" w:lineRule="auto"/>
              <w:rPr>
                <w:rFonts w:eastAsia="Times New Roman"/>
                <w:noProof/>
              </w:rPr>
            </w:pPr>
            <w:r>
              <w:rPr>
                <w:noProof/>
              </w:rPr>
              <w:t xml:space="preserve">Digitalizarea și promovarea principalelor servicii culturale </w:t>
            </w:r>
          </w:p>
        </w:tc>
        <w:tc>
          <w:tcPr>
            <w:tcW w:w="966" w:type="dxa"/>
            <w:shd w:val="clear" w:color="auto" w:fill="C6EFCE"/>
            <w:noWrap/>
          </w:tcPr>
          <w:p w14:paraId="4943FF17" w14:textId="77777777" w:rsidR="00011DE9" w:rsidRDefault="00011DE9">
            <w:pPr>
              <w:pStyle w:val="P68B1DB1-Normal19"/>
              <w:spacing w:after="0" w:line="240" w:lineRule="auto"/>
              <w:jc w:val="center"/>
              <w:rPr>
                <w:rFonts w:eastAsia="Times New Roman"/>
                <w:noProof/>
              </w:rPr>
            </w:pPr>
            <w:r>
              <w:rPr>
                <w:noProof/>
              </w:rPr>
              <w:t xml:space="preserve"> </w:t>
            </w:r>
          </w:p>
        </w:tc>
        <w:tc>
          <w:tcPr>
            <w:tcW w:w="739" w:type="dxa"/>
            <w:shd w:val="clear" w:color="auto" w:fill="C6EFCE"/>
            <w:noWrap/>
          </w:tcPr>
          <w:p w14:paraId="509E012D" w14:textId="77777777" w:rsidR="00011DE9" w:rsidRDefault="00011DE9">
            <w:pPr>
              <w:pStyle w:val="P68B1DB1-Normal19"/>
              <w:spacing w:after="0" w:line="240" w:lineRule="auto"/>
              <w:jc w:val="center"/>
              <w:rPr>
                <w:rFonts w:eastAsia="Times New Roman"/>
                <w:noProof/>
              </w:rPr>
            </w:pPr>
            <w:r>
              <w:rPr>
                <w:noProof/>
              </w:rPr>
              <w:t>EUR (milioane)</w:t>
            </w:r>
          </w:p>
        </w:tc>
        <w:tc>
          <w:tcPr>
            <w:tcW w:w="918" w:type="dxa"/>
            <w:shd w:val="clear" w:color="auto" w:fill="C6EFCE"/>
            <w:noWrap/>
          </w:tcPr>
          <w:p w14:paraId="58A003CC" w14:textId="77777777" w:rsidR="00011DE9" w:rsidRDefault="00011DE9">
            <w:pPr>
              <w:pStyle w:val="P68B1DB1-Normal19"/>
              <w:spacing w:after="0" w:line="240" w:lineRule="auto"/>
              <w:jc w:val="right"/>
              <w:rPr>
                <w:rFonts w:eastAsia="Times New Roman"/>
                <w:noProof/>
              </w:rPr>
            </w:pPr>
            <w:r>
              <w:rPr>
                <w:noProof/>
              </w:rPr>
              <w:t>0</w:t>
            </w:r>
          </w:p>
        </w:tc>
        <w:tc>
          <w:tcPr>
            <w:tcW w:w="691" w:type="dxa"/>
            <w:shd w:val="clear" w:color="auto" w:fill="C6EFCE"/>
            <w:noWrap/>
          </w:tcPr>
          <w:p w14:paraId="0DBE8AE5" w14:textId="77777777" w:rsidR="00011DE9" w:rsidRDefault="00011DE9">
            <w:pPr>
              <w:pStyle w:val="P68B1DB1-Normal19"/>
              <w:spacing w:after="0" w:line="240" w:lineRule="auto"/>
              <w:jc w:val="center"/>
              <w:rPr>
                <w:rFonts w:eastAsia="Times New Roman"/>
                <w:noProof/>
              </w:rPr>
            </w:pPr>
            <w:r>
              <w:rPr>
                <w:noProof/>
              </w:rPr>
              <w:t>40</w:t>
            </w:r>
          </w:p>
        </w:tc>
        <w:tc>
          <w:tcPr>
            <w:tcW w:w="691" w:type="dxa"/>
            <w:shd w:val="clear" w:color="auto" w:fill="C6EFCE"/>
            <w:noWrap/>
          </w:tcPr>
          <w:p w14:paraId="61E3283D" w14:textId="74CD086F" w:rsidR="00011DE9" w:rsidRDefault="005701C9">
            <w:pPr>
              <w:pStyle w:val="P68B1DB1-Normal19"/>
              <w:spacing w:after="0" w:line="240" w:lineRule="auto"/>
              <w:jc w:val="center"/>
              <w:rPr>
                <w:rFonts w:eastAsia="Times New Roman"/>
                <w:noProof/>
              </w:rPr>
            </w:pPr>
            <w:r>
              <w:rPr>
                <w:noProof/>
              </w:rPr>
              <w:t>T2</w:t>
            </w:r>
          </w:p>
        </w:tc>
        <w:tc>
          <w:tcPr>
            <w:tcW w:w="553" w:type="dxa"/>
            <w:shd w:val="clear" w:color="auto" w:fill="C6EFCE"/>
            <w:noWrap/>
          </w:tcPr>
          <w:p w14:paraId="628B9D13" w14:textId="77777777" w:rsidR="00011DE9" w:rsidRDefault="00011DE9">
            <w:pPr>
              <w:pStyle w:val="P68B1DB1-Normal19"/>
              <w:spacing w:after="0" w:line="240" w:lineRule="auto"/>
              <w:jc w:val="center"/>
              <w:rPr>
                <w:rFonts w:eastAsia="Times New Roman"/>
                <w:noProof/>
              </w:rPr>
            </w:pPr>
            <w:r>
              <w:rPr>
                <w:noProof/>
              </w:rPr>
              <w:t>2022</w:t>
            </w:r>
          </w:p>
        </w:tc>
        <w:tc>
          <w:tcPr>
            <w:tcW w:w="6646" w:type="dxa"/>
            <w:shd w:val="clear" w:color="auto" w:fill="C6EFCE"/>
            <w:noWrap/>
          </w:tcPr>
          <w:p w14:paraId="2115D7D7" w14:textId="215DD6DB" w:rsidR="00011DE9" w:rsidRDefault="00011DE9">
            <w:pPr>
              <w:spacing w:after="0" w:line="240" w:lineRule="auto"/>
              <w:rPr>
                <w:rFonts w:ascii="Times New Roman" w:eastAsia="Times New Roman" w:hAnsi="Times New Roman" w:cs="Times New Roman"/>
                <w:noProof/>
                <w:sz w:val="18"/>
                <w:szCs w:val="18"/>
              </w:rPr>
            </w:pPr>
            <w:r>
              <w:rPr>
                <w:rFonts w:ascii="Times New Roman" w:hAnsi="Times New Roman"/>
                <w:noProof/>
                <w:sz w:val="18"/>
              </w:rPr>
              <w:t>Buget cumulat angajat de cel puțin 40 000 000 EUR pentru a contribui la: (a) -Intensificarea și digitalizarea Muzeului Național Prado și a Muzeului Reina Sofia;</w:t>
            </w:r>
            <w:r w:rsidR="00971820">
              <w:rPr>
                <w:rFonts w:ascii="Times New Roman" w:hAnsi="Times New Roman"/>
                <w:noProof/>
                <w:sz w:val="18"/>
              </w:rPr>
              <w:t xml:space="preserve"> </w:t>
            </w:r>
            <w:r>
              <w:rPr>
                <w:noProof/>
              </w:rPr>
              <w:t xml:space="preserve"> </w:t>
            </w:r>
            <w:r>
              <w:rPr>
                <w:noProof/>
              </w:rPr>
              <w:br/>
            </w:r>
            <w:r>
              <w:rPr>
                <w:rFonts w:ascii="Times New Roman" w:hAnsi="Times New Roman"/>
                <w:noProof/>
                <w:sz w:val="18"/>
              </w:rPr>
              <w:t>— Acțiuni de creștere a numărului anual de utilizatori ai colecției digitale a Bibliotecii Naționale a Spaniei</w:t>
            </w:r>
            <w:r>
              <w:rPr>
                <w:noProof/>
              </w:rPr>
              <w:t xml:space="preserve"> </w:t>
            </w:r>
            <w:r>
              <w:rPr>
                <w:noProof/>
              </w:rPr>
              <w:br/>
              <w:t xml:space="preserve"> </w:t>
            </w:r>
            <w:r>
              <w:rPr>
                <w:rFonts w:ascii="Times New Roman" w:hAnsi="Times New Roman"/>
                <w:noProof/>
                <w:sz w:val="18"/>
              </w:rPr>
              <w:t>— Digitalizarea celuilalt patrimoniu bibliografic [colecții de patrimoniu bibliografic digitalizate];</w:t>
            </w:r>
            <w:r w:rsidR="00971820">
              <w:rPr>
                <w:noProof/>
              </w:rPr>
              <w:t xml:space="preserve"> </w:t>
            </w:r>
            <w:r>
              <w:rPr>
                <w:noProof/>
              </w:rPr>
              <w:br/>
            </w:r>
            <w:r>
              <w:rPr>
                <w:rFonts w:ascii="Times New Roman" w:hAnsi="Times New Roman"/>
                <w:noProof/>
                <w:sz w:val="18"/>
              </w:rPr>
              <w:t>— Accesul digital la patrimoniul bibliografic și interoperabilitatea tuturor tipurilor de sisteme publice de arhivare și extinderea capacității de stocare a datelor a inventarului patrimoniului istoric spaniol și a sistemelor de arhivare;</w:t>
            </w:r>
            <w:r w:rsidR="00971820">
              <w:rPr>
                <w:noProof/>
              </w:rPr>
              <w:t xml:space="preserve"> </w:t>
            </w:r>
            <w:r>
              <w:rPr>
                <w:noProof/>
              </w:rPr>
              <w:br/>
            </w:r>
            <w:r>
              <w:rPr>
                <w:rFonts w:ascii="Times New Roman" w:hAnsi="Times New Roman" w:hint="eastAsia"/>
                <w:noProof/>
                <w:sz w:val="18"/>
              </w:rPr>
              <w:t>—</w:t>
            </w:r>
            <w:r>
              <w:rPr>
                <w:rFonts w:ascii="Times New Roman" w:hAnsi="Times New Roman" w:hint="eastAsia"/>
                <w:noProof/>
                <w:sz w:val="18"/>
              </w:rPr>
              <w:t xml:space="preserve"> Finalizarea unui sistem integrat de digitalizare și catalogare a resurselor, activelor, structurilor și infrastructurii INAEM.</w:t>
            </w:r>
          </w:p>
        </w:tc>
      </w:tr>
      <w:tr w:rsidR="00011DE9" w14:paraId="17883269" w14:textId="77777777">
        <w:trPr>
          <w:trHeight w:val="309"/>
          <w:jc w:val="center"/>
        </w:trPr>
        <w:tc>
          <w:tcPr>
            <w:tcW w:w="830" w:type="dxa"/>
            <w:shd w:val="clear" w:color="auto" w:fill="C6EFCE"/>
            <w:noWrap/>
          </w:tcPr>
          <w:p w14:paraId="2D67580E" w14:textId="77777777" w:rsidR="00011DE9" w:rsidRDefault="00011DE9">
            <w:pPr>
              <w:pStyle w:val="P68B1DB1-Normal19"/>
              <w:spacing w:after="0" w:line="240" w:lineRule="auto"/>
              <w:jc w:val="center"/>
              <w:rPr>
                <w:rFonts w:eastAsia="Times New Roman"/>
                <w:noProof/>
              </w:rPr>
            </w:pPr>
            <w:r>
              <w:rPr>
                <w:noProof/>
              </w:rPr>
              <w:t>361</w:t>
            </w:r>
          </w:p>
        </w:tc>
        <w:tc>
          <w:tcPr>
            <w:tcW w:w="968" w:type="dxa"/>
            <w:shd w:val="clear" w:color="auto" w:fill="C6EFCE"/>
            <w:noWrap/>
          </w:tcPr>
          <w:p w14:paraId="70A9D259" w14:textId="77777777" w:rsidR="00011DE9" w:rsidRDefault="00011DE9">
            <w:pPr>
              <w:pStyle w:val="P68B1DB1-Normal19"/>
              <w:spacing w:after="0" w:line="240" w:lineRule="auto"/>
              <w:jc w:val="center"/>
              <w:rPr>
                <w:rFonts w:eastAsia="Times New Roman"/>
                <w:noProof/>
              </w:rPr>
            </w:pPr>
            <w:r>
              <w:rPr>
                <w:noProof/>
              </w:rPr>
              <w:t>C24.I3</w:t>
            </w:r>
          </w:p>
        </w:tc>
        <w:tc>
          <w:tcPr>
            <w:tcW w:w="828" w:type="dxa"/>
            <w:shd w:val="clear" w:color="auto" w:fill="C6EFCE"/>
            <w:noWrap/>
          </w:tcPr>
          <w:p w14:paraId="3DF78230" w14:textId="77777777" w:rsidR="00011DE9" w:rsidRDefault="00011DE9">
            <w:pPr>
              <w:pStyle w:val="P68B1DB1-Normal19"/>
              <w:spacing w:after="0" w:line="240" w:lineRule="auto"/>
              <w:jc w:val="center"/>
              <w:rPr>
                <w:rFonts w:eastAsia="Times New Roman"/>
                <w:noProof/>
              </w:rPr>
            </w:pPr>
            <w:r>
              <w:rPr>
                <w:noProof/>
              </w:rPr>
              <w:t>T</w:t>
            </w:r>
          </w:p>
        </w:tc>
        <w:tc>
          <w:tcPr>
            <w:tcW w:w="1655" w:type="dxa"/>
            <w:shd w:val="clear" w:color="auto" w:fill="C6EFCE"/>
            <w:noWrap/>
          </w:tcPr>
          <w:p w14:paraId="5B4A4DF8" w14:textId="77777777" w:rsidR="00011DE9" w:rsidRDefault="00011DE9">
            <w:pPr>
              <w:pStyle w:val="P68B1DB1-Normal19"/>
              <w:spacing w:after="0" w:line="240" w:lineRule="auto"/>
              <w:rPr>
                <w:rFonts w:eastAsia="Times New Roman"/>
                <w:noProof/>
              </w:rPr>
            </w:pPr>
            <w:r>
              <w:rPr>
                <w:noProof/>
              </w:rPr>
              <w:t xml:space="preserve">Finalizarea digitalizării și promovarea principalelor servicii culturale </w:t>
            </w:r>
          </w:p>
        </w:tc>
        <w:tc>
          <w:tcPr>
            <w:tcW w:w="966" w:type="dxa"/>
            <w:shd w:val="clear" w:color="auto" w:fill="C6EFCE"/>
            <w:noWrap/>
          </w:tcPr>
          <w:p w14:paraId="4C9DF776" w14:textId="77777777" w:rsidR="00011DE9" w:rsidRDefault="00011DE9">
            <w:pPr>
              <w:pStyle w:val="P68B1DB1-Normal19"/>
              <w:spacing w:after="0" w:line="240" w:lineRule="auto"/>
              <w:jc w:val="center"/>
              <w:rPr>
                <w:rFonts w:eastAsia="Times New Roman"/>
                <w:noProof/>
              </w:rPr>
            </w:pPr>
            <w:r>
              <w:rPr>
                <w:noProof/>
              </w:rPr>
              <w:t>—</w:t>
            </w:r>
          </w:p>
        </w:tc>
        <w:tc>
          <w:tcPr>
            <w:tcW w:w="739" w:type="dxa"/>
            <w:shd w:val="clear" w:color="auto" w:fill="C6EFCE"/>
            <w:noWrap/>
          </w:tcPr>
          <w:p w14:paraId="632B57EF" w14:textId="77777777" w:rsidR="00011DE9" w:rsidRDefault="00011DE9">
            <w:pPr>
              <w:pStyle w:val="P68B1DB1-Normal19"/>
              <w:spacing w:after="0" w:line="240" w:lineRule="auto"/>
              <w:jc w:val="center"/>
              <w:rPr>
                <w:rFonts w:eastAsia="Times New Roman"/>
                <w:noProof/>
              </w:rPr>
            </w:pPr>
            <w:r>
              <w:rPr>
                <w:noProof/>
              </w:rPr>
              <w:t>Număr</w:t>
            </w:r>
          </w:p>
        </w:tc>
        <w:tc>
          <w:tcPr>
            <w:tcW w:w="918" w:type="dxa"/>
            <w:shd w:val="clear" w:color="auto" w:fill="C6EFCE"/>
            <w:noWrap/>
          </w:tcPr>
          <w:p w14:paraId="10D96583" w14:textId="77777777" w:rsidR="00011DE9" w:rsidRDefault="00011DE9">
            <w:pPr>
              <w:pStyle w:val="P68B1DB1-Normal19"/>
              <w:spacing w:after="0" w:line="240" w:lineRule="auto"/>
              <w:jc w:val="right"/>
              <w:rPr>
                <w:rFonts w:eastAsia="Times New Roman"/>
                <w:noProof/>
              </w:rPr>
            </w:pPr>
            <w:r>
              <w:rPr>
                <w:noProof/>
              </w:rPr>
              <w:t>0</w:t>
            </w:r>
          </w:p>
        </w:tc>
        <w:tc>
          <w:tcPr>
            <w:tcW w:w="691" w:type="dxa"/>
            <w:shd w:val="clear" w:color="auto" w:fill="C6EFCE"/>
            <w:noWrap/>
          </w:tcPr>
          <w:p w14:paraId="7F180576" w14:textId="77777777" w:rsidR="00011DE9" w:rsidRDefault="00011DE9">
            <w:pPr>
              <w:pStyle w:val="P68B1DB1-Normal19"/>
              <w:spacing w:after="0" w:line="240" w:lineRule="auto"/>
              <w:jc w:val="center"/>
              <w:rPr>
                <w:rFonts w:eastAsia="Times New Roman"/>
                <w:noProof/>
              </w:rPr>
            </w:pPr>
            <w:r>
              <w:rPr>
                <w:noProof/>
              </w:rPr>
              <w:t>200</w:t>
            </w:r>
          </w:p>
        </w:tc>
        <w:tc>
          <w:tcPr>
            <w:tcW w:w="691" w:type="dxa"/>
            <w:shd w:val="clear" w:color="auto" w:fill="C6EFCE"/>
            <w:noWrap/>
          </w:tcPr>
          <w:p w14:paraId="57968CE2" w14:textId="65BA7B76" w:rsidR="00011DE9" w:rsidRDefault="005701C9">
            <w:pPr>
              <w:pStyle w:val="P68B1DB1-Normal19"/>
              <w:spacing w:after="0" w:line="240" w:lineRule="auto"/>
              <w:jc w:val="center"/>
              <w:rPr>
                <w:rFonts w:eastAsia="Times New Roman"/>
                <w:noProof/>
              </w:rPr>
            </w:pPr>
            <w:r>
              <w:rPr>
                <w:noProof/>
              </w:rPr>
              <w:t>T2</w:t>
            </w:r>
          </w:p>
        </w:tc>
        <w:tc>
          <w:tcPr>
            <w:tcW w:w="553" w:type="dxa"/>
            <w:shd w:val="clear" w:color="auto" w:fill="C6EFCE"/>
            <w:noWrap/>
          </w:tcPr>
          <w:p w14:paraId="45A78E3F" w14:textId="77777777" w:rsidR="00011DE9" w:rsidRDefault="00011DE9">
            <w:pPr>
              <w:pStyle w:val="P68B1DB1-Normal19"/>
              <w:spacing w:after="0" w:line="240" w:lineRule="auto"/>
              <w:jc w:val="center"/>
              <w:rPr>
                <w:rFonts w:eastAsia="Times New Roman"/>
                <w:noProof/>
              </w:rPr>
            </w:pPr>
            <w:r>
              <w:rPr>
                <w:noProof/>
              </w:rPr>
              <w:t>2023</w:t>
            </w:r>
          </w:p>
        </w:tc>
        <w:tc>
          <w:tcPr>
            <w:tcW w:w="6646" w:type="dxa"/>
            <w:shd w:val="clear" w:color="auto" w:fill="C6EFCE"/>
            <w:noWrap/>
          </w:tcPr>
          <w:p w14:paraId="4808E00D" w14:textId="580774C4" w:rsidR="00011DE9" w:rsidRDefault="00011DE9">
            <w:pPr>
              <w:spacing w:after="0" w:line="240" w:lineRule="auto"/>
              <w:rPr>
                <w:rFonts w:ascii="Times New Roman" w:eastAsia="Times New Roman" w:hAnsi="Times New Roman" w:cs="Times New Roman"/>
                <w:noProof/>
                <w:sz w:val="18"/>
                <w:szCs w:val="18"/>
              </w:rPr>
            </w:pPr>
            <w:r>
              <w:rPr>
                <w:rFonts w:ascii="Times New Roman" w:hAnsi="Times New Roman"/>
                <w:noProof/>
                <w:sz w:val="18"/>
              </w:rPr>
              <w:t>Finalizarea a cel puțin 200 proiecte, în conformitate cu Orientările tehnice de „a nu prejudicia în mod semnificativ” (2021/C58/01), prin utilizarea unei liste de excludere și a cerinței de conformitate cu legislația UE și națională relevantă în materie de mediu, pentru:</w:t>
            </w:r>
            <w:r w:rsidR="00971820">
              <w:rPr>
                <w:noProof/>
              </w:rPr>
              <w:t xml:space="preserve"> </w:t>
            </w:r>
            <w:r>
              <w:rPr>
                <w:noProof/>
              </w:rPr>
              <w:br/>
            </w:r>
            <w:r>
              <w:rPr>
                <w:rFonts w:ascii="Times New Roman" w:hAnsi="Times New Roman"/>
                <w:noProof/>
                <w:sz w:val="18"/>
              </w:rPr>
              <w:t>— Stimularea și digitalizarea Muzeului Național Prado și a Muzeului Reina Sofia;</w:t>
            </w:r>
            <w:r w:rsidR="00971820">
              <w:rPr>
                <w:rFonts w:ascii="Times New Roman" w:hAnsi="Times New Roman"/>
                <w:noProof/>
                <w:sz w:val="18"/>
              </w:rPr>
              <w:t xml:space="preserve"> </w:t>
            </w:r>
            <w:r>
              <w:rPr>
                <w:noProof/>
              </w:rPr>
              <w:br/>
            </w:r>
            <w:r>
              <w:rPr>
                <w:rFonts w:ascii="Times New Roman" w:hAnsi="Times New Roman"/>
                <w:noProof/>
                <w:sz w:val="18"/>
              </w:rPr>
              <w:t>— Acțiuni de creștere a numărului anual de utilizatori ai colecției digitale a Bibliotecii Naționale a Spaniei;</w:t>
            </w:r>
            <w:r w:rsidR="00971820">
              <w:rPr>
                <w:noProof/>
              </w:rPr>
              <w:t xml:space="preserve"> </w:t>
            </w:r>
            <w:r>
              <w:rPr>
                <w:noProof/>
              </w:rPr>
              <w:br/>
            </w:r>
            <w:r>
              <w:rPr>
                <w:rFonts w:ascii="Times New Roman" w:hAnsi="Times New Roman"/>
                <w:noProof/>
                <w:sz w:val="18"/>
              </w:rPr>
              <w:t>— Accesul digital la patrimoniul bibliografic și interoperabilitatea tuturor tipurilor de sisteme publice de arhivare și extinderea capacității de stocare a datelor a inventarului patrimoniului istoric spaniol și a sistemelor de arhivare;</w:t>
            </w:r>
            <w:r w:rsidR="00971820">
              <w:rPr>
                <w:noProof/>
              </w:rPr>
              <w:t xml:space="preserve"> </w:t>
            </w:r>
            <w:r>
              <w:rPr>
                <w:noProof/>
              </w:rPr>
              <w:br/>
            </w:r>
            <w:r>
              <w:rPr>
                <w:rFonts w:ascii="Times New Roman" w:hAnsi="Times New Roman"/>
                <w:noProof/>
                <w:sz w:val="18"/>
              </w:rPr>
              <w:t>— Finalizarea unui sistem integrat de digitalizare și catalogare a resurselor, activelor, structurilor și infrastructurii INAEM.</w:t>
            </w:r>
          </w:p>
        </w:tc>
      </w:tr>
      <w:tr w:rsidR="00011DE9" w14:paraId="14BE65CF" w14:textId="77777777">
        <w:trPr>
          <w:trHeight w:val="309"/>
          <w:jc w:val="center"/>
        </w:trPr>
        <w:tc>
          <w:tcPr>
            <w:tcW w:w="830" w:type="dxa"/>
            <w:shd w:val="clear" w:color="auto" w:fill="C6EFCE"/>
            <w:noWrap/>
          </w:tcPr>
          <w:p w14:paraId="5F0297E5" w14:textId="77777777" w:rsidR="00011DE9" w:rsidRDefault="00011DE9">
            <w:pPr>
              <w:pStyle w:val="P68B1DB1-Normal19"/>
              <w:spacing w:after="0" w:line="240" w:lineRule="auto"/>
              <w:jc w:val="center"/>
              <w:rPr>
                <w:noProof/>
              </w:rPr>
            </w:pPr>
            <w:r>
              <w:rPr>
                <w:noProof/>
              </w:rPr>
              <w:t>362</w:t>
            </w:r>
          </w:p>
        </w:tc>
        <w:tc>
          <w:tcPr>
            <w:tcW w:w="968" w:type="dxa"/>
            <w:shd w:val="clear" w:color="auto" w:fill="C6EFCE"/>
            <w:noWrap/>
          </w:tcPr>
          <w:p w14:paraId="018A1D6A" w14:textId="77777777" w:rsidR="00011DE9" w:rsidRDefault="00011DE9">
            <w:pPr>
              <w:pStyle w:val="P68B1DB1-Normal19"/>
              <w:spacing w:after="0" w:line="240" w:lineRule="auto"/>
              <w:jc w:val="center"/>
              <w:rPr>
                <w:noProof/>
              </w:rPr>
            </w:pPr>
            <w:r>
              <w:rPr>
                <w:noProof/>
              </w:rPr>
              <w:t>C24.I3</w:t>
            </w:r>
          </w:p>
        </w:tc>
        <w:tc>
          <w:tcPr>
            <w:tcW w:w="828" w:type="dxa"/>
            <w:shd w:val="clear" w:color="auto" w:fill="C6EFCE"/>
            <w:noWrap/>
          </w:tcPr>
          <w:p w14:paraId="2A970A3B" w14:textId="77777777" w:rsidR="00011DE9" w:rsidRDefault="00011DE9">
            <w:pPr>
              <w:pStyle w:val="P68B1DB1-Normal19"/>
              <w:spacing w:after="0" w:line="240" w:lineRule="auto"/>
              <w:jc w:val="center"/>
              <w:rPr>
                <w:noProof/>
              </w:rPr>
            </w:pPr>
            <w:r>
              <w:rPr>
                <w:noProof/>
              </w:rPr>
              <w:t>T</w:t>
            </w:r>
          </w:p>
        </w:tc>
        <w:tc>
          <w:tcPr>
            <w:tcW w:w="1655" w:type="dxa"/>
            <w:shd w:val="clear" w:color="auto" w:fill="C6EFCE"/>
            <w:noWrap/>
          </w:tcPr>
          <w:p w14:paraId="7F703F0A" w14:textId="77777777" w:rsidR="00011DE9" w:rsidRDefault="00011DE9">
            <w:pPr>
              <w:pStyle w:val="P68B1DB1-Normal19"/>
              <w:spacing w:after="0" w:line="240" w:lineRule="auto"/>
              <w:rPr>
                <w:noProof/>
              </w:rPr>
            </w:pPr>
            <w:r>
              <w:rPr>
                <w:noProof/>
              </w:rPr>
              <w:t xml:space="preserve">Finalizarea digitalizării patrimoniului bibliografic </w:t>
            </w:r>
          </w:p>
        </w:tc>
        <w:tc>
          <w:tcPr>
            <w:tcW w:w="966" w:type="dxa"/>
            <w:shd w:val="clear" w:color="auto" w:fill="C6EFCE"/>
            <w:noWrap/>
          </w:tcPr>
          <w:p w14:paraId="102F6486" w14:textId="77777777" w:rsidR="00011DE9" w:rsidRDefault="00011DE9">
            <w:pPr>
              <w:pStyle w:val="P68B1DB1-Normal19"/>
              <w:spacing w:after="0" w:line="240" w:lineRule="auto"/>
              <w:jc w:val="center"/>
              <w:rPr>
                <w:noProof/>
              </w:rPr>
            </w:pPr>
            <w:r>
              <w:rPr>
                <w:noProof/>
              </w:rPr>
              <w:t xml:space="preserve"> </w:t>
            </w:r>
          </w:p>
        </w:tc>
        <w:tc>
          <w:tcPr>
            <w:tcW w:w="739" w:type="dxa"/>
            <w:shd w:val="clear" w:color="auto" w:fill="C6EFCE"/>
            <w:noWrap/>
          </w:tcPr>
          <w:p w14:paraId="05302A8C" w14:textId="77777777" w:rsidR="00011DE9" w:rsidRDefault="00011DE9">
            <w:pPr>
              <w:pStyle w:val="P68B1DB1-Normal19"/>
              <w:spacing w:after="0" w:line="240" w:lineRule="auto"/>
              <w:jc w:val="center"/>
              <w:rPr>
                <w:noProof/>
              </w:rPr>
            </w:pPr>
            <w:r>
              <w:rPr>
                <w:noProof/>
              </w:rPr>
              <w:t>Numărul (în milioane)</w:t>
            </w:r>
          </w:p>
        </w:tc>
        <w:tc>
          <w:tcPr>
            <w:tcW w:w="918" w:type="dxa"/>
            <w:shd w:val="clear" w:color="auto" w:fill="C6EFCE"/>
            <w:noWrap/>
          </w:tcPr>
          <w:p w14:paraId="23DCE360" w14:textId="77777777" w:rsidR="00011DE9" w:rsidRDefault="00011DE9">
            <w:pPr>
              <w:pStyle w:val="P68B1DB1-Normal19"/>
              <w:spacing w:after="0" w:line="240" w:lineRule="auto"/>
              <w:jc w:val="right"/>
              <w:rPr>
                <w:noProof/>
              </w:rPr>
            </w:pPr>
            <w:r>
              <w:rPr>
                <w:noProof/>
              </w:rPr>
              <w:t>10</w:t>
            </w:r>
          </w:p>
        </w:tc>
        <w:tc>
          <w:tcPr>
            <w:tcW w:w="691" w:type="dxa"/>
            <w:shd w:val="clear" w:color="auto" w:fill="C6EFCE"/>
            <w:noWrap/>
          </w:tcPr>
          <w:p w14:paraId="6C0B9B49" w14:textId="77777777" w:rsidR="00011DE9" w:rsidRDefault="00011DE9">
            <w:pPr>
              <w:pStyle w:val="P68B1DB1-Normal19"/>
              <w:spacing w:after="0" w:line="240" w:lineRule="auto"/>
              <w:jc w:val="center"/>
              <w:rPr>
                <w:noProof/>
              </w:rPr>
            </w:pPr>
            <w:r>
              <w:rPr>
                <w:noProof/>
              </w:rPr>
              <w:t>12</w:t>
            </w:r>
          </w:p>
        </w:tc>
        <w:tc>
          <w:tcPr>
            <w:tcW w:w="691" w:type="dxa"/>
            <w:shd w:val="clear" w:color="auto" w:fill="C6EFCE"/>
            <w:noWrap/>
          </w:tcPr>
          <w:p w14:paraId="14512F51" w14:textId="52ADFE20" w:rsidR="00011DE9" w:rsidRDefault="005701C9">
            <w:pPr>
              <w:pStyle w:val="P68B1DB1-Normal19"/>
              <w:spacing w:after="0" w:line="240" w:lineRule="auto"/>
              <w:jc w:val="center"/>
              <w:rPr>
                <w:noProof/>
              </w:rPr>
            </w:pPr>
            <w:r>
              <w:rPr>
                <w:noProof/>
              </w:rPr>
              <w:t>T2</w:t>
            </w:r>
          </w:p>
        </w:tc>
        <w:tc>
          <w:tcPr>
            <w:tcW w:w="553" w:type="dxa"/>
            <w:shd w:val="clear" w:color="auto" w:fill="C6EFCE"/>
            <w:noWrap/>
          </w:tcPr>
          <w:p w14:paraId="0990EA34" w14:textId="77777777" w:rsidR="00011DE9" w:rsidRDefault="00011DE9">
            <w:pPr>
              <w:pStyle w:val="P68B1DB1-Normal19"/>
              <w:spacing w:after="0" w:line="240" w:lineRule="auto"/>
              <w:jc w:val="center"/>
              <w:rPr>
                <w:noProof/>
              </w:rPr>
            </w:pPr>
            <w:r>
              <w:rPr>
                <w:noProof/>
              </w:rPr>
              <w:t>2023</w:t>
            </w:r>
          </w:p>
        </w:tc>
        <w:tc>
          <w:tcPr>
            <w:tcW w:w="6646" w:type="dxa"/>
            <w:shd w:val="clear" w:color="auto" w:fill="C6EFCE"/>
            <w:noWrap/>
          </w:tcPr>
          <w:p w14:paraId="17759413" w14:textId="77777777" w:rsidR="00011DE9" w:rsidRDefault="00011DE9">
            <w:pPr>
              <w:pStyle w:val="P68B1DB1-Normal19"/>
              <w:spacing w:after="0" w:line="240" w:lineRule="auto"/>
              <w:rPr>
                <w:noProof/>
              </w:rPr>
            </w:pPr>
            <w:r>
              <w:rPr>
                <w:noProof/>
              </w:rPr>
              <w:t>— Digitalizarea patrimoniului Bibliografic (colecții publice și private) (un total de 12 milioane de pagini de colecții de patrimoniu digitalizate).</w:t>
            </w:r>
          </w:p>
        </w:tc>
      </w:tr>
    </w:tbl>
    <w:p w14:paraId="675485EC" w14:textId="77777777" w:rsidR="00011DE9" w:rsidRDefault="00011DE9">
      <w:pPr>
        <w:rPr>
          <w:noProof/>
        </w:rPr>
      </w:pPr>
    </w:p>
    <w:p w14:paraId="30A292C4" w14:textId="77777777" w:rsidR="00011DE9" w:rsidRDefault="00011DE9">
      <w:pPr>
        <w:pStyle w:val="P68B1DB1-Normal16"/>
        <w:rPr>
          <w:noProof/>
        </w:rPr>
        <w:sectPr w:rsidR="00011DE9" w:rsidSect="00011DE9">
          <w:headerReference w:type="even" r:id="rId336"/>
          <w:headerReference w:type="default" r:id="rId337"/>
          <w:footerReference w:type="even" r:id="rId338"/>
          <w:footerReference w:type="default" r:id="rId339"/>
          <w:headerReference w:type="first" r:id="rId340"/>
          <w:footerReference w:type="first" r:id="rId341"/>
          <w:pgSz w:w="16839" w:h="11907" w:orient="landscape"/>
          <w:pgMar w:top="1134" w:right="1134" w:bottom="1134" w:left="1134" w:header="567" w:footer="567" w:gutter="0"/>
          <w:cols w:space="720"/>
          <w:docGrid w:linePitch="360"/>
        </w:sectPr>
      </w:pPr>
      <w:r>
        <w:rPr>
          <w:noProof/>
        </w:rPr>
        <w:br w:type="page"/>
      </w:r>
    </w:p>
    <w:p w14:paraId="67E52F7C" w14:textId="77777777" w:rsidR="00011DE9" w:rsidRDefault="00011DE9">
      <w:pPr>
        <w:pStyle w:val="Heading1"/>
        <w:rPr>
          <w:rFonts w:cs="Times New Roman"/>
          <w:noProof/>
        </w:rPr>
      </w:pPr>
      <w:r>
        <w:rPr>
          <w:noProof/>
        </w:rPr>
        <w:t>Y. COMPONENTA 25: Centrul audiovizual al Spaniei</w:t>
      </w:r>
    </w:p>
    <w:p w14:paraId="5E5B906C" w14:textId="77777777" w:rsidR="00011DE9" w:rsidRDefault="00011DE9">
      <w:pPr>
        <w:pStyle w:val="P68B1DB1-Normal16"/>
        <w:tabs>
          <w:tab w:val="left" w:pos="1134"/>
        </w:tabs>
        <w:spacing w:before="120" w:after="120" w:line="240" w:lineRule="auto"/>
        <w:jc w:val="both"/>
        <w:rPr>
          <w:rFonts w:cs="Times New Roman"/>
          <w:noProof/>
        </w:rPr>
      </w:pPr>
      <w:r>
        <w:rPr>
          <w:noProof/>
        </w:rPr>
        <w:t xml:space="preserve">Această componentă a planului spaniol de redresare și reziliență reunește o serie de investiții și reforme menite să revitalizeze și să consolideze sectorul audiovizual. Scopul său este de a îmbunătăți mediul de investiții, de a consolida Spania ca platformă internațională pentru investiții în domeniul audiovizual și de a face din Spania o referință în exportul de produse audiovizuale, inclusiv jocuri video și creație digitală. Această componentă include, de asemenea, acțiuni de promovare a internaționalizării întreprinderilor, de stimulare a inovării în acest sector și de punere în aplicare a unei mai bune reglementări. </w:t>
      </w:r>
    </w:p>
    <w:p w14:paraId="79C05A0B" w14:textId="77777777" w:rsidR="00011DE9" w:rsidRDefault="00011DE9">
      <w:pPr>
        <w:pStyle w:val="P68B1DB1-Normal16"/>
        <w:tabs>
          <w:tab w:val="left" w:pos="1134"/>
        </w:tabs>
        <w:spacing w:before="120" w:after="120" w:line="240" w:lineRule="auto"/>
        <w:jc w:val="both"/>
        <w:rPr>
          <w:rFonts w:cs="Times New Roman"/>
          <w:noProof/>
        </w:rPr>
      </w:pPr>
      <w:r>
        <w:rPr>
          <w:noProof/>
        </w:rPr>
        <w:t xml:space="preserve">În conformitate cu planul „Spain Digital 2025” și cu recent aprobatul „Plan Spain Audio-Visual Hub of Europe”, se preconizează că această componentă va sprijini crearea de locuri de muncă, în special în rândul tinerilor și al industriei turismului, și include acțiuni de reducere a disparității de gen. </w:t>
      </w:r>
    </w:p>
    <w:p w14:paraId="634B5DE4" w14:textId="77777777" w:rsidR="00011DE9" w:rsidRDefault="00011DE9">
      <w:pPr>
        <w:pStyle w:val="P68B1DB1-Normal16"/>
        <w:tabs>
          <w:tab w:val="left" w:pos="1134"/>
        </w:tabs>
        <w:spacing w:before="120" w:after="120" w:line="240" w:lineRule="auto"/>
        <w:jc w:val="both"/>
        <w:rPr>
          <w:rFonts w:cs="Times New Roman"/>
          <w:noProof/>
        </w:rPr>
      </w:pPr>
      <w:r>
        <w:rPr>
          <w:noProof/>
        </w:rPr>
        <w:t>Componenta abordează recomandările specifice fiecărei țări privind stimularea investițiilor în inovare (Recomandarea specifică fiecărei țări 3 2019) și concentrarea investițiilor pe tranziția verde și digitală (Recomandarea specifică fiecărei țări 3 2020).</w:t>
      </w:r>
    </w:p>
    <w:p w14:paraId="5D5DE472" w14:textId="77777777" w:rsidR="00011DE9" w:rsidRDefault="00011DE9">
      <w:pPr>
        <w:pStyle w:val="P68B1DB1-Normal16"/>
        <w:tabs>
          <w:tab w:val="left" w:pos="1134"/>
        </w:tabs>
        <w:spacing w:before="120" w:after="120" w:line="240" w:lineRule="auto"/>
        <w:jc w:val="both"/>
        <w:rPr>
          <w:rFonts w:cs="Times New Roman"/>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7611C37A" w14:textId="699E120D" w:rsidR="00011DE9" w:rsidRDefault="00011DE9">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Y.1.</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sprijinul financiar nerambursabil</w:t>
      </w:r>
    </w:p>
    <w:p w14:paraId="228505E6" w14:textId="77777777" w:rsidR="00011DE9" w:rsidRDefault="00011DE9">
      <w:pPr>
        <w:pStyle w:val="P68B1DB1-Normal17"/>
        <w:spacing w:before="120" w:after="120" w:line="240" w:lineRule="auto"/>
        <w:jc w:val="both"/>
        <w:rPr>
          <w:rFonts w:cs="Times New Roman"/>
          <w:noProof/>
        </w:rPr>
      </w:pPr>
      <w:r>
        <w:rPr>
          <w:noProof/>
        </w:rPr>
        <w:t xml:space="preserve">Reforma 1 (C25.R1): Reforma cadrului de reglementare în domeniul audiovizualului </w:t>
      </w:r>
    </w:p>
    <w:p w14:paraId="644015A7" w14:textId="77777777" w:rsidR="00011DE9" w:rsidRDefault="00011DE9">
      <w:pPr>
        <w:pStyle w:val="P68B1DB1-Normal16"/>
        <w:spacing w:before="120" w:after="120" w:line="240" w:lineRule="auto"/>
        <w:jc w:val="both"/>
        <w:rPr>
          <w:rFonts w:cs="Times New Roman"/>
          <w:noProof/>
        </w:rPr>
      </w:pPr>
      <w:r>
        <w:rPr>
          <w:noProof/>
        </w:rPr>
        <w:t>Reforma cadrului de reglementare în domeniul audiovizualului include adoptarea unei legi și aprobarea unui plan sectorial:</w:t>
      </w:r>
    </w:p>
    <w:p w14:paraId="098BA45A" w14:textId="77777777" w:rsidR="00011DE9" w:rsidRDefault="00011DE9">
      <w:pPr>
        <w:pStyle w:val="P68B1DB1-Normal16"/>
        <w:numPr>
          <w:ilvl w:val="0"/>
          <w:numId w:val="179"/>
        </w:numPr>
        <w:spacing w:before="120" w:after="120" w:line="240" w:lineRule="auto"/>
        <w:jc w:val="both"/>
        <w:rPr>
          <w:rFonts w:cs="Times New Roman"/>
          <w:noProof/>
        </w:rPr>
      </w:pPr>
      <w:r>
        <w:rPr>
          <w:noProof/>
        </w:rPr>
        <w:t xml:space="preserve">Intrarea în vigoare a Legii generale privind comunicarea audiovizuală, care are obiective diferite. În primul rând, adaptarea și modernizarea cadrului juridic pentru serviciile mass-media audiovizuale și serviciile de schimb video prin intermediul platformelor din Spania. În al doilea rând, instituirea unor mecanisme de garantare a drepturilor utilizatorilor, cum ar fi protecția minorilor și a publicului împotriva anumitor tipuri de conținut. În al treilea rând, promovarea operelor audiovizuale europene prin dublarea sprijinului pentru producția audiovizuală independentă. În al patrulea rând, îmbunătățirea integrării persoanelor cu handicap. Legea a intrat în vigoare până la sfârșitul primului trimestru al anului 2022. </w:t>
      </w:r>
    </w:p>
    <w:p w14:paraId="4D2CCDC3" w14:textId="77777777" w:rsidR="00011DE9" w:rsidRDefault="00011DE9">
      <w:pPr>
        <w:pStyle w:val="P68B1DB1-Normal16"/>
        <w:numPr>
          <w:ilvl w:val="0"/>
          <w:numId w:val="179"/>
        </w:numPr>
        <w:spacing w:before="120" w:after="120" w:line="240" w:lineRule="auto"/>
        <w:jc w:val="both"/>
        <w:rPr>
          <w:rFonts w:cs="Times New Roman"/>
          <w:noProof/>
        </w:rPr>
      </w:pPr>
      <w:r>
        <w:rPr>
          <w:noProof/>
        </w:rPr>
        <w:t>Adoptarea și punerea în aplicare a planului „Centrul audiovizual spaniol pentru Europa”, care vizează transformarea Spaniei într-o platformă globală de investiții, atragerea de investiții străine și exportul de produse audiovizuale. Acest plan a fost adoptat de Consiliul de Miniștri în martie 2021. Aceasta include investiții pentru consolidarea întregului lanț valoric al industriei audiovizuale, pe baza avantajelor comparative ale Spaniei în acest sector, inclusiv o industrie audiovizuală bine stabilită, un capital uman bine pregătit și o capacitate creativă recunoscută la nivel mondial. Planul include toate formatele din sectorul audiovizual (cum ar fi cinematografia, serialele, publicitatea, jocurile video și animația). „Centrul audiovizual spaniol pentru Europa” urmărește să stabilească sinergii cu alte sectoare, cum ar fi cultura și turismul. Măsurile incluse se bazează pe patru priorități: I) transformarea Spaniei într-un pol de atracție pentru producția audiovizuală, ii) reducerea costurilor administrative și de reglementare asociate sectorului, iii) îmbunătățirea competitivității întreprinderilor din sector prin investiții în digitalizarea acestora și iv) generarea de talente și reducerea disparității de gen.</w:t>
      </w:r>
    </w:p>
    <w:p w14:paraId="4ADE8D1A" w14:textId="77777777" w:rsidR="00011DE9" w:rsidRDefault="00011DE9">
      <w:pPr>
        <w:pStyle w:val="P68B1DB1-Normal17"/>
        <w:spacing w:before="120" w:after="120" w:line="240" w:lineRule="auto"/>
        <w:jc w:val="both"/>
        <w:rPr>
          <w:rFonts w:cs="Times New Roman"/>
          <w:noProof/>
        </w:rPr>
      </w:pPr>
      <w:r>
        <w:rPr>
          <w:noProof/>
        </w:rPr>
        <w:t xml:space="preserve">Investiția 1 (C25.I1): Program pentru promovarea, modernizarea și digitalizarea sectorului audiovizual </w:t>
      </w:r>
    </w:p>
    <w:p w14:paraId="56D8016D" w14:textId="35130BBB" w:rsidR="00011DE9" w:rsidRDefault="00011DE9">
      <w:pPr>
        <w:pStyle w:val="P68B1DB1-Normal16"/>
        <w:spacing w:before="120" w:after="120" w:line="240" w:lineRule="auto"/>
        <w:jc w:val="both"/>
        <w:rPr>
          <w:rFonts w:cs="Times New Roman"/>
          <w:noProof/>
        </w:rPr>
      </w:pPr>
      <w:r>
        <w:rPr>
          <w:noProof/>
        </w:rPr>
        <w:t>Obiectivul investiției este de a îmbunătăți competitivitatea și reziliența mediului de afaceri și a structurii creative a sectorului audiovizual, precum și de a promova internaționalizarea acestuia și de a atrage investiții străine. Aceasta constă în investiții în trei domenii diferite.</w:t>
      </w:r>
      <w:r w:rsidR="00971820">
        <w:rPr>
          <w:noProof/>
        </w:rPr>
        <w:t xml:space="preserve"> </w:t>
      </w:r>
    </w:p>
    <w:p w14:paraId="37BB8A6A" w14:textId="75F1947C" w:rsidR="00011DE9" w:rsidRDefault="00011DE9">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Y.2.</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implementare aplicabile sprijinului financiar nerambursabil</w:t>
      </w:r>
    </w:p>
    <w:p w14:paraId="30B9D9DA" w14:textId="77777777" w:rsidR="00011DE9" w:rsidRDefault="00011DE9">
      <w:pPr>
        <w:pStyle w:val="P68B1DB1-Normal16"/>
        <w:spacing w:before="120" w:after="120" w:line="240" w:lineRule="auto"/>
        <w:rPr>
          <w:rFonts w:cs="Times New Roman"/>
          <w:b/>
          <w:noProof/>
          <w:u w:val="single"/>
        </w:rPr>
      </w:pPr>
      <w:r>
        <w:rPr>
          <w:i/>
          <w:noProof/>
        </w:rPr>
        <w:t>A se vedea tabelul de mai jos.</w:t>
      </w:r>
      <w:r>
        <w:rPr>
          <w:noProof/>
        </w:rPr>
        <w:t xml:space="preserve"> </w:t>
      </w:r>
      <w:r>
        <w:rPr>
          <w:i/>
          <w:noProof/>
        </w:rPr>
        <w:t>Data de referință pentru toți indicatorii este începutul acțiunii, cu excepția cazului în care se indică altfel în descrierea acțiunii. Sumele din tabel nu includ TVA.</w:t>
      </w:r>
    </w:p>
    <w:p w14:paraId="64E755C3" w14:textId="77777777" w:rsidR="00011DE9" w:rsidRDefault="00011DE9">
      <w:pPr>
        <w:rPr>
          <w:rFonts w:ascii="Times New Roman" w:hAnsi="Times New Roman" w:cs="Times New Roman"/>
          <w:b/>
          <w:noProof/>
          <w:u w:val="single"/>
        </w:rPr>
        <w:sectPr w:rsidR="00011DE9" w:rsidSect="00011DE9">
          <w:headerReference w:type="default" r:id="rId342"/>
          <w:footerReference w:type="default" r:id="rId343"/>
          <w:pgSz w:w="11907" w:h="16839"/>
          <w:pgMar w:top="1134" w:right="1134" w:bottom="1134" w:left="1134" w:header="567" w:footer="567" w:gutter="0"/>
          <w:cols w:space="720"/>
          <w:docGrid w:linePitch="360"/>
        </w:sectPr>
      </w:pPr>
    </w:p>
    <w:tbl>
      <w:tblPr>
        <w:tblW w:w="14289"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0"/>
        <w:gridCol w:w="767"/>
        <w:gridCol w:w="841"/>
        <w:gridCol w:w="1842"/>
        <w:gridCol w:w="1141"/>
        <w:gridCol w:w="767"/>
        <w:gridCol w:w="893"/>
        <w:gridCol w:w="512"/>
        <w:gridCol w:w="382"/>
        <w:gridCol w:w="512"/>
        <w:gridCol w:w="5862"/>
      </w:tblGrid>
      <w:tr w:rsidR="00011DE9" w14:paraId="47FECAB6" w14:textId="77777777">
        <w:trPr>
          <w:trHeight w:val="308"/>
          <w:tblHeader/>
        </w:trPr>
        <w:tc>
          <w:tcPr>
            <w:tcW w:w="770" w:type="dxa"/>
            <w:vMerge w:val="restart"/>
            <w:shd w:val="clear" w:color="auto" w:fill="B7D4EF"/>
            <w:noWrap/>
            <w:vAlign w:val="center"/>
          </w:tcPr>
          <w:p w14:paraId="19D20451" w14:textId="77777777" w:rsidR="00011DE9" w:rsidRDefault="00011DE9">
            <w:pPr>
              <w:pStyle w:val="P68B1DB1-Normal18"/>
              <w:spacing w:after="0" w:line="240" w:lineRule="auto"/>
              <w:jc w:val="center"/>
              <w:rPr>
                <w:rFonts w:cs="Times New Roman"/>
                <w:noProof/>
                <w:szCs w:val="18"/>
              </w:rPr>
            </w:pPr>
            <w:r>
              <w:rPr>
                <w:noProof/>
              </w:rPr>
              <w:t>Număr</w:t>
            </w:r>
          </w:p>
        </w:tc>
        <w:tc>
          <w:tcPr>
            <w:tcW w:w="767" w:type="dxa"/>
            <w:vMerge w:val="restart"/>
            <w:shd w:val="clear" w:color="auto" w:fill="B7D4EF"/>
            <w:noWrap/>
            <w:vAlign w:val="center"/>
          </w:tcPr>
          <w:p w14:paraId="28FC4F2D" w14:textId="77777777" w:rsidR="00011DE9" w:rsidRDefault="00011DE9">
            <w:pPr>
              <w:pStyle w:val="P68B1DB1-Normal18"/>
              <w:spacing w:after="0" w:line="240" w:lineRule="auto"/>
              <w:jc w:val="center"/>
              <w:rPr>
                <w:rFonts w:cs="Times New Roman"/>
                <w:noProof/>
                <w:szCs w:val="18"/>
              </w:rPr>
            </w:pPr>
            <w:r>
              <w:rPr>
                <w:noProof/>
              </w:rPr>
              <w:t>Măsură</w:t>
            </w:r>
          </w:p>
        </w:tc>
        <w:tc>
          <w:tcPr>
            <w:tcW w:w="841" w:type="dxa"/>
            <w:vMerge w:val="restart"/>
            <w:shd w:val="clear" w:color="auto" w:fill="B7D4EF"/>
            <w:noWrap/>
            <w:vAlign w:val="center"/>
          </w:tcPr>
          <w:p w14:paraId="72762A37" w14:textId="0448D8E7" w:rsidR="00011DE9" w:rsidRDefault="00011DE9">
            <w:pPr>
              <w:spacing w:after="0" w:line="240" w:lineRule="auto"/>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1842" w:type="dxa"/>
            <w:vMerge w:val="restart"/>
            <w:shd w:val="clear" w:color="auto" w:fill="B7D4EF"/>
            <w:noWrap/>
            <w:vAlign w:val="center"/>
          </w:tcPr>
          <w:p w14:paraId="3A3E7B03" w14:textId="77777777" w:rsidR="00011DE9" w:rsidRDefault="00011DE9">
            <w:pPr>
              <w:pStyle w:val="P68B1DB1-Normal18"/>
              <w:spacing w:after="0" w:line="240" w:lineRule="auto"/>
              <w:jc w:val="center"/>
              <w:rPr>
                <w:rFonts w:cs="Times New Roman"/>
                <w:noProof/>
                <w:szCs w:val="18"/>
              </w:rPr>
            </w:pPr>
            <w:r>
              <w:rPr>
                <w:noProof/>
              </w:rPr>
              <w:t>Nume</w:t>
            </w:r>
          </w:p>
        </w:tc>
        <w:tc>
          <w:tcPr>
            <w:tcW w:w="1141" w:type="dxa"/>
            <w:vMerge w:val="restart"/>
            <w:shd w:val="clear" w:color="auto" w:fill="B7D4EF"/>
            <w:noWrap/>
            <w:vAlign w:val="center"/>
          </w:tcPr>
          <w:p w14:paraId="0A0205D3" w14:textId="77777777" w:rsidR="00011DE9" w:rsidRDefault="00011DE9">
            <w:pPr>
              <w:pStyle w:val="P68B1DB1-Normal18"/>
              <w:spacing w:after="0" w:line="240" w:lineRule="auto"/>
              <w:jc w:val="center"/>
              <w:rPr>
                <w:rFonts w:cs="Times New Roman"/>
                <w:noProof/>
                <w:szCs w:val="18"/>
              </w:rPr>
            </w:pPr>
            <w:r>
              <w:rPr>
                <w:noProof/>
              </w:rPr>
              <w:t>Indicator calitativ pentru jaloane</w:t>
            </w:r>
          </w:p>
        </w:tc>
        <w:tc>
          <w:tcPr>
            <w:tcW w:w="2172" w:type="dxa"/>
            <w:gridSpan w:val="3"/>
            <w:shd w:val="clear" w:color="auto" w:fill="B7D4EF"/>
            <w:noWrap/>
            <w:vAlign w:val="center"/>
          </w:tcPr>
          <w:p w14:paraId="0AA61A11" w14:textId="77777777" w:rsidR="00011DE9" w:rsidRDefault="00011DE9">
            <w:pPr>
              <w:pStyle w:val="P68B1DB1-Normal18"/>
              <w:spacing w:after="0" w:line="240" w:lineRule="auto"/>
              <w:jc w:val="center"/>
              <w:rPr>
                <w:rFonts w:cs="Times New Roman"/>
                <w:noProof/>
                <w:szCs w:val="18"/>
              </w:rPr>
            </w:pPr>
            <w:r>
              <w:rPr>
                <w:noProof/>
              </w:rPr>
              <w:t>Indicator cantitativ pentru ținte</w:t>
            </w:r>
          </w:p>
        </w:tc>
        <w:tc>
          <w:tcPr>
            <w:tcW w:w="894" w:type="dxa"/>
            <w:gridSpan w:val="2"/>
            <w:shd w:val="clear" w:color="auto" w:fill="B7D4EF"/>
            <w:noWrap/>
            <w:vAlign w:val="center"/>
          </w:tcPr>
          <w:p w14:paraId="2142AA50" w14:textId="77777777" w:rsidR="00011DE9" w:rsidRDefault="00011DE9">
            <w:pPr>
              <w:pStyle w:val="P68B1DB1-Normal18"/>
              <w:spacing w:after="0" w:line="240" w:lineRule="auto"/>
              <w:jc w:val="center"/>
              <w:rPr>
                <w:rFonts w:cs="Times New Roman"/>
                <w:noProof/>
                <w:szCs w:val="18"/>
              </w:rPr>
            </w:pPr>
            <w:r>
              <w:rPr>
                <w:noProof/>
              </w:rPr>
              <w:t>Timp</w:t>
            </w:r>
          </w:p>
        </w:tc>
        <w:tc>
          <w:tcPr>
            <w:tcW w:w="5862" w:type="dxa"/>
            <w:vMerge w:val="restart"/>
            <w:shd w:val="clear" w:color="auto" w:fill="B7D4EF"/>
            <w:noWrap/>
            <w:vAlign w:val="center"/>
          </w:tcPr>
          <w:p w14:paraId="158C7204" w14:textId="77777777" w:rsidR="00011DE9" w:rsidRDefault="00011DE9">
            <w:pPr>
              <w:pStyle w:val="P68B1DB1-Normal18"/>
              <w:spacing w:after="0" w:line="240" w:lineRule="auto"/>
              <w:jc w:val="center"/>
              <w:rPr>
                <w:rFonts w:cs="Times New Roman"/>
                <w:noProof/>
                <w:szCs w:val="18"/>
              </w:rPr>
            </w:pPr>
            <w:r>
              <w:rPr>
                <w:noProof/>
              </w:rPr>
              <w:t>Descrierea fiecărui jalon și a fiecărei ținte</w:t>
            </w:r>
          </w:p>
        </w:tc>
      </w:tr>
      <w:tr w:rsidR="00011DE9" w14:paraId="1B963E79" w14:textId="77777777">
        <w:trPr>
          <w:trHeight w:val="21"/>
          <w:tblHeader/>
        </w:trPr>
        <w:tc>
          <w:tcPr>
            <w:tcW w:w="770" w:type="dxa"/>
            <w:vMerge/>
            <w:noWrap/>
          </w:tcPr>
          <w:p w14:paraId="14B377FE" w14:textId="77777777" w:rsidR="00011DE9" w:rsidRDefault="00011DE9">
            <w:pPr>
              <w:spacing w:after="0" w:line="240" w:lineRule="auto"/>
              <w:jc w:val="center"/>
              <w:rPr>
                <w:rFonts w:ascii="Times New Roman" w:hAnsi="Times New Roman" w:cs="Times New Roman"/>
                <w:b/>
                <w:noProof/>
                <w:sz w:val="18"/>
                <w:szCs w:val="18"/>
              </w:rPr>
            </w:pPr>
          </w:p>
        </w:tc>
        <w:tc>
          <w:tcPr>
            <w:tcW w:w="767" w:type="dxa"/>
            <w:vMerge/>
            <w:noWrap/>
          </w:tcPr>
          <w:p w14:paraId="440F16E0" w14:textId="77777777" w:rsidR="00011DE9" w:rsidRDefault="00011DE9">
            <w:pPr>
              <w:spacing w:after="0" w:line="240" w:lineRule="auto"/>
              <w:jc w:val="center"/>
              <w:rPr>
                <w:rFonts w:ascii="Times New Roman" w:hAnsi="Times New Roman" w:cs="Times New Roman"/>
                <w:b/>
                <w:noProof/>
                <w:sz w:val="18"/>
                <w:szCs w:val="18"/>
              </w:rPr>
            </w:pPr>
          </w:p>
        </w:tc>
        <w:tc>
          <w:tcPr>
            <w:tcW w:w="841" w:type="dxa"/>
            <w:vMerge/>
            <w:noWrap/>
          </w:tcPr>
          <w:p w14:paraId="11ED73C8" w14:textId="77777777" w:rsidR="00011DE9" w:rsidRDefault="00011DE9">
            <w:pPr>
              <w:spacing w:after="0" w:line="240" w:lineRule="auto"/>
              <w:jc w:val="center"/>
              <w:rPr>
                <w:rFonts w:ascii="Times New Roman" w:hAnsi="Times New Roman" w:cs="Times New Roman"/>
                <w:b/>
                <w:noProof/>
                <w:sz w:val="18"/>
                <w:szCs w:val="18"/>
              </w:rPr>
            </w:pPr>
          </w:p>
        </w:tc>
        <w:tc>
          <w:tcPr>
            <w:tcW w:w="1842" w:type="dxa"/>
            <w:vMerge/>
            <w:noWrap/>
          </w:tcPr>
          <w:p w14:paraId="5D7F826A" w14:textId="77777777" w:rsidR="00011DE9" w:rsidRDefault="00011DE9">
            <w:pPr>
              <w:spacing w:after="0" w:line="240" w:lineRule="auto"/>
              <w:rPr>
                <w:rFonts w:ascii="Times New Roman" w:hAnsi="Times New Roman" w:cs="Times New Roman"/>
                <w:b/>
                <w:noProof/>
                <w:sz w:val="18"/>
                <w:szCs w:val="18"/>
              </w:rPr>
            </w:pPr>
          </w:p>
        </w:tc>
        <w:tc>
          <w:tcPr>
            <w:tcW w:w="1141" w:type="dxa"/>
            <w:vMerge/>
            <w:noWrap/>
          </w:tcPr>
          <w:p w14:paraId="7FBB16A3" w14:textId="77777777" w:rsidR="00011DE9" w:rsidRDefault="00011DE9">
            <w:pPr>
              <w:spacing w:after="0" w:line="240" w:lineRule="auto"/>
              <w:jc w:val="center"/>
              <w:rPr>
                <w:rFonts w:ascii="Times New Roman" w:hAnsi="Times New Roman" w:cs="Times New Roman"/>
                <w:b/>
                <w:noProof/>
                <w:sz w:val="18"/>
                <w:szCs w:val="18"/>
              </w:rPr>
            </w:pPr>
          </w:p>
        </w:tc>
        <w:tc>
          <w:tcPr>
            <w:tcW w:w="767" w:type="dxa"/>
            <w:shd w:val="clear" w:color="auto" w:fill="B7D4EF"/>
            <w:noWrap/>
          </w:tcPr>
          <w:p w14:paraId="47606E44" w14:textId="77777777" w:rsidR="00011DE9" w:rsidRDefault="00011DE9">
            <w:pPr>
              <w:pStyle w:val="P68B1DB1-Normal18"/>
              <w:spacing w:after="0" w:line="240" w:lineRule="auto"/>
              <w:jc w:val="center"/>
              <w:rPr>
                <w:rFonts w:cs="Times New Roman"/>
                <w:noProof/>
                <w:szCs w:val="18"/>
              </w:rPr>
            </w:pPr>
            <w:r>
              <w:rPr>
                <w:noProof/>
              </w:rPr>
              <w:t>Unitate</w:t>
            </w:r>
          </w:p>
        </w:tc>
        <w:tc>
          <w:tcPr>
            <w:tcW w:w="893" w:type="dxa"/>
            <w:shd w:val="clear" w:color="auto" w:fill="B7D4EF"/>
            <w:noWrap/>
          </w:tcPr>
          <w:p w14:paraId="5972F4B4" w14:textId="77777777" w:rsidR="00011DE9" w:rsidRDefault="00011DE9">
            <w:pPr>
              <w:pStyle w:val="P68B1DB1-Normal18"/>
              <w:spacing w:after="0" w:line="240" w:lineRule="auto"/>
              <w:jc w:val="center"/>
              <w:rPr>
                <w:rFonts w:cs="Times New Roman"/>
                <w:noProof/>
                <w:szCs w:val="18"/>
              </w:rPr>
            </w:pPr>
            <w:r>
              <w:rPr>
                <w:noProof/>
              </w:rPr>
              <w:t>Situația de referință</w:t>
            </w:r>
          </w:p>
        </w:tc>
        <w:tc>
          <w:tcPr>
            <w:tcW w:w="512" w:type="dxa"/>
            <w:shd w:val="clear" w:color="auto" w:fill="B7D4EF"/>
            <w:noWrap/>
          </w:tcPr>
          <w:p w14:paraId="2A227A9A" w14:textId="77777777" w:rsidR="00011DE9" w:rsidRDefault="00011DE9">
            <w:pPr>
              <w:pStyle w:val="P68B1DB1-Normal18"/>
              <w:spacing w:after="0" w:line="240" w:lineRule="auto"/>
              <w:jc w:val="center"/>
              <w:rPr>
                <w:rFonts w:cs="Times New Roman"/>
                <w:noProof/>
                <w:szCs w:val="18"/>
              </w:rPr>
            </w:pPr>
            <w:r>
              <w:rPr>
                <w:noProof/>
              </w:rPr>
              <w:t>Obiectiv</w:t>
            </w:r>
          </w:p>
        </w:tc>
        <w:tc>
          <w:tcPr>
            <w:tcW w:w="382" w:type="dxa"/>
            <w:shd w:val="clear" w:color="auto" w:fill="B7D4EF"/>
            <w:noWrap/>
          </w:tcPr>
          <w:p w14:paraId="07C63E4A" w14:textId="77777777" w:rsidR="00011DE9" w:rsidRDefault="00011DE9">
            <w:pPr>
              <w:pStyle w:val="P68B1DB1-Normal18"/>
              <w:spacing w:after="0" w:line="240" w:lineRule="auto"/>
              <w:jc w:val="center"/>
              <w:rPr>
                <w:rFonts w:cs="Times New Roman"/>
                <w:noProof/>
                <w:szCs w:val="18"/>
              </w:rPr>
            </w:pPr>
            <w:r>
              <w:rPr>
                <w:noProof/>
              </w:rPr>
              <w:t>Q</w:t>
            </w:r>
          </w:p>
        </w:tc>
        <w:tc>
          <w:tcPr>
            <w:tcW w:w="512" w:type="dxa"/>
            <w:shd w:val="clear" w:color="auto" w:fill="B7D4EF"/>
            <w:noWrap/>
          </w:tcPr>
          <w:p w14:paraId="5B505647" w14:textId="77777777" w:rsidR="00011DE9" w:rsidRDefault="00011DE9">
            <w:pPr>
              <w:pStyle w:val="P68B1DB1-Normal18"/>
              <w:spacing w:after="0" w:line="240" w:lineRule="auto"/>
              <w:jc w:val="center"/>
              <w:rPr>
                <w:rFonts w:cs="Times New Roman"/>
                <w:noProof/>
                <w:szCs w:val="18"/>
              </w:rPr>
            </w:pPr>
            <w:r>
              <w:rPr>
                <w:noProof/>
              </w:rPr>
              <w:t>Anul</w:t>
            </w:r>
          </w:p>
        </w:tc>
        <w:tc>
          <w:tcPr>
            <w:tcW w:w="5862" w:type="dxa"/>
            <w:vMerge/>
            <w:noWrap/>
          </w:tcPr>
          <w:p w14:paraId="340AC0E1" w14:textId="77777777" w:rsidR="00011DE9" w:rsidRDefault="00011DE9">
            <w:pPr>
              <w:spacing w:after="0" w:line="240" w:lineRule="auto"/>
              <w:rPr>
                <w:rFonts w:ascii="Times New Roman" w:hAnsi="Times New Roman" w:cs="Times New Roman"/>
                <w:b/>
                <w:noProof/>
                <w:sz w:val="18"/>
                <w:szCs w:val="18"/>
              </w:rPr>
            </w:pPr>
          </w:p>
        </w:tc>
      </w:tr>
      <w:tr w:rsidR="00011DE9" w14:paraId="28069718" w14:textId="77777777">
        <w:trPr>
          <w:trHeight w:val="308"/>
        </w:trPr>
        <w:tc>
          <w:tcPr>
            <w:tcW w:w="770" w:type="dxa"/>
            <w:shd w:val="clear" w:color="auto" w:fill="C6EFCE"/>
            <w:noWrap/>
          </w:tcPr>
          <w:p w14:paraId="6DE76D6A" w14:textId="77777777" w:rsidR="00011DE9" w:rsidRDefault="00011DE9">
            <w:pPr>
              <w:pStyle w:val="P68B1DB1-Normal19"/>
              <w:spacing w:after="0" w:line="240" w:lineRule="auto"/>
              <w:jc w:val="center"/>
              <w:rPr>
                <w:rFonts w:eastAsia="Times New Roman"/>
                <w:noProof/>
              </w:rPr>
            </w:pPr>
            <w:r>
              <w:rPr>
                <w:noProof/>
              </w:rPr>
              <w:t>363</w:t>
            </w:r>
          </w:p>
        </w:tc>
        <w:tc>
          <w:tcPr>
            <w:tcW w:w="767" w:type="dxa"/>
            <w:shd w:val="clear" w:color="auto" w:fill="C6EFCE"/>
            <w:noWrap/>
          </w:tcPr>
          <w:p w14:paraId="625D63F5" w14:textId="77777777" w:rsidR="00011DE9" w:rsidRDefault="00011DE9">
            <w:pPr>
              <w:pStyle w:val="P68B1DB1-Normal19"/>
              <w:spacing w:after="0" w:line="240" w:lineRule="auto"/>
              <w:jc w:val="center"/>
              <w:rPr>
                <w:rFonts w:eastAsia="Times New Roman"/>
                <w:noProof/>
              </w:rPr>
            </w:pPr>
            <w:r>
              <w:rPr>
                <w:noProof/>
              </w:rPr>
              <w:t>C25.R1</w:t>
            </w:r>
          </w:p>
        </w:tc>
        <w:tc>
          <w:tcPr>
            <w:tcW w:w="841" w:type="dxa"/>
            <w:shd w:val="clear" w:color="auto" w:fill="C6EFCE"/>
            <w:noWrap/>
          </w:tcPr>
          <w:p w14:paraId="33D08FF0" w14:textId="77777777" w:rsidR="00011DE9" w:rsidRDefault="00011DE9">
            <w:pPr>
              <w:pStyle w:val="P68B1DB1-Normal19"/>
              <w:spacing w:after="0" w:line="240" w:lineRule="auto"/>
              <w:jc w:val="center"/>
              <w:rPr>
                <w:rFonts w:eastAsia="Times New Roman"/>
                <w:noProof/>
              </w:rPr>
            </w:pPr>
            <w:r>
              <w:rPr>
                <w:noProof/>
              </w:rPr>
              <w:t>M</w:t>
            </w:r>
          </w:p>
        </w:tc>
        <w:tc>
          <w:tcPr>
            <w:tcW w:w="1842" w:type="dxa"/>
            <w:shd w:val="clear" w:color="auto" w:fill="C6EFCE"/>
            <w:noWrap/>
          </w:tcPr>
          <w:p w14:paraId="632EAD2C" w14:textId="77777777" w:rsidR="00011DE9" w:rsidRDefault="00011DE9">
            <w:pPr>
              <w:pStyle w:val="P68B1DB1-Normal19"/>
              <w:spacing w:after="0" w:line="240" w:lineRule="auto"/>
              <w:rPr>
                <w:rFonts w:eastAsia="Times New Roman"/>
                <w:noProof/>
              </w:rPr>
            </w:pPr>
            <w:r>
              <w:rPr>
                <w:noProof/>
              </w:rPr>
              <w:t>Planul „Spania, Centrul audiovizual al Europei”.</w:t>
            </w:r>
          </w:p>
        </w:tc>
        <w:tc>
          <w:tcPr>
            <w:tcW w:w="1141" w:type="dxa"/>
            <w:shd w:val="clear" w:color="auto" w:fill="C6EFCE"/>
            <w:noWrap/>
          </w:tcPr>
          <w:p w14:paraId="10B659AA" w14:textId="77777777" w:rsidR="00011DE9" w:rsidRDefault="00011DE9">
            <w:pPr>
              <w:pStyle w:val="P68B1DB1-Normal19"/>
              <w:spacing w:after="0" w:line="240" w:lineRule="auto"/>
              <w:jc w:val="center"/>
              <w:rPr>
                <w:rFonts w:eastAsia="Times New Roman"/>
                <w:noProof/>
              </w:rPr>
            </w:pPr>
            <w:r>
              <w:rPr>
                <w:noProof/>
              </w:rPr>
              <w:t>Aprobarea de către Consiliul de Miniștri</w:t>
            </w:r>
          </w:p>
        </w:tc>
        <w:tc>
          <w:tcPr>
            <w:tcW w:w="767" w:type="dxa"/>
            <w:shd w:val="clear" w:color="auto" w:fill="C6EFCE"/>
            <w:noWrap/>
          </w:tcPr>
          <w:p w14:paraId="3E9A78B8" w14:textId="77777777" w:rsidR="00011DE9" w:rsidRDefault="00011DE9">
            <w:pPr>
              <w:pStyle w:val="P68B1DB1-Normal19"/>
              <w:spacing w:after="0" w:line="240" w:lineRule="auto"/>
              <w:jc w:val="center"/>
              <w:rPr>
                <w:rFonts w:eastAsia="Times New Roman"/>
                <w:noProof/>
              </w:rPr>
            </w:pPr>
            <w:r>
              <w:rPr>
                <w:noProof/>
              </w:rPr>
              <w:t xml:space="preserve"> </w:t>
            </w:r>
          </w:p>
        </w:tc>
        <w:tc>
          <w:tcPr>
            <w:tcW w:w="893" w:type="dxa"/>
            <w:shd w:val="clear" w:color="auto" w:fill="C6EFCE"/>
            <w:noWrap/>
          </w:tcPr>
          <w:p w14:paraId="4715F9E5" w14:textId="77777777" w:rsidR="00011DE9" w:rsidRDefault="00011DE9">
            <w:pPr>
              <w:pStyle w:val="P68B1DB1-Normal19"/>
              <w:spacing w:after="0" w:line="240" w:lineRule="auto"/>
              <w:jc w:val="right"/>
              <w:rPr>
                <w:rFonts w:eastAsia="Times New Roman"/>
                <w:noProof/>
              </w:rPr>
            </w:pPr>
            <w:r>
              <w:rPr>
                <w:noProof/>
              </w:rPr>
              <w:t xml:space="preserve"> </w:t>
            </w:r>
          </w:p>
        </w:tc>
        <w:tc>
          <w:tcPr>
            <w:tcW w:w="512" w:type="dxa"/>
            <w:shd w:val="clear" w:color="auto" w:fill="C6EFCE"/>
            <w:noWrap/>
          </w:tcPr>
          <w:p w14:paraId="312091DF" w14:textId="77777777" w:rsidR="00011DE9" w:rsidRDefault="00011DE9">
            <w:pPr>
              <w:pStyle w:val="P68B1DB1-Normal19"/>
              <w:spacing w:after="0" w:line="240" w:lineRule="auto"/>
              <w:jc w:val="right"/>
              <w:rPr>
                <w:rFonts w:eastAsia="Times New Roman"/>
                <w:noProof/>
              </w:rPr>
            </w:pPr>
            <w:r>
              <w:rPr>
                <w:noProof/>
              </w:rPr>
              <w:t xml:space="preserve"> </w:t>
            </w:r>
          </w:p>
        </w:tc>
        <w:tc>
          <w:tcPr>
            <w:tcW w:w="382" w:type="dxa"/>
            <w:shd w:val="clear" w:color="auto" w:fill="C6EFCE"/>
            <w:noWrap/>
          </w:tcPr>
          <w:p w14:paraId="4988DD05" w14:textId="44430AC6" w:rsidR="00011DE9" w:rsidRDefault="003010A3">
            <w:pPr>
              <w:pStyle w:val="P68B1DB1-Normal19"/>
              <w:spacing w:after="0" w:line="240" w:lineRule="auto"/>
              <w:jc w:val="center"/>
              <w:rPr>
                <w:rFonts w:eastAsia="Times New Roman"/>
                <w:noProof/>
              </w:rPr>
            </w:pPr>
            <w:r>
              <w:rPr>
                <w:noProof/>
              </w:rPr>
              <w:t>T1</w:t>
            </w:r>
          </w:p>
        </w:tc>
        <w:tc>
          <w:tcPr>
            <w:tcW w:w="512" w:type="dxa"/>
            <w:shd w:val="clear" w:color="auto" w:fill="C6EFCE"/>
            <w:noWrap/>
          </w:tcPr>
          <w:p w14:paraId="2293EDD2" w14:textId="77777777" w:rsidR="00011DE9" w:rsidRDefault="00011DE9">
            <w:pPr>
              <w:pStyle w:val="P68B1DB1-Normal19"/>
              <w:spacing w:after="0" w:line="240" w:lineRule="auto"/>
              <w:jc w:val="center"/>
              <w:rPr>
                <w:rFonts w:eastAsia="Times New Roman"/>
                <w:noProof/>
              </w:rPr>
            </w:pPr>
            <w:r>
              <w:rPr>
                <w:noProof/>
              </w:rPr>
              <w:t>2021</w:t>
            </w:r>
          </w:p>
        </w:tc>
        <w:tc>
          <w:tcPr>
            <w:tcW w:w="5862" w:type="dxa"/>
            <w:shd w:val="clear" w:color="auto" w:fill="C6EFCE"/>
            <w:noWrap/>
          </w:tcPr>
          <w:p w14:paraId="20176570" w14:textId="77777777" w:rsidR="00011DE9" w:rsidRDefault="00011DE9">
            <w:pPr>
              <w:pStyle w:val="P68B1DB1-Normal19"/>
              <w:spacing w:after="0" w:line="240" w:lineRule="auto"/>
              <w:rPr>
                <w:noProof/>
              </w:rPr>
            </w:pPr>
            <w:r>
              <w:rPr>
                <w:noProof/>
              </w:rPr>
              <w:t xml:space="preserve">Aprobarea de către Consiliul de Miniștri a planului „Spania, Centrul audiovizual al Europei”. Planul combină investiții publice și reforme care vizează (i) internaționalizarea sectorului și creșterea atractivității Spaniei ca destinație a investițiilor străine; (II) reducerea costurilor administrative și de reglementare; (III) îmbunătățirea competitivității tuturor întreprinderilor prin punerea în aplicare a unor noi tehnologii pentru a permite întreprinderii să concureze pe o piață digitalizată; și (iv) promovarea capitalului uman prin reducerea disparității de gen. </w:t>
            </w:r>
          </w:p>
          <w:p w14:paraId="3C9B2C7D" w14:textId="77777777" w:rsidR="00011DE9" w:rsidRDefault="00011DE9">
            <w:pPr>
              <w:spacing w:after="0" w:line="240" w:lineRule="auto"/>
              <w:rPr>
                <w:rFonts w:ascii="Times New Roman" w:eastAsia="Times New Roman" w:hAnsi="Times New Roman" w:cs="Times New Roman"/>
                <w:noProof/>
                <w:sz w:val="18"/>
                <w:szCs w:val="18"/>
              </w:rPr>
            </w:pPr>
          </w:p>
        </w:tc>
      </w:tr>
      <w:tr w:rsidR="00011DE9" w14:paraId="0156E473" w14:textId="77777777">
        <w:trPr>
          <w:trHeight w:val="308"/>
        </w:trPr>
        <w:tc>
          <w:tcPr>
            <w:tcW w:w="770" w:type="dxa"/>
            <w:shd w:val="clear" w:color="auto" w:fill="C6EFCE"/>
            <w:noWrap/>
          </w:tcPr>
          <w:p w14:paraId="1FDF4BD6" w14:textId="77777777" w:rsidR="00011DE9" w:rsidRDefault="00011DE9">
            <w:pPr>
              <w:pStyle w:val="P68B1DB1-Normal19"/>
              <w:spacing w:after="0" w:line="240" w:lineRule="auto"/>
              <w:jc w:val="center"/>
              <w:rPr>
                <w:rFonts w:eastAsia="Times New Roman"/>
                <w:noProof/>
              </w:rPr>
            </w:pPr>
            <w:r>
              <w:rPr>
                <w:noProof/>
              </w:rPr>
              <w:t>364</w:t>
            </w:r>
          </w:p>
        </w:tc>
        <w:tc>
          <w:tcPr>
            <w:tcW w:w="767" w:type="dxa"/>
            <w:shd w:val="clear" w:color="auto" w:fill="C6EFCE"/>
            <w:noWrap/>
          </w:tcPr>
          <w:p w14:paraId="546D1B98" w14:textId="77777777" w:rsidR="00011DE9" w:rsidRDefault="00011DE9">
            <w:pPr>
              <w:pStyle w:val="P68B1DB1-Normal19"/>
              <w:spacing w:after="0" w:line="240" w:lineRule="auto"/>
              <w:jc w:val="center"/>
              <w:rPr>
                <w:rFonts w:eastAsia="Times New Roman"/>
                <w:noProof/>
              </w:rPr>
            </w:pPr>
            <w:r>
              <w:rPr>
                <w:noProof/>
              </w:rPr>
              <w:t>C25.R1</w:t>
            </w:r>
          </w:p>
        </w:tc>
        <w:tc>
          <w:tcPr>
            <w:tcW w:w="841" w:type="dxa"/>
            <w:shd w:val="clear" w:color="auto" w:fill="C6EFCE"/>
            <w:noWrap/>
          </w:tcPr>
          <w:p w14:paraId="78C881AA" w14:textId="77777777" w:rsidR="00011DE9" w:rsidRDefault="00011DE9">
            <w:pPr>
              <w:pStyle w:val="P68B1DB1-Normal19"/>
              <w:spacing w:after="0" w:line="240" w:lineRule="auto"/>
              <w:jc w:val="center"/>
              <w:rPr>
                <w:rFonts w:eastAsia="Times New Roman"/>
                <w:noProof/>
              </w:rPr>
            </w:pPr>
            <w:r>
              <w:rPr>
                <w:noProof/>
              </w:rPr>
              <w:t>M</w:t>
            </w:r>
          </w:p>
        </w:tc>
        <w:tc>
          <w:tcPr>
            <w:tcW w:w="1842" w:type="dxa"/>
            <w:shd w:val="clear" w:color="auto" w:fill="C6EFCE"/>
            <w:noWrap/>
          </w:tcPr>
          <w:p w14:paraId="3F2342BB" w14:textId="77777777" w:rsidR="00011DE9" w:rsidRDefault="00011DE9">
            <w:pPr>
              <w:pStyle w:val="P68B1DB1-Normal19"/>
              <w:spacing w:after="0" w:line="240" w:lineRule="auto"/>
              <w:rPr>
                <w:rFonts w:eastAsia="Times New Roman"/>
                <w:noProof/>
              </w:rPr>
            </w:pPr>
            <w:r>
              <w:rPr>
                <w:noProof/>
              </w:rPr>
              <w:t>Intrarea în vigoare a legii generale privind comunicarea audiovizuală.</w:t>
            </w:r>
          </w:p>
        </w:tc>
        <w:tc>
          <w:tcPr>
            <w:tcW w:w="1141" w:type="dxa"/>
            <w:shd w:val="clear" w:color="auto" w:fill="C6EFCE"/>
            <w:noWrap/>
          </w:tcPr>
          <w:p w14:paraId="46C3D008" w14:textId="77777777" w:rsidR="00011DE9" w:rsidRDefault="00011DE9">
            <w:pPr>
              <w:pStyle w:val="P68B1DB1-Normal19"/>
              <w:spacing w:after="0" w:line="240" w:lineRule="auto"/>
              <w:jc w:val="center"/>
              <w:rPr>
                <w:rFonts w:eastAsia="Times New Roman"/>
                <w:noProof/>
              </w:rPr>
            </w:pPr>
            <w:r>
              <w:rPr>
                <w:noProof/>
              </w:rPr>
              <w:t>Dispozițiile Legii privind intrarea în vigoare</w:t>
            </w:r>
          </w:p>
        </w:tc>
        <w:tc>
          <w:tcPr>
            <w:tcW w:w="767" w:type="dxa"/>
            <w:shd w:val="clear" w:color="auto" w:fill="C6EFCE"/>
            <w:noWrap/>
          </w:tcPr>
          <w:p w14:paraId="6110A36A" w14:textId="77777777" w:rsidR="00011DE9" w:rsidRDefault="00011DE9">
            <w:pPr>
              <w:pStyle w:val="P68B1DB1-Normal19"/>
              <w:spacing w:after="0" w:line="240" w:lineRule="auto"/>
              <w:jc w:val="center"/>
              <w:rPr>
                <w:rFonts w:eastAsia="Times New Roman"/>
                <w:noProof/>
              </w:rPr>
            </w:pPr>
            <w:r>
              <w:rPr>
                <w:noProof/>
              </w:rPr>
              <w:t xml:space="preserve"> </w:t>
            </w:r>
          </w:p>
        </w:tc>
        <w:tc>
          <w:tcPr>
            <w:tcW w:w="893" w:type="dxa"/>
            <w:shd w:val="clear" w:color="auto" w:fill="C6EFCE"/>
            <w:noWrap/>
          </w:tcPr>
          <w:p w14:paraId="5659F18C" w14:textId="77777777" w:rsidR="00011DE9" w:rsidRDefault="00011DE9">
            <w:pPr>
              <w:pStyle w:val="P68B1DB1-Normal19"/>
              <w:spacing w:after="0" w:line="240" w:lineRule="auto"/>
              <w:jc w:val="right"/>
              <w:rPr>
                <w:rFonts w:eastAsia="Times New Roman"/>
                <w:noProof/>
              </w:rPr>
            </w:pPr>
            <w:r>
              <w:rPr>
                <w:noProof/>
              </w:rPr>
              <w:t xml:space="preserve"> </w:t>
            </w:r>
          </w:p>
        </w:tc>
        <w:tc>
          <w:tcPr>
            <w:tcW w:w="512" w:type="dxa"/>
            <w:shd w:val="clear" w:color="auto" w:fill="C6EFCE"/>
            <w:noWrap/>
          </w:tcPr>
          <w:p w14:paraId="5394721B" w14:textId="77777777" w:rsidR="00011DE9" w:rsidRDefault="00011DE9">
            <w:pPr>
              <w:pStyle w:val="P68B1DB1-Normal19"/>
              <w:spacing w:after="0" w:line="240" w:lineRule="auto"/>
              <w:jc w:val="right"/>
              <w:rPr>
                <w:rFonts w:eastAsia="Times New Roman"/>
                <w:noProof/>
              </w:rPr>
            </w:pPr>
            <w:r>
              <w:rPr>
                <w:noProof/>
              </w:rPr>
              <w:t xml:space="preserve"> </w:t>
            </w:r>
          </w:p>
        </w:tc>
        <w:tc>
          <w:tcPr>
            <w:tcW w:w="382" w:type="dxa"/>
            <w:shd w:val="clear" w:color="auto" w:fill="C6EFCE"/>
            <w:noWrap/>
          </w:tcPr>
          <w:p w14:paraId="00EA6562" w14:textId="55B8C9BD" w:rsidR="00011DE9" w:rsidRDefault="003010A3">
            <w:pPr>
              <w:pStyle w:val="P68B1DB1-Normal19"/>
              <w:spacing w:after="0" w:line="240" w:lineRule="auto"/>
              <w:jc w:val="center"/>
              <w:rPr>
                <w:rFonts w:eastAsia="Times New Roman"/>
                <w:noProof/>
              </w:rPr>
            </w:pPr>
            <w:r>
              <w:rPr>
                <w:noProof/>
              </w:rPr>
              <w:t>T1</w:t>
            </w:r>
          </w:p>
        </w:tc>
        <w:tc>
          <w:tcPr>
            <w:tcW w:w="512" w:type="dxa"/>
            <w:shd w:val="clear" w:color="auto" w:fill="C6EFCE"/>
            <w:noWrap/>
          </w:tcPr>
          <w:p w14:paraId="3B3FFF79" w14:textId="77777777" w:rsidR="00011DE9" w:rsidRDefault="00011DE9">
            <w:pPr>
              <w:pStyle w:val="P68B1DB1-Normal19"/>
              <w:spacing w:after="0" w:line="240" w:lineRule="auto"/>
              <w:jc w:val="center"/>
              <w:rPr>
                <w:rFonts w:eastAsia="Times New Roman"/>
                <w:noProof/>
              </w:rPr>
            </w:pPr>
            <w:r>
              <w:rPr>
                <w:noProof/>
              </w:rPr>
              <w:t>2022</w:t>
            </w:r>
          </w:p>
        </w:tc>
        <w:tc>
          <w:tcPr>
            <w:tcW w:w="5862" w:type="dxa"/>
            <w:shd w:val="clear" w:color="auto" w:fill="C6EFCE"/>
            <w:noWrap/>
          </w:tcPr>
          <w:p w14:paraId="21389881" w14:textId="77777777" w:rsidR="00011DE9" w:rsidRDefault="00011DE9">
            <w:pPr>
              <w:pStyle w:val="P68B1DB1-Normal19"/>
              <w:spacing w:after="0" w:line="240" w:lineRule="auto"/>
              <w:rPr>
                <w:noProof/>
              </w:rPr>
            </w:pPr>
            <w:r>
              <w:rPr>
                <w:noProof/>
              </w:rPr>
              <w:t xml:space="preserve">Intrarea în vigoare a Legii generale privind comunicarea audiovizuală. Această lege reglementează cadrul juridic pentru furnizarea de servicii de comunicații audiovizuale în Spania și transpune efectiv în sistemul juridic național Directiva 2018/1808 privind serviciile de comunicații audiovizuale. Scopul său este de a adapta și actualiza cadrul juridic aplicabil serviciilor de comunicații audiovizuale și serviciilor platformelor de partajare a materialelor video în Spania. Legea urmărește, de asemenea, să garanteze condiții de concurență echitabile pentru toți actorii diferiți prezenți pe piață. În cele din urmă, legea include un mecanism de garantare a drepturilor utilizatorilor (cum ar fi protecția minorilor și a publicului împotriva anumitor tipuri de conținut). </w:t>
            </w:r>
          </w:p>
          <w:p w14:paraId="133F601D" w14:textId="77777777" w:rsidR="00011DE9" w:rsidRDefault="00011DE9">
            <w:pPr>
              <w:spacing w:after="0" w:line="240" w:lineRule="auto"/>
              <w:rPr>
                <w:rFonts w:ascii="Times New Roman" w:eastAsia="Times New Roman" w:hAnsi="Times New Roman" w:cs="Times New Roman"/>
                <w:noProof/>
                <w:sz w:val="18"/>
                <w:szCs w:val="18"/>
              </w:rPr>
            </w:pPr>
          </w:p>
        </w:tc>
      </w:tr>
      <w:tr w:rsidR="00011DE9" w14:paraId="50834B90" w14:textId="77777777">
        <w:trPr>
          <w:trHeight w:val="308"/>
        </w:trPr>
        <w:tc>
          <w:tcPr>
            <w:tcW w:w="770" w:type="dxa"/>
            <w:shd w:val="clear" w:color="auto" w:fill="C6EFCE"/>
            <w:noWrap/>
          </w:tcPr>
          <w:p w14:paraId="7D86ADD2" w14:textId="77777777" w:rsidR="00011DE9" w:rsidRDefault="00011DE9">
            <w:pPr>
              <w:pStyle w:val="P68B1DB1-Normal19"/>
              <w:spacing w:after="0" w:line="240" w:lineRule="auto"/>
              <w:jc w:val="center"/>
              <w:rPr>
                <w:noProof/>
              </w:rPr>
            </w:pPr>
            <w:r>
              <w:rPr>
                <w:noProof/>
              </w:rPr>
              <w:t>476</w:t>
            </w:r>
          </w:p>
        </w:tc>
        <w:tc>
          <w:tcPr>
            <w:tcW w:w="767" w:type="dxa"/>
            <w:shd w:val="clear" w:color="auto" w:fill="C6EFCE"/>
            <w:noWrap/>
          </w:tcPr>
          <w:p w14:paraId="32C74B46" w14:textId="77777777" w:rsidR="00011DE9" w:rsidRDefault="00011DE9">
            <w:pPr>
              <w:pStyle w:val="P68B1DB1-Normal19"/>
              <w:spacing w:after="0" w:line="240" w:lineRule="auto"/>
              <w:jc w:val="center"/>
              <w:rPr>
                <w:noProof/>
              </w:rPr>
            </w:pPr>
            <w:r>
              <w:rPr>
                <w:noProof/>
              </w:rPr>
              <w:t>C25.I1</w:t>
            </w:r>
          </w:p>
        </w:tc>
        <w:tc>
          <w:tcPr>
            <w:tcW w:w="841" w:type="dxa"/>
            <w:shd w:val="clear" w:color="auto" w:fill="C6EFCE"/>
            <w:noWrap/>
          </w:tcPr>
          <w:p w14:paraId="229F96B8" w14:textId="77777777" w:rsidR="00011DE9" w:rsidRDefault="00011DE9">
            <w:pPr>
              <w:pStyle w:val="P68B1DB1-Normal19"/>
              <w:spacing w:after="0" w:line="240" w:lineRule="auto"/>
              <w:jc w:val="center"/>
              <w:rPr>
                <w:noProof/>
              </w:rPr>
            </w:pPr>
            <w:r>
              <w:rPr>
                <w:noProof/>
              </w:rPr>
              <w:t>T</w:t>
            </w:r>
          </w:p>
        </w:tc>
        <w:tc>
          <w:tcPr>
            <w:tcW w:w="1842" w:type="dxa"/>
            <w:shd w:val="clear" w:color="auto" w:fill="C6EFCE"/>
            <w:noWrap/>
          </w:tcPr>
          <w:p w14:paraId="5F65E5F6" w14:textId="77777777" w:rsidR="00011DE9" w:rsidRDefault="00011DE9">
            <w:pPr>
              <w:pStyle w:val="P68B1DB1-Normal19"/>
              <w:spacing w:after="0" w:line="240" w:lineRule="auto"/>
              <w:rPr>
                <w:noProof/>
              </w:rPr>
            </w:pPr>
            <w:r>
              <w:rPr>
                <w:noProof/>
              </w:rPr>
              <w:t>Sprijinirea entităților din sectorul audiovizual în trei domenii diferite</w:t>
            </w:r>
          </w:p>
        </w:tc>
        <w:tc>
          <w:tcPr>
            <w:tcW w:w="1141" w:type="dxa"/>
            <w:shd w:val="clear" w:color="auto" w:fill="C6EFCE"/>
            <w:noWrap/>
          </w:tcPr>
          <w:p w14:paraId="6333F564" w14:textId="77777777" w:rsidR="00011DE9" w:rsidRDefault="00011DE9">
            <w:pPr>
              <w:spacing w:after="0" w:line="240" w:lineRule="auto"/>
              <w:jc w:val="center"/>
              <w:rPr>
                <w:rFonts w:ascii="Times New Roman" w:hAnsi="Times New Roman" w:cs="Times New Roman"/>
                <w:noProof/>
                <w:sz w:val="18"/>
                <w:szCs w:val="18"/>
              </w:rPr>
            </w:pPr>
          </w:p>
        </w:tc>
        <w:tc>
          <w:tcPr>
            <w:tcW w:w="767" w:type="dxa"/>
            <w:shd w:val="clear" w:color="auto" w:fill="C6EFCE"/>
            <w:noWrap/>
          </w:tcPr>
          <w:p w14:paraId="5B59F42A" w14:textId="77777777" w:rsidR="00011DE9" w:rsidRDefault="00011DE9">
            <w:pPr>
              <w:pStyle w:val="P68B1DB1-Normal19"/>
              <w:spacing w:after="0" w:line="240" w:lineRule="auto"/>
              <w:jc w:val="center"/>
              <w:rPr>
                <w:noProof/>
              </w:rPr>
            </w:pPr>
            <w:r>
              <w:rPr>
                <w:noProof/>
              </w:rPr>
              <w:t>EUR (milioane)</w:t>
            </w:r>
          </w:p>
        </w:tc>
        <w:tc>
          <w:tcPr>
            <w:tcW w:w="893" w:type="dxa"/>
            <w:shd w:val="clear" w:color="auto" w:fill="C6EFCE"/>
            <w:noWrap/>
          </w:tcPr>
          <w:p w14:paraId="24F8CC3F" w14:textId="77777777" w:rsidR="00011DE9" w:rsidRDefault="00011DE9">
            <w:pPr>
              <w:pStyle w:val="P68B1DB1-Normal19"/>
              <w:spacing w:after="0" w:line="240" w:lineRule="auto"/>
              <w:jc w:val="right"/>
              <w:rPr>
                <w:noProof/>
              </w:rPr>
            </w:pPr>
            <w:r>
              <w:rPr>
                <w:noProof/>
              </w:rPr>
              <w:t>0</w:t>
            </w:r>
          </w:p>
        </w:tc>
        <w:tc>
          <w:tcPr>
            <w:tcW w:w="512" w:type="dxa"/>
            <w:shd w:val="clear" w:color="auto" w:fill="C6EFCE"/>
            <w:noWrap/>
          </w:tcPr>
          <w:p w14:paraId="77C05052" w14:textId="77777777" w:rsidR="00011DE9" w:rsidRDefault="00011DE9">
            <w:pPr>
              <w:pStyle w:val="P68B1DB1-Normal19"/>
              <w:spacing w:after="0" w:line="240" w:lineRule="auto"/>
              <w:jc w:val="right"/>
              <w:rPr>
                <w:noProof/>
              </w:rPr>
            </w:pPr>
            <w:r>
              <w:rPr>
                <w:noProof/>
              </w:rPr>
              <w:t>177</w:t>
            </w:r>
          </w:p>
        </w:tc>
        <w:tc>
          <w:tcPr>
            <w:tcW w:w="382" w:type="dxa"/>
            <w:shd w:val="clear" w:color="auto" w:fill="C6EFCE"/>
            <w:noWrap/>
          </w:tcPr>
          <w:p w14:paraId="27D645EA" w14:textId="58FE56E4" w:rsidR="00011DE9" w:rsidRDefault="005701C9">
            <w:pPr>
              <w:pStyle w:val="P68B1DB1-Normal19"/>
              <w:spacing w:after="0" w:line="240" w:lineRule="auto"/>
              <w:jc w:val="center"/>
              <w:rPr>
                <w:noProof/>
              </w:rPr>
            </w:pPr>
            <w:r>
              <w:rPr>
                <w:noProof/>
              </w:rPr>
              <w:t>T2</w:t>
            </w:r>
          </w:p>
        </w:tc>
        <w:tc>
          <w:tcPr>
            <w:tcW w:w="512" w:type="dxa"/>
            <w:shd w:val="clear" w:color="auto" w:fill="C6EFCE"/>
            <w:noWrap/>
          </w:tcPr>
          <w:p w14:paraId="6244D9AE" w14:textId="77777777" w:rsidR="00011DE9" w:rsidRDefault="00011DE9">
            <w:pPr>
              <w:pStyle w:val="P68B1DB1-Normal19"/>
              <w:spacing w:after="0" w:line="240" w:lineRule="auto"/>
              <w:jc w:val="center"/>
              <w:rPr>
                <w:noProof/>
              </w:rPr>
            </w:pPr>
            <w:r>
              <w:rPr>
                <w:noProof/>
              </w:rPr>
              <w:t>2026</w:t>
            </w:r>
          </w:p>
        </w:tc>
        <w:tc>
          <w:tcPr>
            <w:tcW w:w="5862" w:type="dxa"/>
            <w:shd w:val="clear" w:color="auto" w:fill="C6EFCE"/>
            <w:noWrap/>
          </w:tcPr>
          <w:p w14:paraId="065FC07B" w14:textId="77777777" w:rsidR="00011DE9" w:rsidRDefault="00011DE9">
            <w:pPr>
              <w:pStyle w:val="P68B1DB1-Normal52"/>
              <w:spacing w:after="0" w:line="240" w:lineRule="auto"/>
              <w:rPr>
                <w:noProof/>
              </w:rPr>
            </w:pPr>
            <w:r>
              <w:rPr>
                <w:noProof/>
              </w:rPr>
              <w:t>Pentru o sumă totală cumulată de 177 000 000 EUR sub formă de granturi și contracte atribuite (inclusiv eventualele modificări):</w:t>
            </w:r>
          </w:p>
          <w:p w14:paraId="2267E11D" w14:textId="77777777" w:rsidR="00011DE9" w:rsidRDefault="00011DE9">
            <w:pPr>
              <w:pStyle w:val="P68B1DB1-Normal20"/>
              <w:numPr>
                <w:ilvl w:val="0"/>
                <w:numId w:val="185"/>
              </w:numPr>
              <w:spacing w:after="0" w:line="240" w:lineRule="auto"/>
              <w:rPr>
                <w:rFonts w:eastAsia="Aptos" w:cs="Times New Roman"/>
                <w:noProof/>
              </w:rPr>
            </w:pPr>
            <w:r>
              <w:rPr>
                <w:noProof/>
              </w:rPr>
              <w:t>Entitățile sau persoanele beneficiare au prezentat rapoarte finale care confirmă finalizarea activităților atribuite pentru granturi legate de (i) promovarea, modernizarea sau digitalizarea sectorului audiovizual sau (ii) promovarea internalizării sectorului audiovizual sau (iii) atragerea investițiilor străine în sectorul audiovizual, inclusiv simplificarea procedurilor administrative publice sau</w:t>
            </w:r>
          </w:p>
          <w:p w14:paraId="0633D261" w14:textId="77777777" w:rsidR="00011DE9" w:rsidRDefault="00011DE9">
            <w:pPr>
              <w:pStyle w:val="P68B1DB1-Normal20"/>
              <w:numPr>
                <w:ilvl w:val="0"/>
                <w:numId w:val="185"/>
              </w:numPr>
              <w:spacing w:after="0" w:line="240" w:lineRule="auto"/>
              <w:rPr>
                <w:rFonts w:eastAsia="Aptos" w:cs="Times New Roman"/>
                <w:noProof/>
              </w:rPr>
            </w:pPr>
            <w:r>
              <w:rPr>
                <w:noProof/>
              </w:rPr>
              <w:t xml:space="preserve">Confirmarea din partea administrației sau a comitetului de monitorizare corespunzător că au fost încheiate contracte și acorduri sau părți ale acestora legate de (i) promovarea, modernizarea sau digitalizarea sectorului audiovizual sau (ii) promovarea internalizării sectorului audiovizual sau (iii) atragerea de investiții străine în sectorul audiovizual, inclusiv simplificarea procedurilor administrative publice. </w:t>
            </w:r>
          </w:p>
          <w:p w14:paraId="0D1A9999" w14:textId="77777777" w:rsidR="00011DE9" w:rsidRDefault="00011DE9">
            <w:pPr>
              <w:spacing w:after="0" w:line="240" w:lineRule="auto"/>
              <w:rPr>
                <w:rFonts w:ascii="Times New Roman" w:hAnsi="Times New Roman" w:cs="Times New Roman"/>
                <w:noProof/>
                <w:sz w:val="18"/>
                <w:szCs w:val="18"/>
              </w:rPr>
            </w:pPr>
          </w:p>
        </w:tc>
      </w:tr>
    </w:tbl>
    <w:p w14:paraId="57F6AA01" w14:textId="77777777" w:rsidR="00011DE9" w:rsidRDefault="00011DE9">
      <w:pPr>
        <w:rPr>
          <w:noProof/>
        </w:rPr>
      </w:pPr>
    </w:p>
    <w:p w14:paraId="2CE4C846" w14:textId="77777777" w:rsidR="00011DE9" w:rsidRDefault="00011DE9">
      <w:pPr>
        <w:rPr>
          <w:noProof/>
        </w:rPr>
        <w:sectPr w:rsidR="00011DE9" w:rsidSect="00011DE9">
          <w:headerReference w:type="default" r:id="rId344"/>
          <w:footerReference w:type="default" r:id="rId345"/>
          <w:pgSz w:w="15840" w:h="12240" w:orient="landscape"/>
          <w:pgMar w:top="1440" w:right="1440" w:bottom="1440" w:left="1440" w:header="720" w:footer="720" w:gutter="0"/>
          <w:cols w:space="720"/>
          <w:docGrid w:linePitch="360"/>
        </w:sectPr>
      </w:pPr>
    </w:p>
    <w:p w14:paraId="5FE3EC16" w14:textId="4B303991" w:rsidR="00011DE9" w:rsidRDefault="00011DE9">
      <w:pPr>
        <w:spacing w:before="120" w:after="120" w:line="240" w:lineRule="auto"/>
        <w:ind w:firstLine="720"/>
        <w:jc w:val="both"/>
        <w:rPr>
          <w:rFonts w:ascii="Times New Roman" w:hAnsi="Times New Roman" w:cs="Times New Roman"/>
          <w:b/>
          <w:noProof/>
          <w:u w:val="single"/>
        </w:rPr>
      </w:pPr>
      <w:r>
        <w:rPr>
          <w:rFonts w:ascii="Times New Roman" w:hAnsi="Times New Roman"/>
          <w:b/>
          <w:noProof/>
          <w:u w:val="single"/>
        </w:rPr>
        <w:t>Y.3</w:t>
      </w:r>
      <w:r w:rsidR="00971820">
        <w:rPr>
          <w:rFonts w:ascii="Times New Roman" w:hAnsi="Times New Roman"/>
          <w:b/>
          <w:noProof/>
          <w:u w:val="single"/>
        </w:rPr>
        <w:t xml:space="preserve"> </w:t>
      </w:r>
      <w:r>
        <w:rPr>
          <w:rFonts w:ascii="Times New Roman" w:hAnsi="Times New Roman"/>
          <w:b/>
          <w:noProof/>
          <w:u w:val="single"/>
        </w:rPr>
        <w:t>Descrierea reformelor și a investițiilor pentru care se acordă sprijin sub formă de împrumut</w:t>
      </w:r>
    </w:p>
    <w:p w14:paraId="45E4ECD8" w14:textId="77777777" w:rsidR="00011DE9" w:rsidRDefault="00011DE9">
      <w:pPr>
        <w:pStyle w:val="P68B1DB1-Normal17"/>
        <w:spacing w:before="120" w:after="120" w:line="240" w:lineRule="auto"/>
        <w:jc w:val="both"/>
        <w:rPr>
          <w:rFonts w:cs="Times New Roman"/>
          <w:noProof/>
        </w:rPr>
      </w:pPr>
      <w:r>
        <w:rPr>
          <w:noProof/>
        </w:rPr>
        <w:t xml:space="preserve">Investiția 2 (C25.I2) – PERTE „Noua economie a limbii”: Informații în limba spaniolă și în alte limbi co-oficiale. </w:t>
      </w:r>
    </w:p>
    <w:p w14:paraId="7A5F0709" w14:textId="77777777" w:rsidR="00011DE9" w:rsidRDefault="00011DE9">
      <w:pPr>
        <w:pStyle w:val="P68B1DB1-Normal16"/>
        <w:spacing w:before="120" w:after="120" w:line="240" w:lineRule="auto"/>
        <w:jc w:val="both"/>
        <w:rPr>
          <w:rFonts w:cs="Times New Roman"/>
          <w:noProof/>
          <w:shd w:val="clear" w:color="auto" w:fill="E6E6E6"/>
        </w:rPr>
      </w:pPr>
      <w:r>
        <w:rPr>
          <w:noProof/>
        </w:rPr>
        <w:t>Această investiție urmărește să promoveze potențialul economic al limbilor spaniolă și co-oficială prin promovarea internaționalizării, a diseminării și a extinderii sectorului mass-media în aceste limbi. În acest scop, această investiție sprijină proiecte de digitalizare și diseminare a conținutului, precum și adoptarea de către întreprinderile din sectorul mass-mediei a unor noi instrumente tehnologice pentru gestionarea și prelucrarea conținutului în limbile spaniolă și co-oficială.</w:t>
      </w:r>
      <w:r>
        <w:rPr>
          <w:noProof/>
          <w:shd w:val="clear" w:color="auto" w:fill="E6E6E6"/>
        </w:rPr>
        <w:t xml:space="preserve"> </w:t>
      </w:r>
    </w:p>
    <w:p w14:paraId="2A9DEC0B" w14:textId="77777777" w:rsidR="00011DE9" w:rsidRDefault="00011DE9">
      <w:pPr>
        <w:pStyle w:val="P68B1DB1-Normal17"/>
        <w:spacing w:before="120" w:after="120" w:line="240" w:lineRule="auto"/>
        <w:jc w:val="both"/>
        <w:rPr>
          <w:rFonts w:cs="Times New Roman"/>
          <w:noProof/>
        </w:rPr>
      </w:pPr>
      <w:r>
        <w:rPr>
          <w:noProof/>
        </w:rPr>
        <w:t xml:space="preserve">Investiția 3 (C25.I3) – Fondul platformei audiovizuale </w:t>
      </w:r>
    </w:p>
    <w:p w14:paraId="07751A92" w14:textId="4118EFF4" w:rsidR="00011DE9" w:rsidRDefault="00011DE9">
      <w:pPr>
        <w:pStyle w:val="P68B1DB1-LegalNumPar253"/>
        <w:numPr>
          <w:ilvl w:val="1"/>
          <w:numId w:val="0"/>
        </w:numPr>
        <w:spacing w:line="240" w:lineRule="auto"/>
        <w:jc w:val="both"/>
        <w:rPr>
          <w:rFonts w:cs="Times New Roman"/>
          <w:noProof/>
          <w:sz w:val="24"/>
          <w:szCs w:val="24"/>
        </w:rPr>
      </w:pPr>
      <w:r>
        <w:rPr>
          <w:noProof/>
          <w:sz w:val="24"/>
        </w:rPr>
        <w:t>Această măsură constă într-o investiție publică într-un mecanism, Fondul platformei audiovizuale, pentru a stimula investițiile private și a îmbunătăți accesul la finanțare în proiecte legate de filme, ficțiune, televiziune, conținut, cultură digitală, precum și conținut multimedia și interactiv, cum ar fi jocurile video, experiențele imersive și efectele vizuale, printre altele, și pentru a dezvolta piețele de capital în acest domeniu. Mecanismul funcționează prin furnizarea de finanțare directă și de investiții de capital și cvasicapital, direct sau prin intermediari, către sectorul privat, precum și către entitățile din sectorul public implicate în activități similare. Pe baza investițiilor MRR, mecanismul urmărește să ofere inițial o finanțare de cel puțin</w:t>
      </w:r>
      <w:r>
        <w:rPr>
          <w:noProof/>
          <w:sz w:val="20"/>
        </w:rPr>
        <w:t xml:space="preserve"> </w:t>
      </w:r>
      <w:r>
        <w:rPr>
          <w:noProof/>
          <w:sz w:val="24"/>
        </w:rPr>
        <w:t>280</w:t>
      </w:r>
      <w:r w:rsidR="00971820">
        <w:rPr>
          <w:noProof/>
          <w:sz w:val="20"/>
        </w:rPr>
        <w:t xml:space="preserve"> </w:t>
      </w:r>
      <w:r>
        <w:rPr>
          <w:noProof/>
          <w:sz w:val="24"/>
        </w:rPr>
        <w:t xml:space="preserve">000 000 EUR. </w:t>
      </w:r>
    </w:p>
    <w:p w14:paraId="32890BD6" w14:textId="77777777" w:rsidR="00011DE9" w:rsidRDefault="00011DE9">
      <w:pPr>
        <w:pStyle w:val="P68B1DB1-Normal16"/>
        <w:spacing w:line="240" w:lineRule="auto"/>
        <w:jc w:val="both"/>
        <w:rPr>
          <w:rFonts w:cs="Times New Roman"/>
          <w:noProof/>
        </w:rPr>
      </w:pPr>
      <w:r>
        <w:rPr>
          <w:noProof/>
        </w:rPr>
        <w:t>Facilitatea este gestionată de Sociedad Española para la Transformación Tecnológica (SETT) în calitate de partener de implementare. Mecanismul include următoarele linii de produse:</w:t>
      </w:r>
    </w:p>
    <w:p w14:paraId="4E97DE71" w14:textId="77777777" w:rsidR="00011DE9" w:rsidRDefault="00011DE9">
      <w:pPr>
        <w:pStyle w:val="P68B1DB1-ListParagraph25"/>
        <w:numPr>
          <w:ilvl w:val="0"/>
          <w:numId w:val="180"/>
        </w:numPr>
        <w:spacing w:after="0" w:line="240" w:lineRule="auto"/>
        <w:jc w:val="both"/>
        <w:textAlignment w:val="baseline"/>
        <w:rPr>
          <w:rFonts w:cs="Times New Roman"/>
          <w:noProof/>
        </w:rPr>
      </w:pPr>
      <w:r>
        <w:rPr>
          <w:noProof/>
        </w:rPr>
        <w:t>Finanțarea directă a SETT: această linie va oferi împrumuturi directe întreprinderilor private (cum ar fi întreprinderile cu capitalizare medie și marile corporații) și întreprinderilor publice pentru a finanța proiecte în sectorul audiovizual. Împrumuturile sunt acordate direct de SETT și fiecare proiect cofinanțat de un investitor (investitori) privat (privați) terț (terți). Fondurile furnizate de SETT reprezintă maximum 70 % din cuantumul total al sprijinului pentru investiții. Investitorii privați acoperă cel puțin 30 % din cuantumul total al sprijinului pentru investiții. </w:t>
      </w:r>
    </w:p>
    <w:p w14:paraId="333D7CC1" w14:textId="77777777" w:rsidR="00011DE9" w:rsidRDefault="00011DE9">
      <w:pPr>
        <w:pStyle w:val="P68B1DB1-ListParagraph25"/>
        <w:numPr>
          <w:ilvl w:val="0"/>
          <w:numId w:val="180"/>
        </w:numPr>
        <w:spacing w:after="0" w:line="240" w:lineRule="auto"/>
        <w:textAlignment w:val="baseline"/>
        <w:rPr>
          <w:rFonts w:cs="Times New Roman"/>
          <w:noProof/>
        </w:rPr>
      </w:pPr>
      <w:r>
        <w:rPr>
          <w:noProof/>
        </w:rPr>
        <w:t>Investiții de capital și cvasicapital: această linie constă în furnizarea de investiții directe de capital prin intermediul SETT și/sau transferul de fonduri către fonduri de capital sau alte vehicule investiționale gestionate de intermediari financiari privați care efectuează operațiuni de investiții de capital în societăți din sectorul audiovizual. Participarea maximă a fondului nu depășește 49 % din fondurile vehiculului de investiții. Investițiile de capital efectuate de fond nu trebuie să conducă la situația în care cota de capital deținut de stat în cadrul unui beneficiar final să depășească 49 % din capitalul propriu total.</w:t>
      </w:r>
    </w:p>
    <w:p w14:paraId="58E7BA93" w14:textId="77777777" w:rsidR="00011DE9" w:rsidRDefault="00011DE9">
      <w:pPr>
        <w:pStyle w:val="ListParagraph"/>
        <w:spacing w:after="0" w:line="240" w:lineRule="auto"/>
        <w:textAlignment w:val="baseline"/>
        <w:rPr>
          <w:rFonts w:ascii="Times New Roman" w:hAnsi="Times New Roman" w:cs="Times New Roman"/>
          <w:noProof/>
        </w:rPr>
      </w:pPr>
    </w:p>
    <w:p w14:paraId="4CED77A9" w14:textId="77777777" w:rsidR="00011DE9" w:rsidRDefault="00011DE9">
      <w:pPr>
        <w:pStyle w:val="P68B1DB1-Normal16"/>
        <w:spacing w:line="240" w:lineRule="auto"/>
        <w:jc w:val="both"/>
        <w:rPr>
          <w:rFonts w:cs="Times New Roman"/>
          <w:noProof/>
        </w:rPr>
      </w:pPr>
      <w:r>
        <w:rPr>
          <w:noProof/>
        </w:rPr>
        <w:t>Pentru a pune în aplicare investiția în facilitate, Spania și SETT semnează un acord de punere în aplicare sau Spania aprobă instrumentul juridic corespunzător și documentele asociate care includ următorul conținut:</w:t>
      </w:r>
    </w:p>
    <w:p w14:paraId="4D147B91" w14:textId="77777777" w:rsidR="00011DE9" w:rsidRDefault="00011DE9">
      <w:pPr>
        <w:pStyle w:val="P68B1DB1-LegalNumPar54"/>
        <w:numPr>
          <w:ilvl w:val="0"/>
          <w:numId w:val="181"/>
        </w:numPr>
        <w:jc w:val="both"/>
        <w:rPr>
          <w:rFonts w:eastAsia="Times New Roman" w:cs="Times New Roman"/>
          <w:noProof/>
          <w:szCs w:val="24"/>
        </w:rPr>
      </w:pPr>
      <w:r>
        <w:rPr>
          <w:noProof/>
        </w:rPr>
        <w:t>Descrierea procesului decizional al instrumentului: Decizia inițială de investiție a facilității este luată de un comitet pentru investiții sau de un alt organ de conducere echivalent relevant și este aprobată cu o majoritate de voturi de către membri care sunt independenți de guvernul spaniol. Decizia finală de investiții a facilității se limitează la aprobarea (fără modificări) sau la exercitarea unui drept de veto cu privire la o decizie de investiții propusă de comitetul pentru investiții sau de organul de conducere echivalent relevant. În cazul investițiilor intermediate, decizia finală de investiție este luată de intermediari.</w:t>
      </w:r>
    </w:p>
    <w:p w14:paraId="25D5361B" w14:textId="77777777" w:rsidR="00011DE9" w:rsidRDefault="00011DE9">
      <w:pPr>
        <w:pStyle w:val="P68B1DB1-LegalNumPar54"/>
        <w:numPr>
          <w:ilvl w:val="0"/>
          <w:numId w:val="181"/>
        </w:numPr>
        <w:jc w:val="both"/>
        <w:rPr>
          <w:rFonts w:eastAsia="Times New Roman" w:cs="Times New Roman"/>
          <w:noProof/>
          <w:szCs w:val="24"/>
        </w:rPr>
      </w:pPr>
      <w:r>
        <w:rPr>
          <w:noProof/>
        </w:rPr>
        <w:t>Cerințele-cheie ale politicii de investiții asociate,</w:t>
      </w:r>
      <w:r>
        <w:rPr>
          <w:b/>
          <w:noProof/>
        </w:rPr>
        <w:t xml:space="preserve"> </w:t>
      </w:r>
      <w:r>
        <w:rPr>
          <w:noProof/>
        </w:rPr>
        <w:t>care includ:</w:t>
      </w:r>
    </w:p>
    <w:p w14:paraId="7F8967C5" w14:textId="2A08D002" w:rsidR="00011DE9" w:rsidRDefault="00011DE9">
      <w:pPr>
        <w:pStyle w:val="P68B1DB1-LegalNumPar255"/>
        <w:numPr>
          <w:ilvl w:val="1"/>
          <w:numId w:val="182"/>
        </w:numPr>
        <w:jc w:val="both"/>
        <w:rPr>
          <w:rFonts w:cs="Times New Roman"/>
          <w:noProof/>
          <w:szCs w:val="24"/>
        </w:rPr>
      </w:pPr>
      <w:r>
        <w:rPr>
          <w:noProof/>
        </w:rPr>
        <w:t>Descrierea produsului (produselor) financiar (e) și a beneficiarilor finali eligibili, în conformitate cu descrierea măsurii.</w:t>
      </w:r>
      <w:r w:rsidR="00971820">
        <w:rPr>
          <w:noProof/>
        </w:rPr>
        <w:t xml:space="preserve"> </w:t>
      </w:r>
      <w:r>
        <w:rPr>
          <w:noProof/>
        </w:rPr>
        <w:t xml:space="preserve"> </w:t>
      </w:r>
    </w:p>
    <w:p w14:paraId="555EF916" w14:textId="77777777" w:rsidR="00011DE9" w:rsidRDefault="00011DE9">
      <w:pPr>
        <w:pStyle w:val="P68B1DB1-LegalNumPar255"/>
        <w:numPr>
          <w:ilvl w:val="1"/>
          <w:numId w:val="182"/>
        </w:numPr>
        <w:jc w:val="both"/>
        <w:rPr>
          <w:rFonts w:cs="Times New Roman"/>
          <w:noProof/>
          <w:szCs w:val="24"/>
        </w:rPr>
      </w:pPr>
      <w:r>
        <w:rPr>
          <w:noProof/>
        </w:rPr>
        <w:t>Cerința ca toate investițiile care beneficiază de sprijin să fie viabile din punct de vedere economic</w:t>
      </w:r>
      <w:r>
        <w:rPr>
          <w:b/>
          <w:noProof/>
        </w:rPr>
        <w:t>.</w:t>
      </w:r>
    </w:p>
    <w:p w14:paraId="37869909" w14:textId="77777777" w:rsidR="00011DE9" w:rsidRDefault="00011DE9">
      <w:pPr>
        <w:pStyle w:val="P68B1DB1-LegalNumPar255"/>
        <w:numPr>
          <w:ilvl w:val="1"/>
          <w:numId w:val="182"/>
        </w:numPr>
        <w:jc w:val="both"/>
        <w:rPr>
          <w:rFonts w:cs="Times New Roman"/>
          <w:noProof/>
          <w:szCs w:val="24"/>
        </w:rPr>
      </w:pPr>
      <w:r>
        <w:rPr>
          <w:noProof/>
        </w:rPr>
        <w:t>Interdicția de a refinanța orice împrumut restant.</w:t>
      </w:r>
    </w:p>
    <w:p w14:paraId="41A9B228" w14:textId="77777777" w:rsidR="00011DE9" w:rsidRDefault="00011DE9">
      <w:pPr>
        <w:pStyle w:val="P68B1DB1-LegalNumPar255"/>
        <w:numPr>
          <w:ilvl w:val="1"/>
          <w:numId w:val="182"/>
        </w:numPr>
        <w:jc w:val="both"/>
        <w:rPr>
          <w:rFonts w:cs="Times New Roman"/>
          <w:noProof/>
          <w:szCs w:val="24"/>
        </w:rPr>
      </w:pPr>
      <w:r>
        <w:rPr>
          <w:noProof/>
        </w:rPr>
        <w:t>Cerința de a respecta principiul de „a nu prejudicia în mod semnificativ”, astfel cum este prevăzută în Orientările tehnice privind principiul de „a nu prejudicia în mod semnificativ” (2021/C58/01). În plus, politica de investiții impune respectarea legislației UE și naționale relevante în materie de mediu de către beneficiarii finali ai facilității.</w:t>
      </w:r>
    </w:p>
    <w:p w14:paraId="262471BD" w14:textId="77777777" w:rsidR="00011DE9" w:rsidRDefault="00011DE9">
      <w:pPr>
        <w:pStyle w:val="P68B1DB1-ListParagraph25"/>
        <w:numPr>
          <w:ilvl w:val="1"/>
          <w:numId w:val="182"/>
        </w:numPr>
        <w:spacing w:line="240" w:lineRule="auto"/>
        <w:jc w:val="both"/>
        <w:rPr>
          <w:rFonts w:cs="Times New Roman"/>
          <w:noProof/>
        </w:rPr>
      </w:pPr>
      <w:r>
        <w:rPr>
          <w:noProof/>
        </w:rPr>
        <w:t>Cerința ca beneficiarii finali ai mecanismului să nu primească sprijin din partea altor instrumente ale Uniunii pentru a acoperi aceleași costuri.</w:t>
      </w:r>
    </w:p>
    <w:p w14:paraId="5F2C24E4" w14:textId="77777777" w:rsidR="00011DE9" w:rsidRDefault="00011DE9">
      <w:pPr>
        <w:pStyle w:val="P68B1DB1-LegalNumPar54"/>
        <w:numPr>
          <w:ilvl w:val="0"/>
          <w:numId w:val="181"/>
        </w:numPr>
        <w:jc w:val="both"/>
        <w:rPr>
          <w:rFonts w:cs="Times New Roman"/>
          <w:noProof/>
          <w:szCs w:val="24"/>
        </w:rPr>
      </w:pPr>
      <w:r>
        <w:rPr>
          <w:noProof/>
        </w:rPr>
        <w:t>Suma care face obiectul acordului de punere în aplicare sau al instrumentului juridic și al documentelor asociate de instituire a mecanismului, structura comisioanelor pentru partenerul de implementare și cerința de a reinvesti orice restituiri în conformitate cu politica de investiții a mecanismului, cu excepția cazului în care acestea sunt utilizate pentru a rambursa împrumuturile din cadrul Mecanismului de redresare și reziliență.</w:t>
      </w:r>
    </w:p>
    <w:p w14:paraId="3B9038BD" w14:textId="77777777" w:rsidR="00011DE9" w:rsidRDefault="00011DE9">
      <w:pPr>
        <w:pStyle w:val="P68B1DB1-ListParagraph25"/>
        <w:numPr>
          <w:ilvl w:val="0"/>
          <w:numId w:val="181"/>
        </w:numPr>
        <w:spacing w:line="240" w:lineRule="auto"/>
        <w:jc w:val="both"/>
        <w:rPr>
          <w:rFonts w:cs="Times New Roman"/>
          <w:noProof/>
        </w:rPr>
      </w:pPr>
      <w:r>
        <w:rPr>
          <w:noProof/>
        </w:rPr>
        <w:t>Cerințe de monitorizare, audit și control, inclusiv:</w:t>
      </w:r>
    </w:p>
    <w:p w14:paraId="26DD7271" w14:textId="77777777" w:rsidR="00011DE9" w:rsidRDefault="00011DE9">
      <w:pPr>
        <w:pStyle w:val="P68B1DB1-ListParagraph25"/>
        <w:numPr>
          <w:ilvl w:val="0"/>
          <w:numId w:val="183"/>
        </w:numPr>
        <w:spacing w:line="240" w:lineRule="auto"/>
        <w:jc w:val="both"/>
        <w:rPr>
          <w:rFonts w:cs="Times New Roman"/>
          <w:noProof/>
        </w:rPr>
      </w:pPr>
      <w:r>
        <w:rPr>
          <w:noProof/>
        </w:rPr>
        <w:t>Descrierea sistemului de monitorizare al partenerului de implementare pentru raportarea cu privire la investițiile mobilizate.</w:t>
      </w:r>
    </w:p>
    <w:p w14:paraId="187C3358" w14:textId="77777777" w:rsidR="00011DE9" w:rsidRDefault="00011DE9">
      <w:pPr>
        <w:pStyle w:val="P68B1DB1-ListParagraph25"/>
        <w:numPr>
          <w:ilvl w:val="0"/>
          <w:numId w:val="183"/>
        </w:numPr>
        <w:spacing w:line="240" w:lineRule="auto"/>
        <w:jc w:val="both"/>
        <w:rPr>
          <w:rFonts w:cs="Times New Roman"/>
          <w:noProof/>
        </w:rPr>
      </w:pPr>
      <w:r>
        <w:rPr>
          <w:noProof/>
        </w:rPr>
        <w:t>Descrierea procedurilor partenerului de implementare care vor asigura prevenirea, detectarea și corectarea fraudei, a corupției și a conflictelor de interese.</w:t>
      </w:r>
    </w:p>
    <w:p w14:paraId="6FCA65B9" w14:textId="77777777" w:rsidR="00011DE9" w:rsidRDefault="00011DE9">
      <w:pPr>
        <w:pStyle w:val="P68B1DB1-ListParagraph25"/>
        <w:numPr>
          <w:ilvl w:val="0"/>
          <w:numId w:val="183"/>
        </w:numPr>
        <w:spacing w:line="240" w:lineRule="auto"/>
        <w:jc w:val="both"/>
        <w:rPr>
          <w:rFonts w:cs="Times New Roman"/>
          <w:noProof/>
        </w:rPr>
      </w:pPr>
      <w:r>
        <w:rPr>
          <w:noProof/>
        </w:rPr>
        <w:t>Obligația de a verifica eligibilitatea fiecărei operațiuni în conformitate cu cerințele prevăzute în acordul de punere în aplicare înainte de a se angaja să finanțeze o operațiune.</w:t>
      </w:r>
    </w:p>
    <w:p w14:paraId="42AD513C" w14:textId="77777777" w:rsidR="00011DE9" w:rsidRDefault="00011DE9">
      <w:pPr>
        <w:pStyle w:val="ListParagraph"/>
        <w:numPr>
          <w:ilvl w:val="0"/>
          <w:numId w:val="183"/>
        </w:numPr>
        <w:spacing w:line="240" w:lineRule="auto"/>
        <w:jc w:val="both"/>
        <w:rPr>
          <w:rFonts w:ascii="Times New Roman" w:hAnsi="Times New Roman" w:cs="Times New Roman"/>
          <w:noProof/>
        </w:rPr>
      </w:pPr>
      <w:r>
        <w:rPr>
          <w:rFonts w:ascii="Times New Roman" w:hAnsi="Times New Roman"/>
          <w:noProof/>
        </w:rPr>
        <w:t>Obligația de a efectua audituri ex post bazate pe riscuri, în conformitate cu un plan de audit al SETT. Aceste audituri verifică i) dacă sistemele de control sunt eficace, inclusiv detectarea fraudei, a corupției și a conflictelor de interese; respectarea principiului DNSH, a normelor privind ajutoarele de stat și a cerințelor privind țintele digitale; și iii) respectarea cerinței ca intermediarul să verifice dacă beneficiarul final prezintă o declarație responsabilă pentru a verifica dacă același cost este acoperit de un alt instrument al Uniunii. Auditurile verifică, de asemenea, legalitatea tranzacțiilor și respectarea condițiilor din acordul de punere în aplicare și din acordurile de finanțare aplicabile,</w:t>
      </w:r>
      <w:r>
        <w:rPr>
          <w:noProof/>
        </w:rPr>
        <w:t xml:space="preserve"> </w:t>
      </w:r>
      <w:r>
        <w:rPr>
          <w:rFonts w:ascii="Times New Roman" w:hAnsi="Times New Roman"/>
          <w:noProof/>
        </w:rPr>
        <w:t>inclusiv prin utilizarea unei liste de declarații pozitive și/sau a unor declarații pe propria răspundere pentru operațiunile cu o valoare mai mică de</w:t>
      </w:r>
      <w:r>
        <w:rPr>
          <w:rFonts w:ascii="Times New Roman" w:hAnsi="Times New Roman"/>
          <w:noProof/>
          <w:sz w:val="20"/>
        </w:rPr>
        <w:t xml:space="preserve"> </w:t>
      </w:r>
      <w:r>
        <w:rPr>
          <w:rFonts w:ascii="Times New Roman" w:hAnsi="Times New Roman"/>
          <w:noProof/>
        </w:rPr>
        <w:t>10</w:t>
      </w:r>
      <w:r>
        <w:rPr>
          <w:rFonts w:ascii="Times New Roman" w:hAnsi="Times New Roman"/>
          <w:noProof/>
          <w:sz w:val="20"/>
        </w:rPr>
        <w:t xml:space="preserve"> </w:t>
      </w:r>
      <w:r>
        <w:rPr>
          <w:rFonts w:ascii="Times New Roman" w:hAnsi="Times New Roman"/>
          <w:noProof/>
        </w:rPr>
        <w:t>000</w:t>
      </w:r>
      <w:r>
        <w:rPr>
          <w:rFonts w:ascii="Times New Roman" w:hAnsi="Times New Roman"/>
          <w:noProof/>
          <w:sz w:val="20"/>
        </w:rPr>
        <w:t xml:space="preserve"> </w:t>
      </w:r>
      <w:r>
        <w:rPr>
          <w:rFonts w:ascii="Times New Roman" w:hAnsi="Times New Roman"/>
          <w:noProof/>
        </w:rPr>
        <w:t>000 EUR, înainte de a se angaja să finanțeze o operațiune.</w:t>
      </w:r>
    </w:p>
    <w:p w14:paraId="0E123B59" w14:textId="77777777" w:rsidR="00011DE9" w:rsidRDefault="00011DE9">
      <w:pPr>
        <w:pStyle w:val="ListParagraph"/>
        <w:numPr>
          <w:ilvl w:val="0"/>
          <w:numId w:val="181"/>
        </w:numPr>
        <w:spacing w:line="240" w:lineRule="auto"/>
        <w:jc w:val="both"/>
        <w:rPr>
          <w:rFonts w:ascii="Times New Roman" w:hAnsi="Times New Roman" w:cs="Times New Roman"/>
          <w:noProof/>
        </w:rPr>
      </w:pPr>
      <w:r>
        <w:rPr>
          <w:rFonts w:ascii="Times New Roman" w:hAnsi="Times New Roman"/>
          <w:noProof/>
        </w:rPr>
        <w:t>Cerințe pentru investițiile digitale efectuate de partenerul de implementare: cel puțin</w:t>
      </w:r>
      <w:r>
        <w:rPr>
          <w:rFonts w:ascii="Times New Roman" w:hAnsi="Times New Roman"/>
          <w:noProof/>
          <w:sz w:val="20"/>
          <w:szCs w:val="20"/>
        </w:rPr>
        <w:t xml:space="preserve"> </w:t>
      </w:r>
      <w:r>
        <w:rPr>
          <w:rFonts w:ascii="Times New Roman" w:hAnsi="Times New Roman"/>
          <w:noProof/>
        </w:rPr>
        <w:t>280</w:t>
      </w:r>
      <w:r>
        <w:rPr>
          <w:rFonts w:ascii="Times New Roman" w:hAnsi="Times New Roman"/>
          <w:noProof/>
          <w:sz w:val="20"/>
          <w:szCs w:val="20"/>
        </w:rPr>
        <w:t xml:space="preserve"> </w:t>
      </w:r>
      <w:r>
        <w:rPr>
          <w:rFonts w:ascii="Times New Roman" w:hAnsi="Times New Roman"/>
          <w:noProof/>
        </w:rPr>
        <w:t>000</w:t>
      </w:r>
      <w:r>
        <w:rPr>
          <w:rFonts w:ascii="Times New Roman" w:hAnsi="Times New Roman"/>
          <w:noProof/>
          <w:sz w:val="20"/>
          <w:szCs w:val="20"/>
        </w:rPr>
        <w:t xml:space="preserve"> </w:t>
      </w:r>
      <w:r>
        <w:rPr>
          <w:rFonts w:ascii="Times New Roman" w:hAnsi="Times New Roman"/>
          <w:noProof/>
        </w:rPr>
        <w:t>000 EUR din investiția MRR în mecanism contribuie la obiectivele digitale în conformitate cu anexa VII la Regulamentul privind MRR</w:t>
      </w:r>
      <w:r>
        <w:rPr>
          <w:rStyle w:val="FootnoteReference"/>
          <w:rFonts w:ascii="Times New Roman" w:hAnsi="Times New Roman" w:cs="Times New Roman"/>
          <w:noProof/>
        </w:rPr>
        <w:footnoteReference w:id="144"/>
      </w:r>
      <w:r>
        <w:rPr>
          <w:rFonts w:ascii="Times New Roman" w:hAnsi="Times New Roman"/>
          <w:noProof/>
        </w:rPr>
        <w:t>.</w:t>
      </w:r>
    </w:p>
    <w:p w14:paraId="6C7B82EC" w14:textId="77777777" w:rsidR="00011DE9" w:rsidRDefault="00011DE9">
      <w:pPr>
        <w:pStyle w:val="P68B1DB1-ListParagraph25"/>
        <w:numPr>
          <w:ilvl w:val="0"/>
          <w:numId w:val="181"/>
        </w:numPr>
        <w:spacing w:line="259" w:lineRule="auto"/>
        <w:rPr>
          <w:rFonts w:cs="Times New Roman"/>
          <w:noProof/>
        </w:rPr>
      </w:pPr>
      <w:r>
        <w:rPr>
          <w:noProof/>
        </w:rPr>
        <w:t xml:space="preserve">Cerințe pentru selectarea intermediarilor financiari: SETT selectează intermediarii financiari în mod deschis, transparent și nediscriminatoriu. Controalele privind absența conflictelor de interese în ceea ce privește intermediarii financiari au loc și se efectuează ex ante prin intermediul unui sistem informatic, cum ar fi Minerva, pentru toți actorii financiari implicați. </w:t>
      </w:r>
    </w:p>
    <w:p w14:paraId="595A7D69" w14:textId="77777777" w:rsidR="00011DE9" w:rsidRDefault="00011DE9">
      <w:pPr>
        <w:pStyle w:val="P68B1DB1-ListParagraph25"/>
        <w:numPr>
          <w:ilvl w:val="0"/>
          <w:numId w:val="181"/>
        </w:numPr>
        <w:spacing w:line="240" w:lineRule="auto"/>
        <w:jc w:val="both"/>
        <w:rPr>
          <w:rFonts w:cs="Times New Roman"/>
          <w:noProof/>
        </w:rPr>
      </w:pPr>
      <w:r>
        <w:rPr>
          <w:noProof/>
        </w:rPr>
        <w:t xml:space="preserve">Cerința de a semna acorduri de finanțare: SETT semnează acorduri de finanțare cu intermediarii financiari în conformitate cu cerințele-cheie care sunt furnizate ca anexă la acordul de punere în aplicare sau la instrumentul juridic și documentele asociate de instituire a mecanismului. Cerințele-cheie ale acordului de finanțare includ toate cerințele în temeiul cărora funcționează mecanismul, inclusiv: </w:t>
      </w:r>
    </w:p>
    <w:p w14:paraId="7F8A11B6" w14:textId="77777777" w:rsidR="00011DE9" w:rsidRDefault="00011DE9">
      <w:pPr>
        <w:pStyle w:val="P68B1DB1-Normal16"/>
        <w:numPr>
          <w:ilvl w:val="0"/>
          <w:numId w:val="184"/>
        </w:numPr>
        <w:spacing w:line="240" w:lineRule="auto"/>
        <w:jc w:val="both"/>
        <w:rPr>
          <w:rFonts w:cs="Times New Roman"/>
          <w:noProof/>
        </w:rPr>
      </w:pPr>
      <w:r>
        <w:rPr>
          <w:noProof/>
        </w:rPr>
        <w:t xml:space="preserve">Obligația intermediarului financiar de a lua decizii în conformitate </w:t>
      </w:r>
      <w:r>
        <w:rPr>
          <w:i/>
          <w:noProof/>
        </w:rPr>
        <w:t>mutatis mutandis</w:t>
      </w:r>
      <w:r>
        <w:rPr>
          <w:noProof/>
        </w:rPr>
        <w:t xml:space="preserve"> cu cerințele de luare a deciziilor și de politică de investiții specificate mai sus, inclusiv în ceea ce privește respectarea principiului DNSH.</w:t>
      </w:r>
    </w:p>
    <w:p w14:paraId="6ED67AE2" w14:textId="77777777" w:rsidR="00011DE9" w:rsidRDefault="00011DE9">
      <w:pPr>
        <w:pStyle w:val="P68B1DB1-Normal16"/>
        <w:numPr>
          <w:ilvl w:val="0"/>
          <w:numId w:val="184"/>
        </w:numPr>
        <w:spacing w:line="240" w:lineRule="auto"/>
        <w:jc w:val="both"/>
        <w:rPr>
          <w:rFonts w:cs="Times New Roman"/>
          <w:noProof/>
        </w:rPr>
      </w:pPr>
      <w:r>
        <w:rPr>
          <w:noProof/>
        </w:rPr>
        <w:t xml:space="preserve">Descrierea cadrului de monitorizare, audit și control pe care intermediarul financiar trebuie să îl instituie și care, </w:t>
      </w:r>
      <w:r>
        <w:rPr>
          <w:i/>
          <w:noProof/>
        </w:rPr>
        <w:t>mutatis mutandis</w:t>
      </w:r>
      <w:r>
        <w:rPr>
          <w:noProof/>
        </w:rPr>
        <w:t xml:space="preserve">, face obiectul tuturor cerințelor de monitorizare, audit și control specificate mai sus. </w:t>
      </w:r>
    </w:p>
    <w:p w14:paraId="35353566" w14:textId="14ACAE7D" w:rsidR="00011DE9" w:rsidRDefault="00011DE9">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Y.4.</w:t>
      </w:r>
      <w:r w:rsidR="00971820">
        <w:rPr>
          <w:rFonts w:ascii="Times New Roman" w:hAnsi="Times New Roman"/>
          <w:b/>
          <w:noProof/>
          <w:u w:val="single"/>
        </w:rPr>
        <w:t xml:space="preserve"> </w:t>
      </w:r>
      <w:r>
        <w:rPr>
          <w:rFonts w:ascii="Times New Roman" w:hAnsi="Times New Roman"/>
          <w:b/>
          <w:noProof/>
          <w:u w:val="single"/>
        </w:rPr>
        <w:t>Jaloane, ținte, indicatori și calendarul de monitorizare și punere în aplicare pentru sprijinul sub formă de împrumut</w:t>
      </w:r>
    </w:p>
    <w:p w14:paraId="554E694A" w14:textId="77777777" w:rsidR="00011DE9" w:rsidRDefault="00011DE9">
      <w:pPr>
        <w:pStyle w:val="P68B1DB1-Normal16"/>
        <w:spacing w:before="120" w:after="120" w:line="240" w:lineRule="auto"/>
        <w:jc w:val="both"/>
        <w:rPr>
          <w:rFonts w:cs="Times New Roman"/>
          <w:noProof/>
          <w:u w:val="single"/>
        </w:rPr>
      </w:pPr>
      <w:r>
        <w:rPr>
          <w:i/>
          <w:noProof/>
        </w:rPr>
        <w:t>A se vedea tabelul de mai jos.</w:t>
      </w:r>
      <w:r>
        <w:rPr>
          <w:noProof/>
        </w:rPr>
        <w:t xml:space="preserve"> </w:t>
      </w:r>
      <w:r>
        <w:rPr>
          <w:i/>
          <w:noProof/>
        </w:rPr>
        <w:t>Data de referință pentru toți indicatorii este începutul acțiunii, cu excepția cazului în care se indică altfel în descrierea acțiunii. Sumele din tabel nu includ TVA în legătură cu măsura C25.I2.</w:t>
      </w:r>
    </w:p>
    <w:p w14:paraId="3C2A108D" w14:textId="77777777" w:rsidR="00011DE9" w:rsidRDefault="00011DE9">
      <w:pPr>
        <w:spacing w:before="120" w:after="120" w:line="240" w:lineRule="auto"/>
        <w:jc w:val="both"/>
        <w:rPr>
          <w:rFonts w:ascii="Times New Roman" w:hAnsi="Times New Roman" w:cs="Times New Roman"/>
          <w:noProof/>
          <w:u w:val="single"/>
        </w:rPr>
      </w:pPr>
    </w:p>
    <w:p w14:paraId="34C9D4CE" w14:textId="77777777" w:rsidR="00011DE9" w:rsidRDefault="00011DE9">
      <w:pPr>
        <w:pStyle w:val="Text1"/>
        <w:ind w:left="0"/>
        <w:rPr>
          <w:rFonts w:ascii="Times New Roman" w:hAnsi="Times New Roman" w:cs="Times New Roman"/>
          <w:noProof/>
          <w:szCs w:val="24"/>
        </w:rPr>
        <w:sectPr w:rsidR="00011DE9" w:rsidSect="00011DE9">
          <w:headerReference w:type="even" r:id="rId346"/>
          <w:headerReference w:type="default" r:id="rId347"/>
          <w:footerReference w:type="even" r:id="rId348"/>
          <w:footerReference w:type="default" r:id="rId349"/>
          <w:headerReference w:type="first" r:id="rId350"/>
          <w:footerReference w:type="first" r:id="rId351"/>
          <w:pgSz w:w="11907" w:h="16839"/>
          <w:pgMar w:top="1134" w:right="1134" w:bottom="1134" w:left="1134" w:header="567" w:footer="567" w:gutter="0"/>
          <w:cols w:space="720"/>
          <w:docGrid w:linePitch="360"/>
        </w:sectPr>
      </w:pPr>
    </w:p>
    <w:tbl>
      <w:tblPr>
        <w:tblW w:w="14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11"/>
        <w:gridCol w:w="733"/>
        <w:gridCol w:w="828"/>
        <w:gridCol w:w="2084"/>
        <w:gridCol w:w="1093"/>
        <w:gridCol w:w="726"/>
        <w:gridCol w:w="965"/>
        <w:gridCol w:w="665"/>
        <w:gridCol w:w="605"/>
        <w:gridCol w:w="514"/>
        <w:gridCol w:w="6069"/>
      </w:tblGrid>
      <w:tr w:rsidR="00011DE9" w14:paraId="1085D14B" w14:textId="77777777">
        <w:trPr>
          <w:trHeight w:val="309"/>
          <w:tblHeader/>
          <w:jc w:val="center"/>
        </w:trPr>
        <w:tc>
          <w:tcPr>
            <w:tcW w:w="711" w:type="dxa"/>
            <w:vMerge w:val="restart"/>
            <w:shd w:val="clear" w:color="auto" w:fill="B7D4EF" w:themeFill="text2" w:themeFillTint="33"/>
            <w:noWrap/>
            <w:vAlign w:val="center"/>
          </w:tcPr>
          <w:p w14:paraId="3DF5A5AC" w14:textId="77777777" w:rsidR="00011DE9" w:rsidRDefault="00011DE9">
            <w:pPr>
              <w:pStyle w:val="P68B1DB1-Normal18"/>
              <w:spacing w:after="0" w:line="240" w:lineRule="auto"/>
              <w:jc w:val="center"/>
              <w:rPr>
                <w:rFonts w:cs="Times New Roman"/>
                <w:noProof/>
                <w:szCs w:val="18"/>
              </w:rPr>
            </w:pPr>
            <w:r>
              <w:rPr>
                <w:noProof/>
              </w:rPr>
              <w:t>Număr</w:t>
            </w:r>
          </w:p>
        </w:tc>
        <w:tc>
          <w:tcPr>
            <w:tcW w:w="733" w:type="dxa"/>
            <w:vMerge w:val="restart"/>
            <w:shd w:val="clear" w:color="auto" w:fill="B7D4EF" w:themeFill="text2" w:themeFillTint="33"/>
            <w:noWrap/>
            <w:vAlign w:val="center"/>
          </w:tcPr>
          <w:p w14:paraId="13E1923A" w14:textId="77777777" w:rsidR="00011DE9" w:rsidRDefault="00011DE9">
            <w:pPr>
              <w:pStyle w:val="P68B1DB1-Normal18"/>
              <w:spacing w:after="0" w:line="240" w:lineRule="auto"/>
              <w:jc w:val="center"/>
              <w:rPr>
                <w:rFonts w:cs="Times New Roman"/>
                <w:noProof/>
                <w:szCs w:val="18"/>
              </w:rPr>
            </w:pPr>
            <w:r>
              <w:rPr>
                <w:noProof/>
              </w:rPr>
              <w:t>Măsură</w:t>
            </w:r>
          </w:p>
        </w:tc>
        <w:tc>
          <w:tcPr>
            <w:tcW w:w="828" w:type="dxa"/>
            <w:vMerge w:val="restart"/>
            <w:shd w:val="clear" w:color="auto" w:fill="B7D4EF" w:themeFill="text2" w:themeFillTint="33"/>
            <w:noWrap/>
            <w:vAlign w:val="center"/>
          </w:tcPr>
          <w:p w14:paraId="4FB36D46" w14:textId="2C6B0DF2" w:rsidR="00011DE9" w:rsidRDefault="00011DE9">
            <w:pPr>
              <w:spacing w:after="0" w:line="240" w:lineRule="auto"/>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2084" w:type="dxa"/>
            <w:vMerge w:val="restart"/>
            <w:shd w:val="clear" w:color="auto" w:fill="B7D4EF" w:themeFill="text2" w:themeFillTint="33"/>
            <w:noWrap/>
            <w:vAlign w:val="center"/>
          </w:tcPr>
          <w:p w14:paraId="3173E4BB" w14:textId="77777777" w:rsidR="00011DE9" w:rsidRDefault="00011DE9">
            <w:pPr>
              <w:pStyle w:val="P68B1DB1-Normal18"/>
              <w:spacing w:after="0" w:line="240" w:lineRule="auto"/>
              <w:jc w:val="center"/>
              <w:rPr>
                <w:rFonts w:cs="Times New Roman"/>
                <w:noProof/>
                <w:szCs w:val="18"/>
              </w:rPr>
            </w:pPr>
            <w:r>
              <w:rPr>
                <w:noProof/>
              </w:rPr>
              <w:t>Nume</w:t>
            </w:r>
          </w:p>
        </w:tc>
        <w:tc>
          <w:tcPr>
            <w:tcW w:w="1093" w:type="dxa"/>
            <w:vMerge w:val="restart"/>
            <w:shd w:val="clear" w:color="auto" w:fill="B7D4EF" w:themeFill="text2" w:themeFillTint="33"/>
            <w:noWrap/>
            <w:vAlign w:val="center"/>
          </w:tcPr>
          <w:p w14:paraId="461AACA8" w14:textId="77777777" w:rsidR="00011DE9" w:rsidRDefault="00011DE9">
            <w:pPr>
              <w:pStyle w:val="P68B1DB1-Normal18"/>
              <w:spacing w:after="0" w:line="240" w:lineRule="auto"/>
              <w:jc w:val="center"/>
              <w:rPr>
                <w:rFonts w:cs="Times New Roman"/>
                <w:noProof/>
                <w:szCs w:val="18"/>
              </w:rPr>
            </w:pPr>
            <w:r>
              <w:rPr>
                <w:noProof/>
              </w:rPr>
              <w:t>Indicator calitativ pentru jaloane</w:t>
            </w:r>
          </w:p>
        </w:tc>
        <w:tc>
          <w:tcPr>
            <w:tcW w:w="2356" w:type="dxa"/>
            <w:gridSpan w:val="3"/>
            <w:shd w:val="clear" w:color="auto" w:fill="B7D4EF" w:themeFill="text2" w:themeFillTint="33"/>
            <w:noWrap/>
            <w:vAlign w:val="center"/>
          </w:tcPr>
          <w:p w14:paraId="085E70E4" w14:textId="77777777" w:rsidR="00011DE9" w:rsidRDefault="00011DE9">
            <w:pPr>
              <w:pStyle w:val="P68B1DB1-Normal18"/>
              <w:spacing w:after="0" w:line="240" w:lineRule="auto"/>
              <w:jc w:val="center"/>
              <w:rPr>
                <w:rFonts w:cs="Times New Roman"/>
                <w:noProof/>
                <w:szCs w:val="18"/>
              </w:rPr>
            </w:pPr>
            <w:r>
              <w:rPr>
                <w:noProof/>
              </w:rPr>
              <w:t>Indicator cantitativ pentru ținte</w:t>
            </w:r>
          </w:p>
        </w:tc>
        <w:tc>
          <w:tcPr>
            <w:tcW w:w="1119" w:type="dxa"/>
            <w:gridSpan w:val="2"/>
            <w:shd w:val="clear" w:color="auto" w:fill="B7D4EF" w:themeFill="text2" w:themeFillTint="33"/>
            <w:noWrap/>
            <w:vAlign w:val="center"/>
          </w:tcPr>
          <w:p w14:paraId="2A1D95B9" w14:textId="77777777" w:rsidR="00011DE9" w:rsidRDefault="00011DE9">
            <w:pPr>
              <w:pStyle w:val="P68B1DB1-Normal18"/>
              <w:spacing w:after="0" w:line="240" w:lineRule="auto"/>
              <w:jc w:val="center"/>
              <w:rPr>
                <w:rFonts w:cs="Times New Roman"/>
                <w:noProof/>
                <w:szCs w:val="18"/>
              </w:rPr>
            </w:pPr>
            <w:r>
              <w:rPr>
                <w:noProof/>
              </w:rPr>
              <w:t>Timp</w:t>
            </w:r>
          </w:p>
        </w:tc>
        <w:tc>
          <w:tcPr>
            <w:tcW w:w="6069" w:type="dxa"/>
            <w:vMerge w:val="restart"/>
            <w:shd w:val="clear" w:color="auto" w:fill="B7D4EF" w:themeFill="text2" w:themeFillTint="33"/>
            <w:noWrap/>
            <w:vAlign w:val="center"/>
          </w:tcPr>
          <w:p w14:paraId="4C05AB34" w14:textId="77777777" w:rsidR="00011DE9" w:rsidRDefault="00011DE9">
            <w:pPr>
              <w:pStyle w:val="P68B1DB1-Normal18"/>
              <w:spacing w:after="0" w:line="240" w:lineRule="auto"/>
              <w:jc w:val="center"/>
              <w:rPr>
                <w:rFonts w:cs="Times New Roman"/>
                <w:noProof/>
                <w:szCs w:val="18"/>
              </w:rPr>
            </w:pPr>
            <w:r>
              <w:rPr>
                <w:noProof/>
              </w:rPr>
              <w:t>Descrierea fiecărui jalon și a fiecărei ținte</w:t>
            </w:r>
          </w:p>
        </w:tc>
      </w:tr>
      <w:tr w:rsidR="00011DE9" w14:paraId="652FA5F8" w14:textId="77777777">
        <w:trPr>
          <w:trHeight w:val="309"/>
          <w:tblHeader/>
          <w:jc w:val="center"/>
        </w:trPr>
        <w:tc>
          <w:tcPr>
            <w:tcW w:w="711" w:type="dxa"/>
            <w:vMerge/>
            <w:noWrap/>
          </w:tcPr>
          <w:p w14:paraId="78BAF732" w14:textId="77777777" w:rsidR="00011DE9" w:rsidRDefault="00011DE9">
            <w:pPr>
              <w:spacing w:after="0" w:line="240" w:lineRule="auto"/>
              <w:jc w:val="center"/>
              <w:rPr>
                <w:rFonts w:ascii="Times New Roman" w:hAnsi="Times New Roman" w:cs="Times New Roman"/>
                <w:b/>
                <w:noProof/>
                <w:sz w:val="18"/>
                <w:szCs w:val="18"/>
              </w:rPr>
            </w:pPr>
          </w:p>
        </w:tc>
        <w:tc>
          <w:tcPr>
            <w:tcW w:w="733" w:type="dxa"/>
            <w:vMerge/>
            <w:noWrap/>
          </w:tcPr>
          <w:p w14:paraId="37AA27E9" w14:textId="77777777" w:rsidR="00011DE9" w:rsidRDefault="00011DE9">
            <w:pPr>
              <w:spacing w:after="0" w:line="240" w:lineRule="auto"/>
              <w:jc w:val="center"/>
              <w:rPr>
                <w:rFonts w:ascii="Times New Roman" w:hAnsi="Times New Roman" w:cs="Times New Roman"/>
                <w:b/>
                <w:noProof/>
                <w:sz w:val="18"/>
                <w:szCs w:val="18"/>
              </w:rPr>
            </w:pPr>
          </w:p>
        </w:tc>
        <w:tc>
          <w:tcPr>
            <w:tcW w:w="828" w:type="dxa"/>
            <w:vMerge/>
            <w:noWrap/>
          </w:tcPr>
          <w:p w14:paraId="15C9DB1B" w14:textId="77777777" w:rsidR="00011DE9" w:rsidRDefault="00011DE9">
            <w:pPr>
              <w:spacing w:after="0" w:line="240" w:lineRule="auto"/>
              <w:jc w:val="center"/>
              <w:rPr>
                <w:rFonts w:ascii="Times New Roman" w:hAnsi="Times New Roman" w:cs="Times New Roman"/>
                <w:b/>
                <w:noProof/>
                <w:sz w:val="18"/>
                <w:szCs w:val="18"/>
              </w:rPr>
            </w:pPr>
          </w:p>
        </w:tc>
        <w:tc>
          <w:tcPr>
            <w:tcW w:w="2084" w:type="dxa"/>
            <w:vMerge/>
            <w:noWrap/>
          </w:tcPr>
          <w:p w14:paraId="7BE75CE4" w14:textId="77777777" w:rsidR="00011DE9" w:rsidRDefault="00011DE9">
            <w:pPr>
              <w:spacing w:after="0" w:line="240" w:lineRule="auto"/>
              <w:rPr>
                <w:rFonts w:ascii="Times New Roman" w:hAnsi="Times New Roman" w:cs="Times New Roman"/>
                <w:b/>
                <w:noProof/>
                <w:sz w:val="18"/>
                <w:szCs w:val="18"/>
              </w:rPr>
            </w:pPr>
          </w:p>
        </w:tc>
        <w:tc>
          <w:tcPr>
            <w:tcW w:w="1093" w:type="dxa"/>
            <w:vMerge/>
            <w:noWrap/>
          </w:tcPr>
          <w:p w14:paraId="75E39EF8" w14:textId="77777777" w:rsidR="00011DE9" w:rsidRDefault="00011DE9">
            <w:pPr>
              <w:spacing w:after="0" w:line="240" w:lineRule="auto"/>
              <w:jc w:val="center"/>
              <w:rPr>
                <w:rFonts w:ascii="Times New Roman" w:hAnsi="Times New Roman" w:cs="Times New Roman"/>
                <w:b/>
                <w:noProof/>
                <w:sz w:val="18"/>
                <w:szCs w:val="18"/>
              </w:rPr>
            </w:pPr>
          </w:p>
        </w:tc>
        <w:tc>
          <w:tcPr>
            <w:tcW w:w="726" w:type="dxa"/>
            <w:tcBorders>
              <w:top w:val="single" w:sz="4" w:space="0" w:color="auto"/>
              <w:bottom w:val="single" w:sz="4" w:space="0" w:color="auto"/>
              <w:right w:val="single" w:sz="4" w:space="0" w:color="auto"/>
            </w:tcBorders>
            <w:shd w:val="clear" w:color="auto" w:fill="B7D4EF" w:themeFill="text2" w:themeFillTint="33"/>
            <w:noWrap/>
            <w:vAlign w:val="center"/>
          </w:tcPr>
          <w:p w14:paraId="385691F2" w14:textId="77777777" w:rsidR="00011DE9" w:rsidRDefault="00011DE9">
            <w:pPr>
              <w:pStyle w:val="P68B1DB1-Normal18"/>
              <w:spacing w:after="0" w:line="240" w:lineRule="auto"/>
              <w:jc w:val="center"/>
              <w:rPr>
                <w:rFonts w:cs="Times New Roman"/>
                <w:noProof/>
                <w:szCs w:val="18"/>
              </w:rPr>
            </w:pPr>
            <w:r>
              <w:rPr>
                <w:noProof/>
              </w:rPr>
              <w:t>Unitate</w:t>
            </w:r>
          </w:p>
        </w:tc>
        <w:tc>
          <w:tcPr>
            <w:tcW w:w="965"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6C29C282" w14:textId="77777777" w:rsidR="00011DE9" w:rsidRDefault="00011DE9">
            <w:pPr>
              <w:pStyle w:val="P68B1DB1-Normal18"/>
              <w:spacing w:after="0" w:line="240" w:lineRule="auto"/>
              <w:jc w:val="center"/>
              <w:rPr>
                <w:rFonts w:cs="Times New Roman"/>
                <w:noProof/>
                <w:szCs w:val="18"/>
              </w:rPr>
            </w:pPr>
            <w:r>
              <w:rPr>
                <w:noProof/>
              </w:rPr>
              <w:t>Situația de referință</w:t>
            </w:r>
          </w:p>
        </w:tc>
        <w:tc>
          <w:tcPr>
            <w:tcW w:w="665"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1917EE03" w14:textId="77777777" w:rsidR="00011DE9" w:rsidRDefault="00011DE9">
            <w:pPr>
              <w:pStyle w:val="P68B1DB1-Normal18"/>
              <w:spacing w:after="0" w:line="240" w:lineRule="auto"/>
              <w:jc w:val="center"/>
              <w:rPr>
                <w:rFonts w:cs="Times New Roman"/>
                <w:noProof/>
                <w:szCs w:val="18"/>
              </w:rPr>
            </w:pPr>
            <w:r>
              <w:rPr>
                <w:noProof/>
              </w:rPr>
              <w:t>Obiectiv</w:t>
            </w:r>
          </w:p>
        </w:tc>
        <w:tc>
          <w:tcPr>
            <w:tcW w:w="605" w:type="dxa"/>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tcPr>
          <w:p w14:paraId="4612BB70" w14:textId="6AAC3189" w:rsidR="00011DE9" w:rsidRDefault="003010A3">
            <w:pPr>
              <w:pStyle w:val="P68B1DB1-Normal18"/>
              <w:spacing w:after="0" w:line="240" w:lineRule="auto"/>
              <w:jc w:val="center"/>
              <w:rPr>
                <w:rFonts w:cs="Times New Roman"/>
                <w:noProof/>
                <w:szCs w:val="18"/>
              </w:rPr>
            </w:pPr>
            <w:r>
              <w:rPr>
                <w:noProof/>
              </w:rPr>
              <w:t>T</w:t>
            </w:r>
          </w:p>
        </w:tc>
        <w:tc>
          <w:tcPr>
            <w:tcW w:w="514" w:type="dxa"/>
            <w:tcBorders>
              <w:top w:val="single" w:sz="4" w:space="0" w:color="auto"/>
              <w:left w:val="single" w:sz="4" w:space="0" w:color="auto"/>
              <w:bottom w:val="single" w:sz="4" w:space="0" w:color="auto"/>
            </w:tcBorders>
            <w:shd w:val="clear" w:color="auto" w:fill="B7D4EF" w:themeFill="text2" w:themeFillTint="33"/>
            <w:noWrap/>
            <w:vAlign w:val="center"/>
          </w:tcPr>
          <w:p w14:paraId="57AD8310" w14:textId="77777777" w:rsidR="00011DE9" w:rsidRDefault="00011DE9">
            <w:pPr>
              <w:pStyle w:val="P68B1DB1-Normal18"/>
              <w:spacing w:after="0" w:line="240" w:lineRule="auto"/>
              <w:jc w:val="center"/>
              <w:rPr>
                <w:rFonts w:cs="Times New Roman"/>
                <w:noProof/>
                <w:szCs w:val="18"/>
              </w:rPr>
            </w:pPr>
            <w:r>
              <w:rPr>
                <w:noProof/>
              </w:rPr>
              <w:t>Anul</w:t>
            </w:r>
          </w:p>
        </w:tc>
        <w:tc>
          <w:tcPr>
            <w:tcW w:w="6069" w:type="dxa"/>
            <w:vMerge/>
            <w:noWrap/>
          </w:tcPr>
          <w:p w14:paraId="3689F2AD" w14:textId="77777777" w:rsidR="00011DE9" w:rsidRDefault="00011DE9">
            <w:pPr>
              <w:spacing w:after="0" w:line="240" w:lineRule="auto"/>
              <w:rPr>
                <w:rFonts w:ascii="Times New Roman" w:eastAsia="Times New Roman" w:hAnsi="Times New Roman" w:cs="Times New Roman"/>
                <w:noProof/>
                <w:sz w:val="18"/>
                <w:szCs w:val="18"/>
              </w:rPr>
            </w:pPr>
          </w:p>
        </w:tc>
      </w:tr>
      <w:tr w:rsidR="00011DE9" w14:paraId="664CAAFF" w14:textId="77777777">
        <w:trPr>
          <w:trHeight w:val="309"/>
          <w:jc w:val="center"/>
        </w:trPr>
        <w:tc>
          <w:tcPr>
            <w:tcW w:w="711" w:type="dxa"/>
            <w:shd w:val="clear" w:color="auto" w:fill="C6EFCE"/>
            <w:noWrap/>
          </w:tcPr>
          <w:p w14:paraId="6FFF141A" w14:textId="77777777" w:rsidR="00011DE9" w:rsidRDefault="00011DE9">
            <w:pPr>
              <w:pStyle w:val="P68B1DB1-Normal19"/>
              <w:spacing w:after="0" w:line="240" w:lineRule="auto"/>
              <w:jc w:val="center"/>
              <w:rPr>
                <w:rFonts w:eastAsia="Times New Roman"/>
                <w:noProof/>
              </w:rPr>
            </w:pPr>
            <w:r>
              <w:rPr>
                <w:noProof/>
              </w:rPr>
              <w:t>L76</w:t>
            </w:r>
          </w:p>
        </w:tc>
        <w:tc>
          <w:tcPr>
            <w:tcW w:w="733" w:type="dxa"/>
            <w:shd w:val="clear" w:color="auto" w:fill="C6EFCE"/>
            <w:noWrap/>
          </w:tcPr>
          <w:p w14:paraId="27B310B3" w14:textId="77777777" w:rsidR="00011DE9" w:rsidRDefault="00011DE9">
            <w:pPr>
              <w:pStyle w:val="P68B1DB1-Normal19"/>
              <w:spacing w:after="0" w:line="240" w:lineRule="auto"/>
              <w:jc w:val="center"/>
              <w:rPr>
                <w:rFonts w:eastAsia="Times New Roman"/>
                <w:noProof/>
              </w:rPr>
            </w:pPr>
            <w:r>
              <w:rPr>
                <w:noProof/>
              </w:rPr>
              <w:t>C25.I2</w:t>
            </w:r>
          </w:p>
        </w:tc>
        <w:tc>
          <w:tcPr>
            <w:tcW w:w="828" w:type="dxa"/>
            <w:shd w:val="clear" w:color="auto" w:fill="C6EFCE"/>
            <w:noWrap/>
          </w:tcPr>
          <w:p w14:paraId="1B946232" w14:textId="77777777" w:rsidR="00011DE9" w:rsidRDefault="00011DE9">
            <w:pPr>
              <w:pStyle w:val="P68B1DB1-Normal19"/>
              <w:spacing w:after="0" w:line="240" w:lineRule="auto"/>
              <w:jc w:val="center"/>
              <w:rPr>
                <w:rFonts w:eastAsia="Times New Roman"/>
                <w:noProof/>
              </w:rPr>
            </w:pPr>
            <w:r>
              <w:rPr>
                <w:noProof/>
              </w:rPr>
              <w:t>T</w:t>
            </w:r>
          </w:p>
        </w:tc>
        <w:tc>
          <w:tcPr>
            <w:tcW w:w="2084" w:type="dxa"/>
            <w:shd w:val="clear" w:color="auto" w:fill="C6EFCE"/>
            <w:noWrap/>
          </w:tcPr>
          <w:p w14:paraId="2687D05D" w14:textId="77777777" w:rsidR="00011DE9" w:rsidRDefault="00011DE9">
            <w:pPr>
              <w:pStyle w:val="P68B1DB1-Normal19"/>
              <w:spacing w:after="0" w:line="240" w:lineRule="auto"/>
              <w:rPr>
                <w:rFonts w:eastAsia="Times New Roman"/>
                <w:noProof/>
              </w:rPr>
            </w:pPr>
            <w:r>
              <w:rPr>
                <w:noProof/>
              </w:rPr>
              <w:t>Punerea în aplicare a proiectelor de digitalizare și diseminare a conținutului</w:t>
            </w:r>
          </w:p>
        </w:tc>
        <w:tc>
          <w:tcPr>
            <w:tcW w:w="1093" w:type="dxa"/>
            <w:shd w:val="clear" w:color="auto" w:fill="C6EFCE"/>
            <w:noWrap/>
          </w:tcPr>
          <w:p w14:paraId="43513C1A" w14:textId="77777777" w:rsidR="00011DE9" w:rsidRDefault="00011DE9">
            <w:pPr>
              <w:spacing w:after="0" w:line="240" w:lineRule="auto"/>
              <w:jc w:val="center"/>
              <w:rPr>
                <w:rFonts w:ascii="Times New Roman" w:eastAsia="Times New Roman" w:hAnsi="Times New Roman" w:cs="Times New Roman"/>
                <w:noProof/>
                <w:sz w:val="18"/>
                <w:szCs w:val="18"/>
              </w:rPr>
            </w:pPr>
          </w:p>
        </w:tc>
        <w:tc>
          <w:tcPr>
            <w:tcW w:w="726" w:type="dxa"/>
            <w:shd w:val="clear" w:color="auto" w:fill="C6EFCE"/>
            <w:noWrap/>
          </w:tcPr>
          <w:p w14:paraId="1E7B93C1" w14:textId="77777777" w:rsidR="00011DE9" w:rsidRDefault="00011DE9">
            <w:pPr>
              <w:pStyle w:val="P68B1DB1-Normal19"/>
              <w:spacing w:after="0" w:line="240" w:lineRule="auto"/>
              <w:jc w:val="center"/>
              <w:rPr>
                <w:rFonts w:eastAsia="Times New Roman"/>
                <w:noProof/>
              </w:rPr>
            </w:pPr>
            <w:r>
              <w:rPr>
                <w:noProof/>
              </w:rPr>
              <w:t>EUR (milioane)</w:t>
            </w:r>
          </w:p>
        </w:tc>
        <w:tc>
          <w:tcPr>
            <w:tcW w:w="965" w:type="dxa"/>
            <w:shd w:val="clear" w:color="auto" w:fill="C6EFCE"/>
            <w:noWrap/>
          </w:tcPr>
          <w:p w14:paraId="05E01295" w14:textId="77777777" w:rsidR="00011DE9" w:rsidRDefault="00011DE9">
            <w:pPr>
              <w:pStyle w:val="P68B1DB1-Normal22"/>
              <w:spacing w:after="0" w:line="240" w:lineRule="auto"/>
              <w:jc w:val="center"/>
              <w:rPr>
                <w:noProof/>
              </w:rPr>
            </w:pPr>
            <w:r>
              <w:rPr>
                <w:noProof/>
              </w:rPr>
              <w:t>0</w:t>
            </w:r>
          </w:p>
        </w:tc>
        <w:tc>
          <w:tcPr>
            <w:tcW w:w="665" w:type="dxa"/>
            <w:shd w:val="clear" w:color="auto" w:fill="C6EFCE"/>
            <w:noWrap/>
          </w:tcPr>
          <w:p w14:paraId="00358BD7" w14:textId="77777777" w:rsidR="00011DE9" w:rsidRDefault="00011DE9">
            <w:pPr>
              <w:pStyle w:val="P68B1DB1-Normal19"/>
              <w:spacing w:after="0" w:line="240" w:lineRule="auto"/>
              <w:jc w:val="center"/>
              <w:rPr>
                <w:rFonts w:eastAsia="Times New Roman"/>
                <w:noProof/>
              </w:rPr>
            </w:pPr>
            <w:r>
              <w:rPr>
                <w:noProof/>
              </w:rPr>
              <w:t>2</w:t>
            </w:r>
          </w:p>
        </w:tc>
        <w:tc>
          <w:tcPr>
            <w:tcW w:w="605" w:type="dxa"/>
            <w:shd w:val="clear" w:color="auto" w:fill="C6EFCE"/>
            <w:noWrap/>
          </w:tcPr>
          <w:p w14:paraId="214262F1" w14:textId="40CDD285" w:rsidR="00011DE9" w:rsidRDefault="005701C9">
            <w:pPr>
              <w:pStyle w:val="P68B1DB1-Normal19"/>
              <w:spacing w:after="0" w:line="240" w:lineRule="auto"/>
              <w:jc w:val="center"/>
              <w:rPr>
                <w:rFonts w:eastAsia="Times New Roman"/>
                <w:noProof/>
              </w:rPr>
            </w:pPr>
            <w:r>
              <w:rPr>
                <w:noProof/>
              </w:rPr>
              <w:t>T2</w:t>
            </w:r>
          </w:p>
        </w:tc>
        <w:tc>
          <w:tcPr>
            <w:tcW w:w="514" w:type="dxa"/>
            <w:shd w:val="clear" w:color="auto" w:fill="C6EFCE"/>
            <w:noWrap/>
          </w:tcPr>
          <w:p w14:paraId="0ADA74FF" w14:textId="77777777" w:rsidR="00011DE9" w:rsidRDefault="00011DE9">
            <w:pPr>
              <w:pStyle w:val="P68B1DB1-Normal19"/>
              <w:spacing w:after="0" w:line="240" w:lineRule="auto"/>
              <w:jc w:val="center"/>
              <w:rPr>
                <w:rFonts w:eastAsia="Times New Roman"/>
                <w:noProof/>
              </w:rPr>
            </w:pPr>
            <w:r>
              <w:rPr>
                <w:noProof/>
              </w:rPr>
              <w:t>2026</w:t>
            </w:r>
          </w:p>
        </w:tc>
        <w:tc>
          <w:tcPr>
            <w:tcW w:w="6069" w:type="dxa"/>
            <w:shd w:val="clear" w:color="auto" w:fill="C6EFCE"/>
            <w:noWrap/>
          </w:tcPr>
          <w:p w14:paraId="79C71A66" w14:textId="5F7D183C" w:rsidR="00011DE9" w:rsidRDefault="00011DE9">
            <w:pPr>
              <w:pStyle w:val="P68B1DB1-Normal16"/>
              <w:spacing w:line="240" w:lineRule="auto"/>
              <w:rPr>
                <w:rFonts w:eastAsia="Times New Roman" w:cs="Times New Roman"/>
                <w:noProof/>
                <w:sz w:val="18"/>
                <w:szCs w:val="18"/>
              </w:rPr>
            </w:pPr>
            <w:r>
              <w:rPr>
                <w:noProof/>
                <w:sz w:val="18"/>
                <w:szCs w:val="18"/>
              </w:rPr>
              <w:t>Finalizarea proiectelor care corespund unui buget atribuit de</w:t>
            </w:r>
            <w:r>
              <w:rPr>
                <w:noProof/>
                <w:sz w:val="20"/>
                <w:szCs w:val="20"/>
              </w:rPr>
              <w:t xml:space="preserve"> </w:t>
            </w:r>
            <w:r>
              <w:rPr>
                <w:noProof/>
                <w:sz w:val="18"/>
                <w:szCs w:val="18"/>
              </w:rPr>
              <w:t>2 026 944 EUR privind digitalizarea, diseminarea conținutului și adoptarea de noi instrumente tehnologice pentru gestionarea și prelucrarea conținutului în limbile spaniolă și co-oficială.</w:t>
            </w:r>
            <w:r w:rsidR="00971820">
              <w:rPr>
                <w:noProof/>
                <w:sz w:val="18"/>
                <w:szCs w:val="18"/>
              </w:rPr>
              <w:t xml:space="preserve"> </w:t>
            </w:r>
            <w:r>
              <w:rPr>
                <w:noProof/>
                <w:sz w:val="18"/>
                <w:szCs w:val="18"/>
              </w:rPr>
              <w:t xml:space="preserve"> </w:t>
            </w:r>
          </w:p>
        </w:tc>
      </w:tr>
      <w:tr w:rsidR="00011DE9" w14:paraId="6F77889B" w14:textId="77777777">
        <w:trPr>
          <w:trHeight w:val="309"/>
          <w:jc w:val="center"/>
        </w:trPr>
        <w:tc>
          <w:tcPr>
            <w:tcW w:w="711" w:type="dxa"/>
            <w:shd w:val="clear" w:color="auto" w:fill="C6EFCE"/>
            <w:noWrap/>
          </w:tcPr>
          <w:p w14:paraId="2648E0DD" w14:textId="77777777" w:rsidR="00011DE9" w:rsidRDefault="00011DE9">
            <w:pPr>
              <w:pStyle w:val="P68B1DB1-Normal19"/>
              <w:spacing w:after="0" w:line="240" w:lineRule="auto"/>
              <w:jc w:val="center"/>
              <w:rPr>
                <w:rFonts w:eastAsia="Times New Roman"/>
                <w:noProof/>
              </w:rPr>
            </w:pPr>
            <w:r>
              <w:rPr>
                <w:noProof/>
              </w:rPr>
              <w:t>L77</w:t>
            </w:r>
          </w:p>
        </w:tc>
        <w:tc>
          <w:tcPr>
            <w:tcW w:w="733" w:type="dxa"/>
            <w:shd w:val="clear" w:color="auto" w:fill="C6EFCE"/>
            <w:noWrap/>
          </w:tcPr>
          <w:p w14:paraId="54E74B29" w14:textId="77777777" w:rsidR="00011DE9" w:rsidRDefault="00011DE9">
            <w:pPr>
              <w:pStyle w:val="P68B1DB1-Normal19"/>
              <w:spacing w:after="0" w:line="240" w:lineRule="auto"/>
              <w:jc w:val="center"/>
              <w:rPr>
                <w:noProof/>
              </w:rPr>
            </w:pPr>
            <w:r>
              <w:rPr>
                <w:noProof/>
              </w:rPr>
              <w:t>C25.I3</w:t>
            </w:r>
          </w:p>
        </w:tc>
        <w:tc>
          <w:tcPr>
            <w:tcW w:w="828" w:type="dxa"/>
            <w:shd w:val="clear" w:color="auto" w:fill="C6EFCE"/>
            <w:noWrap/>
          </w:tcPr>
          <w:p w14:paraId="483B4BAC" w14:textId="77777777" w:rsidR="00011DE9" w:rsidRDefault="00011DE9">
            <w:pPr>
              <w:pStyle w:val="P68B1DB1-Normal19"/>
              <w:spacing w:after="0" w:line="240" w:lineRule="auto"/>
              <w:jc w:val="center"/>
              <w:rPr>
                <w:rFonts w:eastAsia="Times New Roman"/>
                <w:noProof/>
              </w:rPr>
            </w:pPr>
            <w:r>
              <w:rPr>
                <w:noProof/>
              </w:rPr>
              <w:t>M</w:t>
            </w:r>
          </w:p>
        </w:tc>
        <w:tc>
          <w:tcPr>
            <w:tcW w:w="2084" w:type="dxa"/>
            <w:shd w:val="clear" w:color="auto" w:fill="C6EFCE"/>
            <w:noWrap/>
          </w:tcPr>
          <w:p w14:paraId="25D2CEEB" w14:textId="77777777" w:rsidR="00011DE9" w:rsidRDefault="00011DE9">
            <w:pPr>
              <w:pStyle w:val="P68B1DB1-Normal19"/>
              <w:spacing w:after="0" w:line="240" w:lineRule="auto"/>
              <w:rPr>
                <w:rFonts w:eastAsia="Times New Roman"/>
                <w:noProof/>
              </w:rPr>
            </w:pPr>
            <w:r>
              <w:rPr>
                <w:noProof/>
              </w:rPr>
              <w:t>Fondul pentru platforme audiovizuale: Intrarea în vigoare a mecanismului</w:t>
            </w:r>
          </w:p>
          <w:p w14:paraId="2358C126" w14:textId="77777777" w:rsidR="00011DE9" w:rsidRDefault="00011DE9">
            <w:pPr>
              <w:spacing w:after="0" w:line="240" w:lineRule="auto"/>
              <w:rPr>
                <w:rFonts w:ascii="Times New Roman" w:eastAsia="Times New Roman" w:hAnsi="Times New Roman" w:cs="Times New Roman"/>
                <w:noProof/>
                <w:sz w:val="18"/>
                <w:szCs w:val="18"/>
              </w:rPr>
            </w:pPr>
          </w:p>
        </w:tc>
        <w:tc>
          <w:tcPr>
            <w:tcW w:w="1093" w:type="dxa"/>
            <w:shd w:val="clear" w:color="auto" w:fill="C6EFCE"/>
            <w:noWrap/>
          </w:tcPr>
          <w:p w14:paraId="1EF695FD" w14:textId="77777777" w:rsidR="00011DE9" w:rsidRDefault="00011DE9">
            <w:pPr>
              <w:pStyle w:val="P68B1DB1-Normal19"/>
              <w:spacing w:after="0" w:line="240" w:lineRule="auto"/>
              <w:jc w:val="center"/>
              <w:rPr>
                <w:rFonts w:eastAsia="Times New Roman"/>
                <w:noProof/>
              </w:rPr>
            </w:pPr>
            <w:r>
              <w:rPr>
                <w:noProof/>
              </w:rPr>
              <w:t>Intrarea în vigoare a acordului de punere în aplicare sau a instrumentului juridic de instituire a mecanismului</w:t>
            </w:r>
          </w:p>
        </w:tc>
        <w:tc>
          <w:tcPr>
            <w:tcW w:w="726" w:type="dxa"/>
            <w:shd w:val="clear" w:color="auto" w:fill="C6EFCE"/>
            <w:noWrap/>
          </w:tcPr>
          <w:p w14:paraId="74E4D3D0" w14:textId="77777777" w:rsidR="00011DE9" w:rsidRDefault="00011DE9">
            <w:pPr>
              <w:spacing w:after="0" w:line="240" w:lineRule="auto"/>
              <w:jc w:val="center"/>
              <w:rPr>
                <w:rFonts w:ascii="Times New Roman" w:hAnsi="Times New Roman" w:cs="Times New Roman"/>
                <w:noProof/>
                <w:sz w:val="18"/>
                <w:szCs w:val="18"/>
              </w:rPr>
            </w:pPr>
          </w:p>
        </w:tc>
        <w:tc>
          <w:tcPr>
            <w:tcW w:w="965" w:type="dxa"/>
            <w:shd w:val="clear" w:color="auto" w:fill="C6EFCE"/>
            <w:noWrap/>
          </w:tcPr>
          <w:p w14:paraId="099EC8A7" w14:textId="77777777" w:rsidR="00011DE9" w:rsidRDefault="00011DE9">
            <w:pPr>
              <w:spacing w:after="0" w:line="240" w:lineRule="auto"/>
              <w:jc w:val="right"/>
              <w:rPr>
                <w:rFonts w:ascii="Times New Roman" w:hAnsi="Times New Roman" w:cs="Times New Roman"/>
                <w:noProof/>
                <w:sz w:val="18"/>
                <w:szCs w:val="18"/>
              </w:rPr>
            </w:pPr>
          </w:p>
        </w:tc>
        <w:tc>
          <w:tcPr>
            <w:tcW w:w="665" w:type="dxa"/>
            <w:shd w:val="clear" w:color="auto" w:fill="C6EFCE"/>
            <w:noWrap/>
          </w:tcPr>
          <w:p w14:paraId="2B846C56" w14:textId="77777777" w:rsidR="00011DE9" w:rsidRDefault="00011DE9">
            <w:pPr>
              <w:spacing w:after="0" w:line="240" w:lineRule="auto"/>
              <w:jc w:val="right"/>
              <w:rPr>
                <w:rFonts w:ascii="Times New Roman" w:hAnsi="Times New Roman" w:cs="Times New Roman"/>
                <w:noProof/>
                <w:sz w:val="18"/>
                <w:szCs w:val="18"/>
              </w:rPr>
            </w:pPr>
          </w:p>
        </w:tc>
        <w:tc>
          <w:tcPr>
            <w:tcW w:w="605" w:type="dxa"/>
            <w:shd w:val="clear" w:color="auto" w:fill="C6EFCE"/>
            <w:noWrap/>
          </w:tcPr>
          <w:p w14:paraId="123CE587" w14:textId="6CA0A41E" w:rsidR="00011DE9" w:rsidRDefault="005701C9">
            <w:pPr>
              <w:pStyle w:val="P68B1DB1-Normal19"/>
              <w:spacing w:after="0" w:line="240" w:lineRule="auto"/>
              <w:jc w:val="center"/>
              <w:rPr>
                <w:rFonts w:eastAsia="Times New Roman"/>
                <w:noProof/>
              </w:rPr>
            </w:pPr>
            <w:r>
              <w:rPr>
                <w:noProof/>
              </w:rPr>
              <w:t>T4</w:t>
            </w:r>
          </w:p>
        </w:tc>
        <w:tc>
          <w:tcPr>
            <w:tcW w:w="514" w:type="dxa"/>
            <w:shd w:val="clear" w:color="auto" w:fill="C6EFCE"/>
            <w:noWrap/>
          </w:tcPr>
          <w:p w14:paraId="453E2E0E" w14:textId="77777777" w:rsidR="00011DE9" w:rsidRDefault="00011DE9">
            <w:pPr>
              <w:pStyle w:val="P68B1DB1-Normal19"/>
              <w:spacing w:after="0" w:line="240" w:lineRule="auto"/>
              <w:jc w:val="center"/>
              <w:rPr>
                <w:rFonts w:eastAsia="Times New Roman"/>
                <w:noProof/>
              </w:rPr>
            </w:pPr>
            <w:r>
              <w:rPr>
                <w:noProof/>
              </w:rPr>
              <w:t>2023</w:t>
            </w:r>
          </w:p>
        </w:tc>
        <w:tc>
          <w:tcPr>
            <w:tcW w:w="6069" w:type="dxa"/>
            <w:shd w:val="clear" w:color="auto" w:fill="C6EFCE"/>
            <w:noWrap/>
          </w:tcPr>
          <w:p w14:paraId="7D79A9E5" w14:textId="77777777" w:rsidR="00011DE9" w:rsidRDefault="00011DE9">
            <w:pPr>
              <w:pStyle w:val="P68B1DB1-Normal19"/>
              <w:rPr>
                <w:rFonts w:eastAsia="Times New Roman"/>
                <w:noProof/>
              </w:rPr>
            </w:pPr>
            <w:r>
              <w:rPr>
                <w:noProof/>
              </w:rPr>
              <w:t>Intrarea în vigoare a acordului de punere în aplicare sau a instrumentului juridic și a documentelor conexe de instituire a instrumentului.</w:t>
            </w:r>
          </w:p>
          <w:p w14:paraId="3F77BC17" w14:textId="77777777" w:rsidR="00011DE9" w:rsidRDefault="00011DE9">
            <w:pPr>
              <w:spacing w:after="0" w:line="240" w:lineRule="auto"/>
              <w:jc w:val="both"/>
              <w:rPr>
                <w:rFonts w:ascii="Times New Roman" w:eastAsia="Times New Roman" w:hAnsi="Times New Roman" w:cs="Times New Roman"/>
                <w:noProof/>
                <w:sz w:val="18"/>
                <w:szCs w:val="18"/>
              </w:rPr>
            </w:pPr>
          </w:p>
        </w:tc>
      </w:tr>
      <w:tr w:rsidR="00011DE9" w14:paraId="293A43FB" w14:textId="77777777">
        <w:trPr>
          <w:trHeight w:val="915"/>
          <w:jc w:val="center"/>
        </w:trPr>
        <w:tc>
          <w:tcPr>
            <w:tcW w:w="711" w:type="dxa"/>
            <w:shd w:val="clear" w:color="auto" w:fill="C6EFCE"/>
            <w:noWrap/>
          </w:tcPr>
          <w:p w14:paraId="57C0A2BC" w14:textId="77777777" w:rsidR="00011DE9" w:rsidRDefault="00011DE9">
            <w:pPr>
              <w:pStyle w:val="P68B1DB1-Normal19"/>
              <w:spacing w:line="240" w:lineRule="auto"/>
              <w:jc w:val="center"/>
              <w:rPr>
                <w:rFonts w:eastAsia="Times New Roman"/>
                <w:noProof/>
              </w:rPr>
            </w:pPr>
            <w:r>
              <w:rPr>
                <w:noProof/>
              </w:rPr>
              <w:t>L79</w:t>
            </w:r>
          </w:p>
        </w:tc>
        <w:tc>
          <w:tcPr>
            <w:tcW w:w="733" w:type="dxa"/>
            <w:shd w:val="clear" w:color="auto" w:fill="C6EFCE"/>
            <w:noWrap/>
          </w:tcPr>
          <w:p w14:paraId="142FED07" w14:textId="77777777" w:rsidR="00011DE9" w:rsidRDefault="00011DE9">
            <w:pPr>
              <w:pStyle w:val="P68B1DB1-Normal19"/>
              <w:spacing w:line="240" w:lineRule="auto"/>
              <w:rPr>
                <w:noProof/>
              </w:rPr>
            </w:pPr>
            <w:r>
              <w:rPr>
                <w:noProof/>
              </w:rPr>
              <w:t>C25.I3</w:t>
            </w:r>
          </w:p>
        </w:tc>
        <w:tc>
          <w:tcPr>
            <w:tcW w:w="828" w:type="dxa"/>
            <w:shd w:val="clear" w:color="auto" w:fill="C6EFCE"/>
            <w:noWrap/>
          </w:tcPr>
          <w:p w14:paraId="0DA4DA25" w14:textId="77777777" w:rsidR="00011DE9" w:rsidRDefault="00011DE9">
            <w:pPr>
              <w:pStyle w:val="P68B1DB1-Normal19"/>
              <w:spacing w:line="240" w:lineRule="auto"/>
              <w:jc w:val="center"/>
              <w:rPr>
                <w:rFonts w:eastAsia="Times New Roman"/>
                <w:noProof/>
              </w:rPr>
            </w:pPr>
            <w:r>
              <w:rPr>
                <w:noProof/>
              </w:rPr>
              <w:t>M</w:t>
            </w:r>
          </w:p>
        </w:tc>
        <w:tc>
          <w:tcPr>
            <w:tcW w:w="2084" w:type="dxa"/>
            <w:shd w:val="clear" w:color="auto" w:fill="C6EFCE"/>
            <w:noWrap/>
          </w:tcPr>
          <w:p w14:paraId="0851848D" w14:textId="77777777" w:rsidR="00011DE9" w:rsidRDefault="00011DE9">
            <w:pPr>
              <w:pStyle w:val="P68B1DB1-Normal19"/>
              <w:spacing w:line="240" w:lineRule="auto"/>
              <w:rPr>
                <w:rFonts w:eastAsia="Times New Roman"/>
                <w:noProof/>
              </w:rPr>
            </w:pPr>
            <w:r>
              <w:rPr>
                <w:noProof/>
              </w:rPr>
              <w:t>Fondul pentru platforme audiovizuale: Acorduri juridice de finanțare semnate cu beneficiarii finali (inclusiv fonduri de investiții în acțiuni) și finalizarea investiției.</w:t>
            </w:r>
          </w:p>
        </w:tc>
        <w:tc>
          <w:tcPr>
            <w:tcW w:w="1093" w:type="dxa"/>
            <w:shd w:val="clear" w:color="auto" w:fill="C6EFCE"/>
            <w:noWrap/>
          </w:tcPr>
          <w:p w14:paraId="3A56D729" w14:textId="77777777" w:rsidR="00011DE9" w:rsidRDefault="00011DE9">
            <w:pPr>
              <w:pStyle w:val="P68B1DB1-Normal22"/>
              <w:spacing w:line="240" w:lineRule="auto"/>
              <w:jc w:val="center"/>
              <w:rPr>
                <w:noProof/>
              </w:rPr>
            </w:pPr>
            <w:r>
              <w:rPr>
                <w:noProof/>
              </w:rPr>
              <w:t>Acorduri de finanțare legală și certificat de transfer</w:t>
            </w:r>
          </w:p>
        </w:tc>
        <w:tc>
          <w:tcPr>
            <w:tcW w:w="726" w:type="dxa"/>
            <w:shd w:val="clear" w:color="auto" w:fill="C6EFCE"/>
            <w:noWrap/>
          </w:tcPr>
          <w:p w14:paraId="308913BE" w14:textId="77777777" w:rsidR="00011DE9" w:rsidRDefault="00011DE9">
            <w:pPr>
              <w:spacing w:line="240" w:lineRule="auto"/>
              <w:jc w:val="center"/>
              <w:rPr>
                <w:rFonts w:ascii="Times New Roman" w:hAnsi="Times New Roman" w:cs="Times New Roman"/>
                <w:noProof/>
                <w:sz w:val="18"/>
                <w:szCs w:val="18"/>
              </w:rPr>
            </w:pPr>
          </w:p>
        </w:tc>
        <w:tc>
          <w:tcPr>
            <w:tcW w:w="965" w:type="dxa"/>
            <w:shd w:val="clear" w:color="auto" w:fill="C6EFCE"/>
            <w:noWrap/>
          </w:tcPr>
          <w:p w14:paraId="15C71D51" w14:textId="77777777" w:rsidR="00011DE9" w:rsidRDefault="00011DE9">
            <w:pPr>
              <w:spacing w:line="240" w:lineRule="auto"/>
              <w:jc w:val="center"/>
              <w:rPr>
                <w:rFonts w:ascii="Times New Roman" w:hAnsi="Times New Roman" w:cs="Times New Roman"/>
                <w:noProof/>
                <w:sz w:val="18"/>
                <w:szCs w:val="18"/>
              </w:rPr>
            </w:pPr>
          </w:p>
        </w:tc>
        <w:tc>
          <w:tcPr>
            <w:tcW w:w="665" w:type="dxa"/>
            <w:shd w:val="clear" w:color="auto" w:fill="C6EFCE"/>
            <w:noWrap/>
          </w:tcPr>
          <w:p w14:paraId="12BC763C" w14:textId="77777777" w:rsidR="00011DE9" w:rsidRDefault="00011DE9">
            <w:pPr>
              <w:spacing w:line="240" w:lineRule="auto"/>
              <w:jc w:val="right"/>
              <w:rPr>
                <w:rFonts w:ascii="Times New Roman" w:hAnsi="Times New Roman" w:cs="Times New Roman"/>
                <w:noProof/>
                <w:sz w:val="18"/>
                <w:szCs w:val="18"/>
              </w:rPr>
            </w:pPr>
          </w:p>
        </w:tc>
        <w:tc>
          <w:tcPr>
            <w:tcW w:w="605" w:type="dxa"/>
            <w:shd w:val="clear" w:color="auto" w:fill="C6EFCE"/>
            <w:noWrap/>
          </w:tcPr>
          <w:p w14:paraId="63108C0D" w14:textId="5601E934" w:rsidR="00011DE9" w:rsidRDefault="005701C9">
            <w:pPr>
              <w:pStyle w:val="P68B1DB1-Normal19"/>
              <w:spacing w:line="240" w:lineRule="auto"/>
              <w:jc w:val="center"/>
              <w:rPr>
                <w:rFonts w:eastAsia="Times New Roman"/>
                <w:noProof/>
              </w:rPr>
            </w:pPr>
            <w:r>
              <w:rPr>
                <w:noProof/>
              </w:rPr>
              <w:t>T2</w:t>
            </w:r>
          </w:p>
        </w:tc>
        <w:tc>
          <w:tcPr>
            <w:tcW w:w="514" w:type="dxa"/>
            <w:shd w:val="clear" w:color="auto" w:fill="C6EFCE"/>
            <w:noWrap/>
          </w:tcPr>
          <w:p w14:paraId="0CD9A7AA" w14:textId="77777777" w:rsidR="00011DE9" w:rsidRDefault="00011DE9">
            <w:pPr>
              <w:pStyle w:val="P68B1DB1-Normal19"/>
              <w:spacing w:line="240" w:lineRule="auto"/>
              <w:jc w:val="center"/>
              <w:rPr>
                <w:rFonts w:eastAsia="Times New Roman"/>
                <w:noProof/>
              </w:rPr>
            </w:pPr>
            <w:r>
              <w:rPr>
                <w:noProof/>
              </w:rPr>
              <w:t>2026</w:t>
            </w:r>
          </w:p>
        </w:tc>
        <w:tc>
          <w:tcPr>
            <w:tcW w:w="6069" w:type="dxa"/>
            <w:shd w:val="clear" w:color="auto" w:fill="C6EFCE"/>
            <w:noWrap/>
          </w:tcPr>
          <w:p w14:paraId="1501EF8A" w14:textId="77777777" w:rsidR="00011DE9" w:rsidRDefault="00011DE9">
            <w:pPr>
              <w:pStyle w:val="P68B1DB1-Normal19"/>
              <w:spacing w:line="257" w:lineRule="auto"/>
              <w:rPr>
                <w:noProof/>
              </w:rPr>
            </w:pPr>
            <w:r>
              <w:rPr>
                <w:noProof/>
              </w:rPr>
              <w:t>SETT și intermediarii selectați de SETT trebuie să fi încheiat acorduri juridice de finanțare cu beneficiarii finali pentru o sumă necesară pentru a utiliza 100 % din investițiile MRR în mecanism (ținând seama de comisioanele de gestionare). SETT se asigură, de asemenea, că 100 % din această finanțare contribuie la obiectivele digitale utilizând metodologia din anexa VII la Regulamentul privind MRR.</w:t>
            </w:r>
          </w:p>
          <w:p w14:paraId="064F3F41" w14:textId="77777777" w:rsidR="00011DE9" w:rsidRDefault="00011DE9">
            <w:pPr>
              <w:pStyle w:val="P68B1DB1-Normal16"/>
              <w:spacing w:line="257" w:lineRule="auto"/>
              <w:rPr>
                <w:rFonts w:eastAsia="Times New Roman" w:cs="Times New Roman"/>
                <w:noProof/>
                <w:sz w:val="18"/>
                <w:szCs w:val="18"/>
              </w:rPr>
            </w:pPr>
            <w:r>
              <w:rPr>
                <w:noProof/>
                <w:sz w:val="18"/>
              </w:rPr>
              <w:t>Spania transferă</w:t>
            </w:r>
            <w:r>
              <w:rPr>
                <w:noProof/>
                <w:sz w:val="20"/>
              </w:rPr>
              <w:t xml:space="preserve"> </w:t>
            </w:r>
            <w:r>
              <w:rPr>
                <w:noProof/>
                <w:sz w:val="18"/>
              </w:rPr>
              <w:t>280 000 000</w:t>
            </w:r>
            <w:r>
              <w:rPr>
                <w:noProof/>
                <w:sz w:val="20"/>
              </w:rPr>
              <w:t xml:space="preserve"> </w:t>
            </w:r>
            <w:r>
              <w:rPr>
                <w:noProof/>
                <w:sz w:val="18"/>
              </w:rPr>
              <w:t>EUR către SETT pentru facilitate.</w:t>
            </w:r>
          </w:p>
        </w:tc>
      </w:tr>
    </w:tbl>
    <w:p w14:paraId="3B4EC3D5" w14:textId="77777777" w:rsidR="00011DE9" w:rsidRDefault="00011DE9">
      <w:pPr>
        <w:rPr>
          <w:noProof/>
        </w:rPr>
        <w:sectPr w:rsidR="00011DE9" w:rsidSect="00011DE9">
          <w:headerReference w:type="even" r:id="rId352"/>
          <w:headerReference w:type="default" r:id="rId353"/>
          <w:footerReference w:type="even" r:id="rId354"/>
          <w:footerReference w:type="default" r:id="rId355"/>
          <w:headerReference w:type="first" r:id="rId356"/>
          <w:footerReference w:type="first" r:id="rId357"/>
          <w:pgSz w:w="16839" w:h="11907" w:orient="landscape"/>
          <w:pgMar w:top="1134" w:right="1134" w:bottom="1134" w:left="1134" w:header="567" w:footer="567" w:gutter="0"/>
          <w:cols w:space="720"/>
          <w:docGrid w:linePitch="360"/>
        </w:sectPr>
      </w:pPr>
    </w:p>
    <w:p w14:paraId="57BB9F70" w14:textId="77777777" w:rsidR="00011DE9" w:rsidRDefault="00011DE9">
      <w:pPr>
        <w:pStyle w:val="P68B1DB1-Normal56"/>
        <w:keepNext/>
        <w:spacing w:before="360" w:after="360" w:line="240" w:lineRule="auto"/>
        <w:jc w:val="center"/>
        <w:outlineLvl w:val="0"/>
        <w:rPr>
          <w:rFonts w:cs="Times New Roman"/>
          <w:noProof/>
        </w:rPr>
      </w:pPr>
      <w:r>
        <w:rPr>
          <w:noProof/>
        </w:rPr>
        <w:t>COMPONENTA Z. 26: Promovarea sportului</w:t>
      </w:r>
    </w:p>
    <w:p w14:paraId="53E07C74" w14:textId="77777777" w:rsidR="00011DE9" w:rsidRDefault="00011DE9">
      <w:pPr>
        <w:pStyle w:val="P68B1DB1-Normal57"/>
        <w:spacing w:before="120" w:after="120" w:line="240" w:lineRule="auto"/>
        <w:jc w:val="both"/>
        <w:rPr>
          <w:rFonts w:cs="Times New Roman"/>
          <w:noProof/>
        </w:rPr>
      </w:pPr>
      <w:r>
        <w:rPr>
          <w:noProof/>
        </w:rPr>
        <w:t xml:space="preserve">Potrivit planului de redresare și reziliență al Spaniei, sectorul sportului reprezintă 3,1 % din PIB în Spania și asigură, direct sau indirect, 2,1 % din totalul locurilor de muncă din țară. </w:t>
      </w:r>
    </w:p>
    <w:p w14:paraId="66135624" w14:textId="77777777" w:rsidR="00011DE9" w:rsidRDefault="00011DE9">
      <w:pPr>
        <w:pStyle w:val="P68B1DB1-Normal57"/>
        <w:spacing w:before="120" w:after="120" w:line="240" w:lineRule="auto"/>
        <w:jc w:val="both"/>
        <w:rPr>
          <w:rFonts w:cs="Times New Roman"/>
          <w:noProof/>
        </w:rPr>
      </w:pPr>
      <w:r>
        <w:rPr>
          <w:noProof/>
        </w:rPr>
        <w:t>Principalul obiectiv al acestei componente a planului spaniol de redresare și reziliență este de a consolida transformarea sectorului sportului prin digitalizarea organizațiilor sportive și modernizarea instalațiilor sportive pentru a asigura durabilitatea mediului și accesibilitatea acestora. Acesta sprijină, de asemenea, promovarea sportului în scopuri medicale, în special printr-un acces mai bun la activitatea fizică în zonele expuse riscului de depopulare, precum și prin cercetare în domeniu. În cele din urmă, componenta include investiții specifice pentru a încuraja participarea femeilor la sportul profesionist și amator.</w:t>
      </w:r>
    </w:p>
    <w:p w14:paraId="0EDC816B" w14:textId="77777777" w:rsidR="00011DE9" w:rsidRDefault="00011DE9">
      <w:pPr>
        <w:pStyle w:val="P68B1DB1-Normal8"/>
        <w:tabs>
          <w:tab w:val="left" w:pos="1134"/>
        </w:tabs>
        <w:spacing w:before="120" w:after="120" w:line="240" w:lineRule="auto"/>
        <w:jc w:val="both"/>
        <w:rPr>
          <w:rFonts w:cs="Times New Roman"/>
          <w:noProof/>
        </w:rPr>
      </w:pPr>
      <w:r>
        <w:rPr>
          <w:noProof/>
        </w:rPr>
        <w:t>Componenta abordează recomandările specifice fiecărei țări privind promovarea investițiilor în inovare și în eficiența energetică (Recomandarea specifică fiecărei țări 3 2019), promovarea investițiilor publice și private și încurajarea tranziției verzi (Recomandările specifice fiecărei țări 1 2023, 1 2022 și 3 2020) și consolidarea rezilienței sistemului de sănătate (Recomandarea specifică fiecărei țări 1 2020).</w:t>
      </w:r>
    </w:p>
    <w:p w14:paraId="3C5D8D49" w14:textId="77777777" w:rsidR="00011DE9" w:rsidRDefault="00011DE9">
      <w:pPr>
        <w:pStyle w:val="P68B1DB1-Normal57"/>
        <w:spacing w:before="120" w:after="120" w:line="240" w:lineRule="auto"/>
        <w:jc w:val="both"/>
        <w:rPr>
          <w:rFonts w:cs="Times New Roman"/>
          <w:noProof/>
        </w:rPr>
      </w:pPr>
      <w:r>
        <w:rPr>
          <w:noProof/>
        </w:rPr>
        <w:t>Această componentă sprijină și completează acțiunile prevăzute în alte părți ale planului, cum ar fi cele de promovare a unui stil de viață sănătos din cadrul componentei 18 (Reforma sistemului de sănătate). Prin optimizarea și modernizarea infrastructurilor sportive existente, acesta completează, de asemenea, măsurile întreprinse în cadrul componentei 2 (Renovare) și sprijină transformarea sectorului turismului din Spania în conformitate cu componenta 14 (Turism).</w:t>
      </w:r>
    </w:p>
    <w:p w14:paraId="6C01F1D3" w14:textId="77777777" w:rsidR="00011DE9" w:rsidRDefault="00011DE9">
      <w:pPr>
        <w:pStyle w:val="P68B1DB1-Normal57"/>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21A7105C" w14:textId="77777777" w:rsidR="00011DE9" w:rsidRDefault="00011DE9">
      <w:pPr>
        <w:spacing w:before="120" w:after="120" w:line="240" w:lineRule="auto"/>
        <w:ind w:left="709"/>
        <w:jc w:val="both"/>
        <w:rPr>
          <w:rFonts w:ascii="Times New Roman" w:eastAsia="Calibri" w:hAnsi="Times New Roman" w:cs="Times New Roman"/>
          <w:b/>
          <w:i/>
          <w:noProof/>
        </w:rPr>
      </w:pPr>
      <w:r>
        <w:rPr>
          <w:rFonts w:ascii="Times New Roman" w:eastAsia="Calibri" w:hAnsi="Times New Roman" w:cs="Symbol"/>
          <w:b/>
          <w:noProof/>
          <w:u w:val="single"/>
        </w:rPr>
        <w:t xml:space="preserve">Z.1. </w:t>
      </w:r>
      <w:r>
        <w:rPr>
          <w:rFonts w:ascii="Symbol" w:eastAsia="Calibri" w:hAnsi="Symbol" w:cs="Symbol"/>
          <w:noProof/>
        </w:rPr>
        <w:t></w:t>
      </w:r>
      <w:r>
        <w:rPr>
          <w:rFonts w:ascii="Times New Roman" w:eastAsia="Calibri" w:hAnsi="Times New Roman" w:cs="Symbol"/>
          <w:b/>
          <w:noProof/>
          <w:u w:val="single"/>
        </w:rPr>
        <w:t>Descrierea reformelor și a investițiilor pentru sprijinul financiar nerambursabil</w:t>
      </w:r>
    </w:p>
    <w:p w14:paraId="212B51B2" w14:textId="77777777" w:rsidR="00011DE9" w:rsidRDefault="00011DE9">
      <w:pPr>
        <w:pStyle w:val="P68B1DB1-Normal58"/>
        <w:spacing w:line="240" w:lineRule="auto"/>
        <w:rPr>
          <w:rFonts w:cs="Times New Roman"/>
          <w:noProof/>
        </w:rPr>
      </w:pPr>
      <w:r>
        <w:rPr>
          <w:noProof/>
        </w:rPr>
        <w:t>Reforma 1 (C26.R1) – Legea sportului</w:t>
      </w:r>
    </w:p>
    <w:p w14:paraId="15E9DCF4" w14:textId="77777777" w:rsidR="00011DE9" w:rsidRDefault="00011DE9">
      <w:pPr>
        <w:pStyle w:val="P68B1DB1-Normal8"/>
        <w:spacing w:line="240" w:lineRule="auto"/>
        <w:jc w:val="both"/>
        <w:rPr>
          <w:rFonts w:cs="Times New Roman"/>
          <w:noProof/>
        </w:rPr>
      </w:pPr>
      <w:r>
        <w:rPr>
          <w:noProof/>
        </w:rPr>
        <w:t xml:space="preserve">Obiectivul acestei măsuri legislative este de a asigura sănătatea și siguranța în practicarea sportului la toate nivelurile, de a include aspecte legate de egalitatea de gen, accesibilitate și coeziune socială în reglementarea sportului, de a moderniza organizațiile și infrastructurile sportive prin digitalizare și prin transformarea lor ecologică și de a promova internaționalizarea sectorului. Legislația trebuie să adapteze structurile organizaționale ale sportului la provocările actuale cu care se confruntă, ținând seama de lecțiile învățate în urma pandemiei. </w:t>
      </w:r>
    </w:p>
    <w:p w14:paraId="47CE3476" w14:textId="77777777" w:rsidR="00011DE9" w:rsidRDefault="00011DE9">
      <w:pPr>
        <w:pStyle w:val="P68B1DB1-Normal8"/>
        <w:spacing w:line="240" w:lineRule="auto"/>
        <w:rPr>
          <w:rFonts w:cs="Times New Roman"/>
          <w:noProof/>
        </w:rPr>
      </w:pPr>
      <w:r>
        <w:rPr>
          <w:noProof/>
        </w:rPr>
        <w:t>Punerea în aplicare a măsurii se finalizează până la 31 decembrie 2022.</w:t>
      </w:r>
    </w:p>
    <w:p w14:paraId="4CBF7912" w14:textId="77777777" w:rsidR="00011DE9" w:rsidRDefault="00011DE9">
      <w:pPr>
        <w:pStyle w:val="P68B1DB1-Normal58"/>
        <w:spacing w:line="240" w:lineRule="auto"/>
        <w:rPr>
          <w:rFonts w:cs="Times New Roman"/>
          <w:noProof/>
        </w:rPr>
      </w:pPr>
      <w:r>
        <w:rPr>
          <w:noProof/>
        </w:rPr>
        <w:t>Investiția 1 (C26.I1) – Digitalizarea sectorului sportului</w:t>
      </w:r>
    </w:p>
    <w:p w14:paraId="68947816" w14:textId="77777777" w:rsidR="00011DE9" w:rsidRDefault="00011DE9">
      <w:pPr>
        <w:pStyle w:val="P68B1DB1-Normal8"/>
        <w:spacing w:line="240" w:lineRule="auto"/>
        <w:jc w:val="both"/>
        <w:rPr>
          <w:noProof/>
        </w:rPr>
      </w:pPr>
      <w:r>
        <w:rPr>
          <w:noProof/>
        </w:rPr>
        <w:t>Obiectivul acestei măsuri este de a spori digitalizarea în sectorul sportului.</w:t>
      </w:r>
    </w:p>
    <w:p w14:paraId="22CFC7F3" w14:textId="77777777" w:rsidR="00011DE9" w:rsidRDefault="00011DE9">
      <w:pPr>
        <w:pStyle w:val="P68B1DB1-Normal8"/>
        <w:spacing w:line="240" w:lineRule="auto"/>
        <w:jc w:val="both"/>
        <w:rPr>
          <w:rFonts w:cs="Times New Roman"/>
          <w:noProof/>
        </w:rPr>
      </w:pPr>
      <w:r>
        <w:rPr>
          <w:noProof/>
        </w:rPr>
        <w:t xml:space="preserve">Măsura constă în sprijinirea digitalizării federațiilor sportive, a centrelor tehnice sportive, a centrelor de înaltă performanță, a centrelor de medicină sportivă și a administrației antidoping. </w:t>
      </w:r>
    </w:p>
    <w:p w14:paraId="18367498" w14:textId="77777777" w:rsidR="00011DE9" w:rsidRDefault="00011DE9">
      <w:pPr>
        <w:pStyle w:val="P68B1DB1-Normal58"/>
        <w:spacing w:line="240" w:lineRule="auto"/>
        <w:rPr>
          <w:rFonts w:cs="Times New Roman"/>
          <w:noProof/>
        </w:rPr>
      </w:pPr>
      <w:r>
        <w:rPr>
          <w:noProof/>
        </w:rPr>
        <w:t xml:space="preserve">Investiția 2 (C26.I2) – Tranziția ecologică a instalațiilor sportive </w:t>
      </w:r>
    </w:p>
    <w:p w14:paraId="7C23B159" w14:textId="77777777" w:rsidR="00011DE9" w:rsidRDefault="00011DE9">
      <w:pPr>
        <w:pStyle w:val="P68B1DB1-Normal8"/>
        <w:spacing w:line="240" w:lineRule="auto"/>
        <w:jc w:val="both"/>
        <w:rPr>
          <w:noProof/>
        </w:rPr>
      </w:pPr>
      <w:r>
        <w:rPr>
          <w:noProof/>
        </w:rPr>
        <w:t>Obiectivul acestei măsuri este de a moderniza instalațiile sportive existente.</w:t>
      </w:r>
    </w:p>
    <w:p w14:paraId="0057A423" w14:textId="77777777" w:rsidR="00011DE9" w:rsidRDefault="00011DE9">
      <w:pPr>
        <w:pStyle w:val="P68B1DB1-Normal8"/>
        <w:spacing w:line="240" w:lineRule="auto"/>
        <w:jc w:val="both"/>
        <w:rPr>
          <w:rFonts w:cs="Times New Roman"/>
          <w:noProof/>
        </w:rPr>
      </w:pPr>
      <w:r>
        <w:rPr>
          <w:noProof/>
        </w:rPr>
        <w:t xml:space="preserve">Această măsură constă în renovarea infrastructurilor sportive, a centrelor tehnice sau a instalațiilor sportive. </w:t>
      </w:r>
    </w:p>
    <w:p w14:paraId="3D408F7B" w14:textId="77777777" w:rsidR="00011DE9" w:rsidRDefault="00011DE9">
      <w:pPr>
        <w:pStyle w:val="P68B1DB1-Normal58"/>
        <w:spacing w:line="240" w:lineRule="auto"/>
        <w:rPr>
          <w:rFonts w:cs="Times New Roman"/>
          <w:noProof/>
        </w:rPr>
      </w:pPr>
      <w:r>
        <w:rPr>
          <w:noProof/>
        </w:rPr>
        <w:t>Investiția 3 (C26.I3) – Promovarea sportului</w:t>
      </w:r>
    </w:p>
    <w:p w14:paraId="70CD476F" w14:textId="77777777" w:rsidR="00011DE9" w:rsidRDefault="00011DE9">
      <w:pPr>
        <w:pStyle w:val="P68B1DB1-Normal8"/>
        <w:spacing w:line="240" w:lineRule="auto"/>
        <w:jc w:val="both"/>
        <w:rPr>
          <w:noProof/>
        </w:rPr>
      </w:pPr>
      <w:r>
        <w:rPr>
          <w:noProof/>
        </w:rPr>
        <w:t xml:space="preserve">Obiectivul acestei măsuri este de a promova participarea la activități sportive a femeilor și a minorilor, precum și a grupurilor expuse riscului de excluziune și a persoanelor cu handicap. </w:t>
      </w:r>
    </w:p>
    <w:p w14:paraId="0E3A6F2E" w14:textId="77777777" w:rsidR="00011DE9" w:rsidRDefault="00011DE9">
      <w:pPr>
        <w:pStyle w:val="P68B1DB1-Normal8"/>
        <w:spacing w:line="240" w:lineRule="auto"/>
        <w:jc w:val="both"/>
        <w:rPr>
          <w:rFonts w:cs="Times New Roman"/>
          <w:noProof/>
        </w:rPr>
      </w:pPr>
      <w:r>
        <w:rPr>
          <w:noProof/>
        </w:rPr>
        <w:t>Această măsură constă în activități legate de sport.</w:t>
      </w:r>
    </w:p>
    <w:p w14:paraId="72C7E2F1" w14:textId="77777777" w:rsidR="00011DE9" w:rsidRDefault="00011DE9">
      <w:pPr>
        <w:spacing w:before="120" w:after="120" w:line="240" w:lineRule="auto"/>
        <w:ind w:left="720"/>
        <w:jc w:val="both"/>
        <w:rPr>
          <w:rFonts w:ascii="Times New Roman" w:eastAsia="Calibri" w:hAnsi="Times New Roman" w:cs="Times New Roman"/>
          <w:b/>
          <w:noProof/>
          <w:u w:val="single"/>
        </w:rPr>
      </w:pPr>
      <w:r>
        <w:rPr>
          <w:rFonts w:ascii="Times New Roman" w:eastAsia="Calibri" w:hAnsi="Times New Roman" w:cs="Symbol"/>
          <w:b/>
          <w:noProof/>
          <w:u w:val="single"/>
        </w:rPr>
        <w:t xml:space="preserve">Z.2. </w:t>
      </w:r>
      <w:r>
        <w:rPr>
          <w:rFonts w:ascii="Symbol" w:eastAsia="Calibri" w:hAnsi="Symbol" w:cs="Symbol"/>
          <w:noProof/>
        </w:rPr>
        <w:t></w:t>
      </w:r>
      <w:r>
        <w:rPr>
          <w:rFonts w:ascii="Times New Roman" w:eastAsia="Calibri" w:hAnsi="Times New Roman" w:cs="Symbol"/>
          <w:b/>
          <w:noProof/>
          <w:u w:val="single"/>
        </w:rPr>
        <w:t>Jaloane, ținte, indicatori și calendarul de monitorizare și implementare aplicabile sprijinului financiar nerambursabil</w:t>
      </w:r>
    </w:p>
    <w:p w14:paraId="795A3055" w14:textId="77777777" w:rsidR="00011DE9" w:rsidRDefault="00011DE9">
      <w:pPr>
        <w:pStyle w:val="P68B1DB1-Normal59"/>
        <w:spacing w:before="120" w:after="120" w:line="240" w:lineRule="auto"/>
        <w:jc w:val="both"/>
        <w:rPr>
          <w:b/>
          <w:bCs/>
          <w:noProof/>
          <w:u w:val="single"/>
        </w:rPr>
      </w:pPr>
      <w:r>
        <w:rPr>
          <w:noProof/>
        </w:rPr>
        <w:t>A se vedea tabelul de mai jos. Data de referință pentru toți indicatorii este 1 februarie 2020, cu excepția cazului în care se indică altfel în descrierea acțiunii. Sumele din tabel nu includ TVA.</w:t>
      </w:r>
    </w:p>
    <w:p w14:paraId="13FD2597" w14:textId="77777777" w:rsidR="00011DE9" w:rsidRDefault="00011DE9">
      <w:pPr>
        <w:spacing w:before="120" w:after="120" w:line="240" w:lineRule="auto"/>
        <w:jc w:val="both"/>
        <w:rPr>
          <w:rFonts w:ascii="Times New Roman" w:eastAsia="Calibri" w:hAnsi="Times New Roman" w:cs="Times New Roman"/>
          <w:noProof/>
        </w:rPr>
        <w:sectPr w:rsidR="00011DE9" w:rsidSect="00011DE9">
          <w:headerReference w:type="default" r:id="rId358"/>
          <w:footerReference w:type="default" r:id="rId359"/>
          <w:pgSz w:w="11907" w:h="16839"/>
          <w:pgMar w:top="1134" w:right="1134" w:bottom="1134" w:left="1134" w:header="567" w:footer="567" w:gutter="0"/>
          <w:cols w:space="720"/>
          <w:docGrid w:linePitch="360"/>
        </w:sectPr>
      </w:pPr>
    </w:p>
    <w:p w14:paraId="7197DD4E" w14:textId="77777777" w:rsidR="00011DE9" w:rsidRDefault="00011DE9">
      <w:pPr>
        <w:spacing w:before="120" w:after="120" w:line="240" w:lineRule="auto"/>
        <w:jc w:val="both"/>
        <w:rPr>
          <w:rFonts w:ascii="Times New Roman" w:eastAsia="Calibri" w:hAnsi="Times New Roman" w:cs="Times New Roman"/>
          <w:noProof/>
          <w:sz w:val="20"/>
          <w:szCs w:val="20"/>
        </w:rPr>
      </w:pPr>
    </w:p>
    <w:tbl>
      <w:tblPr>
        <w:tblpPr w:leftFromText="180" w:rightFromText="180" w:vertAnchor="text" w:tblpXSpec="center" w:tblpY="1"/>
        <w:tblOverlap w:val="never"/>
        <w:tblW w:w="15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3"/>
        <w:gridCol w:w="845"/>
        <w:gridCol w:w="844"/>
        <w:gridCol w:w="2533"/>
        <w:gridCol w:w="1407"/>
        <w:gridCol w:w="986"/>
        <w:gridCol w:w="1266"/>
        <w:gridCol w:w="845"/>
        <w:gridCol w:w="422"/>
        <w:gridCol w:w="563"/>
        <w:gridCol w:w="4783"/>
      </w:tblGrid>
      <w:tr w:rsidR="00011DE9" w14:paraId="12AA1929" w14:textId="77777777">
        <w:trPr>
          <w:trHeight w:val="309"/>
          <w:tblHeader/>
          <w:jc w:val="center"/>
        </w:trPr>
        <w:tc>
          <w:tcPr>
            <w:tcW w:w="703" w:type="dxa"/>
            <w:vMerge w:val="restart"/>
            <w:shd w:val="clear" w:color="auto" w:fill="C6D9F1"/>
            <w:noWrap/>
            <w:vAlign w:val="center"/>
          </w:tcPr>
          <w:p w14:paraId="6A11F62A" w14:textId="77777777" w:rsidR="00011DE9" w:rsidRDefault="00011DE9">
            <w:pPr>
              <w:pStyle w:val="P68B1DB1-Normal60"/>
              <w:spacing w:after="0"/>
              <w:jc w:val="center"/>
              <w:rPr>
                <w:rFonts w:cs="Times New Roman"/>
                <w:noProof/>
                <w:szCs w:val="18"/>
              </w:rPr>
            </w:pPr>
            <w:r>
              <w:rPr>
                <w:noProof/>
              </w:rPr>
              <w:t>Număr</w:t>
            </w:r>
          </w:p>
        </w:tc>
        <w:tc>
          <w:tcPr>
            <w:tcW w:w="845" w:type="dxa"/>
            <w:vMerge w:val="restart"/>
            <w:shd w:val="clear" w:color="auto" w:fill="C6D9F1"/>
            <w:noWrap/>
            <w:vAlign w:val="center"/>
          </w:tcPr>
          <w:p w14:paraId="4E1D9AC6" w14:textId="77777777" w:rsidR="00011DE9" w:rsidRDefault="00011DE9">
            <w:pPr>
              <w:pStyle w:val="P68B1DB1-Normal60"/>
              <w:spacing w:after="0"/>
              <w:jc w:val="center"/>
              <w:rPr>
                <w:rFonts w:cs="Times New Roman"/>
                <w:noProof/>
                <w:szCs w:val="18"/>
              </w:rPr>
            </w:pPr>
            <w:r>
              <w:rPr>
                <w:noProof/>
              </w:rPr>
              <w:t>Măsură</w:t>
            </w:r>
          </w:p>
        </w:tc>
        <w:tc>
          <w:tcPr>
            <w:tcW w:w="844" w:type="dxa"/>
            <w:vMerge w:val="restart"/>
            <w:shd w:val="clear" w:color="auto" w:fill="C6D9F1"/>
            <w:noWrap/>
            <w:vAlign w:val="center"/>
          </w:tcPr>
          <w:p w14:paraId="60C77EE3" w14:textId="6F8048C2" w:rsidR="00011DE9" w:rsidRDefault="00011DE9">
            <w:pPr>
              <w:spacing w:after="0"/>
              <w:jc w:val="center"/>
              <w:rPr>
                <w:rFonts w:ascii="Times New Roman" w:eastAsia="Calibri" w:hAnsi="Times New Roman" w:cs="Times New Roman"/>
                <w:b/>
                <w:noProof/>
                <w:sz w:val="18"/>
                <w:szCs w:val="18"/>
              </w:rPr>
            </w:pPr>
            <w:r>
              <w:rPr>
                <w:rFonts w:ascii="Times New Roman" w:eastAsia="Calibri" w:hAnsi="Times New Roman" w:cs="Arial"/>
                <w:b/>
                <w:noProof/>
                <w:sz w:val="18"/>
              </w:rPr>
              <w:t>Etapă</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/Țintei</w:t>
            </w:r>
          </w:p>
        </w:tc>
        <w:tc>
          <w:tcPr>
            <w:tcW w:w="2533" w:type="dxa"/>
            <w:vMerge w:val="restart"/>
            <w:shd w:val="clear" w:color="auto" w:fill="C6D9F1"/>
            <w:noWrap/>
            <w:vAlign w:val="center"/>
          </w:tcPr>
          <w:p w14:paraId="605BA5F3" w14:textId="77777777" w:rsidR="00011DE9" w:rsidRDefault="00011DE9">
            <w:pPr>
              <w:pStyle w:val="P68B1DB1-Normal60"/>
              <w:spacing w:after="0"/>
              <w:jc w:val="center"/>
              <w:rPr>
                <w:rFonts w:cs="Times New Roman"/>
                <w:noProof/>
                <w:szCs w:val="18"/>
              </w:rPr>
            </w:pPr>
            <w:r>
              <w:rPr>
                <w:noProof/>
              </w:rPr>
              <w:t>Nume</w:t>
            </w:r>
          </w:p>
        </w:tc>
        <w:tc>
          <w:tcPr>
            <w:tcW w:w="1407" w:type="dxa"/>
            <w:vMerge w:val="restart"/>
            <w:shd w:val="clear" w:color="auto" w:fill="C6D9F1"/>
            <w:noWrap/>
            <w:vAlign w:val="center"/>
          </w:tcPr>
          <w:p w14:paraId="36FA532A" w14:textId="77777777" w:rsidR="00011DE9" w:rsidRDefault="00011DE9">
            <w:pPr>
              <w:pStyle w:val="P68B1DB1-Normal60"/>
              <w:spacing w:after="0"/>
              <w:jc w:val="center"/>
              <w:rPr>
                <w:rFonts w:cs="Times New Roman"/>
                <w:noProof/>
                <w:szCs w:val="18"/>
              </w:rPr>
            </w:pPr>
            <w:r>
              <w:rPr>
                <w:noProof/>
              </w:rPr>
              <w:t>Indicator calitativ pentru jaloane</w:t>
            </w:r>
          </w:p>
        </w:tc>
        <w:tc>
          <w:tcPr>
            <w:tcW w:w="3097" w:type="dxa"/>
            <w:gridSpan w:val="3"/>
            <w:shd w:val="clear" w:color="auto" w:fill="C6D9F1"/>
            <w:noWrap/>
            <w:vAlign w:val="center"/>
          </w:tcPr>
          <w:p w14:paraId="3C553DB6" w14:textId="77777777" w:rsidR="00011DE9" w:rsidRDefault="00011DE9">
            <w:pPr>
              <w:pStyle w:val="P68B1DB1-Normal60"/>
              <w:spacing w:after="0"/>
              <w:jc w:val="center"/>
              <w:rPr>
                <w:rFonts w:cs="Times New Roman"/>
                <w:noProof/>
                <w:szCs w:val="18"/>
              </w:rPr>
            </w:pPr>
            <w:r>
              <w:rPr>
                <w:noProof/>
              </w:rPr>
              <w:t>Indicator cantitativ pentru ținte</w:t>
            </w:r>
          </w:p>
        </w:tc>
        <w:tc>
          <w:tcPr>
            <w:tcW w:w="985" w:type="dxa"/>
            <w:gridSpan w:val="2"/>
            <w:shd w:val="clear" w:color="auto" w:fill="C6D9F1"/>
            <w:noWrap/>
            <w:vAlign w:val="center"/>
          </w:tcPr>
          <w:p w14:paraId="2D2D4596" w14:textId="77777777" w:rsidR="00011DE9" w:rsidRDefault="00011DE9">
            <w:pPr>
              <w:pStyle w:val="P68B1DB1-Normal60"/>
              <w:spacing w:after="0"/>
              <w:jc w:val="center"/>
              <w:rPr>
                <w:rFonts w:cs="Times New Roman"/>
                <w:noProof/>
                <w:szCs w:val="18"/>
              </w:rPr>
            </w:pPr>
            <w:r>
              <w:rPr>
                <w:noProof/>
              </w:rPr>
              <w:t>Timp</w:t>
            </w:r>
          </w:p>
        </w:tc>
        <w:tc>
          <w:tcPr>
            <w:tcW w:w="4783" w:type="dxa"/>
            <w:vMerge w:val="restart"/>
            <w:shd w:val="clear" w:color="auto" w:fill="C6D9F1"/>
            <w:noWrap/>
            <w:vAlign w:val="center"/>
          </w:tcPr>
          <w:p w14:paraId="3CD3567F" w14:textId="77777777" w:rsidR="00011DE9" w:rsidRDefault="00011DE9">
            <w:pPr>
              <w:pStyle w:val="P68B1DB1-Normal60"/>
              <w:spacing w:after="0"/>
              <w:jc w:val="center"/>
              <w:rPr>
                <w:rFonts w:cs="Times New Roman"/>
                <w:noProof/>
                <w:szCs w:val="18"/>
              </w:rPr>
            </w:pPr>
            <w:r>
              <w:rPr>
                <w:noProof/>
              </w:rPr>
              <w:t>Descrierea fiecărui jalon și a fiecărei ținte</w:t>
            </w:r>
          </w:p>
        </w:tc>
      </w:tr>
      <w:tr w:rsidR="00011DE9" w14:paraId="713796D9" w14:textId="77777777">
        <w:trPr>
          <w:trHeight w:val="309"/>
          <w:tblHeader/>
          <w:jc w:val="center"/>
        </w:trPr>
        <w:tc>
          <w:tcPr>
            <w:tcW w:w="703" w:type="dxa"/>
            <w:vMerge/>
            <w:noWrap/>
          </w:tcPr>
          <w:p w14:paraId="2293F743" w14:textId="77777777" w:rsidR="00011DE9" w:rsidRDefault="00011DE9">
            <w:pPr>
              <w:spacing w:after="0"/>
              <w:jc w:val="center"/>
              <w:rPr>
                <w:rFonts w:ascii="Times New Roman" w:eastAsia="Calibri" w:hAnsi="Times New Roman" w:cs="Times New Roman"/>
                <w:b/>
                <w:noProof/>
                <w:sz w:val="18"/>
                <w:szCs w:val="18"/>
              </w:rPr>
            </w:pPr>
          </w:p>
        </w:tc>
        <w:tc>
          <w:tcPr>
            <w:tcW w:w="845" w:type="dxa"/>
            <w:vMerge/>
            <w:noWrap/>
          </w:tcPr>
          <w:p w14:paraId="2181961D" w14:textId="77777777" w:rsidR="00011DE9" w:rsidRDefault="00011DE9">
            <w:pPr>
              <w:spacing w:after="0"/>
              <w:jc w:val="center"/>
              <w:rPr>
                <w:rFonts w:ascii="Times New Roman" w:eastAsia="Calibri" w:hAnsi="Times New Roman" w:cs="Times New Roman"/>
                <w:b/>
                <w:noProof/>
                <w:sz w:val="18"/>
                <w:szCs w:val="18"/>
              </w:rPr>
            </w:pPr>
          </w:p>
        </w:tc>
        <w:tc>
          <w:tcPr>
            <w:tcW w:w="844" w:type="dxa"/>
            <w:vMerge/>
            <w:noWrap/>
          </w:tcPr>
          <w:p w14:paraId="0368A909" w14:textId="77777777" w:rsidR="00011DE9" w:rsidRDefault="00011DE9">
            <w:pPr>
              <w:spacing w:after="0"/>
              <w:jc w:val="center"/>
              <w:rPr>
                <w:rFonts w:ascii="Times New Roman" w:eastAsia="Calibri" w:hAnsi="Times New Roman" w:cs="Times New Roman"/>
                <w:b/>
                <w:noProof/>
                <w:sz w:val="18"/>
                <w:szCs w:val="18"/>
              </w:rPr>
            </w:pPr>
          </w:p>
        </w:tc>
        <w:tc>
          <w:tcPr>
            <w:tcW w:w="2533" w:type="dxa"/>
            <w:vMerge/>
            <w:noWrap/>
          </w:tcPr>
          <w:p w14:paraId="61297138" w14:textId="77777777" w:rsidR="00011DE9" w:rsidRDefault="00011DE9">
            <w:pPr>
              <w:spacing w:after="0"/>
              <w:rPr>
                <w:rFonts w:ascii="Times New Roman" w:eastAsia="Calibri" w:hAnsi="Times New Roman" w:cs="Times New Roman"/>
                <w:b/>
                <w:noProof/>
                <w:sz w:val="18"/>
                <w:szCs w:val="18"/>
              </w:rPr>
            </w:pPr>
          </w:p>
        </w:tc>
        <w:tc>
          <w:tcPr>
            <w:tcW w:w="1407" w:type="dxa"/>
            <w:vMerge/>
            <w:noWrap/>
          </w:tcPr>
          <w:p w14:paraId="0DE95EF8" w14:textId="77777777" w:rsidR="00011DE9" w:rsidRDefault="00011DE9">
            <w:pPr>
              <w:spacing w:after="0"/>
              <w:jc w:val="center"/>
              <w:rPr>
                <w:rFonts w:ascii="Times New Roman" w:eastAsia="Calibri" w:hAnsi="Times New Roman" w:cs="Times New Roman"/>
                <w:b/>
                <w:noProof/>
                <w:sz w:val="18"/>
                <w:szCs w:val="18"/>
              </w:rPr>
            </w:pPr>
          </w:p>
        </w:tc>
        <w:tc>
          <w:tcPr>
            <w:tcW w:w="986" w:type="dxa"/>
            <w:shd w:val="clear" w:color="auto" w:fill="C6D9F1"/>
            <w:noWrap/>
          </w:tcPr>
          <w:p w14:paraId="4CECF99B" w14:textId="77777777" w:rsidR="00011DE9" w:rsidRDefault="00011DE9">
            <w:pPr>
              <w:pStyle w:val="P68B1DB1-Normal60"/>
              <w:spacing w:after="0"/>
              <w:jc w:val="center"/>
              <w:rPr>
                <w:rFonts w:cs="Times New Roman"/>
                <w:noProof/>
                <w:szCs w:val="18"/>
              </w:rPr>
            </w:pPr>
            <w:r>
              <w:rPr>
                <w:noProof/>
              </w:rPr>
              <w:t>Unitate</w:t>
            </w:r>
          </w:p>
        </w:tc>
        <w:tc>
          <w:tcPr>
            <w:tcW w:w="1266" w:type="dxa"/>
            <w:shd w:val="clear" w:color="auto" w:fill="C6D9F1"/>
            <w:noWrap/>
          </w:tcPr>
          <w:p w14:paraId="3A307AE9" w14:textId="77777777" w:rsidR="00011DE9" w:rsidRDefault="00011DE9">
            <w:pPr>
              <w:pStyle w:val="P68B1DB1-Normal60"/>
              <w:spacing w:after="0"/>
              <w:jc w:val="center"/>
              <w:rPr>
                <w:rFonts w:cs="Times New Roman"/>
                <w:noProof/>
                <w:szCs w:val="18"/>
              </w:rPr>
            </w:pPr>
            <w:r>
              <w:rPr>
                <w:noProof/>
              </w:rPr>
              <w:t>Situația de referință</w:t>
            </w:r>
          </w:p>
        </w:tc>
        <w:tc>
          <w:tcPr>
            <w:tcW w:w="845" w:type="dxa"/>
            <w:shd w:val="clear" w:color="auto" w:fill="C6D9F1"/>
            <w:noWrap/>
          </w:tcPr>
          <w:p w14:paraId="70E8210C" w14:textId="77777777" w:rsidR="00011DE9" w:rsidRDefault="00011DE9">
            <w:pPr>
              <w:pStyle w:val="P68B1DB1-Normal60"/>
              <w:spacing w:after="0"/>
              <w:jc w:val="center"/>
              <w:rPr>
                <w:rFonts w:cs="Times New Roman"/>
                <w:noProof/>
                <w:szCs w:val="18"/>
              </w:rPr>
            </w:pPr>
            <w:r>
              <w:rPr>
                <w:noProof/>
              </w:rPr>
              <w:t>Obiectiv</w:t>
            </w:r>
          </w:p>
        </w:tc>
        <w:tc>
          <w:tcPr>
            <w:tcW w:w="422" w:type="dxa"/>
            <w:shd w:val="clear" w:color="auto" w:fill="C6D9F1"/>
            <w:noWrap/>
          </w:tcPr>
          <w:p w14:paraId="1448B27D" w14:textId="5D852BC3" w:rsidR="00011DE9" w:rsidRDefault="003010A3">
            <w:pPr>
              <w:pStyle w:val="P68B1DB1-Normal60"/>
              <w:spacing w:after="0"/>
              <w:jc w:val="center"/>
              <w:rPr>
                <w:rFonts w:cs="Times New Roman"/>
                <w:noProof/>
                <w:szCs w:val="18"/>
              </w:rPr>
            </w:pPr>
            <w:r>
              <w:rPr>
                <w:noProof/>
              </w:rPr>
              <w:t>T</w:t>
            </w:r>
          </w:p>
        </w:tc>
        <w:tc>
          <w:tcPr>
            <w:tcW w:w="563" w:type="dxa"/>
            <w:shd w:val="clear" w:color="auto" w:fill="C6D9F1"/>
            <w:noWrap/>
          </w:tcPr>
          <w:p w14:paraId="43F412E4" w14:textId="77777777" w:rsidR="00011DE9" w:rsidRDefault="00011DE9">
            <w:pPr>
              <w:pStyle w:val="P68B1DB1-Normal60"/>
              <w:spacing w:after="0"/>
              <w:jc w:val="center"/>
              <w:rPr>
                <w:rFonts w:cs="Times New Roman"/>
                <w:noProof/>
                <w:szCs w:val="18"/>
              </w:rPr>
            </w:pPr>
            <w:r>
              <w:rPr>
                <w:noProof/>
              </w:rPr>
              <w:t>Anul</w:t>
            </w:r>
          </w:p>
        </w:tc>
        <w:tc>
          <w:tcPr>
            <w:tcW w:w="4783" w:type="dxa"/>
            <w:vMerge/>
            <w:noWrap/>
          </w:tcPr>
          <w:p w14:paraId="0585987D" w14:textId="77777777" w:rsidR="00011DE9" w:rsidRDefault="00011DE9">
            <w:pPr>
              <w:spacing w:after="0"/>
              <w:rPr>
                <w:rFonts w:ascii="Times New Roman" w:eastAsia="Calibri" w:hAnsi="Times New Roman" w:cs="Times New Roman"/>
                <w:b/>
                <w:noProof/>
                <w:sz w:val="18"/>
                <w:szCs w:val="18"/>
              </w:rPr>
            </w:pPr>
          </w:p>
        </w:tc>
      </w:tr>
      <w:tr w:rsidR="00011DE9" w14:paraId="3A30BC5B" w14:textId="77777777">
        <w:trPr>
          <w:trHeight w:val="309"/>
          <w:jc w:val="center"/>
        </w:trPr>
        <w:tc>
          <w:tcPr>
            <w:tcW w:w="703" w:type="dxa"/>
            <w:shd w:val="clear" w:color="auto" w:fill="C6EFCE"/>
            <w:noWrap/>
          </w:tcPr>
          <w:p w14:paraId="7CA2FFCF" w14:textId="77777777" w:rsidR="00011DE9" w:rsidRDefault="00011DE9">
            <w:pPr>
              <w:pStyle w:val="P68B1DB1-Normal48"/>
              <w:spacing w:after="0"/>
              <w:jc w:val="center"/>
              <w:rPr>
                <w:rFonts w:eastAsia="Times New Roman" w:cs="Times New Roman"/>
                <w:noProof/>
                <w:szCs w:val="18"/>
              </w:rPr>
            </w:pPr>
            <w:r>
              <w:rPr>
                <w:noProof/>
              </w:rPr>
              <w:t>367</w:t>
            </w:r>
          </w:p>
        </w:tc>
        <w:tc>
          <w:tcPr>
            <w:tcW w:w="845" w:type="dxa"/>
            <w:shd w:val="clear" w:color="auto" w:fill="C6EFCE"/>
            <w:noWrap/>
          </w:tcPr>
          <w:p w14:paraId="143CA781" w14:textId="77777777" w:rsidR="00011DE9" w:rsidRDefault="00011DE9">
            <w:pPr>
              <w:pStyle w:val="P68B1DB1-Normal48"/>
              <w:spacing w:after="0"/>
              <w:jc w:val="center"/>
              <w:rPr>
                <w:rFonts w:eastAsia="Times New Roman" w:cs="Times New Roman"/>
                <w:noProof/>
                <w:szCs w:val="18"/>
              </w:rPr>
            </w:pPr>
            <w:r>
              <w:rPr>
                <w:noProof/>
              </w:rPr>
              <w:t>C26.R1</w:t>
            </w:r>
          </w:p>
        </w:tc>
        <w:tc>
          <w:tcPr>
            <w:tcW w:w="844" w:type="dxa"/>
            <w:shd w:val="clear" w:color="auto" w:fill="C6EFCE"/>
            <w:noWrap/>
          </w:tcPr>
          <w:p w14:paraId="75F2CAB7" w14:textId="77777777" w:rsidR="00011DE9" w:rsidRDefault="00011DE9">
            <w:pPr>
              <w:pStyle w:val="P68B1DB1-Normal48"/>
              <w:spacing w:after="0"/>
              <w:jc w:val="center"/>
              <w:rPr>
                <w:rFonts w:eastAsia="Times New Roman" w:cs="Times New Roman"/>
                <w:noProof/>
                <w:szCs w:val="18"/>
              </w:rPr>
            </w:pPr>
            <w:r>
              <w:rPr>
                <w:noProof/>
              </w:rPr>
              <w:t>M</w:t>
            </w:r>
          </w:p>
        </w:tc>
        <w:tc>
          <w:tcPr>
            <w:tcW w:w="2533" w:type="dxa"/>
            <w:shd w:val="clear" w:color="auto" w:fill="C6EFCE"/>
            <w:noWrap/>
          </w:tcPr>
          <w:p w14:paraId="7E57B9ED" w14:textId="77777777" w:rsidR="00011DE9" w:rsidRDefault="00011DE9">
            <w:pPr>
              <w:pStyle w:val="P68B1DB1-Normal48"/>
              <w:spacing w:after="0"/>
              <w:rPr>
                <w:rFonts w:eastAsia="Times New Roman" w:cs="Times New Roman"/>
                <w:noProof/>
                <w:szCs w:val="18"/>
              </w:rPr>
            </w:pPr>
            <w:r>
              <w:rPr>
                <w:noProof/>
              </w:rPr>
              <w:t xml:space="preserve">Intrarea în vigoare a legii sportului </w:t>
            </w:r>
          </w:p>
        </w:tc>
        <w:tc>
          <w:tcPr>
            <w:tcW w:w="1407" w:type="dxa"/>
            <w:shd w:val="clear" w:color="auto" w:fill="C6EFCE"/>
            <w:noWrap/>
          </w:tcPr>
          <w:p w14:paraId="0684A539" w14:textId="77777777" w:rsidR="00011DE9" w:rsidRDefault="00011DE9">
            <w:pPr>
              <w:pStyle w:val="P68B1DB1-Normal48"/>
              <w:spacing w:after="0"/>
              <w:jc w:val="center"/>
              <w:rPr>
                <w:rFonts w:eastAsia="Times New Roman" w:cs="Times New Roman"/>
                <w:noProof/>
                <w:szCs w:val="18"/>
              </w:rPr>
            </w:pPr>
            <w:r>
              <w:rPr>
                <w:noProof/>
              </w:rPr>
              <w:t xml:space="preserve">Dispoziție din lege care indică intrarea sa în vigoare </w:t>
            </w:r>
          </w:p>
        </w:tc>
        <w:tc>
          <w:tcPr>
            <w:tcW w:w="986" w:type="dxa"/>
            <w:shd w:val="clear" w:color="auto" w:fill="C6EFCE"/>
            <w:noWrap/>
          </w:tcPr>
          <w:p w14:paraId="29C33361" w14:textId="77777777" w:rsidR="00011DE9" w:rsidRDefault="00011DE9">
            <w:pPr>
              <w:pStyle w:val="P68B1DB1-Normal48"/>
              <w:spacing w:after="0"/>
              <w:jc w:val="center"/>
              <w:rPr>
                <w:rFonts w:eastAsia="Times New Roman" w:cs="Times New Roman"/>
                <w:noProof/>
                <w:szCs w:val="18"/>
              </w:rPr>
            </w:pPr>
            <w:r>
              <w:rPr>
                <w:noProof/>
              </w:rPr>
              <w:t xml:space="preserve"> </w:t>
            </w:r>
          </w:p>
        </w:tc>
        <w:tc>
          <w:tcPr>
            <w:tcW w:w="1266" w:type="dxa"/>
            <w:shd w:val="clear" w:color="auto" w:fill="C6EFCE"/>
            <w:noWrap/>
          </w:tcPr>
          <w:p w14:paraId="4096E881" w14:textId="77777777" w:rsidR="00011DE9" w:rsidRDefault="00011DE9">
            <w:pPr>
              <w:pStyle w:val="P68B1DB1-Normal48"/>
              <w:spacing w:after="0"/>
              <w:jc w:val="center"/>
              <w:rPr>
                <w:rFonts w:cs="Times New Roman"/>
                <w:noProof/>
                <w:szCs w:val="18"/>
              </w:rPr>
            </w:pPr>
            <w:r>
              <w:rPr>
                <w:noProof/>
              </w:rPr>
              <w:t xml:space="preserve"> </w:t>
            </w:r>
          </w:p>
        </w:tc>
        <w:tc>
          <w:tcPr>
            <w:tcW w:w="845" w:type="dxa"/>
            <w:shd w:val="clear" w:color="auto" w:fill="C6EFCE"/>
            <w:noWrap/>
          </w:tcPr>
          <w:p w14:paraId="786275A6" w14:textId="77777777" w:rsidR="00011DE9" w:rsidRDefault="00011DE9">
            <w:pPr>
              <w:pStyle w:val="P68B1DB1-Normal48"/>
              <w:spacing w:after="0"/>
              <w:jc w:val="right"/>
              <w:rPr>
                <w:rFonts w:eastAsia="Times New Roman" w:cs="Times New Roman"/>
                <w:noProof/>
                <w:szCs w:val="18"/>
              </w:rPr>
            </w:pPr>
            <w:r>
              <w:rPr>
                <w:noProof/>
              </w:rPr>
              <w:t xml:space="preserve"> </w:t>
            </w:r>
          </w:p>
        </w:tc>
        <w:tc>
          <w:tcPr>
            <w:tcW w:w="422" w:type="dxa"/>
            <w:shd w:val="clear" w:color="auto" w:fill="C6EFCE"/>
            <w:noWrap/>
          </w:tcPr>
          <w:p w14:paraId="74486ADF" w14:textId="64304533" w:rsidR="00011DE9" w:rsidRDefault="005701C9">
            <w:pPr>
              <w:pStyle w:val="P68B1DB1-Normal48"/>
              <w:spacing w:after="0"/>
              <w:jc w:val="center"/>
              <w:rPr>
                <w:rFonts w:eastAsia="Times New Roman" w:cs="Times New Roman"/>
                <w:noProof/>
                <w:szCs w:val="18"/>
              </w:rPr>
            </w:pPr>
            <w:r>
              <w:rPr>
                <w:noProof/>
              </w:rPr>
              <w:t>T4</w:t>
            </w:r>
          </w:p>
        </w:tc>
        <w:tc>
          <w:tcPr>
            <w:tcW w:w="563" w:type="dxa"/>
            <w:shd w:val="clear" w:color="auto" w:fill="C6EFCE"/>
            <w:noWrap/>
          </w:tcPr>
          <w:p w14:paraId="1938D9BC" w14:textId="77777777" w:rsidR="00011DE9" w:rsidRDefault="00011DE9">
            <w:pPr>
              <w:pStyle w:val="P68B1DB1-Normal48"/>
              <w:spacing w:after="0"/>
              <w:jc w:val="center"/>
              <w:rPr>
                <w:rFonts w:eastAsia="Times New Roman" w:cs="Times New Roman"/>
                <w:noProof/>
                <w:szCs w:val="18"/>
              </w:rPr>
            </w:pPr>
            <w:r>
              <w:rPr>
                <w:noProof/>
              </w:rPr>
              <w:t>2022</w:t>
            </w:r>
          </w:p>
        </w:tc>
        <w:tc>
          <w:tcPr>
            <w:tcW w:w="4783" w:type="dxa"/>
            <w:shd w:val="clear" w:color="auto" w:fill="C6EFCE"/>
            <w:noWrap/>
          </w:tcPr>
          <w:p w14:paraId="3505CA5A" w14:textId="77777777" w:rsidR="00011DE9" w:rsidRDefault="00011DE9">
            <w:pPr>
              <w:pStyle w:val="P68B1DB1-Normal48"/>
              <w:spacing w:after="0"/>
              <w:rPr>
                <w:rFonts w:eastAsia="Times New Roman" w:cs="Times New Roman"/>
                <w:noProof/>
                <w:szCs w:val="18"/>
              </w:rPr>
            </w:pPr>
            <w:r>
              <w:rPr>
                <w:noProof/>
              </w:rPr>
              <w:t xml:space="preserve">Legea promovează sănătatea și siguranța în practicarea sportului la toate nivelurile, egalitatea de gen, incluziunea socială și accesibilitatea, promovarea dimensiunii internaționale a modelului și modernizarea organizațiilor și a infrastructurilor prin respectarea mediului și digitalizare. </w:t>
            </w:r>
          </w:p>
        </w:tc>
      </w:tr>
      <w:tr w:rsidR="00011DE9" w14:paraId="1B4C1FBD" w14:textId="77777777">
        <w:trPr>
          <w:trHeight w:val="309"/>
          <w:jc w:val="center"/>
        </w:trPr>
        <w:tc>
          <w:tcPr>
            <w:tcW w:w="703" w:type="dxa"/>
            <w:shd w:val="clear" w:color="auto" w:fill="C6EFCE"/>
            <w:noWrap/>
          </w:tcPr>
          <w:p w14:paraId="7AB6CAD8" w14:textId="77777777" w:rsidR="00011DE9" w:rsidRDefault="00011DE9">
            <w:pPr>
              <w:pStyle w:val="P68B1DB1-Normal48"/>
              <w:spacing w:after="0"/>
              <w:jc w:val="center"/>
              <w:rPr>
                <w:rFonts w:eastAsia="Times New Roman" w:cs="Times New Roman"/>
                <w:noProof/>
                <w:szCs w:val="18"/>
              </w:rPr>
            </w:pPr>
            <w:r>
              <w:rPr>
                <w:noProof/>
              </w:rPr>
              <w:t>370</w:t>
            </w:r>
          </w:p>
        </w:tc>
        <w:tc>
          <w:tcPr>
            <w:tcW w:w="845" w:type="dxa"/>
            <w:shd w:val="clear" w:color="auto" w:fill="C6EFCE"/>
            <w:noWrap/>
          </w:tcPr>
          <w:p w14:paraId="5190ADDD" w14:textId="77777777" w:rsidR="00011DE9" w:rsidRDefault="00011DE9">
            <w:pPr>
              <w:pStyle w:val="P68B1DB1-Normal48"/>
              <w:spacing w:after="0"/>
              <w:jc w:val="center"/>
              <w:rPr>
                <w:rFonts w:eastAsia="Times New Roman" w:cs="Times New Roman"/>
                <w:noProof/>
                <w:szCs w:val="18"/>
              </w:rPr>
            </w:pPr>
            <w:r>
              <w:rPr>
                <w:noProof/>
              </w:rPr>
              <w:t>C26.I1</w:t>
            </w:r>
          </w:p>
        </w:tc>
        <w:tc>
          <w:tcPr>
            <w:tcW w:w="844" w:type="dxa"/>
            <w:shd w:val="clear" w:color="auto" w:fill="C6EFCE"/>
            <w:noWrap/>
          </w:tcPr>
          <w:p w14:paraId="366AD89E" w14:textId="77777777" w:rsidR="00011DE9" w:rsidRDefault="00011DE9">
            <w:pPr>
              <w:pStyle w:val="P68B1DB1-Normal48"/>
              <w:spacing w:after="0"/>
              <w:jc w:val="center"/>
              <w:rPr>
                <w:rFonts w:eastAsia="Times New Roman" w:cs="Times New Roman"/>
                <w:noProof/>
                <w:szCs w:val="18"/>
              </w:rPr>
            </w:pPr>
            <w:r>
              <w:rPr>
                <w:noProof/>
              </w:rPr>
              <w:t>M</w:t>
            </w:r>
          </w:p>
        </w:tc>
        <w:tc>
          <w:tcPr>
            <w:tcW w:w="2533" w:type="dxa"/>
            <w:shd w:val="clear" w:color="auto" w:fill="C6EFCE"/>
            <w:noWrap/>
          </w:tcPr>
          <w:p w14:paraId="3C04FD5D" w14:textId="77777777" w:rsidR="00011DE9" w:rsidRDefault="00011DE9">
            <w:pPr>
              <w:pStyle w:val="P68B1DB1-Normal48"/>
              <w:spacing w:after="0"/>
              <w:rPr>
                <w:rFonts w:eastAsia="Times New Roman" w:cs="Times New Roman"/>
                <w:noProof/>
                <w:szCs w:val="18"/>
              </w:rPr>
            </w:pPr>
            <w:r>
              <w:rPr>
                <w:noProof/>
              </w:rPr>
              <w:t>Digitalizarea sectorului sportului</w:t>
            </w:r>
          </w:p>
        </w:tc>
        <w:tc>
          <w:tcPr>
            <w:tcW w:w="1407" w:type="dxa"/>
            <w:shd w:val="clear" w:color="auto" w:fill="C6EFCE"/>
            <w:noWrap/>
          </w:tcPr>
          <w:p w14:paraId="2678BC11" w14:textId="77777777" w:rsidR="00011DE9" w:rsidRDefault="00011DE9">
            <w:pPr>
              <w:pStyle w:val="P68B1DB1-Normal48"/>
              <w:spacing w:after="0"/>
              <w:jc w:val="center"/>
              <w:rPr>
                <w:rFonts w:eastAsia="Times New Roman" w:cs="Times New Roman"/>
                <w:noProof/>
                <w:szCs w:val="18"/>
              </w:rPr>
            </w:pPr>
            <w:r>
              <w:rPr>
                <w:noProof/>
              </w:rPr>
              <w:t>Rapoarte finale; sau certificate de acceptare, declarații de conformitate sau documente echivalente care certifică executarea contractelor și a acordurilor (</w:t>
            </w:r>
            <w:r>
              <w:rPr>
                <w:i/>
                <w:noProof/>
              </w:rPr>
              <w:t>convenios</w:t>
            </w:r>
            <w:r>
              <w:rPr>
                <w:noProof/>
              </w:rPr>
              <w:t xml:space="preserve">) </w:t>
            </w:r>
          </w:p>
        </w:tc>
        <w:tc>
          <w:tcPr>
            <w:tcW w:w="986" w:type="dxa"/>
            <w:shd w:val="clear" w:color="auto" w:fill="C6EFCE"/>
            <w:noWrap/>
          </w:tcPr>
          <w:p w14:paraId="00D3A582" w14:textId="77777777" w:rsidR="00011DE9" w:rsidRDefault="00011DE9">
            <w:pPr>
              <w:pStyle w:val="P68B1DB1-Normal48"/>
              <w:spacing w:after="0"/>
              <w:jc w:val="center"/>
              <w:rPr>
                <w:rFonts w:eastAsia="Times New Roman" w:cs="Times New Roman"/>
                <w:noProof/>
                <w:szCs w:val="18"/>
              </w:rPr>
            </w:pPr>
            <w:r>
              <w:rPr>
                <w:noProof/>
              </w:rPr>
              <w:t xml:space="preserve"> </w:t>
            </w:r>
          </w:p>
        </w:tc>
        <w:tc>
          <w:tcPr>
            <w:tcW w:w="1266" w:type="dxa"/>
            <w:shd w:val="clear" w:color="auto" w:fill="C6EFCE"/>
            <w:noWrap/>
          </w:tcPr>
          <w:p w14:paraId="52810AB9" w14:textId="77777777" w:rsidR="00011DE9" w:rsidRDefault="00011DE9">
            <w:pPr>
              <w:spacing w:after="0"/>
              <w:jc w:val="right"/>
              <w:rPr>
                <w:rFonts w:ascii="Times New Roman" w:eastAsia="Times New Roman" w:hAnsi="Times New Roman" w:cs="Times New Roman"/>
                <w:noProof/>
                <w:sz w:val="18"/>
                <w:szCs w:val="18"/>
              </w:rPr>
            </w:pPr>
          </w:p>
        </w:tc>
        <w:tc>
          <w:tcPr>
            <w:tcW w:w="845" w:type="dxa"/>
            <w:shd w:val="clear" w:color="auto" w:fill="C6EFCE"/>
            <w:noWrap/>
          </w:tcPr>
          <w:p w14:paraId="3B853247" w14:textId="77777777" w:rsidR="00011DE9" w:rsidRDefault="00011DE9">
            <w:pPr>
              <w:pStyle w:val="P68B1DB1-Normal48"/>
              <w:spacing w:after="0"/>
              <w:jc w:val="right"/>
              <w:rPr>
                <w:rFonts w:eastAsia="Times New Roman" w:cs="Times New Roman"/>
                <w:noProof/>
                <w:szCs w:val="18"/>
              </w:rPr>
            </w:pPr>
            <w:r>
              <w:rPr>
                <w:noProof/>
              </w:rPr>
              <w:t xml:space="preserve"> </w:t>
            </w:r>
          </w:p>
        </w:tc>
        <w:tc>
          <w:tcPr>
            <w:tcW w:w="422" w:type="dxa"/>
            <w:shd w:val="clear" w:color="auto" w:fill="C6EFCE"/>
            <w:noWrap/>
          </w:tcPr>
          <w:p w14:paraId="7FE68F47" w14:textId="16EBA79C" w:rsidR="00011DE9" w:rsidRDefault="005701C9">
            <w:pPr>
              <w:pStyle w:val="P68B1DB1-Normal48"/>
              <w:spacing w:after="0"/>
              <w:rPr>
                <w:rFonts w:cs="Times New Roman"/>
                <w:noProof/>
                <w:szCs w:val="18"/>
              </w:rPr>
            </w:pPr>
            <w:r>
              <w:rPr>
                <w:noProof/>
              </w:rPr>
              <w:t>T2</w:t>
            </w:r>
          </w:p>
        </w:tc>
        <w:tc>
          <w:tcPr>
            <w:tcW w:w="563" w:type="dxa"/>
            <w:shd w:val="clear" w:color="auto" w:fill="C6EFCE"/>
            <w:noWrap/>
          </w:tcPr>
          <w:p w14:paraId="4B138D8E" w14:textId="77777777" w:rsidR="00011DE9" w:rsidRDefault="00011DE9">
            <w:pPr>
              <w:pStyle w:val="P68B1DB1-Normal48"/>
              <w:spacing w:after="0"/>
              <w:rPr>
                <w:rFonts w:cs="Times New Roman"/>
                <w:noProof/>
                <w:szCs w:val="18"/>
              </w:rPr>
            </w:pPr>
            <w:r>
              <w:rPr>
                <w:noProof/>
              </w:rPr>
              <w:t>2026</w:t>
            </w:r>
          </w:p>
        </w:tc>
        <w:tc>
          <w:tcPr>
            <w:tcW w:w="4783" w:type="dxa"/>
            <w:shd w:val="clear" w:color="auto" w:fill="C6EFCE"/>
            <w:noWrap/>
          </w:tcPr>
          <w:p w14:paraId="482A56AE" w14:textId="77777777" w:rsidR="00011DE9" w:rsidRDefault="00011DE9">
            <w:pPr>
              <w:pStyle w:val="P68B1DB1-Normal48"/>
              <w:spacing w:after="0"/>
              <w:rPr>
                <w:rFonts w:eastAsia="Times New Roman" w:cs="Times New Roman"/>
                <w:noProof/>
                <w:szCs w:val="18"/>
              </w:rPr>
            </w:pPr>
            <w:r>
              <w:rPr>
                <w:noProof/>
              </w:rPr>
              <w:t>Entitățile beneficiare sau persoanele fizice au prezentat rapoarte finale care confirmă finalizarea activităților atribuite pentru granturi legate de digitalizarea sectorului sportiv, inclusiv federații sportive, centre tehnice sportive, centre de înaltă performanță, centre de medicină sportivă și administrația antidoping, sau pentru confirmarea de către administrație a executării contractelor și acordurilor (</w:t>
            </w:r>
            <w:r>
              <w:rPr>
                <w:i/>
                <w:noProof/>
              </w:rPr>
              <w:t>convenios</w:t>
            </w:r>
            <w:r>
              <w:rPr>
                <w:noProof/>
              </w:rPr>
              <w:t>) legate de digitalizarea sectorului sportiv, inclusiv federații sportive, centre tehnice sportive, centre de înaltă performanță, centre de medicină sportivă și administrația antidoping, pentru o sumă totală cumulată de 68 milioane EUR</w:t>
            </w:r>
            <w:r>
              <w:rPr>
                <w:noProof/>
                <w:szCs w:val="18"/>
              </w:rPr>
              <w:t>,</w:t>
            </w:r>
            <w:r>
              <w:rPr>
                <w:noProof/>
              </w:rPr>
              <w:t xml:space="preserve"> 5 milioane EUR sub formă de granturi și contracte atribuite (inclusiv eventualele modificări).</w:t>
            </w:r>
          </w:p>
        </w:tc>
      </w:tr>
      <w:tr w:rsidR="00011DE9" w14:paraId="4AB426BF" w14:textId="77777777">
        <w:trPr>
          <w:trHeight w:val="309"/>
          <w:jc w:val="center"/>
        </w:trPr>
        <w:tc>
          <w:tcPr>
            <w:tcW w:w="703" w:type="dxa"/>
            <w:shd w:val="clear" w:color="auto" w:fill="C6EFCE"/>
            <w:noWrap/>
          </w:tcPr>
          <w:p w14:paraId="526A56EC" w14:textId="77777777" w:rsidR="00011DE9" w:rsidRDefault="00011DE9">
            <w:pPr>
              <w:pStyle w:val="P68B1DB1-Normal48"/>
              <w:spacing w:after="0"/>
              <w:jc w:val="center"/>
              <w:rPr>
                <w:rFonts w:eastAsia="Times New Roman" w:cs="Times New Roman"/>
                <w:noProof/>
                <w:szCs w:val="18"/>
              </w:rPr>
            </w:pPr>
            <w:r>
              <w:rPr>
                <w:noProof/>
              </w:rPr>
              <w:t>373</w:t>
            </w:r>
          </w:p>
        </w:tc>
        <w:tc>
          <w:tcPr>
            <w:tcW w:w="845" w:type="dxa"/>
            <w:shd w:val="clear" w:color="auto" w:fill="C6EFCE"/>
            <w:noWrap/>
          </w:tcPr>
          <w:p w14:paraId="54957D97" w14:textId="77777777" w:rsidR="00011DE9" w:rsidRDefault="00011DE9">
            <w:pPr>
              <w:pStyle w:val="P68B1DB1-Normal48"/>
              <w:spacing w:after="0"/>
              <w:jc w:val="center"/>
              <w:rPr>
                <w:rFonts w:eastAsia="Times New Roman" w:cs="Times New Roman"/>
                <w:noProof/>
                <w:szCs w:val="18"/>
              </w:rPr>
            </w:pPr>
            <w:r>
              <w:rPr>
                <w:noProof/>
              </w:rPr>
              <w:t>C26.I2</w:t>
            </w:r>
          </w:p>
        </w:tc>
        <w:tc>
          <w:tcPr>
            <w:tcW w:w="844" w:type="dxa"/>
            <w:shd w:val="clear" w:color="auto" w:fill="C6EFCE"/>
            <w:noWrap/>
          </w:tcPr>
          <w:p w14:paraId="05FFEC3D" w14:textId="77777777" w:rsidR="00011DE9" w:rsidRDefault="00011DE9">
            <w:pPr>
              <w:pStyle w:val="P68B1DB1-Normal48"/>
              <w:spacing w:after="0"/>
              <w:jc w:val="center"/>
              <w:rPr>
                <w:rFonts w:eastAsia="Times New Roman" w:cs="Times New Roman"/>
                <w:noProof/>
                <w:szCs w:val="18"/>
              </w:rPr>
            </w:pPr>
            <w:r>
              <w:rPr>
                <w:noProof/>
              </w:rPr>
              <w:t>M</w:t>
            </w:r>
          </w:p>
        </w:tc>
        <w:tc>
          <w:tcPr>
            <w:tcW w:w="2533" w:type="dxa"/>
            <w:shd w:val="clear" w:color="auto" w:fill="C6EFCE"/>
            <w:noWrap/>
          </w:tcPr>
          <w:p w14:paraId="4616A698" w14:textId="77777777" w:rsidR="00011DE9" w:rsidRDefault="00011DE9">
            <w:pPr>
              <w:pStyle w:val="P68B1DB1-Normal48"/>
              <w:spacing w:after="0"/>
              <w:rPr>
                <w:rFonts w:eastAsia="Times New Roman" w:cs="Times New Roman"/>
                <w:noProof/>
                <w:szCs w:val="18"/>
              </w:rPr>
            </w:pPr>
            <w:r>
              <w:rPr>
                <w:noProof/>
              </w:rPr>
              <w:t xml:space="preserve">Renovarea infrastructurilor sportive, a centrelor tehnice sau a instalațiilor sportive </w:t>
            </w:r>
          </w:p>
        </w:tc>
        <w:tc>
          <w:tcPr>
            <w:tcW w:w="1407" w:type="dxa"/>
            <w:shd w:val="clear" w:color="auto" w:fill="C6EFCE"/>
            <w:noWrap/>
          </w:tcPr>
          <w:p w14:paraId="6E01E52A" w14:textId="2FFF0257" w:rsidR="00011DE9" w:rsidRDefault="00011DE9">
            <w:pPr>
              <w:pStyle w:val="P68B1DB1-Normal48"/>
              <w:spacing w:after="0"/>
              <w:jc w:val="center"/>
              <w:rPr>
                <w:rFonts w:eastAsia="Times New Roman" w:cs="Times New Roman"/>
                <w:noProof/>
                <w:szCs w:val="18"/>
              </w:rPr>
            </w:pPr>
            <w:r>
              <w:rPr>
                <w:noProof/>
              </w:rPr>
              <w:t>Rapoarte finale; sau certificate de acceptare, declarații de conformitate sau alte documente echivalente care atestă executarea contractelor</w:t>
            </w:r>
            <w:r w:rsidR="00971820">
              <w:rPr>
                <w:noProof/>
              </w:rPr>
              <w:t xml:space="preserve"> </w:t>
            </w:r>
          </w:p>
        </w:tc>
        <w:tc>
          <w:tcPr>
            <w:tcW w:w="986" w:type="dxa"/>
            <w:shd w:val="clear" w:color="auto" w:fill="C6EFCE"/>
            <w:noWrap/>
          </w:tcPr>
          <w:p w14:paraId="59C17531" w14:textId="77777777" w:rsidR="00011DE9" w:rsidRDefault="00011DE9">
            <w:pPr>
              <w:spacing w:after="0"/>
              <w:jc w:val="center"/>
              <w:rPr>
                <w:rFonts w:ascii="Times New Roman" w:eastAsia="Times New Roman" w:hAnsi="Times New Roman" w:cs="Times New Roman"/>
                <w:noProof/>
                <w:sz w:val="18"/>
                <w:szCs w:val="18"/>
              </w:rPr>
            </w:pPr>
          </w:p>
        </w:tc>
        <w:tc>
          <w:tcPr>
            <w:tcW w:w="1266" w:type="dxa"/>
            <w:shd w:val="clear" w:color="auto" w:fill="C6EFCE"/>
            <w:noWrap/>
          </w:tcPr>
          <w:p w14:paraId="6DB9B93B" w14:textId="77777777" w:rsidR="00011DE9" w:rsidRDefault="00011DE9">
            <w:pPr>
              <w:spacing w:after="0"/>
              <w:jc w:val="right"/>
              <w:rPr>
                <w:rFonts w:ascii="Times New Roman" w:eastAsia="Times New Roman" w:hAnsi="Times New Roman" w:cs="Times New Roman"/>
                <w:noProof/>
                <w:sz w:val="18"/>
                <w:szCs w:val="18"/>
              </w:rPr>
            </w:pPr>
          </w:p>
        </w:tc>
        <w:tc>
          <w:tcPr>
            <w:tcW w:w="845" w:type="dxa"/>
            <w:shd w:val="clear" w:color="auto" w:fill="C6EFCE"/>
            <w:noWrap/>
          </w:tcPr>
          <w:p w14:paraId="090403DF" w14:textId="77777777" w:rsidR="00011DE9" w:rsidRDefault="00011DE9">
            <w:pPr>
              <w:spacing w:after="0"/>
              <w:jc w:val="right"/>
              <w:rPr>
                <w:rFonts w:ascii="Times New Roman" w:eastAsia="Times New Roman" w:hAnsi="Times New Roman" w:cs="Times New Roman"/>
                <w:noProof/>
                <w:sz w:val="18"/>
                <w:szCs w:val="18"/>
              </w:rPr>
            </w:pPr>
          </w:p>
        </w:tc>
        <w:tc>
          <w:tcPr>
            <w:tcW w:w="422" w:type="dxa"/>
            <w:shd w:val="clear" w:color="auto" w:fill="C6EFCE"/>
            <w:noWrap/>
          </w:tcPr>
          <w:p w14:paraId="7A154A2A" w14:textId="66D84B0F" w:rsidR="00011DE9" w:rsidRDefault="005701C9">
            <w:pPr>
              <w:pStyle w:val="P68B1DB1-Normal48"/>
              <w:spacing w:after="0"/>
              <w:jc w:val="center"/>
              <w:rPr>
                <w:rFonts w:eastAsia="Times New Roman" w:cs="Times New Roman"/>
                <w:noProof/>
                <w:szCs w:val="18"/>
              </w:rPr>
            </w:pPr>
            <w:r>
              <w:rPr>
                <w:noProof/>
              </w:rPr>
              <w:t>T2</w:t>
            </w:r>
          </w:p>
        </w:tc>
        <w:tc>
          <w:tcPr>
            <w:tcW w:w="563" w:type="dxa"/>
            <w:shd w:val="clear" w:color="auto" w:fill="C6EFCE"/>
            <w:noWrap/>
          </w:tcPr>
          <w:p w14:paraId="1DCB2A64" w14:textId="77777777" w:rsidR="00011DE9" w:rsidRDefault="00011DE9">
            <w:pPr>
              <w:pStyle w:val="P68B1DB1-Normal48"/>
              <w:spacing w:after="0"/>
              <w:jc w:val="center"/>
              <w:rPr>
                <w:rFonts w:eastAsia="Times New Roman" w:cs="Times New Roman"/>
                <w:noProof/>
                <w:szCs w:val="18"/>
              </w:rPr>
            </w:pPr>
            <w:r>
              <w:rPr>
                <w:noProof/>
              </w:rPr>
              <w:t>2026</w:t>
            </w:r>
          </w:p>
        </w:tc>
        <w:tc>
          <w:tcPr>
            <w:tcW w:w="4783" w:type="dxa"/>
            <w:shd w:val="clear" w:color="auto" w:fill="C6EFCE"/>
            <w:noWrap/>
          </w:tcPr>
          <w:p w14:paraId="1625FEFE" w14:textId="77777777" w:rsidR="00011DE9" w:rsidRDefault="00011DE9">
            <w:pPr>
              <w:spacing w:after="0"/>
              <w:rPr>
                <w:rFonts w:ascii="Times New Roman" w:eastAsia="Times New Roman" w:hAnsi="Times New Roman" w:cs="Times New Roman"/>
                <w:noProof/>
                <w:sz w:val="18"/>
                <w:szCs w:val="18"/>
              </w:rPr>
            </w:pPr>
            <w:r>
              <w:rPr>
                <w:rFonts w:ascii="Times New Roman" w:eastAsia="Calibri" w:hAnsi="Times New Roman" w:cs="Arial"/>
                <w:noProof/>
                <w:sz w:val="18"/>
              </w:rPr>
              <w:t>Entitățile sau persoanele beneficiare au prezentat rapoarte finale care confirmă finalizarea activităților atribuite pentru granturi legate de renovarea infrastructurilor sportive, a centrelor tehnice sau a instalațiilor sportive pentru a spori digitalizarea, eficiența energetică sau accesibilitatea ori pentru confirmarea de către administrație a executării contractelor legate de renovarea infrastructurilor sportive, a centrelor tehnice sau a instalațiilor sportive pentru a spori digitalizarea, eficiența energetică sau accesibilitatea, pentru un număr total cumulat de 140 de acțiuni de renovare. Intervențiile privind eficiența energetică realizează, în medie, o reducere cu cel puțin 30 % a economiilor de energie primară.</w:t>
            </w:r>
          </w:p>
        </w:tc>
      </w:tr>
      <w:tr w:rsidR="00011DE9" w14:paraId="2742FDE8" w14:textId="77777777">
        <w:trPr>
          <w:trHeight w:val="309"/>
          <w:jc w:val="center"/>
        </w:trPr>
        <w:tc>
          <w:tcPr>
            <w:tcW w:w="703" w:type="dxa"/>
            <w:shd w:val="clear" w:color="auto" w:fill="C6EFCE"/>
            <w:noWrap/>
          </w:tcPr>
          <w:p w14:paraId="7C3F4A5F" w14:textId="77777777" w:rsidR="00011DE9" w:rsidRDefault="00011DE9">
            <w:pPr>
              <w:pStyle w:val="P68B1DB1-Normal48"/>
              <w:spacing w:after="0"/>
              <w:jc w:val="center"/>
              <w:rPr>
                <w:rFonts w:eastAsia="Times New Roman" w:cs="Times New Roman"/>
                <w:noProof/>
                <w:szCs w:val="18"/>
              </w:rPr>
            </w:pPr>
            <w:r>
              <w:rPr>
                <w:noProof/>
              </w:rPr>
              <w:t>374</w:t>
            </w:r>
          </w:p>
        </w:tc>
        <w:tc>
          <w:tcPr>
            <w:tcW w:w="845" w:type="dxa"/>
            <w:shd w:val="clear" w:color="auto" w:fill="C6EFCE"/>
            <w:noWrap/>
          </w:tcPr>
          <w:p w14:paraId="23150850" w14:textId="77777777" w:rsidR="00011DE9" w:rsidRDefault="00011DE9">
            <w:pPr>
              <w:pStyle w:val="P68B1DB1-Normal48"/>
              <w:spacing w:after="0"/>
              <w:jc w:val="center"/>
              <w:rPr>
                <w:rFonts w:eastAsia="Times New Roman" w:cs="Times New Roman"/>
                <w:noProof/>
                <w:szCs w:val="18"/>
              </w:rPr>
            </w:pPr>
            <w:r>
              <w:rPr>
                <w:noProof/>
              </w:rPr>
              <w:t>C26.I3</w:t>
            </w:r>
          </w:p>
        </w:tc>
        <w:tc>
          <w:tcPr>
            <w:tcW w:w="844" w:type="dxa"/>
            <w:shd w:val="clear" w:color="auto" w:fill="C6EFCE"/>
            <w:noWrap/>
          </w:tcPr>
          <w:p w14:paraId="78ECAAD1" w14:textId="77777777" w:rsidR="00011DE9" w:rsidRDefault="00011DE9">
            <w:pPr>
              <w:pStyle w:val="P68B1DB1-Normal48"/>
              <w:spacing w:after="0"/>
              <w:jc w:val="center"/>
              <w:rPr>
                <w:rFonts w:eastAsia="Times New Roman" w:cs="Times New Roman"/>
                <w:noProof/>
                <w:szCs w:val="18"/>
              </w:rPr>
            </w:pPr>
            <w:r>
              <w:rPr>
                <w:noProof/>
              </w:rPr>
              <w:t>M</w:t>
            </w:r>
          </w:p>
        </w:tc>
        <w:tc>
          <w:tcPr>
            <w:tcW w:w="2533" w:type="dxa"/>
            <w:shd w:val="clear" w:color="auto" w:fill="C6EFCE"/>
            <w:noWrap/>
          </w:tcPr>
          <w:p w14:paraId="2A621840" w14:textId="77777777" w:rsidR="00011DE9" w:rsidRDefault="00011DE9">
            <w:pPr>
              <w:pStyle w:val="P68B1DB1-Normal48"/>
              <w:spacing w:after="0"/>
              <w:rPr>
                <w:rFonts w:eastAsia="Times New Roman" w:cs="Times New Roman"/>
                <w:noProof/>
                <w:szCs w:val="18"/>
              </w:rPr>
            </w:pPr>
            <w:r>
              <w:rPr>
                <w:noProof/>
              </w:rPr>
              <w:t xml:space="preserve">Proiecte de promovare a egalității în sport </w:t>
            </w:r>
          </w:p>
        </w:tc>
        <w:tc>
          <w:tcPr>
            <w:tcW w:w="1407" w:type="dxa"/>
            <w:shd w:val="clear" w:color="auto" w:fill="C6EFCE"/>
            <w:noWrap/>
          </w:tcPr>
          <w:p w14:paraId="104920B3" w14:textId="77777777" w:rsidR="00011DE9" w:rsidRDefault="00011DE9">
            <w:pPr>
              <w:pStyle w:val="P68B1DB1-Normal48"/>
              <w:spacing w:after="0"/>
              <w:jc w:val="center"/>
              <w:rPr>
                <w:rFonts w:eastAsia="Times New Roman" w:cs="Times New Roman"/>
                <w:noProof/>
                <w:szCs w:val="18"/>
              </w:rPr>
            </w:pPr>
            <w:r>
              <w:rPr>
                <w:noProof/>
              </w:rPr>
              <w:t>Publicarea în JO</w:t>
            </w:r>
          </w:p>
        </w:tc>
        <w:tc>
          <w:tcPr>
            <w:tcW w:w="986" w:type="dxa"/>
            <w:shd w:val="clear" w:color="auto" w:fill="C6EFCE"/>
            <w:noWrap/>
          </w:tcPr>
          <w:p w14:paraId="60783783" w14:textId="77777777" w:rsidR="00011DE9" w:rsidRDefault="00011DE9">
            <w:pPr>
              <w:pStyle w:val="P68B1DB1-Normal48"/>
              <w:spacing w:after="0"/>
              <w:jc w:val="center"/>
              <w:rPr>
                <w:rFonts w:eastAsia="Times New Roman" w:cs="Times New Roman"/>
                <w:noProof/>
                <w:szCs w:val="18"/>
              </w:rPr>
            </w:pPr>
            <w:r>
              <w:rPr>
                <w:noProof/>
              </w:rPr>
              <w:t xml:space="preserve"> </w:t>
            </w:r>
          </w:p>
        </w:tc>
        <w:tc>
          <w:tcPr>
            <w:tcW w:w="1266" w:type="dxa"/>
            <w:shd w:val="clear" w:color="auto" w:fill="C6EFCE"/>
            <w:noWrap/>
          </w:tcPr>
          <w:p w14:paraId="7EF6772D" w14:textId="77777777" w:rsidR="00011DE9" w:rsidRDefault="00011DE9">
            <w:pPr>
              <w:tabs>
                <w:tab w:val="center" w:pos="605"/>
                <w:tab w:val="right" w:pos="1210"/>
              </w:tabs>
              <w:spacing w:after="0"/>
              <w:rPr>
                <w:rFonts w:ascii="Times New Roman" w:eastAsia="Times New Roman" w:hAnsi="Times New Roman" w:cs="Times New Roman"/>
                <w:noProof/>
                <w:sz w:val="18"/>
                <w:szCs w:val="18"/>
              </w:rPr>
            </w:pPr>
          </w:p>
        </w:tc>
        <w:tc>
          <w:tcPr>
            <w:tcW w:w="845" w:type="dxa"/>
            <w:shd w:val="clear" w:color="auto" w:fill="C6EFCE"/>
            <w:noWrap/>
          </w:tcPr>
          <w:p w14:paraId="5046EA57" w14:textId="77777777" w:rsidR="00011DE9" w:rsidRDefault="00011DE9">
            <w:pPr>
              <w:pStyle w:val="P68B1DB1-Normal48"/>
              <w:spacing w:after="0"/>
              <w:jc w:val="right"/>
              <w:rPr>
                <w:rFonts w:eastAsia="Times New Roman" w:cs="Times New Roman"/>
                <w:noProof/>
                <w:szCs w:val="18"/>
              </w:rPr>
            </w:pPr>
            <w:r>
              <w:rPr>
                <w:noProof/>
              </w:rPr>
              <w:t xml:space="preserve"> </w:t>
            </w:r>
          </w:p>
        </w:tc>
        <w:tc>
          <w:tcPr>
            <w:tcW w:w="422" w:type="dxa"/>
            <w:shd w:val="clear" w:color="auto" w:fill="C6EFCE"/>
            <w:noWrap/>
          </w:tcPr>
          <w:p w14:paraId="4B98E226" w14:textId="12B81255" w:rsidR="00011DE9" w:rsidRDefault="005701C9">
            <w:pPr>
              <w:pStyle w:val="P68B1DB1-Normal48"/>
              <w:spacing w:after="0"/>
              <w:jc w:val="center"/>
              <w:rPr>
                <w:rFonts w:eastAsia="Times New Roman" w:cs="Times New Roman"/>
                <w:noProof/>
                <w:szCs w:val="18"/>
              </w:rPr>
            </w:pPr>
            <w:r>
              <w:rPr>
                <w:noProof/>
              </w:rPr>
              <w:t>T2</w:t>
            </w:r>
          </w:p>
        </w:tc>
        <w:tc>
          <w:tcPr>
            <w:tcW w:w="563" w:type="dxa"/>
            <w:shd w:val="clear" w:color="auto" w:fill="C6EFCE"/>
            <w:noWrap/>
          </w:tcPr>
          <w:p w14:paraId="43289DC7" w14:textId="77777777" w:rsidR="00011DE9" w:rsidRDefault="00011DE9">
            <w:pPr>
              <w:pStyle w:val="P68B1DB1-Normal48"/>
              <w:spacing w:after="0"/>
              <w:jc w:val="center"/>
              <w:rPr>
                <w:rFonts w:eastAsia="Times New Roman" w:cs="Times New Roman"/>
                <w:noProof/>
                <w:szCs w:val="18"/>
              </w:rPr>
            </w:pPr>
            <w:r>
              <w:rPr>
                <w:noProof/>
              </w:rPr>
              <w:t>2022</w:t>
            </w:r>
          </w:p>
        </w:tc>
        <w:tc>
          <w:tcPr>
            <w:tcW w:w="4783" w:type="dxa"/>
            <w:shd w:val="clear" w:color="auto" w:fill="C6EFCE"/>
            <w:noWrap/>
          </w:tcPr>
          <w:p w14:paraId="0839AA32" w14:textId="77777777" w:rsidR="00011DE9" w:rsidRDefault="00011DE9">
            <w:pPr>
              <w:pStyle w:val="P68B1DB1-Normal8"/>
              <w:spacing w:after="0"/>
              <w:rPr>
                <w:rFonts w:eastAsia="Times New Roman" w:cs="Times New Roman"/>
                <w:noProof/>
                <w:sz w:val="18"/>
                <w:szCs w:val="18"/>
              </w:rPr>
            </w:pPr>
            <w:r>
              <w:rPr>
                <w:noProof/>
                <w:sz w:val="18"/>
              </w:rPr>
              <w:t>Atribuirea de către CSD (Consiliul Național al Sportului) a unei cereri de propuneri în Jurnalul Oficial, care se preconizează că va selecta cel puțin 15 proiecte beneficiare pentru promovarea egalității în sport, în special prin formare, profesionalizarea sporturilor feminine și vizibilitatea sporturilor feminine. Bugetul cumulat al cererii de propuneri este de</w:t>
            </w:r>
            <w:r>
              <w:rPr>
                <w:noProof/>
                <w:sz w:val="20"/>
              </w:rPr>
              <w:t xml:space="preserve"> </w:t>
            </w:r>
            <w:r>
              <w:rPr>
                <w:noProof/>
                <w:sz w:val="18"/>
              </w:rPr>
              <w:t>11</w:t>
            </w:r>
            <w:r>
              <w:rPr>
                <w:noProof/>
                <w:sz w:val="20"/>
              </w:rPr>
              <w:t xml:space="preserve"> </w:t>
            </w:r>
            <w:r>
              <w:rPr>
                <w:noProof/>
                <w:sz w:val="18"/>
              </w:rPr>
              <w:t>700</w:t>
            </w:r>
            <w:r>
              <w:rPr>
                <w:noProof/>
                <w:sz w:val="20"/>
              </w:rPr>
              <w:t xml:space="preserve"> </w:t>
            </w:r>
            <w:r>
              <w:rPr>
                <w:noProof/>
                <w:sz w:val="18"/>
              </w:rPr>
              <w:t>000 EUR.</w:t>
            </w:r>
          </w:p>
        </w:tc>
      </w:tr>
      <w:tr w:rsidR="00011DE9" w14:paraId="25C4FDA5" w14:textId="77777777">
        <w:trPr>
          <w:trHeight w:val="309"/>
          <w:jc w:val="center"/>
        </w:trPr>
        <w:tc>
          <w:tcPr>
            <w:tcW w:w="703" w:type="dxa"/>
            <w:shd w:val="clear" w:color="auto" w:fill="C6EFCE"/>
            <w:noWrap/>
          </w:tcPr>
          <w:p w14:paraId="50137A88" w14:textId="77777777" w:rsidR="00011DE9" w:rsidRDefault="00011DE9">
            <w:pPr>
              <w:pStyle w:val="P68B1DB1-Normal48"/>
              <w:spacing w:after="0"/>
              <w:jc w:val="center"/>
              <w:rPr>
                <w:rFonts w:eastAsia="Times New Roman" w:cs="Times New Roman"/>
                <w:noProof/>
                <w:szCs w:val="18"/>
              </w:rPr>
            </w:pPr>
            <w:r>
              <w:rPr>
                <w:noProof/>
              </w:rPr>
              <w:t>375</w:t>
            </w:r>
          </w:p>
        </w:tc>
        <w:tc>
          <w:tcPr>
            <w:tcW w:w="845" w:type="dxa"/>
            <w:shd w:val="clear" w:color="auto" w:fill="C6EFCE"/>
            <w:noWrap/>
          </w:tcPr>
          <w:p w14:paraId="165097AA" w14:textId="77777777" w:rsidR="00011DE9" w:rsidRDefault="00011DE9">
            <w:pPr>
              <w:pStyle w:val="P68B1DB1-Normal48"/>
              <w:spacing w:after="0"/>
              <w:jc w:val="center"/>
              <w:rPr>
                <w:rFonts w:eastAsia="Times New Roman" w:cs="Times New Roman"/>
                <w:noProof/>
                <w:szCs w:val="18"/>
              </w:rPr>
            </w:pPr>
            <w:r>
              <w:rPr>
                <w:noProof/>
              </w:rPr>
              <w:t>C26.I3</w:t>
            </w:r>
          </w:p>
        </w:tc>
        <w:tc>
          <w:tcPr>
            <w:tcW w:w="844" w:type="dxa"/>
            <w:shd w:val="clear" w:color="auto" w:fill="C6EFCE"/>
            <w:noWrap/>
          </w:tcPr>
          <w:p w14:paraId="2CD70995" w14:textId="77777777" w:rsidR="00011DE9" w:rsidRDefault="00011DE9">
            <w:pPr>
              <w:pStyle w:val="P68B1DB1-Normal48"/>
              <w:spacing w:after="0"/>
              <w:jc w:val="center"/>
              <w:rPr>
                <w:rFonts w:eastAsia="Times New Roman" w:cs="Times New Roman"/>
                <w:noProof/>
                <w:szCs w:val="18"/>
              </w:rPr>
            </w:pPr>
            <w:r>
              <w:rPr>
                <w:noProof/>
              </w:rPr>
              <w:t>M</w:t>
            </w:r>
          </w:p>
        </w:tc>
        <w:tc>
          <w:tcPr>
            <w:tcW w:w="2533" w:type="dxa"/>
            <w:shd w:val="clear" w:color="auto" w:fill="C6EFCE"/>
            <w:noWrap/>
          </w:tcPr>
          <w:p w14:paraId="50977524" w14:textId="77777777" w:rsidR="00011DE9" w:rsidRDefault="00011DE9">
            <w:pPr>
              <w:pStyle w:val="P68B1DB1-Normal15"/>
              <w:spacing w:after="0"/>
              <w:rPr>
                <w:rFonts w:eastAsia="Times New Roman"/>
                <w:noProof/>
              </w:rPr>
            </w:pPr>
            <w:r>
              <w:rPr>
                <w:noProof/>
              </w:rPr>
              <w:t xml:space="preserve">Activități legate de sport </w:t>
            </w:r>
          </w:p>
        </w:tc>
        <w:tc>
          <w:tcPr>
            <w:tcW w:w="1407" w:type="dxa"/>
            <w:shd w:val="clear" w:color="auto" w:fill="C6EFCE"/>
            <w:noWrap/>
          </w:tcPr>
          <w:p w14:paraId="5D75C203" w14:textId="77777777" w:rsidR="00011DE9" w:rsidRDefault="00011DE9">
            <w:pPr>
              <w:pStyle w:val="P68B1DB1-Normal20"/>
              <w:spacing w:after="0" w:line="240" w:lineRule="auto"/>
              <w:jc w:val="center"/>
              <w:rPr>
                <w:rFonts w:eastAsia="Times New Roman" w:cs="Times New Roman"/>
                <w:noProof/>
              </w:rPr>
            </w:pPr>
            <w:r>
              <w:rPr>
                <w:noProof/>
              </w:rPr>
              <w:t>Verificarea de către administrație a justificării documentare a granturilor; sau certificate de acceptare, declarații de conformitate, facturi semnate în mod corespunzător ca fiind conforme de către administrație, documente care atestă recunoașterea obligației corespunzătoare de plată sau alte documente justificative echivalente, care atestă executarea contractelor și a acordurilor (convenios), precum și cheltuielile justificate prin facturi și onorarii plătite pentru desfășurarea activităților de formare.</w:t>
            </w:r>
          </w:p>
        </w:tc>
        <w:tc>
          <w:tcPr>
            <w:tcW w:w="986" w:type="dxa"/>
            <w:shd w:val="clear" w:color="auto" w:fill="C6EFCE"/>
            <w:noWrap/>
          </w:tcPr>
          <w:p w14:paraId="09A0E86D" w14:textId="77777777" w:rsidR="00011DE9" w:rsidRDefault="00011DE9">
            <w:pPr>
              <w:spacing w:after="0"/>
              <w:jc w:val="center"/>
              <w:rPr>
                <w:rFonts w:ascii="Times New Roman" w:eastAsia="Times New Roman" w:hAnsi="Times New Roman" w:cs="Times New Roman"/>
                <w:noProof/>
                <w:sz w:val="18"/>
                <w:szCs w:val="18"/>
              </w:rPr>
            </w:pPr>
          </w:p>
        </w:tc>
        <w:tc>
          <w:tcPr>
            <w:tcW w:w="1266" w:type="dxa"/>
            <w:shd w:val="clear" w:color="auto" w:fill="C6EFCE"/>
            <w:noWrap/>
          </w:tcPr>
          <w:p w14:paraId="7D015052" w14:textId="77777777" w:rsidR="00011DE9" w:rsidRDefault="00011DE9">
            <w:pPr>
              <w:spacing w:after="0"/>
              <w:jc w:val="center"/>
              <w:rPr>
                <w:rFonts w:ascii="Times New Roman" w:eastAsia="Times New Roman" w:hAnsi="Times New Roman" w:cs="Times New Roman"/>
                <w:noProof/>
                <w:sz w:val="18"/>
                <w:szCs w:val="18"/>
              </w:rPr>
            </w:pPr>
          </w:p>
        </w:tc>
        <w:tc>
          <w:tcPr>
            <w:tcW w:w="845" w:type="dxa"/>
            <w:shd w:val="clear" w:color="auto" w:fill="C6EFCE"/>
            <w:noWrap/>
          </w:tcPr>
          <w:p w14:paraId="367358DE" w14:textId="77777777" w:rsidR="00011DE9" w:rsidRDefault="00011DE9">
            <w:pPr>
              <w:spacing w:after="0"/>
              <w:jc w:val="center"/>
              <w:rPr>
                <w:rFonts w:ascii="Times New Roman" w:eastAsia="Times New Roman" w:hAnsi="Times New Roman" w:cs="Times New Roman"/>
                <w:noProof/>
                <w:sz w:val="18"/>
                <w:szCs w:val="18"/>
              </w:rPr>
            </w:pPr>
          </w:p>
        </w:tc>
        <w:tc>
          <w:tcPr>
            <w:tcW w:w="422" w:type="dxa"/>
            <w:shd w:val="clear" w:color="auto" w:fill="C6EFCE"/>
            <w:noWrap/>
          </w:tcPr>
          <w:p w14:paraId="022518E4" w14:textId="48C0C526" w:rsidR="00011DE9" w:rsidRDefault="005701C9">
            <w:pPr>
              <w:pStyle w:val="P68B1DB1-Normal48"/>
              <w:spacing w:after="0"/>
              <w:jc w:val="center"/>
              <w:rPr>
                <w:rFonts w:eastAsia="Times New Roman" w:cs="Times New Roman"/>
                <w:noProof/>
                <w:szCs w:val="18"/>
              </w:rPr>
            </w:pPr>
            <w:r>
              <w:rPr>
                <w:noProof/>
              </w:rPr>
              <w:t>T4</w:t>
            </w:r>
          </w:p>
        </w:tc>
        <w:tc>
          <w:tcPr>
            <w:tcW w:w="563" w:type="dxa"/>
            <w:shd w:val="clear" w:color="auto" w:fill="C6EFCE"/>
            <w:noWrap/>
          </w:tcPr>
          <w:p w14:paraId="643886F1" w14:textId="77777777" w:rsidR="00011DE9" w:rsidRDefault="00011DE9">
            <w:pPr>
              <w:pStyle w:val="P68B1DB1-Normal48"/>
              <w:spacing w:after="0"/>
              <w:jc w:val="center"/>
              <w:rPr>
                <w:rFonts w:eastAsia="Times New Roman" w:cs="Times New Roman"/>
                <w:noProof/>
                <w:szCs w:val="18"/>
              </w:rPr>
            </w:pPr>
            <w:r>
              <w:rPr>
                <w:noProof/>
              </w:rPr>
              <w:t>2025</w:t>
            </w:r>
          </w:p>
        </w:tc>
        <w:tc>
          <w:tcPr>
            <w:tcW w:w="4783" w:type="dxa"/>
            <w:shd w:val="clear" w:color="auto" w:fill="C6EFCE"/>
            <w:noWrap/>
          </w:tcPr>
          <w:p w14:paraId="679DBA85" w14:textId="77777777" w:rsidR="00011DE9" w:rsidRDefault="00011DE9">
            <w:pPr>
              <w:pStyle w:val="P68B1DB1-Normal20"/>
              <w:rPr>
                <w:noProof/>
              </w:rPr>
            </w:pPr>
            <w:r>
              <w:rPr>
                <w:noProof/>
              </w:rPr>
              <w:t xml:space="preserve">În domeniul sportului, pentru o sumă totală cumulată de 18 milioane EUR: </w:t>
            </w:r>
          </w:p>
          <w:p w14:paraId="29097189" w14:textId="3ABF290C" w:rsidR="00011DE9" w:rsidRDefault="00011DE9">
            <w:pPr>
              <w:pStyle w:val="P68B1DB1-Normal20"/>
              <w:rPr>
                <w:noProof/>
              </w:rPr>
            </w:pPr>
            <w:r>
              <w:rPr>
                <w:noProof/>
              </w:rPr>
              <w:t>— Confirmarea de către administrație sau de către o entitate publică a executării contractelor și acordurilor (</w:t>
            </w:r>
            <w:r>
              <w:rPr>
                <w:i/>
                <w:noProof/>
              </w:rPr>
              <w:t>convenios</w:t>
            </w:r>
            <w:r>
              <w:rPr>
                <w:noProof/>
              </w:rPr>
              <w:t>) (inclusiv a modificărilor), precum și a cheltuielilor justificate prin facturi și onorarii plătite pentru desfășurarea activităților de formare sau a părților corespunzătoare ale acestora. Contribuția la suma totală cumulată este suma realizată, astfel cum este definită în certificatele de acceptare, declarațiile de conformitate sau documentele echivalente.</w:t>
            </w:r>
            <w:r w:rsidR="00971820">
              <w:rPr>
                <w:noProof/>
              </w:rPr>
              <w:t xml:space="preserve"> </w:t>
            </w:r>
          </w:p>
          <w:p w14:paraId="6A5559DA" w14:textId="77777777" w:rsidR="00011DE9" w:rsidRDefault="00011DE9">
            <w:pPr>
              <w:pStyle w:val="P68B1DB1-Normal20"/>
              <w:rPr>
                <w:noProof/>
              </w:rPr>
            </w:pPr>
            <w:r>
              <w:rPr>
                <w:noProof/>
              </w:rPr>
              <w:t>— Verificarea de către administrație sau de către o entitate publică a documentelor justificative pentru plățile aferente granturilor. Contribuția la suma totală cumulată este suma care urmează să fie subvenționată în cadrul acestei verificări.</w:t>
            </w:r>
          </w:p>
          <w:p w14:paraId="6764EC2A" w14:textId="77777777" w:rsidR="00011DE9" w:rsidRDefault="00011DE9">
            <w:pPr>
              <w:spacing w:after="0"/>
              <w:rPr>
                <w:rFonts w:ascii="Times New Roman" w:eastAsia="Times New Roman" w:hAnsi="Times New Roman" w:cs="Times New Roman"/>
                <w:noProof/>
                <w:sz w:val="18"/>
                <w:szCs w:val="18"/>
              </w:rPr>
            </w:pPr>
          </w:p>
        </w:tc>
      </w:tr>
    </w:tbl>
    <w:p w14:paraId="11437C7C" w14:textId="77777777" w:rsidR="00011DE9" w:rsidRDefault="00011DE9">
      <w:pPr>
        <w:keepNext/>
        <w:spacing w:before="120" w:after="360" w:line="240" w:lineRule="auto"/>
        <w:rPr>
          <w:rFonts w:ascii="Times New Roman" w:eastAsia="Calibri" w:hAnsi="Times New Roman" w:cs="Times New Roman"/>
          <w:b/>
          <w:smallCaps/>
          <w:noProof/>
          <w:sz w:val="28"/>
        </w:rPr>
        <w:sectPr w:rsidR="00011DE9" w:rsidSect="00011DE9">
          <w:headerReference w:type="even" r:id="rId360"/>
          <w:headerReference w:type="default" r:id="rId361"/>
          <w:footerReference w:type="even" r:id="rId362"/>
          <w:footerReference w:type="default" r:id="rId363"/>
          <w:headerReference w:type="first" r:id="rId364"/>
          <w:footerReference w:type="first" r:id="rId365"/>
          <w:pgSz w:w="16839" w:h="11907" w:orient="landscape"/>
          <w:pgMar w:top="1134" w:right="1134" w:bottom="1134" w:left="1134" w:header="567" w:footer="567" w:gutter="0"/>
          <w:cols w:space="720"/>
          <w:docGrid w:linePitch="360"/>
        </w:sectPr>
      </w:pPr>
    </w:p>
    <w:p w14:paraId="650B56D8" w14:textId="77777777" w:rsidR="00011DE9" w:rsidRDefault="00011DE9">
      <w:pPr>
        <w:pStyle w:val="Heading1"/>
        <w:rPr>
          <w:rFonts w:cs="Times New Roman"/>
          <w:noProof/>
        </w:rPr>
      </w:pPr>
      <w:r>
        <w:rPr>
          <w:noProof/>
        </w:rPr>
        <w:t>AA. COMPONENTA 27: Măsuri și acțiuni de prevenire și combatere a fraudei fiscale</w:t>
      </w:r>
    </w:p>
    <w:p w14:paraId="7F0F8657" w14:textId="77777777" w:rsidR="00011DE9" w:rsidRDefault="00011DE9">
      <w:pPr>
        <w:pStyle w:val="P68B1DB1-Text161"/>
        <w:ind w:left="0"/>
        <w:rPr>
          <w:rFonts w:cs="Times New Roman"/>
          <w:noProof/>
          <w:szCs w:val="24"/>
        </w:rPr>
      </w:pPr>
      <w:r>
        <w:rPr>
          <w:noProof/>
        </w:rPr>
        <w:t xml:space="preserve">Această componentă a planului spaniol de redresare și reziliență abordează provocările legate de prevenirea și combaterea fraudei fiscale și a evaziunii fiscale. Obiectivul componentei este de a spori gradul de respectare a obligațiilor fiscale și de a colecta mai multe venituri fiscale. Componenta abordează, printre altele, recomandările specifice fiecărei țări privind consolidarea cadrelor bugetare și de achiziții publice la toate nivelurile de guvernare (Recomandarea specifică fiecărei țări 1 2019) și – atunci când condițiile economice permit acest lucru – urmărirea unor politici bugetare menite să asigure poziții bugetare prudente pe termen mediu și sustenabilitatea datoriei, încurajând în același timp investițiile (Recomandarea specifică fiecărei țări 1 2020). </w:t>
      </w:r>
    </w:p>
    <w:p w14:paraId="11A1AAB3" w14:textId="77777777" w:rsidR="00011DE9" w:rsidRDefault="00011DE9">
      <w:pPr>
        <w:pStyle w:val="P68B1DB1-Text161"/>
        <w:ind w:left="0"/>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021E4882" w14:textId="77777777" w:rsidR="00011DE9" w:rsidRDefault="00011DE9">
      <w:pPr>
        <w:pStyle w:val="Text1"/>
        <w:ind w:left="709"/>
        <w:rPr>
          <w:rFonts w:ascii="Times New Roman" w:hAnsi="Times New Roman" w:cs="Times New Roman"/>
          <w:b/>
          <w:i/>
          <w:noProof/>
          <w:szCs w:val="24"/>
        </w:rPr>
      </w:pPr>
      <w:r>
        <w:rPr>
          <w:rFonts w:ascii="Times New Roman" w:hAnsi="Times New Roman"/>
          <w:b/>
          <w:noProof/>
          <w:u w:val="single"/>
        </w:rPr>
        <w:t xml:space="preserve">AA.1. </w:t>
      </w:r>
      <w:r>
        <w:rPr>
          <w:noProof/>
        </w:rPr>
        <w:t></w:t>
      </w:r>
      <w:r>
        <w:rPr>
          <w:rFonts w:ascii="Times New Roman" w:hAnsi="Times New Roman"/>
          <w:b/>
          <w:noProof/>
          <w:u w:val="single"/>
        </w:rPr>
        <w:t>Descrierea reformelor și a investițiilor pentru sprijinul financiar nerambursabil</w:t>
      </w:r>
    </w:p>
    <w:p w14:paraId="5ED04E89" w14:textId="77777777" w:rsidR="00011DE9" w:rsidRDefault="00011DE9">
      <w:pPr>
        <w:pStyle w:val="P68B1DB1-Normal17"/>
        <w:spacing w:before="120" w:after="120" w:line="240" w:lineRule="auto"/>
        <w:jc w:val="both"/>
        <w:rPr>
          <w:rFonts w:cs="Times New Roman"/>
          <w:noProof/>
        </w:rPr>
      </w:pPr>
      <w:r>
        <w:rPr>
          <w:noProof/>
        </w:rPr>
        <w:t>Reforma 1 (C27.R1) – Adoptarea legii antifraudă</w:t>
      </w:r>
    </w:p>
    <w:p w14:paraId="7861B729" w14:textId="77777777" w:rsidR="00011DE9" w:rsidRDefault="00011DE9">
      <w:pPr>
        <w:pStyle w:val="P68B1DB1-Normal16"/>
        <w:spacing w:before="120" w:after="120" w:line="240" w:lineRule="auto"/>
        <w:jc w:val="both"/>
        <w:rPr>
          <w:rFonts w:cs="Times New Roman"/>
          <w:noProof/>
        </w:rPr>
      </w:pPr>
      <w:r>
        <w:rPr>
          <w:noProof/>
        </w:rPr>
        <w:t>Obiectivele acestei reforme sunt de a consolida normele împotriva practicilor de evitare a obligațiilor fiscale care afectează în mod direct funcționarea pieței interne, precum și de a modifica impozitarea indirectă și directă, anumite impozite ale administrațiilor locale și reglementarea jocurilor de noroc. Reforma introduce modificări în regulament care vizează stabilirea parametrilor justiției fiscale și facilitarea acțiunilor menite să prevină și să combată frauda prin consolidarea controlului fiscal.</w:t>
      </w:r>
    </w:p>
    <w:p w14:paraId="57BC851F" w14:textId="77777777" w:rsidR="00011DE9" w:rsidRDefault="00011DE9">
      <w:pPr>
        <w:pStyle w:val="P68B1DB1-Normal16"/>
        <w:spacing w:before="120" w:after="120" w:line="240" w:lineRule="auto"/>
        <w:jc w:val="both"/>
        <w:rPr>
          <w:rFonts w:cs="Times New Roman"/>
          <w:noProof/>
        </w:rPr>
      </w:pPr>
      <w:r>
        <w:rPr>
          <w:noProof/>
        </w:rPr>
        <w:t>Reforma constă în adoptarea și intrarea în vigoare a unei legi împotriva evaziunii fiscale și a fraudei care:</w:t>
      </w:r>
    </w:p>
    <w:p w14:paraId="764BDF62" w14:textId="77777777" w:rsidR="00011DE9" w:rsidRDefault="00011DE9">
      <w:pPr>
        <w:pStyle w:val="P68B1DB1-ListParagraph25"/>
        <w:numPr>
          <w:ilvl w:val="0"/>
          <w:numId w:val="186"/>
        </w:numPr>
        <w:spacing w:before="120" w:after="120" w:line="240" w:lineRule="auto"/>
        <w:jc w:val="both"/>
        <w:rPr>
          <w:rFonts w:cs="Times New Roman"/>
          <w:noProof/>
        </w:rPr>
      </w:pPr>
      <w:r>
        <w:rPr>
          <w:noProof/>
        </w:rPr>
        <w:t>Extinde perimetrul tranzacțiilor în care sunt autorizate plățile electronice (semnături &amp; profesioniști) și stabilește un prag legal pentru plățile în numerar;</w:t>
      </w:r>
    </w:p>
    <w:p w14:paraId="57C5ACBC" w14:textId="77777777" w:rsidR="00011DE9" w:rsidRDefault="00011DE9">
      <w:pPr>
        <w:pStyle w:val="P68B1DB1-ListParagraph25"/>
        <w:numPr>
          <w:ilvl w:val="0"/>
          <w:numId w:val="186"/>
        </w:numPr>
        <w:spacing w:before="120" w:after="120" w:line="240" w:lineRule="auto"/>
        <w:jc w:val="both"/>
        <w:rPr>
          <w:rFonts w:cs="Times New Roman"/>
          <w:noProof/>
        </w:rPr>
      </w:pPr>
      <w:r>
        <w:rPr>
          <w:noProof/>
        </w:rPr>
        <w:t>Actualizează lista paradisurilor fiscale în conformitate cu criteriile de transparență, neimpozitare și regimuri fiscale dăunătoare;</w:t>
      </w:r>
    </w:p>
    <w:p w14:paraId="55808522" w14:textId="77777777" w:rsidR="00011DE9" w:rsidRDefault="00011DE9">
      <w:pPr>
        <w:pStyle w:val="P68B1DB1-ListParagraph25"/>
        <w:numPr>
          <w:ilvl w:val="0"/>
          <w:numId w:val="186"/>
        </w:numPr>
        <w:spacing w:before="120" w:after="120" w:line="240" w:lineRule="auto"/>
        <w:jc w:val="both"/>
        <w:rPr>
          <w:rFonts w:cs="Times New Roman"/>
          <w:noProof/>
        </w:rPr>
      </w:pPr>
      <w:r>
        <w:rPr>
          <w:noProof/>
        </w:rPr>
        <w:t>Pune în aplicare modificări ale normelor pentru a determina persoanele cu arierate fiscale;</w:t>
      </w:r>
    </w:p>
    <w:p w14:paraId="3E804537" w14:textId="77777777" w:rsidR="00011DE9" w:rsidRDefault="00011DE9">
      <w:pPr>
        <w:pStyle w:val="P68B1DB1-ListParagraph25"/>
        <w:numPr>
          <w:ilvl w:val="0"/>
          <w:numId w:val="186"/>
        </w:numPr>
        <w:spacing w:before="120" w:after="120" w:line="240" w:lineRule="auto"/>
        <w:jc w:val="both"/>
        <w:rPr>
          <w:rFonts w:cs="Times New Roman"/>
          <w:noProof/>
        </w:rPr>
      </w:pPr>
      <w:r>
        <w:rPr>
          <w:noProof/>
        </w:rPr>
        <w:t>Pune în aplicare o interdicție privind „software-ul cu dublă utilizare”;</w:t>
      </w:r>
    </w:p>
    <w:p w14:paraId="59EC1CFB" w14:textId="77777777" w:rsidR="00011DE9" w:rsidRDefault="00011DE9">
      <w:pPr>
        <w:pStyle w:val="P68B1DB1-ListParagraph25"/>
        <w:numPr>
          <w:ilvl w:val="0"/>
          <w:numId w:val="186"/>
        </w:numPr>
        <w:spacing w:before="120" w:after="120" w:line="240" w:lineRule="auto"/>
        <w:jc w:val="both"/>
        <w:rPr>
          <w:rFonts w:cs="Times New Roman"/>
          <w:noProof/>
        </w:rPr>
      </w:pPr>
      <w:r>
        <w:rPr>
          <w:noProof/>
        </w:rPr>
        <w:t>Introduce o valoare de referință pentru baza de impozitare în ceea ce privește impozitarea proprietăților.</w:t>
      </w:r>
    </w:p>
    <w:p w14:paraId="5220A665" w14:textId="77777777" w:rsidR="00011DE9" w:rsidRDefault="00011DE9">
      <w:pPr>
        <w:pStyle w:val="P68B1DB1-Normal16"/>
        <w:spacing w:before="120" w:after="120" w:line="240" w:lineRule="auto"/>
        <w:jc w:val="both"/>
        <w:rPr>
          <w:rFonts w:cs="Times New Roman"/>
          <w:noProof/>
        </w:rPr>
      </w:pPr>
      <w:r>
        <w:rPr>
          <w:noProof/>
        </w:rPr>
        <w:t>Legea se adoptă până la 30 iunie 2021. Legea intră în vigoare până la 30 iunie 2022. Reforma prevede o evaluare provizorie a legii până la 31 decembrie 2022 și, pe baza acestei evaluări, ar putea exista modificări în 2023.</w:t>
      </w:r>
    </w:p>
    <w:p w14:paraId="499C4908" w14:textId="77777777" w:rsidR="00011DE9" w:rsidRDefault="00011DE9">
      <w:pPr>
        <w:pStyle w:val="P68B1DB1-Normal17"/>
        <w:spacing w:before="120" w:after="120" w:line="240" w:lineRule="auto"/>
        <w:jc w:val="both"/>
        <w:rPr>
          <w:rFonts w:cs="Times New Roman"/>
          <w:noProof/>
        </w:rPr>
      </w:pPr>
      <w:r>
        <w:rPr>
          <w:noProof/>
        </w:rPr>
        <w:t>Reforma 2 (C27.R2) – Modernizarea Agenției Fiscale</w:t>
      </w:r>
    </w:p>
    <w:p w14:paraId="0BAA97AB" w14:textId="77777777" w:rsidR="00011DE9" w:rsidRDefault="00011DE9">
      <w:pPr>
        <w:pStyle w:val="P68B1DB1-Normal16"/>
        <w:spacing w:before="120" w:after="120" w:line="240" w:lineRule="auto"/>
        <w:jc w:val="both"/>
        <w:rPr>
          <w:rFonts w:cs="Times New Roman"/>
          <w:noProof/>
        </w:rPr>
      </w:pPr>
      <w:r>
        <w:rPr>
          <w:noProof/>
        </w:rPr>
        <w:t xml:space="preserve">Agenția fiscală este însărcinată cu punerea în aplicare a sistemului fiscal de stat și a sistemului vamal și își desfășoară activitățile în cadrul Planului strategic 2020-2023. Acest plan strategic, care se bazează în mare măsură pe utilizarea soluțiilor informatice, este revizuit în fiecare an pentru a se asigura că este adaptat la noile evoluții ale politicii fiscale, la sursele de informații, la comportamentul contribuabililor și la evoluțiile tehnologice. Obiectivul acestei reforme este de a sprijini punerea în aplicare și revizuirea anuală a Planului strategic 2020-2023, care vizează modernizarea furnizării de servicii de către agenții pentru a reduce frauda și evaziunea fiscală. Reforma 2 interacționează îndeaproape cu alte reforme din cadrul acestei componente. Reforma include: </w:t>
      </w:r>
    </w:p>
    <w:p w14:paraId="2A8933D8" w14:textId="77777777" w:rsidR="00011DE9" w:rsidRDefault="00011DE9">
      <w:pPr>
        <w:pStyle w:val="P68B1DB1-ListParagraph25"/>
        <w:numPr>
          <w:ilvl w:val="0"/>
          <w:numId w:val="187"/>
        </w:numPr>
        <w:spacing w:before="120" w:after="120" w:line="240" w:lineRule="auto"/>
        <w:jc w:val="both"/>
        <w:rPr>
          <w:rFonts w:cs="Times New Roman"/>
          <w:noProof/>
        </w:rPr>
      </w:pPr>
      <w:r>
        <w:rPr>
          <w:noProof/>
        </w:rPr>
        <w:t xml:space="preserve">Creșterea resurselor umane în cadrul Agenției Fiscale în conformitate cu nevoile sale pe termen mediu și </w:t>
      </w:r>
    </w:p>
    <w:p w14:paraId="6C96AC33" w14:textId="77777777" w:rsidR="00011DE9" w:rsidRDefault="00011DE9">
      <w:pPr>
        <w:pStyle w:val="P68B1DB1-ListParagraph25"/>
        <w:numPr>
          <w:ilvl w:val="0"/>
          <w:numId w:val="187"/>
        </w:numPr>
        <w:spacing w:before="120" w:after="120" w:line="240" w:lineRule="auto"/>
        <w:jc w:val="both"/>
        <w:rPr>
          <w:rFonts w:cs="Times New Roman"/>
          <w:noProof/>
        </w:rPr>
      </w:pPr>
      <w:r>
        <w:rPr>
          <w:noProof/>
        </w:rPr>
        <w:t xml:space="preserve">Efectuarea unei revizuiri a clădirilor agenției pentru a moderniza tehnologia și a spori eficiența energetică. </w:t>
      </w:r>
    </w:p>
    <w:p w14:paraId="6B590C59" w14:textId="77777777" w:rsidR="00011DE9" w:rsidRDefault="00011DE9">
      <w:pPr>
        <w:pStyle w:val="P68B1DB1-Normal16"/>
        <w:spacing w:before="120" w:after="120" w:line="240" w:lineRule="auto"/>
        <w:jc w:val="both"/>
        <w:rPr>
          <w:rFonts w:cs="Times New Roman"/>
          <w:noProof/>
        </w:rPr>
      </w:pPr>
      <w:r>
        <w:rPr>
          <w:noProof/>
        </w:rPr>
        <w:t>Reforma se pune în aplicare până la 31 decembrie 2023.</w:t>
      </w:r>
    </w:p>
    <w:p w14:paraId="523B9ADB" w14:textId="77777777" w:rsidR="00011DE9" w:rsidRDefault="00011DE9">
      <w:pPr>
        <w:pStyle w:val="P68B1DB1-Normal17"/>
        <w:spacing w:before="120" w:after="120" w:line="240" w:lineRule="auto"/>
        <w:jc w:val="both"/>
        <w:rPr>
          <w:rFonts w:cs="Times New Roman"/>
          <w:noProof/>
        </w:rPr>
      </w:pPr>
      <w:r>
        <w:rPr>
          <w:noProof/>
        </w:rPr>
        <w:t>Reforma 3 (C27.R3) – Asistență sporită pentru contribuabili</w:t>
      </w:r>
    </w:p>
    <w:p w14:paraId="53B0AC62" w14:textId="77777777" w:rsidR="00011DE9" w:rsidRDefault="00011DE9">
      <w:pPr>
        <w:pStyle w:val="P68B1DB1-Normal16"/>
        <w:spacing w:before="120" w:after="120" w:line="240" w:lineRule="auto"/>
        <w:jc w:val="both"/>
        <w:rPr>
          <w:rFonts w:cs="Times New Roman"/>
          <w:noProof/>
        </w:rPr>
      </w:pPr>
      <w:r>
        <w:rPr>
          <w:noProof/>
        </w:rPr>
        <w:t xml:space="preserve">Obiectivele acestei reforme sunt îmbunătățirea asistenței acordate contribuabililor. Un element-cheie al strategiei Agenției Fiscale pentru perioada 2020-2023 este îmbunătățirea serviciilor pentru contribuabili prin utilizarea sporită a platformelor electronice (așa-numitele „ADI”, Administrația digitală integrală). Reforma constă în furnizarea de noi servicii pentru a facilita impozitarea societăților și a veniturilor persoanelor fizice, precum și impozitarea TVA. Noile servicii trebuie să includă metode îmbunătățite de comunicare, servicii de asistență și consultarea datelor utilizatorilor, precum și a declarațiilor fiscale și gestionarea declarațiilor. Furnizarea unor astfel de servicii este planificată să crească în trei valuri în perioada 2021-2023, cu scopul ca, treptat, din ce în ce mai mulți clienți să aleagă să utilizeze serviciile electronice în loc să își viziteze birourile fiscale locale. Prin aceste măsuri, agenția urmărește să faciliteze respectarea de către clienții lor a codului fiscal și, prin urmare, să crească veniturile fiscale. </w:t>
      </w:r>
    </w:p>
    <w:p w14:paraId="3BD209DD" w14:textId="77777777" w:rsidR="00011DE9" w:rsidRDefault="00011DE9">
      <w:pPr>
        <w:pStyle w:val="P68B1DB1-Normal16"/>
        <w:spacing w:before="120" w:after="120" w:line="240" w:lineRule="auto"/>
        <w:jc w:val="both"/>
        <w:rPr>
          <w:rFonts w:cs="Times New Roman"/>
          <w:noProof/>
        </w:rPr>
      </w:pPr>
      <w:r>
        <w:rPr>
          <w:noProof/>
        </w:rPr>
        <w:t>Punerea în aplicare a reformei se finalizează până la 30 iunie 2023.</w:t>
      </w:r>
    </w:p>
    <w:p w14:paraId="03D12A19" w14:textId="77777777" w:rsidR="00011DE9" w:rsidRDefault="00011DE9">
      <w:pPr>
        <w:pStyle w:val="P68B1DB1-Normal17"/>
        <w:spacing w:before="120" w:after="120" w:line="240" w:lineRule="auto"/>
        <w:jc w:val="both"/>
        <w:rPr>
          <w:rFonts w:cs="Times New Roman"/>
          <w:noProof/>
        </w:rPr>
      </w:pPr>
      <w:r>
        <w:rPr>
          <w:noProof/>
        </w:rPr>
        <w:t>Reforma 4 (C27.R4) – Dimensiunea internațională</w:t>
      </w:r>
    </w:p>
    <w:p w14:paraId="0A48A726" w14:textId="77777777" w:rsidR="00011DE9" w:rsidRDefault="00011DE9">
      <w:pPr>
        <w:pStyle w:val="P68B1DB1-Normal16"/>
        <w:spacing w:before="120" w:after="120" w:line="240" w:lineRule="auto"/>
        <w:jc w:val="both"/>
        <w:rPr>
          <w:rFonts w:cs="Times New Roman"/>
          <w:noProof/>
        </w:rPr>
      </w:pPr>
      <w:r>
        <w:rPr>
          <w:noProof/>
        </w:rPr>
        <w:t xml:space="preserve">Obiectivul acestei reforme este de a spori și de a optimiza utilizarea sistemelor informatice în cadrul cooperării internaționale pentru a combate frauda și evaziunea fiscală. Această reformă, în urma acordurilor internaționale din acest domeniu de politică, constă în luarea de măsuri pentru a facilita respectarea de către contribuabili a obligațiilor lor fiscale (inclusiv a datelor privind impozitul pe venitul persoanelor fizice), pentru a intensifica lupta împotriva activităților nedeclarate și a economiei subterane și pentru a revizui calitatea și utilitatea informațiilor obținute din diferite țări. Se preconizează că aceste obiective vor fi atinse prin utilizarea pe scară mai largă a unor sisteme informatice mai sofisticate și prin implementarea de servicii online pentru contribuabili. </w:t>
      </w:r>
    </w:p>
    <w:p w14:paraId="20411AC6" w14:textId="77777777" w:rsidR="00011DE9" w:rsidRDefault="00011DE9">
      <w:pPr>
        <w:pStyle w:val="P68B1DB1-Normal16"/>
        <w:spacing w:before="120" w:after="120" w:line="240" w:lineRule="auto"/>
        <w:jc w:val="both"/>
        <w:rPr>
          <w:rFonts w:cs="Times New Roman"/>
          <w:noProof/>
        </w:rPr>
      </w:pPr>
      <w:r>
        <w:rPr>
          <w:noProof/>
        </w:rPr>
        <w:t>Reforma se pune în aplicare până la 31 decembrie 2021.</w:t>
      </w:r>
    </w:p>
    <w:p w14:paraId="7CACD9B8" w14:textId="77777777" w:rsidR="00011DE9" w:rsidRDefault="00011DE9">
      <w:pPr>
        <w:pStyle w:val="P68B1DB1-Normal17"/>
        <w:spacing w:before="120" w:after="120" w:line="240" w:lineRule="auto"/>
        <w:jc w:val="both"/>
        <w:rPr>
          <w:rFonts w:cs="Times New Roman"/>
          <w:noProof/>
        </w:rPr>
      </w:pPr>
      <w:r>
        <w:rPr>
          <w:noProof/>
        </w:rPr>
        <w:t>Reforma 5 (C27.R5) – Model cooperatist</w:t>
      </w:r>
    </w:p>
    <w:p w14:paraId="0E29661A" w14:textId="77777777" w:rsidR="00011DE9" w:rsidRDefault="00011DE9">
      <w:pPr>
        <w:pStyle w:val="P68B1DB1-Normal16"/>
        <w:spacing w:before="120" w:after="120" w:line="240" w:lineRule="auto"/>
        <w:jc w:val="both"/>
        <w:rPr>
          <w:rFonts w:cs="Times New Roman"/>
          <w:noProof/>
        </w:rPr>
      </w:pPr>
      <w:r>
        <w:rPr>
          <w:noProof/>
        </w:rPr>
        <w:t>Obiectivul acestei reforme este de a îmbunătăți relațiile Agenției Fiscale cu părțile interesate, cum ar fi marile corporații, IMM-urile, lucrătorii independenți și asociațiile relevante, precum și cu sistemul de justiție, ca modalitate de a obține o mai bună respectare a obligațiilor fiscale. În ceea ce privește contribuabilii, agenția vizează o mai bună cooperare și o mai bună conformitate prin intermediul rapoartelor voluntare privind transparența fiscală. Se preconizează o intensificare a cooperării cu judecătorii, procurorii și instanțele prin intensificarea anchetelor fiscale.</w:t>
      </w:r>
    </w:p>
    <w:p w14:paraId="653EA977" w14:textId="77777777" w:rsidR="00011DE9" w:rsidRDefault="00011DE9">
      <w:pPr>
        <w:pStyle w:val="P68B1DB1-Normal16"/>
        <w:spacing w:before="120" w:after="120" w:line="240" w:lineRule="auto"/>
        <w:jc w:val="both"/>
        <w:rPr>
          <w:rFonts w:cs="Times New Roman"/>
          <w:noProof/>
        </w:rPr>
      </w:pPr>
      <w:r>
        <w:rPr>
          <w:noProof/>
        </w:rPr>
        <w:t>Reforma se pune în aplicare până la 31 decembrie 2021.</w:t>
      </w:r>
    </w:p>
    <w:p w14:paraId="2FF83903" w14:textId="77777777" w:rsidR="00011DE9" w:rsidRDefault="00011DE9">
      <w:pPr>
        <w:pStyle w:val="Text1"/>
        <w:ind w:left="709"/>
        <w:rPr>
          <w:rFonts w:ascii="Times New Roman" w:hAnsi="Times New Roman" w:cs="Times New Roman"/>
          <w:b/>
          <w:noProof/>
          <w:szCs w:val="24"/>
          <w:u w:val="single"/>
        </w:rPr>
      </w:pPr>
      <w:r>
        <w:rPr>
          <w:rFonts w:ascii="Times New Roman" w:hAnsi="Times New Roman"/>
          <w:b/>
          <w:noProof/>
          <w:u w:val="single"/>
        </w:rPr>
        <w:t xml:space="preserve">AA.2. </w:t>
      </w:r>
      <w:r>
        <w:rPr>
          <w:noProof/>
        </w:rPr>
        <w:t></w:t>
      </w:r>
      <w:r>
        <w:rPr>
          <w:rFonts w:ascii="Times New Roman" w:hAnsi="Times New Roman"/>
          <w:b/>
          <w:noProof/>
          <w:u w:val="single"/>
        </w:rPr>
        <w:t>Jaloane, ținte, indicatori și calendarul de monitorizare și implementare aplicabile sprijinului financiar nerambursabil</w:t>
      </w:r>
    </w:p>
    <w:p w14:paraId="60AFE874" w14:textId="77777777" w:rsidR="00011DE9" w:rsidRDefault="00011DE9">
      <w:pPr>
        <w:pStyle w:val="P68B1DB1-Normal16"/>
        <w:spacing w:before="120" w:after="120" w:line="240" w:lineRule="auto"/>
        <w:rPr>
          <w:rFonts w:cs="Times New Roman"/>
          <w:i/>
          <w:iCs/>
          <w:noProof/>
        </w:rPr>
        <w:sectPr w:rsidR="00011DE9" w:rsidSect="00011DE9">
          <w:headerReference w:type="even" r:id="rId366"/>
          <w:headerReference w:type="default" r:id="rId367"/>
          <w:footerReference w:type="even" r:id="rId368"/>
          <w:footerReference w:type="default" r:id="rId369"/>
          <w:headerReference w:type="first" r:id="rId370"/>
          <w:footerReference w:type="first" r:id="rId371"/>
          <w:pgSz w:w="11907" w:h="16839"/>
          <w:pgMar w:top="1134" w:right="1134" w:bottom="1134" w:left="1134" w:header="567" w:footer="567" w:gutter="0"/>
          <w:cols w:space="720"/>
          <w:docGrid w:linePitch="360"/>
        </w:sect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tbl>
      <w:tblPr>
        <w:tblW w:w="15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6"/>
        <w:gridCol w:w="835"/>
        <w:gridCol w:w="2920"/>
        <w:gridCol w:w="1113"/>
        <w:gridCol w:w="836"/>
        <w:gridCol w:w="974"/>
        <w:gridCol w:w="890"/>
        <w:gridCol w:w="426"/>
        <w:gridCol w:w="496"/>
        <w:gridCol w:w="5032"/>
      </w:tblGrid>
      <w:tr w:rsidR="00011DE9" w14:paraId="4B030452" w14:textId="77777777">
        <w:trPr>
          <w:trHeight w:val="309"/>
          <w:tblHeader/>
          <w:jc w:val="center"/>
        </w:trPr>
        <w:tc>
          <w:tcPr>
            <w:tcW w:w="696" w:type="dxa"/>
            <w:vMerge w:val="restart"/>
            <w:shd w:val="clear" w:color="auto" w:fill="B7D4EF"/>
            <w:noWrap/>
            <w:vAlign w:val="center"/>
          </w:tcPr>
          <w:p w14:paraId="5775851A" w14:textId="77777777" w:rsidR="00011DE9" w:rsidRDefault="00011DE9">
            <w:pPr>
              <w:pStyle w:val="P68B1DB1-Normal18"/>
              <w:spacing w:after="0"/>
              <w:jc w:val="center"/>
              <w:rPr>
                <w:rFonts w:cs="Times New Roman"/>
                <w:noProof/>
                <w:szCs w:val="18"/>
              </w:rPr>
            </w:pPr>
            <w:r>
              <w:rPr>
                <w:noProof/>
              </w:rPr>
              <w:t>Număr</w:t>
            </w:r>
          </w:p>
        </w:tc>
        <w:tc>
          <w:tcPr>
            <w:tcW w:w="836" w:type="dxa"/>
            <w:vMerge w:val="restart"/>
            <w:shd w:val="clear" w:color="auto" w:fill="B7D4EF"/>
            <w:noWrap/>
            <w:vAlign w:val="center"/>
          </w:tcPr>
          <w:p w14:paraId="528023EA" w14:textId="77777777" w:rsidR="00011DE9" w:rsidRDefault="00011DE9">
            <w:pPr>
              <w:pStyle w:val="P68B1DB1-Normal18"/>
              <w:spacing w:after="0"/>
              <w:jc w:val="center"/>
              <w:rPr>
                <w:rFonts w:cs="Times New Roman"/>
                <w:noProof/>
                <w:szCs w:val="18"/>
              </w:rPr>
            </w:pPr>
            <w:r>
              <w:rPr>
                <w:noProof/>
              </w:rPr>
              <w:t>Măsură</w:t>
            </w:r>
          </w:p>
        </w:tc>
        <w:tc>
          <w:tcPr>
            <w:tcW w:w="835" w:type="dxa"/>
            <w:vMerge w:val="restart"/>
            <w:shd w:val="clear" w:color="auto" w:fill="B7D4EF"/>
            <w:noWrap/>
            <w:vAlign w:val="center"/>
          </w:tcPr>
          <w:p w14:paraId="18EEB050" w14:textId="72CBE7B1" w:rsidR="00011DE9" w:rsidRDefault="00011DE9">
            <w:pPr>
              <w:spacing w:after="0"/>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2920" w:type="dxa"/>
            <w:vMerge w:val="restart"/>
            <w:shd w:val="clear" w:color="auto" w:fill="B7D4EF"/>
            <w:noWrap/>
            <w:vAlign w:val="center"/>
          </w:tcPr>
          <w:p w14:paraId="17EE9A8C" w14:textId="77777777" w:rsidR="00011DE9" w:rsidRDefault="00011DE9">
            <w:pPr>
              <w:pStyle w:val="P68B1DB1-Normal18"/>
              <w:spacing w:after="0"/>
              <w:jc w:val="center"/>
              <w:rPr>
                <w:rFonts w:cs="Times New Roman"/>
                <w:noProof/>
                <w:szCs w:val="18"/>
              </w:rPr>
            </w:pPr>
            <w:r>
              <w:rPr>
                <w:noProof/>
              </w:rPr>
              <w:t>Nume</w:t>
            </w:r>
          </w:p>
        </w:tc>
        <w:tc>
          <w:tcPr>
            <w:tcW w:w="1113" w:type="dxa"/>
            <w:vMerge w:val="restart"/>
            <w:shd w:val="clear" w:color="auto" w:fill="B7D4EF"/>
            <w:noWrap/>
            <w:vAlign w:val="center"/>
          </w:tcPr>
          <w:p w14:paraId="37ABAA27" w14:textId="77777777" w:rsidR="00011DE9" w:rsidRDefault="00011DE9">
            <w:pPr>
              <w:pStyle w:val="P68B1DB1-Normal18"/>
              <w:spacing w:after="0"/>
              <w:jc w:val="center"/>
              <w:rPr>
                <w:rFonts w:cs="Times New Roman"/>
                <w:noProof/>
                <w:szCs w:val="18"/>
              </w:rPr>
            </w:pPr>
            <w:r>
              <w:rPr>
                <w:noProof/>
              </w:rPr>
              <w:t>Indicator calitativ pentru jaloane</w:t>
            </w:r>
          </w:p>
        </w:tc>
        <w:tc>
          <w:tcPr>
            <w:tcW w:w="2700" w:type="dxa"/>
            <w:gridSpan w:val="3"/>
            <w:shd w:val="clear" w:color="auto" w:fill="B7D4EF"/>
            <w:noWrap/>
            <w:vAlign w:val="center"/>
          </w:tcPr>
          <w:p w14:paraId="4FAB63F9" w14:textId="77777777" w:rsidR="00011DE9" w:rsidRDefault="00011DE9">
            <w:pPr>
              <w:pStyle w:val="P68B1DB1-Normal18"/>
              <w:spacing w:after="0"/>
              <w:jc w:val="center"/>
              <w:rPr>
                <w:rFonts w:cs="Times New Roman"/>
                <w:noProof/>
                <w:szCs w:val="18"/>
              </w:rPr>
            </w:pPr>
            <w:r>
              <w:rPr>
                <w:noProof/>
              </w:rPr>
              <w:t>Indicator cantitativ pentru ținte</w:t>
            </w:r>
          </w:p>
        </w:tc>
        <w:tc>
          <w:tcPr>
            <w:tcW w:w="922" w:type="dxa"/>
            <w:gridSpan w:val="2"/>
            <w:shd w:val="clear" w:color="auto" w:fill="B7D4EF"/>
            <w:noWrap/>
            <w:vAlign w:val="center"/>
          </w:tcPr>
          <w:p w14:paraId="7D271E12" w14:textId="77777777" w:rsidR="00011DE9" w:rsidRDefault="00011DE9">
            <w:pPr>
              <w:pStyle w:val="P68B1DB1-Normal18"/>
              <w:spacing w:after="0"/>
              <w:jc w:val="center"/>
              <w:rPr>
                <w:rFonts w:cs="Times New Roman"/>
                <w:noProof/>
                <w:szCs w:val="18"/>
              </w:rPr>
            </w:pPr>
            <w:r>
              <w:rPr>
                <w:noProof/>
              </w:rPr>
              <w:t>Timp</w:t>
            </w:r>
          </w:p>
        </w:tc>
        <w:tc>
          <w:tcPr>
            <w:tcW w:w="5032" w:type="dxa"/>
            <w:vMerge w:val="restart"/>
            <w:shd w:val="clear" w:color="auto" w:fill="B7D4EF"/>
            <w:noWrap/>
            <w:vAlign w:val="center"/>
          </w:tcPr>
          <w:p w14:paraId="60B997D7" w14:textId="77777777" w:rsidR="00011DE9" w:rsidRDefault="00011DE9">
            <w:pPr>
              <w:pStyle w:val="P68B1DB1-Normal18"/>
              <w:spacing w:after="0"/>
              <w:jc w:val="center"/>
              <w:rPr>
                <w:rFonts w:cs="Times New Roman"/>
                <w:noProof/>
                <w:szCs w:val="18"/>
              </w:rPr>
            </w:pPr>
            <w:r>
              <w:rPr>
                <w:noProof/>
              </w:rPr>
              <w:t>Descrierea fiecărui jalon și a fiecărei ținte</w:t>
            </w:r>
          </w:p>
        </w:tc>
      </w:tr>
      <w:tr w:rsidR="00011DE9" w14:paraId="4A47D9F6" w14:textId="77777777">
        <w:trPr>
          <w:trHeight w:val="309"/>
          <w:tblHeader/>
          <w:jc w:val="center"/>
        </w:trPr>
        <w:tc>
          <w:tcPr>
            <w:tcW w:w="696" w:type="dxa"/>
            <w:vMerge/>
            <w:noWrap/>
          </w:tcPr>
          <w:p w14:paraId="4DC9A93C" w14:textId="77777777" w:rsidR="00011DE9" w:rsidRDefault="00011DE9">
            <w:pPr>
              <w:spacing w:after="0"/>
              <w:jc w:val="center"/>
              <w:rPr>
                <w:rFonts w:ascii="Times New Roman" w:hAnsi="Times New Roman" w:cs="Times New Roman"/>
                <w:b/>
                <w:noProof/>
                <w:sz w:val="18"/>
                <w:szCs w:val="18"/>
              </w:rPr>
            </w:pPr>
          </w:p>
        </w:tc>
        <w:tc>
          <w:tcPr>
            <w:tcW w:w="836" w:type="dxa"/>
            <w:vMerge/>
            <w:noWrap/>
          </w:tcPr>
          <w:p w14:paraId="4C6E4EC5" w14:textId="77777777" w:rsidR="00011DE9" w:rsidRDefault="00011DE9">
            <w:pPr>
              <w:spacing w:after="0"/>
              <w:jc w:val="center"/>
              <w:rPr>
                <w:rFonts w:ascii="Times New Roman" w:hAnsi="Times New Roman" w:cs="Times New Roman"/>
                <w:b/>
                <w:noProof/>
                <w:sz w:val="18"/>
                <w:szCs w:val="18"/>
              </w:rPr>
            </w:pPr>
          </w:p>
        </w:tc>
        <w:tc>
          <w:tcPr>
            <w:tcW w:w="835" w:type="dxa"/>
            <w:vMerge/>
            <w:noWrap/>
          </w:tcPr>
          <w:p w14:paraId="3ED0AB97" w14:textId="77777777" w:rsidR="00011DE9" w:rsidRDefault="00011DE9">
            <w:pPr>
              <w:spacing w:after="0"/>
              <w:jc w:val="center"/>
              <w:rPr>
                <w:rFonts w:ascii="Times New Roman" w:hAnsi="Times New Roman" w:cs="Times New Roman"/>
                <w:b/>
                <w:noProof/>
                <w:sz w:val="18"/>
                <w:szCs w:val="18"/>
              </w:rPr>
            </w:pPr>
          </w:p>
        </w:tc>
        <w:tc>
          <w:tcPr>
            <w:tcW w:w="2920" w:type="dxa"/>
            <w:vMerge/>
            <w:noWrap/>
          </w:tcPr>
          <w:p w14:paraId="66539965" w14:textId="77777777" w:rsidR="00011DE9" w:rsidRDefault="00011DE9">
            <w:pPr>
              <w:spacing w:after="0"/>
              <w:rPr>
                <w:rFonts w:ascii="Times New Roman" w:hAnsi="Times New Roman" w:cs="Times New Roman"/>
                <w:b/>
                <w:noProof/>
                <w:sz w:val="18"/>
                <w:szCs w:val="18"/>
              </w:rPr>
            </w:pPr>
          </w:p>
        </w:tc>
        <w:tc>
          <w:tcPr>
            <w:tcW w:w="1113" w:type="dxa"/>
            <w:vMerge/>
            <w:noWrap/>
          </w:tcPr>
          <w:p w14:paraId="303093DB" w14:textId="77777777" w:rsidR="00011DE9" w:rsidRDefault="00011DE9">
            <w:pPr>
              <w:spacing w:after="0"/>
              <w:jc w:val="center"/>
              <w:rPr>
                <w:rFonts w:ascii="Times New Roman" w:hAnsi="Times New Roman" w:cs="Times New Roman"/>
                <w:b/>
                <w:noProof/>
                <w:sz w:val="18"/>
                <w:szCs w:val="18"/>
              </w:rPr>
            </w:pPr>
          </w:p>
        </w:tc>
        <w:tc>
          <w:tcPr>
            <w:tcW w:w="836" w:type="dxa"/>
            <w:shd w:val="clear" w:color="auto" w:fill="B7D4EF"/>
            <w:noWrap/>
          </w:tcPr>
          <w:p w14:paraId="52A4FC11" w14:textId="77777777" w:rsidR="00011DE9" w:rsidRDefault="00011DE9">
            <w:pPr>
              <w:pStyle w:val="P68B1DB1-Normal18"/>
              <w:spacing w:after="0"/>
              <w:jc w:val="center"/>
              <w:rPr>
                <w:rFonts w:cs="Times New Roman"/>
                <w:noProof/>
                <w:szCs w:val="18"/>
              </w:rPr>
            </w:pPr>
            <w:r>
              <w:rPr>
                <w:noProof/>
              </w:rPr>
              <w:t>Unitate</w:t>
            </w:r>
          </w:p>
        </w:tc>
        <w:tc>
          <w:tcPr>
            <w:tcW w:w="974" w:type="dxa"/>
            <w:shd w:val="clear" w:color="auto" w:fill="B7D4EF"/>
            <w:noWrap/>
          </w:tcPr>
          <w:p w14:paraId="1E670B45" w14:textId="77777777" w:rsidR="00011DE9" w:rsidRDefault="00011DE9">
            <w:pPr>
              <w:pStyle w:val="P68B1DB1-Normal18"/>
              <w:spacing w:after="0"/>
              <w:jc w:val="center"/>
              <w:rPr>
                <w:rFonts w:cs="Times New Roman"/>
                <w:noProof/>
                <w:szCs w:val="18"/>
              </w:rPr>
            </w:pPr>
            <w:r>
              <w:rPr>
                <w:noProof/>
              </w:rPr>
              <w:t>Situația de referință</w:t>
            </w:r>
          </w:p>
        </w:tc>
        <w:tc>
          <w:tcPr>
            <w:tcW w:w="890" w:type="dxa"/>
            <w:shd w:val="clear" w:color="auto" w:fill="B7D4EF"/>
            <w:noWrap/>
          </w:tcPr>
          <w:p w14:paraId="7228098A" w14:textId="77777777" w:rsidR="00011DE9" w:rsidRDefault="00011DE9">
            <w:pPr>
              <w:pStyle w:val="P68B1DB1-Normal18"/>
              <w:spacing w:after="0"/>
              <w:jc w:val="center"/>
              <w:rPr>
                <w:rFonts w:cs="Times New Roman"/>
                <w:noProof/>
                <w:szCs w:val="18"/>
              </w:rPr>
            </w:pPr>
            <w:r>
              <w:rPr>
                <w:noProof/>
              </w:rPr>
              <w:t>Obiectiv</w:t>
            </w:r>
          </w:p>
        </w:tc>
        <w:tc>
          <w:tcPr>
            <w:tcW w:w="426" w:type="dxa"/>
            <w:shd w:val="clear" w:color="auto" w:fill="B7D4EF"/>
            <w:noWrap/>
          </w:tcPr>
          <w:p w14:paraId="0502EB2C" w14:textId="0CD92155" w:rsidR="00011DE9" w:rsidRDefault="003010A3">
            <w:pPr>
              <w:pStyle w:val="P68B1DB1-Normal18"/>
              <w:spacing w:after="0"/>
              <w:jc w:val="center"/>
              <w:rPr>
                <w:rFonts w:cs="Times New Roman"/>
                <w:noProof/>
                <w:szCs w:val="18"/>
              </w:rPr>
            </w:pPr>
            <w:r>
              <w:rPr>
                <w:noProof/>
              </w:rPr>
              <w:t>T</w:t>
            </w:r>
          </w:p>
        </w:tc>
        <w:tc>
          <w:tcPr>
            <w:tcW w:w="496" w:type="dxa"/>
            <w:shd w:val="clear" w:color="auto" w:fill="B7D4EF"/>
            <w:noWrap/>
          </w:tcPr>
          <w:p w14:paraId="5C04AA29" w14:textId="77777777" w:rsidR="00011DE9" w:rsidRDefault="00011DE9">
            <w:pPr>
              <w:pStyle w:val="P68B1DB1-Normal18"/>
              <w:spacing w:after="0"/>
              <w:jc w:val="center"/>
              <w:rPr>
                <w:rFonts w:cs="Times New Roman"/>
                <w:noProof/>
                <w:szCs w:val="18"/>
              </w:rPr>
            </w:pPr>
            <w:r>
              <w:rPr>
                <w:noProof/>
              </w:rPr>
              <w:t>Anul</w:t>
            </w:r>
          </w:p>
        </w:tc>
        <w:tc>
          <w:tcPr>
            <w:tcW w:w="5032" w:type="dxa"/>
            <w:vMerge/>
            <w:noWrap/>
          </w:tcPr>
          <w:p w14:paraId="3A00C30F" w14:textId="77777777" w:rsidR="00011DE9" w:rsidRDefault="00011DE9">
            <w:pPr>
              <w:spacing w:after="0"/>
              <w:rPr>
                <w:rFonts w:ascii="Times New Roman" w:hAnsi="Times New Roman" w:cs="Times New Roman"/>
                <w:b/>
                <w:noProof/>
                <w:sz w:val="18"/>
                <w:szCs w:val="18"/>
              </w:rPr>
            </w:pPr>
          </w:p>
        </w:tc>
      </w:tr>
      <w:tr w:rsidR="00011DE9" w14:paraId="1B3F3F5D" w14:textId="77777777">
        <w:trPr>
          <w:trHeight w:val="309"/>
          <w:jc w:val="center"/>
        </w:trPr>
        <w:tc>
          <w:tcPr>
            <w:tcW w:w="696" w:type="dxa"/>
            <w:shd w:val="clear" w:color="auto" w:fill="C6EFCE"/>
            <w:noWrap/>
          </w:tcPr>
          <w:p w14:paraId="41817F18" w14:textId="77777777" w:rsidR="00011DE9" w:rsidRDefault="00011DE9">
            <w:pPr>
              <w:pStyle w:val="P68B1DB1-Normal19"/>
              <w:spacing w:after="0"/>
              <w:jc w:val="center"/>
              <w:rPr>
                <w:noProof/>
              </w:rPr>
            </w:pPr>
            <w:r>
              <w:rPr>
                <w:noProof/>
              </w:rPr>
              <w:t>376</w:t>
            </w:r>
          </w:p>
        </w:tc>
        <w:tc>
          <w:tcPr>
            <w:tcW w:w="836" w:type="dxa"/>
            <w:shd w:val="clear" w:color="auto" w:fill="C6EFCE"/>
            <w:noWrap/>
          </w:tcPr>
          <w:p w14:paraId="1FF5958F" w14:textId="77777777" w:rsidR="00011DE9" w:rsidRDefault="00011DE9">
            <w:pPr>
              <w:pStyle w:val="P68B1DB1-Normal19"/>
              <w:spacing w:after="0"/>
              <w:jc w:val="center"/>
              <w:rPr>
                <w:noProof/>
              </w:rPr>
            </w:pPr>
            <w:r>
              <w:rPr>
                <w:noProof/>
              </w:rPr>
              <w:t>C27.R1</w:t>
            </w:r>
          </w:p>
        </w:tc>
        <w:tc>
          <w:tcPr>
            <w:tcW w:w="835" w:type="dxa"/>
            <w:shd w:val="clear" w:color="auto" w:fill="C6EFCE"/>
            <w:noWrap/>
          </w:tcPr>
          <w:p w14:paraId="2B77609F" w14:textId="77777777" w:rsidR="00011DE9" w:rsidRDefault="00011DE9">
            <w:pPr>
              <w:pStyle w:val="P68B1DB1-Normal19"/>
              <w:spacing w:after="0"/>
              <w:jc w:val="center"/>
              <w:rPr>
                <w:noProof/>
              </w:rPr>
            </w:pPr>
            <w:r>
              <w:rPr>
                <w:noProof/>
              </w:rPr>
              <w:t>M</w:t>
            </w:r>
          </w:p>
        </w:tc>
        <w:tc>
          <w:tcPr>
            <w:tcW w:w="2920" w:type="dxa"/>
            <w:shd w:val="clear" w:color="auto" w:fill="C6EFCE"/>
            <w:noWrap/>
          </w:tcPr>
          <w:p w14:paraId="1DC28D27" w14:textId="77777777" w:rsidR="00011DE9" w:rsidRDefault="00011DE9">
            <w:pPr>
              <w:pStyle w:val="P68B1DB1-Normal19"/>
              <w:spacing w:after="0"/>
              <w:rPr>
                <w:noProof/>
              </w:rPr>
            </w:pPr>
            <w:r>
              <w:rPr>
                <w:noProof/>
              </w:rPr>
              <w:t>Intrarea în vigoare a Legii împotriva evaziunii fiscale și a fraudei</w:t>
            </w:r>
          </w:p>
        </w:tc>
        <w:tc>
          <w:tcPr>
            <w:tcW w:w="1113" w:type="dxa"/>
            <w:shd w:val="clear" w:color="auto" w:fill="C6EFCE"/>
            <w:noWrap/>
          </w:tcPr>
          <w:p w14:paraId="4BADDF65" w14:textId="77777777" w:rsidR="00011DE9" w:rsidRDefault="00011DE9">
            <w:pPr>
              <w:pStyle w:val="P68B1DB1-Normal19"/>
              <w:spacing w:after="0" w:line="240" w:lineRule="auto"/>
              <w:jc w:val="center"/>
              <w:rPr>
                <w:noProof/>
              </w:rPr>
            </w:pPr>
            <w:r>
              <w:rPr>
                <w:noProof/>
              </w:rPr>
              <w:t xml:space="preserve">Dispoziție legală care indică intrarea sa în vigoare </w:t>
            </w:r>
          </w:p>
        </w:tc>
        <w:tc>
          <w:tcPr>
            <w:tcW w:w="836" w:type="dxa"/>
            <w:shd w:val="clear" w:color="auto" w:fill="C6EFCE"/>
            <w:noWrap/>
          </w:tcPr>
          <w:p w14:paraId="685FF171" w14:textId="77777777" w:rsidR="00011DE9" w:rsidRDefault="00011DE9">
            <w:pPr>
              <w:pStyle w:val="P68B1DB1-Normal19"/>
              <w:spacing w:after="0"/>
              <w:jc w:val="center"/>
              <w:rPr>
                <w:noProof/>
              </w:rPr>
            </w:pPr>
            <w:r>
              <w:rPr>
                <w:noProof/>
              </w:rPr>
              <w:t xml:space="preserve"> </w:t>
            </w:r>
          </w:p>
        </w:tc>
        <w:tc>
          <w:tcPr>
            <w:tcW w:w="974" w:type="dxa"/>
            <w:shd w:val="clear" w:color="auto" w:fill="C6EFCE"/>
            <w:noWrap/>
          </w:tcPr>
          <w:p w14:paraId="43BE6E64" w14:textId="77777777" w:rsidR="00011DE9" w:rsidRDefault="00011DE9">
            <w:pPr>
              <w:pStyle w:val="P68B1DB1-Normal19"/>
              <w:spacing w:after="0"/>
              <w:jc w:val="right"/>
              <w:rPr>
                <w:noProof/>
              </w:rPr>
            </w:pPr>
            <w:r>
              <w:rPr>
                <w:noProof/>
              </w:rPr>
              <w:t xml:space="preserve"> </w:t>
            </w:r>
          </w:p>
        </w:tc>
        <w:tc>
          <w:tcPr>
            <w:tcW w:w="890" w:type="dxa"/>
            <w:shd w:val="clear" w:color="auto" w:fill="C6EFCE"/>
            <w:noWrap/>
          </w:tcPr>
          <w:p w14:paraId="7B9DD335" w14:textId="77777777" w:rsidR="00011DE9" w:rsidRDefault="00011DE9">
            <w:pPr>
              <w:pStyle w:val="P68B1DB1-Normal19"/>
              <w:spacing w:after="0"/>
              <w:rPr>
                <w:noProof/>
              </w:rPr>
            </w:pPr>
            <w:r>
              <w:rPr>
                <w:noProof/>
              </w:rPr>
              <w:t xml:space="preserve"> </w:t>
            </w:r>
          </w:p>
        </w:tc>
        <w:tc>
          <w:tcPr>
            <w:tcW w:w="426" w:type="dxa"/>
            <w:shd w:val="clear" w:color="auto" w:fill="C6EFCE"/>
            <w:noWrap/>
          </w:tcPr>
          <w:p w14:paraId="70BC9322" w14:textId="3B068F05" w:rsidR="00011DE9" w:rsidRDefault="005701C9">
            <w:pPr>
              <w:pStyle w:val="P68B1DB1-Normal19"/>
              <w:spacing w:after="0"/>
              <w:jc w:val="center"/>
              <w:rPr>
                <w:noProof/>
              </w:rPr>
            </w:pPr>
            <w:r>
              <w:rPr>
                <w:noProof/>
              </w:rPr>
              <w:t>T2</w:t>
            </w:r>
          </w:p>
        </w:tc>
        <w:tc>
          <w:tcPr>
            <w:tcW w:w="496" w:type="dxa"/>
            <w:shd w:val="clear" w:color="auto" w:fill="C6EFCE"/>
            <w:noWrap/>
          </w:tcPr>
          <w:p w14:paraId="0D657B5C" w14:textId="77777777" w:rsidR="00011DE9" w:rsidRDefault="00011DE9">
            <w:pPr>
              <w:pStyle w:val="P68B1DB1-Normal19"/>
              <w:spacing w:after="0"/>
              <w:jc w:val="center"/>
              <w:rPr>
                <w:noProof/>
              </w:rPr>
            </w:pPr>
            <w:r>
              <w:rPr>
                <w:noProof/>
              </w:rPr>
              <w:t>2022</w:t>
            </w:r>
          </w:p>
        </w:tc>
        <w:tc>
          <w:tcPr>
            <w:tcW w:w="5032" w:type="dxa"/>
            <w:shd w:val="clear" w:color="auto" w:fill="C6EFCE"/>
            <w:noWrap/>
          </w:tcPr>
          <w:p w14:paraId="093A4394" w14:textId="7BD9DD99" w:rsidR="00011DE9" w:rsidRDefault="00011DE9">
            <w:pPr>
              <w:spacing w:after="0"/>
              <w:rPr>
                <w:rFonts w:ascii="Times New Roman" w:hAnsi="Times New Roman" w:cs="Times New Roman"/>
                <w:noProof/>
                <w:sz w:val="18"/>
                <w:szCs w:val="18"/>
              </w:rPr>
            </w:pPr>
            <w:r>
              <w:rPr>
                <w:rFonts w:ascii="Times New Roman" w:hAnsi="Times New Roman"/>
                <w:noProof/>
                <w:sz w:val="18"/>
              </w:rPr>
              <w:t>Intrarea în vigoare a unei legi împotriva evaziunii și fraudei fiscale („</w:t>
            </w:r>
            <w:r>
              <w:rPr>
                <w:rFonts w:ascii="Times New Roman" w:hAnsi="Times New Roman"/>
                <w:i/>
                <w:noProof/>
                <w:sz w:val="18"/>
              </w:rPr>
              <w:t>Ley de medidas de prevención y lucha contra el fraude fiscal</w:t>
            </w:r>
            <w:r>
              <w:rPr>
                <w:rFonts w:ascii="Times New Roman" w:hAnsi="Times New Roman"/>
                <w:noProof/>
                <w:sz w:val="18"/>
              </w:rPr>
              <w:t>”) care:</w:t>
            </w:r>
            <w:r w:rsidR="00971820">
              <w:rPr>
                <w:noProof/>
              </w:rPr>
              <w:t xml:space="preserve"> </w:t>
            </w:r>
            <w:r>
              <w:rPr>
                <w:noProof/>
              </w:rPr>
              <w:br/>
            </w:r>
            <w:r>
              <w:rPr>
                <w:rFonts w:ascii="Times New Roman" w:hAnsi="Times New Roman"/>
                <w:noProof/>
                <w:sz w:val="18"/>
              </w:rPr>
              <w:t>— Extinde perimetrul tranzacțiilor în care plățile electronice sunt obligatorii (firme &amp; profesioniști) și stabilește praguri legale pentru plățile în numerar</w:t>
            </w:r>
            <w:r w:rsidR="00971820">
              <w:rPr>
                <w:rFonts w:ascii="Times New Roman" w:hAnsi="Times New Roman"/>
                <w:noProof/>
                <w:sz w:val="18"/>
              </w:rPr>
              <w:t xml:space="preserve"> </w:t>
            </w:r>
            <w:r>
              <w:rPr>
                <w:noProof/>
              </w:rPr>
              <w:br/>
              <w:t xml:space="preserve"> </w:t>
            </w:r>
            <w:r>
              <w:rPr>
                <w:rFonts w:ascii="Times New Roman" w:hAnsi="Times New Roman"/>
                <w:noProof/>
                <w:sz w:val="18"/>
              </w:rPr>
              <w:t>Actualizează lista paradisurilor fiscale în conformitate cu criteriile privind transparența, neimpozitarea și regimurile fiscale dăunătoare.</w:t>
            </w:r>
            <w:r w:rsidR="00971820">
              <w:rPr>
                <w:noProof/>
              </w:rPr>
              <w:t xml:space="preserve"> </w:t>
            </w:r>
            <w:r>
              <w:rPr>
                <w:noProof/>
              </w:rPr>
              <w:br/>
            </w:r>
            <w:r>
              <w:rPr>
                <w:rFonts w:ascii="Times New Roman" w:hAnsi="Times New Roman"/>
                <w:noProof/>
                <w:sz w:val="18"/>
              </w:rPr>
              <w:t>— Pune în aplicare modificări ale normelor privind includerea pe listă a persoanelor cu arierate fiscale.</w:t>
            </w:r>
            <w:r w:rsidR="00971820">
              <w:rPr>
                <w:noProof/>
              </w:rPr>
              <w:t xml:space="preserve"> </w:t>
            </w:r>
            <w:r>
              <w:rPr>
                <w:noProof/>
              </w:rPr>
              <w:br/>
            </w:r>
            <w:r>
              <w:rPr>
                <w:rFonts w:ascii="Times New Roman" w:hAnsi="Times New Roman"/>
                <w:noProof/>
                <w:sz w:val="18"/>
              </w:rPr>
              <w:t>— Pune în aplicare o interdicție privind „software-ul cu dublă utilizare”.</w:t>
            </w:r>
            <w:r w:rsidR="00971820">
              <w:rPr>
                <w:noProof/>
              </w:rPr>
              <w:t xml:space="preserve"> </w:t>
            </w:r>
            <w:r>
              <w:rPr>
                <w:noProof/>
              </w:rPr>
              <w:br/>
            </w:r>
            <w:r>
              <w:rPr>
                <w:rFonts w:ascii="Times New Roman" w:hAnsi="Times New Roman"/>
                <w:noProof/>
                <w:sz w:val="18"/>
              </w:rPr>
              <w:t xml:space="preserve">Introduce o valoare de referință pentru baza de impozitare în impozitarea </w:t>
            </w:r>
            <w:r>
              <w:rPr>
                <w:rFonts w:ascii="Times New Roman" w:hAnsi="Times New Roman"/>
                <w:noProof/>
                <w:sz w:val="18"/>
                <w:szCs w:val="18"/>
              </w:rPr>
              <w:t>proprietăților</w:t>
            </w:r>
            <w:r>
              <w:rPr>
                <w:rFonts w:ascii="Times New Roman" w:hAnsi="Times New Roman"/>
                <w:noProof/>
                <w:sz w:val="18"/>
              </w:rPr>
              <w:t xml:space="preserve">. </w:t>
            </w:r>
          </w:p>
        </w:tc>
      </w:tr>
      <w:tr w:rsidR="00011DE9" w14:paraId="6F0466CF" w14:textId="77777777">
        <w:trPr>
          <w:trHeight w:val="309"/>
          <w:jc w:val="center"/>
        </w:trPr>
        <w:tc>
          <w:tcPr>
            <w:tcW w:w="696" w:type="dxa"/>
            <w:shd w:val="clear" w:color="auto" w:fill="C6EFCE"/>
            <w:noWrap/>
          </w:tcPr>
          <w:p w14:paraId="646E87E8" w14:textId="77777777" w:rsidR="00011DE9" w:rsidRDefault="00011DE9">
            <w:pPr>
              <w:pStyle w:val="P68B1DB1-Normal19"/>
              <w:spacing w:after="0"/>
              <w:jc w:val="center"/>
              <w:rPr>
                <w:noProof/>
              </w:rPr>
            </w:pPr>
            <w:r>
              <w:rPr>
                <w:noProof/>
              </w:rPr>
              <w:t>377</w:t>
            </w:r>
          </w:p>
        </w:tc>
        <w:tc>
          <w:tcPr>
            <w:tcW w:w="836" w:type="dxa"/>
            <w:shd w:val="clear" w:color="auto" w:fill="C6EFCE"/>
            <w:noWrap/>
          </w:tcPr>
          <w:p w14:paraId="7F60C72A" w14:textId="77777777" w:rsidR="00011DE9" w:rsidRDefault="00011DE9">
            <w:pPr>
              <w:pStyle w:val="P68B1DB1-Normal19"/>
              <w:spacing w:after="0"/>
              <w:jc w:val="center"/>
              <w:rPr>
                <w:noProof/>
              </w:rPr>
            </w:pPr>
            <w:r>
              <w:rPr>
                <w:noProof/>
              </w:rPr>
              <w:t>C27.R1</w:t>
            </w:r>
          </w:p>
        </w:tc>
        <w:tc>
          <w:tcPr>
            <w:tcW w:w="835" w:type="dxa"/>
            <w:shd w:val="clear" w:color="auto" w:fill="C6EFCE"/>
            <w:noWrap/>
          </w:tcPr>
          <w:p w14:paraId="3EC58813" w14:textId="77777777" w:rsidR="00011DE9" w:rsidRDefault="00011DE9">
            <w:pPr>
              <w:pStyle w:val="P68B1DB1-Normal19"/>
              <w:spacing w:after="0"/>
              <w:jc w:val="center"/>
              <w:rPr>
                <w:noProof/>
              </w:rPr>
            </w:pPr>
            <w:r>
              <w:rPr>
                <w:noProof/>
              </w:rPr>
              <w:t>M</w:t>
            </w:r>
          </w:p>
        </w:tc>
        <w:tc>
          <w:tcPr>
            <w:tcW w:w="2920" w:type="dxa"/>
            <w:shd w:val="clear" w:color="auto" w:fill="C6EFCE"/>
            <w:noWrap/>
          </w:tcPr>
          <w:p w14:paraId="3B021772" w14:textId="77777777" w:rsidR="00011DE9" w:rsidRDefault="00011DE9">
            <w:pPr>
              <w:pStyle w:val="P68B1DB1-Normal19"/>
              <w:spacing w:after="0" w:line="240" w:lineRule="auto"/>
              <w:rPr>
                <w:noProof/>
              </w:rPr>
            </w:pPr>
            <w:r>
              <w:rPr>
                <w:noProof/>
              </w:rPr>
              <w:t>Evaluarea intermediară a efectelor Legii împotriva evaziunii fiscale și a fraudei.</w:t>
            </w:r>
          </w:p>
        </w:tc>
        <w:tc>
          <w:tcPr>
            <w:tcW w:w="1113" w:type="dxa"/>
            <w:shd w:val="clear" w:color="auto" w:fill="C6EFCE"/>
            <w:noWrap/>
          </w:tcPr>
          <w:p w14:paraId="5A4A4262" w14:textId="77777777" w:rsidR="00011DE9" w:rsidRDefault="00011DE9">
            <w:pPr>
              <w:pStyle w:val="P68B1DB1-Normal19"/>
              <w:spacing w:after="0" w:line="240" w:lineRule="auto"/>
              <w:jc w:val="center"/>
              <w:rPr>
                <w:noProof/>
              </w:rPr>
            </w:pPr>
            <w:r>
              <w:rPr>
                <w:noProof/>
              </w:rPr>
              <w:t>Publicarea raportului pe site-ul Ministerului de Finanțe.</w:t>
            </w:r>
          </w:p>
        </w:tc>
        <w:tc>
          <w:tcPr>
            <w:tcW w:w="836" w:type="dxa"/>
            <w:shd w:val="clear" w:color="auto" w:fill="C6EFCE"/>
            <w:noWrap/>
          </w:tcPr>
          <w:p w14:paraId="6DE19EDD" w14:textId="77777777" w:rsidR="00011DE9" w:rsidRDefault="00011DE9">
            <w:pPr>
              <w:pStyle w:val="P68B1DB1-Normal19"/>
              <w:spacing w:after="0"/>
              <w:jc w:val="center"/>
              <w:rPr>
                <w:noProof/>
              </w:rPr>
            </w:pPr>
            <w:r>
              <w:rPr>
                <w:noProof/>
              </w:rPr>
              <w:t xml:space="preserve"> </w:t>
            </w:r>
          </w:p>
        </w:tc>
        <w:tc>
          <w:tcPr>
            <w:tcW w:w="974" w:type="dxa"/>
            <w:shd w:val="clear" w:color="auto" w:fill="C6EFCE"/>
            <w:noWrap/>
          </w:tcPr>
          <w:p w14:paraId="03986865" w14:textId="77777777" w:rsidR="00011DE9" w:rsidRDefault="00011DE9">
            <w:pPr>
              <w:pStyle w:val="P68B1DB1-Normal19"/>
              <w:spacing w:after="0"/>
              <w:jc w:val="right"/>
              <w:rPr>
                <w:noProof/>
              </w:rPr>
            </w:pPr>
            <w:r>
              <w:rPr>
                <w:noProof/>
              </w:rPr>
              <w:t xml:space="preserve"> </w:t>
            </w:r>
          </w:p>
        </w:tc>
        <w:tc>
          <w:tcPr>
            <w:tcW w:w="890" w:type="dxa"/>
            <w:shd w:val="clear" w:color="auto" w:fill="C6EFCE"/>
            <w:noWrap/>
          </w:tcPr>
          <w:p w14:paraId="08E99195" w14:textId="77777777" w:rsidR="00011DE9" w:rsidRDefault="00011DE9">
            <w:pPr>
              <w:pStyle w:val="P68B1DB1-Normal19"/>
              <w:spacing w:after="0"/>
              <w:rPr>
                <w:noProof/>
              </w:rPr>
            </w:pPr>
            <w:r>
              <w:rPr>
                <w:noProof/>
              </w:rPr>
              <w:t xml:space="preserve"> </w:t>
            </w:r>
          </w:p>
        </w:tc>
        <w:tc>
          <w:tcPr>
            <w:tcW w:w="426" w:type="dxa"/>
            <w:shd w:val="clear" w:color="auto" w:fill="C6EFCE"/>
            <w:noWrap/>
          </w:tcPr>
          <w:p w14:paraId="0382BF06" w14:textId="0A9A4535" w:rsidR="00011DE9" w:rsidRDefault="005701C9">
            <w:pPr>
              <w:pStyle w:val="P68B1DB1-Normal19"/>
              <w:spacing w:after="0"/>
              <w:jc w:val="center"/>
              <w:rPr>
                <w:noProof/>
              </w:rPr>
            </w:pPr>
            <w:r>
              <w:rPr>
                <w:noProof/>
              </w:rPr>
              <w:t>T4</w:t>
            </w:r>
          </w:p>
        </w:tc>
        <w:tc>
          <w:tcPr>
            <w:tcW w:w="496" w:type="dxa"/>
            <w:shd w:val="clear" w:color="auto" w:fill="C6EFCE"/>
            <w:noWrap/>
          </w:tcPr>
          <w:p w14:paraId="49E6FE01" w14:textId="77777777" w:rsidR="00011DE9" w:rsidRDefault="00011DE9">
            <w:pPr>
              <w:pStyle w:val="P68B1DB1-Normal19"/>
              <w:spacing w:after="0"/>
              <w:jc w:val="center"/>
              <w:rPr>
                <w:noProof/>
              </w:rPr>
            </w:pPr>
            <w:r>
              <w:rPr>
                <w:noProof/>
              </w:rPr>
              <w:t>2022</w:t>
            </w:r>
          </w:p>
        </w:tc>
        <w:tc>
          <w:tcPr>
            <w:tcW w:w="5032" w:type="dxa"/>
            <w:shd w:val="clear" w:color="auto" w:fill="C6EFCE"/>
            <w:noWrap/>
          </w:tcPr>
          <w:p w14:paraId="3DAB4860" w14:textId="77777777" w:rsidR="00011DE9" w:rsidRDefault="00011DE9">
            <w:pPr>
              <w:pStyle w:val="P68B1DB1-Normal19"/>
              <w:spacing w:after="0" w:line="240" w:lineRule="auto"/>
              <w:rPr>
                <w:noProof/>
              </w:rPr>
            </w:pPr>
            <w:r>
              <w:rPr>
                <w:noProof/>
              </w:rPr>
              <w:t>Ministerul Finanțelor efectuează o evaluare intermediară a Legii împotriva evaziunii și fraudei fiscale. Această evaluare, cu posibile recomandări de îmbunătățire, va fi publicată pe site-ul Ministerului de Finanțe.</w:t>
            </w:r>
          </w:p>
        </w:tc>
      </w:tr>
      <w:tr w:rsidR="00011DE9" w14:paraId="5DE9C861" w14:textId="77777777">
        <w:trPr>
          <w:trHeight w:val="309"/>
          <w:jc w:val="center"/>
        </w:trPr>
        <w:tc>
          <w:tcPr>
            <w:tcW w:w="696" w:type="dxa"/>
            <w:shd w:val="clear" w:color="auto" w:fill="C6EFCE"/>
            <w:noWrap/>
          </w:tcPr>
          <w:p w14:paraId="16E90E89" w14:textId="77777777" w:rsidR="00011DE9" w:rsidRDefault="00011DE9">
            <w:pPr>
              <w:pStyle w:val="P68B1DB1-Normal19"/>
              <w:spacing w:after="0"/>
              <w:jc w:val="center"/>
              <w:rPr>
                <w:noProof/>
              </w:rPr>
            </w:pPr>
            <w:r>
              <w:rPr>
                <w:noProof/>
              </w:rPr>
              <w:t>378</w:t>
            </w:r>
          </w:p>
        </w:tc>
        <w:tc>
          <w:tcPr>
            <w:tcW w:w="836" w:type="dxa"/>
            <w:shd w:val="clear" w:color="auto" w:fill="C6EFCE"/>
            <w:noWrap/>
          </w:tcPr>
          <w:p w14:paraId="05DF50A6" w14:textId="77777777" w:rsidR="00011DE9" w:rsidRDefault="00011DE9">
            <w:pPr>
              <w:pStyle w:val="P68B1DB1-Normal19"/>
              <w:spacing w:after="0"/>
              <w:jc w:val="center"/>
              <w:rPr>
                <w:noProof/>
              </w:rPr>
            </w:pPr>
            <w:r>
              <w:rPr>
                <w:noProof/>
              </w:rPr>
              <w:t>C27.R2</w:t>
            </w:r>
          </w:p>
        </w:tc>
        <w:tc>
          <w:tcPr>
            <w:tcW w:w="835" w:type="dxa"/>
            <w:shd w:val="clear" w:color="auto" w:fill="C6EFCE"/>
            <w:noWrap/>
          </w:tcPr>
          <w:p w14:paraId="6325B097" w14:textId="77777777" w:rsidR="00011DE9" w:rsidRDefault="00011DE9">
            <w:pPr>
              <w:pStyle w:val="P68B1DB1-Normal19"/>
              <w:spacing w:after="0"/>
              <w:jc w:val="center"/>
              <w:rPr>
                <w:noProof/>
              </w:rPr>
            </w:pPr>
            <w:r>
              <w:rPr>
                <w:noProof/>
              </w:rPr>
              <w:t>T</w:t>
            </w:r>
          </w:p>
        </w:tc>
        <w:tc>
          <w:tcPr>
            <w:tcW w:w="2920" w:type="dxa"/>
            <w:shd w:val="clear" w:color="auto" w:fill="C6EFCE"/>
            <w:noWrap/>
          </w:tcPr>
          <w:p w14:paraId="37F48B37" w14:textId="77777777" w:rsidR="00011DE9" w:rsidRDefault="00011DE9">
            <w:pPr>
              <w:pStyle w:val="P68B1DB1-Normal19"/>
              <w:spacing w:after="0" w:line="240" w:lineRule="auto"/>
              <w:rPr>
                <w:noProof/>
              </w:rPr>
            </w:pPr>
            <w:r>
              <w:rPr>
                <w:noProof/>
              </w:rPr>
              <w:t>Modernizarea Agenției Fiscale – Numărul de angajați ai Autorității Fiscale</w:t>
            </w:r>
          </w:p>
        </w:tc>
        <w:tc>
          <w:tcPr>
            <w:tcW w:w="1113" w:type="dxa"/>
            <w:shd w:val="clear" w:color="auto" w:fill="C6EFCE"/>
            <w:noWrap/>
          </w:tcPr>
          <w:p w14:paraId="3B8D8836" w14:textId="77777777" w:rsidR="00011DE9" w:rsidRDefault="00011DE9">
            <w:pPr>
              <w:pStyle w:val="P68B1DB1-Normal19"/>
              <w:spacing w:after="0"/>
              <w:jc w:val="center"/>
              <w:rPr>
                <w:noProof/>
              </w:rPr>
            </w:pPr>
            <w:r>
              <w:rPr>
                <w:noProof/>
              </w:rPr>
              <w:t xml:space="preserve"> </w:t>
            </w:r>
          </w:p>
        </w:tc>
        <w:tc>
          <w:tcPr>
            <w:tcW w:w="836" w:type="dxa"/>
            <w:shd w:val="clear" w:color="auto" w:fill="C6EFCE"/>
            <w:noWrap/>
          </w:tcPr>
          <w:p w14:paraId="3FAF412E" w14:textId="77777777" w:rsidR="00011DE9" w:rsidRDefault="00011DE9">
            <w:pPr>
              <w:pStyle w:val="P68B1DB1-Normal19"/>
              <w:spacing w:after="0"/>
              <w:jc w:val="center"/>
              <w:rPr>
                <w:noProof/>
              </w:rPr>
            </w:pPr>
            <w:r>
              <w:rPr>
                <w:noProof/>
              </w:rPr>
              <w:t xml:space="preserve">Număr </w:t>
            </w:r>
          </w:p>
        </w:tc>
        <w:tc>
          <w:tcPr>
            <w:tcW w:w="974" w:type="dxa"/>
            <w:shd w:val="clear" w:color="auto" w:fill="C6EFCE"/>
            <w:noWrap/>
          </w:tcPr>
          <w:p w14:paraId="41645914" w14:textId="77777777" w:rsidR="00011DE9" w:rsidRDefault="00011DE9">
            <w:pPr>
              <w:pStyle w:val="P68B1DB1-Normal19"/>
              <w:spacing w:after="0"/>
              <w:jc w:val="right"/>
              <w:rPr>
                <w:noProof/>
              </w:rPr>
            </w:pPr>
            <w:r>
              <w:rPr>
                <w:noProof/>
              </w:rPr>
              <w:t xml:space="preserve">25 325 </w:t>
            </w:r>
          </w:p>
        </w:tc>
        <w:tc>
          <w:tcPr>
            <w:tcW w:w="890" w:type="dxa"/>
            <w:shd w:val="clear" w:color="auto" w:fill="C6EFCE"/>
            <w:noWrap/>
          </w:tcPr>
          <w:p w14:paraId="41BA262A" w14:textId="77777777" w:rsidR="00011DE9" w:rsidRDefault="00011DE9">
            <w:pPr>
              <w:pStyle w:val="P68B1DB1-Normal19"/>
              <w:spacing w:after="0"/>
              <w:jc w:val="right"/>
              <w:rPr>
                <w:noProof/>
              </w:rPr>
            </w:pPr>
            <w:r>
              <w:rPr>
                <w:noProof/>
              </w:rPr>
              <w:t>26 320</w:t>
            </w:r>
          </w:p>
        </w:tc>
        <w:tc>
          <w:tcPr>
            <w:tcW w:w="426" w:type="dxa"/>
            <w:shd w:val="clear" w:color="auto" w:fill="C6EFCE"/>
            <w:noWrap/>
          </w:tcPr>
          <w:p w14:paraId="1D56E131" w14:textId="374D9EDF" w:rsidR="00011DE9" w:rsidRDefault="005701C9">
            <w:pPr>
              <w:pStyle w:val="P68B1DB1-Normal19"/>
              <w:spacing w:after="0"/>
              <w:jc w:val="center"/>
              <w:rPr>
                <w:noProof/>
              </w:rPr>
            </w:pPr>
            <w:r>
              <w:rPr>
                <w:noProof/>
              </w:rPr>
              <w:t>T4</w:t>
            </w:r>
          </w:p>
        </w:tc>
        <w:tc>
          <w:tcPr>
            <w:tcW w:w="496" w:type="dxa"/>
            <w:shd w:val="clear" w:color="auto" w:fill="C6EFCE"/>
            <w:noWrap/>
          </w:tcPr>
          <w:p w14:paraId="2909D6AA" w14:textId="77777777" w:rsidR="00011DE9" w:rsidRDefault="00011DE9">
            <w:pPr>
              <w:pStyle w:val="P68B1DB1-Normal19"/>
              <w:spacing w:after="0"/>
              <w:jc w:val="center"/>
              <w:rPr>
                <w:noProof/>
              </w:rPr>
            </w:pPr>
            <w:r>
              <w:rPr>
                <w:noProof/>
              </w:rPr>
              <w:t>2021</w:t>
            </w:r>
          </w:p>
        </w:tc>
        <w:tc>
          <w:tcPr>
            <w:tcW w:w="5032" w:type="dxa"/>
            <w:shd w:val="clear" w:color="auto" w:fill="C6EFCE"/>
            <w:noWrap/>
          </w:tcPr>
          <w:p w14:paraId="797D04A2" w14:textId="77777777" w:rsidR="00011DE9" w:rsidRDefault="00011DE9">
            <w:pPr>
              <w:pStyle w:val="P68B1DB1-Normal20"/>
              <w:spacing w:after="0" w:line="240" w:lineRule="auto"/>
              <w:rPr>
                <w:rFonts w:cs="Times New Roman"/>
                <w:noProof/>
              </w:rPr>
            </w:pPr>
            <w:r>
              <w:rPr>
                <w:noProof/>
              </w:rPr>
              <w:t>Creșterea numărului de angajați ai autorității fiscale la cel puțin 26 320 de angajați. Data de referință: 31 decembrie 2020.</w:t>
            </w:r>
          </w:p>
          <w:p w14:paraId="4C27A2A0" w14:textId="77777777" w:rsidR="00011DE9" w:rsidRDefault="00011DE9">
            <w:pPr>
              <w:spacing w:after="0" w:line="240" w:lineRule="auto"/>
              <w:rPr>
                <w:rFonts w:ascii="Times New Roman" w:hAnsi="Times New Roman"/>
                <w:noProof/>
                <w:sz w:val="18"/>
                <w:szCs w:val="18"/>
              </w:rPr>
            </w:pPr>
          </w:p>
          <w:p w14:paraId="2796C3FF" w14:textId="77777777" w:rsidR="00011DE9" w:rsidRDefault="00011DE9">
            <w:pPr>
              <w:pStyle w:val="P68B1DB1-Normal20"/>
              <w:spacing w:after="0" w:line="240" w:lineRule="auto"/>
              <w:rPr>
                <w:rFonts w:cs="Times New Roman"/>
                <w:noProof/>
              </w:rPr>
            </w:pPr>
            <w:r>
              <w:rPr>
                <w:noProof/>
              </w:rPr>
              <w:t xml:space="preserve">Scenariul de referință și obiectivul iau în considerare numai funcționarii publici cu normă întreagă cu contracte permanente. </w:t>
            </w:r>
          </w:p>
        </w:tc>
      </w:tr>
      <w:tr w:rsidR="00011DE9" w14:paraId="4900542F" w14:textId="77777777">
        <w:trPr>
          <w:trHeight w:val="309"/>
          <w:jc w:val="center"/>
        </w:trPr>
        <w:tc>
          <w:tcPr>
            <w:tcW w:w="696" w:type="dxa"/>
            <w:shd w:val="clear" w:color="auto" w:fill="C6EFCE"/>
            <w:noWrap/>
          </w:tcPr>
          <w:p w14:paraId="6CB91AA9" w14:textId="77777777" w:rsidR="00011DE9" w:rsidRDefault="00011DE9">
            <w:pPr>
              <w:pStyle w:val="P68B1DB1-Normal19"/>
              <w:spacing w:after="0"/>
              <w:jc w:val="center"/>
              <w:rPr>
                <w:rFonts w:eastAsia="Times New Roman"/>
                <w:noProof/>
              </w:rPr>
            </w:pPr>
            <w:r>
              <w:rPr>
                <w:noProof/>
              </w:rPr>
              <w:t>379</w:t>
            </w:r>
          </w:p>
        </w:tc>
        <w:tc>
          <w:tcPr>
            <w:tcW w:w="836" w:type="dxa"/>
            <w:shd w:val="clear" w:color="auto" w:fill="C6EFCE"/>
            <w:noWrap/>
          </w:tcPr>
          <w:p w14:paraId="1440B50A" w14:textId="77777777" w:rsidR="00011DE9" w:rsidRDefault="00011DE9">
            <w:pPr>
              <w:pStyle w:val="P68B1DB1-Normal19"/>
              <w:spacing w:after="0"/>
              <w:jc w:val="center"/>
              <w:rPr>
                <w:rFonts w:eastAsia="Times New Roman"/>
                <w:noProof/>
              </w:rPr>
            </w:pPr>
            <w:r>
              <w:rPr>
                <w:noProof/>
              </w:rPr>
              <w:t>C27.R2</w:t>
            </w:r>
          </w:p>
        </w:tc>
        <w:tc>
          <w:tcPr>
            <w:tcW w:w="835" w:type="dxa"/>
            <w:shd w:val="clear" w:color="auto" w:fill="C6EFCE"/>
            <w:noWrap/>
          </w:tcPr>
          <w:p w14:paraId="116E0CFD" w14:textId="77777777" w:rsidR="00011DE9" w:rsidRDefault="00011DE9">
            <w:pPr>
              <w:pStyle w:val="P68B1DB1-Normal19"/>
              <w:spacing w:after="0"/>
              <w:jc w:val="center"/>
              <w:rPr>
                <w:rFonts w:eastAsia="Times New Roman"/>
                <w:noProof/>
              </w:rPr>
            </w:pPr>
            <w:r>
              <w:rPr>
                <w:noProof/>
              </w:rPr>
              <w:t>T</w:t>
            </w:r>
          </w:p>
        </w:tc>
        <w:tc>
          <w:tcPr>
            <w:tcW w:w="2920" w:type="dxa"/>
            <w:shd w:val="clear" w:color="auto" w:fill="C6EFCE"/>
            <w:noWrap/>
          </w:tcPr>
          <w:p w14:paraId="45F4FCE8" w14:textId="77777777" w:rsidR="00011DE9" w:rsidRDefault="00011DE9">
            <w:pPr>
              <w:pStyle w:val="P68B1DB1-Normal19"/>
              <w:spacing w:after="0"/>
              <w:rPr>
                <w:rFonts w:eastAsia="Times New Roman"/>
                <w:noProof/>
              </w:rPr>
            </w:pPr>
            <w:r>
              <w:rPr>
                <w:noProof/>
              </w:rPr>
              <w:t>Modernizarea Agenției Fiscale – Investigații fiscale</w:t>
            </w:r>
          </w:p>
        </w:tc>
        <w:tc>
          <w:tcPr>
            <w:tcW w:w="1113" w:type="dxa"/>
            <w:shd w:val="clear" w:color="auto" w:fill="C6EFCE"/>
            <w:noWrap/>
          </w:tcPr>
          <w:p w14:paraId="6297368E" w14:textId="77777777" w:rsidR="00011DE9" w:rsidRDefault="00011DE9">
            <w:pPr>
              <w:pStyle w:val="P68B1DB1-Normal19"/>
              <w:spacing w:after="0"/>
              <w:jc w:val="center"/>
              <w:rPr>
                <w:rFonts w:eastAsia="Times New Roman"/>
                <w:noProof/>
              </w:rPr>
            </w:pPr>
            <w:r>
              <w:rPr>
                <w:noProof/>
              </w:rPr>
              <w:t xml:space="preserve"> </w:t>
            </w:r>
          </w:p>
        </w:tc>
        <w:tc>
          <w:tcPr>
            <w:tcW w:w="836" w:type="dxa"/>
            <w:shd w:val="clear" w:color="auto" w:fill="C6EFCE"/>
            <w:noWrap/>
          </w:tcPr>
          <w:p w14:paraId="5E14E377" w14:textId="77777777" w:rsidR="00011DE9" w:rsidRDefault="00011DE9">
            <w:pPr>
              <w:pStyle w:val="P68B1DB1-Normal19"/>
              <w:spacing w:after="0"/>
              <w:jc w:val="center"/>
              <w:rPr>
                <w:rFonts w:eastAsia="Times New Roman"/>
                <w:noProof/>
              </w:rPr>
            </w:pPr>
            <w:r>
              <w:rPr>
                <w:noProof/>
              </w:rPr>
              <w:t>Număr</w:t>
            </w:r>
          </w:p>
        </w:tc>
        <w:tc>
          <w:tcPr>
            <w:tcW w:w="974" w:type="dxa"/>
            <w:shd w:val="clear" w:color="auto" w:fill="C6EFCE"/>
            <w:noWrap/>
          </w:tcPr>
          <w:p w14:paraId="62672C10" w14:textId="77777777" w:rsidR="00011DE9" w:rsidRDefault="00011DE9">
            <w:pPr>
              <w:pStyle w:val="P68B1DB1-Normal19"/>
              <w:spacing w:after="0"/>
              <w:jc w:val="right"/>
              <w:rPr>
                <w:rFonts w:eastAsia="Times New Roman"/>
                <w:noProof/>
              </w:rPr>
            </w:pPr>
            <w:r>
              <w:rPr>
                <w:noProof/>
              </w:rPr>
              <w:t>5 743</w:t>
            </w:r>
          </w:p>
        </w:tc>
        <w:tc>
          <w:tcPr>
            <w:tcW w:w="890" w:type="dxa"/>
            <w:shd w:val="clear" w:color="auto" w:fill="C6EFCE"/>
            <w:noWrap/>
          </w:tcPr>
          <w:p w14:paraId="2B1247DE" w14:textId="77777777" w:rsidR="00011DE9" w:rsidRDefault="00011DE9">
            <w:pPr>
              <w:pStyle w:val="P68B1DB1-Normal19"/>
              <w:spacing w:after="0"/>
              <w:jc w:val="right"/>
              <w:rPr>
                <w:rFonts w:eastAsia="Times New Roman"/>
                <w:noProof/>
              </w:rPr>
            </w:pPr>
            <w:r>
              <w:rPr>
                <w:noProof/>
              </w:rPr>
              <w:t>6 591</w:t>
            </w:r>
          </w:p>
        </w:tc>
        <w:tc>
          <w:tcPr>
            <w:tcW w:w="426" w:type="dxa"/>
            <w:shd w:val="clear" w:color="auto" w:fill="C6EFCE"/>
            <w:noWrap/>
          </w:tcPr>
          <w:p w14:paraId="775BD242" w14:textId="726F389A" w:rsidR="00011DE9" w:rsidRDefault="005701C9">
            <w:pPr>
              <w:pStyle w:val="P68B1DB1-Normal19"/>
              <w:spacing w:after="0"/>
              <w:jc w:val="center"/>
              <w:rPr>
                <w:rFonts w:eastAsia="Times New Roman"/>
                <w:noProof/>
              </w:rPr>
            </w:pPr>
            <w:r>
              <w:rPr>
                <w:noProof/>
              </w:rPr>
              <w:t>T4</w:t>
            </w:r>
          </w:p>
        </w:tc>
        <w:tc>
          <w:tcPr>
            <w:tcW w:w="496" w:type="dxa"/>
            <w:shd w:val="clear" w:color="auto" w:fill="C6EFCE"/>
            <w:noWrap/>
          </w:tcPr>
          <w:p w14:paraId="189E1A2D" w14:textId="77777777" w:rsidR="00011DE9" w:rsidRDefault="00011DE9">
            <w:pPr>
              <w:pStyle w:val="P68B1DB1-Normal19"/>
              <w:spacing w:after="0"/>
              <w:jc w:val="center"/>
              <w:rPr>
                <w:rFonts w:eastAsia="Times New Roman"/>
                <w:noProof/>
              </w:rPr>
            </w:pPr>
            <w:r>
              <w:rPr>
                <w:noProof/>
              </w:rPr>
              <w:t>2021</w:t>
            </w:r>
          </w:p>
        </w:tc>
        <w:tc>
          <w:tcPr>
            <w:tcW w:w="5032" w:type="dxa"/>
            <w:shd w:val="clear" w:color="auto" w:fill="C6EFCE"/>
            <w:noWrap/>
          </w:tcPr>
          <w:p w14:paraId="045EEEEB" w14:textId="77777777" w:rsidR="00011DE9" w:rsidRDefault="00011DE9">
            <w:pPr>
              <w:pStyle w:val="P68B1DB1-Normal19"/>
              <w:spacing w:after="0"/>
              <w:rPr>
                <w:rFonts w:eastAsia="Times New Roman"/>
                <w:noProof/>
              </w:rPr>
            </w:pPr>
            <w:r>
              <w:rPr>
                <w:noProof/>
              </w:rPr>
              <w:t>Autoritățile vor efectua 6 591 de investigații fiscale (numărul de investigații fiscale efectuate în cursul anului 2021) pentru a descoperi activități impozabile neraportate. Data de referință: 31 decembrie 2020.</w:t>
            </w:r>
          </w:p>
        </w:tc>
      </w:tr>
      <w:tr w:rsidR="00011DE9" w14:paraId="51DAD7C4" w14:textId="77777777">
        <w:trPr>
          <w:trHeight w:val="433"/>
          <w:jc w:val="center"/>
        </w:trPr>
        <w:tc>
          <w:tcPr>
            <w:tcW w:w="696" w:type="dxa"/>
            <w:shd w:val="clear" w:color="auto" w:fill="C6EFCE"/>
            <w:noWrap/>
          </w:tcPr>
          <w:p w14:paraId="2CAA6C5D" w14:textId="77777777" w:rsidR="00011DE9" w:rsidRDefault="00011DE9">
            <w:pPr>
              <w:pStyle w:val="P68B1DB1-Normal19"/>
              <w:spacing w:after="0"/>
              <w:jc w:val="center"/>
              <w:rPr>
                <w:rFonts w:eastAsia="Times New Roman"/>
                <w:noProof/>
              </w:rPr>
            </w:pPr>
            <w:r>
              <w:rPr>
                <w:noProof/>
              </w:rPr>
              <w:t>380</w:t>
            </w:r>
          </w:p>
        </w:tc>
        <w:tc>
          <w:tcPr>
            <w:tcW w:w="836" w:type="dxa"/>
            <w:shd w:val="clear" w:color="auto" w:fill="C6EFCE"/>
            <w:noWrap/>
          </w:tcPr>
          <w:p w14:paraId="210BE4BC" w14:textId="77777777" w:rsidR="00011DE9" w:rsidRDefault="00011DE9">
            <w:pPr>
              <w:pStyle w:val="P68B1DB1-Normal19"/>
              <w:spacing w:after="0"/>
              <w:jc w:val="center"/>
              <w:rPr>
                <w:rFonts w:eastAsia="Times New Roman"/>
                <w:noProof/>
              </w:rPr>
            </w:pPr>
            <w:r>
              <w:rPr>
                <w:noProof/>
              </w:rPr>
              <w:t>C27.R3</w:t>
            </w:r>
          </w:p>
        </w:tc>
        <w:tc>
          <w:tcPr>
            <w:tcW w:w="835" w:type="dxa"/>
            <w:shd w:val="clear" w:color="auto" w:fill="C6EFCE"/>
            <w:noWrap/>
          </w:tcPr>
          <w:p w14:paraId="6052B592" w14:textId="77777777" w:rsidR="00011DE9" w:rsidRDefault="00011DE9">
            <w:pPr>
              <w:pStyle w:val="P68B1DB1-Normal19"/>
              <w:spacing w:after="0"/>
              <w:jc w:val="center"/>
              <w:rPr>
                <w:rFonts w:eastAsia="Times New Roman"/>
                <w:noProof/>
              </w:rPr>
            </w:pPr>
            <w:r>
              <w:rPr>
                <w:noProof/>
              </w:rPr>
              <w:t>T</w:t>
            </w:r>
          </w:p>
        </w:tc>
        <w:tc>
          <w:tcPr>
            <w:tcW w:w="2920" w:type="dxa"/>
            <w:shd w:val="clear" w:color="auto" w:fill="C6EFCE"/>
            <w:noWrap/>
          </w:tcPr>
          <w:p w14:paraId="600C817F" w14:textId="77777777" w:rsidR="00011DE9" w:rsidRDefault="00011DE9">
            <w:pPr>
              <w:pStyle w:val="P68B1DB1-Normal19"/>
              <w:spacing w:after="0"/>
              <w:rPr>
                <w:rFonts w:eastAsia="Times New Roman"/>
                <w:noProof/>
              </w:rPr>
            </w:pPr>
            <w:r>
              <w:rPr>
                <w:noProof/>
              </w:rPr>
              <w:t>Furnizarea de asistență sporită contribuabililor – Sociedades Web modernizat și disponibil pentru cel puțin 1 666 123 de contribuabili.</w:t>
            </w:r>
          </w:p>
        </w:tc>
        <w:tc>
          <w:tcPr>
            <w:tcW w:w="1113" w:type="dxa"/>
            <w:shd w:val="clear" w:color="auto" w:fill="C6EFCE"/>
            <w:noWrap/>
          </w:tcPr>
          <w:p w14:paraId="5AD0CEB6" w14:textId="77777777" w:rsidR="00011DE9" w:rsidRDefault="00011DE9">
            <w:pPr>
              <w:pStyle w:val="P68B1DB1-Normal19"/>
              <w:spacing w:after="0"/>
              <w:jc w:val="center"/>
              <w:rPr>
                <w:rFonts w:eastAsia="Times New Roman"/>
                <w:noProof/>
              </w:rPr>
            </w:pPr>
            <w:r>
              <w:rPr>
                <w:noProof/>
              </w:rPr>
              <w:t xml:space="preserve"> </w:t>
            </w:r>
          </w:p>
        </w:tc>
        <w:tc>
          <w:tcPr>
            <w:tcW w:w="836" w:type="dxa"/>
            <w:shd w:val="clear" w:color="auto" w:fill="C6EFCE"/>
            <w:noWrap/>
          </w:tcPr>
          <w:p w14:paraId="1796F356" w14:textId="77777777" w:rsidR="00011DE9" w:rsidRDefault="00011DE9">
            <w:pPr>
              <w:pStyle w:val="P68B1DB1-Normal19"/>
              <w:spacing w:after="0"/>
              <w:jc w:val="center"/>
              <w:rPr>
                <w:rFonts w:eastAsia="Times New Roman"/>
                <w:noProof/>
              </w:rPr>
            </w:pPr>
            <w:r>
              <w:rPr>
                <w:noProof/>
              </w:rPr>
              <w:t>Număr</w:t>
            </w:r>
          </w:p>
        </w:tc>
        <w:tc>
          <w:tcPr>
            <w:tcW w:w="974" w:type="dxa"/>
            <w:shd w:val="clear" w:color="auto" w:fill="C6EFCE"/>
            <w:noWrap/>
          </w:tcPr>
          <w:p w14:paraId="1501EE35" w14:textId="77777777" w:rsidR="00011DE9" w:rsidRDefault="00011DE9">
            <w:pPr>
              <w:pStyle w:val="P68B1DB1-Normal19"/>
              <w:spacing w:after="0"/>
              <w:jc w:val="right"/>
              <w:rPr>
                <w:rFonts w:eastAsia="Times New Roman"/>
                <w:noProof/>
              </w:rPr>
            </w:pPr>
            <w:r>
              <w:rPr>
                <w:noProof/>
              </w:rPr>
              <w:t>0</w:t>
            </w:r>
          </w:p>
        </w:tc>
        <w:tc>
          <w:tcPr>
            <w:tcW w:w="890" w:type="dxa"/>
            <w:shd w:val="clear" w:color="auto" w:fill="C6EFCE"/>
            <w:noWrap/>
          </w:tcPr>
          <w:p w14:paraId="061C1111" w14:textId="77777777" w:rsidR="00011DE9" w:rsidRDefault="00011DE9">
            <w:pPr>
              <w:pStyle w:val="P68B1DB1-Normal19"/>
              <w:spacing w:after="0"/>
              <w:jc w:val="right"/>
              <w:rPr>
                <w:rFonts w:eastAsia="Times New Roman"/>
                <w:noProof/>
              </w:rPr>
            </w:pPr>
            <w:r>
              <w:rPr>
                <w:noProof/>
              </w:rPr>
              <w:t>1 666 123</w:t>
            </w:r>
          </w:p>
        </w:tc>
        <w:tc>
          <w:tcPr>
            <w:tcW w:w="426" w:type="dxa"/>
            <w:shd w:val="clear" w:color="auto" w:fill="C6EFCE"/>
            <w:noWrap/>
          </w:tcPr>
          <w:p w14:paraId="7DC77A49" w14:textId="0C2A89A9" w:rsidR="00011DE9" w:rsidRDefault="005701C9">
            <w:pPr>
              <w:pStyle w:val="P68B1DB1-Normal19"/>
              <w:spacing w:after="0"/>
              <w:jc w:val="center"/>
              <w:rPr>
                <w:rFonts w:eastAsia="Times New Roman"/>
                <w:noProof/>
              </w:rPr>
            </w:pPr>
            <w:r>
              <w:rPr>
                <w:noProof/>
              </w:rPr>
              <w:t>T4</w:t>
            </w:r>
          </w:p>
        </w:tc>
        <w:tc>
          <w:tcPr>
            <w:tcW w:w="496" w:type="dxa"/>
            <w:shd w:val="clear" w:color="auto" w:fill="C6EFCE"/>
            <w:noWrap/>
          </w:tcPr>
          <w:p w14:paraId="68AB3CCD" w14:textId="77777777" w:rsidR="00011DE9" w:rsidRDefault="00011DE9">
            <w:pPr>
              <w:pStyle w:val="P68B1DB1-Normal19"/>
              <w:spacing w:after="0"/>
              <w:jc w:val="center"/>
              <w:rPr>
                <w:rFonts w:eastAsia="Times New Roman"/>
                <w:noProof/>
              </w:rPr>
            </w:pPr>
            <w:r>
              <w:rPr>
                <w:noProof/>
              </w:rPr>
              <w:t>2021</w:t>
            </w:r>
          </w:p>
        </w:tc>
        <w:tc>
          <w:tcPr>
            <w:tcW w:w="5032" w:type="dxa"/>
            <w:shd w:val="clear" w:color="auto" w:fill="C6EFCE"/>
            <w:noWrap/>
          </w:tcPr>
          <w:p w14:paraId="0C486F19" w14:textId="77777777" w:rsidR="00011DE9" w:rsidRDefault="00011DE9">
            <w:pPr>
              <w:pStyle w:val="P68B1DB1-Normal19"/>
              <w:spacing w:after="0"/>
              <w:rPr>
                <w:rFonts w:eastAsia="Times New Roman"/>
                <w:noProof/>
              </w:rPr>
            </w:pPr>
            <w:r>
              <w:rPr>
                <w:i/>
                <w:noProof/>
              </w:rPr>
              <w:t>Sociedades Web</w:t>
            </w:r>
            <w:r>
              <w:rPr>
                <w:noProof/>
              </w:rPr>
              <w:t>, un serviciu destinat societăților supuse impozitării veniturilor, este modernizat și prezintă automat administrației publice informațiile fiscale, raportate anterior de societăți, care sunt relevante pentru declarația fiscală. După finalizarea acestei modernizări, serviciul este pus la dispoziția a 1 666 123 de societăți supuse impozitării veniturilor. Data de referință: 31 decembrie 2020.</w:t>
            </w:r>
          </w:p>
        </w:tc>
      </w:tr>
      <w:tr w:rsidR="00011DE9" w14:paraId="72066DAE" w14:textId="77777777">
        <w:trPr>
          <w:trHeight w:val="309"/>
          <w:jc w:val="center"/>
        </w:trPr>
        <w:tc>
          <w:tcPr>
            <w:tcW w:w="696" w:type="dxa"/>
            <w:shd w:val="clear" w:color="auto" w:fill="C6EFCE"/>
            <w:noWrap/>
          </w:tcPr>
          <w:p w14:paraId="53945132" w14:textId="77777777" w:rsidR="00011DE9" w:rsidRDefault="00011DE9">
            <w:pPr>
              <w:pStyle w:val="P68B1DB1-Normal19"/>
              <w:spacing w:after="0"/>
              <w:jc w:val="center"/>
              <w:rPr>
                <w:noProof/>
              </w:rPr>
            </w:pPr>
            <w:r>
              <w:rPr>
                <w:noProof/>
              </w:rPr>
              <w:t>381</w:t>
            </w:r>
          </w:p>
        </w:tc>
        <w:tc>
          <w:tcPr>
            <w:tcW w:w="836" w:type="dxa"/>
            <w:shd w:val="clear" w:color="auto" w:fill="C6EFCE"/>
            <w:noWrap/>
          </w:tcPr>
          <w:p w14:paraId="7BFBC094" w14:textId="77777777" w:rsidR="00011DE9" w:rsidRDefault="00011DE9">
            <w:pPr>
              <w:pStyle w:val="P68B1DB1-Normal19"/>
              <w:spacing w:after="0"/>
              <w:jc w:val="center"/>
              <w:rPr>
                <w:noProof/>
              </w:rPr>
            </w:pPr>
            <w:r>
              <w:rPr>
                <w:noProof/>
              </w:rPr>
              <w:t>C27.R3</w:t>
            </w:r>
          </w:p>
        </w:tc>
        <w:tc>
          <w:tcPr>
            <w:tcW w:w="835" w:type="dxa"/>
            <w:shd w:val="clear" w:color="auto" w:fill="C6EFCE"/>
            <w:noWrap/>
          </w:tcPr>
          <w:p w14:paraId="0417F0AB" w14:textId="77777777" w:rsidR="00011DE9" w:rsidRDefault="00011DE9">
            <w:pPr>
              <w:pStyle w:val="P68B1DB1-Normal19"/>
              <w:spacing w:after="0"/>
              <w:jc w:val="center"/>
              <w:rPr>
                <w:noProof/>
              </w:rPr>
            </w:pPr>
            <w:r>
              <w:rPr>
                <w:noProof/>
              </w:rPr>
              <w:t>T</w:t>
            </w:r>
          </w:p>
        </w:tc>
        <w:tc>
          <w:tcPr>
            <w:tcW w:w="2920" w:type="dxa"/>
            <w:shd w:val="clear" w:color="auto" w:fill="C6EFCE"/>
            <w:noWrap/>
          </w:tcPr>
          <w:p w14:paraId="25789030" w14:textId="77777777" w:rsidR="00011DE9" w:rsidRDefault="00011DE9">
            <w:pPr>
              <w:pStyle w:val="P68B1DB1-Normal19"/>
              <w:spacing w:after="0"/>
              <w:rPr>
                <w:noProof/>
              </w:rPr>
            </w:pPr>
            <w:r>
              <w:rPr>
                <w:noProof/>
              </w:rPr>
              <w:t>Furnizarea de asistență sporită contribuabililor – Renta Web modernizat și disponibil pentru cel puțin 1 779 505 de contribuabili</w:t>
            </w:r>
          </w:p>
        </w:tc>
        <w:tc>
          <w:tcPr>
            <w:tcW w:w="1113" w:type="dxa"/>
            <w:shd w:val="clear" w:color="auto" w:fill="C6EFCE"/>
            <w:noWrap/>
          </w:tcPr>
          <w:p w14:paraId="1D404088" w14:textId="77777777" w:rsidR="00011DE9" w:rsidRDefault="00011DE9">
            <w:pPr>
              <w:pStyle w:val="P68B1DB1-Normal19"/>
              <w:spacing w:after="0"/>
              <w:jc w:val="center"/>
              <w:rPr>
                <w:noProof/>
              </w:rPr>
            </w:pPr>
            <w:r>
              <w:rPr>
                <w:noProof/>
              </w:rPr>
              <w:t xml:space="preserve"> </w:t>
            </w:r>
          </w:p>
        </w:tc>
        <w:tc>
          <w:tcPr>
            <w:tcW w:w="836" w:type="dxa"/>
            <w:shd w:val="clear" w:color="auto" w:fill="C6EFCE"/>
            <w:noWrap/>
          </w:tcPr>
          <w:p w14:paraId="44F852A2" w14:textId="77777777" w:rsidR="00011DE9" w:rsidRDefault="00011DE9">
            <w:pPr>
              <w:pStyle w:val="P68B1DB1-Normal19"/>
              <w:spacing w:after="0"/>
              <w:jc w:val="center"/>
              <w:rPr>
                <w:noProof/>
              </w:rPr>
            </w:pPr>
            <w:r>
              <w:rPr>
                <w:noProof/>
              </w:rPr>
              <w:t>Număr</w:t>
            </w:r>
          </w:p>
        </w:tc>
        <w:tc>
          <w:tcPr>
            <w:tcW w:w="974" w:type="dxa"/>
            <w:shd w:val="clear" w:color="auto" w:fill="C6EFCE"/>
            <w:noWrap/>
          </w:tcPr>
          <w:p w14:paraId="0586F7A8" w14:textId="77777777" w:rsidR="00011DE9" w:rsidRDefault="00011DE9">
            <w:pPr>
              <w:pStyle w:val="P68B1DB1-Normal19"/>
              <w:spacing w:after="0"/>
              <w:rPr>
                <w:noProof/>
              </w:rPr>
            </w:pPr>
            <w:r>
              <w:rPr>
                <w:noProof/>
              </w:rPr>
              <w:t>0</w:t>
            </w:r>
          </w:p>
        </w:tc>
        <w:tc>
          <w:tcPr>
            <w:tcW w:w="890" w:type="dxa"/>
            <w:shd w:val="clear" w:color="auto" w:fill="C6EFCE"/>
            <w:noWrap/>
          </w:tcPr>
          <w:p w14:paraId="25D7A39A" w14:textId="77777777" w:rsidR="00011DE9" w:rsidRDefault="00011DE9">
            <w:pPr>
              <w:pStyle w:val="P68B1DB1-Normal19"/>
              <w:spacing w:after="0"/>
              <w:jc w:val="right"/>
              <w:rPr>
                <w:noProof/>
              </w:rPr>
            </w:pPr>
            <w:r>
              <w:rPr>
                <w:noProof/>
              </w:rPr>
              <w:t>1 779 505</w:t>
            </w:r>
          </w:p>
        </w:tc>
        <w:tc>
          <w:tcPr>
            <w:tcW w:w="426" w:type="dxa"/>
            <w:shd w:val="clear" w:color="auto" w:fill="C6EFCE"/>
            <w:noWrap/>
          </w:tcPr>
          <w:p w14:paraId="5CAC0DEE" w14:textId="49F10A39" w:rsidR="00011DE9" w:rsidRDefault="005701C9">
            <w:pPr>
              <w:pStyle w:val="P68B1DB1-Normal19"/>
              <w:spacing w:after="0"/>
              <w:jc w:val="center"/>
              <w:rPr>
                <w:noProof/>
              </w:rPr>
            </w:pPr>
            <w:r>
              <w:rPr>
                <w:noProof/>
              </w:rPr>
              <w:t>T4</w:t>
            </w:r>
          </w:p>
        </w:tc>
        <w:tc>
          <w:tcPr>
            <w:tcW w:w="496" w:type="dxa"/>
            <w:shd w:val="clear" w:color="auto" w:fill="C6EFCE"/>
            <w:noWrap/>
          </w:tcPr>
          <w:p w14:paraId="4F9F4C23" w14:textId="77777777" w:rsidR="00011DE9" w:rsidRDefault="00011DE9">
            <w:pPr>
              <w:pStyle w:val="P68B1DB1-Normal19"/>
              <w:spacing w:after="0"/>
              <w:jc w:val="center"/>
              <w:rPr>
                <w:noProof/>
              </w:rPr>
            </w:pPr>
            <w:r>
              <w:rPr>
                <w:noProof/>
              </w:rPr>
              <w:t>2021</w:t>
            </w:r>
          </w:p>
        </w:tc>
        <w:tc>
          <w:tcPr>
            <w:tcW w:w="5032" w:type="dxa"/>
            <w:shd w:val="clear" w:color="auto" w:fill="C6EFCE"/>
            <w:noWrap/>
          </w:tcPr>
          <w:p w14:paraId="2D38AB0A" w14:textId="77777777" w:rsidR="00011DE9" w:rsidRDefault="00011DE9">
            <w:pPr>
              <w:pStyle w:val="P68B1DB1-Normal19"/>
              <w:spacing w:after="0"/>
              <w:rPr>
                <w:noProof/>
              </w:rPr>
            </w:pPr>
            <w:r>
              <w:rPr>
                <w:i/>
                <w:noProof/>
              </w:rPr>
              <w:t>Renta Web</w:t>
            </w:r>
            <w:r>
              <w:rPr>
                <w:noProof/>
              </w:rPr>
              <w:t xml:space="preserve"> este un software destinat impozitului pe venitul persoanelor fizice, care va permite importul direct al „libros</w:t>
            </w:r>
            <w:r>
              <w:rPr>
                <w:i/>
                <w:noProof/>
              </w:rPr>
              <w:t xml:space="preserve"> registro</w:t>
            </w:r>
            <w:r>
              <w:rPr>
                <w:noProof/>
              </w:rPr>
              <w:t>” în declarațiile de impozit pe venitul persoanelor fizice. Acesta va fi disponibil pentru 1 779 505 de contribuabili cu venituri personale. Data de referință: 31 decembrie 2020.</w:t>
            </w:r>
          </w:p>
        </w:tc>
      </w:tr>
      <w:tr w:rsidR="00011DE9" w14:paraId="5F8D3232" w14:textId="77777777">
        <w:trPr>
          <w:trHeight w:val="309"/>
          <w:jc w:val="center"/>
        </w:trPr>
        <w:tc>
          <w:tcPr>
            <w:tcW w:w="696" w:type="dxa"/>
            <w:shd w:val="clear" w:color="auto" w:fill="C6EFCE"/>
            <w:noWrap/>
          </w:tcPr>
          <w:p w14:paraId="7BAA9E40" w14:textId="77777777" w:rsidR="00011DE9" w:rsidRDefault="00011DE9">
            <w:pPr>
              <w:pStyle w:val="P68B1DB1-Normal19"/>
              <w:spacing w:after="0"/>
              <w:jc w:val="center"/>
              <w:rPr>
                <w:rFonts w:eastAsia="Times New Roman"/>
                <w:noProof/>
              </w:rPr>
            </w:pPr>
            <w:r>
              <w:rPr>
                <w:noProof/>
              </w:rPr>
              <w:t>382</w:t>
            </w:r>
          </w:p>
        </w:tc>
        <w:tc>
          <w:tcPr>
            <w:tcW w:w="836" w:type="dxa"/>
            <w:shd w:val="clear" w:color="auto" w:fill="C6EFCE"/>
            <w:noWrap/>
          </w:tcPr>
          <w:p w14:paraId="5B85E8C5" w14:textId="77777777" w:rsidR="00011DE9" w:rsidRDefault="00011DE9">
            <w:pPr>
              <w:pStyle w:val="P68B1DB1-Normal19"/>
              <w:spacing w:after="0"/>
              <w:jc w:val="center"/>
              <w:rPr>
                <w:rFonts w:eastAsia="Times New Roman"/>
                <w:noProof/>
              </w:rPr>
            </w:pPr>
            <w:r>
              <w:rPr>
                <w:noProof/>
              </w:rPr>
              <w:t>C27.R3</w:t>
            </w:r>
          </w:p>
        </w:tc>
        <w:tc>
          <w:tcPr>
            <w:tcW w:w="835" w:type="dxa"/>
            <w:shd w:val="clear" w:color="auto" w:fill="C6EFCE"/>
            <w:noWrap/>
          </w:tcPr>
          <w:p w14:paraId="3B3FC095" w14:textId="77777777" w:rsidR="00011DE9" w:rsidRDefault="00011DE9">
            <w:pPr>
              <w:pStyle w:val="P68B1DB1-Normal19"/>
              <w:spacing w:after="0"/>
              <w:jc w:val="center"/>
              <w:rPr>
                <w:rFonts w:eastAsia="Times New Roman"/>
                <w:noProof/>
              </w:rPr>
            </w:pPr>
            <w:r>
              <w:rPr>
                <w:noProof/>
              </w:rPr>
              <w:t>M</w:t>
            </w:r>
          </w:p>
        </w:tc>
        <w:tc>
          <w:tcPr>
            <w:tcW w:w="2920" w:type="dxa"/>
            <w:shd w:val="clear" w:color="auto" w:fill="C6EFCE"/>
            <w:noWrap/>
          </w:tcPr>
          <w:p w14:paraId="17CBE701" w14:textId="77777777" w:rsidR="00011DE9" w:rsidRDefault="00011DE9">
            <w:pPr>
              <w:pStyle w:val="P68B1DB1-Normal19"/>
              <w:spacing w:after="0"/>
              <w:rPr>
                <w:rFonts w:eastAsia="Times New Roman"/>
                <w:noProof/>
              </w:rPr>
            </w:pPr>
            <w:r>
              <w:rPr>
                <w:noProof/>
              </w:rPr>
              <w:t>Furnizarea a patru platforme de sprijin digital</w:t>
            </w:r>
          </w:p>
        </w:tc>
        <w:tc>
          <w:tcPr>
            <w:tcW w:w="1113" w:type="dxa"/>
            <w:shd w:val="clear" w:color="auto" w:fill="C6EFCE"/>
            <w:noWrap/>
          </w:tcPr>
          <w:p w14:paraId="0469C0CC" w14:textId="77777777" w:rsidR="00011DE9" w:rsidRDefault="00011DE9">
            <w:pPr>
              <w:pStyle w:val="P68B1DB1-Normal19"/>
              <w:spacing w:after="0"/>
              <w:jc w:val="center"/>
              <w:rPr>
                <w:rFonts w:eastAsia="Times New Roman"/>
                <w:noProof/>
              </w:rPr>
            </w:pPr>
            <w:r>
              <w:rPr>
                <w:noProof/>
              </w:rPr>
              <w:t xml:space="preserve">Publicarea unui raport al Agenției Fiscale </w:t>
            </w:r>
          </w:p>
        </w:tc>
        <w:tc>
          <w:tcPr>
            <w:tcW w:w="836" w:type="dxa"/>
            <w:shd w:val="clear" w:color="auto" w:fill="C6EFCE"/>
            <w:noWrap/>
          </w:tcPr>
          <w:p w14:paraId="681604C2" w14:textId="77777777" w:rsidR="00011DE9" w:rsidRDefault="00011DE9">
            <w:pPr>
              <w:pStyle w:val="P68B1DB1-Normal19"/>
              <w:spacing w:after="0"/>
              <w:jc w:val="center"/>
              <w:rPr>
                <w:rFonts w:eastAsia="Times New Roman"/>
                <w:noProof/>
              </w:rPr>
            </w:pPr>
            <w:r>
              <w:rPr>
                <w:noProof/>
              </w:rPr>
              <w:t xml:space="preserve"> </w:t>
            </w:r>
          </w:p>
        </w:tc>
        <w:tc>
          <w:tcPr>
            <w:tcW w:w="974" w:type="dxa"/>
            <w:shd w:val="clear" w:color="auto" w:fill="C6EFCE"/>
            <w:noWrap/>
          </w:tcPr>
          <w:p w14:paraId="2FC17E97" w14:textId="77777777" w:rsidR="00011DE9" w:rsidRDefault="00011DE9">
            <w:pPr>
              <w:pStyle w:val="P68B1DB1-Normal19"/>
              <w:spacing w:after="0"/>
              <w:jc w:val="right"/>
              <w:rPr>
                <w:rFonts w:eastAsia="Times New Roman"/>
                <w:noProof/>
              </w:rPr>
            </w:pPr>
            <w:r>
              <w:rPr>
                <w:noProof/>
              </w:rPr>
              <w:t xml:space="preserve"> </w:t>
            </w:r>
          </w:p>
        </w:tc>
        <w:tc>
          <w:tcPr>
            <w:tcW w:w="890" w:type="dxa"/>
            <w:shd w:val="clear" w:color="auto" w:fill="C6EFCE"/>
            <w:noWrap/>
          </w:tcPr>
          <w:p w14:paraId="2D2220DA" w14:textId="77777777" w:rsidR="00011DE9" w:rsidRDefault="00011DE9">
            <w:pPr>
              <w:pStyle w:val="P68B1DB1-Normal19"/>
              <w:spacing w:after="0"/>
              <w:jc w:val="right"/>
              <w:rPr>
                <w:rFonts w:eastAsia="Times New Roman"/>
                <w:noProof/>
              </w:rPr>
            </w:pPr>
            <w:r>
              <w:rPr>
                <w:noProof/>
              </w:rPr>
              <w:t xml:space="preserve"> </w:t>
            </w:r>
          </w:p>
        </w:tc>
        <w:tc>
          <w:tcPr>
            <w:tcW w:w="426" w:type="dxa"/>
            <w:shd w:val="clear" w:color="auto" w:fill="C6EFCE"/>
            <w:noWrap/>
          </w:tcPr>
          <w:p w14:paraId="1153154D" w14:textId="51893D1A" w:rsidR="00011DE9" w:rsidRDefault="005701C9">
            <w:pPr>
              <w:pStyle w:val="P68B1DB1-Normal19"/>
              <w:spacing w:after="0"/>
              <w:jc w:val="center"/>
              <w:rPr>
                <w:rFonts w:eastAsia="Times New Roman"/>
                <w:noProof/>
              </w:rPr>
            </w:pPr>
            <w:r>
              <w:rPr>
                <w:noProof/>
              </w:rPr>
              <w:t>T2</w:t>
            </w:r>
          </w:p>
        </w:tc>
        <w:tc>
          <w:tcPr>
            <w:tcW w:w="496" w:type="dxa"/>
            <w:shd w:val="clear" w:color="auto" w:fill="C6EFCE"/>
            <w:noWrap/>
          </w:tcPr>
          <w:p w14:paraId="3B64F71A" w14:textId="77777777" w:rsidR="00011DE9" w:rsidRDefault="00011DE9">
            <w:pPr>
              <w:pStyle w:val="P68B1DB1-Normal19"/>
              <w:spacing w:after="0"/>
              <w:jc w:val="center"/>
              <w:rPr>
                <w:rFonts w:eastAsia="Times New Roman"/>
                <w:noProof/>
              </w:rPr>
            </w:pPr>
            <w:r>
              <w:rPr>
                <w:noProof/>
              </w:rPr>
              <w:t>2023</w:t>
            </w:r>
          </w:p>
        </w:tc>
        <w:tc>
          <w:tcPr>
            <w:tcW w:w="5032" w:type="dxa"/>
            <w:shd w:val="clear" w:color="auto" w:fill="C6EFCE"/>
            <w:noWrap/>
          </w:tcPr>
          <w:p w14:paraId="2B6868E7" w14:textId="77777777" w:rsidR="00011DE9" w:rsidRDefault="00011DE9">
            <w:pPr>
              <w:pStyle w:val="P68B1DB1-Normal19"/>
              <w:spacing w:after="0"/>
              <w:rPr>
                <w:rFonts w:eastAsia="Times New Roman"/>
                <w:noProof/>
              </w:rPr>
            </w:pPr>
            <w:r>
              <w:rPr>
                <w:noProof/>
              </w:rPr>
              <w:t>Agenția fiscală instituie și pune în funcțiune patru platforme fiscale de sprijin digital (DSP). DSP acționează ca ghișee virtuale online care oferă contribuabililor un serviciu de asistență mai larg, permițându-le să intre în contact cu administrația fiscală în diferite limbi în vederea desfășurării unor proceduri de asistență online care includ: (1) servicii de informare referitoare la i) informații de recensământ; II) TVA; III) impozitul pe venitul persoanelor fizice și (2) serviciile de asistență legate de: declarațiile de recensământ; și ii) taxarea inversă trimestrială a TVA-ului pentru locatori și declarațiile de TVA pentru persoanele impozabile care își încep activitatea.</w:t>
            </w:r>
          </w:p>
        </w:tc>
      </w:tr>
      <w:tr w:rsidR="00011DE9" w14:paraId="5E123538" w14:textId="77777777">
        <w:trPr>
          <w:trHeight w:val="309"/>
          <w:jc w:val="center"/>
        </w:trPr>
        <w:tc>
          <w:tcPr>
            <w:tcW w:w="696" w:type="dxa"/>
            <w:shd w:val="clear" w:color="auto" w:fill="C6EFCE"/>
            <w:noWrap/>
          </w:tcPr>
          <w:p w14:paraId="46CB7E8E" w14:textId="77777777" w:rsidR="00011DE9" w:rsidRDefault="00011DE9">
            <w:pPr>
              <w:pStyle w:val="P68B1DB1-Normal19"/>
              <w:spacing w:after="0"/>
              <w:jc w:val="center"/>
              <w:rPr>
                <w:rFonts w:eastAsia="Times New Roman"/>
                <w:noProof/>
              </w:rPr>
            </w:pPr>
            <w:r>
              <w:rPr>
                <w:noProof/>
              </w:rPr>
              <w:t>383</w:t>
            </w:r>
          </w:p>
        </w:tc>
        <w:tc>
          <w:tcPr>
            <w:tcW w:w="836" w:type="dxa"/>
            <w:shd w:val="clear" w:color="auto" w:fill="C6EFCE"/>
            <w:noWrap/>
          </w:tcPr>
          <w:p w14:paraId="07C2F7FD" w14:textId="77777777" w:rsidR="00011DE9" w:rsidRDefault="00011DE9">
            <w:pPr>
              <w:pStyle w:val="P68B1DB1-Normal19"/>
              <w:spacing w:after="0"/>
              <w:jc w:val="center"/>
              <w:rPr>
                <w:rFonts w:eastAsia="Times New Roman"/>
                <w:noProof/>
              </w:rPr>
            </w:pPr>
            <w:r>
              <w:rPr>
                <w:noProof/>
              </w:rPr>
              <w:t>C27.R4</w:t>
            </w:r>
          </w:p>
        </w:tc>
        <w:tc>
          <w:tcPr>
            <w:tcW w:w="835" w:type="dxa"/>
            <w:shd w:val="clear" w:color="auto" w:fill="C6EFCE"/>
            <w:noWrap/>
          </w:tcPr>
          <w:p w14:paraId="5DB055B0" w14:textId="77777777" w:rsidR="00011DE9" w:rsidRDefault="00011DE9">
            <w:pPr>
              <w:pStyle w:val="P68B1DB1-Normal19"/>
              <w:spacing w:after="0"/>
              <w:jc w:val="center"/>
              <w:rPr>
                <w:rFonts w:eastAsia="Times New Roman"/>
                <w:noProof/>
              </w:rPr>
            </w:pPr>
            <w:r>
              <w:rPr>
                <w:noProof/>
              </w:rPr>
              <w:t>T</w:t>
            </w:r>
          </w:p>
        </w:tc>
        <w:tc>
          <w:tcPr>
            <w:tcW w:w="2920" w:type="dxa"/>
            <w:shd w:val="clear" w:color="auto" w:fill="C6EFCE"/>
            <w:noWrap/>
          </w:tcPr>
          <w:p w14:paraId="50D4244B" w14:textId="77777777" w:rsidR="00011DE9" w:rsidRDefault="00011DE9">
            <w:pPr>
              <w:pStyle w:val="P68B1DB1-Normal19"/>
              <w:spacing w:after="0"/>
              <w:rPr>
                <w:rFonts w:eastAsia="Times New Roman"/>
                <w:noProof/>
              </w:rPr>
            </w:pPr>
            <w:r>
              <w:rPr>
                <w:noProof/>
              </w:rPr>
              <w:t xml:space="preserve">Dimensiunea internațională – Contribuabili străini înregistrați identificați </w:t>
            </w:r>
          </w:p>
        </w:tc>
        <w:tc>
          <w:tcPr>
            <w:tcW w:w="1113" w:type="dxa"/>
            <w:shd w:val="clear" w:color="auto" w:fill="C6EFCE"/>
            <w:noWrap/>
          </w:tcPr>
          <w:p w14:paraId="7581258A" w14:textId="77777777" w:rsidR="00011DE9" w:rsidRDefault="00011DE9">
            <w:pPr>
              <w:pStyle w:val="P68B1DB1-Normal19"/>
              <w:spacing w:after="0"/>
              <w:jc w:val="center"/>
              <w:rPr>
                <w:rFonts w:eastAsia="Times New Roman"/>
                <w:noProof/>
              </w:rPr>
            </w:pPr>
            <w:r>
              <w:rPr>
                <w:noProof/>
              </w:rPr>
              <w:t xml:space="preserve"> </w:t>
            </w:r>
          </w:p>
        </w:tc>
        <w:tc>
          <w:tcPr>
            <w:tcW w:w="836" w:type="dxa"/>
            <w:shd w:val="clear" w:color="auto" w:fill="C6EFCE"/>
            <w:noWrap/>
          </w:tcPr>
          <w:p w14:paraId="768A063B" w14:textId="77777777" w:rsidR="00011DE9" w:rsidRDefault="00011DE9">
            <w:pPr>
              <w:pStyle w:val="P68B1DB1-Normal19"/>
              <w:spacing w:after="0"/>
              <w:jc w:val="center"/>
              <w:rPr>
                <w:rFonts w:eastAsia="Times New Roman"/>
                <w:noProof/>
              </w:rPr>
            </w:pPr>
            <w:r>
              <w:rPr>
                <w:noProof/>
              </w:rPr>
              <w:t>Număr (%)</w:t>
            </w:r>
          </w:p>
        </w:tc>
        <w:tc>
          <w:tcPr>
            <w:tcW w:w="974" w:type="dxa"/>
            <w:shd w:val="clear" w:color="auto" w:fill="C6EFCE"/>
            <w:noWrap/>
          </w:tcPr>
          <w:p w14:paraId="281E033D" w14:textId="77777777" w:rsidR="00011DE9" w:rsidRDefault="00011DE9">
            <w:pPr>
              <w:pStyle w:val="P68B1DB1-Normal19"/>
              <w:spacing w:after="0"/>
              <w:jc w:val="right"/>
              <w:rPr>
                <w:rFonts w:eastAsia="Times New Roman"/>
                <w:noProof/>
              </w:rPr>
            </w:pPr>
            <w:r>
              <w:rPr>
                <w:noProof/>
              </w:rPr>
              <w:t>0</w:t>
            </w:r>
          </w:p>
        </w:tc>
        <w:tc>
          <w:tcPr>
            <w:tcW w:w="890" w:type="dxa"/>
            <w:shd w:val="clear" w:color="auto" w:fill="C6EFCE"/>
            <w:noWrap/>
          </w:tcPr>
          <w:p w14:paraId="226F141A" w14:textId="77777777" w:rsidR="00011DE9" w:rsidRDefault="00011DE9">
            <w:pPr>
              <w:pStyle w:val="P68B1DB1-Normal19"/>
              <w:spacing w:after="0"/>
              <w:jc w:val="right"/>
              <w:rPr>
                <w:rFonts w:eastAsia="Times New Roman"/>
                <w:noProof/>
              </w:rPr>
            </w:pPr>
            <w:r>
              <w:rPr>
                <w:noProof/>
              </w:rPr>
              <w:t>85</w:t>
            </w:r>
          </w:p>
        </w:tc>
        <w:tc>
          <w:tcPr>
            <w:tcW w:w="426" w:type="dxa"/>
            <w:shd w:val="clear" w:color="auto" w:fill="C6EFCE"/>
            <w:noWrap/>
          </w:tcPr>
          <w:p w14:paraId="1A62F43A" w14:textId="1A2DBA55" w:rsidR="00011DE9" w:rsidRDefault="005701C9">
            <w:pPr>
              <w:pStyle w:val="P68B1DB1-Normal19"/>
              <w:spacing w:after="0"/>
              <w:jc w:val="center"/>
              <w:rPr>
                <w:rFonts w:eastAsia="Times New Roman"/>
                <w:noProof/>
              </w:rPr>
            </w:pPr>
            <w:r>
              <w:rPr>
                <w:noProof/>
              </w:rPr>
              <w:t>T4</w:t>
            </w:r>
          </w:p>
        </w:tc>
        <w:tc>
          <w:tcPr>
            <w:tcW w:w="496" w:type="dxa"/>
            <w:shd w:val="clear" w:color="auto" w:fill="C6EFCE"/>
            <w:noWrap/>
          </w:tcPr>
          <w:p w14:paraId="6140132F" w14:textId="77777777" w:rsidR="00011DE9" w:rsidRDefault="00011DE9">
            <w:pPr>
              <w:pStyle w:val="P68B1DB1-Normal19"/>
              <w:spacing w:after="0"/>
              <w:jc w:val="center"/>
              <w:rPr>
                <w:rFonts w:eastAsia="Times New Roman"/>
                <w:noProof/>
              </w:rPr>
            </w:pPr>
            <w:r>
              <w:rPr>
                <w:noProof/>
              </w:rPr>
              <w:t>2021</w:t>
            </w:r>
          </w:p>
        </w:tc>
        <w:tc>
          <w:tcPr>
            <w:tcW w:w="5032" w:type="dxa"/>
            <w:shd w:val="clear" w:color="auto" w:fill="C6EFCE"/>
            <w:noWrap/>
          </w:tcPr>
          <w:p w14:paraId="722CE22A" w14:textId="77777777" w:rsidR="00011DE9" w:rsidRDefault="00011DE9">
            <w:pPr>
              <w:pStyle w:val="P68B1DB1-Normal20"/>
              <w:spacing w:after="0"/>
              <w:rPr>
                <w:noProof/>
              </w:rPr>
            </w:pPr>
            <w:r>
              <w:rPr>
                <w:noProof/>
              </w:rPr>
              <w:t>Pentru a îmbunătăți respectarea obligațiilor fiscale, în special de către contribuabilii care figurează în registru ca contribuabili străini, agenția fiscală desfășoară un proiect care utilizează noi informații privind contribuabilii din diverse surse internaționale, cum ar fi FATCA și CRS. La finalizarea proiectului, se preconizează că informațiile internaționale primite vor fi adecvate pentru analiza riscurilor. Obiectivul proiectului este ca datele fiscale de la cel puțin 85 % dintre contribuabilii străini înregistrați cu privire la care agenția fiscală a primit informații în 2019 să fi fost identificate, iar datele sale fiscale să fi fost verificate pentru a fi utilizate în analiza de risc până la 31 decembrie 2021. Data de referință: 31 decembrie 2020.</w:t>
            </w:r>
          </w:p>
          <w:p w14:paraId="3EED5B45" w14:textId="77777777" w:rsidR="00011DE9" w:rsidRDefault="00011DE9">
            <w:pPr>
              <w:spacing w:after="0"/>
              <w:rPr>
                <w:rFonts w:ascii="Times New Roman" w:hAnsi="Times New Roman"/>
                <w:noProof/>
                <w:sz w:val="18"/>
                <w:szCs w:val="18"/>
              </w:rPr>
            </w:pPr>
          </w:p>
          <w:p w14:paraId="32D34334" w14:textId="77777777" w:rsidR="00011DE9" w:rsidRDefault="00011DE9">
            <w:pPr>
              <w:pStyle w:val="P68B1DB1-Normal20"/>
              <w:spacing w:after="0"/>
              <w:rPr>
                <w:noProof/>
              </w:rPr>
            </w:pPr>
            <w:r>
              <w:rPr>
                <w:noProof/>
              </w:rPr>
              <w:t xml:space="preserve">„Contribuabili străini înregistrați” sunt acei contribuabili cu privire la care Agenția fiscală spaniolă a primit informații care intră în domeniul de aplicare al FATCA (Legea conformității conturilor străine), al SCR (Standardul comun de raportare) și al DAC2. </w:t>
            </w:r>
          </w:p>
          <w:p w14:paraId="6DC5F343" w14:textId="77777777" w:rsidR="00011DE9" w:rsidRDefault="00011DE9">
            <w:pPr>
              <w:pStyle w:val="P68B1DB1-Normal20"/>
              <w:spacing w:after="0"/>
              <w:rPr>
                <w:noProof/>
              </w:rPr>
            </w:pPr>
            <w:r>
              <w:rPr>
                <w:noProof/>
              </w:rPr>
              <w:t>În 2019, prin intermediul acestor acorduri, Agenția fiscală spaniolă a primit informații cu privire la 1 954 860 de contribuabili.</w:t>
            </w:r>
          </w:p>
        </w:tc>
      </w:tr>
      <w:tr w:rsidR="00011DE9" w14:paraId="3F051EE2" w14:textId="77777777">
        <w:trPr>
          <w:trHeight w:val="309"/>
          <w:jc w:val="center"/>
        </w:trPr>
        <w:tc>
          <w:tcPr>
            <w:tcW w:w="696" w:type="dxa"/>
            <w:shd w:val="clear" w:color="auto" w:fill="C6EFCE"/>
            <w:noWrap/>
          </w:tcPr>
          <w:p w14:paraId="7B908420" w14:textId="77777777" w:rsidR="00011DE9" w:rsidRDefault="00011DE9">
            <w:pPr>
              <w:pStyle w:val="P68B1DB1-Normal19"/>
              <w:spacing w:after="0"/>
              <w:jc w:val="center"/>
              <w:rPr>
                <w:rFonts w:eastAsia="Times New Roman"/>
                <w:noProof/>
              </w:rPr>
            </w:pPr>
            <w:r>
              <w:rPr>
                <w:noProof/>
              </w:rPr>
              <w:t>384</w:t>
            </w:r>
          </w:p>
        </w:tc>
        <w:tc>
          <w:tcPr>
            <w:tcW w:w="836" w:type="dxa"/>
            <w:shd w:val="clear" w:color="auto" w:fill="C6EFCE"/>
            <w:noWrap/>
          </w:tcPr>
          <w:p w14:paraId="7229B735" w14:textId="77777777" w:rsidR="00011DE9" w:rsidRDefault="00011DE9">
            <w:pPr>
              <w:pStyle w:val="P68B1DB1-Normal19"/>
              <w:spacing w:after="0"/>
              <w:jc w:val="center"/>
              <w:rPr>
                <w:rFonts w:eastAsia="Times New Roman"/>
                <w:noProof/>
              </w:rPr>
            </w:pPr>
            <w:r>
              <w:rPr>
                <w:noProof/>
              </w:rPr>
              <w:t>C27.R5</w:t>
            </w:r>
          </w:p>
        </w:tc>
        <w:tc>
          <w:tcPr>
            <w:tcW w:w="835" w:type="dxa"/>
            <w:shd w:val="clear" w:color="auto" w:fill="C6EFCE"/>
            <w:noWrap/>
          </w:tcPr>
          <w:p w14:paraId="4566688F" w14:textId="77777777" w:rsidR="00011DE9" w:rsidRDefault="00011DE9">
            <w:pPr>
              <w:pStyle w:val="P68B1DB1-Normal19"/>
              <w:spacing w:after="0"/>
              <w:jc w:val="center"/>
              <w:rPr>
                <w:rFonts w:eastAsia="Times New Roman"/>
                <w:noProof/>
              </w:rPr>
            </w:pPr>
            <w:r>
              <w:rPr>
                <w:noProof/>
              </w:rPr>
              <w:t>T</w:t>
            </w:r>
          </w:p>
        </w:tc>
        <w:tc>
          <w:tcPr>
            <w:tcW w:w="2920" w:type="dxa"/>
            <w:shd w:val="clear" w:color="auto" w:fill="C6EFCE"/>
            <w:noWrap/>
          </w:tcPr>
          <w:p w14:paraId="04C61CFB" w14:textId="77777777" w:rsidR="00011DE9" w:rsidRDefault="00011DE9">
            <w:pPr>
              <w:pStyle w:val="P68B1DB1-Normal19"/>
              <w:spacing w:after="0"/>
              <w:rPr>
                <w:rFonts w:eastAsia="Times New Roman"/>
                <w:noProof/>
              </w:rPr>
            </w:pPr>
            <w:r>
              <w:rPr>
                <w:noProof/>
              </w:rPr>
              <w:t>Modelul cooperatist – Rapoarte privind transparența</w:t>
            </w:r>
          </w:p>
        </w:tc>
        <w:tc>
          <w:tcPr>
            <w:tcW w:w="1113" w:type="dxa"/>
            <w:shd w:val="clear" w:color="auto" w:fill="C6EFCE"/>
            <w:noWrap/>
          </w:tcPr>
          <w:p w14:paraId="3F52734B" w14:textId="77777777" w:rsidR="00011DE9" w:rsidRDefault="00011DE9">
            <w:pPr>
              <w:pStyle w:val="P68B1DB1-Normal19"/>
              <w:spacing w:after="0"/>
              <w:jc w:val="center"/>
              <w:rPr>
                <w:rFonts w:eastAsia="Times New Roman"/>
                <w:noProof/>
              </w:rPr>
            </w:pPr>
            <w:r>
              <w:rPr>
                <w:noProof/>
              </w:rPr>
              <w:t xml:space="preserve"> </w:t>
            </w:r>
          </w:p>
        </w:tc>
        <w:tc>
          <w:tcPr>
            <w:tcW w:w="836" w:type="dxa"/>
            <w:shd w:val="clear" w:color="auto" w:fill="C6EFCE"/>
            <w:noWrap/>
          </w:tcPr>
          <w:p w14:paraId="591DE13B" w14:textId="77777777" w:rsidR="00011DE9" w:rsidRDefault="00011DE9">
            <w:pPr>
              <w:pStyle w:val="P68B1DB1-Normal19"/>
              <w:spacing w:after="0"/>
              <w:jc w:val="center"/>
              <w:rPr>
                <w:rFonts w:eastAsia="Times New Roman"/>
                <w:noProof/>
              </w:rPr>
            </w:pPr>
            <w:r>
              <w:rPr>
                <w:noProof/>
              </w:rPr>
              <w:t xml:space="preserve">Număr </w:t>
            </w:r>
          </w:p>
        </w:tc>
        <w:tc>
          <w:tcPr>
            <w:tcW w:w="974" w:type="dxa"/>
            <w:shd w:val="clear" w:color="auto" w:fill="C6EFCE"/>
            <w:noWrap/>
          </w:tcPr>
          <w:p w14:paraId="6A567E3B" w14:textId="77777777" w:rsidR="00011DE9" w:rsidRDefault="00011DE9">
            <w:pPr>
              <w:pStyle w:val="P68B1DB1-Normal19"/>
              <w:spacing w:after="0"/>
              <w:jc w:val="right"/>
              <w:rPr>
                <w:rFonts w:eastAsia="Times New Roman"/>
                <w:noProof/>
              </w:rPr>
            </w:pPr>
            <w:r>
              <w:rPr>
                <w:noProof/>
              </w:rPr>
              <w:t>0</w:t>
            </w:r>
          </w:p>
        </w:tc>
        <w:tc>
          <w:tcPr>
            <w:tcW w:w="890" w:type="dxa"/>
            <w:shd w:val="clear" w:color="auto" w:fill="C6EFCE"/>
            <w:noWrap/>
          </w:tcPr>
          <w:p w14:paraId="1335898F" w14:textId="77777777" w:rsidR="00011DE9" w:rsidRDefault="00011DE9">
            <w:pPr>
              <w:pStyle w:val="P68B1DB1-Normal19"/>
              <w:spacing w:after="0"/>
              <w:jc w:val="right"/>
              <w:rPr>
                <w:rFonts w:eastAsia="Times New Roman"/>
                <w:noProof/>
              </w:rPr>
            </w:pPr>
            <w:r>
              <w:rPr>
                <w:noProof/>
              </w:rPr>
              <w:t>20</w:t>
            </w:r>
          </w:p>
        </w:tc>
        <w:tc>
          <w:tcPr>
            <w:tcW w:w="426" w:type="dxa"/>
            <w:shd w:val="clear" w:color="auto" w:fill="C6EFCE"/>
            <w:noWrap/>
          </w:tcPr>
          <w:p w14:paraId="07EAEA8D" w14:textId="5192BED3" w:rsidR="00011DE9" w:rsidRDefault="005701C9">
            <w:pPr>
              <w:pStyle w:val="P68B1DB1-Normal19"/>
              <w:spacing w:after="0"/>
              <w:jc w:val="center"/>
              <w:rPr>
                <w:rFonts w:eastAsia="Times New Roman"/>
                <w:noProof/>
              </w:rPr>
            </w:pPr>
            <w:r>
              <w:rPr>
                <w:noProof/>
              </w:rPr>
              <w:t>T4</w:t>
            </w:r>
          </w:p>
        </w:tc>
        <w:tc>
          <w:tcPr>
            <w:tcW w:w="496" w:type="dxa"/>
            <w:shd w:val="clear" w:color="auto" w:fill="C6EFCE"/>
            <w:noWrap/>
          </w:tcPr>
          <w:p w14:paraId="5A34CE28" w14:textId="77777777" w:rsidR="00011DE9" w:rsidRDefault="00011DE9">
            <w:pPr>
              <w:pStyle w:val="P68B1DB1-Normal19"/>
              <w:spacing w:after="0"/>
              <w:jc w:val="center"/>
              <w:rPr>
                <w:rFonts w:eastAsia="Times New Roman"/>
                <w:noProof/>
              </w:rPr>
            </w:pPr>
            <w:r>
              <w:rPr>
                <w:noProof/>
              </w:rPr>
              <w:t>2021</w:t>
            </w:r>
          </w:p>
        </w:tc>
        <w:tc>
          <w:tcPr>
            <w:tcW w:w="5032" w:type="dxa"/>
            <w:shd w:val="clear" w:color="auto" w:fill="C6EFCE"/>
            <w:noWrap/>
          </w:tcPr>
          <w:p w14:paraId="36D5B171" w14:textId="77777777" w:rsidR="00011DE9" w:rsidRDefault="00011DE9">
            <w:pPr>
              <w:pStyle w:val="P68B1DB1-Normal19"/>
              <w:spacing w:after="0"/>
              <w:rPr>
                <w:rFonts w:eastAsia="Times New Roman"/>
                <w:noProof/>
              </w:rPr>
            </w:pPr>
            <w:r>
              <w:rPr>
                <w:noProof/>
              </w:rPr>
              <w:t>Agenția fiscală pune în aplicare în 2021 un proiect care încurajează întreprinderile multinaționale să divulge informații cu privire la operațiunile lor. Aceste informații pot avea consecințe în ceea ce privește impozitarea societăților respective. Obiectivul este de 20 de rapoarte privind transparența prezentate în 2021.</w:t>
            </w:r>
          </w:p>
        </w:tc>
      </w:tr>
    </w:tbl>
    <w:p w14:paraId="427E8DFB" w14:textId="77777777" w:rsidR="00011DE9" w:rsidRDefault="00011DE9">
      <w:pPr>
        <w:pStyle w:val="Text1"/>
        <w:ind w:left="709"/>
        <w:rPr>
          <w:rFonts w:ascii="Times New Roman" w:hAnsi="Times New Roman" w:cs="Times New Roman"/>
          <w:noProof/>
        </w:rPr>
      </w:pPr>
    </w:p>
    <w:p w14:paraId="0C19B3C6" w14:textId="77777777" w:rsidR="00011DE9" w:rsidRDefault="00011DE9">
      <w:pPr>
        <w:pStyle w:val="SectionTitle"/>
        <w:rPr>
          <w:rFonts w:ascii="Times New Roman" w:hAnsi="Times New Roman" w:cs="Times New Roman"/>
          <w:noProof/>
        </w:rPr>
        <w:sectPr w:rsidR="00011DE9" w:rsidSect="00011DE9">
          <w:headerReference w:type="even" r:id="rId372"/>
          <w:headerReference w:type="default" r:id="rId373"/>
          <w:footerReference w:type="even" r:id="rId374"/>
          <w:footerReference w:type="default" r:id="rId375"/>
          <w:headerReference w:type="first" r:id="rId376"/>
          <w:footerReference w:type="first" r:id="rId377"/>
          <w:pgSz w:w="16839" w:h="11907" w:orient="landscape"/>
          <w:pgMar w:top="1134" w:right="1134" w:bottom="1134" w:left="1134" w:header="567" w:footer="567" w:gutter="0"/>
          <w:cols w:space="720"/>
          <w:docGrid w:linePitch="360"/>
        </w:sectPr>
      </w:pPr>
    </w:p>
    <w:p w14:paraId="51126162" w14:textId="77777777" w:rsidR="00011DE9" w:rsidRDefault="00011DE9">
      <w:pPr>
        <w:pStyle w:val="Heading1"/>
        <w:rPr>
          <w:noProof/>
        </w:rPr>
      </w:pPr>
      <w:r>
        <w:rPr>
          <w:noProof/>
        </w:rPr>
        <w:t>AB. COMPONENTA 28: Adaptarea sistemului fiscal la realitatea secolului XXI</w:t>
      </w:r>
    </w:p>
    <w:p w14:paraId="492EDE1E" w14:textId="77777777" w:rsidR="00011DE9" w:rsidRDefault="00011DE9">
      <w:pPr>
        <w:pStyle w:val="P68B1DB1-Text161"/>
        <w:ind w:left="0"/>
        <w:rPr>
          <w:rFonts w:cs="Times New Roman"/>
          <w:noProof/>
        </w:rPr>
      </w:pPr>
      <w:r>
        <w:rPr>
          <w:noProof/>
        </w:rPr>
        <w:t xml:space="preserve">Măsurile din componenta 28 a planului spaniol de redresare și reziliență cuprind diverse măsuri fiscale, cum ar fi măsurile de urgență decise în faza acută a crizei economice în 2020, introducerea de noi impozite în contextul bugetului de stat pentru 2021 și proiecte pe termen mediu de revizuire și dezvoltare a sistemului fiscal mai adecvat scopului său. Măsurile conțin, de asemenea, stimulente fiscale pentru accelerarea tranziției verzi. Obiectivele urmărite de reforma sistemului fiscal spaniol sunt de a-l face mai echitabil, mai progresiv, mai durabil și mai corect, aprofundând în același timp conceptul de impozitare ecologică, încorporând o perspectivă de gen și consolidând politicile publice de interes general, cum ar fi protecția sănătății. Reformele vizează, de asemenea, să contribuie în mod pozitiv la creșterea economică, la crearea de locuri de muncă, la reziliența economică și la coeziunea interteritorială. Întrucât ponderea globală a veniturilor fiscale în PIB în Spania este mai mică decât în economiile similare, există posibilitatea de a crește veniturile și de a promova sustenabilitatea pe termen mediu și lung a finanțelor publice. </w:t>
      </w:r>
    </w:p>
    <w:p w14:paraId="260C05DC" w14:textId="77777777" w:rsidR="00011DE9" w:rsidRDefault="00011DE9">
      <w:pPr>
        <w:pStyle w:val="P68B1DB1-Text161"/>
        <w:ind w:left="0"/>
        <w:rPr>
          <w:rFonts w:cs="Times New Roman"/>
          <w:noProof/>
        </w:rPr>
      </w:pPr>
      <w:r>
        <w:rPr>
          <w:noProof/>
        </w:rPr>
        <w:t xml:space="preserve">Componenta abordează, printre altele, recomandările specifice fiecărei țări privind consolidarea cadrelor bugetare și de achiziții publice la toate nivelurile de guvernare (Recomandarea specifică fiecărei țări 1 2019), privind – atunci când condițiile economice permit acest lucru – aplicarea unor politici bugetare menite să asigure poziții bugetare prudente pe termen mediu și să asigure sustenabilitatea datoriei, încurajând în același timp investițiile (Recomandarea specifică fiecărei țări 1 2020), privind electrificarea transporturilor (Recomandările specifice fiecărei țări 3 2023 și 4 2022), privind creșterea investițiilor în tranziția ecologică și digitală (Recomandările specifice fiecărei țări 1 2023, 1 2022 și 3 2020) și privind creșterea disponibilității locuințelor sociale și la prețuri accesibile și eficiente din punct de vedere energetic, în special prin renovare (Recomandările specifice fiecărei țări 3 2023 și 4 2022). </w:t>
      </w:r>
    </w:p>
    <w:p w14:paraId="36497E0C" w14:textId="77777777" w:rsidR="00011DE9" w:rsidRDefault="00011DE9">
      <w:pPr>
        <w:pStyle w:val="P68B1DB1-Text161"/>
        <w:ind w:left="0"/>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C7563E2" w14:textId="77777777" w:rsidR="00011DE9" w:rsidRDefault="00011DE9">
      <w:pPr>
        <w:pStyle w:val="Text1"/>
        <w:ind w:left="709"/>
        <w:rPr>
          <w:rFonts w:ascii="Times New Roman" w:hAnsi="Times New Roman" w:cs="Times New Roman"/>
          <w:b/>
          <w:i/>
          <w:noProof/>
        </w:rPr>
      </w:pPr>
      <w:r>
        <w:rPr>
          <w:rFonts w:ascii="Times New Roman" w:hAnsi="Times New Roman"/>
          <w:b/>
          <w:noProof/>
          <w:u w:val="single"/>
        </w:rPr>
        <w:t xml:space="preserve">AB.1. </w:t>
      </w:r>
      <w:r>
        <w:rPr>
          <w:noProof/>
        </w:rPr>
        <w:t></w:t>
      </w:r>
      <w:r>
        <w:rPr>
          <w:rFonts w:ascii="Times New Roman" w:hAnsi="Times New Roman"/>
          <w:b/>
          <w:noProof/>
          <w:u w:val="single"/>
        </w:rPr>
        <w:t>Descrierea reformelor și a investițiilor pentru sprijinul financiar nerambursabil</w:t>
      </w:r>
    </w:p>
    <w:p w14:paraId="7E85A08D" w14:textId="77777777" w:rsidR="00011DE9" w:rsidRDefault="00011DE9">
      <w:pPr>
        <w:pStyle w:val="P68B1DB1-Text162"/>
        <w:ind w:left="0"/>
        <w:rPr>
          <w:rFonts w:cs="Times New Roman"/>
          <w:noProof/>
        </w:rPr>
      </w:pPr>
      <w:r>
        <w:rPr>
          <w:noProof/>
        </w:rPr>
        <w:t>Reforma 1 (C28.R1) – Măsuri luate în 2020 și 2021 pentru atenuarea efectelor pandemiei de COVID-19</w:t>
      </w:r>
    </w:p>
    <w:p w14:paraId="676D3E0D" w14:textId="77777777" w:rsidR="00011DE9" w:rsidRDefault="00011DE9">
      <w:pPr>
        <w:pStyle w:val="P68B1DB1-Text161"/>
        <w:ind w:left="0"/>
        <w:rPr>
          <w:rFonts w:cs="Times New Roman"/>
          <w:noProof/>
        </w:rPr>
      </w:pPr>
      <w:r>
        <w:rPr>
          <w:noProof/>
        </w:rPr>
        <w:t xml:space="preserve">Spania a pus în aplicare în 2020 și 2021 mai multe măsuri fiscale pentru a atenua impactul negativ al crizei economice cauzate de epidemia de COVID-19. Aceste măsuri au inclus amânarea datoriilor fiscale și vamale, suspendarea și prelungirea termenelor fiscale, posibilități de simplificare a impozitului pe venitul persoanelor fizice, regimurile de impozitare a societăților și de TVA pentru IMM-uri, reducerea temporară a cotei de TVA pentru anumite bunuri necesare pentru combaterea crizei sanitare și crearea Fondului de insolvență pentru societățile nefinanciare. Obiectivul acestor măsuri a fost de a atenua impactul economic și social al pandemiei. Aceste măsuri intră în vigoare la 1 februarie 2020, iar unele dintre ele continuă în 2021. </w:t>
      </w:r>
    </w:p>
    <w:p w14:paraId="64F26A3D" w14:textId="77777777" w:rsidR="00011DE9" w:rsidRDefault="00011DE9">
      <w:pPr>
        <w:pStyle w:val="P68B1DB1-Text161"/>
        <w:ind w:left="0"/>
        <w:rPr>
          <w:rFonts w:cs="Times New Roman"/>
          <w:noProof/>
        </w:rPr>
      </w:pPr>
      <w:r>
        <w:rPr>
          <w:noProof/>
        </w:rPr>
        <w:t>Punerea în aplicare a măsurii se finalizează până la 31 202 martie 1.</w:t>
      </w:r>
    </w:p>
    <w:p w14:paraId="42E2871E" w14:textId="77777777" w:rsidR="00011DE9" w:rsidRDefault="00011DE9">
      <w:pPr>
        <w:pStyle w:val="P68B1DB1-Text162"/>
        <w:ind w:left="0"/>
        <w:rPr>
          <w:rFonts w:cs="Times New Roman"/>
          <w:noProof/>
        </w:rPr>
      </w:pPr>
      <w:r>
        <w:rPr>
          <w:noProof/>
        </w:rPr>
        <w:t>Reforma 2 (C28.R2) – Reforma avantajelor fiscale</w:t>
      </w:r>
    </w:p>
    <w:p w14:paraId="07666564" w14:textId="436A281D" w:rsidR="00011DE9" w:rsidRDefault="00011DE9">
      <w:pPr>
        <w:pStyle w:val="P68B1DB1-Normal63"/>
        <w:spacing w:before="120" w:after="120" w:line="240" w:lineRule="auto"/>
        <w:jc w:val="both"/>
        <w:rPr>
          <w:noProof/>
        </w:rPr>
      </w:pPr>
      <w:r>
        <w:rPr>
          <w:noProof/>
        </w:rPr>
        <w:t>Obiectivul acestei reforme este de a crește veniturile publice și de a moderniza sistemul fiscal.</w:t>
      </w:r>
      <w:r w:rsidR="00971820">
        <w:rPr>
          <w:noProof/>
        </w:rPr>
        <w:t xml:space="preserve"> </w:t>
      </w:r>
    </w:p>
    <w:p w14:paraId="7E4C587C" w14:textId="77777777" w:rsidR="00011DE9" w:rsidRDefault="00011DE9">
      <w:pPr>
        <w:pStyle w:val="P68B1DB1-Normal63"/>
        <w:spacing w:before="120" w:after="120" w:line="240" w:lineRule="auto"/>
        <w:jc w:val="both"/>
        <w:rPr>
          <w:noProof/>
        </w:rPr>
      </w:pPr>
      <w:r>
        <w:rPr>
          <w:noProof/>
        </w:rPr>
        <w:t>Această măsură constă în reforme în materie de reglementare care elimină sau modifică beneficiile fiscale, care se estimează că, la momentul intrării lor în vigoare, vor crește permanent veniturile cu 0.1 puncte procentuale din PIB.</w:t>
      </w:r>
    </w:p>
    <w:p w14:paraId="51EB7EDD" w14:textId="77777777" w:rsidR="00011DE9" w:rsidRDefault="00011DE9">
      <w:pPr>
        <w:pStyle w:val="P68B1DB1-Text162"/>
        <w:ind w:left="0"/>
        <w:rPr>
          <w:rFonts w:cs="Times New Roman"/>
          <w:noProof/>
        </w:rPr>
      </w:pPr>
      <w:r>
        <w:rPr>
          <w:noProof/>
        </w:rPr>
        <w:t>Reforma 3 (C28.R3) – Înființarea unui comitet de experți pentru reforma fiscală</w:t>
      </w:r>
    </w:p>
    <w:p w14:paraId="526EBAD4" w14:textId="77777777" w:rsidR="00011DE9" w:rsidRDefault="00011DE9">
      <w:pPr>
        <w:pStyle w:val="P68B1DB1-Text161"/>
        <w:ind w:left="0"/>
        <w:rPr>
          <w:rFonts w:cs="Times New Roman"/>
          <w:noProof/>
        </w:rPr>
      </w:pPr>
      <w:r>
        <w:rPr>
          <w:noProof/>
        </w:rPr>
        <w:t>Autoritățile instituie un comitet de experți la 12 aprilie 2021 pentru a examina caracteristicile unui sistem fiscal optim și pentru a formula recomandări cu privire la modalitățile de modernizare și adaptare a impozitării actuale într-un mod coerent. În special, comitetul de experți acordă atenție următoarelor domenii:</w:t>
      </w:r>
    </w:p>
    <w:p w14:paraId="7D0228FC" w14:textId="77777777" w:rsidR="00011DE9" w:rsidRDefault="00011DE9">
      <w:pPr>
        <w:pStyle w:val="P68B1DB1-Text161"/>
        <w:numPr>
          <w:ilvl w:val="0"/>
          <w:numId w:val="189"/>
        </w:numPr>
        <w:rPr>
          <w:rFonts w:cs="Times New Roman"/>
          <w:noProof/>
        </w:rPr>
      </w:pPr>
      <w:r>
        <w:rPr>
          <w:noProof/>
        </w:rPr>
        <w:t xml:space="preserve">taxele de mediu; </w:t>
      </w:r>
    </w:p>
    <w:p w14:paraId="56EB40CF" w14:textId="77777777" w:rsidR="00011DE9" w:rsidRDefault="00011DE9">
      <w:pPr>
        <w:pStyle w:val="P68B1DB1-Text161"/>
        <w:numPr>
          <w:ilvl w:val="0"/>
          <w:numId w:val="189"/>
        </w:numPr>
        <w:rPr>
          <w:rFonts w:cs="Times New Roman"/>
          <w:noProof/>
        </w:rPr>
      </w:pPr>
      <w:r>
        <w:rPr>
          <w:noProof/>
        </w:rPr>
        <w:t>impozitarea întreprinderilor;</w:t>
      </w:r>
    </w:p>
    <w:p w14:paraId="1A222962" w14:textId="77777777" w:rsidR="00011DE9" w:rsidRDefault="00011DE9">
      <w:pPr>
        <w:pStyle w:val="P68B1DB1-Text161"/>
        <w:numPr>
          <w:ilvl w:val="0"/>
          <w:numId w:val="189"/>
        </w:numPr>
        <w:rPr>
          <w:rFonts w:cs="Times New Roman"/>
          <w:noProof/>
        </w:rPr>
      </w:pPr>
      <w:r>
        <w:rPr>
          <w:noProof/>
        </w:rPr>
        <w:t>impozitarea economiei digitalizate;</w:t>
      </w:r>
    </w:p>
    <w:p w14:paraId="2B9A4276" w14:textId="77777777" w:rsidR="00011DE9" w:rsidRDefault="00011DE9">
      <w:pPr>
        <w:pStyle w:val="P68B1DB1-Text161"/>
        <w:numPr>
          <w:ilvl w:val="0"/>
          <w:numId w:val="189"/>
        </w:numPr>
        <w:rPr>
          <w:rFonts w:cs="Times New Roman"/>
          <w:noProof/>
        </w:rPr>
      </w:pPr>
      <w:r>
        <w:rPr>
          <w:noProof/>
        </w:rPr>
        <w:t>impozitarea averii, inclusiv impozitarea proprietăților și punerea concretă în aplicare a armonizării în acest domeniu;</w:t>
      </w:r>
    </w:p>
    <w:p w14:paraId="57F462A3" w14:textId="77777777" w:rsidR="00011DE9" w:rsidRDefault="00011DE9">
      <w:pPr>
        <w:pStyle w:val="P68B1DB1-Text161"/>
        <w:numPr>
          <w:ilvl w:val="0"/>
          <w:numId w:val="189"/>
        </w:numPr>
        <w:rPr>
          <w:rFonts w:cs="Times New Roman"/>
          <w:noProof/>
        </w:rPr>
      </w:pPr>
      <w:r>
        <w:rPr>
          <w:noProof/>
        </w:rPr>
        <w:t>impozitarea activităților economice emergente; și</w:t>
      </w:r>
    </w:p>
    <w:p w14:paraId="5578E2C7" w14:textId="77777777" w:rsidR="00011DE9" w:rsidRDefault="00011DE9">
      <w:pPr>
        <w:pStyle w:val="P68B1DB1-Text161"/>
        <w:numPr>
          <w:ilvl w:val="0"/>
          <w:numId w:val="189"/>
        </w:numPr>
        <w:rPr>
          <w:rFonts w:cs="Times New Roman"/>
          <w:noProof/>
        </w:rPr>
      </w:pPr>
      <w:r>
        <w:rPr>
          <w:noProof/>
        </w:rPr>
        <w:t>egalitatea între sexe.</w:t>
      </w:r>
    </w:p>
    <w:p w14:paraId="19A0C4C9" w14:textId="77777777" w:rsidR="00011DE9" w:rsidRDefault="00011DE9">
      <w:pPr>
        <w:pStyle w:val="P68B1DB1-Text161"/>
        <w:ind w:left="0"/>
        <w:rPr>
          <w:rFonts w:cs="Times New Roman"/>
          <w:noProof/>
        </w:rPr>
      </w:pPr>
      <w:r>
        <w:rPr>
          <w:noProof/>
        </w:rPr>
        <w:t xml:space="preserve">Modificările regimului fiscal întemeiate pe recomandările comisiei de experți sau pe alte analize ale Ministerului Finanțelor intră în vigoare până la 31 martie 2023. </w:t>
      </w:r>
    </w:p>
    <w:p w14:paraId="47AA1A5A" w14:textId="77777777" w:rsidR="00011DE9" w:rsidRDefault="00011DE9">
      <w:pPr>
        <w:pStyle w:val="P68B1DB1-Text161"/>
        <w:ind w:left="0"/>
        <w:rPr>
          <w:rFonts w:cs="Times New Roman"/>
          <w:noProof/>
        </w:rPr>
      </w:pPr>
      <w:r>
        <w:rPr>
          <w:noProof/>
        </w:rPr>
        <w:t>Punerea în aplicare a măsurii se finalizează până la 31 202 martie 3.</w:t>
      </w:r>
    </w:p>
    <w:p w14:paraId="63C1C589" w14:textId="77777777" w:rsidR="00011DE9" w:rsidRDefault="00011DE9">
      <w:pPr>
        <w:pStyle w:val="P68B1DB1-Text162"/>
        <w:ind w:left="0"/>
        <w:rPr>
          <w:rFonts w:cs="Times New Roman"/>
          <w:noProof/>
          <w:szCs w:val="24"/>
        </w:rPr>
      </w:pPr>
      <w:r>
        <w:rPr>
          <w:noProof/>
        </w:rPr>
        <w:t>Reforma 4 (C28.R4) – Reforma măsurilor fiscale care contribuie la tranziția ecologică</w:t>
      </w:r>
    </w:p>
    <w:p w14:paraId="1BC4069E" w14:textId="77777777" w:rsidR="00011DE9" w:rsidRDefault="00011DE9">
      <w:pPr>
        <w:pStyle w:val="P68B1DB1-Text161"/>
        <w:ind w:left="0"/>
        <w:rPr>
          <w:rFonts w:cs="Times New Roman"/>
          <w:noProof/>
          <w:szCs w:val="24"/>
        </w:rPr>
      </w:pPr>
      <w:r>
        <w:rPr>
          <w:noProof/>
        </w:rPr>
        <w:t xml:space="preserve">Această reformă conține măsuri fiscale care vizează sprijinirea tranziției verzi. Printre aceste măsuri se numără: </w:t>
      </w:r>
    </w:p>
    <w:p w14:paraId="4A3E99D0" w14:textId="77777777" w:rsidR="00011DE9" w:rsidRDefault="00011DE9">
      <w:pPr>
        <w:pStyle w:val="P68B1DB1-Text161"/>
        <w:numPr>
          <w:ilvl w:val="0"/>
          <w:numId w:val="188"/>
        </w:numPr>
        <w:rPr>
          <w:rFonts w:cs="Times New Roman"/>
          <w:noProof/>
          <w:szCs w:val="24"/>
        </w:rPr>
      </w:pPr>
      <w:r>
        <w:rPr>
          <w:noProof/>
        </w:rPr>
        <w:t>instituirea unei taxe pe depozitarea deșeurilor în depozitele de deșeuri și în instalațiile de incinerare;</w:t>
      </w:r>
    </w:p>
    <w:p w14:paraId="5E9FA62A" w14:textId="77777777" w:rsidR="00011DE9" w:rsidRDefault="00011DE9">
      <w:pPr>
        <w:pStyle w:val="P68B1DB1-Text161"/>
        <w:numPr>
          <w:ilvl w:val="0"/>
          <w:numId w:val="188"/>
        </w:numPr>
        <w:rPr>
          <w:rFonts w:cs="Times New Roman"/>
          <w:noProof/>
          <w:szCs w:val="24"/>
        </w:rPr>
      </w:pPr>
      <w:r>
        <w:rPr>
          <w:noProof/>
        </w:rPr>
        <w:t xml:space="preserve">introducerea unei taxe pe ambalajele din plastic de unică folosință; </w:t>
      </w:r>
    </w:p>
    <w:p w14:paraId="2DB67EC9" w14:textId="77777777" w:rsidR="00011DE9" w:rsidRDefault="00011DE9">
      <w:pPr>
        <w:pStyle w:val="P68B1DB1-Text161"/>
        <w:numPr>
          <w:ilvl w:val="0"/>
          <w:numId w:val="188"/>
        </w:numPr>
        <w:rPr>
          <w:rFonts w:cs="Times New Roman"/>
          <w:noProof/>
        </w:rPr>
      </w:pPr>
      <w:r>
        <w:rPr>
          <w:noProof/>
        </w:rPr>
        <w:t xml:space="preserve">modificarea taxei pe gazele fluorurate cu efect de seră; </w:t>
      </w:r>
    </w:p>
    <w:p w14:paraId="4D2AC394" w14:textId="77777777" w:rsidR="00011DE9" w:rsidRDefault="00011DE9">
      <w:pPr>
        <w:pStyle w:val="P68B1DB1-Text161"/>
        <w:numPr>
          <w:ilvl w:val="0"/>
          <w:numId w:val="188"/>
        </w:numPr>
        <w:rPr>
          <w:rFonts w:cs="Times New Roman"/>
          <w:noProof/>
          <w:szCs w:val="24"/>
        </w:rPr>
      </w:pPr>
      <w:r>
        <w:rPr>
          <w:noProof/>
        </w:rPr>
        <w:t>taxele sau plățile legate de mobilitate, cum ar fi taxele rutiere și taxele de înmatriculare a vehiculelor; și a</w:t>
      </w:r>
    </w:p>
    <w:p w14:paraId="7C9DE771" w14:textId="77777777" w:rsidR="00011DE9" w:rsidRDefault="00011DE9">
      <w:pPr>
        <w:pStyle w:val="P68B1DB1-Text161"/>
        <w:numPr>
          <w:ilvl w:val="0"/>
          <w:numId w:val="188"/>
        </w:numPr>
        <w:rPr>
          <w:rFonts w:cs="Times New Roman"/>
          <w:noProof/>
          <w:szCs w:val="24"/>
        </w:rPr>
      </w:pPr>
      <w:r>
        <w:rPr>
          <w:noProof/>
        </w:rPr>
        <w:t xml:space="preserve">revizuirea subvențiilor pentru uleiurile minerale utilizate drept combustibil. </w:t>
      </w:r>
    </w:p>
    <w:p w14:paraId="50C4E2B8" w14:textId="77777777" w:rsidR="00011DE9" w:rsidRDefault="00011DE9">
      <w:pPr>
        <w:pStyle w:val="P68B1DB1-Text161"/>
        <w:ind w:left="0"/>
        <w:rPr>
          <w:rFonts w:cs="Times New Roman"/>
          <w:noProof/>
          <w:szCs w:val="24"/>
        </w:rPr>
      </w:pPr>
      <w:r>
        <w:rPr>
          <w:noProof/>
        </w:rPr>
        <w:t xml:space="preserve">Punerea în aplicare a măsurilor se finalizează până la 30 iunie 2022. </w:t>
      </w:r>
    </w:p>
    <w:p w14:paraId="2C3A92AC" w14:textId="77777777" w:rsidR="00011DE9" w:rsidRDefault="00011DE9">
      <w:pPr>
        <w:pStyle w:val="P68B1DB1-Text162"/>
        <w:ind w:left="0"/>
        <w:rPr>
          <w:rFonts w:cs="Times New Roman"/>
          <w:noProof/>
          <w:szCs w:val="24"/>
        </w:rPr>
      </w:pPr>
      <w:r>
        <w:rPr>
          <w:noProof/>
        </w:rPr>
        <w:t>Reforma 5 (C28.R5) – Aprobarea impozitului pe serviciile digitale</w:t>
      </w:r>
    </w:p>
    <w:p w14:paraId="5E19A48D" w14:textId="77777777" w:rsidR="00011DE9" w:rsidRDefault="00011DE9">
      <w:pPr>
        <w:pStyle w:val="P68B1DB1-Text161"/>
        <w:ind w:left="0"/>
        <w:rPr>
          <w:rFonts w:cs="Times New Roman"/>
          <w:noProof/>
        </w:rPr>
      </w:pPr>
      <w:r>
        <w:rPr>
          <w:noProof/>
        </w:rPr>
        <w:t xml:space="preserve">Această reformă introduce o taxă bazată pe cifra de afaceri a întreprinderilor cu o cifră de afaceri netă de peste 750 000 000 EUR și pe veniturile din furnizarea anumitor servicii digitale, cum ar fi publicitatea online și serviciile de intermediere în Spania. Taxa este independentă de faptul că societatea este rezidentă sau nu pe teritoriul spaniol. Taxa intră în vigoare în primul trimestru al anului 2021. Reforma include, de asemenea, un raport de evaluare a impactului măsurii, care se publică până la 31 martie 2022 și 2023. </w:t>
      </w:r>
    </w:p>
    <w:p w14:paraId="18CAADC9" w14:textId="77777777" w:rsidR="00011DE9" w:rsidRDefault="00011DE9">
      <w:pPr>
        <w:pStyle w:val="P68B1DB1-Text161"/>
        <w:ind w:left="0"/>
        <w:rPr>
          <w:rFonts w:cs="Times New Roman"/>
          <w:noProof/>
        </w:rPr>
      </w:pPr>
      <w:r>
        <w:rPr>
          <w:noProof/>
        </w:rPr>
        <w:t>Punerea în aplicare a măsurii se finalizează până la 31 202 martie 1.</w:t>
      </w:r>
    </w:p>
    <w:p w14:paraId="3279B576" w14:textId="77777777" w:rsidR="00011DE9" w:rsidRDefault="00011DE9">
      <w:pPr>
        <w:pStyle w:val="P68B1DB1-Text162"/>
        <w:ind w:left="0"/>
        <w:rPr>
          <w:rFonts w:cs="Times New Roman"/>
          <w:noProof/>
          <w:szCs w:val="24"/>
        </w:rPr>
      </w:pPr>
      <w:r>
        <w:rPr>
          <w:noProof/>
        </w:rPr>
        <w:t>Reforma 6 (C28.R6) – Aprobarea taxei pe tranzacțiile financiare</w:t>
      </w:r>
    </w:p>
    <w:p w14:paraId="0233479D" w14:textId="77777777" w:rsidR="00011DE9" w:rsidRDefault="00011DE9">
      <w:pPr>
        <w:pStyle w:val="P68B1DB1-Text161"/>
        <w:ind w:left="0"/>
        <w:rPr>
          <w:rFonts w:cs="Times New Roman"/>
          <w:noProof/>
          <w:szCs w:val="24"/>
        </w:rPr>
      </w:pPr>
      <w:r>
        <w:rPr>
          <w:noProof/>
        </w:rPr>
        <w:t xml:space="preserve">Această măsură va introduce o taxă bazată pe valoarea de achiziție a acțiunilor societăților spaniole cotate la bursă cu o capitalizare bursieră mai mare de 1 000 000 000 EUR. Punerea în aplicare a reformei a intrat în vigoare în primul trimestru al anului 2021. Reforma include, de asemenea, un raport de evaluare a impactului măsurii, care va fi publicat până la 31 martie 2022 și 2023. </w:t>
      </w:r>
    </w:p>
    <w:p w14:paraId="044EFA0D" w14:textId="77777777" w:rsidR="00011DE9" w:rsidRDefault="00011DE9">
      <w:pPr>
        <w:pStyle w:val="P68B1DB1-Text161"/>
        <w:ind w:left="0"/>
        <w:rPr>
          <w:rFonts w:cs="Times New Roman"/>
          <w:noProof/>
          <w:szCs w:val="24"/>
        </w:rPr>
      </w:pPr>
      <w:r>
        <w:rPr>
          <w:noProof/>
        </w:rPr>
        <w:t>Punerea în aplicare a măsurii se finalizează până la 31 202 martie 1.</w:t>
      </w:r>
    </w:p>
    <w:p w14:paraId="64DB780D" w14:textId="77777777" w:rsidR="00011DE9" w:rsidRDefault="00011DE9">
      <w:pPr>
        <w:pStyle w:val="P68B1DB1-Text162"/>
        <w:keepNext/>
        <w:ind w:left="0"/>
        <w:rPr>
          <w:rFonts w:cs="Times New Roman"/>
          <w:noProof/>
          <w:szCs w:val="24"/>
        </w:rPr>
      </w:pPr>
      <w:r>
        <w:rPr>
          <w:noProof/>
        </w:rPr>
        <w:t>Reforma 7 (C28.R7) – Măsuri fiscale pe termen scurt privind impozitele pe veniturile personale</w:t>
      </w:r>
    </w:p>
    <w:p w14:paraId="52996573" w14:textId="77777777" w:rsidR="00011DE9" w:rsidRDefault="00011DE9">
      <w:pPr>
        <w:pStyle w:val="P68B1DB1-Text161"/>
        <w:keepNext/>
        <w:ind w:left="0"/>
        <w:rPr>
          <w:rFonts w:cs="Times New Roman"/>
          <w:noProof/>
        </w:rPr>
      </w:pPr>
      <w:r>
        <w:rPr>
          <w:noProof/>
        </w:rPr>
        <w:t>Reforma va spori gradul de progresivitate și de redistribuire a impozitului pe venitul persoanelor fizice, prin intermediul unor modificări ale Legii privind impozitul pe venitul persoanelor fizice și ale Legii privind impozitul pe avere. În special, aceasta majorează rata dobânzii pe scara națională generală cu 2 puncte procentuale, de la 300 000 EUR ca bază generală de evaluare, și realizează economii cu 3 puncte procentuale, de la 200 000 EUR. În plus, se reduce limita privind reducerea contribuțiilor individuale la sistemul de pensii de la 8 000 EUR la 2 000 EUR, iar limita actuală pentru contribuțiile efectuate de societate către angajatul său se majorează de la 8 000 EUR la 10 000 EUR. În plus, în ceea ce privește impozitul pe avere, reforma majorează rata aplicabilă ultimei tranșe a tarifului cu 1 puncte procentuale, de la 2,5 % la 3,5 % (pentru activele de peste 10 000 000 EUR). Punerea în aplicare a reformei urma să fie finalizată până la 1 ianuarie 2021.</w:t>
      </w:r>
    </w:p>
    <w:p w14:paraId="61D5DC6B" w14:textId="77777777" w:rsidR="00011DE9" w:rsidRDefault="00011DE9">
      <w:pPr>
        <w:pStyle w:val="P68B1DB1-Text161"/>
        <w:ind w:left="0"/>
        <w:rPr>
          <w:rFonts w:cs="Times New Roman"/>
          <w:noProof/>
          <w:szCs w:val="24"/>
        </w:rPr>
      </w:pPr>
      <w:r>
        <w:rPr>
          <w:noProof/>
        </w:rPr>
        <w:t>Punerea în aplicare a măsurii se finalizează până la 31 202 martie 1.</w:t>
      </w:r>
    </w:p>
    <w:p w14:paraId="6475E76F" w14:textId="77777777" w:rsidR="00011DE9" w:rsidRDefault="00011DE9">
      <w:pPr>
        <w:pStyle w:val="P68B1DB1-Text162"/>
        <w:ind w:left="0"/>
        <w:rPr>
          <w:rFonts w:cs="Times New Roman"/>
          <w:noProof/>
          <w:szCs w:val="24"/>
        </w:rPr>
      </w:pPr>
      <w:r>
        <w:rPr>
          <w:noProof/>
        </w:rPr>
        <w:t>Reforma 8 (C28.R8) – Adoptarea pe termen scurt a unor măsuri fiscale în ceea ce privește impozitul pe profit</w:t>
      </w:r>
    </w:p>
    <w:p w14:paraId="1A3C831D" w14:textId="77777777" w:rsidR="00011DE9" w:rsidRDefault="00011DE9">
      <w:pPr>
        <w:pStyle w:val="P68B1DB1-Normal16"/>
        <w:spacing w:before="120" w:after="120" w:line="240" w:lineRule="auto"/>
        <w:jc w:val="both"/>
        <w:rPr>
          <w:rFonts w:cs="Times New Roman"/>
          <w:noProof/>
        </w:rPr>
      </w:pPr>
      <w:r>
        <w:rPr>
          <w:noProof/>
        </w:rPr>
        <w:t xml:space="preserve">Reforma modifică Legea privind impozitul pe profit pentru a crește contribuția acestui impozit la sprijinirea cheltuielilor publice, introducând, în același timp, simplificări ale scutirilor și deducerilor pentru a asigura o rată minimă de 15 % pentru contribuabili. În schimb, scutirea dividendelor și a plusvalorilor generate de participația lor la filiale, atât rezidente, cât și nerezidente pe teritoriul spaniol, se reduce cu 5 %. </w:t>
      </w:r>
    </w:p>
    <w:p w14:paraId="1E7EB7B2" w14:textId="77777777" w:rsidR="00011DE9" w:rsidRDefault="00011DE9">
      <w:pPr>
        <w:pStyle w:val="P68B1DB1-Text161"/>
        <w:ind w:left="0"/>
        <w:rPr>
          <w:rFonts w:cs="Times New Roman"/>
          <w:noProof/>
          <w:szCs w:val="24"/>
        </w:rPr>
      </w:pPr>
      <w:r>
        <w:rPr>
          <w:noProof/>
        </w:rPr>
        <w:t>Punerea în aplicare a măsurii se finalizează până la 31 202 martie 1.</w:t>
      </w:r>
    </w:p>
    <w:p w14:paraId="7E59D810" w14:textId="77777777" w:rsidR="00011DE9" w:rsidRDefault="00011DE9">
      <w:pPr>
        <w:pStyle w:val="P68B1DB1-Normal17"/>
        <w:spacing w:before="120" w:after="120" w:line="240" w:lineRule="auto"/>
        <w:jc w:val="both"/>
        <w:rPr>
          <w:rFonts w:cs="Times New Roman"/>
          <w:noProof/>
        </w:rPr>
      </w:pPr>
      <w:r>
        <w:rPr>
          <w:noProof/>
        </w:rPr>
        <w:t>Reforma 9 (C28.R9) – Măsuri fiscale pe termen scurt în domeniul impozitelor indirecte</w:t>
      </w:r>
    </w:p>
    <w:p w14:paraId="57C2EB0D" w14:textId="77777777" w:rsidR="00011DE9" w:rsidRDefault="00011DE9">
      <w:pPr>
        <w:pStyle w:val="P68B1DB1-Normal16"/>
        <w:spacing w:before="120" w:after="120" w:line="240" w:lineRule="auto"/>
        <w:jc w:val="both"/>
        <w:rPr>
          <w:rFonts w:cs="Times New Roman"/>
          <w:noProof/>
        </w:rPr>
      </w:pPr>
      <w:r>
        <w:rPr>
          <w:noProof/>
        </w:rPr>
        <w:t xml:space="preserve">Reforma extinde aplicarea cotei standard a taxei pe TVA, stabilită la 21 %, la băuturile răcoritoare, sucurile și băuturile gazoase cu adaos de zahăr. O astfel de măsură constituie un angajament social de promovare a consumului responsabil al acestor categorii de băuturi și este în concordanță cu obiectivul de finanțare a costurilor externe ale statului social spaniol, care rezultă, în acest caz, din alimentația nesănătoasă. În plus, rata de impozitare a primelor de asigurare se majorează cu două puncte procentuale, până la 8 %, rămânând totuși în intervalul mediu-scăzut în raport cu țările învecinate. </w:t>
      </w:r>
    </w:p>
    <w:p w14:paraId="6BC03AB2" w14:textId="77777777" w:rsidR="00011DE9" w:rsidRDefault="00011DE9">
      <w:pPr>
        <w:pStyle w:val="P68B1DB1-Text161"/>
        <w:ind w:left="0"/>
        <w:rPr>
          <w:noProof/>
        </w:rPr>
      </w:pPr>
      <w:r>
        <w:rPr>
          <w:noProof/>
        </w:rPr>
        <w:t>Punerea în aplicare a măsurii se finalizează până la 31 202 martie 1.</w:t>
      </w:r>
    </w:p>
    <w:p w14:paraId="4898AADC" w14:textId="77777777" w:rsidR="00011DE9" w:rsidRDefault="00011DE9">
      <w:pPr>
        <w:pStyle w:val="P68B1DB1-Normal17"/>
        <w:spacing w:before="120" w:after="120" w:line="240" w:lineRule="auto"/>
        <w:jc w:val="both"/>
        <w:rPr>
          <w:rFonts w:cs="Times New Roman"/>
          <w:noProof/>
        </w:rPr>
      </w:pPr>
      <w:r>
        <w:rPr>
          <w:noProof/>
        </w:rPr>
        <w:t>Investiția 1 (C28.I1) – Stimulente fiscale pentru achiziționarea de vehicule electrice și instalarea de puncte de încărcare</w:t>
      </w:r>
    </w:p>
    <w:p w14:paraId="23DF9EDA" w14:textId="77777777" w:rsidR="00011DE9" w:rsidRDefault="00011DE9">
      <w:pPr>
        <w:pStyle w:val="P68B1DB1-Text161"/>
        <w:ind w:left="0"/>
        <w:rPr>
          <w:rFonts w:cs="Times New Roman"/>
          <w:noProof/>
        </w:rPr>
      </w:pPr>
      <w:r>
        <w:rPr>
          <w:noProof/>
        </w:rPr>
        <w:t xml:space="preserve">Obiectivul acestei măsuri este de a stimula introducerea vehiculelor electrice și a stațiilor de încărcare. </w:t>
      </w:r>
    </w:p>
    <w:p w14:paraId="54DDDE5F" w14:textId="77777777" w:rsidR="00011DE9" w:rsidRDefault="00011DE9">
      <w:pPr>
        <w:pStyle w:val="P68B1DB1-Text161"/>
        <w:ind w:left="0"/>
        <w:rPr>
          <w:rFonts w:cs="Times New Roman"/>
          <w:noProof/>
        </w:rPr>
      </w:pPr>
      <w:r>
        <w:rPr>
          <w:noProof/>
        </w:rPr>
        <w:t>Măsura constă în declarații fiscale referitoare la achiziționarea de vehicule electrice reîncărcabile și cu pilă de combustie sau la instalarea de stații de încărcare.</w:t>
      </w:r>
    </w:p>
    <w:p w14:paraId="5EA8BFCC" w14:textId="77777777" w:rsidR="00011DE9" w:rsidRDefault="00011DE9">
      <w:pPr>
        <w:pStyle w:val="Text1"/>
        <w:ind w:left="0"/>
        <w:rPr>
          <w:rFonts w:ascii="Times New Roman" w:hAnsi="Times New Roman" w:cs="Times New Roman"/>
          <w:noProof/>
          <w:szCs w:val="24"/>
        </w:rPr>
      </w:pPr>
    </w:p>
    <w:p w14:paraId="0AD2D46C" w14:textId="77777777" w:rsidR="00011DE9" w:rsidRDefault="00011DE9">
      <w:pPr>
        <w:pStyle w:val="Text1"/>
        <w:ind w:left="709"/>
        <w:rPr>
          <w:rFonts w:ascii="Times New Roman" w:hAnsi="Times New Roman" w:cs="Times New Roman"/>
          <w:b/>
          <w:noProof/>
          <w:szCs w:val="24"/>
          <w:u w:val="single"/>
        </w:rPr>
      </w:pPr>
      <w:r>
        <w:rPr>
          <w:rFonts w:ascii="Times New Roman" w:hAnsi="Times New Roman"/>
          <w:b/>
          <w:noProof/>
          <w:u w:val="single"/>
        </w:rPr>
        <w:t xml:space="preserve">AB.2. </w:t>
      </w:r>
      <w:r>
        <w:rPr>
          <w:noProof/>
        </w:rPr>
        <w:t></w:t>
      </w:r>
      <w:r>
        <w:rPr>
          <w:rFonts w:ascii="Times New Roman" w:hAnsi="Times New Roman"/>
          <w:b/>
          <w:noProof/>
          <w:u w:val="single"/>
        </w:rPr>
        <w:t>Jaloane, ținte, indicatori și calendarul de monitorizare și implementare aplicabile sprijinului financiar nerambursabil</w:t>
      </w:r>
    </w:p>
    <w:p w14:paraId="552BE882" w14:textId="77777777" w:rsidR="00011DE9" w:rsidRDefault="00011DE9">
      <w:pPr>
        <w:pStyle w:val="P68B1DB1-Normal16"/>
        <w:spacing w:before="120" w:after="120" w:line="240" w:lineRule="auto"/>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w:t>
      </w:r>
    </w:p>
    <w:p w14:paraId="1083A2B0" w14:textId="77777777" w:rsidR="00011DE9" w:rsidRDefault="00011DE9">
      <w:pPr>
        <w:pStyle w:val="Text1"/>
        <w:ind w:left="0"/>
        <w:rPr>
          <w:rFonts w:ascii="Times New Roman" w:hAnsi="Times New Roman" w:cs="Times New Roman"/>
          <w:noProof/>
        </w:rPr>
        <w:sectPr w:rsidR="00011DE9" w:rsidSect="00011DE9">
          <w:headerReference w:type="even" r:id="rId378"/>
          <w:headerReference w:type="default" r:id="rId379"/>
          <w:footerReference w:type="even" r:id="rId380"/>
          <w:footerReference w:type="default" r:id="rId381"/>
          <w:headerReference w:type="first" r:id="rId382"/>
          <w:footerReference w:type="first" r:id="rId383"/>
          <w:pgSz w:w="11907" w:h="16839"/>
          <w:pgMar w:top="1134" w:right="1134" w:bottom="1134" w:left="1134" w:header="567" w:footer="567" w:gutter="0"/>
          <w:cols w:space="720"/>
          <w:docGrid w:linePitch="360"/>
        </w:sectPr>
      </w:pPr>
    </w:p>
    <w:tbl>
      <w:tblPr>
        <w:tblW w:w="15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58"/>
        <w:gridCol w:w="811"/>
        <w:gridCol w:w="810"/>
        <w:gridCol w:w="2236"/>
        <w:gridCol w:w="1276"/>
        <w:gridCol w:w="716"/>
        <w:gridCol w:w="774"/>
        <w:gridCol w:w="475"/>
        <w:gridCol w:w="407"/>
        <w:gridCol w:w="542"/>
        <w:gridCol w:w="6363"/>
        <w:gridCol w:w="57"/>
      </w:tblGrid>
      <w:tr w:rsidR="00011DE9" w14:paraId="3A86E581" w14:textId="77777777">
        <w:trPr>
          <w:trHeight w:val="309"/>
          <w:tblHeader/>
          <w:jc w:val="center"/>
        </w:trPr>
        <w:tc>
          <w:tcPr>
            <w:tcW w:w="958" w:type="dxa"/>
            <w:vMerge w:val="restart"/>
            <w:shd w:val="clear" w:color="auto" w:fill="B7D4EF"/>
            <w:noWrap/>
            <w:vAlign w:val="center"/>
          </w:tcPr>
          <w:p w14:paraId="2504FD26" w14:textId="77777777" w:rsidR="00011DE9" w:rsidRDefault="00011DE9">
            <w:pPr>
              <w:pStyle w:val="P68B1DB1-Normal18"/>
              <w:spacing w:after="0"/>
              <w:jc w:val="center"/>
              <w:rPr>
                <w:rFonts w:cs="Times New Roman"/>
                <w:noProof/>
                <w:szCs w:val="18"/>
              </w:rPr>
            </w:pPr>
            <w:r>
              <w:rPr>
                <w:noProof/>
              </w:rPr>
              <w:t>Număr</w:t>
            </w:r>
          </w:p>
        </w:tc>
        <w:tc>
          <w:tcPr>
            <w:tcW w:w="811" w:type="dxa"/>
            <w:vMerge w:val="restart"/>
            <w:shd w:val="clear" w:color="auto" w:fill="B7D4EF"/>
            <w:noWrap/>
            <w:vAlign w:val="center"/>
          </w:tcPr>
          <w:p w14:paraId="4B707205" w14:textId="77777777" w:rsidR="00011DE9" w:rsidRDefault="00011DE9">
            <w:pPr>
              <w:pStyle w:val="P68B1DB1-Normal18"/>
              <w:spacing w:after="0"/>
              <w:jc w:val="center"/>
              <w:rPr>
                <w:rFonts w:cs="Times New Roman"/>
                <w:noProof/>
                <w:szCs w:val="18"/>
              </w:rPr>
            </w:pPr>
            <w:r>
              <w:rPr>
                <w:noProof/>
              </w:rPr>
              <w:t>Măsură</w:t>
            </w:r>
          </w:p>
        </w:tc>
        <w:tc>
          <w:tcPr>
            <w:tcW w:w="810" w:type="dxa"/>
            <w:vMerge w:val="restart"/>
            <w:shd w:val="clear" w:color="auto" w:fill="B7D4EF"/>
            <w:noWrap/>
            <w:vAlign w:val="center"/>
          </w:tcPr>
          <w:p w14:paraId="33D31424" w14:textId="24F5378C" w:rsidR="00011DE9" w:rsidRDefault="00011DE9">
            <w:pPr>
              <w:spacing w:after="0"/>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2236" w:type="dxa"/>
            <w:vMerge w:val="restart"/>
            <w:shd w:val="clear" w:color="auto" w:fill="B7D4EF"/>
            <w:noWrap/>
            <w:vAlign w:val="center"/>
          </w:tcPr>
          <w:p w14:paraId="43B87940" w14:textId="77777777" w:rsidR="00011DE9" w:rsidRDefault="00011DE9">
            <w:pPr>
              <w:pStyle w:val="P68B1DB1-Normal18"/>
              <w:spacing w:after="0"/>
              <w:jc w:val="center"/>
              <w:rPr>
                <w:rFonts w:cs="Times New Roman"/>
                <w:noProof/>
                <w:szCs w:val="18"/>
              </w:rPr>
            </w:pPr>
            <w:r>
              <w:rPr>
                <w:noProof/>
              </w:rPr>
              <w:t>Nume</w:t>
            </w:r>
          </w:p>
        </w:tc>
        <w:tc>
          <w:tcPr>
            <w:tcW w:w="1276" w:type="dxa"/>
            <w:vMerge w:val="restart"/>
            <w:shd w:val="clear" w:color="auto" w:fill="B7D4EF"/>
            <w:noWrap/>
            <w:vAlign w:val="center"/>
          </w:tcPr>
          <w:p w14:paraId="171073BB" w14:textId="77777777" w:rsidR="00011DE9" w:rsidRDefault="00011DE9">
            <w:pPr>
              <w:pStyle w:val="P68B1DB1-Normal18"/>
              <w:spacing w:after="0"/>
              <w:jc w:val="center"/>
              <w:rPr>
                <w:rFonts w:cs="Times New Roman"/>
                <w:noProof/>
                <w:szCs w:val="18"/>
              </w:rPr>
            </w:pPr>
            <w:r>
              <w:rPr>
                <w:noProof/>
              </w:rPr>
              <w:t>Indicator calitativ pentru jaloane</w:t>
            </w:r>
          </w:p>
        </w:tc>
        <w:tc>
          <w:tcPr>
            <w:tcW w:w="1965" w:type="dxa"/>
            <w:gridSpan w:val="3"/>
            <w:shd w:val="clear" w:color="auto" w:fill="B7D4EF"/>
            <w:noWrap/>
            <w:vAlign w:val="center"/>
          </w:tcPr>
          <w:p w14:paraId="6D347A7D" w14:textId="77777777" w:rsidR="00011DE9" w:rsidRDefault="00011DE9">
            <w:pPr>
              <w:pStyle w:val="P68B1DB1-Normal18"/>
              <w:spacing w:after="0"/>
              <w:jc w:val="center"/>
              <w:rPr>
                <w:rFonts w:cs="Times New Roman"/>
                <w:noProof/>
                <w:szCs w:val="18"/>
              </w:rPr>
            </w:pPr>
            <w:r>
              <w:rPr>
                <w:noProof/>
              </w:rPr>
              <w:t>Indicator cantitativ pentru ținte</w:t>
            </w:r>
          </w:p>
        </w:tc>
        <w:tc>
          <w:tcPr>
            <w:tcW w:w="949" w:type="dxa"/>
            <w:gridSpan w:val="2"/>
            <w:shd w:val="clear" w:color="auto" w:fill="B7D4EF"/>
            <w:noWrap/>
            <w:vAlign w:val="center"/>
          </w:tcPr>
          <w:p w14:paraId="114BF809" w14:textId="77777777" w:rsidR="00011DE9" w:rsidRDefault="00011DE9">
            <w:pPr>
              <w:pStyle w:val="P68B1DB1-Normal18"/>
              <w:spacing w:after="0"/>
              <w:jc w:val="center"/>
              <w:rPr>
                <w:rFonts w:cs="Times New Roman"/>
                <w:noProof/>
                <w:szCs w:val="18"/>
              </w:rPr>
            </w:pPr>
            <w:r>
              <w:rPr>
                <w:noProof/>
              </w:rPr>
              <w:t>Timp</w:t>
            </w:r>
          </w:p>
        </w:tc>
        <w:tc>
          <w:tcPr>
            <w:tcW w:w="6420" w:type="dxa"/>
            <w:gridSpan w:val="2"/>
            <w:vMerge w:val="restart"/>
            <w:shd w:val="clear" w:color="auto" w:fill="B7D4EF"/>
            <w:noWrap/>
            <w:vAlign w:val="center"/>
          </w:tcPr>
          <w:p w14:paraId="2A773708" w14:textId="77777777" w:rsidR="00011DE9" w:rsidRDefault="00011DE9">
            <w:pPr>
              <w:pStyle w:val="P68B1DB1-Normal18"/>
              <w:spacing w:after="0"/>
              <w:jc w:val="center"/>
              <w:rPr>
                <w:rFonts w:cs="Times New Roman"/>
                <w:noProof/>
                <w:szCs w:val="18"/>
              </w:rPr>
            </w:pPr>
            <w:r>
              <w:rPr>
                <w:noProof/>
              </w:rPr>
              <w:t>Descrierea fiecărui jalon și a fiecărei ținte</w:t>
            </w:r>
          </w:p>
        </w:tc>
      </w:tr>
      <w:tr w:rsidR="00011DE9" w14:paraId="54BF680B" w14:textId="77777777">
        <w:trPr>
          <w:trHeight w:val="309"/>
          <w:tblHeader/>
          <w:jc w:val="center"/>
        </w:trPr>
        <w:tc>
          <w:tcPr>
            <w:tcW w:w="958" w:type="dxa"/>
            <w:vMerge/>
            <w:noWrap/>
          </w:tcPr>
          <w:p w14:paraId="641F5729" w14:textId="77777777" w:rsidR="00011DE9" w:rsidRDefault="00011DE9">
            <w:pPr>
              <w:spacing w:after="0"/>
              <w:jc w:val="center"/>
              <w:rPr>
                <w:rFonts w:ascii="Times New Roman" w:hAnsi="Times New Roman" w:cs="Times New Roman"/>
                <w:b/>
                <w:noProof/>
                <w:sz w:val="18"/>
                <w:szCs w:val="18"/>
              </w:rPr>
            </w:pPr>
          </w:p>
        </w:tc>
        <w:tc>
          <w:tcPr>
            <w:tcW w:w="811" w:type="dxa"/>
            <w:vMerge/>
            <w:noWrap/>
          </w:tcPr>
          <w:p w14:paraId="215F9CCF" w14:textId="77777777" w:rsidR="00011DE9" w:rsidRDefault="00011DE9">
            <w:pPr>
              <w:spacing w:after="0"/>
              <w:jc w:val="center"/>
              <w:rPr>
                <w:rFonts w:ascii="Times New Roman" w:hAnsi="Times New Roman" w:cs="Times New Roman"/>
                <w:b/>
                <w:noProof/>
                <w:sz w:val="18"/>
                <w:szCs w:val="18"/>
              </w:rPr>
            </w:pPr>
          </w:p>
        </w:tc>
        <w:tc>
          <w:tcPr>
            <w:tcW w:w="810" w:type="dxa"/>
            <w:vMerge/>
            <w:noWrap/>
          </w:tcPr>
          <w:p w14:paraId="6C0F6DAA" w14:textId="77777777" w:rsidR="00011DE9" w:rsidRDefault="00011DE9">
            <w:pPr>
              <w:spacing w:after="0"/>
              <w:jc w:val="center"/>
              <w:rPr>
                <w:rFonts w:ascii="Times New Roman" w:hAnsi="Times New Roman" w:cs="Times New Roman"/>
                <w:b/>
                <w:noProof/>
                <w:sz w:val="18"/>
                <w:szCs w:val="18"/>
              </w:rPr>
            </w:pPr>
          </w:p>
        </w:tc>
        <w:tc>
          <w:tcPr>
            <w:tcW w:w="2236" w:type="dxa"/>
            <w:vMerge/>
            <w:noWrap/>
          </w:tcPr>
          <w:p w14:paraId="26EF0301" w14:textId="77777777" w:rsidR="00011DE9" w:rsidRDefault="00011DE9">
            <w:pPr>
              <w:spacing w:after="0"/>
              <w:rPr>
                <w:rFonts w:ascii="Times New Roman" w:hAnsi="Times New Roman" w:cs="Times New Roman"/>
                <w:b/>
                <w:noProof/>
                <w:sz w:val="18"/>
                <w:szCs w:val="18"/>
              </w:rPr>
            </w:pPr>
          </w:p>
        </w:tc>
        <w:tc>
          <w:tcPr>
            <w:tcW w:w="1276" w:type="dxa"/>
            <w:vMerge/>
            <w:noWrap/>
          </w:tcPr>
          <w:p w14:paraId="3A52F4BC" w14:textId="77777777" w:rsidR="00011DE9" w:rsidRDefault="00011DE9">
            <w:pPr>
              <w:spacing w:after="0"/>
              <w:jc w:val="center"/>
              <w:rPr>
                <w:rFonts w:ascii="Times New Roman" w:hAnsi="Times New Roman" w:cs="Times New Roman"/>
                <w:b/>
                <w:noProof/>
                <w:sz w:val="18"/>
                <w:szCs w:val="18"/>
              </w:rPr>
            </w:pPr>
          </w:p>
        </w:tc>
        <w:tc>
          <w:tcPr>
            <w:tcW w:w="716" w:type="dxa"/>
            <w:shd w:val="clear" w:color="auto" w:fill="B7D4EF"/>
            <w:noWrap/>
          </w:tcPr>
          <w:p w14:paraId="1B83B30E" w14:textId="77777777" w:rsidR="00011DE9" w:rsidRDefault="00011DE9">
            <w:pPr>
              <w:pStyle w:val="P68B1DB1-Normal18"/>
              <w:spacing w:after="0"/>
              <w:jc w:val="center"/>
              <w:rPr>
                <w:rFonts w:cs="Times New Roman"/>
                <w:noProof/>
                <w:szCs w:val="18"/>
              </w:rPr>
            </w:pPr>
            <w:r>
              <w:rPr>
                <w:noProof/>
              </w:rPr>
              <w:t>Unitate</w:t>
            </w:r>
          </w:p>
        </w:tc>
        <w:tc>
          <w:tcPr>
            <w:tcW w:w="774" w:type="dxa"/>
            <w:shd w:val="clear" w:color="auto" w:fill="B7D4EF"/>
            <w:noWrap/>
          </w:tcPr>
          <w:p w14:paraId="2678E300" w14:textId="77777777" w:rsidR="00011DE9" w:rsidRDefault="00011DE9">
            <w:pPr>
              <w:pStyle w:val="P68B1DB1-Normal18"/>
              <w:spacing w:after="0"/>
              <w:jc w:val="center"/>
              <w:rPr>
                <w:rFonts w:cs="Times New Roman"/>
                <w:noProof/>
                <w:szCs w:val="18"/>
              </w:rPr>
            </w:pPr>
            <w:r>
              <w:rPr>
                <w:noProof/>
              </w:rPr>
              <w:t>Situația de referință</w:t>
            </w:r>
          </w:p>
        </w:tc>
        <w:tc>
          <w:tcPr>
            <w:tcW w:w="475" w:type="dxa"/>
            <w:shd w:val="clear" w:color="auto" w:fill="B7D4EF"/>
            <w:noWrap/>
          </w:tcPr>
          <w:p w14:paraId="06A93259" w14:textId="77777777" w:rsidR="00011DE9" w:rsidRDefault="00011DE9">
            <w:pPr>
              <w:pStyle w:val="P68B1DB1-Normal18"/>
              <w:spacing w:after="0"/>
              <w:jc w:val="center"/>
              <w:rPr>
                <w:rFonts w:cs="Times New Roman"/>
                <w:noProof/>
                <w:szCs w:val="18"/>
              </w:rPr>
            </w:pPr>
            <w:r>
              <w:rPr>
                <w:noProof/>
              </w:rPr>
              <w:t>Obiectiv</w:t>
            </w:r>
          </w:p>
        </w:tc>
        <w:tc>
          <w:tcPr>
            <w:tcW w:w="407" w:type="dxa"/>
            <w:shd w:val="clear" w:color="auto" w:fill="B7D4EF"/>
            <w:noWrap/>
          </w:tcPr>
          <w:p w14:paraId="23FD2E6A" w14:textId="3E2EBDF4" w:rsidR="00011DE9" w:rsidRDefault="003010A3">
            <w:pPr>
              <w:pStyle w:val="P68B1DB1-Normal18"/>
              <w:spacing w:after="0"/>
              <w:jc w:val="center"/>
              <w:rPr>
                <w:rFonts w:cs="Times New Roman"/>
                <w:noProof/>
                <w:szCs w:val="18"/>
              </w:rPr>
            </w:pPr>
            <w:r>
              <w:rPr>
                <w:noProof/>
              </w:rPr>
              <w:t>T</w:t>
            </w:r>
          </w:p>
        </w:tc>
        <w:tc>
          <w:tcPr>
            <w:tcW w:w="542" w:type="dxa"/>
            <w:shd w:val="clear" w:color="auto" w:fill="B7D4EF"/>
            <w:noWrap/>
          </w:tcPr>
          <w:p w14:paraId="42EA672F" w14:textId="77777777" w:rsidR="00011DE9" w:rsidRDefault="00011DE9">
            <w:pPr>
              <w:pStyle w:val="P68B1DB1-Normal18"/>
              <w:spacing w:after="0"/>
              <w:jc w:val="center"/>
              <w:rPr>
                <w:rFonts w:cs="Times New Roman"/>
                <w:noProof/>
                <w:szCs w:val="18"/>
              </w:rPr>
            </w:pPr>
            <w:r>
              <w:rPr>
                <w:noProof/>
              </w:rPr>
              <w:t>Anul</w:t>
            </w:r>
          </w:p>
        </w:tc>
        <w:tc>
          <w:tcPr>
            <w:tcW w:w="6420" w:type="dxa"/>
            <w:gridSpan w:val="2"/>
            <w:vMerge/>
            <w:noWrap/>
          </w:tcPr>
          <w:p w14:paraId="35854546" w14:textId="77777777" w:rsidR="00011DE9" w:rsidRDefault="00011DE9">
            <w:pPr>
              <w:spacing w:after="0"/>
              <w:rPr>
                <w:rFonts w:ascii="Times New Roman" w:hAnsi="Times New Roman" w:cs="Times New Roman"/>
                <w:b/>
                <w:noProof/>
                <w:sz w:val="18"/>
                <w:szCs w:val="18"/>
              </w:rPr>
            </w:pPr>
          </w:p>
        </w:tc>
      </w:tr>
      <w:tr w:rsidR="00011DE9" w14:paraId="1F4AA070" w14:textId="77777777">
        <w:trPr>
          <w:gridAfter w:val="1"/>
          <w:wAfter w:w="57" w:type="dxa"/>
          <w:trHeight w:val="309"/>
          <w:jc w:val="center"/>
        </w:trPr>
        <w:tc>
          <w:tcPr>
            <w:tcW w:w="958" w:type="dxa"/>
            <w:shd w:val="clear" w:color="auto" w:fill="C6EFCE"/>
            <w:noWrap/>
          </w:tcPr>
          <w:p w14:paraId="4E075120" w14:textId="77777777" w:rsidR="00011DE9" w:rsidRDefault="00011DE9">
            <w:pPr>
              <w:pStyle w:val="P68B1DB1-Normal19"/>
              <w:spacing w:after="0"/>
              <w:jc w:val="center"/>
              <w:rPr>
                <w:rFonts w:eastAsia="Times New Roman"/>
                <w:noProof/>
              </w:rPr>
            </w:pPr>
            <w:r>
              <w:rPr>
                <w:noProof/>
              </w:rPr>
              <w:t>385</w:t>
            </w:r>
          </w:p>
        </w:tc>
        <w:tc>
          <w:tcPr>
            <w:tcW w:w="811" w:type="dxa"/>
            <w:shd w:val="clear" w:color="auto" w:fill="C6EFCE"/>
            <w:noWrap/>
          </w:tcPr>
          <w:p w14:paraId="09C01E62" w14:textId="77777777" w:rsidR="00011DE9" w:rsidRDefault="00011DE9">
            <w:pPr>
              <w:pStyle w:val="P68B1DB1-Normal19"/>
              <w:spacing w:after="0"/>
              <w:jc w:val="center"/>
              <w:rPr>
                <w:rFonts w:eastAsia="Times New Roman"/>
                <w:noProof/>
              </w:rPr>
            </w:pPr>
            <w:r>
              <w:rPr>
                <w:noProof/>
              </w:rPr>
              <w:t>C28.R1</w:t>
            </w:r>
          </w:p>
        </w:tc>
        <w:tc>
          <w:tcPr>
            <w:tcW w:w="810" w:type="dxa"/>
            <w:shd w:val="clear" w:color="auto" w:fill="C6EFCE"/>
            <w:noWrap/>
          </w:tcPr>
          <w:p w14:paraId="2A5A3C57" w14:textId="77777777" w:rsidR="00011DE9" w:rsidRDefault="00011DE9">
            <w:pPr>
              <w:pStyle w:val="P68B1DB1-Normal19"/>
              <w:spacing w:after="0"/>
              <w:jc w:val="center"/>
              <w:rPr>
                <w:rFonts w:eastAsia="Times New Roman"/>
                <w:noProof/>
              </w:rPr>
            </w:pPr>
            <w:r>
              <w:rPr>
                <w:noProof/>
              </w:rPr>
              <w:t>M</w:t>
            </w:r>
          </w:p>
        </w:tc>
        <w:tc>
          <w:tcPr>
            <w:tcW w:w="2236" w:type="dxa"/>
            <w:shd w:val="clear" w:color="auto" w:fill="C6EFCE"/>
            <w:noWrap/>
          </w:tcPr>
          <w:p w14:paraId="62C9ABEC" w14:textId="77777777" w:rsidR="00011DE9" w:rsidRDefault="00011DE9">
            <w:pPr>
              <w:pStyle w:val="P68B1DB1-Normal19"/>
              <w:spacing w:after="0"/>
              <w:rPr>
                <w:rFonts w:eastAsia="Times New Roman"/>
                <w:noProof/>
              </w:rPr>
            </w:pPr>
            <w:r>
              <w:rPr>
                <w:noProof/>
              </w:rPr>
              <w:t>Măsurile fiscal-bugetare adoptate în 2020 și 2021 pentru a atenua efectele pandemiei de COVID-19.</w:t>
            </w:r>
          </w:p>
        </w:tc>
        <w:tc>
          <w:tcPr>
            <w:tcW w:w="1276" w:type="dxa"/>
            <w:shd w:val="clear" w:color="auto" w:fill="C6EFCE"/>
            <w:noWrap/>
          </w:tcPr>
          <w:p w14:paraId="6DD56029" w14:textId="77777777" w:rsidR="00011DE9" w:rsidRDefault="00011DE9">
            <w:pPr>
              <w:pStyle w:val="P68B1DB1-Normal19"/>
              <w:spacing w:after="0" w:line="240" w:lineRule="auto"/>
              <w:jc w:val="center"/>
              <w:rPr>
                <w:rFonts w:eastAsia="Times New Roman"/>
                <w:noProof/>
              </w:rPr>
            </w:pPr>
            <w:r>
              <w:rPr>
                <w:noProof/>
              </w:rPr>
              <w:t xml:space="preserve">Dispoziții legislative și decrete-lege regale care indică intrarea lor în vigoare </w:t>
            </w:r>
          </w:p>
        </w:tc>
        <w:tc>
          <w:tcPr>
            <w:tcW w:w="716" w:type="dxa"/>
            <w:shd w:val="clear" w:color="auto" w:fill="C6EFCE"/>
            <w:noWrap/>
          </w:tcPr>
          <w:p w14:paraId="2DD70686" w14:textId="77777777" w:rsidR="00011DE9" w:rsidRDefault="00011DE9">
            <w:pPr>
              <w:pStyle w:val="P68B1DB1-Normal19"/>
              <w:spacing w:after="0"/>
              <w:jc w:val="center"/>
              <w:rPr>
                <w:rFonts w:eastAsia="Times New Roman"/>
                <w:noProof/>
              </w:rPr>
            </w:pPr>
            <w:r>
              <w:rPr>
                <w:noProof/>
              </w:rPr>
              <w:t xml:space="preserve"> </w:t>
            </w:r>
          </w:p>
        </w:tc>
        <w:tc>
          <w:tcPr>
            <w:tcW w:w="774" w:type="dxa"/>
            <w:shd w:val="clear" w:color="auto" w:fill="C6EFCE"/>
            <w:noWrap/>
          </w:tcPr>
          <w:p w14:paraId="2D21FF73" w14:textId="77777777" w:rsidR="00011DE9" w:rsidRDefault="00011DE9">
            <w:pPr>
              <w:pStyle w:val="P68B1DB1-Normal19"/>
              <w:spacing w:after="0"/>
              <w:jc w:val="right"/>
              <w:rPr>
                <w:rFonts w:eastAsia="Times New Roman"/>
                <w:noProof/>
              </w:rPr>
            </w:pPr>
            <w:r>
              <w:rPr>
                <w:noProof/>
              </w:rPr>
              <w:t xml:space="preserve"> </w:t>
            </w:r>
          </w:p>
        </w:tc>
        <w:tc>
          <w:tcPr>
            <w:tcW w:w="475" w:type="dxa"/>
            <w:shd w:val="clear" w:color="auto" w:fill="C6EFCE"/>
            <w:noWrap/>
          </w:tcPr>
          <w:p w14:paraId="0C519E2C" w14:textId="77777777" w:rsidR="00011DE9" w:rsidRDefault="00011DE9">
            <w:pPr>
              <w:pStyle w:val="P68B1DB1-Normal19"/>
              <w:spacing w:after="0"/>
              <w:jc w:val="right"/>
              <w:rPr>
                <w:rFonts w:eastAsia="Times New Roman"/>
                <w:noProof/>
              </w:rPr>
            </w:pPr>
            <w:r>
              <w:rPr>
                <w:noProof/>
              </w:rPr>
              <w:t xml:space="preserve"> </w:t>
            </w:r>
          </w:p>
        </w:tc>
        <w:tc>
          <w:tcPr>
            <w:tcW w:w="407" w:type="dxa"/>
            <w:shd w:val="clear" w:color="auto" w:fill="C6EFCE"/>
            <w:noWrap/>
          </w:tcPr>
          <w:p w14:paraId="322DA4B9" w14:textId="60794069" w:rsidR="00011DE9" w:rsidRDefault="003010A3">
            <w:pPr>
              <w:pStyle w:val="P68B1DB1-Normal19"/>
              <w:spacing w:after="0"/>
              <w:jc w:val="center"/>
              <w:rPr>
                <w:rFonts w:eastAsia="Times New Roman"/>
                <w:noProof/>
              </w:rPr>
            </w:pPr>
            <w:r>
              <w:rPr>
                <w:noProof/>
              </w:rPr>
              <w:t>T1</w:t>
            </w:r>
          </w:p>
        </w:tc>
        <w:tc>
          <w:tcPr>
            <w:tcW w:w="542" w:type="dxa"/>
            <w:shd w:val="clear" w:color="auto" w:fill="C6EFCE"/>
            <w:noWrap/>
          </w:tcPr>
          <w:p w14:paraId="1C152387" w14:textId="77777777" w:rsidR="00011DE9" w:rsidRDefault="00011DE9">
            <w:pPr>
              <w:pStyle w:val="P68B1DB1-Normal19"/>
              <w:spacing w:after="0"/>
              <w:jc w:val="center"/>
              <w:rPr>
                <w:rFonts w:eastAsia="Times New Roman"/>
                <w:noProof/>
              </w:rPr>
            </w:pPr>
            <w:r>
              <w:rPr>
                <w:noProof/>
              </w:rPr>
              <w:t>2021</w:t>
            </w:r>
          </w:p>
        </w:tc>
        <w:tc>
          <w:tcPr>
            <w:tcW w:w="6363" w:type="dxa"/>
            <w:shd w:val="clear" w:color="auto" w:fill="C6EFCE"/>
            <w:noWrap/>
          </w:tcPr>
          <w:p w14:paraId="7200AF1B" w14:textId="7EBDEE71" w:rsidR="00011DE9" w:rsidRDefault="00011DE9">
            <w:pPr>
              <w:spacing w:after="0"/>
              <w:rPr>
                <w:rFonts w:ascii="Times New Roman" w:eastAsia="Times New Roman" w:hAnsi="Times New Roman" w:cs="Times New Roman"/>
                <w:noProof/>
                <w:sz w:val="18"/>
                <w:szCs w:val="18"/>
              </w:rPr>
            </w:pPr>
            <w:r>
              <w:rPr>
                <w:rFonts w:ascii="Times New Roman" w:hAnsi="Times New Roman"/>
                <w:noProof/>
                <w:sz w:val="18"/>
              </w:rPr>
              <w:t>Intrarea în vigoare a măsurilor fiscale adoptate în 2020 și 2021 pentru a atenua efectele economice și sociale negative ale pandemiei de COVID-19:</w:t>
            </w:r>
            <w:r w:rsidR="00971820">
              <w:rPr>
                <w:noProof/>
              </w:rPr>
              <w:t xml:space="preserve"> </w:t>
            </w:r>
            <w:r>
              <w:rPr>
                <w:noProof/>
              </w:rPr>
              <w:br/>
            </w:r>
            <w:r>
              <w:rPr>
                <w:rFonts w:ascii="Times New Roman" w:hAnsi="Times New Roman"/>
                <w:noProof/>
                <w:sz w:val="18"/>
              </w:rPr>
              <w:t>1. Reglementări tranzitorii: diverse decrete-lege regale aprobate de guvern de la începutul pandemiei de COVID-19.</w:t>
            </w:r>
            <w:r w:rsidR="00971820">
              <w:rPr>
                <w:noProof/>
              </w:rPr>
              <w:t xml:space="preserve"> </w:t>
            </w:r>
            <w:r>
              <w:rPr>
                <w:noProof/>
              </w:rPr>
              <w:br/>
            </w:r>
            <w:r>
              <w:rPr>
                <w:rFonts w:ascii="Times New Roman" w:hAnsi="Times New Roman"/>
                <w:noProof/>
                <w:sz w:val="18"/>
              </w:rPr>
              <w:t>2. Modificarea reglementărilor statului:</w:t>
            </w:r>
            <w:r w:rsidR="00971820">
              <w:rPr>
                <w:noProof/>
              </w:rPr>
              <w:t xml:space="preserve"> </w:t>
            </w:r>
            <w:r>
              <w:rPr>
                <w:noProof/>
              </w:rPr>
              <w:br/>
            </w:r>
            <w:r>
              <w:rPr>
                <w:rFonts w:ascii="Times New Roman" w:hAnsi="Times New Roman"/>
                <w:noProof/>
                <w:sz w:val="18"/>
              </w:rPr>
              <w:t>− Decretul legislativ regal nr. 1/1993 din septembrie 24, care aprobă textul consolidat al Legii privind impozitul pe tranzacțiile patrimoniale și actele juridice documentate.</w:t>
            </w:r>
            <w:r w:rsidR="00971820">
              <w:rPr>
                <w:noProof/>
              </w:rPr>
              <w:t xml:space="preserve"> </w:t>
            </w:r>
            <w:r>
              <w:rPr>
                <w:noProof/>
              </w:rPr>
              <w:br/>
            </w:r>
            <w:r>
              <w:rPr>
                <w:rFonts w:ascii="Times New Roman" w:hAnsi="Times New Roman"/>
                <w:noProof/>
                <w:sz w:val="18"/>
              </w:rPr>
              <w:t>− Legea nr. 37/1992 din decembrie 28 privind taxa pe valoarea adăugată.</w:t>
            </w:r>
            <w:r w:rsidR="00971820">
              <w:rPr>
                <w:noProof/>
              </w:rPr>
              <w:t xml:space="preserve"> </w:t>
            </w:r>
            <w:r>
              <w:rPr>
                <w:noProof/>
              </w:rPr>
              <w:br/>
            </w:r>
            <w:r>
              <w:rPr>
                <w:rFonts w:ascii="Times New Roman" w:hAnsi="Times New Roman"/>
                <w:noProof/>
                <w:sz w:val="18"/>
              </w:rPr>
              <w:t>− Legea nr. 49/2002 din decembrie 23 privind regimul fiscal al entităților non-profit și stimulentele fiscale pentru patronaj.</w:t>
            </w:r>
            <w:r w:rsidR="00971820">
              <w:rPr>
                <w:noProof/>
              </w:rPr>
              <w:t xml:space="preserve"> </w:t>
            </w:r>
            <w:r>
              <w:rPr>
                <w:noProof/>
              </w:rPr>
              <w:br/>
            </w:r>
            <w:r>
              <w:rPr>
                <w:rFonts w:ascii="Times New Roman" w:hAnsi="Times New Roman"/>
                <w:noProof/>
                <w:sz w:val="18"/>
              </w:rPr>
              <w:t>− Legea nr. 58/2003 din decembrie 17, Impozitul general.</w:t>
            </w:r>
            <w:r w:rsidR="00971820">
              <w:rPr>
                <w:noProof/>
              </w:rPr>
              <w:t xml:space="preserve"> </w:t>
            </w:r>
            <w:r>
              <w:rPr>
                <w:noProof/>
              </w:rPr>
              <w:br/>
            </w:r>
            <w:r>
              <w:rPr>
                <w:rFonts w:ascii="Times New Roman" w:hAnsi="Times New Roman"/>
                <w:noProof/>
                <w:sz w:val="18"/>
              </w:rPr>
              <w:t>— Legea nr. 35/2006 din noiembrie 28 privind impozitul pe venitul persoanelor fizice</w:t>
            </w:r>
          </w:p>
        </w:tc>
      </w:tr>
      <w:tr w:rsidR="00011DE9" w14:paraId="484C8613" w14:textId="77777777">
        <w:trPr>
          <w:gridAfter w:val="1"/>
          <w:wAfter w:w="57" w:type="dxa"/>
          <w:trHeight w:val="309"/>
          <w:jc w:val="center"/>
        </w:trPr>
        <w:tc>
          <w:tcPr>
            <w:tcW w:w="958" w:type="dxa"/>
            <w:shd w:val="clear" w:color="auto" w:fill="C6EFCE"/>
            <w:noWrap/>
          </w:tcPr>
          <w:p w14:paraId="0CF9A575" w14:textId="77777777" w:rsidR="00011DE9" w:rsidRDefault="00011DE9">
            <w:pPr>
              <w:pStyle w:val="P68B1DB1-Normal19"/>
              <w:spacing w:after="0"/>
              <w:jc w:val="center"/>
              <w:rPr>
                <w:rFonts w:eastAsia="Times New Roman"/>
                <w:noProof/>
              </w:rPr>
            </w:pPr>
            <w:r>
              <w:rPr>
                <w:noProof/>
              </w:rPr>
              <w:t>386</w:t>
            </w:r>
          </w:p>
        </w:tc>
        <w:tc>
          <w:tcPr>
            <w:tcW w:w="811" w:type="dxa"/>
            <w:shd w:val="clear" w:color="auto" w:fill="C6EFCE"/>
            <w:noWrap/>
          </w:tcPr>
          <w:p w14:paraId="604D38E4" w14:textId="77777777" w:rsidR="00011DE9" w:rsidRDefault="00011DE9">
            <w:pPr>
              <w:pStyle w:val="P68B1DB1-Normal19"/>
              <w:spacing w:after="0"/>
              <w:jc w:val="center"/>
              <w:rPr>
                <w:rFonts w:eastAsia="Times New Roman"/>
                <w:noProof/>
              </w:rPr>
            </w:pPr>
            <w:r>
              <w:rPr>
                <w:noProof/>
              </w:rPr>
              <w:t>C28.R2</w:t>
            </w:r>
          </w:p>
        </w:tc>
        <w:tc>
          <w:tcPr>
            <w:tcW w:w="810" w:type="dxa"/>
            <w:shd w:val="clear" w:color="auto" w:fill="C6EFCE"/>
            <w:noWrap/>
          </w:tcPr>
          <w:p w14:paraId="0D8C764C" w14:textId="77777777" w:rsidR="00011DE9" w:rsidRDefault="00011DE9">
            <w:pPr>
              <w:pStyle w:val="P68B1DB1-Normal19"/>
              <w:spacing w:after="0"/>
              <w:jc w:val="center"/>
              <w:rPr>
                <w:rFonts w:eastAsia="Times New Roman"/>
                <w:noProof/>
              </w:rPr>
            </w:pPr>
            <w:r>
              <w:rPr>
                <w:noProof/>
              </w:rPr>
              <w:t>M</w:t>
            </w:r>
          </w:p>
        </w:tc>
        <w:tc>
          <w:tcPr>
            <w:tcW w:w="2236" w:type="dxa"/>
            <w:shd w:val="clear" w:color="auto" w:fill="C6EFCE"/>
            <w:noWrap/>
          </w:tcPr>
          <w:p w14:paraId="60A2F190" w14:textId="77777777" w:rsidR="00011DE9" w:rsidRDefault="00011DE9">
            <w:pPr>
              <w:pStyle w:val="P68B1DB1-Normal20"/>
              <w:spacing w:after="0"/>
              <w:rPr>
                <w:rFonts w:eastAsia="Times New Roman" w:cs="Times New Roman"/>
                <w:noProof/>
              </w:rPr>
            </w:pPr>
            <w:r>
              <w:rPr>
                <w:noProof/>
              </w:rPr>
              <w:t>Reforma avantajelor fiscale</w:t>
            </w:r>
          </w:p>
        </w:tc>
        <w:tc>
          <w:tcPr>
            <w:tcW w:w="1276" w:type="dxa"/>
            <w:shd w:val="clear" w:color="auto" w:fill="C6EFCE"/>
            <w:noWrap/>
          </w:tcPr>
          <w:p w14:paraId="661A04BE" w14:textId="77777777" w:rsidR="00011DE9" w:rsidRDefault="00011DE9">
            <w:pPr>
              <w:pStyle w:val="P68B1DB1-Normal20"/>
              <w:spacing w:after="0" w:line="240" w:lineRule="auto"/>
              <w:jc w:val="center"/>
              <w:rPr>
                <w:rFonts w:eastAsia="Times New Roman" w:cs="Times New Roman"/>
                <w:noProof/>
              </w:rPr>
            </w:pPr>
            <w:r>
              <w:rPr>
                <w:noProof/>
              </w:rPr>
              <w:t xml:space="preserve">Dispoziții legislative care indică intrarea lor în vigoare </w:t>
            </w:r>
          </w:p>
        </w:tc>
        <w:tc>
          <w:tcPr>
            <w:tcW w:w="716" w:type="dxa"/>
            <w:shd w:val="clear" w:color="auto" w:fill="C6EFCE"/>
            <w:noWrap/>
          </w:tcPr>
          <w:p w14:paraId="0F34C84A" w14:textId="77777777" w:rsidR="00011DE9" w:rsidRDefault="00011DE9">
            <w:pPr>
              <w:pStyle w:val="P68B1DB1-Normal19"/>
              <w:spacing w:after="0"/>
              <w:jc w:val="center"/>
              <w:rPr>
                <w:rFonts w:eastAsia="Times New Roman"/>
                <w:noProof/>
              </w:rPr>
            </w:pPr>
            <w:r>
              <w:rPr>
                <w:noProof/>
              </w:rPr>
              <w:t xml:space="preserve"> </w:t>
            </w:r>
          </w:p>
        </w:tc>
        <w:tc>
          <w:tcPr>
            <w:tcW w:w="774" w:type="dxa"/>
            <w:shd w:val="clear" w:color="auto" w:fill="C6EFCE"/>
            <w:noWrap/>
          </w:tcPr>
          <w:p w14:paraId="76F47B7F" w14:textId="77777777" w:rsidR="00011DE9" w:rsidRDefault="00011DE9">
            <w:pPr>
              <w:pStyle w:val="P68B1DB1-Normal19"/>
              <w:spacing w:after="0"/>
              <w:jc w:val="right"/>
              <w:rPr>
                <w:rFonts w:eastAsia="Times New Roman"/>
                <w:noProof/>
              </w:rPr>
            </w:pPr>
            <w:r>
              <w:rPr>
                <w:noProof/>
              </w:rPr>
              <w:t xml:space="preserve"> </w:t>
            </w:r>
          </w:p>
        </w:tc>
        <w:tc>
          <w:tcPr>
            <w:tcW w:w="475" w:type="dxa"/>
            <w:shd w:val="clear" w:color="auto" w:fill="C6EFCE"/>
            <w:noWrap/>
          </w:tcPr>
          <w:p w14:paraId="1C32B552" w14:textId="77777777" w:rsidR="00011DE9" w:rsidRDefault="00011DE9">
            <w:pPr>
              <w:pStyle w:val="P68B1DB1-Normal19"/>
              <w:spacing w:after="0"/>
              <w:jc w:val="right"/>
              <w:rPr>
                <w:rFonts w:eastAsia="Times New Roman"/>
                <w:noProof/>
              </w:rPr>
            </w:pPr>
            <w:r>
              <w:rPr>
                <w:noProof/>
              </w:rPr>
              <w:t xml:space="preserve"> </w:t>
            </w:r>
          </w:p>
        </w:tc>
        <w:tc>
          <w:tcPr>
            <w:tcW w:w="407" w:type="dxa"/>
            <w:shd w:val="clear" w:color="auto" w:fill="C6EFCE"/>
            <w:noWrap/>
          </w:tcPr>
          <w:p w14:paraId="6062B9C4" w14:textId="60F6E1A4" w:rsidR="00011DE9" w:rsidRDefault="005701C9">
            <w:pPr>
              <w:pStyle w:val="P68B1DB1-Normal19"/>
              <w:spacing w:after="0"/>
              <w:jc w:val="center"/>
              <w:rPr>
                <w:rFonts w:eastAsia="Times New Roman"/>
                <w:noProof/>
              </w:rPr>
            </w:pPr>
            <w:r>
              <w:rPr>
                <w:noProof/>
              </w:rPr>
              <w:t>T2</w:t>
            </w:r>
          </w:p>
        </w:tc>
        <w:tc>
          <w:tcPr>
            <w:tcW w:w="542" w:type="dxa"/>
            <w:shd w:val="clear" w:color="auto" w:fill="C6EFCE"/>
            <w:noWrap/>
          </w:tcPr>
          <w:p w14:paraId="467D9022" w14:textId="77777777" w:rsidR="00011DE9" w:rsidRDefault="00011DE9">
            <w:pPr>
              <w:pStyle w:val="P68B1DB1-Normal19"/>
              <w:spacing w:after="0"/>
              <w:jc w:val="center"/>
              <w:rPr>
                <w:rFonts w:eastAsia="Times New Roman"/>
                <w:noProof/>
              </w:rPr>
            </w:pPr>
            <w:r>
              <w:rPr>
                <w:noProof/>
              </w:rPr>
              <w:t>2026</w:t>
            </w:r>
          </w:p>
        </w:tc>
        <w:tc>
          <w:tcPr>
            <w:tcW w:w="6363" w:type="dxa"/>
            <w:shd w:val="clear" w:color="auto" w:fill="C6EFCE"/>
            <w:noWrap/>
          </w:tcPr>
          <w:p w14:paraId="5A0F52D3" w14:textId="77777777" w:rsidR="00011DE9" w:rsidRDefault="00011DE9">
            <w:pPr>
              <w:pStyle w:val="P68B1DB1-Normal22"/>
              <w:spacing w:after="0" w:line="240" w:lineRule="auto"/>
              <w:rPr>
                <w:noProof/>
              </w:rPr>
            </w:pPr>
            <w:r>
              <w:rPr>
                <w:noProof/>
              </w:rPr>
              <w:t>Intrarea în vigoare a legislației, eliminarea sau modificarea avantajelor fiscale, care se estimează că, la momentul intrării lor în vigoare, vor duce la creșterea permanentă a veniturilor cu 0.1 puncte procentuale din PIB.</w:t>
            </w:r>
          </w:p>
          <w:p w14:paraId="18E946C4" w14:textId="77777777" w:rsidR="00011DE9" w:rsidRDefault="00011DE9">
            <w:pPr>
              <w:spacing w:after="0"/>
              <w:rPr>
                <w:rFonts w:ascii="Times New Roman" w:hAnsi="Times New Roman"/>
                <w:noProof/>
                <w:sz w:val="18"/>
                <w:szCs w:val="18"/>
              </w:rPr>
            </w:pPr>
          </w:p>
        </w:tc>
      </w:tr>
      <w:tr w:rsidR="00011DE9" w14:paraId="5D4E71FA" w14:textId="77777777">
        <w:trPr>
          <w:gridAfter w:val="1"/>
          <w:wAfter w:w="57" w:type="dxa"/>
          <w:trHeight w:val="309"/>
          <w:jc w:val="center"/>
        </w:trPr>
        <w:tc>
          <w:tcPr>
            <w:tcW w:w="958" w:type="dxa"/>
            <w:shd w:val="clear" w:color="auto" w:fill="C6EFCE"/>
            <w:noWrap/>
          </w:tcPr>
          <w:p w14:paraId="3AC05B92" w14:textId="77777777" w:rsidR="00011DE9" w:rsidRDefault="00011DE9">
            <w:pPr>
              <w:pStyle w:val="P68B1DB1-Normal19"/>
              <w:spacing w:after="0"/>
              <w:jc w:val="center"/>
              <w:rPr>
                <w:rFonts w:eastAsia="Times New Roman"/>
                <w:noProof/>
              </w:rPr>
            </w:pPr>
            <w:r>
              <w:rPr>
                <w:noProof/>
              </w:rPr>
              <w:t>387</w:t>
            </w:r>
          </w:p>
        </w:tc>
        <w:tc>
          <w:tcPr>
            <w:tcW w:w="811" w:type="dxa"/>
            <w:shd w:val="clear" w:color="auto" w:fill="C6EFCE"/>
            <w:noWrap/>
          </w:tcPr>
          <w:p w14:paraId="0085D39F" w14:textId="77777777" w:rsidR="00011DE9" w:rsidRDefault="00011DE9">
            <w:pPr>
              <w:pStyle w:val="P68B1DB1-Normal19"/>
              <w:spacing w:after="0"/>
              <w:jc w:val="center"/>
              <w:rPr>
                <w:rFonts w:eastAsia="Times New Roman"/>
                <w:noProof/>
              </w:rPr>
            </w:pPr>
            <w:r>
              <w:rPr>
                <w:noProof/>
              </w:rPr>
              <w:t>C28.R3</w:t>
            </w:r>
          </w:p>
        </w:tc>
        <w:tc>
          <w:tcPr>
            <w:tcW w:w="810" w:type="dxa"/>
            <w:shd w:val="clear" w:color="auto" w:fill="C6EFCE"/>
            <w:noWrap/>
          </w:tcPr>
          <w:p w14:paraId="29143D99" w14:textId="77777777" w:rsidR="00011DE9" w:rsidRDefault="00011DE9">
            <w:pPr>
              <w:pStyle w:val="P68B1DB1-Normal19"/>
              <w:spacing w:after="0"/>
              <w:jc w:val="center"/>
              <w:rPr>
                <w:rFonts w:eastAsia="Times New Roman"/>
                <w:noProof/>
              </w:rPr>
            </w:pPr>
            <w:r>
              <w:rPr>
                <w:noProof/>
              </w:rPr>
              <w:t>M</w:t>
            </w:r>
          </w:p>
        </w:tc>
        <w:tc>
          <w:tcPr>
            <w:tcW w:w="2236" w:type="dxa"/>
            <w:shd w:val="clear" w:color="auto" w:fill="C6EFCE"/>
            <w:noWrap/>
          </w:tcPr>
          <w:p w14:paraId="088BF153" w14:textId="77777777" w:rsidR="00011DE9" w:rsidRDefault="00011DE9">
            <w:pPr>
              <w:pStyle w:val="P68B1DB1-Normal19"/>
              <w:spacing w:after="0" w:line="240" w:lineRule="auto"/>
              <w:rPr>
                <w:rFonts w:eastAsia="Times New Roman"/>
                <w:noProof/>
              </w:rPr>
            </w:pPr>
            <w:r>
              <w:rPr>
                <w:noProof/>
              </w:rPr>
              <w:t>Numirea Comitetului de experți de către secretarul de stat pentru finanțe.</w:t>
            </w:r>
          </w:p>
        </w:tc>
        <w:tc>
          <w:tcPr>
            <w:tcW w:w="1276" w:type="dxa"/>
            <w:shd w:val="clear" w:color="auto" w:fill="C6EFCE"/>
            <w:noWrap/>
          </w:tcPr>
          <w:p w14:paraId="7BB5BADA" w14:textId="77777777" w:rsidR="00011DE9" w:rsidRDefault="00011DE9">
            <w:pPr>
              <w:pStyle w:val="P68B1DB1-Normal19"/>
              <w:spacing w:after="0" w:line="240" w:lineRule="auto"/>
              <w:jc w:val="center"/>
              <w:rPr>
                <w:rFonts w:eastAsia="Times New Roman"/>
                <w:noProof/>
              </w:rPr>
            </w:pPr>
            <w:r>
              <w:rPr>
                <w:noProof/>
              </w:rPr>
              <w:t>Publicarea pe pagina web</w:t>
            </w:r>
          </w:p>
        </w:tc>
        <w:tc>
          <w:tcPr>
            <w:tcW w:w="716" w:type="dxa"/>
            <w:shd w:val="clear" w:color="auto" w:fill="C6EFCE"/>
            <w:noWrap/>
          </w:tcPr>
          <w:p w14:paraId="05CE4083" w14:textId="77777777" w:rsidR="00011DE9" w:rsidRDefault="00011DE9">
            <w:pPr>
              <w:pStyle w:val="P68B1DB1-Normal19"/>
              <w:spacing w:after="0"/>
              <w:jc w:val="center"/>
              <w:rPr>
                <w:rFonts w:eastAsia="Times New Roman"/>
                <w:noProof/>
              </w:rPr>
            </w:pPr>
            <w:r>
              <w:rPr>
                <w:noProof/>
              </w:rPr>
              <w:t xml:space="preserve"> </w:t>
            </w:r>
          </w:p>
        </w:tc>
        <w:tc>
          <w:tcPr>
            <w:tcW w:w="774" w:type="dxa"/>
            <w:shd w:val="clear" w:color="auto" w:fill="C6EFCE"/>
            <w:noWrap/>
          </w:tcPr>
          <w:p w14:paraId="548D8E79" w14:textId="77777777" w:rsidR="00011DE9" w:rsidRDefault="00011DE9">
            <w:pPr>
              <w:pStyle w:val="P68B1DB1-Normal19"/>
              <w:spacing w:after="0"/>
              <w:jc w:val="right"/>
              <w:rPr>
                <w:rFonts w:eastAsia="Times New Roman"/>
                <w:noProof/>
              </w:rPr>
            </w:pPr>
            <w:r>
              <w:rPr>
                <w:noProof/>
              </w:rPr>
              <w:t xml:space="preserve"> </w:t>
            </w:r>
          </w:p>
        </w:tc>
        <w:tc>
          <w:tcPr>
            <w:tcW w:w="475" w:type="dxa"/>
            <w:shd w:val="clear" w:color="auto" w:fill="C6EFCE"/>
            <w:noWrap/>
          </w:tcPr>
          <w:p w14:paraId="559F8A3A" w14:textId="77777777" w:rsidR="00011DE9" w:rsidRDefault="00011DE9">
            <w:pPr>
              <w:pStyle w:val="P68B1DB1-Normal19"/>
              <w:spacing w:after="0"/>
              <w:jc w:val="right"/>
              <w:rPr>
                <w:rFonts w:eastAsia="Times New Roman"/>
                <w:noProof/>
              </w:rPr>
            </w:pPr>
            <w:r>
              <w:rPr>
                <w:noProof/>
              </w:rPr>
              <w:t xml:space="preserve"> </w:t>
            </w:r>
          </w:p>
        </w:tc>
        <w:tc>
          <w:tcPr>
            <w:tcW w:w="407" w:type="dxa"/>
            <w:shd w:val="clear" w:color="auto" w:fill="C6EFCE"/>
            <w:noWrap/>
          </w:tcPr>
          <w:p w14:paraId="6486BDD7" w14:textId="4C414C3F" w:rsidR="00011DE9" w:rsidRDefault="005701C9">
            <w:pPr>
              <w:pStyle w:val="P68B1DB1-Normal19"/>
              <w:spacing w:after="0"/>
              <w:jc w:val="center"/>
              <w:rPr>
                <w:rFonts w:eastAsia="Times New Roman"/>
                <w:noProof/>
              </w:rPr>
            </w:pPr>
            <w:r>
              <w:rPr>
                <w:noProof/>
              </w:rPr>
              <w:t>T2</w:t>
            </w:r>
          </w:p>
        </w:tc>
        <w:tc>
          <w:tcPr>
            <w:tcW w:w="542" w:type="dxa"/>
            <w:shd w:val="clear" w:color="auto" w:fill="C6EFCE"/>
            <w:noWrap/>
          </w:tcPr>
          <w:p w14:paraId="202DDB17" w14:textId="77777777" w:rsidR="00011DE9" w:rsidRDefault="00011DE9">
            <w:pPr>
              <w:pStyle w:val="P68B1DB1-Normal19"/>
              <w:spacing w:after="0"/>
              <w:jc w:val="center"/>
              <w:rPr>
                <w:rFonts w:eastAsia="Times New Roman"/>
                <w:noProof/>
              </w:rPr>
            </w:pPr>
            <w:r>
              <w:rPr>
                <w:noProof/>
              </w:rPr>
              <w:t>2021</w:t>
            </w:r>
          </w:p>
        </w:tc>
        <w:tc>
          <w:tcPr>
            <w:tcW w:w="6363" w:type="dxa"/>
            <w:shd w:val="clear" w:color="auto" w:fill="C6EFCE"/>
            <w:noWrap/>
          </w:tcPr>
          <w:p w14:paraId="1A3AD01C" w14:textId="77777777" w:rsidR="00011DE9" w:rsidRDefault="00011DE9">
            <w:pPr>
              <w:pStyle w:val="P68B1DB1-Normal20"/>
              <w:spacing w:after="0" w:line="240" w:lineRule="auto"/>
              <w:rPr>
                <w:rFonts w:eastAsia="Times New Roman" w:cs="Times New Roman"/>
                <w:noProof/>
              </w:rPr>
            </w:pPr>
            <w:r>
              <w:rPr>
                <w:noProof/>
              </w:rPr>
              <w:t>Numirea unui comitet de experți care să orienteze reforma sistemului fiscal. Comitetul este responsabil de efectuarea unei analize tehnice a reformelor necesare, ținând seama de scenariul actual, precum și de situația preconizată pe termen mediu și lung, acordând o atenție deosebită următoarelor domenii: taxele de mediu, impozitarea întreprinderilor, impozitarea economiei digitale, impozitarea averii și armonizarea concretă în acest domeniu, impozitarea activităților economice emergente.</w:t>
            </w:r>
          </w:p>
        </w:tc>
      </w:tr>
      <w:tr w:rsidR="00011DE9" w14:paraId="5383310B" w14:textId="77777777">
        <w:trPr>
          <w:gridAfter w:val="1"/>
          <w:wAfter w:w="57" w:type="dxa"/>
          <w:trHeight w:val="309"/>
          <w:jc w:val="center"/>
        </w:trPr>
        <w:tc>
          <w:tcPr>
            <w:tcW w:w="958" w:type="dxa"/>
            <w:shd w:val="clear" w:color="auto" w:fill="C6EFCE"/>
            <w:noWrap/>
          </w:tcPr>
          <w:p w14:paraId="25775951" w14:textId="77777777" w:rsidR="00011DE9" w:rsidRDefault="00011DE9">
            <w:pPr>
              <w:pStyle w:val="P68B1DB1-Normal19"/>
              <w:spacing w:after="0"/>
              <w:jc w:val="center"/>
              <w:rPr>
                <w:rFonts w:eastAsia="Times New Roman"/>
                <w:noProof/>
              </w:rPr>
            </w:pPr>
            <w:r>
              <w:rPr>
                <w:noProof/>
              </w:rPr>
              <w:t>388</w:t>
            </w:r>
          </w:p>
        </w:tc>
        <w:tc>
          <w:tcPr>
            <w:tcW w:w="811" w:type="dxa"/>
            <w:shd w:val="clear" w:color="auto" w:fill="C6EFCE"/>
            <w:noWrap/>
          </w:tcPr>
          <w:p w14:paraId="6EAA3591" w14:textId="77777777" w:rsidR="00011DE9" w:rsidRDefault="00011DE9">
            <w:pPr>
              <w:pStyle w:val="P68B1DB1-Normal19"/>
              <w:spacing w:after="0"/>
              <w:jc w:val="center"/>
              <w:rPr>
                <w:rFonts w:eastAsia="Times New Roman"/>
                <w:noProof/>
              </w:rPr>
            </w:pPr>
            <w:r>
              <w:rPr>
                <w:noProof/>
              </w:rPr>
              <w:t>C28.R3</w:t>
            </w:r>
          </w:p>
        </w:tc>
        <w:tc>
          <w:tcPr>
            <w:tcW w:w="810" w:type="dxa"/>
            <w:shd w:val="clear" w:color="auto" w:fill="C6EFCE"/>
            <w:noWrap/>
          </w:tcPr>
          <w:p w14:paraId="12D5DDE9" w14:textId="77777777" w:rsidR="00011DE9" w:rsidRDefault="00011DE9">
            <w:pPr>
              <w:pStyle w:val="P68B1DB1-Normal19"/>
              <w:spacing w:after="0"/>
              <w:jc w:val="center"/>
              <w:rPr>
                <w:rFonts w:eastAsia="Times New Roman"/>
                <w:noProof/>
              </w:rPr>
            </w:pPr>
            <w:r>
              <w:rPr>
                <w:noProof/>
              </w:rPr>
              <w:t>M</w:t>
            </w:r>
          </w:p>
        </w:tc>
        <w:tc>
          <w:tcPr>
            <w:tcW w:w="2236" w:type="dxa"/>
            <w:shd w:val="clear" w:color="auto" w:fill="C6EFCE"/>
            <w:noWrap/>
          </w:tcPr>
          <w:p w14:paraId="31AEEC37" w14:textId="77777777" w:rsidR="00011DE9" w:rsidRDefault="00011DE9">
            <w:pPr>
              <w:pStyle w:val="P68B1DB1-Normal19"/>
              <w:spacing w:after="0" w:line="240" w:lineRule="auto"/>
              <w:rPr>
                <w:rFonts w:eastAsia="Times New Roman"/>
                <w:noProof/>
              </w:rPr>
            </w:pPr>
            <w:r>
              <w:rPr>
                <w:noProof/>
              </w:rPr>
              <w:t>Intrarea în vigoare a reformelor care decurg din recomandările comisiei sau din alte analize ale Ministerului Finanțelor</w:t>
            </w:r>
          </w:p>
        </w:tc>
        <w:tc>
          <w:tcPr>
            <w:tcW w:w="1276" w:type="dxa"/>
            <w:shd w:val="clear" w:color="auto" w:fill="C6EFCE"/>
            <w:noWrap/>
          </w:tcPr>
          <w:p w14:paraId="1EA8D924" w14:textId="77777777" w:rsidR="00011DE9" w:rsidRDefault="00011DE9">
            <w:pPr>
              <w:pStyle w:val="P68B1DB1-Normal19"/>
              <w:spacing w:after="0"/>
              <w:jc w:val="center"/>
              <w:rPr>
                <w:rFonts w:eastAsia="Times New Roman"/>
                <w:noProof/>
              </w:rPr>
            </w:pPr>
            <w:r>
              <w:rPr>
                <w:noProof/>
              </w:rPr>
              <w:t xml:space="preserve">Dispoziții ale reformelor care indică intrarea lor în vigoare </w:t>
            </w:r>
          </w:p>
        </w:tc>
        <w:tc>
          <w:tcPr>
            <w:tcW w:w="716" w:type="dxa"/>
            <w:shd w:val="clear" w:color="auto" w:fill="C6EFCE"/>
            <w:noWrap/>
          </w:tcPr>
          <w:p w14:paraId="4E9F07C7" w14:textId="77777777" w:rsidR="00011DE9" w:rsidRDefault="00011DE9">
            <w:pPr>
              <w:pStyle w:val="P68B1DB1-Normal19"/>
              <w:spacing w:after="0"/>
              <w:jc w:val="center"/>
              <w:rPr>
                <w:rFonts w:eastAsia="Times New Roman"/>
                <w:noProof/>
              </w:rPr>
            </w:pPr>
            <w:r>
              <w:rPr>
                <w:noProof/>
              </w:rPr>
              <w:t xml:space="preserve"> </w:t>
            </w:r>
          </w:p>
        </w:tc>
        <w:tc>
          <w:tcPr>
            <w:tcW w:w="774" w:type="dxa"/>
            <w:shd w:val="clear" w:color="auto" w:fill="C6EFCE"/>
            <w:noWrap/>
          </w:tcPr>
          <w:p w14:paraId="45FA44FE" w14:textId="77777777" w:rsidR="00011DE9" w:rsidRDefault="00011DE9">
            <w:pPr>
              <w:pStyle w:val="P68B1DB1-Normal19"/>
              <w:spacing w:after="0"/>
              <w:jc w:val="right"/>
              <w:rPr>
                <w:rFonts w:eastAsia="Times New Roman"/>
                <w:noProof/>
              </w:rPr>
            </w:pPr>
            <w:r>
              <w:rPr>
                <w:noProof/>
              </w:rPr>
              <w:t xml:space="preserve"> </w:t>
            </w:r>
          </w:p>
        </w:tc>
        <w:tc>
          <w:tcPr>
            <w:tcW w:w="475" w:type="dxa"/>
            <w:shd w:val="clear" w:color="auto" w:fill="C6EFCE"/>
            <w:noWrap/>
          </w:tcPr>
          <w:p w14:paraId="2D35AD19" w14:textId="77777777" w:rsidR="00011DE9" w:rsidRDefault="00011DE9">
            <w:pPr>
              <w:pStyle w:val="P68B1DB1-Normal19"/>
              <w:spacing w:after="0"/>
              <w:jc w:val="right"/>
              <w:rPr>
                <w:rFonts w:eastAsia="Times New Roman"/>
                <w:noProof/>
              </w:rPr>
            </w:pPr>
            <w:r>
              <w:rPr>
                <w:noProof/>
              </w:rPr>
              <w:t xml:space="preserve"> </w:t>
            </w:r>
          </w:p>
        </w:tc>
        <w:tc>
          <w:tcPr>
            <w:tcW w:w="407" w:type="dxa"/>
            <w:shd w:val="clear" w:color="auto" w:fill="C6EFCE"/>
            <w:noWrap/>
          </w:tcPr>
          <w:p w14:paraId="7F3E7657" w14:textId="35DE1974" w:rsidR="00011DE9" w:rsidRDefault="003010A3">
            <w:pPr>
              <w:pStyle w:val="P68B1DB1-Normal19"/>
              <w:spacing w:after="0"/>
              <w:jc w:val="center"/>
              <w:rPr>
                <w:rFonts w:eastAsia="Times New Roman"/>
                <w:noProof/>
              </w:rPr>
            </w:pPr>
            <w:r>
              <w:rPr>
                <w:noProof/>
              </w:rPr>
              <w:t>T1</w:t>
            </w:r>
          </w:p>
        </w:tc>
        <w:tc>
          <w:tcPr>
            <w:tcW w:w="542" w:type="dxa"/>
            <w:shd w:val="clear" w:color="auto" w:fill="C6EFCE"/>
            <w:noWrap/>
          </w:tcPr>
          <w:p w14:paraId="1A4ED4C7" w14:textId="77777777" w:rsidR="00011DE9" w:rsidRDefault="00011DE9">
            <w:pPr>
              <w:pStyle w:val="P68B1DB1-Normal19"/>
              <w:spacing w:after="0"/>
              <w:jc w:val="center"/>
              <w:rPr>
                <w:rFonts w:eastAsia="Times New Roman"/>
                <w:noProof/>
              </w:rPr>
            </w:pPr>
            <w:r>
              <w:rPr>
                <w:noProof/>
              </w:rPr>
              <w:t>2023</w:t>
            </w:r>
          </w:p>
        </w:tc>
        <w:tc>
          <w:tcPr>
            <w:tcW w:w="6363" w:type="dxa"/>
            <w:shd w:val="clear" w:color="auto" w:fill="C6EFCE"/>
            <w:noWrap/>
          </w:tcPr>
          <w:p w14:paraId="5D45A2CB" w14:textId="77777777" w:rsidR="00011DE9" w:rsidRDefault="00011DE9">
            <w:pPr>
              <w:pStyle w:val="P68B1DB1-Normal19"/>
              <w:spacing w:after="0" w:line="240" w:lineRule="auto"/>
              <w:rPr>
                <w:rFonts w:eastAsia="Times New Roman"/>
                <w:noProof/>
              </w:rPr>
            </w:pPr>
            <w:r>
              <w:rPr>
                <w:noProof/>
              </w:rPr>
              <w:t>Intrarea în vigoare a reformelor derivate din recomandările Comitetului de experți sau din alte analize ale Ministerului Finanțelor în domeniul impozitării mediului, al impozitării societăților comerciale, al impozitării averii, al impozitării sănătății și al impozitului pe venitul persoanelor fizice pe venitul din capital, care includ, printre altele, intrarea în vigoare a majorărilor taxei pe motorină. Aceste reforme, împreună cu măsurile care introduc limitări privind compensarea bazelor de impozitare negative care nu intră în domeniul de aplicare al planului de redresare și reziliență, sunt estimate, la momentul intrării lor în vigoare, la o creștere permanentă a veniturilor cu cel puțin 0.3 puncte procentuale din PIB.</w:t>
            </w:r>
          </w:p>
        </w:tc>
      </w:tr>
      <w:tr w:rsidR="00011DE9" w14:paraId="3B5E96BC" w14:textId="77777777">
        <w:trPr>
          <w:gridAfter w:val="1"/>
          <w:wAfter w:w="57" w:type="dxa"/>
          <w:trHeight w:val="309"/>
          <w:jc w:val="center"/>
        </w:trPr>
        <w:tc>
          <w:tcPr>
            <w:tcW w:w="958" w:type="dxa"/>
            <w:shd w:val="clear" w:color="auto" w:fill="C6EFCE"/>
            <w:noWrap/>
          </w:tcPr>
          <w:p w14:paraId="6AFD5107" w14:textId="77777777" w:rsidR="00011DE9" w:rsidRDefault="00011DE9">
            <w:pPr>
              <w:pStyle w:val="P68B1DB1-Normal19"/>
              <w:spacing w:after="0"/>
              <w:jc w:val="center"/>
              <w:rPr>
                <w:rFonts w:eastAsia="Times New Roman"/>
                <w:noProof/>
              </w:rPr>
            </w:pPr>
            <w:r>
              <w:rPr>
                <w:noProof/>
              </w:rPr>
              <w:t>389</w:t>
            </w:r>
          </w:p>
        </w:tc>
        <w:tc>
          <w:tcPr>
            <w:tcW w:w="811" w:type="dxa"/>
            <w:shd w:val="clear" w:color="auto" w:fill="C6EFCE"/>
            <w:noWrap/>
          </w:tcPr>
          <w:p w14:paraId="131A782D" w14:textId="77777777" w:rsidR="00011DE9" w:rsidRDefault="00011DE9">
            <w:pPr>
              <w:pStyle w:val="P68B1DB1-Normal19"/>
              <w:spacing w:after="0"/>
              <w:jc w:val="center"/>
              <w:rPr>
                <w:rFonts w:eastAsia="Times New Roman"/>
                <w:noProof/>
              </w:rPr>
            </w:pPr>
            <w:r>
              <w:rPr>
                <w:noProof/>
              </w:rPr>
              <w:t>C28.R4</w:t>
            </w:r>
          </w:p>
        </w:tc>
        <w:tc>
          <w:tcPr>
            <w:tcW w:w="810" w:type="dxa"/>
            <w:shd w:val="clear" w:color="auto" w:fill="C6EFCE"/>
            <w:noWrap/>
          </w:tcPr>
          <w:p w14:paraId="798108EC" w14:textId="77777777" w:rsidR="00011DE9" w:rsidRDefault="00011DE9">
            <w:pPr>
              <w:pStyle w:val="P68B1DB1-Normal19"/>
              <w:spacing w:after="0"/>
              <w:jc w:val="center"/>
              <w:rPr>
                <w:rFonts w:eastAsia="Times New Roman"/>
                <w:noProof/>
              </w:rPr>
            </w:pPr>
            <w:r>
              <w:rPr>
                <w:noProof/>
              </w:rPr>
              <w:t>M</w:t>
            </w:r>
          </w:p>
        </w:tc>
        <w:tc>
          <w:tcPr>
            <w:tcW w:w="2236" w:type="dxa"/>
            <w:shd w:val="clear" w:color="auto" w:fill="C6EFCE"/>
            <w:noWrap/>
          </w:tcPr>
          <w:p w14:paraId="664036E0" w14:textId="77777777" w:rsidR="00011DE9" w:rsidRDefault="00011DE9">
            <w:pPr>
              <w:pStyle w:val="P68B1DB1-Normal19"/>
              <w:spacing w:after="0" w:line="240" w:lineRule="auto"/>
              <w:rPr>
                <w:rFonts w:eastAsia="Times New Roman"/>
                <w:noProof/>
              </w:rPr>
            </w:pPr>
            <w:r>
              <w:rPr>
                <w:noProof/>
              </w:rPr>
              <w:t>Impozite pe materialele plastice de unică folosință și pe deșeuri</w:t>
            </w:r>
          </w:p>
        </w:tc>
        <w:tc>
          <w:tcPr>
            <w:tcW w:w="1276" w:type="dxa"/>
            <w:shd w:val="clear" w:color="auto" w:fill="C6EFCE"/>
            <w:noWrap/>
          </w:tcPr>
          <w:p w14:paraId="48861401" w14:textId="77777777" w:rsidR="00011DE9" w:rsidRDefault="00011DE9">
            <w:pPr>
              <w:pStyle w:val="P68B1DB1-Normal19"/>
              <w:spacing w:after="0"/>
              <w:jc w:val="center"/>
              <w:rPr>
                <w:rFonts w:eastAsia="Times New Roman"/>
                <w:noProof/>
              </w:rPr>
            </w:pPr>
            <w:r>
              <w:rPr>
                <w:noProof/>
              </w:rPr>
              <w:t xml:space="preserve">Dispoziție legală care indică intrarea sa în vigoare </w:t>
            </w:r>
          </w:p>
        </w:tc>
        <w:tc>
          <w:tcPr>
            <w:tcW w:w="716" w:type="dxa"/>
            <w:shd w:val="clear" w:color="auto" w:fill="C6EFCE"/>
            <w:noWrap/>
          </w:tcPr>
          <w:p w14:paraId="5ABA4207" w14:textId="77777777" w:rsidR="00011DE9" w:rsidRDefault="00011DE9">
            <w:pPr>
              <w:pStyle w:val="P68B1DB1-Normal19"/>
              <w:spacing w:after="0"/>
              <w:jc w:val="center"/>
              <w:rPr>
                <w:rFonts w:eastAsia="Times New Roman"/>
                <w:noProof/>
              </w:rPr>
            </w:pPr>
            <w:r>
              <w:rPr>
                <w:noProof/>
              </w:rPr>
              <w:t xml:space="preserve"> </w:t>
            </w:r>
          </w:p>
        </w:tc>
        <w:tc>
          <w:tcPr>
            <w:tcW w:w="774" w:type="dxa"/>
            <w:shd w:val="clear" w:color="auto" w:fill="C6EFCE"/>
            <w:noWrap/>
          </w:tcPr>
          <w:p w14:paraId="3683F450" w14:textId="77777777" w:rsidR="00011DE9" w:rsidRDefault="00011DE9">
            <w:pPr>
              <w:pStyle w:val="P68B1DB1-Normal19"/>
              <w:spacing w:after="0"/>
              <w:jc w:val="right"/>
              <w:rPr>
                <w:rFonts w:eastAsia="Times New Roman"/>
                <w:noProof/>
              </w:rPr>
            </w:pPr>
            <w:r>
              <w:rPr>
                <w:noProof/>
              </w:rPr>
              <w:t xml:space="preserve"> </w:t>
            </w:r>
          </w:p>
        </w:tc>
        <w:tc>
          <w:tcPr>
            <w:tcW w:w="475" w:type="dxa"/>
            <w:shd w:val="clear" w:color="auto" w:fill="C6EFCE"/>
            <w:noWrap/>
          </w:tcPr>
          <w:p w14:paraId="7F407EDF" w14:textId="77777777" w:rsidR="00011DE9" w:rsidRDefault="00011DE9">
            <w:pPr>
              <w:pStyle w:val="P68B1DB1-Normal19"/>
              <w:spacing w:after="0"/>
              <w:jc w:val="right"/>
              <w:rPr>
                <w:rFonts w:eastAsia="Times New Roman"/>
                <w:noProof/>
              </w:rPr>
            </w:pPr>
            <w:r>
              <w:rPr>
                <w:noProof/>
              </w:rPr>
              <w:t xml:space="preserve"> </w:t>
            </w:r>
          </w:p>
        </w:tc>
        <w:tc>
          <w:tcPr>
            <w:tcW w:w="407" w:type="dxa"/>
            <w:shd w:val="clear" w:color="auto" w:fill="C6EFCE"/>
            <w:noWrap/>
          </w:tcPr>
          <w:p w14:paraId="68501ABC" w14:textId="31E97F14" w:rsidR="00011DE9" w:rsidRDefault="005701C9">
            <w:pPr>
              <w:pStyle w:val="P68B1DB1-Normal19"/>
              <w:spacing w:after="0"/>
              <w:jc w:val="center"/>
              <w:rPr>
                <w:rFonts w:eastAsia="Times New Roman"/>
                <w:noProof/>
              </w:rPr>
            </w:pPr>
            <w:r>
              <w:rPr>
                <w:noProof/>
              </w:rPr>
              <w:t>T3</w:t>
            </w:r>
          </w:p>
        </w:tc>
        <w:tc>
          <w:tcPr>
            <w:tcW w:w="542" w:type="dxa"/>
            <w:shd w:val="clear" w:color="auto" w:fill="C6EFCE"/>
            <w:noWrap/>
          </w:tcPr>
          <w:p w14:paraId="641E8386" w14:textId="77777777" w:rsidR="00011DE9" w:rsidRDefault="00011DE9">
            <w:pPr>
              <w:pStyle w:val="P68B1DB1-Normal19"/>
              <w:spacing w:after="0"/>
              <w:jc w:val="center"/>
              <w:rPr>
                <w:rFonts w:eastAsia="Times New Roman"/>
                <w:noProof/>
              </w:rPr>
            </w:pPr>
            <w:r>
              <w:rPr>
                <w:noProof/>
              </w:rPr>
              <w:t>2021</w:t>
            </w:r>
          </w:p>
        </w:tc>
        <w:tc>
          <w:tcPr>
            <w:tcW w:w="6363" w:type="dxa"/>
            <w:shd w:val="clear" w:color="auto" w:fill="C6EFCE"/>
            <w:noWrap/>
          </w:tcPr>
          <w:p w14:paraId="01A894BC" w14:textId="77777777" w:rsidR="00011DE9" w:rsidRDefault="00011DE9">
            <w:pPr>
              <w:pStyle w:val="P68B1DB1-Normal19"/>
              <w:spacing w:after="0"/>
              <w:rPr>
                <w:rFonts w:eastAsia="Times New Roman"/>
                <w:noProof/>
              </w:rPr>
            </w:pPr>
            <w:r>
              <w:rPr>
                <w:noProof/>
              </w:rPr>
              <w:t>Intrarea în vigoare a legii care reglementează taxele pe materialele plastice și depozitarea și incinerarea deșeurilor pentru a promova economia circulară și a reduce utilizarea materialelor plastice de unică folosință.</w:t>
            </w:r>
          </w:p>
        </w:tc>
      </w:tr>
      <w:tr w:rsidR="00011DE9" w14:paraId="29448A11" w14:textId="77777777">
        <w:trPr>
          <w:gridAfter w:val="1"/>
          <w:wAfter w:w="57" w:type="dxa"/>
          <w:trHeight w:val="309"/>
          <w:jc w:val="center"/>
        </w:trPr>
        <w:tc>
          <w:tcPr>
            <w:tcW w:w="958" w:type="dxa"/>
            <w:shd w:val="clear" w:color="auto" w:fill="C6EFCE"/>
            <w:noWrap/>
          </w:tcPr>
          <w:p w14:paraId="36C98B1B" w14:textId="77777777" w:rsidR="00011DE9" w:rsidRDefault="00011DE9">
            <w:pPr>
              <w:pStyle w:val="P68B1DB1-Normal19"/>
              <w:spacing w:after="0"/>
              <w:jc w:val="center"/>
              <w:rPr>
                <w:rFonts w:eastAsia="Times New Roman"/>
                <w:noProof/>
              </w:rPr>
            </w:pPr>
            <w:r>
              <w:rPr>
                <w:noProof/>
              </w:rPr>
              <w:t>390</w:t>
            </w:r>
          </w:p>
        </w:tc>
        <w:tc>
          <w:tcPr>
            <w:tcW w:w="811" w:type="dxa"/>
            <w:shd w:val="clear" w:color="auto" w:fill="C6EFCE"/>
            <w:noWrap/>
          </w:tcPr>
          <w:p w14:paraId="6CEA63D2" w14:textId="77777777" w:rsidR="00011DE9" w:rsidRDefault="00011DE9">
            <w:pPr>
              <w:pStyle w:val="P68B1DB1-Normal19"/>
              <w:spacing w:after="0"/>
              <w:jc w:val="center"/>
              <w:rPr>
                <w:rFonts w:eastAsia="Times New Roman"/>
                <w:noProof/>
              </w:rPr>
            </w:pPr>
            <w:r>
              <w:rPr>
                <w:noProof/>
              </w:rPr>
              <w:t>C28.R4</w:t>
            </w:r>
          </w:p>
        </w:tc>
        <w:tc>
          <w:tcPr>
            <w:tcW w:w="810" w:type="dxa"/>
            <w:shd w:val="clear" w:color="auto" w:fill="C6EFCE"/>
            <w:noWrap/>
          </w:tcPr>
          <w:p w14:paraId="77046765" w14:textId="77777777" w:rsidR="00011DE9" w:rsidRDefault="00011DE9">
            <w:pPr>
              <w:pStyle w:val="P68B1DB1-Normal19"/>
              <w:spacing w:after="0"/>
              <w:jc w:val="center"/>
              <w:rPr>
                <w:rFonts w:eastAsia="Times New Roman"/>
                <w:noProof/>
              </w:rPr>
            </w:pPr>
            <w:r>
              <w:rPr>
                <w:noProof/>
              </w:rPr>
              <w:t>M</w:t>
            </w:r>
          </w:p>
        </w:tc>
        <w:tc>
          <w:tcPr>
            <w:tcW w:w="2236" w:type="dxa"/>
            <w:shd w:val="clear" w:color="auto" w:fill="C6EFCE"/>
            <w:noWrap/>
          </w:tcPr>
          <w:p w14:paraId="7EFF947C" w14:textId="77777777" w:rsidR="00011DE9" w:rsidRDefault="00011DE9">
            <w:pPr>
              <w:pStyle w:val="P68B1DB1-Normal19"/>
              <w:spacing w:after="0"/>
              <w:rPr>
                <w:rFonts w:eastAsia="Times New Roman"/>
                <w:noProof/>
              </w:rPr>
            </w:pPr>
            <w:r>
              <w:rPr>
                <w:noProof/>
              </w:rPr>
              <w:t>Analiza taxei de înmatriculare a vehiculelor și a taxei de trafic</w:t>
            </w:r>
          </w:p>
        </w:tc>
        <w:tc>
          <w:tcPr>
            <w:tcW w:w="1276" w:type="dxa"/>
            <w:shd w:val="clear" w:color="auto" w:fill="C6EFCE"/>
            <w:noWrap/>
          </w:tcPr>
          <w:p w14:paraId="2DF0508F" w14:textId="77777777" w:rsidR="00011DE9" w:rsidRDefault="00011DE9">
            <w:pPr>
              <w:pStyle w:val="P68B1DB1-Normal19"/>
              <w:spacing w:after="0"/>
              <w:jc w:val="center"/>
              <w:rPr>
                <w:rFonts w:eastAsia="Times New Roman"/>
                <w:noProof/>
              </w:rPr>
            </w:pPr>
            <w:r>
              <w:rPr>
                <w:noProof/>
              </w:rPr>
              <w:t>Publicarea pe pagina web</w:t>
            </w:r>
          </w:p>
        </w:tc>
        <w:tc>
          <w:tcPr>
            <w:tcW w:w="716" w:type="dxa"/>
            <w:shd w:val="clear" w:color="auto" w:fill="C6EFCE"/>
            <w:noWrap/>
          </w:tcPr>
          <w:p w14:paraId="774F4CFF" w14:textId="77777777" w:rsidR="00011DE9" w:rsidRDefault="00011DE9">
            <w:pPr>
              <w:pStyle w:val="P68B1DB1-Normal19"/>
              <w:spacing w:after="0"/>
              <w:jc w:val="center"/>
              <w:rPr>
                <w:rFonts w:eastAsia="Times New Roman"/>
                <w:noProof/>
              </w:rPr>
            </w:pPr>
            <w:r>
              <w:rPr>
                <w:noProof/>
              </w:rPr>
              <w:t xml:space="preserve"> </w:t>
            </w:r>
          </w:p>
        </w:tc>
        <w:tc>
          <w:tcPr>
            <w:tcW w:w="774" w:type="dxa"/>
            <w:shd w:val="clear" w:color="auto" w:fill="C6EFCE"/>
            <w:noWrap/>
          </w:tcPr>
          <w:p w14:paraId="3849C4AE" w14:textId="77777777" w:rsidR="00011DE9" w:rsidRDefault="00011DE9">
            <w:pPr>
              <w:pStyle w:val="P68B1DB1-Normal19"/>
              <w:spacing w:after="0"/>
              <w:jc w:val="right"/>
              <w:rPr>
                <w:rFonts w:eastAsia="Times New Roman"/>
                <w:noProof/>
              </w:rPr>
            </w:pPr>
            <w:r>
              <w:rPr>
                <w:noProof/>
              </w:rPr>
              <w:t xml:space="preserve"> </w:t>
            </w:r>
          </w:p>
        </w:tc>
        <w:tc>
          <w:tcPr>
            <w:tcW w:w="475" w:type="dxa"/>
            <w:shd w:val="clear" w:color="auto" w:fill="C6EFCE"/>
            <w:noWrap/>
          </w:tcPr>
          <w:p w14:paraId="010B0C60" w14:textId="77777777" w:rsidR="00011DE9" w:rsidRDefault="00011DE9">
            <w:pPr>
              <w:pStyle w:val="P68B1DB1-Normal19"/>
              <w:spacing w:after="0"/>
              <w:jc w:val="right"/>
              <w:rPr>
                <w:rFonts w:eastAsia="Times New Roman"/>
                <w:noProof/>
              </w:rPr>
            </w:pPr>
            <w:r>
              <w:rPr>
                <w:noProof/>
              </w:rPr>
              <w:t xml:space="preserve"> </w:t>
            </w:r>
          </w:p>
        </w:tc>
        <w:tc>
          <w:tcPr>
            <w:tcW w:w="407" w:type="dxa"/>
            <w:shd w:val="clear" w:color="auto" w:fill="C6EFCE"/>
            <w:noWrap/>
          </w:tcPr>
          <w:p w14:paraId="1FE66517" w14:textId="5AE67474" w:rsidR="00011DE9" w:rsidRDefault="003010A3">
            <w:pPr>
              <w:pStyle w:val="P68B1DB1-Normal19"/>
              <w:spacing w:after="0"/>
              <w:jc w:val="center"/>
              <w:rPr>
                <w:rFonts w:eastAsia="Times New Roman"/>
                <w:noProof/>
              </w:rPr>
            </w:pPr>
            <w:r>
              <w:rPr>
                <w:noProof/>
              </w:rPr>
              <w:t>T1</w:t>
            </w:r>
          </w:p>
        </w:tc>
        <w:tc>
          <w:tcPr>
            <w:tcW w:w="542" w:type="dxa"/>
            <w:shd w:val="clear" w:color="auto" w:fill="C6EFCE"/>
            <w:noWrap/>
          </w:tcPr>
          <w:p w14:paraId="64C0EF42" w14:textId="77777777" w:rsidR="00011DE9" w:rsidRDefault="00011DE9">
            <w:pPr>
              <w:pStyle w:val="P68B1DB1-Normal19"/>
              <w:spacing w:after="0"/>
              <w:jc w:val="center"/>
              <w:rPr>
                <w:rFonts w:eastAsia="Times New Roman"/>
                <w:noProof/>
              </w:rPr>
            </w:pPr>
            <w:r>
              <w:rPr>
                <w:noProof/>
              </w:rPr>
              <w:t>2022</w:t>
            </w:r>
          </w:p>
        </w:tc>
        <w:tc>
          <w:tcPr>
            <w:tcW w:w="6363" w:type="dxa"/>
            <w:shd w:val="clear" w:color="auto" w:fill="C6EFCE"/>
            <w:noWrap/>
          </w:tcPr>
          <w:p w14:paraId="58A79C64" w14:textId="77777777" w:rsidR="00011DE9" w:rsidRDefault="00011DE9">
            <w:pPr>
              <w:pStyle w:val="P68B1DB1-Normal19"/>
              <w:spacing w:after="0"/>
              <w:rPr>
                <w:noProof/>
              </w:rPr>
            </w:pPr>
            <w:r>
              <w:rPr>
                <w:noProof/>
              </w:rPr>
              <w:t>Reforma prevede o analiză a taxei de înmatriculare a vehiculelor, a taxei de trafic sau a plăților, cum ar fi taxele rutiere. Pe baza acestei analize, se are în vedere o revizuire a legii pentru a promova un transport rutier mai durabil și pentru a reduce emisiile de GES.</w:t>
            </w:r>
          </w:p>
          <w:p w14:paraId="31278F95" w14:textId="77777777" w:rsidR="00011DE9" w:rsidRDefault="00011DE9">
            <w:pPr>
              <w:spacing w:after="0"/>
              <w:rPr>
                <w:rFonts w:ascii="Times New Roman" w:hAnsi="Times New Roman"/>
                <w:noProof/>
                <w:sz w:val="18"/>
              </w:rPr>
            </w:pPr>
          </w:p>
          <w:p w14:paraId="55BC0625" w14:textId="77777777" w:rsidR="00011DE9" w:rsidRDefault="00011DE9">
            <w:pPr>
              <w:pStyle w:val="P68B1DB1-Normal22"/>
              <w:spacing w:after="0"/>
              <w:rPr>
                <w:noProof/>
              </w:rPr>
            </w:pPr>
            <w:r>
              <w:rPr>
                <w:noProof/>
              </w:rPr>
              <w:t>În conformitate cu descrierea jalonului, analiza identifică dispozițiile specifice ale legii care sunt considerate ca necesitând modificări în lumina analizei.</w:t>
            </w:r>
          </w:p>
        </w:tc>
      </w:tr>
      <w:tr w:rsidR="00011DE9" w14:paraId="47186EE1" w14:textId="77777777">
        <w:trPr>
          <w:gridAfter w:val="1"/>
          <w:wAfter w:w="57" w:type="dxa"/>
          <w:trHeight w:val="309"/>
          <w:jc w:val="center"/>
        </w:trPr>
        <w:tc>
          <w:tcPr>
            <w:tcW w:w="958" w:type="dxa"/>
            <w:tcBorders>
              <w:bottom w:val="single" w:sz="4" w:space="0" w:color="auto"/>
            </w:tcBorders>
            <w:shd w:val="clear" w:color="auto" w:fill="C6EFCE"/>
            <w:noWrap/>
          </w:tcPr>
          <w:p w14:paraId="457172BC" w14:textId="77777777" w:rsidR="00011DE9" w:rsidRDefault="00011DE9">
            <w:pPr>
              <w:pStyle w:val="P68B1DB1-Normal19"/>
              <w:spacing w:after="0"/>
              <w:jc w:val="center"/>
              <w:rPr>
                <w:rFonts w:eastAsia="Times New Roman"/>
                <w:noProof/>
              </w:rPr>
            </w:pPr>
            <w:r>
              <w:rPr>
                <w:noProof/>
              </w:rPr>
              <w:t>391</w:t>
            </w:r>
          </w:p>
        </w:tc>
        <w:tc>
          <w:tcPr>
            <w:tcW w:w="811" w:type="dxa"/>
            <w:tcBorders>
              <w:bottom w:val="single" w:sz="4" w:space="0" w:color="auto"/>
            </w:tcBorders>
            <w:shd w:val="clear" w:color="auto" w:fill="C6EFCE"/>
            <w:noWrap/>
          </w:tcPr>
          <w:p w14:paraId="2C4B77DB" w14:textId="77777777" w:rsidR="00011DE9" w:rsidRDefault="00011DE9">
            <w:pPr>
              <w:pStyle w:val="P68B1DB1-Normal19"/>
              <w:spacing w:after="0"/>
              <w:jc w:val="center"/>
              <w:rPr>
                <w:rFonts w:eastAsia="Times New Roman"/>
                <w:noProof/>
              </w:rPr>
            </w:pPr>
            <w:r>
              <w:rPr>
                <w:noProof/>
              </w:rPr>
              <w:t>C28.R4</w:t>
            </w:r>
          </w:p>
        </w:tc>
        <w:tc>
          <w:tcPr>
            <w:tcW w:w="810" w:type="dxa"/>
            <w:tcBorders>
              <w:bottom w:val="single" w:sz="4" w:space="0" w:color="auto"/>
            </w:tcBorders>
            <w:shd w:val="clear" w:color="auto" w:fill="C6EFCE"/>
            <w:noWrap/>
          </w:tcPr>
          <w:p w14:paraId="6641D310" w14:textId="77777777" w:rsidR="00011DE9" w:rsidRDefault="00011DE9">
            <w:pPr>
              <w:pStyle w:val="P68B1DB1-Normal19"/>
              <w:spacing w:after="0"/>
              <w:jc w:val="center"/>
              <w:rPr>
                <w:rFonts w:eastAsia="Times New Roman"/>
                <w:noProof/>
              </w:rPr>
            </w:pPr>
            <w:r>
              <w:rPr>
                <w:noProof/>
              </w:rPr>
              <w:t>M</w:t>
            </w:r>
          </w:p>
        </w:tc>
        <w:tc>
          <w:tcPr>
            <w:tcW w:w="2236" w:type="dxa"/>
            <w:tcBorders>
              <w:bottom w:val="single" w:sz="4" w:space="0" w:color="auto"/>
            </w:tcBorders>
            <w:shd w:val="clear" w:color="auto" w:fill="C6EFCE"/>
            <w:noWrap/>
          </w:tcPr>
          <w:p w14:paraId="064B0A19" w14:textId="77777777" w:rsidR="00011DE9" w:rsidRDefault="00011DE9">
            <w:pPr>
              <w:pStyle w:val="P68B1DB1-Normal19"/>
              <w:spacing w:after="0"/>
              <w:rPr>
                <w:rFonts w:eastAsia="Times New Roman"/>
                <w:noProof/>
              </w:rPr>
            </w:pPr>
            <w:r>
              <w:rPr>
                <w:noProof/>
              </w:rPr>
              <w:t xml:space="preserve">Intrarea în vigoare a reformei taxei pe gazele fluorurate </w:t>
            </w:r>
          </w:p>
        </w:tc>
        <w:tc>
          <w:tcPr>
            <w:tcW w:w="1276" w:type="dxa"/>
            <w:tcBorders>
              <w:bottom w:val="single" w:sz="4" w:space="0" w:color="auto"/>
            </w:tcBorders>
            <w:shd w:val="clear" w:color="auto" w:fill="C6EFCE"/>
            <w:noWrap/>
          </w:tcPr>
          <w:p w14:paraId="07CF092C" w14:textId="77777777" w:rsidR="00011DE9" w:rsidRDefault="00011DE9">
            <w:pPr>
              <w:pStyle w:val="P68B1DB1-Normal19"/>
              <w:spacing w:after="0"/>
              <w:jc w:val="center"/>
              <w:rPr>
                <w:rFonts w:eastAsia="Times New Roman"/>
                <w:noProof/>
              </w:rPr>
            </w:pPr>
            <w:r>
              <w:rPr>
                <w:noProof/>
              </w:rPr>
              <w:t xml:space="preserve">Dispoziție legală care indică intrarea sa în vigoare </w:t>
            </w:r>
          </w:p>
        </w:tc>
        <w:tc>
          <w:tcPr>
            <w:tcW w:w="716" w:type="dxa"/>
            <w:tcBorders>
              <w:bottom w:val="single" w:sz="4" w:space="0" w:color="auto"/>
            </w:tcBorders>
            <w:shd w:val="clear" w:color="auto" w:fill="C6EFCE"/>
            <w:noWrap/>
          </w:tcPr>
          <w:p w14:paraId="2C9F9748" w14:textId="77777777" w:rsidR="00011DE9" w:rsidRDefault="00011DE9">
            <w:pPr>
              <w:pStyle w:val="P68B1DB1-Normal19"/>
              <w:spacing w:after="0"/>
              <w:jc w:val="center"/>
              <w:rPr>
                <w:rFonts w:eastAsia="Times New Roman"/>
                <w:noProof/>
              </w:rPr>
            </w:pPr>
            <w:r>
              <w:rPr>
                <w:noProof/>
              </w:rPr>
              <w:t xml:space="preserve"> </w:t>
            </w:r>
          </w:p>
        </w:tc>
        <w:tc>
          <w:tcPr>
            <w:tcW w:w="774" w:type="dxa"/>
            <w:tcBorders>
              <w:bottom w:val="single" w:sz="4" w:space="0" w:color="auto"/>
            </w:tcBorders>
            <w:shd w:val="clear" w:color="auto" w:fill="C6EFCE"/>
            <w:noWrap/>
          </w:tcPr>
          <w:p w14:paraId="017B64C6" w14:textId="77777777" w:rsidR="00011DE9" w:rsidRDefault="00011DE9">
            <w:pPr>
              <w:pStyle w:val="P68B1DB1-Normal19"/>
              <w:spacing w:after="0"/>
              <w:jc w:val="right"/>
              <w:rPr>
                <w:rFonts w:eastAsia="Times New Roman"/>
                <w:noProof/>
              </w:rPr>
            </w:pPr>
            <w:r>
              <w:rPr>
                <w:noProof/>
              </w:rPr>
              <w:t xml:space="preserve"> </w:t>
            </w:r>
          </w:p>
        </w:tc>
        <w:tc>
          <w:tcPr>
            <w:tcW w:w="475" w:type="dxa"/>
            <w:tcBorders>
              <w:bottom w:val="single" w:sz="4" w:space="0" w:color="auto"/>
            </w:tcBorders>
            <w:shd w:val="clear" w:color="auto" w:fill="C6EFCE"/>
            <w:noWrap/>
          </w:tcPr>
          <w:p w14:paraId="75D5BB92" w14:textId="77777777" w:rsidR="00011DE9" w:rsidRDefault="00011DE9">
            <w:pPr>
              <w:pStyle w:val="P68B1DB1-Normal19"/>
              <w:spacing w:after="0"/>
              <w:rPr>
                <w:rFonts w:eastAsia="Times New Roman"/>
                <w:noProof/>
              </w:rPr>
            </w:pPr>
            <w:r>
              <w:rPr>
                <w:noProof/>
              </w:rPr>
              <w:t xml:space="preserve"> </w:t>
            </w:r>
          </w:p>
        </w:tc>
        <w:tc>
          <w:tcPr>
            <w:tcW w:w="407" w:type="dxa"/>
            <w:tcBorders>
              <w:bottom w:val="single" w:sz="4" w:space="0" w:color="auto"/>
            </w:tcBorders>
            <w:shd w:val="clear" w:color="auto" w:fill="C6EFCE"/>
            <w:noWrap/>
          </w:tcPr>
          <w:p w14:paraId="2389C05C" w14:textId="0C39213E" w:rsidR="00011DE9" w:rsidRDefault="005701C9">
            <w:pPr>
              <w:pStyle w:val="P68B1DB1-Normal19"/>
              <w:spacing w:after="0"/>
              <w:jc w:val="center"/>
              <w:rPr>
                <w:rFonts w:eastAsia="Times New Roman"/>
                <w:noProof/>
              </w:rPr>
            </w:pPr>
            <w:r>
              <w:rPr>
                <w:noProof/>
              </w:rPr>
              <w:t>T2</w:t>
            </w:r>
          </w:p>
        </w:tc>
        <w:tc>
          <w:tcPr>
            <w:tcW w:w="542" w:type="dxa"/>
            <w:tcBorders>
              <w:bottom w:val="single" w:sz="4" w:space="0" w:color="auto"/>
            </w:tcBorders>
            <w:shd w:val="clear" w:color="auto" w:fill="C6EFCE"/>
            <w:noWrap/>
          </w:tcPr>
          <w:p w14:paraId="76A55339" w14:textId="77777777" w:rsidR="00011DE9" w:rsidRDefault="00011DE9">
            <w:pPr>
              <w:pStyle w:val="P68B1DB1-Normal19"/>
              <w:spacing w:after="0"/>
              <w:jc w:val="center"/>
              <w:rPr>
                <w:rFonts w:eastAsia="Times New Roman"/>
                <w:noProof/>
              </w:rPr>
            </w:pPr>
            <w:r>
              <w:rPr>
                <w:noProof/>
              </w:rPr>
              <w:t>2022</w:t>
            </w:r>
          </w:p>
        </w:tc>
        <w:tc>
          <w:tcPr>
            <w:tcW w:w="6363" w:type="dxa"/>
            <w:tcBorders>
              <w:bottom w:val="single" w:sz="4" w:space="0" w:color="auto"/>
            </w:tcBorders>
            <w:shd w:val="clear" w:color="auto" w:fill="C6EFCE"/>
            <w:noWrap/>
          </w:tcPr>
          <w:p w14:paraId="3F76AEB0" w14:textId="77777777" w:rsidR="00011DE9" w:rsidRDefault="00011DE9">
            <w:pPr>
              <w:pStyle w:val="P68B1DB1-Normal19"/>
              <w:spacing w:after="0"/>
              <w:rPr>
                <w:rFonts w:eastAsia="Times New Roman"/>
                <w:noProof/>
              </w:rPr>
            </w:pPr>
            <w:r>
              <w:rPr>
                <w:noProof/>
              </w:rPr>
              <w:t xml:space="preserve">Intrarea în vigoare a reformei taxei pe gazele fluorurate pentru a descuraja utilizarea acestora și a reduce evaziunea fiscală. </w:t>
            </w:r>
          </w:p>
        </w:tc>
      </w:tr>
      <w:tr w:rsidR="00011DE9" w14:paraId="368C5F2D" w14:textId="77777777">
        <w:trPr>
          <w:gridAfter w:val="1"/>
          <w:wAfter w:w="57" w:type="dxa"/>
          <w:trHeight w:val="309"/>
          <w:jc w:val="center"/>
        </w:trPr>
        <w:tc>
          <w:tcPr>
            <w:tcW w:w="958" w:type="dxa"/>
            <w:tcBorders>
              <w:bottom w:val="single" w:sz="4" w:space="0" w:color="auto"/>
            </w:tcBorders>
            <w:shd w:val="clear" w:color="auto" w:fill="C6EFCE"/>
            <w:noWrap/>
          </w:tcPr>
          <w:p w14:paraId="0F627885" w14:textId="77777777" w:rsidR="00011DE9" w:rsidRDefault="00011DE9">
            <w:pPr>
              <w:pStyle w:val="P68B1DB1-Normal19"/>
              <w:spacing w:after="0"/>
              <w:jc w:val="center"/>
              <w:rPr>
                <w:rFonts w:eastAsia="Times New Roman"/>
                <w:noProof/>
              </w:rPr>
            </w:pPr>
            <w:r>
              <w:rPr>
                <w:noProof/>
              </w:rPr>
              <w:t>392</w:t>
            </w:r>
          </w:p>
        </w:tc>
        <w:tc>
          <w:tcPr>
            <w:tcW w:w="811" w:type="dxa"/>
            <w:tcBorders>
              <w:bottom w:val="single" w:sz="4" w:space="0" w:color="auto"/>
            </w:tcBorders>
            <w:shd w:val="clear" w:color="auto" w:fill="C6EFCE"/>
            <w:noWrap/>
          </w:tcPr>
          <w:p w14:paraId="4FB6446E" w14:textId="77777777" w:rsidR="00011DE9" w:rsidRDefault="00011DE9">
            <w:pPr>
              <w:pStyle w:val="P68B1DB1-Normal19"/>
              <w:spacing w:after="0"/>
              <w:jc w:val="center"/>
              <w:rPr>
                <w:rFonts w:eastAsia="Times New Roman"/>
                <w:noProof/>
              </w:rPr>
            </w:pPr>
            <w:r>
              <w:rPr>
                <w:noProof/>
              </w:rPr>
              <w:t>C28.R5</w:t>
            </w:r>
          </w:p>
        </w:tc>
        <w:tc>
          <w:tcPr>
            <w:tcW w:w="810" w:type="dxa"/>
            <w:tcBorders>
              <w:bottom w:val="single" w:sz="4" w:space="0" w:color="auto"/>
            </w:tcBorders>
            <w:shd w:val="clear" w:color="auto" w:fill="C6EFCE"/>
            <w:noWrap/>
          </w:tcPr>
          <w:p w14:paraId="1E6C200E" w14:textId="77777777" w:rsidR="00011DE9" w:rsidRDefault="00011DE9">
            <w:pPr>
              <w:pStyle w:val="P68B1DB1-Normal19"/>
              <w:spacing w:after="0"/>
              <w:jc w:val="center"/>
              <w:rPr>
                <w:rFonts w:eastAsia="Times New Roman"/>
                <w:noProof/>
              </w:rPr>
            </w:pPr>
            <w:r>
              <w:rPr>
                <w:noProof/>
              </w:rPr>
              <w:t>M</w:t>
            </w:r>
          </w:p>
        </w:tc>
        <w:tc>
          <w:tcPr>
            <w:tcW w:w="2236" w:type="dxa"/>
            <w:tcBorders>
              <w:bottom w:val="single" w:sz="4" w:space="0" w:color="auto"/>
            </w:tcBorders>
            <w:shd w:val="clear" w:color="auto" w:fill="C6EFCE"/>
            <w:noWrap/>
          </w:tcPr>
          <w:p w14:paraId="351688BC" w14:textId="77777777" w:rsidR="00011DE9" w:rsidRDefault="00011DE9">
            <w:pPr>
              <w:pStyle w:val="P68B1DB1-Normal19"/>
              <w:spacing w:after="0"/>
              <w:rPr>
                <w:rFonts w:eastAsia="Times New Roman"/>
                <w:noProof/>
              </w:rPr>
            </w:pPr>
            <w:r>
              <w:rPr>
                <w:noProof/>
              </w:rPr>
              <w:t>Impozitarea serviciilor digitale</w:t>
            </w:r>
          </w:p>
        </w:tc>
        <w:tc>
          <w:tcPr>
            <w:tcW w:w="1276" w:type="dxa"/>
            <w:tcBorders>
              <w:bottom w:val="single" w:sz="4" w:space="0" w:color="auto"/>
            </w:tcBorders>
            <w:shd w:val="clear" w:color="auto" w:fill="C6EFCE"/>
            <w:noWrap/>
          </w:tcPr>
          <w:p w14:paraId="3C88715C" w14:textId="77777777" w:rsidR="00011DE9" w:rsidRDefault="00011DE9">
            <w:pPr>
              <w:pStyle w:val="P68B1DB1-Normal19"/>
              <w:spacing w:after="0"/>
              <w:jc w:val="center"/>
              <w:rPr>
                <w:rFonts w:eastAsia="Times New Roman"/>
                <w:noProof/>
              </w:rPr>
            </w:pPr>
            <w:r>
              <w:rPr>
                <w:noProof/>
              </w:rPr>
              <w:t xml:space="preserve">Dispoziție legală care indică intrarea sa în vigoare </w:t>
            </w:r>
          </w:p>
        </w:tc>
        <w:tc>
          <w:tcPr>
            <w:tcW w:w="716" w:type="dxa"/>
            <w:tcBorders>
              <w:bottom w:val="single" w:sz="4" w:space="0" w:color="auto"/>
            </w:tcBorders>
            <w:shd w:val="clear" w:color="auto" w:fill="C6EFCE"/>
            <w:noWrap/>
          </w:tcPr>
          <w:p w14:paraId="5971A0D3" w14:textId="77777777" w:rsidR="00011DE9" w:rsidRDefault="00011DE9">
            <w:pPr>
              <w:pStyle w:val="P68B1DB1-Normal19"/>
              <w:spacing w:after="0"/>
              <w:jc w:val="center"/>
              <w:rPr>
                <w:rFonts w:eastAsia="Times New Roman"/>
                <w:noProof/>
              </w:rPr>
            </w:pPr>
            <w:r>
              <w:rPr>
                <w:noProof/>
              </w:rPr>
              <w:t xml:space="preserve"> </w:t>
            </w:r>
          </w:p>
        </w:tc>
        <w:tc>
          <w:tcPr>
            <w:tcW w:w="774" w:type="dxa"/>
            <w:tcBorders>
              <w:bottom w:val="single" w:sz="4" w:space="0" w:color="auto"/>
            </w:tcBorders>
            <w:shd w:val="clear" w:color="auto" w:fill="C6EFCE"/>
            <w:noWrap/>
          </w:tcPr>
          <w:p w14:paraId="7733A6A6" w14:textId="77777777" w:rsidR="00011DE9" w:rsidRDefault="00011DE9">
            <w:pPr>
              <w:pStyle w:val="P68B1DB1-Normal19"/>
              <w:spacing w:after="0"/>
              <w:jc w:val="right"/>
              <w:rPr>
                <w:rFonts w:eastAsia="Times New Roman"/>
                <w:noProof/>
              </w:rPr>
            </w:pPr>
            <w:r>
              <w:rPr>
                <w:noProof/>
              </w:rPr>
              <w:t xml:space="preserve"> </w:t>
            </w:r>
          </w:p>
        </w:tc>
        <w:tc>
          <w:tcPr>
            <w:tcW w:w="475" w:type="dxa"/>
            <w:tcBorders>
              <w:bottom w:val="single" w:sz="4" w:space="0" w:color="auto"/>
            </w:tcBorders>
            <w:shd w:val="clear" w:color="auto" w:fill="C6EFCE"/>
            <w:noWrap/>
          </w:tcPr>
          <w:p w14:paraId="138D3301" w14:textId="77777777" w:rsidR="00011DE9" w:rsidRDefault="00011DE9">
            <w:pPr>
              <w:pStyle w:val="P68B1DB1-Normal19"/>
              <w:spacing w:after="0"/>
              <w:jc w:val="right"/>
              <w:rPr>
                <w:rFonts w:eastAsia="Times New Roman"/>
                <w:noProof/>
              </w:rPr>
            </w:pPr>
            <w:r>
              <w:rPr>
                <w:noProof/>
              </w:rPr>
              <w:t xml:space="preserve"> </w:t>
            </w:r>
          </w:p>
        </w:tc>
        <w:tc>
          <w:tcPr>
            <w:tcW w:w="407" w:type="dxa"/>
            <w:tcBorders>
              <w:bottom w:val="single" w:sz="4" w:space="0" w:color="auto"/>
            </w:tcBorders>
            <w:shd w:val="clear" w:color="auto" w:fill="C6EFCE"/>
            <w:noWrap/>
          </w:tcPr>
          <w:p w14:paraId="2AEA7B37" w14:textId="001A96A5" w:rsidR="00011DE9" w:rsidRDefault="003010A3">
            <w:pPr>
              <w:pStyle w:val="P68B1DB1-Normal19"/>
              <w:spacing w:after="0"/>
              <w:jc w:val="center"/>
              <w:rPr>
                <w:rFonts w:eastAsia="Times New Roman"/>
                <w:noProof/>
              </w:rPr>
            </w:pPr>
            <w:r>
              <w:rPr>
                <w:noProof/>
              </w:rPr>
              <w:t>T1</w:t>
            </w:r>
          </w:p>
        </w:tc>
        <w:tc>
          <w:tcPr>
            <w:tcW w:w="542" w:type="dxa"/>
            <w:tcBorders>
              <w:bottom w:val="single" w:sz="4" w:space="0" w:color="auto"/>
            </w:tcBorders>
            <w:shd w:val="clear" w:color="auto" w:fill="C6EFCE"/>
            <w:noWrap/>
          </w:tcPr>
          <w:p w14:paraId="0085BC42" w14:textId="77777777" w:rsidR="00011DE9" w:rsidRDefault="00011DE9">
            <w:pPr>
              <w:pStyle w:val="P68B1DB1-Normal19"/>
              <w:spacing w:after="0"/>
              <w:jc w:val="center"/>
              <w:rPr>
                <w:rFonts w:eastAsia="Times New Roman"/>
                <w:noProof/>
              </w:rPr>
            </w:pPr>
            <w:r>
              <w:rPr>
                <w:noProof/>
              </w:rPr>
              <w:t>2021</w:t>
            </w:r>
          </w:p>
        </w:tc>
        <w:tc>
          <w:tcPr>
            <w:tcW w:w="6363" w:type="dxa"/>
            <w:tcBorders>
              <w:bottom w:val="single" w:sz="4" w:space="0" w:color="auto"/>
            </w:tcBorders>
            <w:shd w:val="clear" w:color="auto" w:fill="C6EFCE"/>
            <w:noWrap/>
          </w:tcPr>
          <w:p w14:paraId="2593EA33" w14:textId="77777777" w:rsidR="00011DE9" w:rsidRDefault="00011DE9">
            <w:pPr>
              <w:pStyle w:val="P68B1DB1-Normal19"/>
              <w:spacing w:after="0"/>
              <w:rPr>
                <w:rFonts w:eastAsia="Times New Roman"/>
                <w:noProof/>
              </w:rPr>
            </w:pPr>
            <w:r>
              <w:rPr>
                <w:noProof/>
              </w:rPr>
              <w:t>Intrarea în vigoare a Legii privind anumite impozite pe serviciile digitale (</w:t>
            </w:r>
            <w:r>
              <w:rPr>
                <w:i/>
                <w:noProof/>
              </w:rPr>
              <w:t>Ley 4/2020, de 15 de octubre, del Impuesto sobre Determinados Servicios Digitales</w:t>
            </w:r>
            <w:r>
              <w:rPr>
                <w:noProof/>
              </w:rPr>
              <w:t>) pentru a genera noi surse de venituri pentru guvern, bazate pe sectoarele de afaceri emergente, dezvoltând în același timp sistemul fiscal într-un mod coerent și, după caz, în contextul internațional.</w:t>
            </w:r>
          </w:p>
        </w:tc>
      </w:tr>
      <w:tr w:rsidR="00011DE9" w14:paraId="60CF15A8" w14:textId="77777777">
        <w:trPr>
          <w:gridAfter w:val="1"/>
          <w:wAfter w:w="57" w:type="dxa"/>
          <w:trHeight w:val="309"/>
          <w:jc w:val="center"/>
        </w:trPr>
        <w:tc>
          <w:tcPr>
            <w:tcW w:w="958" w:type="dxa"/>
            <w:tcBorders>
              <w:top w:val="single" w:sz="4" w:space="0" w:color="auto"/>
            </w:tcBorders>
            <w:shd w:val="clear" w:color="auto" w:fill="C6EFCE"/>
            <w:noWrap/>
          </w:tcPr>
          <w:p w14:paraId="422C0C9D" w14:textId="77777777" w:rsidR="00011DE9" w:rsidRDefault="00011DE9">
            <w:pPr>
              <w:pStyle w:val="P68B1DB1-Normal19"/>
              <w:spacing w:after="0"/>
              <w:jc w:val="center"/>
              <w:rPr>
                <w:rFonts w:eastAsia="Times New Roman"/>
                <w:noProof/>
              </w:rPr>
            </w:pPr>
            <w:r>
              <w:rPr>
                <w:noProof/>
              </w:rPr>
              <w:t>393</w:t>
            </w:r>
          </w:p>
        </w:tc>
        <w:tc>
          <w:tcPr>
            <w:tcW w:w="811" w:type="dxa"/>
            <w:tcBorders>
              <w:top w:val="single" w:sz="4" w:space="0" w:color="auto"/>
            </w:tcBorders>
            <w:shd w:val="clear" w:color="auto" w:fill="C6EFCE"/>
            <w:noWrap/>
          </w:tcPr>
          <w:p w14:paraId="2EECBB4D" w14:textId="77777777" w:rsidR="00011DE9" w:rsidRDefault="00011DE9">
            <w:pPr>
              <w:pStyle w:val="P68B1DB1-Normal19"/>
              <w:spacing w:after="0"/>
              <w:jc w:val="center"/>
              <w:rPr>
                <w:rFonts w:eastAsia="Times New Roman"/>
                <w:noProof/>
              </w:rPr>
            </w:pPr>
            <w:r>
              <w:rPr>
                <w:noProof/>
              </w:rPr>
              <w:t>C28.R6</w:t>
            </w:r>
          </w:p>
        </w:tc>
        <w:tc>
          <w:tcPr>
            <w:tcW w:w="810" w:type="dxa"/>
            <w:tcBorders>
              <w:top w:val="single" w:sz="4" w:space="0" w:color="auto"/>
            </w:tcBorders>
            <w:shd w:val="clear" w:color="auto" w:fill="C6EFCE"/>
            <w:noWrap/>
          </w:tcPr>
          <w:p w14:paraId="4ADA51C3" w14:textId="77777777" w:rsidR="00011DE9" w:rsidRDefault="00011DE9">
            <w:pPr>
              <w:pStyle w:val="P68B1DB1-Normal19"/>
              <w:spacing w:after="0"/>
              <w:jc w:val="center"/>
              <w:rPr>
                <w:rFonts w:eastAsia="Times New Roman"/>
                <w:noProof/>
              </w:rPr>
            </w:pPr>
            <w:r>
              <w:rPr>
                <w:noProof/>
              </w:rPr>
              <w:t>M</w:t>
            </w:r>
          </w:p>
        </w:tc>
        <w:tc>
          <w:tcPr>
            <w:tcW w:w="2236" w:type="dxa"/>
            <w:tcBorders>
              <w:top w:val="single" w:sz="4" w:space="0" w:color="auto"/>
            </w:tcBorders>
            <w:shd w:val="clear" w:color="auto" w:fill="C6EFCE"/>
            <w:noWrap/>
          </w:tcPr>
          <w:p w14:paraId="347F890C" w14:textId="77777777" w:rsidR="00011DE9" w:rsidRDefault="00011DE9">
            <w:pPr>
              <w:pStyle w:val="P68B1DB1-Normal19"/>
              <w:spacing w:after="0"/>
              <w:rPr>
                <w:rFonts w:eastAsia="Times New Roman"/>
                <w:noProof/>
              </w:rPr>
            </w:pPr>
            <w:r>
              <w:rPr>
                <w:noProof/>
              </w:rPr>
              <w:t>Taxa pe tranzacțiile financiare</w:t>
            </w:r>
          </w:p>
        </w:tc>
        <w:tc>
          <w:tcPr>
            <w:tcW w:w="1276" w:type="dxa"/>
            <w:tcBorders>
              <w:top w:val="single" w:sz="4" w:space="0" w:color="auto"/>
            </w:tcBorders>
            <w:shd w:val="clear" w:color="auto" w:fill="C6EFCE"/>
            <w:noWrap/>
          </w:tcPr>
          <w:p w14:paraId="1BB957B8" w14:textId="77777777" w:rsidR="00011DE9" w:rsidRDefault="00011DE9">
            <w:pPr>
              <w:pStyle w:val="P68B1DB1-Normal19"/>
              <w:spacing w:after="0"/>
              <w:jc w:val="center"/>
              <w:rPr>
                <w:rFonts w:eastAsia="Times New Roman"/>
                <w:noProof/>
              </w:rPr>
            </w:pPr>
            <w:r>
              <w:rPr>
                <w:noProof/>
              </w:rPr>
              <w:t xml:space="preserve">Dispoziție legală care indică intrarea sa în vigoare </w:t>
            </w:r>
          </w:p>
        </w:tc>
        <w:tc>
          <w:tcPr>
            <w:tcW w:w="716" w:type="dxa"/>
            <w:tcBorders>
              <w:top w:val="single" w:sz="4" w:space="0" w:color="auto"/>
            </w:tcBorders>
            <w:shd w:val="clear" w:color="auto" w:fill="C6EFCE"/>
            <w:noWrap/>
          </w:tcPr>
          <w:p w14:paraId="3066F6D3" w14:textId="77777777" w:rsidR="00011DE9" w:rsidRDefault="00011DE9">
            <w:pPr>
              <w:pStyle w:val="P68B1DB1-Normal19"/>
              <w:spacing w:after="0"/>
              <w:jc w:val="center"/>
              <w:rPr>
                <w:rFonts w:eastAsia="Times New Roman"/>
                <w:noProof/>
              </w:rPr>
            </w:pPr>
            <w:r>
              <w:rPr>
                <w:noProof/>
              </w:rPr>
              <w:t xml:space="preserve"> </w:t>
            </w:r>
          </w:p>
        </w:tc>
        <w:tc>
          <w:tcPr>
            <w:tcW w:w="774" w:type="dxa"/>
            <w:tcBorders>
              <w:top w:val="single" w:sz="4" w:space="0" w:color="auto"/>
            </w:tcBorders>
            <w:shd w:val="clear" w:color="auto" w:fill="C6EFCE"/>
            <w:noWrap/>
          </w:tcPr>
          <w:p w14:paraId="7917D357" w14:textId="77777777" w:rsidR="00011DE9" w:rsidRDefault="00011DE9">
            <w:pPr>
              <w:pStyle w:val="P68B1DB1-Normal19"/>
              <w:spacing w:after="0"/>
              <w:jc w:val="right"/>
              <w:rPr>
                <w:rFonts w:eastAsia="Times New Roman"/>
                <w:noProof/>
              </w:rPr>
            </w:pPr>
            <w:r>
              <w:rPr>
                <w:noProof/>
              </w:rPr>
              <w:t xml:space="preserve"> </w:t>
            </w:r>
          </w:p>
        </w:tc>
        <w:tc>
          <w:tcPr>
            <w:tcW w:w="475" w:type="dxa"/>
            <w:tcBorders>
              <w:top w:val="single" w:sz="4" w:space="0" w:color="auto"/>
            </w:tcBorders>
            <w:shd w:val="clear" w:color="auto" w:fill="C6EFCE"/>
            <w:noWrap/>
          </w:tcPr>
          <w:p w14:paraId="2213B6E1" w14:textId="77777777" w:rsidR="00011DE9" w:rsidRDefault="00011DE9">
            <w:pPr>
              <w:pStyle w:val="P68B1DB1-Normal19"/>
              <w:spacing w:after="0"/>
              <w:jc w:val="right"/>
              <w:rPr>
                <w:rFonts w:eastAsia="Times New Roman"/>
                <w:noProof/>
              </w:rPr>
            </w:pPr>
            <w:r>
              <w:rPr>
                <w:noProof/>
              </w:rPr>
              <w:t xml:space="preserve"> </w:t>
            </w:r>
          </w:p>
        </w:tc>
        <w:tc>
          <w:tcPr>
            <w:tcW w:w="407" w:type="dxa"/>
            <w:tcBorders>
              <w:top w:val="single" w:sz="4" w:space="0" w:color="auto"/>
            </w:tcBorders>
            <w:shd w:val="clear" w:color="auto" w:fill="C6EFCE"/>
            <w:noWrap/>
          </w:tcPr>
          <w:p w14:paraId="695B9C65" w14:textId="254A9C01" w:rsidR="00011DE9" w:rsidRDefault="003010A3">
            <w:pPr>
              <w:pStyle w:val="P68B1DB1-Normal19"/>
              <w:spacing w:after="0"/>
              <w:jc w:val="center"/>
              <w:rPr>
                <w:rFonts w:eastAsia="Times New Roman"/>
                <w:noProof/>
              </w:rPr>
            </w:pPr>
            <w:r>
              <w:rPr>
                <w:noProof/>
              </w:rPr>
              <w:t>T1</w:t>
            </w:r>
          </w:p>
        </w:tc>
        <w:tc>
          <w:tcPr>
            <w:tcW w:w="542" w:type="dxa"/>
            <w:tcBorders>
              <w:top w:val="single" w:sz="4" w:space="0" w:color="auto"/>
            </w:tcBorders>
            <w:shd w:val="clear" w:color="auto" w:fill="C6EFCE"/>
            <w:noWrap/>
          </w:tcPr>
          <w:p w14:paraId="7A8BB38B" w14:textId="77777777" w:rsidR="00011DE9" w:rsidRDefault="00011DE9">
            <w:pPr>
              <w:pStyle w:val="P68B1DB1-Normal19"/>
              <w:spacing w:after="0"/>
              <w:jc w:val="center"/>
              <w:rPr>
                <w:rFonts w:eastAsia="Times New Roman"/>
                <w:noProof/>
              </w:rPr>
            </w:pPr>
            <w:r>
              <w:rPr>
                <w:noProof/>
              </w:rPr>
              <w:t>2021</w:t>
            </w:r>
          </w:p>
        </w:tc>
        <w:tc>
          <w:tcPr>
            <w:tcW w:w="6363" w:type="dxa"/>
            <w:tcBorders>
              <w:top w:val="single" w:sz="4" w:space="0" w:color="auto"/>
            </w:tcBorders>
            <w:shd w:val="clear" w:color="auto" w:fill="C6EFCE"/>
            <w:noWrap/>
          </w:tcPr>
          <w:p w14:paraId="5C73C811" w14:textId="77777777" w:rsidR="00011DE9" w:rsidRDefault="00011DE9">
            <w:pPr>
              <w:pStyle w:val="P68B1DB1-Normal19"/>
              <w:spacing w:after="0"/>
              <w:rPr>
                <w:rFonts w:eastAsia="Times New Roman"/>
                <w:noProof/>
              </w:rPr>
            </w:pPr>
            <w:r>
              <w:rPr>
                <w:noProof/>
              </w:rPr>
              <w:t>Intrarea în vigoare a Legii privind taxa pe tranzacțiile financiare (</w:t>
            </w:r>
            <w:r>
              <w:rPr>
                <w:i/>
                <w:noProof/>
              </w:rPr>
              <w:t>Ley 5/2020, de 15 de octubre, del Impuesto sobre las Transacciones Financieras</w:t>
            </w:r>
            <w:r>
              <w:rPr>
                <w:noProof/>
              </w:rPr>
              <w:t>) pentru a genera noi surse de venituri pentru guvern, dezvoltând în același timp sistemul fiscal într-un mod coerent și, după caz, în contextul internațional.</w:t>
            </w:r>
          </w:p>
        </w:tc>
      </w:tr>
      <w:tr w:rsidR="00011DE9" w14:paraId="3F8D5AA5" w14:textId="77777777">
        <w:trPr>
          <w:gridAfter w:val="1"/>
          <w:wAfter w:w="57" w:type="dxa"/>
          <w:trHeight w:val="309"/>
          <w:jc w:val="center"/>
        </w:trPr>
        <w:tc>
          <w:tcPr>
            <w:tcW w:w="958" w:type="dxa"/>
            <w:shd w:val="clear" w:color="auto" w:fill="C6EFCE"/>
            <w:noWrap/>
          </w:tcPr>
          <w:p w14:paraId="037EB3F0" w14:textId="77777777" w:rsidR="00011DE9" w:rsidRDefault="00011DE9">
            <w:pPr>
              <w:pStyle w:val="P68B1DB1-Normal19"/>
              <w:spacing w:after="0"/>
              <w:jc w:val="center"/>
              <w:rPr>
                <w:rFonts w:eastAsia="Times New Roman"/>
                <w:noProof/>
              </w:rPr>
            </w:pPr>
            <w:r>
              <w:rPr>
                <w:noProof/>
              </w:rPr>
              <w:t>394</w:t>
            </w:r>
          </w:p>
        </w:tc>
        <w:tc>
          <w:tcPr>
            <w:tcW w:w="811" w:type="dxa"/>
            <w:shd w:val="clear" w:color="auto" w:fill="C6EFCE"/>
            <w:noWrap/>
          </w:tcPr>
          <w:p w14:paraId="2EC9B2DD" w14:textId="77777777" w:rsidR="00011DE9" w:rsidRDefault="00011DE9">
            <w:pPr>
              <w:pStyle w:val="P68B1DB1-Normal19"/>
              <w:spacing w:after="0"/>
              <w:jc w:val="center"/>
              <w:rPr>
                <w:rFonts w:eastAsia="Times New Roman"/>
                <w:noProof/>
              </w:rPr>
            </w:pPr>
            <w:r>
              <w:rPr>
                <w:noProof/>
              </w:rPr>
              <w:t>C28.R7</w:t>
            </w:r>
          </w:p>
        </w:tc>
        <w:tc>
          <w:tcPr>
            <w:tcW w:w="810" w:type="dxa"/>
            <w:shd w:val="clear" w:color="auto" w:fill="C6EFCE"/>
            <w:noWrap/>
          </w:tcPr>
          <w:p w14:paraId="0ADF965D" w14:textId="77777777" w:rsidR="00011DE9" w:rsidRDefault="00011DE9">
            <w:pPr>
              <w:pStyle w:val="P68B1DB1-Normal19"/>
              <w:spacing w:after="0"/>
              <w:jc w:val="center"/>
              <w:rPr>
                <w:rFonts w:eastAsia="Times New Roman"/>
                <w:noProof/>
              </w:rPr>
            </w:pPr>
            <w:r>
              <w:rPr>
                <w:noProof/>
              </w:rPr>
              <w:t>M</w:t>
            </w:r>
          </w:p>
        </w:tc>
        <w:tc>
          <w:tcPr>
            <w:tcW w:w="2236" w:type="dxa"/>
            <w:shd w:val="clear" w:color="auto" w:fill="C6EFCE"/>
            <w:noWrap/>
          </w:tcPr>
          <w:p w14:paraId="3E982B9A" w14:textId="77777777" w:rsidR="00011DE9" w:rsidRDefault="00011DE9">
            <w:pPr>
              <w:pStyle w:val="P68B1DB1-Normal19"/>
              <w:spacing w:after="0"/>
              <w:rPr>
                <w:rFonts w:eastAsia="Times New Roman"/>
                <w:noProof/>
              </w:rPr>
            </w:pPr>
            <w:r>
              <w:rPr>
                <w:noProof/>
              </w:rPr>
              <w:t>Modificări ale impozitului pe venitul persoanelor fizice și ale impozitului pe avere în 2021</w:t>
            </w:r>
          </w:p>
        </w:tc>
        <w:tc>
          <w:tcPr>
            <w:tcW w:w="1276" w:type="dxa"/>
            <w:shd w:val="clear" w:color="auto" w:fill="C6EFCE"/>
            <w:noWrap/>
          </w:tcPr>
          <w:p w14:paraId="6ECD872A" w14:textId="77777777" w:rsidR="00011DE9" w:rsidRDefault="00011DE9">
            <w:pPr>
              <w:pStyle w:val="P68B1DB1-Normal19"/>
              <w:spacing w:after="0"/>
              <w:jc w:val="center"/>
              <w:rPr>
                <w:rFonts w:eastAsia="Times New Roman"/>
                <w:noProof/>
              </w:rPr>
            </w:pPr>
            <w:r>
              <w:rPr>
                <w:noProof/>
              </w:rPr>
              <w:t xml:space="preserve">Dispoziție din Legea bugetului care indică intrarea sa în vigoare </w:t>
            </w:r>
          </w:p>
        </w:tc>
        <w:tc>
          <w:tcPr>
            <w:tcW w:w="716" w:type="dxa"/>
            <w:shd w:val="clear" w:color="auto" w:fill="C6EFCE"/>
            <w:noWrap/>
          </w:tcPr>
          <w:p w14:paraId="5DC73664" w14:textId="77777777" w:rsidR="00011DE9" w:rsidRDefault="00011DE9">
            <w:pPr>
              <w:pStyle w:val="P68B1DB1-Normal19"/>
              <w:spacing w:after="0"/>
              <w:jc w:val="center"/>
              <w:rPr>
                <w:rFonts w:eastAsia="Times New Roman"/>
                <w:noProof/>
              </w:rPr>
            </w:pPr>
            <w:r>
              <w:rPr>
                <w:noProof/>
              </w:rPr>
              <w:t xml:space="preserve"> </w:t>
            </w:r>
          </w:p>
        </w:tc>
        <w:tc>
          <w:tcPr>
            <w:tcW w:w="774" w:type="dxa"/>
            <w:shd w:val="clear" w:color="auto" w:fill="C6EFCE"/>
            <w:noWrap/>
          </w:tcPr>
          <w:p w14:paraId="3E7E75F7" w14:textId="77777777" w:rsidR="00011DE9" w:rsidRDefault="00011DE9">
            <w:pPr>
              <w:pStyle w:val="P68B1DB1-Normal19"/>
              <w:spacing w:after="0"/>
              <w:jc w:val="right"/>
              <w:rPr>
                <w:rFonts w:eastAsia="Times New Roman"/>
                <w:noProof/>
              </w:rPr>
            </w:pPr>
            <w:r>
              <w:rPr>
                <w:noProof/>
              </w:rPr>
              <w:t xml:space="preserve"> </w:t>
            </w:r>
          </w:p>
        </w:tc>
        <w:tc>
          <w:tcPr>
            <w:tcW w:w="475" w:type="dxa"/>
            <w:shd w:val="clear" w:color="auto" w:fill="C6EFCE"/>
            <w:noWrap/>
          </w:tcPr>
          <w:p w14:paraId="14806431" w14:textId="77777777" w:rsidR="00011DE9" w:rsidRDefault="00011DE9">
            <w:pPr>
              <w:pStyle w:val="P68B1DB1-Normal19"/>
              <w:spacing w:after="0"/>
              <w:jc w:val="right"/>
              <w:rPr>
                <w:rFonts w:eastAsia="Times New Roman"/>
                <w:noProof/>
              </w:rPr>
            </w:pPr>
            <w:r>
              <w:rPr>
                <w:noProof/>
              </w:rPr>
              <w:t xml:space="preserve"> </w:t>
            </w:r>
          </w:p>
        </w:tc>
        <w:tc>
          <w:tcPr>
            <w:tcW w:w="407" w:type="dxa"/>
            <w:shd w:val="clear" w:color="auto" w:fill="C6EFCE"/>
            <w:noWrap/>
          </w:tcPr>
          <w:p w14:paraId="1C906F04" w14:textId="1A20A810" w:rsidR="00011DE9" w:rsidRDefault="003010A3">
            <w:pPr>
              <w:pStyle w:val="P68B1DB1-Normal19"/>
              <w:spacing w:after="0"/>
              <w:jc w:val="center"/>
              <w:rPr>
                <w:rFonts w:eastAsia="Times New Roman"/>
                <w:noProof/>
              </w:rPr>
            </w:pPr>
            <w:r>
              <w:rPr>
                <w:noProof/>
              </w:rPr>
              <w:t>T1</w:t>
            </w:r>
          </w:p>
        </w:tc>
        <w:tc>
          <w:tcPr>
            <w:tcW w:w="542" w:type="dxa"/>
            <w:shd w:val="clear" w:color="auto" w:fill="C6EFCE"/>
            <w:noWrap/>
          </w:tcPr>
          <w:p w14:paraId="6BFF9D4E" w14:textId="77777777" w:rsidR="00011DE9" w:rsidRDefault="00011DE9">
            <w:pPr>
              <w:pStyle w:val="P68B1DB1-Normal19"/>
              <w:spacing w:after="0"/>
              <w:jc w:val="center"/>
              <w:rPr>
                <w:rFonts w:eastAsia="Times New Roman"/>
                <w:noProof/>
              </w:rPr>
            </w:pPr>
            <w:r>
              <w:rPr>
                <w:noProof/>
              </w:rPr>
              <w:t>2021</w:t>
            </w:r>
          </w:p>
        </w:tc>
        <w:tc>
          <w:tcPr>
            <w:tcW w:w="6363" w:type="dxa"/>
            <w:shd w:val="clear" w:color="auto" w:fill="C6EFCE"/>
            <w:noWrap/>
          </w:tcPr>
          <w:p w14:paraId="4842A3A9" w14:textId="77777777" w:rsidR="00011DE9" w:rsidRDefault="00011DE9">
            <w:pPr>
              <w:pStyle w:val="P68B1DB1-Normal19"/>
              <w:spacing w:after="0"/>
              <w:rPr>
                <w:rFonts w:eastAsia="Times New Roman"/>
                <w:noProof/>
              </w:rPr>
            </w:pPr>
            <w:r>
              <w:rPr>
                <w:noProof/>
              </w:rPr>
              <w:t>Intrarea în vigoare a modificărilor introduse de Legea bugetului pentru 2021 și de regulamentele de dezvoltare referitoare la impozitul pe venitul persoanelor fizice și la impozitul pe avere pentru a reduce deficitul public și pentru a face impozitarea veniturilor persoanelor fizice mai progresivă.</w:t>
            </w:r>
          </w:p>
        </w:tc>
      </w:tr>
      <w:tr w:rsidR="00011DE9" w14:paraId="48EDB910" w14:textId="77777777">
        <w:trPr>
          <w:gridAfter w:val="1"/>
          <w:wAfter w:w="57" w:type="dxa"/>
          <w:trHeight w:val="309"/>
          <w:jc w:val="center"/>
        </w:trPr>
        <w:tc>
          <w:tcPr>
            <w:tcW w:w="958" w:type="dxa"/>
            <w:shd w:val="clear" w:color="auto" w:fill="C6EFCE"/>
            <w:noWrap/>
          </w:tcPr>
          <w:p w14:paraId="2CDB3406" w14:textId="77777777" w:rsidR="00011DE9" w:rsidRDefault="00011DE9">
            <w:pPr>
              <w:pStyle w:val="P68B1DB1-Normal19"/>
              <w:spacing w:after="0"/>
              <w:jc w:val="center"/>
              <w:rPr>
                <w:rFonts w:eastAsia="Times New Roman"/>
                <w:noProof/>
              </w:rPr>
            </w:pPr>
            <w:r>
              <w:rPr>
                <w:noProof/>
              </w:rPr>
              <w:t>395</w:t>
            </w:r>
          </w:p>
        </w:tc>
        <w:tc>
          <w:tcPr>
            <w:tcW w:w="811" w:type="dxa"/>
            <w:shd w:val="clear" w:color="auto" w:fill="C6EFCE"/>
            <w:noWrap/>
          </w:tcPr>
          <w:p w14:paraId="706799FA" w14:textId="77777777" w:rsidR="00011DE9" w:rsidRDefault="00011DE9">
            <w:pPr>
              <w:pStyle w:val="P68B1DB1-Normal19"/>
              <w:spacing w:after="0"/>
              <w:jc w:val="center"/>
              <w:rPr>
                <w:rFonts w:eastAsia="Times New Roman"/>
                <w:noProof/>
              </w:rPr>
            </w:pPr>
            <w:r>
              <w:rPr>
                <w:noProof/>
              </w:rPr>
              <w:t>C28.R8</w:t>
            </w:r>
          </w:p>
        </w:tc>
        <w:tc>
          <w:tcPr>
            <w:tcW w:w="810" w:type="dxa"/>
            <w:shd w:val="clear" w:color="auto" w:fill="C6EFCE"/>
            <w:noWrap/>
          </w:tcPr>
          <w:p w14:paraId="518AF6D1" w14:textId="77777777" w:rsidR="00011DE9" w:rsidRDefault="00011DE9">
            <w:pPr>
              <w:pStyle w:val="P68B1DB1-Normal19"/>
              <w:spacing w:after="0"/>
              <w:jc w:val="center"/>
              <w:rPr>
                <w:rFonts w:eastAsia="Times New Roman"/>
                <w:noProof/>
              </w:rPr>
            </w:pPr>
            <w:r>
              <w:rPr>
                <w:noProof/>
              </w:rPr>
              <w:t>M</w:t>
            </w:r>
          </w:p>
        </w:tc>
        <w:tc>
          <w:tcPr>
            <w:tcW w:w="2236" w:type="dxa"/>
            <w:shd w:val="clear" w:color="auto" w:fill="C6EFCE"/>
            <w:noWrap/>
          </w:tcPr>
          <w:p w14:paraId="5B2B9873" w14:textId="77777777" w:rsidR="00011DE9" w:rsidRDefault="00011DE9">
            <w:pPr>
              <w:pStyle w:val="P68B1DB1-Normal19"/>
              <w:spacing w:after="0"/>
              <w:rPr>
                <w:rFonts w:eastAsia="Times New Roman"/>
                <w:noProof/>
              </w:rPr>
            </w:pPr>
            <w:r>
              <w:rPr>
                <w:noProof/>
              </w:rPr>
              <w:t>Modificări ale impozitului pe profit în 2021</w:t>
            </w:r>
          </w:p>
        </w:tc>
        <w:tc>
          <w:tcPr>
            <w:tcW w:w="1276" w:type="dxa"/>
            <w:shd w:val="clear" w:color="auto" w:fill="C6EFCE"/>
            <w:noWrap/>
          </w:tcPr>
          <w:p w14:paraId="32845C87" w14:textId="77777777" w:rsidR="00011DE9" w:rsidRDefault="00011DE9">
            <w:pPr>
              <w:pStyle w:val="P68B1DB1-Normal19"/>
              <w:spacing w:after="0"/>
              <w:jc w:val="center"/>
              <w:rPr>
                <w:rFonts w:eastAsia="Times New Roman"/>
                <w:noProof/>
              </w:rPr>
            </w:pPr>
            <w:r>
              <w:rPr>
                <w:noProof/>
              </w:rPr>
              <w:t xml:space="preserve">Dispoziție din Legea bugetului care indică intrarea sa în vigoare </w:t>
            </w:r>
          </w:p>
        </w:tc>
        <w:tc>
          <w:tcPr>
            <w:tcW w:w="716" w:type="dxa"/>
            <w:shd w:val="clear" w:color="auto" w:fill="C6EFCE"/>
            <w:noWrap/>
          </w:tcPr>
          <w:p w14:paraId="1ADE7E56" w14:textId="77777777" w:rsidR="00011DE9" w:rsidRDefault="00011DE9">
            <w:pPr>
              <w:pStyle w:val="P68B1DB1-Normal19"/>
              <w:spacing w:after="0"/>
              <w:jc w:val="center"/>
              <w:rPr>
                <w:rFonts w:eastAsia="Times New Roman"/>
                <w:noProof/>
              </w:rPr>
            </w:pPr>
            <w:r>
              <w:rPr>
                <w:noProof/>
              </w:rPr>
              <w:t xml:space="preserve"> </w:t>
            </w:r>
          </w:p>
        </w:tc>
        <w:tc>
          <w:tcPr>
            <w:tcW w:w="774" w:type="dxa"/>
            <w:shd w:val="clear" w:color="auto" w:fill="C6EFCE"/>
            <w:noWrap/>
          </w:tcPr>
          <w:p w14:paraId="64A1742B" w14:textId="77777777" w:rsidR="00011DE9" w:rsidRDefault="00011DE9">
            <w:pPr>
              <w:pStyle w:val="P68B1DB1-Normal19"/>
              <w:spacing w:after="0"/>
              <w:jc w:val="right"/>
              <w:rPr>
                <w:rFonts w:eastAsia="Times New Roman"/>
                <w:noProof/>
              </w:rPr>
            </w:pPr>
            <w:r>
              <w:rPr>
                <w:noProof/>
              </w:rPr>
              <w:t xml:space="preserve"> </w:t>
            </w:r>
          </w:p>
        </w:tc>
        <w:tc>
          <w:tcPr>
            <w:tcW w:w="475" w:type="dxa"/>
            <w:shd w:val="clear" w:color="auto" w:fill="C6EFCE"/>
            <w:noWrap/>
          </w:tcPr>
          <w:p w14:paraId="20F2880A" w14:textId="77777777" w:rsidR="00011DE9" w:rsidRDefault="00011DE9">
            <w:pPr>
              <w:pStyle w:val="P68B1DB1-Normal19"/>
              <w:spacing w:after="0"/>
              <w:jc w:val="right"/>
              <w:rPr>
                <w:rFonts w:eastAsia="Times New Roman"/>
                <w:noProof/>
              </w:rPr>
            </w:pPr>
            <w:r>
              <w:rPr>
                <w:noProof/>
              </w:rPr>
              <w:t xml:space="preserve"> </w:t>
            </w:r>
          </w:p>
        </w:tc>
        <w:tc>
          <w:tcPr>
            <w:tcW w:w="407" w:type="dxa"/>
            <w:shd w:val="clear" w:color="auto" w:fill="C6EFCE"/>
            <w:noWrap/>
          </w:tcPr>
          <w:p w14:paraId="1359A920" w14:textId="23F33132" w:rsidR="00011DE9" w:rsidRDefault="003010A3">
            <w:pPr>
              <w:pStyle w:val="P68B1DB1-Normal19"/>
              <w:spacing w:after="0"/>
              <w:jc w:val="center"/>
              <w:rPr>
                <w:rFonts w:eastAsia="Times New Roman"/>
                <w:noProof/>
              </w:rPr>
            </w:pPr>
            <w:r>
              <w:rPr>
                <w:noProof/>
              </w:rPr>
              <w:t>T1</w:t>
            </w:r>
          </w:p>
        </w:tc>
        <w:tc>
          <w:tcPr>
            <w:tcW w:w="542" w:type="dxa"/>
            <w:shd w:val="clear" w:color="auto" w:fill="C6EFCE"/>
            <w:noWrap/>
          </w:tcPr>
          <w:p w14:paraId="71B9DAA8" w14:textId="77777777" w:rsidR="00011DE9" w:rsidRDefault="00011DE9">
            <w:pPr>
              <w:pStyle w:val="P68B1DB1-Normal19"/>
              <w:spacing w:after="0"/>
              <w:jc w:val="center"/>
              <w:rPr>
                <w:rFonts w:eastAsia="Times New Roman"/>
                <w:noProof/>
              </w:rPr>
            </w:pPr>
            <w:r>
              <w:rPr>
                <w:noProof/>
              </w:rPr>
              <w:t>2021</w:t>
            </w:r>
          </w:p>
        </w:tc>
        <w:tc>
          <w:tcPr>
            <w:tcW w:w="6363" w:type="dxa"/>
            <w:shd w:val="clear" w:color="auto" w:fill="C6EFCE"/>
            <w:noWrap/>
          </w:tcPr>
          <w:p w14:paraId="02065B6B" w14:textId="77777777" w:rsidR="00011DE9" w:rsidRDefault="00011DE9">
            <w:pPr>
              <w:pStyle w:val="P68B1DB1-Normal19"/>
              <w:spacing w:after="0"/>
              <w:rPr>
                <w:rFonts w:eastAsia="Times New Roman"/>
                <w:noProof/>
              </w:rPr>
            </w:pPr>
            <w:r>
              <w:rPr>
                <w:noProof/>
              </w:rPr>
              <w:t>Intrarea în vigoare a modificărilor introduse prin Legea bugetului pentru 2021 și a regulamentelor de dezvoltare referitoare la impozitul pe profit pentru a crește veniturile din impozitul pe profit.</w:t>
            </w:r>
          </w:p>
        </w:tc>
      </w:tr>
      <w:tr w:rsidR="00011DE9" w14:paraId="67AE1A71" w14:textId="77777777">
        <w:trPr>
          <w:gridAfter w:val="1"/>
          <w:wAfter w:w="57" w:type="dxa"/>
          <w:trHeight w:val="309"/>
          <w:jc w:val="center"/>
        </w:trPr>
        <w:tc>
          <w:tcPr>
            <w:tcW w:w="958" w:type="dxa"/>
            <w:shd w:val="clear" w:color="auto" w:fill="C6EFCE"/>
            <w:noWrap/>
          </w:tcPr>
          <w:p w14:paraId="62E1868F" w14:textId="77777777" w:rsidR="00011DE9" w:rsidRDefault="00011DE9">
            <w:pPr>
              <w:pStyle w:val="P68B1DB1-Normal19"/>
              <w:spacing w:after="0"/>
              <w:jc w:val="center"/>
              <w:rPr>
                <w:rFonts w:eastAsia="Times New Roman"/>
                <w:noProof/>
              </w:rPr>
            </w:pPr>
            <w:r>
              <w:rPr>
                <w:noProof/>
              </w:rPr>
              <w:t>396</w:t>
            </w:r>
          </w:p>
        </w:tc>
        <w:tc>
          <w:tcPr>
            <w:tcW w:w="811" w:type="dxa"/>
            <w:shd w:val="clear" w:color="auto" w:fill="C6EFCE"/>
            <w:noWrap/>
          </w:tcPr>
          <w:p w14:paraId="00F41470" w14:textId="77777777" w:rsidR="00011DE9" w:rsidRDefault="00011DE9">
            <w:pPr>
              <w:pStyle w:val="P68B1DB1-Normal19"/>
              <w:spacing w:after="0"/>
              <w:jc w:val="center"/>
              <w:rPr>
                <w:rFonts w:eastAsia="Times New Roman"/>
                <w:noProof/>
              </w:rPr>
            </w:pPr>
            <w:r>
              <w:rPr>
                <w:noProof/>
              </w:rPr>
              <w:t>C28.R9</w:t>
            </w:r>
          </w:p>
        </w:tc>
        <w:tc>
          <w:tcPr>
            <w:tcW w:w="810" w:type="dxa"/>
            <w:shd w:val="clear" w:color="auto" w:fill="C6EFCE"/>
            <w:noWrap/>
          </w:tcPr>
          <w:p w14:paraId="2EC0C329" w14:textId="77777777" w:rsidR="00011DE9" w:rsidRDefault="00011DE9">
            <w:pPr>
              <w:pStyle w:val="P68B1DB1-Normal19"/>
              <w:spacing w:after="0"/>
              <w:jc w:val="center"/>
              <w:rPr>
                <w:rFonts w:eastAsia="Times New Roman"/>
                <w:noProof/>
              </w:rPr>
            </w:pPr>
            <w:r>
              <w:rPr>
                <w:noProof/>
              </w:rPr>
              <w:t>M</w:t>
            </w:r>
          </w:p>
        </w:tc>
        <w:tc>
          <w:tcPr>
            <w:tcW w:w="2236" w:type="dxa"/>
            <w:shd w:val="clear" w:color="auto" w:fill="C6EFCE"/>
            <w:noWrap/>
          </w:tcPr>
          <w:p w14:paraId="340BD7C2" w14:textId="77777777" w:rsidR="00011DE9" w:rsidRDefault="00011DE9">
            <w:pPr>
              <w:pStyle w:val="P68B1DB1-Normal19"/>
              <w:spacing w:after="0"/>
              <w:rPr>
                <w:rFonts w:eastAsia="Times New Roman"/>
                <w:noProof/>
              </w:rPr>
            </w:pPr>
            <w:r>
              <w:rPr>
                <w:noProof/>
              </w:rPr>
              <w:t>Modificări ale impozitelor indirecte în 2021</w:t>
            </w:r>
          </w:p>
        </w:tc>
        <w:tc>
          <w:tcPr>
            <w:tcW w:w="1276" w:type="dxa"/>
            <w:shd w:val="clear" w:color="auto" w:fill="C6EFCE"/>
            <w:noWrap/>
          </w:tcPr>
          <w:p w14:paraId="456106FA" w14:textId="77777777" w:rsidR="00011DE9" w:rsidRDefault="00011DE9">
            <w:pPr>
              <w:pStyle w:val="P68B1DB1-Normal19"/>
              <w:spacing w:after="0"/>
              <w:jc w:val="center"/>
              <w:rPr>
                <w:rFonts w:eastAsia="Times New Roman"/>
                <w:noProof/>
              </w:rPr>
            </w:pPr>
            <w:r>
              <w:rPr>
                <w:noProof/>
              </w:rPr>
              <w:t xml:space="preserve">Dispoziție din Legea bugetului care indică intrarea sa în vigoare </w:t>
            </w:r>
          </w:p>
        </w:tc>
        <w:tc>
          <w:tcPr>
            <w:tcW w:w="716" w:type="dxa"/>
            <w:shd w:val="clear" w:color="auto" w:fill="C6EFCE"/>
            <w:noWrap/>
          </w:tcPr>
          <w:p w14:paraId="365590AE" w14:textId="77777777" w:rsidR="00011DE9" w:rsidRDefault="00011DE9">
            <w:pPr>
              <w:pStyle w:val="P68B1DB1-Normal19"/>
              <w:spacing w:after="0"/>
              <w:jc w:val="center"/>
              <w:rPr>
                <w:rFonts w:eastAsia="Times New Roman"/>
                <w:noProof/>
              </w:rPr>
            </w:pPr>
            <w:r>
              <w:rPr>
                <w:noProof/>
              </w:rPr>
              <w:t xml:space="preserve"> </w:t>
            </w:r>
          </w:p>
        </w:tc>
        <w:tc>
          <w:tcPr>
            <w:tcW w:w="774" w:type="dxa"/>
            <w:shd w:val="clear" w:color="auto" w:fill="C6EFCE"/>
            <w:noWrap/>
          </w:tcPr>
          <w:p w14:paraId="0B9C3BEE" w14:textId="77777777" w:rsidR="00011DE9" w:rsidRDefault="00011DE9">
            <w:pPr>
              <w:pStyle w:val="P68B1DB1-Normal19"/>
              <w:spacing w:after="0"/>
              <w:jc w:val="right"/>
              <w:rPr>
                <w:rFonts w:eastAsia="Times New Roman"/>
                <w:noProof/>
              </w:rPr>
            </w:pPr>
            <w:r>
              <w:rPr>
                <w:noProof/>
              </w:rPr>
              <w:t xml:space="preserve"> </w:t>
            </w:r>
          </w:p>
        </w:tc>
        <w:tc>
          <w:tcPr>
            <w:tcW w:w="475" w:type="dxa"/>
            <w:shd w:val="clear" w:color="auto" w:fill="C6EFCE"/>
            <w:noWrap/>
          </w:tcPr>
          <w:p w14:paraId="03B3CF57" w14:textId="77777777" w:rsidR="00011DE9" w:rsidRDefault="00011DE9">
            <w:pPr>
              <w:pStyle w:val="P68B1DB1-Normal19"/>
              <w:spacing w:after="0"/>
              <w:jc w:val="right"/>
              <w:rPr>
                <w:rFonts w:eastAsia="Times New Roman"/>
                <w:noProof/>
              </w:rPr>
            </w:pPr>
            <w:r>
              <w:rPr>
                <w:noProof/>
              </w:rPr>
              <w:t xml:space="preserve"> </w:t>
            </w:r>
          </w:p>
        </w:tc>
        <w:tc>
          <w:tcPr>
            <w:tcW w:w="407" w:type="dxa"/>
            <w:shd w:val="clear" w:color="auto" w:fill="C6EFCE"/>
            <w:noWrap/>
          </w:tcPr>
          <w:p w14:paraId="2425E0B9" w14:textId="48A57FCC" w:rsidR="00011DE9" w:rsidRDefault="003010A3">
            <w:pPr>
              <w:pStyle w:val="P68B1DB1-Normal19"/>
              <w:spacing w:after="0"/>
              <w:jc w:val="center"/>
              <w:rPr>
                <w:rFonts w:eastAsia="Times New Roman"/>
                <w:noProof/>
              </w:rPr>
            </w:pPr>
            <w:r>
              <w:rPr>
                <w:noProof/>
              </w:rPr>
              <w:t>T1</w:t>
            </w:r>
          </w:p>
        </w:tc>
        <w:tc>
          <w:tcPr>
            <w:tcW w:w="542" w:type="dxa"/>
            <w:shd w:val="clear" w:color="auto" w:fill="C6EFCE"/>
            <w:noWrap/>
          </w:tcPr>
          <w:p w14:paraId="5C2AE1D0" w14:textId="77777777" w:rsidR="00011DE9" w:rsidRDefault="00011DE9">
            <w:pPr>
              <w:pStyle w:val="P68B1DB1-Normal19"/>
              <w:spacing w:after="0"/>
              <w:jc w:val="center"/>
              <w:rPr>
                <w:rFonts w:eastAsia="Times New Roman"/>
                <w:noProof/>
              </w:rPr>
            </w:pPr>
            <w:r>
              <w:rPr>
                <w:noProof/>
              </w:rPr>
              <w:t>2021</w:t>
            </w:r>
          </w:p>
        </w:tc>
        <w:tc>
          <w:tcPr>
            <w:tcW w:w="6363" w:type="dxa"/>
            <w:shd w:val="clear" w:color="auto" w:fill="C6EFCE"/>
            <w:noWrap/>
          </w:tcPr>
          <w:p w14:paraId="7425C2C6" w14:textId="77777777" w:rsidR="00011DE9" w:rsidRDefault="00011DE9">
            <w:pPr>
              <w:pStyle w:val="P68B1DB1-Normal19"/>
              <w:spacing w:after="0"/>
              <w:rPr>
                <w:rFonts w:eastAsia="Times New Roman"/>
                <w:noProof/>
              </w:rPr>
            </w:pPr>
            <w:r>
              <w:rPr>
                <w:noProof/>
              </w:rPr>
              <w:t>Intrarea în vigoare a modificărilor introduse prin Legea bugetului pentru 2021 și a regulamentelor de dezvoltare referitoare la impozitele indirecte pentru promovarea unei alimentații mai sănătoase prin reducerea consumului de anumite băuturi zaharoase și pentru creșterea veniturilor administrației centrale prin creșterea impozitului pe primele de asigurare.</w:t>
            </w:r>
          </w:p>
        </w:tc>
      </w:tr>
      <w:tr w:rsidR="00011DE9" w14:paraId="5E658B47" w14:textId="77777777">
        <w:trPr>
          <w:trHeight w:val="309"/>
          <w:jc w:val="center"/>
        </w:trPr>
        <w:tc>
          <w:tcPr>
            <w:tcW w:w="958" w:type="dxa"/>
            <w:shd w:val="clear" w:color="auto" w:fill="C6EFCE"/>
            <w:noWrap/>
          </w:tcPr>
          <w:p w14:paraId="1D394C47" w14:textId="77777777" w:rsidR="00011DE9" w:rsidRDefault="00011DE9">
            <w:pPr>
              <w:pStyle w:val="P68B1DB1-Normal19"/>
              <w:spacing w:after="0"/>
              <w:jc w:val="center"/>
              <w:rPr>
                <w:noProof/>
                <w:highlight w:val="cyan"/>
              </w:rPr>
            </w:pPr>
            <w:r>
              <w:rPr>
                <w:noProof/>
              </w:rPr>
              <w:t>512</w:t>
            </w:r>
          </w:p>
        </w:tc>
        <w:tc>
          <w:tcPr>
            <w:tcW w:w="811" w:type="dxa"/>
            <w:shd w:val="clear" w:color="auto" w:fill="C6EFCE"/>
            <w:noWrap/>
          </w:tcPr>
          <w:p w14:paraId="3A2FF07F" w14:textId="77777777" w:rsidR="00011DE9" w:rsidRDefault="00011DE9">
            <w:pPr>
              <w:pStyle w:val="P68B1DB1-Normal19"/>
              <w:spacing w:after="0"/>
              <w:jc w:val="center"/>
              <w:rPr>
                <w:noProof/>
                <w:highlight w:val="cyan"/>
              </w:rPr>
            </w:pPr>
            <w:r>
              <w:rPr>
                <w:noProof/>
              </w:rPr>
              <w:t>C28.I1</w:t>
            </w:r>
          </w:p>
        </w:tc>
        <w:tc>
          <w:tcPr>
            <w:tcW w:w="810" w:type="dxa"/>
            <w:shd w:val="clear" w:color="auto" w:fill="C6EFCE"/>
            <w:noWrap/>
          </w:tcPr>
          <w:p w14:paraId="5C2A1486" w14:textId="77777777" w:rsidR="00011DE9" w:rsidRDefault="00011DE9">
            <w:pPr>
              <w:pStyle w:val="P68B1DB1-Normal19"/>
              <w:spacing w:after="0"/>
              <w:jc w:val="center"/>
              <w:rPr>
                <w:noProof/>
                <w:highlight w:val="cyan"/>
              </w:rPr>
            </w:pPr>
            <w:r>
              <w:rPr>
                <w:noProof/>
              </w:rPr>
              <w:t>T</w:t>
            </w:r>
          </w:p>
        </w:tc>
        <w:tc>
          <w:tcPr>
            <w:tcW w:w="2236" w:type="dxa"/>
            <w:shd w:val="clear" w:color="auto" w:fill="C6EFCE"/>
            <w:noWrap/>
          </w:tcPr>
          <w:p w14:paraId="55623118" w14:textId="77777777" w:rsidR="00011DE9" w:rsidRDefault="00011DE9">
            <w:pPr>
              <w:pStyle w:val="P68B1DB1-Normal20"/>
              <w:spacing w:after="0"/>
              <w:rPr>
                <w:noProof/>
                <w:highlight w:val="cyan"/>
              </w:rPr>
            </w:pPr>
            <w:r>
              <w:rPr>
                <w:noProof/>
              </w:rPr>
              <w:t>Deduceri fiscale declarate pentru achiziționarea de vehicule electrice sau pentru instalarea de stații de încărcare</w:t>
            </w:r>
          </w:p>
        </w:tc>
        <w:tc>
          <w:tcPr>
            <w:tcW w:w="1276" w:type="dxa"/>
            <w:shd w:val="clear" w:color="auto" w:fill="C6EFCE"/>
            <w:noWrap/>
          </w:tcPr>
          <w:p w14:paraId="33024C72" w14:textId="77777777" w:rsidR="00011DE9" w:rsidRDefault="00011DE9">
            <w:pPr>
              <w:spacing w:after="0"/>
              <w:jc w:val="center"/>
              <w:rPr>
                <w:rFonts w:ascii="Times New Roman" w:hAnsi="Times New Roman"/>
                <w:noProof/>
                <w:sz w:val="18"/>
                <w:highlight w:val="cyan"/>
              </w:rPr>
            </w:pPr>
          </w:p>
        </w:tc>
        <w:tc>
          <w:tcPr>
            <w:tcW w:w="716" w:type="dxa"/>
            <w:shd w:val="clear" w:color="auto" w:fill="C6EFCE"/>
            <w:noWrap/>
          </w:tcPr>
          <w:p w14:paraId="7A3B8C60" w14:textId="77777777" w:rsidR="00011DE9" w:rsidRDefault="00011DE9">
            <w:pPr>
              <w:pStyle w:val="P68B1DB1-Normal19"/>
              <w:spacing w:after="0"/>
              <w:jc w:val="center"/>
              <w:rPr>
                <w:noProof/>
                <w:highlight w:val="cyan"/>
              </w:rPr>
            </w:pPr>
            <w:r>
              <w:rPr>
                <w:noProof/>
              </w:rPr>
              <w:t>milioane EUR</w:t>
            </w:r>
          </w:p>
        </w:tc>
        <w:tc>
          <w:tcPr>
            <w:tcW w:w="774" w:type="dxa"/>
            <w:shd w:val="clear" w:color="auto" w:fill="C6EFCE"/>
            <w:noWrap/>
          </w:tcPr>
          <w:p w14:paraId="59852C58" w14:textId="77777777" w:rsidR="00011DE9" w:rsidRDefault="00011DE9">
            <w:pPr>
              <w:pStyle w:val="P68B1DB1-Normal19"/>
              <w:spacing w:after="0"/>
              <w:jc w:val="right"/>
              <w:rPr>
                <w:noProof/>
                <w:highlight w:val="cyan"/>
              </w:rPr>
            </w:pPr>
            <w:r>
              <w:rPr>
                <w:noProof/>
              </w:rPr>
              <w:t>0</w:t>
            </w:r>
          </w:p>
        </w:tc>
        <w:tc>
          <w:tcPr>
            <w:tcW w:w="475" w:type="dxa"/>
            <w:shd w:val="clear" w:color="auto" w:fill="C6EFCE"/>
            <w:noWrap/>
          </w:tcPr>
          <w:p w14:paraId="65031458" w14:textId="77777777" w:rsidR="00011DE9" w:rsidRDefault="00011DE9">
            <w:pPr>
              <w:pStyle w:val="P68B1DB1-Normal19"/>
              <w:spacing w:after="0"/>
              <w:jc w:val="right"/>
              <w:rPr>
                <w:noProof/>
                <w:highlight w:val="cyan"/>
              </w:rPr>
            </w:pPr>
            <w:r>
              <w:rPr>
                <w:noProof/>
              </w:rPr>
              <w:t xml:space="preserve">210 </w:t>
            </w:r>
          </w:p>
        </w:tc>
        <w:tc>
          <w:tcPr>
            <w:tcW w:w="407" w:type="dxa"/>
            <w:shd w:val="clear" w:color="auto" w:fill="C6EFCE"/>
            <w:noWrap/>
          </w:tcPr>
          <w:p w14:paraId="42304EC8" w14:textId="1B57C9EF" w:rsidR="00011DE9" w:rsidRDefault="005701C9">
            <w:pPr>
              <w:pStyle w:val="P68B1DB1-Normal19"/>
              <w:spacing w:after="0"/>
              <w:jc w:val="center"/>
              <w:rPr>
                <w:noProof/>
                <w:highlight w:val="cyan"/>
              </w:rPr>
            </w:pPr>
            <w:r>
              <w:rPr>
                <w:noProof/>
              </w:rPr>
              <w:t>T2</w:t>
            </w:r>
          </w:p>
        </w:tc>
        <w:tc>
          <w:tcPr>
            <w:tcW w:w="542" w:type="dxa"/>
            <w:shd w:val="clear" w:color="auto" w:fill="C6EFCE"/>
            <w:noWrap/>
          </w:tcPr>
          <w:p w14:paraId="524B2E30" w14:textId="77777777" w:rsidR="00011DE9" w:rsidRDefault="00011DE9">
            <w:pPr>
              <w:pStyle w:val="P68B1DB1-Normal19"/>
              <w:spacing w:after="0"/>
              <w:jc w:val="center"/>
              <w:rPr>
                <w:noProof/>
                <w:highlight w:val="cyan"/>
              </w:rPr>
            </w:pPr>
            <w:r>
              <w:rPr>
                <w:noProof/>
              </w:rPr>
              <w:t>2026</w:t>
            </w:r>
          </w:p>
        </w:tc>
        <w:tc>
          <w:tcPr>
            <w:tcW w:w="6420" w:type="dxa"/>
            <w:gridSpan w:val="2"/>
            <w:shd w:val="clear" w:color="auto" w:fill="C6EFCE"/>
            <w:noWrap/>
          </w:tcPr>
          <w:p w14:paraId="2937D7FB" w14:textId="77777777" w:rsidR="00011DE9" w:rsidRDefault="00011DE9">
            <w:pPr>
              <w:pStyle w:val="P68B1DB1-Normal19"/>
              <w:spacing w:after="0"/>
              <w:rPr>
                <w:noProof/>
                <w:highlight w:val="cyan"/>
              </w:rPr>
            </w:pPr>
            <w:r>
              <w:rPr>
                <w:noProof/>
              </w:rPr>
              <w:t xml:space="preserve"> Se depun declarații fiscale pentru deduceri în valoare totală de 210 milioane EUR legate de achiziționarea de vehicule electrice reîncărcabile și cu pilă de combustie sau de instalarea de puncte de încărcare.</w:t>
            </w:r>
          </w:p>
        </w:tc>
      </w:tr>
    </w:tbl>
    <w:p w14:paraId="789D0D7D" w14:textId="77777777" w:rsidR="00011DE9" w:rsidRDefault="00011DE9">
      <w:pPr>
        <w:pStyle w:val="SectionTitle"/>
        <w:jc w:val="left"/>
        <w:rPr>
          <w:rFonts w:ascii="Times New Roman" w:hAnsi="Times New Roman" w:cs="Times New Roman"/>
          <w:noProof/>
        </w:rPr>
        <w:sectPr w:rsidR="00011DE9" w:rsidSect="00011DE9">
          <w:headerReference w:type="even" r:id="rId384"/>
          <w:headerReference w:type="default" r:id="rId385"/>
          <w:footerReference w:type="even" r:id="rId386"/>
          <w:footerReference w:type="default" r:id="rId387"/>
          <w:headerReference w:type="first" r:id="rId388"/>
          <w:footerReference w:type="first" r:id="rId389"/>
          <w:pgSz w:w="16839" w:h="11907" w:orient="landscape"/>
          <w:pgMar w:top="1134" w:right="1134" w:bottom="1134" w:left="1134" w:header="567" w:footer="567" w:gutter="0"/>
          <w:cols w:space="720"/>
          <w:docGrid w:linePitch="360"/>
        </w:sectPr>
      </w:pPr>
    </w:p>
    <w:p w14:paraId="3C1B676D" w14:textId="77777777" w:rsidR="00011DE9" w:rsidRDefault="00011DE9">
      <w:pPr>
        <w:pStyle w:val="Heading1"/>
        <w:rPr>
          <w:rFonts w:cs="Times New Roman"/>
          <w:noProof/>
        </w:rPr>
      </w:pPr>
      <w:r>
        <w:rPr>
          <w:noProof/>
        </w:rPr>
        <w:t>AC. COMPONENTA 29: Îmbunătățirea eficacității cheltuielilor publice</w:t>
      </w:r>
    </w:p>
    <w:p w14:paraId="025B938C" w14:textId="77777777" w:rsidR="00011DE9" w:rsidRDefault="00011DE9">
      <w:pPr>
        <w:pStyle w:val="P68B1DB1-Text161"/>
        <w:ind w:left="0"/>
        <w:rPr>
          <w:rFonts w:cs="Times New Roman"/>
          <w:noProof/>
        </w:rPr>
      </w:pPr>
      <w:r>
        <w:rPr>
          <w:noProof/>
        </w:rPr>
        <w:t xml:space="preserve">Reformele din cadrul componentei 29 a planului spaniol de redresare și reziliență vizează (i) îmbunătățirea eficacității cheltuielilor publice prin consolidarea cadrului și a practicilor de analiză a cheltuielilor și (ii) alinierea bugetului administrației centrale la obiectivele de dezvoltare durabilă și la principiile „înverzirii” bugetelor. </w:t>
      </w:r>
    </w:p>
    <w:p w14:paraId="0E381843" w14:textId="3451BFD8" w:rsidR="00011DE9" w:rsidRDefault="00011DE9">
      <w:pPr>
        <w:pStyle w:val="P68B1DB1-Text161"/>
        <w:ind w:left="0"/>
        <w:rPr>
          <w:rFonts w:cs="Times New Roman"/>
          <w:noProof/>
        </w:rPr>
      </w:pPr>
      <w:r>
        <w:rPr>
          <w:noProof/>
        </w:rPr>
        <w:t>Obiectivul componentei planului este de a îmbunătăți calitatea cheltuielilor publice, în special prin revizuirea structurii și reorientarea utilizării acestora, de a sprijini creșterea economică și crearea de locuri de muncă și, în cele din urmă, de a face finanțele publice stabile și datoria publică mai sustenabile pe termen mediu. Reformele abordează, de asemenea, provocările generate de noua realitate economică și socială.</w:t>
      </w:r>
      <w:r w:rsidR="00971820">
        <w:rPr>
          <w:noProof/>
        </w:rPr>
        <w:t xml:space="preserve"> </w:t>
      </w:r>
    </w:p>
    <w:p w14:paraId="190770E0" w14:textId="77777777" w:rsidR="00011DE9" w:rsidRDefault="00011DE9">
      <w:pPr>
        <w:pStyle w:val="P68B1DB1-Text161"/>
        <w:ind w:left="0"/>
        <w:rPr>
          <w:rFonts w:cs="Times New Roman"/>
          <w:noProof/>
        </w:rPr>
      </w:pPr>
      <w:r>
        <w:rPr>
          <w:noProof/>
        </w:rPr>
        <w:t>Componenta abordează recomandarea specifică fiecărei țări privind – atunci când condițiile economice permit acest lucru – aplicarea unor politici bugetare menite să realizeze poziții bugetare prudente pe termen mediu și să asigure sustenabilitatea datoriei, încurajând în același timp investițiile (Recomandarea specifică fiecărei țări 1 2020).</w:t>
      </w:r>
    </w:p>
    <w:p w14:paraId="4D820423" w14:textId="77777777" w:rsidR="00011DE9" w:rsidRDefault="00011DE9">
      <w:pPr>
        <w:pStyle w:val="P68B1DB1-Text161"/>
        <w:ind w:left="0"/>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0FE5867D" w14:textId="77777777" w:rsidR="00011DE9" w:rsidRDefault="00011DE9">
      <w:pPr>
        <w:pStyle w:val="Text1"/>
        <w:ind w:left="709"/>
        <w:rPr>
          <w:rFonts w:ascii="Times New Roman" w:hAnsi="Times New Roman" w:cs="Times New Roman"/>
          <w:noProof/>
        </w:rPr>
      </w:pPr>
      <w:r>
        <w:rPr>
          <w:rFonts w:ascii="Times New Roman" w:hAnsi="Times New Roman"/>
          <w:b/>
          <w:noProof/>
          <w:u w:val="single"/>
        </w:rPr>
        <w:t xml:space="preserve">AC.1. </w:t>
      </w:r>
      <w:r>
        <w:rPr>
          <w:noProof/>
        </w:rPr>
        <w:t></w:t>
      </w:r>
      <w:r>
        <w:rPr>
          <w:rFonts w:ascii="Times New Roman" w:hAnsi="Times New Roman"/>
          <w:b/>
          <w:noProof/>
          <w:u w:val="single"/>
        </w:rPr>
        <w:t>Descrierea reformelor și a investițiilor pentru sprijinul financiar nerambursabil</w:t>
      </w:r>
    </w:p>
    <w:p w14:paraId="73651FBB" w14:textId="77777777" w:rsidR="00011DE9" w:rsidRDefault="00011DE9">
      <w:pPr>
        <w:pStyle w:val="P68B1DB1-Text162"/>
        <w:ind w:left="0"/>
        <w:rPr>
          <w:rFonts w:cs="Times New Roman"/>
          <w:noProof/>
        </w:rPr>
      </w:pPr>
      <w:r>
        <w:rPr>
          <w:noProof/>
        </w:rPr>
        <w:t>Reforma 1 (C29.R1) – Procesul de analiză și evaluare a cheltuielilor publice</w:t>
      </w:r>
    </w:p>
    <w:p w14:paraId="097F3D3A" w14:textId="77777777" w:rsidR="00011DE9" w:rsidRDefault="00011DE9">
      <w:pPr>
        <w:pStyle w:val="P68B1DB1-Text161"/>
        <w:ind w:left="0"/>
        <w:rPr>
          <w:rFonts w:cs="Times New Roman"/>
          <w:noProof/>
        </w:rPr>
      </w:pPr>
      <w:r>
        <w:rPr>
          <w:noProof/>
        </w:rPr>
        <w:t>Obiectivul acestei reforme este de a institui un cadru permanent care să asigure îmbunătățirea calității cheltuielilor publice, să consolideze stabilitatea fiscală și sustenabilitatea finanțelor publice. Această reformă conține patru subelemente:</w:t>
      </w:r>
    </w:p>
    <w:p w14:paraId="715C89F2" w14:textId="77777777" w:rsidR="00011DE9" w:rsidRDefault="00011DE9">
      <w:pPr>
        <w:pStyle w:val="P68B1DB1-Text161"/>
        <w:numPr>
          <w:ilvl w:val="0"/>
          <w:numId w:val="190"/>
        </w:numPr>
        <w:rPr>
          <w:rFonts w:cs="Times New Roman"/>
          <w:noProof/>
        </w:rPr>
      </w:pPr>
      <w:r>
        <w:rPr>
          <w:noProof/>
        </w:rPr>
        <w:t xml:space="preserve">Încorporarea în procesul decizional a recomandărilor din analiza cheltuielilor pentru perioada 2018-2020 (faza I și faza II): Pentru a se asigura o monitorizare eficace a recomandărilor din etapele I și II, unităților bugetare cărora li s-au adresat recomandări li se acordă un termen pentru a răspunde la aceste recomandări, în conformitate cu principiul „conformare sau justificare”. Se preconizează că Ministerul Finanțelor va avea sarcina de a monitoriza acțiunile ulterioare și de a elabora un raport anual privind răspunsul la recomandări. </w:t>
      </w:r>
    </w:p>
    <w:p w14:paraId="06250BBE" w14:textId="77777777" w:rsidR="00011DE9" w:rsidRDefault="00011DE9">
      <w:pPr>
        <w:pStyle w:val="P68B1DB1-Text161"/>
        <w:numPr>
          <w:ilvl w:val="0"/>
          <w:numId w:val="190"/>
        </w:numPr>
        <w:rPr>
          <w:rFonts w:cs="Times New Roman"/>
          <w:noProof/>
        </w:rPr>
      </w:pPr>
      <w:r>
        <w:rPr>
          <w:noProof/>
        </w:rPr>
        <w:t xml:space="preserve">Lansarea fazei III a analizei cheltuielilor pentru 2021: Cea de a treia etapă a analizei cheltuielilor este planificată să se axeze pe instrumentele financiare și pe gestionarea deșeurilor municipale; </w:t>
      </w:r>
    </w:p>
    <w:p w14:paraId="56403131" w14:textId="77777777" w:rsidR="00011DE9" w:rsidRDefault="00011DE9">
      <w:pPr>
        <w:pStyle w:val="P68B1DB1-Text151"/>
        <w:numPr>
          <w:ilvl w:val="0"/>
          <w:numId w:val="190"/>
        </w:numPr>
        <w:rPr>
          <w:noProof/>
        </w:rPr>
      </w:pPr>
      <w:r>
        <w:rPr>
          <w:noProof/>
        </w:rPr>
        <w:t xml:space="preserve">Un nou proces de analiză și evaluare a cheltuielilor publice (pentru perioada 2022-2026): Viitoarele analize ale cheltuielilor din acest ciclu vor fi efectuate de autoritatea bugetară independentă (Autoridad Independiente de Responsabilidad Fiscal, AIReF). Orientarea, acoperirea și calendarul acestor revizuiri viitoare sunt decise de Consiliul de Miniștri în urma consultărilor cu AIReF. Scopul este de a publica un raport anual în perioada 2022-2026; </w:t>
      </w:r>
    </w:p>
    <w:p w14:paraId="77AC1557" w14:textId="77777777" w:rsidR="00011DE9" w:rsidRDefault="00011DE9">
      <w:pPr>
        <w:pStyle w:val="P68B1DB1-Text161"/>
        <w:numPr>
          <w:ilvl w:val="0"/>
          <w:numId w:val="190"/>
        </w:numPr>
        <w:rPr>
          <w:rFonts w:cs="Times New Roman"/>
          <w:noProof/>
        </w:rPr>
      </w:pPr>
      <w:r>
        <w:rPr>
          <w:noProof/>
        </w:rPr>
        <w:t>Consolidarea capacității evaluatorului (AIReF): Statutul AIReF se modifică pentru a crea o nouă unitate responsabilă cu analizele cheltuielilor publice.</w:t>
      </w:r>
    </w:p>
    <w:p w14:paraId="1FBBA411" w14:textId="77777777" w:rsidR="00011DE9" w:rsidRDefault="00011DE9">
      <w:pPr>
        <w:pStyle w:val="P68B1DB1-Text161"/>
        <w:ind w:left="0"/>
        <w:rPr>
          <w:rFonts w:cs="Times New Roman"/>
          <w:noProof/>
        </w:rPr>
      </w:pPr>
      <w:r>
        <w:rPr>
          <w:noProof/>
        </w:rPr>
        <w:t xml:space="preserve">Se poate considera că reforma 1 sprijină coerența și alte reforme din planul de redresare și reziliență al Spaniei, în special în ceea ce privește componentele 6, 17, 18, 21, 23 și 28, în cazul cărora recomandările bazate pe etapele I și II ale analizei cheltuielilor au contribuit la aceste priorități de reformă. </w:t>
      </w:r>
    </w:p>
    <w:p w14:paraId="7C91E495" w14:textId="77777777" w:rsidR="00011DE9" w:rsidRDefault="00011DE9">
      <w:pPr>
        <w:pStyle w:val="P68B1DB1-Text161"/>
        <w:ind w:left="0"/>
        <w:rPr>
          <w:rFonts w:cs="Times New Roman"/>
          <w:noProof/>
        </w:rPr>
      </w:pPr>
      <w:r>
        <w:rPr>
          <w:noProof/>
        </w:rPr>
        <w:t>Se preconizează că această reformă va fi finalizată până la 30 iunie 2023.</w:t>
      </w:r>
    </w:p>
    <w:p w14:paraId="03FB221E" w14:textId="77777777" w:rsidR="00011DE9" w:rsidRDefault="00011DE9">
      <w:pPr>
        <w:pStyle w:val="P68B1DB1-Text164"/>
        <w:ind w:left="0"/>
        <w:rPr>
          <w:noProof/>
        </w:rPr>
      </w:pPr>
      <w:r>
        <w:rPr>
          <w:noProof/>
        </w:rPr>
        <w:t>Reforma 2 (C29.R2) – Alinierea bugetului administrației centrale la obiectivele de dezvoltare durabilă ale Agendei 2030</w:t>
      </w:r>
    </w:p>
    <w:p w14:paraId="54588149" w14:textId="77777777" w:rsidR="00011DE9" w:rsidRDefault="00011DE9">
      <w:pPr>
        <w:pStyle w:val="P68B1DB1-Text161"/>
        <w:ind w:left="0"/>
        <w:rPr>
          <w:rFonts w:cs="Times New Roman"/>
          <w:noProof/>
        </w:rPr>
      </w:pPr>
      <w:r>
        <w:rPr>
          <w:noProof/>
        </w:rPr>
        <w:t xml:space="preserve">Obiectivul acestei reforme este de a alinia bugetul de stat la obiectivele de dezvoltare durabilă (ODD), care stau la baza întregului plan. Reforma constă în publicarea unui raport în contextul procesului bugetar de stat care, în conformitate cu o metodologie predefinită, reflectă alinierea investițiilor publice la ODD. Această reformă se bazează pe metodologia și cadrul de monitorizare concepute în prezent cu sprijinul Instrumentului de sprijin tehnic al UE. </w:t>
      </w:r>
    </w:p>
    <w:p w14:paraId="6264A3AF" w14:textId="77777777" w:rsidR="00011DE9" w:rsidRDefault="00011DE9">
      <w:pPr>
        <w:pStyle w:val="P68B1DB1-Text161"/>
        <w:ind w:left="0"/>
        <w:rPr>
          <w:rFonts w:cs="Times New Roman"/>
          <w:noProof/>
        </w:rPr>
      </w:pPr>
      <w:r>
        <w:rPr>
          <w:noProof/>
        </w:rPr>
        <w:t>Punerea în aplicare a măsurii se finalizează până la 30 septembrie 2021.</w:t>
      </w:r>
    </w:p>
    <w:p w14:paraId="49E86C6E" w14:textId="77777777" w:rsidR="00011DE9" w:rsidRDefault="00011DE9">
      <w:pPr>
        <w:pStyle w:val="P68B1DB1-Text162"/>
        <w:ind w:left="0"/>
        <w:rPr>
          <w:rFonts w:cs="Times New Roman"/>
          <w:noProof/>
        </w:rPr>
      </w:pPr>
      <w:r>
        <w:rPr>
          <w:noProof/>
        </w:rPr>
        <w:t>Reforma 3 (C29.R3) – Alinierea bugetului administrației centrale la înverzirea bugetelor</w:t>
      </w:r>
    </w:p>
    <w:p w14:paraId="74949B76" w14:textId="77777777" w:rsidR="00011DE9" w:rsidRDefault="00011DE9">
      <w:pPr>
        <w:pStyle w:val="P68B1DB1-Text161"/>
        <w:ind w:left="0"/>
        <w:rPr>
          <w:rFonts w:cs="Times New Roman"/>
          <w:noProof/>
        </w:rPr>
      </w:pPr>
      <w:r>
        <w:rPr>
          <w:noProof/>
        </w:rPr>
        <w:t>Obiectivul acestei reforme este de a alinia bugetul de stat la cadrul de referință al UE privind înverzirea bugetelor pe termen mediu. Aceasta consolidează reforma 2 și, în general, aspirațiile verzi ale planului. Reforma constă în publicarea a două rapoarte, în contextul procesului bugetar al administrației centrale, care cartografiază cheltuielile verzi și, respectiv, cheltuielile maro în raport cu legile bugetare anuale pentru 2023 și 2024. Această reformă se bazează pe metodologia și cadrul de monitorizare concepute în prezent cu sprijinul Instrumentului de sprijin tehnic al UE.</w:t>
      </w:r>
    </w:p>
    <w:p w14:paraId="041D0677" w14:textId="77777777" w:rsidR="00011DE9" w:rsidRDefault="00011DE9">
      <w:pPr>
        <w:pStyle w:val="P68B1DB1-Text161"/>
        <w:ind w:left="0"/>
        <w:rPr>
          <w:rFonts w:cs="Times New Roman"/>
          <w:noProof/>
        </w:rPr>
      </w:pPr>
      <w:r>
        <w:rPr>
          <w:noProof/>
        </w:rPr>
        <w:t>Punerea în aplicare a măsurii se finalizează până la 30 iunie 2023.</w:t>
      </w:r>
    </w:p>
    <w:p w14:paraId="688DBBCD" w14:textId="77777777" w:rsidR="00011DE9" w:rsidRDefault="00011DE9">
      <w:pPr>
        <w:pStyle w:val="Text1"/>
        <w:ind w:left="709"/>
        <w:rPr>
          <w:rFonts w:ascii="Times New Roman" w:hAnsi="Times New Roman" w:cs="Times New Roman"/>
          <w:b/>
          <w:noProof/>
          <w:szCs w:val="24"/>
          <w:u w:val="single"/>
        </w:rPr>
      </w:pPr>
      <w:r>
        <w:rPr>
          <w:rFonts w:ascii="Times New Roman" w:hAnsi="Times New Roman"/>
          <w:b/>
          <w:noProof/>
          <w:u w:val="single"/>
        </w:rPr>
        <w:t xml:space="preserve">AC.2. </w:t>
      </w:r>
      <w:r>
        <w:rPr>
          <w:noProof/>
        </w:rPr>
        <w:t></w:t>
      </w:r>
      <w:r>
        <w:rPr>
          <w:rFonts w:ascii="Times New Roman" w:hAnsi="Times New Roman"/>
          <w:b/>
          <w:noProof/>
          <w:u w:val="single"/>
        </w:rPr>
        <w:t>Jaloane, ținte, indicatori și calendarul de monitorizare și implementare aplicabile sprijinului financiar nerambursabil</w:t>
      </w:r>
    </w:p>
    <w:p w14:paraId="206A86A2" w14:textId="77777777" w:rsidR="00011DE9" w:rsidRDefault="00011DE9">
      <w:pPr>
        <w:pStyle w:val="P68B1DB1-Normal16"/>
        <w:spacing w:before="120" w:after="120" w:line="240" w:lineRule="auto"/>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r>
        <w:rPr>
          <w:noProof/>
        </w:rPr>
        <w:t xml:space="preserve"> </w:t>
      </w:r>
    </w:p>
    <w:p w14:paraId="31BBC28E" w14:textId="77777777" w:rsidR="00011DE9" w:rsidRDefault="00011DE9">
      <w:pPr>
        <w:pStyle w:val="Text1"/>
        <w:ind w:left="0"/>
        <w:rPr>
          <w:rFonts w:ascii="Times New Roman" w:hAnsi="Times New Roman" w:cs="Times New Roman"/>
          <w:b/>
          <w:bCs/>
          <w:noProof/>
          <w:u w:val="single"/>
        </w:rPr>
      </w:pPr>
    </w:p>
    <w:p w14:paraId="0B2382ED" w14:textId="77777777" w:rsidR="00011DE9" w:rsidRDefault="00011DE9">
      <w:pPr>
        <w:pStyle w:val="Text1"/>
        <w:ind w:left="709"/>
        <w:rPr>
          <w:rFonts w:ascii="Times New Roman" w:hAnsi="Times New Roman" w:cs="Times New Roman"/>
          <w:noProof/>
        </w:rPr>
        <w:sectPr w:rsidR="00011DE9" w:rsidSect="00011DE9">
          <w:headerReference w:type="even" r:id="rId390"/>
          <w:headerReference w:type="default" r:id="rId391"/>
          <w:footerReference w:type="even" r:id="rId392"/>
          <w:footerReference w:type="default" r:id="rId393"/>
          <w:headerReference w:type="first" r:id="rId394"/>
          <w:footerReference w:type="first" r:id="rId395"/>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183"/>
        <w:gridCol w:w="1402"/>
        <w:gridCol w:w="691"/>
        <w:gridCol w:w="966"/>
        <w:gridCol w:w="690"/>
        <w:gridCol w:w="553"/>
        <w:gridCol w:w="553"/>
        <w:gridCol w:w="5924"/>
      </w:tblGrid>
      <w:tr w:rsidR="00011DE9" w14:paraId="72EC91F3" w14:textId="77777777">
        <w:trPr>
          <w:trHeight w:val="309"/>
          <w:tblHeader/>
          <w:jc w:val="center"/>
        </w:trPr>
        <w:tc>
          <w:tcPr>
            <w:tcW w:w="833" w:type="dxa"/>
            <w:vMerge w:val="restart"/>
            <w:shd w:val="clear" w:color="auto" w:fill="B7D4EF"/>
            <w:noWrap/>
            <w:vAlign w:val="center"/>
          </w:tcPr>
          <w:p w14:paraId="6C62808F" w14:textId="77777777" w:rsidR="00011DE9" w:rsidRDefault="00011DE9">
            <w:pPr>
              <w:pStyle w:val="P68B1DB1-Normal18"/>
              <w:spacing w:after="0"/>
              <w:jc w:val="center"/>
              <w:rPr>
                <w:rFonts w:cs="Times New Roman"/>
                <w:noProof/>
                <w:szCs w:val="18"/>
              </w:rPr>
            </w:pPr>
            <w:r>
              <w:rPr>
                <w:noProof/>
              </w:rPr>
              <w:t>Număr</w:t>
            </w:r>
          </w:p>
        </w:tc>
        <w:tc>
          <w:tcPr>
            <w:tcW w:w="829" w:type="dxa"/>
            <w:vMerge w:val="restart"/>
            <w:shd w:val="clear" w:color="auto" w:fill="B7D4EF"/>
            <w:noWrap/>
            <w:vAlign w:val="center"/>
          </w:tcPr>
          <w:p w14:paraId="19EACC36" w14:textId="77777777" w:rsidR="00011DE9" w:rsidRDefault="00011DE9">
            <w:pPr>
              <w:pStyle w:val="P68B1DB1-Normal18"/>
              <w:spacing w:after="0"/>
              <w:jc w:val="center"/>
              <w:rPr>
                <w:rFonts w:cs="Times New Roman"/>
                <w:noProof/>
                <w:szCs w:val="18"/>
              </w:rPr>
            </w:pPr>
            <w:r>
              <w:rPr>
                <w:noProof/>
              </w:rPr>
              <w:t>Măsură</w:t>
            </w:r>
          </w:p>
        </w:tc>
        <w:tc>
          <w:tcPr>
            <w:tcW w:w="828" w:type="dxa"/>
            <w:vMerge w:val="restart"/>
            <w:shd w:val="clear" w:color="auto" w:fill="B7D4EF"/>
            <w:noWrap/>
            <w:vAlign w:val="center"/>
          </w:tcPr>
          <w:p w14:paraId="5FA8FA93" w14:textId="1E89A893" w:rsidR="00011DE9" w:rsidRDefault="00011DE9">
            <w:pPr>
              <w:spacing w:after="0"/>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2183" w:type="dxa"/>
            <w:vMerge w:val="restart"/>
            <w:shd w:val="clear" w:color="auto" w:fill="B7D4EF"/>
            <w:noWrap/>
            <w:vAlign w:val="center"/>
          </w:tcPr>
          <w:p w14:paraId="70A1B3C3" w14:textId="77777777" w:rsidR="00011DE9" w:rsidRDefault="00011DE9">
            <w:pPr>
              <w:pStyle w:val="P68B1DB1-Normal18"/>
              <w:spacing w:after="0"/>
              <w:jc w:val="center"/>
              <w:rPr>
                <w:rFonts w:cs="Times New Roman"/>
                <w:noProof/>
                <w:szCs w:val="18"/>
              </w:rPr>
            </w:pPr>
            <w:r>
              <w:rPr>
                <w:noProof/>
              </w:rPr>
              <w:t>Nume</w:t>
            </w:r>
          </w:p>
        </w:tc>
        <w:tc>
          <w:tcPr>
            <w:tcW w:w="1402" w:type="dxa"/>
            <w:vMerge w:val="restart"/>
            <w:shd w:val="clear" w:color="auto" w:fill="B7D4EF"/>
            <w:noWrap/>
            <w:vAlign w:val="center"/>
          </w:tcPr>
          <w:p w14:paraId="067A424B" w14:textId="77777777" w:rsidR="00011DE9" w:rsidRDefault="00011DE9">
            <w:pPr>
              <w:pStyle w:val="P68B1DB1-Normal18"/>
              <w:spacing w:after="0"/>
              <w:jc w:val="center"/>
              <w:rPr>
                <w:rFonts w:cs="Times New Roman"/>
                <w:noProof/>
                <w:szCs w:val="18"/>
              </w:rPr>
            </w:pPr>
            <w:r>
              <w:rPr>
                <w:noProof/>
              </w:rPr>
              <w:t>Indicator calitativ pentru jaloane</w:t>
            </w:r>
          </w:p>
        </w:tc>
        <w:tc>
          <w:tcPr>
            <w:tcW w:w="2347" w:type="dxa"/>
            <w:gridSpan w:val="3"/>
            <w:shd w:val="clear" w:color="auto" w:fill="B7D4EF"/>
            <w:noWrap/>
            <w:vAlign w:val="center"/>
          </w:tcPr>
          <w:p w14:paraId="1B4DF3DE" w14:textId="77777777" w:rsidR="00011DE9" w:rsidRDefault="00011DE9">
            <w:pPr>
              <w:pStyle w:val="P68B1DB1-Normal18"/>
              <w:spacing w:after="0"/>
              <w:jc w:val="center"/>
              <w:rPr>
                <w:rFonts w:cs="Times New Roman"/>
                <w:noProof/>
                <w:szCs w:val="18"/>
              </w:rPr>
            </w:pPr>
            <w:r>
              <w:rPr>
                <w:noProof/>
              </w:rPr>
              <w:t>Indicator cantitativ pentru ținte</w:t>
            </w:r>
          </w:p>
        </w:tc>
        <w:tc>
          <w:tcPr>
            <w:tcW w:w="1106" w:type="dxa"/>
            <w:gridSpan w:val="2"/>
            <w:shd w:val="clear" w:color="auto" w:fill="B7D4EF"/>
            <w:noWrap/>
            <w:vAlign w:val="center"/>
          </w:tcPr>
          <w:p w14:paraId="18913D1B" w14:textId="77777777" w:rsidR="00011DE9" w:rsidRDefault="00011DE9">
            <w:pPr>
              <w:pStyle w:val="P68B1DB1-Normal18"/>
              <w:spacing w:after="0"/>
              <w:jc w:val="center"/>
              <w:rPr>
                <w:rFonts w:cs="Times New Roman"/>
                <w:noProof/>
                <w:szCs w:val="18"/>
              </w:rPr>
            </w:pPr>
            <w:r>
              <w:rPr>
                <w:noProof/>
              </w:rPr>
              <w:t>Timp</w:t>
            </w:r>
          </w:p>
        </w:tc>
        <w:tc>
          <w:tcPr>
            <w:tcW w:w="5924" w:type="dxa"/>
            <w:vMerge w:val="restart"/>
            <w:shd w:val="clear" w:color="auto" w:fill="B7D4EF"/>
            <w:noWrap/>
            <w:vAlign w:val="center"/>
          </w:tcPr>
          <w:p w14:paraId="16E1E3CB" w14:textId="77777777" w:rsidR="00011DE9" w:rsidRDefault="00011DE9">
            <w:pPr>
              <w:pStyle w:val="P68B1DB1-Normal18"/>
              <w:spacing w:after="0"/>
              <w:jc w:val="center"/>
              <w:rPr>
                <w:rFonts w:cs="Times New Roman"/>
                <w:noProof/>
                <w:szCs w:val="18"/>
              </w:rPr>
            </w:pPr>
            <w:r>
              <w:rPr>
                <w:noProof/>
              </w:rPr>
              <w:t>Descrierea fiecărui jalon și a fiecărei ținte</w:t>
            </w:r>
          </w:p>
        </w:tc>
      </w:tr>
      <w:tr w:rsidR="00011DE9" w14:paraId="55A3309A" w14:textId="77777777">
        <w:trPr>
          <w:trHeight w:val="309"/>
          <w:tblHeader/>
          <w:jc w:val="center"/>
        </w:trPr>
        <w:tc>
          <w:tcPr>
            <w:tcW w:w="833" w:type="dxa"/>
            <w:vMerge/>
            <w:noWrap/>
          </w:tcPr>
          <w:p w14:paraId="78A801BF" w14:textId="77777777" w:rsidR="00011DE9" w:rsidRDefault="00011DE9">
            <w:pPr>
              <w:spacing w:after="0"/>
              <w:jc w:val="center"/>
              <w:rPr>
                <w:rFonts w:ascii="Times New Roman" w:hAnsi="Times New Roman" w:cs="Times New Roman"/>
                <w:b/>
                <w:noProof/>
                <w:sz w:val="18"/>
                <w:szCs w:val="18"/>
              </w:rPr>
            </w:pPr>
          </w:p>
        </w:tc>
        <w:tc>
          <w:tcPr>
            <w:tcW w:w="829" w:type="dxa"/>
            <w:vMerge/>
            <w:noWrap/>
          </w:tcPr>
          <w:p w14:paraId="605800EF" w14:textId="77777777" w:rsidR="00011DE9" w:rsidRDefault="00011DE9">
            <w:pPr>
              <w:spacing w:after="0"/>
              <w:jc w:val="center"/>
              <w:rPr>
                <w:rFonts w:ascii="Times New Roman" w:hAnsi="Times New Roman" w:cs="Times New Roman"/>
                <w:b/>
                <w:noProof/>
                <w:sz w:val="18"/>
                <w:szCs w:val="18"/>
              </w:rPr>
            </w:pPr>
          </w:p>
        </w:tc>
        <w:tc>
          <w:tcPr>
            <w:tcW w:w="828" w:type="dxa"/>
            <w:vMerge/>
            <w:noWrap/>
          </w:tcPr>
          <w:p w14:paraId="2B28B71A" w14:textId="77777777" w:rsidR="00011DE9" w:rsidRDefault="00011DE9">
            <w:pPr>
              <w:spacing w:after="0"/>
              <w:jc w:val="center"/>
              <w:rPr>
                <w:rFonts w:ascii="Times New Roman" w:hAnsi="Times New Roman" w:cs="Times New Roman"/>
                <w:b/>
                <w:noProof/>
                <w:sz w:val="18"/>
                <w:szCs w:val="18"/>
              </w:rPr>
            </w:pPr>
          </w:p>
        </w:tc>
        <w:tc>
          <w:tcPr>
            <w:tcW w:w="2183" w:type="dxa"/>
            <w:vMerge/>
            <w:noWrap/>
          </w:tcPr>
          <w:p w14:paraId="540537F6" w14:textId="77777777" w:rsidR="00011DE9" w:rsidRDefault="00011DE9">
            <w:pPr>
              <w:spacing w:after="0"/>
              <w:rPr>
                <w:rFonts w:ascii="Times New Roman" w:hAnsi="Times New Roman" w:cs="Times New Roman"/>
                <w:b/>
                <w:noProof/>
                <w:sz w:val="18"/>
                <w:szCs w:val="18"/>
              </w:rPr>
            </w:pPr>
          </w:p>
        </w:tc>
        <w:tc>
          <w:tcPr>
            <w:tcW w:w="1402" w:type="dxa"/>
            <w:vMerge/>
            <w:noWrap/>
          </w:tcPr>
          <w:p w14:paraId="6740B833" w14:textId="77777777" w:rsidR="00011DE9" w:rsidRDefault="00011DE9">
            <w:pPr>
              <w:spacing w:after="0"/>
              <w:jc w:val="center"/>
              <w:rPr>
                <w:rFonts w:ascii="Times New Roman" w:hAnsi="Times New Roman" w:cs="Times New Roman"/>
                <w:b/>
                <w:noProof/>
                <w:sz w:val="18"/>
                <w:szCs w:val="18"/>
              </w:rPr>
            </w:pPr>
          </w:p>
        </w:tc>
        <w:tc>
          <w:tcPr>
            <w:tcW w:w="691" w:type="dxa"/>
            <w:shd w:val="clear" w:color="auto" w:fill="B7D4EF"/>
            <w:noWrap/>
            <w:vAlign w:val="center"/>
          </w:tcPr>
          <w:p w14:paraId="38E76295" w14:textId="77777777" w:rsidR="00011DE9" w:rsidRDefault="00011DE9">
            <w:pPr>
              <w:pStyle w:val="P68B1DB1-Normal18"/>
              <w:spacing w:after="0"/>
              <w:jc w:val="center"/>
              <w:rPr>
                <w:rFonts w:cs="Times New Roman"/>
                <w:noProof/>
                <w:szCs w:val="18"/>
              </w:rPr>
            </w:pPr>
            <w:r>
              <w:rPr>
                <w:noProof/>
              </w:rPr>
              <w:t>Unitate</w:t>
            </w:r>
          </w:p>
        </w:tc>
        <w:tc>
          <w:tcPr>
            <w:tcW w:w="966" w:type="dxa"/>
            <w:shd w:val="clear" w:color="auto" w:fill="B7D4EF"/>
            <w:noWrap/>
            <w:vAlign w:val="center"/>
          </w:tcPr>
          <w:p w14:paraId="1FBDB0BE" w14:textId="77777777" w:rsidR="00011DE9" w:rsidRDefault="00011DE9">
            <w:pPr>
              <w:pStyle w:val="P68B1DB1-Normal18"/>
              <w:spacing w:after="0"/>
              <w:jc w:val="center"/>
              <w:rPr>
                <w:rFonts w:cs="Times New Roman"/>
                <w:noProof/>
                <w:szCs w:val="18"/>
              </w:rPr>
            </w:pPr>
            <w:r>
              <w:rPr>
                <w:noProof/>
              </w:rPr>
              <w:t>Situația de referință</w:t>
            </w:r>
          </w:p>
        </w:tc>
        <w:tc>
          <w:tcPr>
            <w:tcW w:w="690" w:type="dxa"/>
            <w:shd w:val="clear" w:color="auto" w:fill="B7D4EF"/>
            <w:noWrap/>
            <w:vAlign w:val="center"/>
          </w:tcPr>
          <w:p w14:paraId="4B322EDB" w14:textId="77777777" w:rsidR="00011DE9" w:rsidRDefault="00011DE9">
            <w:pPr>
              <w:pStyle w:val="P68B1DB1-Normal18"/>
              <w:spacing w:after="0"/>
              <w:jc w:val="center"/>
              <w:rPr>
                <w:rFonts w:cs="Times New Roman"/>
                <w:noProof/>
                <w:szCs w:val="18"/>
              </w:rPr>
            </w:pPr>
            <w:r>
              <w:rPr>
                <w:noProof/>
              </w:rPr>
              <w:t>Obiectiv</w:t>
            </w:r>
          </w:p>
        </w:tc>
        <w:tc>
          <w:tcPr>
            <w:tcW w:w="553" w:type="dxa"/>
            <w:shd w:val="clear" w:color="auto" w:fill="B7D4EF"/>
            <w:noWrap/>
            <w:vAlign w:val="center"/>
          </w:tcPr>
          <w:p w14:paraId="5F3C6C7C" w14:textId="285DBA95" w:rsidR="00011DE9" w:rsidRDefault="003010A3">
            <w:pPr>
              <w:pStyle w:val="P68B1DB1-Normal18"/>
              <w:spacing w:after="0"/>
              <w:jc w:val="center"/>
              <w:rPr>
                <w:rFonts w:cs="Times New Roman"/>
                <w:noProof/>
                <w:szCs w:val="18"/>
              </w:rPr>
            </w:pPr>
            <w:r>
              <w:rPr>
                <w:noProof/>
              </w:rPr>
              <w:t>T</w:t>
            </w:r>
          </w:p>
        </w:tc>
        <w:tc>
          <w:tcPr>
            <w:tcW w:w="553" w:type="dxa"/>
            <w:shd w:val="clear" w:color="auto" w:fill="B7D4EF"/>
            <w:noWrap/>
            <w:vAlign w:val="center"/>
          </w:tcPr>
          <w:p w14:paraId="2C1AC496" w14:textId="77777777" w:rsidR="00011DE9" w:rsidRDefault="00011DE9">
            <w:pPr>
              <w:pStyle w:val="P68B1DB1-Normal18"/>
              <w:spacing w:after="0"/>
              <w:jc w:val="center"/>
              <w:rPr>
                <w:rFonts w:cs="Times New Roman"/>
                <w:noProof/>
                <w:szCs w:val="18"/>
              </w:rPr>
            </w:pPr>
            <w:r>
              <w:rPr>
                <w:noProof/>
              </w:rPr>
              <w:t>Anul</w:t>
            </w:r>
          </w:p>
        </w:tc>
        <w:tc>
          <w:tcPr>
            <w:tcW w:w="5924" w:type="dxa"/>
            <w:vMerge/>
            <w:noWrap/>
          </w:tcPr>
          <w:p w14:paraId="19F48BC8" w14:textId="77777777" w:rsidR="00011DE9" w:rsidRDefault="00011DE9">
            <w:pPr>
              <w:spacing w:after="0"/>
              <w:rPr>
                <w:rFonts w:ascii="Times New Roman" w:hAnsi="Times New Roman" w:cs="Times New Roman"/>
                <w:b/>
                <w:noProof/>
                <w:sz w:val="18"/>
                <w:szCs w:val="18"/>
              </w:rPr>
            </w:pPr>
          </w:p>
        </w:tc>
      </w:tr>
      <w:tr w:rsidR="00011DE9" w14:paraId="311CF4F8" w14:textId="77777777">
        <w:trPr>
          <w:trHeight w:val="309"/>
          <w:jc w:val="center"/>
        </w:trPr>
        <w:tc>
          <w:tcPr>
            <w:tcW w:w="833" w:type="dxa"/>
            <w:shd w:val="clear" w:color="auto" w:fill="C6EFCE"/>
            <w:noWrap/>
          </w:tcPr>
          <w:p w14:paraId="708C5F94" w14:textId="77777777" w:rsidR="00011DE9" w:rsidRDefault="00011DE9">
            <w:pPr>
              <w:pStyle w:val="P68B1DB1-Normal19"/>
              <w:spacing w:after="0"/>
              <w:jc w:val="center"/>
              <w:rPr>
                <w:rFonts w:eastAsia="Times New Roman"/>
                <w:noProof/>
              </w:rPr>
            </w:pPr>
            <w:r>
              <w:rPr>
                <w:noProof/>
              </w:rPr>
              <w:t>397</w:t>
            </w:r>
          </w:p>
        </w:tc>
        <w:tc>
          <w:tcPr>
            <w:tcW w:w="829" w:type="dxa"/>
            <w:shd w:val="clear" w:color="auto" w:fill="C6EFCE"/>
            <w:noWrap/>
          </w:tcPr>
          <w:p w14:paraId="543BB696" w14:textId="77777777" w:rsidR="00011DE9" w:rsidRDefault="00011DE9">
            <w:pPr>
              <w:pStyle w:val="P68B1DB1-Normal19"/>
              <w:spacing w:after="0"/>
              <w:jc w:val="center"/>
              <w:rPr>
                <w:rFonts w:eastAsia="Times New Roman"/>
                <w:noProof/>
              </w:rPr>
            </w:pPr>
            <w:r>
              <w:rPr>
                <w:noProof/>
              </w:rPr>
              <w:t>C29.R1</w:t>
            </w:r>
          </w:p>
        </w:tc>
        <w:tc>
          <w:tcPr>
            <w:tcW w:w="828" w:type="dxa"/>
            <w:shd w:val="clear" w:color="auto" w:fill="C6EFCE"/>
            <w:noWrap/>
          </w:tcPr>
          <w:p w14:paraId="11D88238" w14:textId="77777777" w:rsidR="00011DE9" w:rsidRDefault="00011DE9">
            <w:pPr>
              <w:pStyle w:val="P68B1DB1-Normal19"/>
              <w:spacing w:after="0"/>
              <w:jc w:val="center"/>
              <w:rPr>
                <w:rFonts w:eastAsia="Times New Roman"/>
                <w:noProof/>
              </w:rPr>
            </w:pPr>
            <w:r>
              <w:rPr>
                <w:noProof/>
              </w:rPr>
              <w:t>M</w:t>
            </w:r>
          </w:p>
        </w:tc>
        <w:tc>
          <w:tcPr>
            <w:tcW w:w="2183" w:type="dxa"/>
            <w:shd w:val="clear" w:color="auto" w:fill="C6EFCE"/>
            <w:noWrap/>
          </w:tcPr>
          <w:p w14:paraId="3A085D22" w14:textId="77777777" w:rsidR="00011DE9" w:rsidRDefault="00011DE9">
            <w:pPr>
              <w:pStyle w:val="P68B1DB1-Normal19"/>
              <w:spacing w:after="0" w:line="240" w:lineRule="auto"/>
              <w:rPr>
                <w:rFonts w:eastAsia="Times New Roman"/>
                <w:noProof/>
              </w:rPr>
            </w:pPr>
            <w:r>
              <w:rPr>
                <w:noProof/>
              </w:rPr>
              <w:t>Înființarea unei echipe permanente în cadrul Ministerului Finanțelor pentru monitorizarea activă a punerii în aplicare a rezultatelor analizei cheltuielilor și aprobarea Ordinului de elaborare a legii bugetare anuale</w:t>
            </w:r>
          </w:p>
        </w:tc>
        <w:tc>
          <w:tcPr>
            <w:tcW w:w="1402" w:type="dxa"/>
            <w:shd w:val="clear" w:color="auto" w:fill="C6EFCE"/>
            <w:noWrap/>
          </w:tcPr>
          <w:p w14:paraId="6DE9C36E" w14:textId="77777777" w:rsidR="00011DE9" w:rsidRDefault="00011DE9">
            <w:pPr>
              <w:pStyle w:val="P68B1DB1-Normal19"/>
              <w:spacing w:after="0" w:line="240" w:lineRule="auto"/>
              <w:jc w:val="center"/>
              <w:rPr>
                <w:rFonts w:eastAsia="Times New Roman"/>
                <w:noProof/>
              </w:rPr>
            </w:pPr>
            <w:r>
              <w:rPr>
                <w:noProof/>
              </w:rPr>
              <w:t>Dispoziții ale legislației care indică intrarea sa în vigoare. Ordinea de elaborare a legii bugetare anuale</w:t>
            </w:r>
          </w:p>
        </w:tc>
        <w:tc>
          <w:tcPr>
            <w:tcW w:w="691" w:type="dxa"/>
            <w:shd w:val="clear" w:color="auto" w:fill="C6EFCE"/>
            <w:noWrap/>
          </w:tcPr>
          <w:p w14:paraId="3BFB4A3F" w14:textId="77777777" w:rsidR="00011DE9" w:rsidRDefault="00011DE9">
            <w:pPr>
              <w:pStyle w:val="P68B1DB1-Normal19"/>
              <w:spacing w:after="0"/>
              <w:jc w:val="center"/>
              <w:rPr>
                <w:rFonts w:eastAsia="Times New Roman"/>
                <w:noProof/>
              </w:rPr>
            </w:pPr>
            <w:r>
              <w:rPr>
                <w:noProof/>
              </w:rPr>
              <w:t xml:space="preserve"> </w:t>
            </w:r>
          </w:p>
        </w:tc>
        <w:tc>
          <w:tcPr>
            <w:tcW w:w="966" w:type="dxa"/>
            <w:shd w:val="clear" w:color="auto" w:fill="C6EFCE"/>
            <w:noWrap/>
          </w:tcPr>
          <w:p w14:paraId="325C3352" w14:textId="77777777" w:rsidR="00011DE9" w:rsidRDefault="00011DE9">
            <w:pPr>
              <w:pStyle w:val="P68B1DB1-Normal19"/>
              <w:spacing w:after="0"/>
              <w:jc w:val="right"/>
              <w:rPr>
                <w:rFonts w:eastAsia="Times New Roman"/>
                <w:noProof/>
              </w:rPr>
            </w:pPr>
            <w:r>
              <w:rPr>
                <w:noProof/>
              </w:rPr>
              <w:t xml:space="preserve"> </w:t>
            </w:r>
          </w:p>
        </w:tc>
        <w:tc>
          <w:tcPr>
            <w:tcW w:w="690" w:type="dxa"/>
            <w:shd w:val="clear" w:color="auto" w:fill="C6EFCE"/>
            <w:noWrap/>
          </w:tcPr>
          <w:p w14:paraId="1629A1DD" w14:textId="77777777" w:rsidR="00011DE9" w:rsidRDefault="00011DE9">
            <w:pPr>
              <w:pStyle w:val="P68B1DB1-Normal19"/>
              <w:spacing w:after="0"/>
              <w:jc w:val="right"/>
              <w:rPr>
                <w:rFonts w:eastAsia="Times New Roman"/>
                <w:noProof/>
              </w:rPr>
            </w:pPr>
            <w:r>
              <w:rPr>
                <w:noProof/>
              </w:rPr>
              <w:t xml:space="preserve"> </w:t>
            </w:r>
          </w:p>
        </w:tc>
        <w:tc>
          <w:tcPr>
            <w:tcW w:w="553" w:type="dxa"/>
            <w:shd w:val="clear" w:color="auto" w:fill="C6EFCE"/>
            <w:noWrap/>
          </w:tcPr>
          <w:p w14:paraId="5633634A" w14:textId="7D1EBBFC" w:rsidR="00011DE9" w:rsidRDefault="005701C9">
            <w:pPr>
              <w:pStyle w:val="P68B1DB1-Normal19"/>
              <w:spacing w:after="0"/>
              <w:jc w:val="center"/>
              <w:rPr>
                <w:rFonts w:eastAsia="Times New Roman"/>
                <w:noProof/>
              </w:rPr>
            </w:pPr>
            <w:r>
              <w:rPr>
                <w:noProof/>
              </w:rPr>
              <w:t>T2</w:t>
            </w:r>
          </w:p>
        </w:tc>
        <w:tc>
          <w:tcPr>
            <w:tcW w:w="553" w:type="dxa"/>
            <w:shd w:val="clear" w:color="auto" w:fill="C6EFCE"/>
            <w:noWrap/>
          </w:tcPr>
          <w:p w14:paraId="0C74FD14" w14:textId="77777777" w:rsidR="00011DE9" w:rsidRDefault="00011DE9">
            <w:pPr>
              <w:pStyle w:val="P68B1DB1-Normal19"/>
              <w:spacing w:after="0"/>
              <w:jc w:val="center"/>
              <w:rPr>
                <w:rFonts w:eastAsia="Times New Roman"/>
                <w:noProof/>
              </w:rPr>
            </w:pPr>
            <w:r>
              <w:rPr>
                <w:noProof/>
              </w:rPr>
              <w:t>2021</w:t>
            </w:r>
          </w:p>
        </w:tc>
        <w:tc>
          <w:tcPr>
            <w:tcW w:w="5924" w:type="dxa"/>
            <w:shd w:val="clear" w:color="auto" w:fill="C6EFCE"/>
            <w:noWrap/>
          </w:tcPr>
          <w:p w14:paraId="7F1DB104" w14:textId="77777777" w:rsidR="00011DE9" w:rsidRDefault="00011DE9">
            <w:pPr>
              <w:pStyle w:val="P68B1DB1-Normal19"/>
              <w:spacing w:after="0" w:line="240" w:lineRule="auto"/>
              <w:rPr>
                <w:rFonts w:eastAsia="Times New Roman"/>
                <w:noProof/>
              </w:rPr>
            </w:pPr>
            <w:r>
              <w:rPr>
                <w:noProof/>
              </w:rPr>
              <w:t>Intrarea în vigoare (i) a înființării în cadrul Ministerului Finanțelor (în cadrul Secretariatului de Stat pentru Buget și Cheltuieli) a unei echipe permanente pentru monitorizarea activă a punerii în aplicare a rezultatelor analizelor cheltuielilor, promovând principiul „conformare sau justificare”; și (ii) a angajamentului Ministerului Finanțelor de a publica un raport anual cu răspunsuri la toate recomandările de analiză a cheltuielilor emise de AIReF. Ordinul de elaborare a Legii bugetare anuale include angajamentul Administrației Centrale și a Securității Sociale de a monitoriza și de a urmări pe parcursul ciclului bugetar recomandările analizelor cheltuielilor, inclusiv măsurile care au fost puse în aplicare sau care sunt programate să fie puse în aplicare în anul următor.</w:t>
            </w:r>
          </w:p>
        </w:tc>
      </w:tr>
      <w:tr w:rsidR="00011DE9" w14:paraId="0BE77408" w14:textId="77777777">
        <w:trPr>
          <w:trHeight w:val="309"/>
          <w:jc w:val="center"/>
        </w:trPr>
        <w:tc>
          <w:tcPr>
            <w:tcW w:w="833" w:type="dxa"/>
            <w:shd w:val="clear" w:color="auto" w:fill="C6EFCE"/>
            <w:noWrap/>
          </w:tcPr>
          <w:p w14:paraId="3EEE9427" w14:textId="77777777" w:rsidR="00011DE9" w:rsidRDefault="00011DE9">
            <w:pPr>
              <w:pStyle w:val="P68B1DB1-Normal19"/>
              <w:spacing w:after="0"/>
              <w:jc w:val="center"/>
              <w:rPr>
                <w:rFonts w:eastAsia="Times New Roman"/>
                <w:noProof/>
              </w:rPr>
            </w:pPr>
            <w:r>
              <w:rPr>
                <w:noProof/>
              </w:rPr>
              <w:t>398</w:t>
            </w:r>
          </w:p>
        </w:tc>
        <w:tc>
          <w:tcPr>
            <w:tcW w:w="829" w:type="dxa"/>
            <w:shd w:val="clear" w:color="auto" w:fill="C6EFCE"/>
            <w:noWrap/>
          </w:tcPr>
          <w:p w14:paraId="61B66FA3" w14:textId="77777777" w:rsidR="00011DE9" w:rsidRDefault="00011DE9">
            <w:pPr>
              <w:pStyle w:val="P68B1DB1-Normal19"/>
              <w:spacing w:after="0"/>
              <w:jc w:val="center"/>
              <w:rPr>
                <w:rFonts w:eastAsia="Times New Roman"/>
                <w:noProof/>
              </w:rPr>
            </w:pPr>
            <w:r>
              <w:rPr>
                <w:noProof/>
              </w:rPr>
              <w:t>C29.R1</w:t>
            </w:r>
          </w:p>
        </w:tc>
        <w:tc>
          <w:tcPr>
            <w:tcW w:w="828" w:type="dxa"/>
            <w:shd w:val="clear" w:color="auto" w:fill="C6EFCE"/>
            <w:noWrap/>
          </w:tcPr>
          <w:p w14:paraId="2EE5A764" w14:textId="77777777" w:rsidR="00011DE9" w:rsidRDefault="00011DE9">
            <w:pPr>
              <w:pStyle w:val="P68B1DB1-Normal19"/>
              <w:spacing w:after="0"/>
              <w:jc w:val="center"/>
              <w:rPr>
                <w:rFonts w:eastAsia="Times New Roman"/>
                <w:noProof/>
              </w:rPr>
            </w:pPr>
            <w:r>
              <w:rPr>
                <w:noProof/>
              </w:rPr>
              <w:t>M</w:t>
            </w:r>
          </w:p>
        </w:tc>
        <w:tc>
          <w:tcPr>
            <w:tcW w:w="2183" w:type="dxa"/>
            <w:shd w:val="clear" w:color="auto" w:fill="C6EFCE"/>
            <w:noWrap/>
          </w:tcPr>
          <w:p w14:paraId="3B5385BD" w14:textId="77777777" w:rsidR="00011DE9" w:rsidRDefault="00011DE9">
            <w:pPr>
              <w:pStyle w:val="P68B1DB1-Normal19"/>
              <w:spacing w:after="0"/>
              <w:rPr>
                <w:rFonts w:eastAsia="Times New Roman"/>
                <w:noProof/>
              </w:rPr>
            </w:pPr>
            <w:r>
              <w:rPr>
                <w:noProof/>
              </w:rPr>
              <w:t>Faza III a analizei cheltuielilor</w:t>
            </w:r>
          </w:p>
        </w:tc>
        <w:tc>
          <w:tcPr>
            <w:tcW w:w="1402" w:type="dxa"/>
            <w:shd w:val="clear" w:color="auto" w:fill="C6EFCE"/>
            <w:noWrap/>
          </w:tcPr>
          <w:p w14:paraId="0E3E7868" w14:textId="77777777" w:rsidR="00011DE9" w:rsidRDefault="00011DE9">
            <w:pPr>
              <w:pStyle w:val="P68B1DB1-Normal19"/>
              <w:spacing w:after="0" w:line="240" w:lineRule="auto"/>
              <w:jc w:val="center"/>
              <w:rPr>
                <w:rFonts w:eastAsia="Times New Roman"/>
                <w:noProof/>
              </w:rPr>
            </w:pPr>
            <w:r>
              <w:rPr>
                <w:noProof/>
              </w:rPr>
              <w:t>Aprobarea de către Consiliul de Miniștri</w:t>
            </w:r>
          </w:p>
        </w:tc>
        <w:tc>
          <w:tcPr>
            <w:tcW w:w="691" w:type="dxa"/>
            <w:shd w:val="clear" w:color="auto" w:fill="C6EFCE"/>
            <w:noWrap/>
          </w:tcPr>
          <w:p w14:paraId="0D9DF1F8" w14:textId="77777777" w:rsidR="00011DE9" w:rsidRDefault="00011DE9">
            <w:pPr>
              <w:pStyle w:val="P68B1DB1-Normal19"/>
              <w:spacing w:after="0"/>
              <w:jc w:val="center"/>
              <w:rPr>
                <w:rFonts w:eastAsia="Times New Roman"/>
                <w:noProof/>
              </w:rPr>
            </w:pPr>
            <w:r>
              <w:rPr>
                <w:noProof/>
              </w:rPr>
              <w:t xml:space="preserve"> </w:t>
            </w:r>
          </w:p>
        </w:tc>
        <w:tc>
          <w:tcPr>
            <w:tcW w:w="966" w:type="dxa"/>
            <w:shd w:val="clear" w:color="auto" w:fill="C6EFCE"/>
            <w:noWrap/>
          </w:tcPr>
          <w:p w14:paraId="7F5875CE" w14:textId="77777777" w:rsidR="00011DE9" w:rsidRDefault="00011DE9">
            <w:pPr>
              <w:pStyle w:val="P68B1DB1-Normal19"/>
              <w:spacing w:after="0"/>
              <w:jc w:val="right"/>
              <w:rPr>
                <w:rFonts w:eastAsia="Times New Roman"/>
                <w:noProof/>
              </w:rPr>
            </w:pPr>
            <w:r>
              <w:rPr>
                <w:noProof/>
              </w:rPr>
              <w:t xml:space="preserve"> </w:t>
            </w:r>
          </w:p>
        </w:tc>
        <w:tc>
          <w:tcPr>
            <w:tcW w:w="690" w:type="dxa"/>
            <w:shd w:val="clear" w:color="auto" w:fill="C6EFCE"/>
            <w:noWrap/>
          </w:tcPr>
          <w:p w14:paraId="7FAC614F" w14:textId="77777777" w:rsidR="00011DE9" w:rsidRDefault="00011DE9">
            <w:pPr>
              <w:pStyle w:val="P68B1DB1-Normal19"/>
              <w:spacing w:after="0"/>
              <w:jc w:val="right"/>
              <w:rPr>
                <w:rFonts w:eastAsia="Times New Roman"/>
                <w:noProof/>
              </w:rPr>
            </w:pPr>
            <w:r>
              <w:rPr>
                <w:noProof/>
              </w:rPr>
              <w:t xml:space="preserve"> </w:t>
            </w:r>
          </w:p>
        </w:tc>
        <w:tc>
          <w:tcPr>
            <w:tcW w:w="553" w:type="dxa"/>
            <w:shd w:val="clear" w:color="auto" w:fill="C6EFCE"/>
            <w:noWrap/>
          </w:tcPr>
          <w:p w14:paraId="131E0F1C" w14:textId="799C4BF9" w:rsidR="00011DE9" w:rsidRDefault="005701C9">
            <w:pPr>
              <w:pStyle w:val="P68B1DB1-Normal19"/>
              <w:spacing w:after="0"/>
              <w:jc w:val="center"/>
              <w:rPr>
                <w:rFonts w:eastAsia="Times New Roman"/>
                <w:noProof/>
              </w:rPr>
            </w:pPr>
            <w:r>
              <w:rPr>
                <w:noProof/>
              </w:rPr>
              <w:t>T2</w:t>
            </w:r>
          </w:p>
        </w:tc>
        <w:tc>
          <w:tcPr>
            <w:tcW w:w="553" w:type="dxa"/>
            <w:shd w:val="clear" w:color="auto" w:fill="C6EFCE"/>
            <w:noWrap/>
          </w:tcPr>
          <w:p w14:paraId="03365EF2" w14:textId="77777777" w:rsidR="00011DE9" w:rsidRDefault="00011DE9">
            <w:pPr>
              <w:pStyle w:val="P68B1DB1-Normal19"/>
              <w:spacing w:after="0"/>
              <w:jc w:val="center"/>
              <w:rPr>
                <w:rFonts w:eastAsia="Times New Roman"/>
                <w:noProof/>
              </w:rPr>
            </w:pPr>
            <w:r>
              <w:rPr>
                <w:noProof/>
              </w:rPr>
              <w:t>2021</w:t>
            </w:r>
          </w:p>
        </w:tc>
        <w:tc>
          <w:tcPr>
            <w:tcW w:w="5924" w:type="dxa"/>
            <w:shd w:val="clear" w:color="auto" w:fill="C6EFCE"/>
            <w:noWrap/>
          </w:tcPr>
          <w:p w14:paraId="57E51F1D" w14:textId="77777777" w:rsidR="00011DE9" w:rsidRDefault="00011DE9">
            <w:pPr>
              <w:pStyle w:val="P68B1DB1-Normal19"/>
              <w:spacing w:after="0" w:line="240" w:lineRule="auto"/>
              <w:rPr>
                <w:rFonts w:eastAsia="Times New Roman"/>
                <w:noProof/>
              </w:rPr>
            </w:pPr>
            <w:r>
              <w:rPr>
                <w:noProof/>
              </w:rPr>
              <w:t xml:space="preserve">Consiliul de Miniștri decide cu privire la lansarea fazei III a analizei cheltuielilor în 2021. Cea de a treia etapă a analizei cheltuielilor abordează cel puțin două domenii: instrumente financiare și gestionarea deșeurilor municipale. Analiza cheltuielilor este efectuată de AIReF. </w:t>
            </w:r>
          </w:p>
        </w:tc>
      </w:tr>
      <w:tr w:rsidR="00011DE9" w14:paraId="211AF272" w14:textId="77777777">
        <w:trPr>
          <w:trHeight w:val="309"/>
          <w:jc w:val="center"/>
        </w:trPr>
        <w:tc>
          <w:tcPr>
            <w:tcW w:w="833" w:type="dxa"/>
            <w:shd w:val="clear" w:color="auto" w:fill="C6EFCE"/>
            <w:noWrap/>
          </w:tcPr>
          <w:p w14:paraId="495B0EE1" w14:textId="77777777" w:rsidR="00011DE9" w:rsidRDefault="00011DE9">
            <w:pPr>
              <w:pStyle w:val="P68B1DB1-Normal19"/>
              <w:spacing w:after="0"/>
              <w:jc w:val="center"/>
              <w:rPr>
                <w:noProof/>
              </w:rPr>
            </w:pPr>
            <w:r>
              <w:rPr>
                <w:noProof/>
              </w:rPr>
              <w:t>399</w:t>
            </w:r>
          </w:p>
        </w:tc>
        <w:tc>
          <w:tcPr>
            <w:tcW w:w="829" w:type="dxa"/>
            <w:shd w:val="clear" w:color="auto" w:fill="C6EFCE"/>
            <w:noWrap/>
          </w:tcPr>
          <w:p w14:paraId="45569B84" w14:textId="77777777" w:rsidR="00011DE9" w:rsidRDefault="00011DE9">
            <w:pPr>
              <w:pStyle w:val="P68B1DB1-Normal19"/>
              <w:spacing w:after="0"/>
              <w:jc w:val="center"/>
              <w:rPr>
                <w:noProof/>
              </w:rPr>
            </w:pPr>
            <w:r>
              <w:rPr>
                <w:noProof/>
              </w:rPr>
              <w:t>C29.R1</w:t>
            </w:r>
          </w:p>
        </w:tc>
        <w:tc>
          <w:tcPr>
            <w:tcW w:w="828" w:type="dxa"/>
            <w:shd w:val="clear" w:color="auto" w:fill="C6EFCE"/>
            <w:noWrap/>
          </w:tcPr>
          <w:p w14:paraId="2698DF43" w14:textId="77777777" w:rsidR="00011DE9" w:rsidRDefault="00011DE9">
            <w:pPr>
              <w:pStyle w:val="P68B1DB1-Normal19"/>
              <w:spacing w:after="0"/>
              <w:jc w:val="center"/>
              <w:rPr>
                <w:noProof/>
              </w:rPr>
            </w:pPr>
            <w:r>
              <w:rPr>
                <w:noProof/>
              </w:rPr>
              <w:t>M</w:t>
            </w:r>
          </w:p>
        </w:tc>
        <w:tc>
          <w:tcPr>
            <w:tcW w:w="2183" w:type="dxa"/>
            <w:shd w:val="clear" w:color="auto" w:fill="C6EFCE"/>
            <w:noWrap/>
          </w:tcPr>
          <w:p w14:paraId="51B9CBAE" w14:textId="77777777" w:rsidR="00011DE9" w:rsidRDefault="00011DE9">
            <w:pPr>
              <w:pStyle w:val="P68B1DB1-Normal19"/>
              <w:spacing w:after="0" w:line="240" w:lineRule="auto"/>
              <w:rPr>
                <w:noProof/>
              </w:rPr>
            </w:pPr>
            <w:r>
              <w:rPr>
                <w:noProof/>
              </w:rPr>
              <w:t>Crearea unei unități permanente în cadrul AIReF, responsabilă cu efectuarea analizelor cheltuielilor mandatate de guvern.</w:t>
            </w:r>
          </w:p>
        </w:tc>
        <w:tc>
          <w:tcPr>
            <w:tcW w:w="1402" w:type="dxa"/>
            <w:shd w:val="clear" w:color="auto" w:fill="C6EFCE"/>
            <w:noWrap/>
          </w:tcPr>
          <w:p w14:paraId="5FC7B0D8" w14:textId="77777777" w:rsidR="00011DE9" w:rsidRDefault="00011DE9">
            <w:pPr>
              <w:pStyle w:val="P68B1DB1-Normal19"/>
              <w:spacing w:after="0" w:line="240" w:lineRule="auto"/>
              <w:jc w:val="center"/>
              <w:rPr>
                <w:noProof/>
              </w:rPr>
            </w:pPr>
            <w:r>
              <w:rPr>
                <w:noProof/>
              </w:rPr>
              <w:t>Dispoziții ale DR care indică intrarea sa în vigoare</w:t>
            </w:r>
          </w:p>
        </w:tc>
        <w:tc>
          <w:tcPr>
            <w:tcW w:w="691" w:type="dxa"/>
            <w:shd w:val="clear" w:color="auto" w:fill="C6EFCE"/>
            <w:noWrap/>
          </w:tcPr>
          <w:p w14:paraId="0AD8381F" w14:textId="77777777" w:rsidR="00011DE9" w:rsidRDefault="00011DE9">
            <w:pPr>
              <w:pStyle w:val="P68B1DB1-Normal19"/>
              <w:spacing w:after="0"/>
              <w:jc w:val="center"/>
              <w:rPr>
                <w:noProof/>
              </w:rPr>
            </w:pPr>
            <w:r>
              <w:rPr>
                <w:noProof/>
              </w:rPr>
              <w:t xml:space="preserve"> </w:t>
            </w:r>
          </w:p>
        </w:tc>
        <w:tc>
          <w:tcPr>
            <w:tcW w:w="966" w:type="dxa"/>
            <w:shd w:val="clear" w:color="auto" w:fill="C6EFCE"/>
            <w:noWrap/>
          </w:tcPr>
          <w:p w14:paraId="23EDB516" w14:textId="77777777" w:rsidR="00011DE9" w:rsidRDefault="00011DE9">
            <w:pPr>
              <w:pStyle w:val="P68B1DB1-Normal19"/>
              <w:spacing w:after="0"/>
              <w:jc w:val="right"/>
              <w:rPr>
                <w:noProof/>
              </w:rPr>
            </w:pPr>
            <w:r>
              <w:rPr>
                <w:noProof/>
              </w:rPr>
              <w:t xml:space="preserve"> </w:t>
            </w:r>
          </w:p>
        </w:tc>
        <w:tc>
          <w:tcPr>
            <w:tcW w:w="690" w:type="dxa"/>
            <w:shd w:val="clear" w:color="auto" w:fill="C6EFCE"/>
            <w:noWrap/>
          </w:tcPr>
          <w:p w14:paraId="7148CCD4" w14:textId="77777777" w:rsidR="00011DE9" w:rsidRDefault="00011DE9">
            <w:pPr>
              <w:pStyle w:val="P68B1DB1-Normal19"/>
              <w:spacing w:after="0"/>
              <w:jc w:val="right"/>
              <w:rPr>
                <w:noProof/>
              </w:rPr>
            </w:pPr>
            <w:r>
              <w:rPr>
                <w:noProof/>
              </w:rPr>
              <w:t xml:space="preserve"> </w:t>
            </w:r>
          </w:p>
        </w:tc>
        <w:tc>
          <w:tcPr>
            <w:tcW w:w="553" w:type="dxa"/>
            <w:shd w:val="clear" w:color="auto" w:fill="C6EFCE"/>
            <w:noWrap/>
          </w:tcPr>
          <w:p w14:paraId="10E6D7EE" w14:textId="4501DF25" w:rsidR="00011DE9" w:rsidRDefault="005701C9">
            <w:pPr>
              <w:pStyle w:val="P68B1DB1-Normal19"/>
              <w:spacing w:after="0"/>
              <w:jc w:val="center"/>
              <w:rPr>
                <w:noProof/>
              </w:rPr>
            </w:pPr>
            <w:r>
              <w:rPr>
                <w:noProof/>
              </w:rPr>
              <w:t>T2</w:t>
            </w:r>
          </w:p>
        </w:tc>
        <w:tc>
          <w:tcPr>
            <w:tcW w:w="553" w:type="dxa"/>
            <w:shd w:val="clear" w:color="auto" w:fill="C6EFCE"/>
            <w:noWrap/>
          </w:tcPr>
          <w:p w14:paraId="02F68322" w14:textId="77777777" w:rsidR="00011DE9" w:rsidRDefault="00011DE9">
            <w:pPr>
              <w:pStyle w:val="P68B1DB1-Normal19"/>
              <w:spacing w:after="0"/>
              <w:jc w:val="center"/>
              <w:rPr>
                <w:noProof/>
              </w:rPr>
            </w:pPr>
            <w:r>
              <w:rPr>
                <w:noProof/>
              </w:rPr>
              <w:t>2021</w:t>
            </w:r>
          </w:p>
        </w:tc>
        <w:tc>
          <w:tcPr>
            <w:tcW w:w="5924" w:type="dxa"/>
            <w:shd w:val="clear" w:color="auto" w:fill="C6EFCE"/>
            <w:noWrap/>
          </w:tcPr>
          <w:p w14:paraId="46114F45" w14:textId="77777777" w:rsidR="00011DE9" w:rsidRDefault="00011DE9">
            <w:pPr>
              <w:pStyle w:val="P68B1DB1-Normal19"/>
              <w:spacing w:after="0" w:line="240" w:lineRule="auto"/>
              <w:rPr>
                <w:noProof/>
              </w:rPr>
            </w:pPr>
            <w:r>
              <w:rPr>
                <w:noProof/>
              </w:rPr>
              <w:t xml:space="preserve">Intrarea în vigoare a modificării Decretului regal 215/2014 din Statutul organic al AIReF, prin crearea unei unități permanente responsabile cu efectuarea analizelor cheltuielilor comandate de guvern. </w:t>
            </w:r>
          </w:p>
        </w:tc>
      </w:tr>
      <w:tr w:rsidR="00011DE9" w14:paraId="2DA9FFD5" w14:textId="77777777">
        <w:trPr>
          <w:trHeight w:val="309"/>
          <w:jc w:val="center"/>
        </w:trPr>
        <w:tc>
          <w:tcPr>
            <w:tcW w:w="833" w:type="dxa"/>
            <w:shd w:val="clear" w:color="auto" w:fill="C6EFCE"/>
            <w:noWrap/>
          </w:tcPr>
          <w:p w14:paraId="21D3CADE" w14:textId="77777777" w:rsidR="00011DE9" w:rsidRDefault="00011DE9">
            <w:pPr>
              <w:pStyle w:val="P68B1DB1-Normal19"/>
              <w:spacing w:after="0"/>
              <w:jc w:val="center"/>
              <w:rPr>
                <w:rFonts w:eastAsia="Times New Roman"/>
                <w:noProof/>
              </w:rPr>
            </w:pPr>
            <w:r>
              <w:rPr>
                <w:noProof/>
              </w:rPr>
              <w:t>400</w:t>
            </w:r>
          </w:p>
        </w:tc>
        <w:tc>
          <w:tcPr>
            <w:tcW w:w="829" w:type="dxa"/>
            <w:shd w:val="clear" w:color="auto" w:fill="C6EFCE"/>
            <w:noWrap/>
          </w:tcPr>
          <w:p w14:paraId="551A7D1D" w14:textId="77777777" w:rsidR="00011DE9" w:rsidRDefault="00011DE9">
            <w:pPr>
              <w:pStyle w:val="P68B1DB1-Normal19"/>
              <w:spacing w:after="0"/>
              <w:jc w:val="center"/>
              <w:rPr>
                <w:rFonts w:eastAsia="Times New Roman"/>
                <w:noProof/>
              </w:rPr>
            </w:pPr>
            <w:r>
              <w:rPr>
                <w:noProof/>
              </w:rPr>
              <w:t>C29.R1</w:t>
            </w:r>
          </w:p>
        </w:tc>
        <w:tc>
          <w:tcPr>
            <w:tcW w:w="828" w:type="dxa"/>
            <w:shd w:val="clear" w:color="auto" w:fill="C6EFCE"/>
            <w:noWrap/>
          </w:tcPr>
          <w:p w14:paraId="743EB2E6" w14:textId="77777777" w:rsidR="00011DE9" w:rsidRDefault="00011DE9">
            <w:pPr>
              <w:pStyle w:val="P68B1DB1-Normal19"/>
              <w:spacing w:after="0"/>
              <w:jc w:val="center"/>
              <w:rPr>
                <w:rFonts w:eastAsia="Times New Roman"/>
                <w:noProof/>
              </w:rPr>
            </w:pPr>
            <w:r>
              <w:rPr>
                <w:noProof/>
              </w:rPr>
              <w:t>M</w:t>
            </w:r>
          </w:p>
        </w:tc>
        <w:tc>
          <w:tcPr>
            <w:tcW w:w="2183" w:type="dxa"/>
            <w:shd w:val="clear" w:color="auto" w:fill="C6EFCE"/>
            <w:noWrap/>
          </w:tcPr>
          <w:p w14:paraId="24621AF1" w14:textId="77777777" w:rsidR="00011DE9" w:rsidRDefault="00011DE9">
            <w:pPr>
              <w:pStyle w:val="P68B1DB1-Normal19"/>
              <w:spacing w:after="0" w:line="240" w:lineRule="auto"/>
              <w:rPr>
                <w:rFonts w:eastAsia="Times New Roman"/>
                <w:noProof/>
              </w:rPr>
            </w:pPr>
            <w:r>
              <w:rPr>
                <w:noProof/>
              </w:rPr>
              <w:t>Aprobarea de către Consiliul de Miniștri a noului ciclu (2022-26) de analize ale cheltuielilor care urmează să fie încredințate AIReF.</w:t>
            </w:r>
          </w:p>
        </w:tc>
        <w:tc>
          <w:tcPr>
            <w:tcW w:w="1402" w:type="dxa"/>
            <w:shd w:val="clear" w:color="auto" w:fill="C6EFCE"/>
            <w:noWrap/>
          </w:tcPr>
          <w:p w14:paraId="62B04CEA" w14:textId="77777777" w:rsidR="00011DE9" w:rsidRDefault="00011DE9">
            <w:pPr>
              <w:pStyle w:val="P68B1DB1-Normal19"/>
              <w:spacing w:after="0" w:line="240" w:lineRule="auto"/>
              <w:jc w:val="center"/>
              <w:rPr>
                <w:rFonts w:eastAsia="Times New Roman"/>
                <w:noProof/>
              </w:rPr>
            </w:pPr>
            <w:r>
              <w:rPr>
                <w:noProof/>
              </w:rPr>
              <w:t>Dispoziție din acordul Consiliului de Miniștri care indică intrarea sa în vigoare</w:t>
            </w:r>
          </w:p>
        </w:tc>
        <w:tc>
          <w:tcPr>
            <w:tcW w:w="691" w:type="dxa"/>
            <w:shd w:val="clear" w:color="auto" w:fill="C6EFCE"/>
            <w:noWrap/>
          </w:tcPr>
          <w:p w14:paraId="2083A425" w14:textId="77777777" w:rsidR="00011DE9" w:rsidRDefault="00011DE9">
            <w:pPr>
              <w:pStyle w:val="P68B1DB1-Normal19"/>
              <w:spacing w:after="0"/>
              <w:jc w:val="center"/>
              <w:rPr>
                <w:rFonts w:eastAsia="Times New Roman"/>
                <w:noProof/>
              </w:rPr>
            </w:pPr>
            <w:r>
              <w:rPr>
                <w:noProof/>
              </w:rPr>
              <w:t xml:space="preserve"> </w:t>
            </w:r>
          </w:p>
        </w:tc>
        <w:tc>
          <w:tcPr>
            <w:tcW w:w="966" w:type="dxa"/>
            <w:shd w:val="clear" w:color="auto" w:fill="C6EFCE"/>
            <w:noWrap/>
          </w:tcPr>
          <w:p w14:paraId="753CF1EF" w14:textId="77777777" w:rsidR="00011DE9" w:rsidRDefault="00011DE9">
            <w:pPr>
              <w:pStyle w:val="P68B1DB1-Normal19"/>
              <w:spacing w:after="0"/>
              <w:jc w:val="right"/>
              <w:rPr>
                <w:rFonts w:eastAsia="Times New Roman"/>
                <w:noProof/>
              </w:rPr>
            </w:pPr>
            <w:r>
              <w:rPr>
                <w:noProof/>
              </w:rPr>
              <w:t xml:space="preserve"> </w:t>
            </w:r>
          </w:p>
        </w:tc>
        <w:tc>
          <w:tcPr>
            <w:tcW w:w="690" w:type="dxa"/>
            <w:shd w:val="clear" w:color="auto" w:fill="C6EFCE"/>
            <w:noWrap/>
          </w:tcPr>
          <w:p w14:paraId="3E1A5D81" w14:textId="77777777" w:rsidR="00011DE9" w:rsidRDefault="00011DE9">
            <w:pPr>
              <w:pStyle w:val="P68B1DB1-Normal19"/>
              <w:spacing w:after="0"/>
              <w:rPr>
                <w:rFonts w:eastAsia="Times New Roman"/>
                <w:noProof/>
              </w:rPr>
            </w:pPr>
            <w:r>
              <w:rPr>
                <w:noProof/>
              </w:rPr>
              <w:t xml:space="preserve"> </w:t>
            </w:r>
          </w:p>
        </w:tc>
        <w:tc>
          <w:tcPr>
            <w:tcW w:w="553" w:type="dxa"/>
            <w:shd w:val="clear" w:color="auto" w:fill="C6EFCE"/>
            <w:noWrap/>
          </w:tcPr>
          <w:p w14:paraId="1481E520" w14:textId="44A3E14F" w:rsidR="00011DE9" w:rsidRDefault="005701C9">
            <w:pPr>
              <w:pStyle w:val="P68B1DB1-Normal19"/>
              <w:spacing w:after="0"/>
              <w:jc w:val="center"/>
              <w:rPr>
                <w:rFonts w:eastAsia="Times New Roman"/>
                <w:noProof/>
              </w:rPr>
            </w:pPr>
            <w:r>
              <w:rPr>
                <w:noProof/>
              </w:rPr>
              <w:t>T4</w:t>
            </w:r>
          </w:p>
        </w:tc>
        <w:tc>
          <w:tcPr>
            <w:tcW w:w="553" w:type="dxa"/>
            <w:shd w:val="clear" w:color="auto" w:fill="C6EFCE"/>
            <w:noWrap/>
          </w:tcPr>
          <w:p w14:paraId="563FA622" w14:textId="77777777" w:rsidR="00011DE9" w:rsidRDefault="00011DE9">
            <w:pPr>
              <w:pStyle w:val="P68B1DB1-Normal19"/>
              <w:spacing w:after="0"/>
              <w:jc w:val="center"/>
              <w:rPr>
                <w:rFonts w:eastAsia="Times New Roman"/>
                <w:noProof/>
              </w:rPr>
            </w:pPr>
            <w:r>
              <w:rPr>
                <w:noProof/>
              </w:rPr>
              <w:t>2021</w:t>
            </w:r>
          </w:p>
        </w:tc>
        <w:tc>
          <w:tcPr>
            <w:tcW w:w="5924" w:type="dxa"/>
            <w:shd w:val="clear" w:color="auto" w:fill="C6EFCE"/>
            <w:noWrap/>
          </w:tcPr>
          <w:p w14:paraId="62D55851" w14:textId="77777777" w:rsidR="00011DE9" w:rsidRDefault="00011DE9">
            <w:pPr>
              <w:pStyle w:val="P68B1DB1-Normal19"/>
              <w:spacing w:after="0" w:line="240" w:lineRule="auto"/>
              <w:rPr>
                <w:rFonts w:eastAsia="Times New Roman"/>
                <w:noProof/>
              </w:rPr>
            </w:pPr>
            <w:r>
              <w:rPr>
                <w:noProof/>
              </w:rPr>
              <w:t xml:space="preserve">Noul ciclu multianual de revizuire a cheltuielilor publice acoperă perioada 2022-2026. Pentru a planifica în mod corespunzător cererea și pentru a colecta informațiile necesare pentru fiecare etapă a analizei cheltuielilor, după consultarea AIReF, Consiliul de Miniștri decide și publică cel puțin domeniile de politică, entitățile publice în cauză și perioadele de timp care urmează să fie acoperite de analiză, precum și aspectele metodologice relevante. </w:t>
            </w:r>
          </w:p>
        </w:tc>
      </w:tr>
      <w:tr w:rsidR="00011DE9" w14:paraId="1157EF16" w14:textId="77777777">
        <w:trPr>
          <w:trHeight w:val="390"/>
          <w:jc w:val="center"/>
        </w:trPr>
        <w:tc>
          <w:tcPr>
            <w:tcW w:w="833" w:type="dxa"/>
            <w:shd w:val="clear" w:color="auto" w:fill="C6EFCE"/>
            <w:noWrap/>
          </w:tcPr>
          <w:p w14:paraId="6DC85123" w14:textId="77777777" w:rsidR="00011DE9" w:rsidRDefault="00011DE9">
            <w:pPr>
              <w:pStyle w:val="P68B1DB1-Normal19"/>
              <w:spacing w:after="0"/>
              <w:jc w:val="center"/>
              <w:rPr>
                <w:rFonts w:eastAsia="Times New Roman"/>
                <w:noProof/>
              </w:rPr>
            </w:pPr>
            <w:r>
              <w:rPr>
                <w:noProof/>
              </w:rPr>
              <w:t>401</w:t>
            </w:r>
          </w:p>
        </w:tc>
        <w:tc>
          <w:tcPr>
            <w:tcW w:w="829" w:type="dxa"/>
            <w:shd w:val="clear" w:color="auto" w:fill="C6EFCE"/>
            <w:noWrap/>
          </w:tcPr>
          <w:p w14:paraId="38DDA5D9" w14:textId="77777777" w:rsidR="00011DE9" w:rsidRDefault="00011DE9">
            <w:pPr>
              <w:pStyle w:val="P68B1DB1-Normal19"/>
              <w:spacing w:after="0"/>
              <w:jc w:val="center"/>
              <w:rPr>
                <w:rFonts w:eastAsia="Times New Roman"/>
                <w:noProof/>
              </w:rPr>
            </w:pPr>
            <w:r>
              <w:rPr>
                <w:noProof/>
              </w:rPr>
              <w:t>C29.R1</w:t>
            </w:r>
          </w:p>
        </w:tc>
        <w:tc>
          <w:tcPr>
            <w:tcW w:w="828" w:type="dxa"/>
            <w:shd w:val="clear" w:color="auto" w:fill="C6EFCE"/>
            <w:noWrap/>
          </w:tcPr>
          <w:p w14:paraId="2A3052AB" w14:textId="77777777" w:rsidR="00011DE9" w:rsidRDefault="00011DE9">
            <w:pPr>
              <w:pStyle w:val="P68B1DB1-Normal19"/>
              <w:spacing w:after="0"/>
              <w:jc w:val="center"/>
              <w:rPr>
                <w:rFonts w:eastAsia="Times New Roman"/>
                <w:noProof/>
              </w:rPr>
            </w:pPr>
            <w:r>
              <w:rPr>
                <w:noProof/>
              </w:rPr>
              <w:t>M</w:t>
            </w:r>
          </w:p>
        </w:tc>
        <w:tc>
          <w:tcPr>
            <w:tcW w:w="2183" w:type="dxa"/>
            <w:shd w:val="clear" w:color="auto" w:fill="C6EFCE"/>
            <w:noWrap/>
          </w:tcPr>
          <w:p w14:paraId="1AE045FC" w14:textId="77777777" w:rsidR="00011DE9" w:rsidRDefault="00011DE9">
            <w:pPr>
              <w:pStyle w:val="P68B1DB1-Normal19"/>
              <w:spacing w:after="0" w:line="240" w:lineRule="auto"/>
              <w:rPr>
                <w:rFonts w:eastAsia="Times New Roman"/>
                <w:noProof/>
              </w:rPr>
            </w:pPr>
            <w:r>
              <w:rPr>
                <w:noProof/>
              </w:rPr>
              <w:t>Publicarea unui raport de monitorizare</w:t>
            </w:r>
          </w:p>
        </w:tc>
        <w:tc>
          <w:tcPr>
            <w:tcW w:w="1402" w:type="dxa"/>
            <w:shd w:val="clear" w:color="auto" w:fill="C6EFCE"/>
            <w:noWrap/>
          </w:tcPr>
          <w:p w14:paraId="28E9A28D" w14:textId="77777777" w:rsidR="00011DE9" w:rsidRDefault="00011DE9">
            <w:pPr>
              <w:pStyle w:val="P68B1DB1-Normal19"/>
              <w:spacing w:after="0" w:line="240" w:lineRule="auto"/>
              <w:jc w:val="center"/>
              <w:rPr>
                <w:rFonts w:eastAsia="Times New Roman"/>
                <w:noProof/>
              </w:rPr>
            </w:pPr>
            <w:r>
              <w:rPr>
                <w:noProof/>
              </w:rPr>
              <w:t>Publicare pe pagina de internet a Ministerului de Finanțe</w:t>
            </w:r>
          </w:p>
        </w:tc>
        <w:tc>
          <w:tcPr>
            <w:tcW w:w="691" w:type="dxa"/>
            <w:shd w:val="clear" w:color="auto" w:fill="C6EFCE"/>
            <w:noWrap/>
          </w:tcPr>
          <w:p w14:paraId="260DB212" w14:textId="77777777" w:rsidR="00011DE9" w:rsidRDefault="00011DE9">
            <w:pPr>
              <w:pStyle w:val="P68B1DB1-Normal19"/>
              <w:spacing w:after="0"/>
              <w:jc w:val="center"/>
              <w:rPr>
                <w:rFonts w:eastAsia="Times New Roman"/>
                <w:noProof/>
              </w:rPr>
            </w:pPr>
            <w:r>
              <w:rPr>
                <w:noProof/>
              </w:rPr>
              <w:t xml:space="preserve"> </w:t>
            </w:r>
          </w:p>
        </w:tc>
        <w:tc>
          <w:tcPr>
            <w:tcW w:w="966" w:type="dxa"/>
            <w:shd w:val="clear" w:color="auto" w:fill="C6EFCE"/>
            <w:noWrap/>
          </w:tcPr>
          <w:p w14:paraId="767534E0" w14:textId="77777777" w:rsidR="00011DE9" w:rsidRDefault="00011DE9">
            <w:pPr>
              <w:pStyle w:val="P68B1DB1-Normal19"/>
              <w:spacing w:after="0"/>
              <w:jc w:val="right"/>
              <w:rPr>
                <w:rFonts w:eastAsia="Times New Roman"/>
                <w:noProof/>
              </w:rPr>
            </w:pPr>
            <w:r>
              <w:rPr>
                <w:noProof/>
              </w:rPr>
              <w:t xml:space="preserve"> </w:t>
            </w:r>
          </w:p>
        </w:tc>
        <w:tc>
          <w:tcPr>
            <w:tcW w:w="690" w:type="dxa"/>
            <w:shd w:val="clear" w:color="auto" w:fill="C6EFCE"/>
            <w:noWrap/>
          </w:tcPr>
          <w:p w14:paraId="097A7B80" w14:textId="77777777" w:rsidR="00011DE9" w:rsidRDefault="00011DE9">
            <w:pPr>
              <w:pStyle w:val="P68B1DB1-Normal19"/>
              <w:spacing w:after="0"/>
              <w:jc w:val="right"/>
              <w:rPr>
                <w:rFonts w:eastAsia="Times New Roman"/>
                <w:noProof/>
              </w:rPr>
            </w:pPr>
            <w:r>
              <w:rPr>
                <w:noProof/>
              </w:rPr>
              <w:t xml:space="preserve"> </w:t>
            </w:r>
          </w:p>
        </w:tc>
        <w:tc>
          <w:tcPr>
            <w:tcW w:w="553" w:type="dxa"/>
            <w:shd w:val="clear" w:color="auto" w:fill="C6EFCE"/>
            <w:noWrap/>
          </w:tcPr>
          <w:p w14:paraId="3AE0965F" w14:textId="3EC6A306" w:rsidR="00011DE9" w:rsidRDefault="003010A3">
            <w:pPr>
              <w:pStyle w:val="P68B1DB1-Normal19"/>
              <w:spacing w:after="0"/>
              <w:jc w:val="center"/>
              <w:rPr>
                <w:rFonts w:eastAsia="Times New Roman"/>
                <w:noProof/>
              </w:rPr>
            </w:pPr>
            <w:r>
              <w:rPr>
                <w:noProof/>
              </w:rPr>
              <w:t>T1</w:t>
            </w:r>
          </w:p>
        </w:tc>
        <w:tc>
          <w:tcPr>
            <w:tcW w:w="553" w:type="dxa"/>
            <w:shd w:val="clear" w:color="auto" w:fill="C6EFCE"/>
            <w:noWrap/>
          </w:tcPr>
          <w:p w14:paraId="54F58F2E" w14:textId="77777777" w:rsidR="00011DE9" w:rsidRDefault="00011DE9">
            <w:pPr>
              <w:pStyle w:val="P68B1DB1-Normal19"/>
              <w:spacing w:after="0"/>
              <w:jc w:val="center"/>
              <w:rPr>
                <w:rFonts w:eastAsia="Times New Roman"/>
                <w:noProof/>
              </w:rPr>
            </w:pPr>
            <w:r>
              <w:rPr>
                <w:noProof/>
              </w:rPr>
              <w:t>2022</w:t>
            </w:r>
          </w:p>
        </w:tc>
        <w:tc>
          <w:tcPr>
            <w:tcW w:w="5924" w:type="dxa"/>
            <w:shd w:val="clear" w:color="auto" w:fill="C6EFCE"/>
            <w:noWrap/>
          </w:tcPr>
          <w:p w14:paraId="6B82BB4A" w14:textId="77777777" w:rsidR="00011DE9" w:rsidRDefault="00011DE9">
            <w:pPr>
              <w:pStyle w:val="P68B1DB1-Normal19"/>
              <w:spacing w:after="0" w:line="240" w:lineRule="auto"/>
              <w:rPr>
                <w:rFonts w:eastAsia="Times New Roman"/>
                <w:noProof/>
              </w:rPr>
            </w:pPr>
            <w:r>
              <w:rPr>
                <w:noProof/>
              </w:rPr>
              <w:t>Publicarea anuală a unui raport de monitorizare. Raportul enumeră recomandările emise de AIReF și detaliază modificările normative sau alte măsuri luate pentru a le aborda. În cazul în care centrele de cheltuieli cărora li se adresează recomandările nu sunt de acord cu acestea, se include o justificare adecvată.</w:t>
            </w:r>
          </w:p>
        </w:tc>
      </w:tr>
      <w:tr w:rsidR="00011DE9" w14:paraId="28C75B99" w14:textId="77777777">
        <w:trPr>
          <w:trHeight w:val="309"/>
          <w:jc w:val="center"/>
        </w:trPr>
        <w:tc>
          <w:tcPr>
            <w:tcW w:w="833" w:type="dxa"/>
            <w:shd w:val="clear" w:color="auto" w:fill="C6EFCE"/>
            <w:noWrap/>
          </w:tcPr>
          <w:p w14:paraId="757BD35D" w14:textId="77777777" w:rsidR="00011DE9" w:rsidRDefault="00011DE9">
            <w:pPr>
              <w:pStyle w:val="P68B1DB1-Normal19"/>
              <w:spacing w:after="0"/>
              <w:jc w:val="center"/>
              <w:rPr>
                <w:rFonts w:eastAsia="Times New Roman"/>
                <w:noProof/>
              </w:rPr>
            </w:pPr>
            <w:r>
              <w:rPr>
                <w:noProof/>
              </w:rPr>
              <w:t>402</w:t>
            </w:r>
          </w:p>
        </w:tc>
        <w:tc>
          <w:tcPr>
            <w:tcW w:w="829" w:type="dxa"/>
            <w:shd w:val="clear" w:color="auto" w:fill="C6EFCE"/>
            <w:noWrap/>
          </w:tcPr>
          <w:p w14:paraId="2A6895B7" w14:textId="77777777" w:rsidR="00011DE9" w:rsidRDefault="00011DE9">
            <w:pPr>
              <w:pStyle w:val="P68B1DB1-Normal19"/>
              <w:spacing w:after="0"/>
              <w:jc w:val="center"/>
              <w:rPr>
                <w:rFonts w:eastAsia="Times New Roman"/>
                <w:noProof/>
              </w:rPr>
            </w:pPr>
            <w:r>
              <w:rPr>
                <w:noProof/>
              </w:rPr>
              <w:t>C29.R1</w:t>
            </w:r>
          </w:p>
        </w:tc>
        <w:tc>
          <w:tcPr>
            <w:tcW w:w="828" w:type="dxa"/>
            <w:shd w:val="clear" w:color="auto" w:fill="C6EFCE"/>
            <w:noWrap/>
          </w:tcPr>
          <w:p w14:paraId="09445BEF" w14:textId="77777777" w:rsidR="00011DE9" w:rsidRDefault="00011DE9">
            <w:pPr>
              <w:pStyle w:val="P68B1DB1-Normal19"/>
              <w:spacing w:after="0"/>
              <w:jc w:val="center"/>
              <w:rPr>
                <w:rFonts w:eastAsia="Times New Roman"/>
                <w:noProof/>
              </w:rPr>
            </w:pPr>
            <w:r>
              <w:rPr>
                <w:noProof/>
              </w:rPr>
              <w:t>M</w:t>
            </w:r>
          </w:p>
        </w:tc>
        <w:tc>
          <w:tcPr>
            <w:tcW w:w="2183" w:type="dxa"/>
            <w:shd w:val="clear" w:color="auto" w:fill="C6EFCE"/>
            <w:noWrap/>
          </w:tcPr>
          <w:p w14:paraId="1E879A1F" w14:textId="77777777" w:rsidR="00011DE9" w:rsidRDefault="00011DE9">
            <w:pPr>
              <w:pStyle w:val="P68B1DB1-Normal19"/>
              <w:spacing w:after="0" w:line="240" w:lineRule="auto"/>
              <w:rPr>
                <w:rFonts w:eastAsia="Times New Roman"/>
                <w:noProof/>
              </w:rPr>
            </w:pPr>
            <w:r>
              <w:rPr>
                <w:noProof/>
              </w:rPr>
              <w:t>Faza III a analizei cheltuielilor</w:t>
            </w:r>
          </w:p>
        </w:tc>
        <w:tc>
          <w:tcPr>
            <w:tcW w:w="1402" w:type="dxa"/>
            <w:shd w:val="clear" w:color="auto" w:fill="C6EFCE"/>
            <w:noWrap/>
          </w:tcPr>
          <w:p w14:paraId="533056E0" w14:textId="77777777" w:rsidR="00011DE9" w:rsidRDefault="00011DE9">
            <w:pPr>
              <w:pStyle w:val="P68B1DB1-Normal19"/>
              <w:spacing w:after="0" w:line="240" w:lineRule="auto"/>
              <w:jc w:val="center"/>
              <w:rPr>
                <w:rFonts w:eastAsia="Times New Roman"/>
                <w:noProof/>
              </w:rPr>
            </w:pPr>
            <w:r>
              <w:rPr>
                <w:noProof/>
              </w:rPr>
              <w:t>Publicarea rapoartelor pe pagina web a AIReF</w:t>
            </w:r>
          </w:p>
        </w:tc>
        <w:tc>
          <w:tcPr>
            <w:tcW w:w="691" w:type="dxa"/>
            <w:shd w:val="clear" w:color="auto" w:fill="C6EFCE"/>
            <w:noWrap/>
          </w:tcPr>
          <w:p w14:paraId="0081B163" w14:textId="77777777" w:rsidR="00011DE9" w:rsidRDefault="00011DE9">
            <w:pPr>
              <w:pStyle w:val="P68B1DB1-Normal19"/>
              <w:spacing w:after="0"/>
              <w:jc w:val="center"/>
              <w:rPr>
                <w:rFonts w:eastAsia="Times New Roman"/>
                <w:noProof/>
              </w:rPr>
            </w:pPr>
            <w:r>
              <w:rPr>
                <w:noProof/>
              </w:rPr>
              <w:t xml:space="preserve"> </w:t>
            </w:r>
          </w:p>
        </w:tc>
        <w:tc>
          <w:tcPr>
            <w:tcW w:w="966" w:type="dxa"/>
            <w:shd w:val="clear" w:color="auto" w:fill="C6EFCE"/>
            <w:noWrap/>
          </w:tcPr>
          <w:p w14:paraId="0A7EC68F" w14:textId="77777777" w:rsidR="00011DE9" w:rsidRDefault="00011DE9">
            <w:pPr>
              <w:pStyle w:val="P68B1DB1-Normal19"/>
              <w:spacing w:after="0"/>
              <w:jc w:val="right"/>
              <w:rPr>
                <w:rFonts w:eastAsia="Times New Roman"/>
                <w:noProof/>
              </w:rPr>
            </w:pPr>
            <w:r>
              <w:rPr>
                <w:noProof/>
              </w:rPr>
              <w:t xml:space="preserve"> </w:t>
            </w:r>
          </w:p>
        </w:tc>
        <w:tc>
          <w:tcPr>
            <w:tcW w:w="690" w:type="dxa"/>
            <w:shd w:val="clear" w:color="auto" w:fill="C6EFCE"/>
            <w:noWrap/>
          </w:tcPr>
          <w:p w14:paraId="3C941A24" w14:textId="77777777" w:rsidR="00011DE9" w:rsidRDefault="00011DE9">
            <w:pPr>
              <w:pStyle w:val="P68B1DB1-Normal19"/>
              <w:spacing w:after="0"/>
              <w:jc w:val="right"/>
              <w:rPr>
                <w:rFonts w:eastAsia="Times New Roman"/>
                <w:noProof/>
              </w:rPr>
            </w:pPr>
            <w:r>
              <w:rPr>
                <w:noProof/>
              </w:rPr>
              <w:t xml:space="preserve"> </w:t>
            </w:r>
          </w:p>
        </w:tc>
        <w:tc>
          <w:tcPr>
            <w:tcW w:w="553" w:type="dxa"/>
            <w:shd w:val="clear" w:color="auto" w:fill="C6EFCE"/>
            <w:noWrap/>
          </w:tcPr>
          <w:p w14:paraId="18BBB348" w14:textId="1B137886" w:rsidR="00011DE9" w:rsidRDefault="005701C9">
            <w:pPr>
              <w:pStyle w:val="P68B1DB1-Normal19"/>
              <w:spacing w:after="0"/>
              <w:jc w:val="center"/>
              <w:rPr>
                <w:rFonts w:eastAsia="Times New Roman"/>
                <w:noProof/>
              </w:rPr>
            </w:pPr>
            <w:r>
              <w:rPr>
                <w:noProof/>
              </w:rPr>
              <w:t>T2</w:t>
            </w:r>
          </w:p>
        </w:tc>
        <w:tc>
          <w:tcPr>
            <w:tcW w:w="553" w:type="dxa"/>
            <w:shd w:val="clear" w:color="auto" w:fill="C6EFCE"/>
            <w:noWrap/>
          </w:tcPr>
          <w:p w14:paraId="73D98501" w14:textId="77777777" w:rsidR="00011DE9" w:rsidRDefault="00011DE9">
            <w:pPr>
              <w:pStyle w:val="P68B1DB1-Normal19"/>
              <w:spacing w:after="0"/>
              <w:jc w:val="center"/>
              <w:rPr>
                <w:rFonts w:eastAsia="Times New Roman"/>
                <w:noProof/>
              </w:rPr>
            </w:pPr>
            <w:r>
              <w:rPr>
                <w:noProof/>
              </w:rPr>
              <w:t>2023</w:t>
            </w:r>
          </w:p>
        </w:tc>
        <w:tc>
          <w:tcPr>
            <w:tcW w:w="5924" w:type="dxa"/>
            <w:shd w:val="clear" w:color="auto" w:fill="C6EFCE"/>
            <w:noWrap/>
          </w:tcPr>
          <w:p w14:paraId="7AD06BE0" w14:textId="77777777" w:rsidR="00011DE9" w:rsidRDefault="00011DE9">
            <w:pPr>
              <w:pStyle w:val="P68B1DB1-Normal19"/>
              <w:spacing w:after="0"/>
              <w:rPr>
                <w:rFonts w:eastAsia="Times New Roman"/>
                <w:noProof/>
              </w:rPr>
            </w:pPr>
            <w:r>
              <w:rPr>
                <w:noProof/>
              </w:rPr>
              <w:t>Publicarea de către AIReF a rapoartelor celei de a treia faze a analizei cheltuielilor.</w:t>
            </w:r>
          </w:p>
        </w:tc>
      </w:tr>
      <w:tr w:rsidR="00011DE9" w14:paraId="514DE3F4" w14:textId="77777777">
        <w:trPr>
          <w:trHeight w:val="309"/>
          <w:jc w:val="center"/>
        </w:trPr>
        <w:tc>
          <w:tcPr>
            <w:tcW w:w="833" w:type="dxa"/>
            <w:shd w:val="clear" w:color="auto" w:fill="C6EFCE"/>
            <w:noWrap/>
          </w:tcPr>
          <w:p w14:paraId="0311D3BA" w14:textId="77777777" w:rsidR="00011DE9" w:rsidRDefault="00011DE9">
            <w:pPr>
              <w:pStyle w:val="P68B1DB1-Normal19"/>
              <w:spacing w:after="0"/>
              <w:jc w:val="center"/>
              <w:rPr>
                <w:rFonts w:eastAsia="Times New Roman"/>
                <w:noProof/>
              </w:rPr>
            </w:pPr>
            <w:r>
              <w:rPr>
                <w:noProof/>
              </w:rPr>
              <w:t>403</w:t>
            </w:r>
          </w:p>
        </w:tc>
        <w:tc>
          <w:tcPr>
            <w:tcW w:w="829" w:type="dxa"/>
            <w:shd w:val="clear" w:color="auto" w:fill="C6EFCE"/>
            <w:noWrap/>
          </w:tcPr>
          <w:p w14:paraId="5DF4438F" w14:textId="77777777" w:rsidR="00011DE9" w:rsidRDefault="00011DE9">
            <w:pPr>
              <w:pStyle w:val="P68B1DB1-Normal19"/>
              <w:spacing w:after="0"/>
              <w:jc w:val="center"/>
              <w:rPr>
                <w:rFonts w:eastAsia="Times New Roman"/>
                <w:noProof/>
              </w:rPr>
            </w:pPr>
            <w:r>
              <w:rPr>
                <w:noProof/>
              </w:rPr>
              <w:t>C29.R2</w:t>
            </w:r>
          </w:p>
        </w:tc>
        <w:tc>
          <w:tcPr>
            <w:tcW w:w="828" w:type="dxa"/>
            <w:shd w:val="clear" w:color="auto" w:fill="C6EFCE"/>
            <w:noWrap/>
          </w:tcPr>
          <w:p w14:paraId="7ED0BF9B" w14:textId="77777777" w:rsidR="00011DE9" w:rsidRDefault="00011DE9">
            <w:pPr>
              <w:pStyle w:val="P68B1DB1-Normal19"/>
              <w:spacing w:after="0"/>
              <w:jc w:val="center"/>
              <w:rPr>
                <w:rFonts w:eastAsia="Times New Roman"/>
                <w:noProof/>
              </w:rPr>
            </w:pPr>
            <w:r>
              <w:rPr>
                <w:noProof/>
              </w:rPr>
              <w:t>M</w:t>
            </w:r>
          </w:p>
        </w:tc>
        <w:tc>
          <w:tcPr>
            <w:tcW w:w="2183" w:type="dxa"/>
            <w:shd w:val="clear" w:color="auto" w:fill="C6EFCE"/>
            <w:noWrap/>
          </w:tcPr>
          <w:p w14:paraId="29539B6A" w14:textId="77777777" w:rsidR="00011DE9" w:rsidRDefault="00011DE9">
            <w:pPr>
              <w:pStyle w:val="P68B1DB1-Normal19"/>
              <w:spacing w:after="0" w:line="240" w:lineRule="auto"/>
              <w:rPr>
                <w:rFonts w:eastAsia="Times New Roman"/>
                <w:noProof/>
              </w:rPr>
            </w:pPr>
            <w:r>
              <w:rPr>
                <w:noProof/>
              </w:rPr>
              <w:t>Raport privind alinierea bugetului la obiectivele de dezvoltare durabilă (ODD)</w:t>
            </w:r>
          </w:p>
        </w:tc>
        <w:tc>
          <w:tcPr>
            <w:tcW w:w="1402" w:type="dxa"/>
            <w:shd w:val="clear" w:color="auto" w:fill="C6EFCE"/>
            <w:noWrap/>
          </w:tcPr>
          <w:p w14:paraId="077DFFF6" w14:textId="77777777" w:rsidR="00011DE9" w:rsidRDefault="00011DE9">
            <w:pPr>
              <w:pStyle w:val="P68B1DB1-Normal19"/>
              <w:spacing w:after="0" w:line="240" w:lineRule="auto"/>
              <w:jc w:val="center"/>
              <w:rPr>
                <w:rFonts w:eastAsia="Times New Roman"/>
                <w:noProof/>
              </w:rPr>
            </w:pPr>
            <w:r>
              <w:rPr>
                <w:noProof/>
              </w:rPr>
              <w:t>Publicare ca documentație complementară în Legea bugetară anuală</w:t>
            </w:r>
          </w:p>
        </w:tc>
        <w:tc>
          <w:tcPr>
            <w:tcW w:w="691" w:type="dxa"/>
            <w:shd w:val="clear" w:color="auto" w:fill="C6EFCE"/>
            <w:noWrap/>
          </w:tcPr>
          <w:p w14:paraId="07D13AAA" w14:textId="77777777" w:rsidR="00011DE9" w:rsidRDefault="00011DE9">
            <w:pPr>
              <w:pStyle w:val="P68B1DB1-Normal19"/>
              <w:spacing w:after="0"/>
              <w:jc w:val="center"/>
              <w:rPr>
                <w:rFonts w:eastAsia="Times New Roman"/>
                <w:noProof/>
              </w:rPr>
            </w:pPr>
            <w:r>
              <w:rPr>
                <w:noProof/>
              </w:rPr>
              <w:t xml:space="preserve"> </w:t>
            </w:r>
          </w:p>
        </w:tc>
        <w:tc>
          <w:tcPr>
            <w:tcW w:w="966" w:type="dxa"/>
            <w:shd w:val="clear" w:color="auto" w:fill="C6EFCE"/>
            <w:noWrap/>
          </w:tcPr>
          <w:p w14:paraId="00C44B60" w14:textId="77777777" w:rsidR="00011DE9" w:rsidRDefault="00011DE9">
            <w:pPr>
              <w:pStyle w:val="P68B1DB1-Normal19"/>
              <w:spacing w:after="0"/>
              <w:jc w:val="right"/>
              <w:rPr>
                <w:rFonts w:eastAsia="Times New Roman"/>
                <w:noProof/>
              </w:rPr>
            </w:pPr>
            <w:r>
              <w:rPr>
                <w:noProof/>
              </w:rPr>
              <w:t xml:space="preserve"> </w:t>
            </w:r>
          </w:p>
        </w:tc>
        <w:tc>
          <w:tcPr>
            <w:tcW w:w="690" w:type="dxa"/>
            <w:shd w:val="clear" w:color="auto" w:fill="C6EFCE"/>
            <w:noWrap/>
          </w:tcPr>
          <w:p w14:paraId="058C5D86" w14:textId="77777777" w:rsidR="00011DE9" w:rsidRDefault="00011DE9">
            <w:pPr>
              <w:pStyle w:val="P68B1DB1-Normal19"/>
              <w:spacing w:after="0"/>
              <w:jc w:val="right"/>
              <w:rPr>
                <w:rFonts w:eastAsia="Times New Roman"/>
                <w:noProof/>
              </w:rPr>
            </w:pPr>
            <w:r>
              <w:rPr>
                <w:noProof/>
              </w:rPr>
              <w:t xml:space="preserve"> </w:t>
            </w:r>
          </w:p>
        </w:tc>
        <w:tc>
          <w:tcPr>
            <w:tcW w:w="553" w:type="dxa"/>
            <w:shd w:val="clear" w:color="auto" w:fill="C6EFCE"/>
            <w:noWrap/>
          </w:tcPr>
          <w:p w14:paraId="74EC8145" w14:textId="2C6494B8" w:rsidR="00011DE9" w:rsidRDefault="005701C9">
            <w:pPr>
              <w:pStyle w:val="P68B1DB1-Normal19"/>
              <w:spacing w:after="0"/>
              <w:jc w:val="center"/>
              <w:rPr>
                <w:rFonts w:eastAsia="Times New Roman"/>
                <w:noProof/>
              </w:rPr>
            </w:pPr>
            <w:r>
              <w:rPr>
                <w:noProof/>
              </w:rPr>
              <w:t>T3</w:t>
            </w:r>
          </w:p>
        </w:tc>
        <w:tc>
          <w:tcPr>
            <w:tcW w:w="553" w:type="dxa"/>
            <w:shd w:val="clear" w:color="auto" w:fill="C6EFCE"/>
            <w:noWrap/>
          </w:tcPr>
          <w:p w14:paraId="3028241E" w14:textId="77777777" w:rsidR="00011DE9" w:rsidRDefault="00011DE9">
            <w:pPr>
              <w:pStyle w:val="P68B1DB1-Normal19"/>
              <w:spacing w:after="0"/>
              <w:jc w:val="center"/>
              <w:rPr>
                <w:rFonts w:eastAsia="Times New Roman"/>
                <w:noProof/>
              </w:rPr>
            </w:pPr>
            <w:r>
              <w:rPr>
                <w:noProof/>
              </w:rPr>
              <w:t>2021</w:t>
            </w:r>
          </w:p>
        </w:tc>
        <w:tc>
          <w:tcPr>
            <w:tcW w:w="5924" w:type="dxa"/>
            <w:shd w:val="clear" w:color="auto" w:fill="C6EFCE"/>
            <w:noWrap/>
          </w:tcPr>
          <w:p w14:paraId="0EFE6AA5" w14:textId="77777777" w:rsidR="00011DE9" w:rsidRDefault="00011DE9">
            <w:pPr>
              <w:pStyle w:val="P68B1DB1-Normal19"/>
              <w:spacing w:after="0" w:line="240" w:lineRule="auto"/>
              <w:rPr>
                <w:rFonts w:eastAsia="Times New Roman"/>
                <w:noProof/>
              </w:rPr>
            </w:pPr>
            <w:r>
              <w:rPr>
                <w:noProof/>
              </w:rPr>
              <w:t>Publicarea raportului care însoțește proiectul de lege a bugetului pentru 2022 privind alinierea acestuia la obiectivele de dezvoltare durabilă.</w:t>
            </w:r>
          </w:p>
        </w:tc>
      </w:tr>
      <w:tr w:rsidR="00011DE9" w14:paraId="14F72263" w14:textId="77777777">
        <w:trPr>
          <w:trHeight w:val="309"/>
          <w:jc w:val="center"/>
        </w:trPr>
        <w:tc>
          <w:tcPr>
            <w:tcW w:w="833" w:type="dxa"/>
            <w:shd w:val="clear" w:color="auto" w:fill="C6EFCE"/>
            <w:noWrap/>
          </w:tcPr>
          <w:p w14:paraId="342EE155" w14:textId="77777777" w:rsidR="00011DE9" w:rsidRDefault="00011DE9">
            <w:pPr>
              <w:pStyle w:val="P68B1DB1-Normal19"/>
              <w:spacing w:after="0"/>
              <w:jc w:val="center"/>
              <w:rPr>
                <w:rFonts w:eastAsia="Times New Roman"/>
                <w:noProof/>
              </w:rPr>
            </w:pPr>
            <w:r>
              <w:rPr>
                <w:noProof/>
              </w:rPr>
              <w:t>404</w:t>
            </w:r>
          </w:p>
        </w:tc>
        <w:tc>
          <w:tcPr>
            <w:tcW w:w="829" w:type="dxa"/>
            <w:shd w:val="clear" w:color="auto" w:fill="C6EFCE"/>
            <w:noWrap/>
          </w:tcPr>
          <w:p w14:paraId="05873D9E" w14:textId="77777777" w:rsidR="00011DE9" w:rsidRDefault="00011DE9">
            <w:pPr>
              <w:pStyle w:val="P68B1DB1-Normal19"/>
              <w:spacing w:after="0"/>
              <w:jc w:val="center"/>
              <w:rPr>
                <w:rFonts w:eastAsia="Times New Roman"/>
                <w:noProof/>
              </w:rPr>
            </w:pPr>
            <w:r>
              <w:rPr>
                <w:noProof/>
              </w:rPr>
              <w:t>C29.R3</w:t>
            </w:r>
          </w:p>
        </w:tc>
        <w:tc>
          <w:tcPr>
            <w:tcW w:w="828" w:type="dxa"/>
            <w:shd w:val="clear" w:color="auto" w:fill="C6EFCE"/>
            <w:noWrap/>
          </w:tcPr>
          <w:p w14:paraId="305391AB" w14:textId="77777777" w:rsidR="00011DE9" w:rsidRDefault="00011DE9">
            <w:pPr>
              <w:pStyle w:val="P68B1DB1-Normal19"/>
              <w:spacing w:after="0"/>
              <w:jc w:val="center"/>
              <w:rPr>
                <w:rFonts w:eastAsia="Times New Roman"/>
                <w:noProof/>
              </w:rPr>
            </w:pPr>
            <w:r>
              <w:rPr>
                <w:noProof/>
              </w:rPr>
              <w:t>M</w:t>
            </w:r>
          </w:p>
        </w:tc>
        <w:tc>
          <w:tcPr>
            <w:tcW w:w="2183" w:type="dxa"/>
            <w:shd w:val="clear" w:color="auto" w:fill="C6EFCE"/>
            <w:noWrap/>
          </w:tcPr>
          <w:p w14:paraId="11081A9A" w14:textId="77777777" w:rsidR="00011DE9" w:rsidRDefault="00011DE9">
            <w:pPr>
              <w:pStyle w:val="P68B1DB1-Normal19"/>
              <w:spacing w:after="0" w:line="240" w:lineRule="auto"/>
              <w:rPr>
                <w:rFonts w:eastAsia="Times New Roman"/>
                <w:noProof/>
              </w:rPr>
            </w:pPr>
            <w:r>
              <w:rPr>
                <w:noProof/>
              </w:rPr>
              <w:t>Raportul privind alinierea la înverzirea bugetelor</w:t>
            </w:r>
          </w:p>
        </w:tc>
        <w:tc>
          <w:tcPr>
            <w:tcW w:w="1402" w:type="dxa"/>
            <w:shd w:val="clear" w:color="auto" w:fill="C6EFCE"/>
            <w:noWrap/>
          </w:tcPr>
          <w:p w14:paraId="7EF13260" w14:textId="77777777" w:rsidR="00011DE9" w:rsidRDefault="00011DE9">
            <w:pPr>
              <w:pStyle w:val="P68B1DB1-Normal19"/>
              <w:spacing w:after="0" w:line="240" w:lineRule="auto"/>
              <w:jc w:val="center"/>
              <w:rPr>
                <w:rFonts w:eastAsia="Times New Roman"/>
                <w:noProof/>
              </w:rPr>
            </w:pPr>
            <w:r>
              <w:rPr>
                <w:noProof/>
              </w:rPr>
              <w:t>Publicare ca documentație complementară în Legea bugetară anuală</w:t>
            </w:r>
          </w:p>
        </w:tc>
        <w:tc>
          <w:tcPr>
            <w:tcW w:w="691" w:type="dxa"/>
            <w:shd w:val="clear" w:color="auto" w:fill="C6EFCE"/>
            <w:noWrap/>
          </w:tcPr>
          <w:p w14:paraId="06268211" w14:textId="77777777" w:rsidR="00011DE9" w:rsidRDefault="00011DE9">
            <w:pPr>
              <w:pStyle w:val="P68B1DB1-Normal19"/>
              <w:spacing w:after="0"/>
              <w:jc w:val="center"/>
              <w:rPr>
                <w:rFonts w:eastAsia="Times New Roman"/>
                <w:noProof/>
              </w:rPr>
            </w:pPr>
            <w:r>
              <w:rPr>
                <w:noProof/>
              </w:rPr>
              <w:t xml:space="preserve"> </w:t>
            </w:r>
          </w:p>
        </w:tc>
        <w:tc>
          <w:tcPr>
            <w:tcW w:w="966" w:type="dxa"/>
            <w:shd w:val="clear" w:color="auto" w:fill="C6EFCE"/>
            <w:noWrap/>
          </w:tcPr>
          <w:p w14:paraId="0E587CF4" w14:textId="77777777" w:rsidR="00011DE9" w:rsidRDefault="00011DE9">
            <w:pPr>
              <w:pStyle w:val="P68B1DB1-Normal19"/>
              <w:spacing w:after="0"/>
              <w:jc w:val="right"/>
              <w:rPr>
                <w:rFonts w:eastAsia="Times New Roman"/>
                <w:noProof/>
              </w:rPr>
            </w:pPr>
            <w:r>
              <w:rPr>
                <w:noProof/>
              </w:rPr>
              <w:t xml:space="preserve"> </w:t>
            </w:r>
          </w:p>
        </w:tc>
        <w:tc>
          <w:tcPr>
            <w:tcW w:w="690" w:type="dxa"/>
            <w:shd w:val="clear" w:color="auto" w:fill="C6EFCE"/>
            <w:noWrap/>
          </w:tcPr>
          <w:p w14:paraId="73BE47A6" w14:textId="77777777" w:rsidR="00011DE9" w:rsidRDefault="00011DE9">
            <w:pPr>
              <w:pStyle w:val="P68B1DB1-Normal19"/>
              <w:spacing w:after="0"/>
              <w:jc w:val="right"/>
              <w:rPr>
                <w:rFonts w:eastAsia="Times New Roman"/>
                <w:noProof/>
              </w:rPr>
            </w:pPr>
            <w:r>
              <w:rPr>
                <w:noProof/>
              </w:rPr>
              <w:t xml:space="preserve"> </w:t>
            </w:r>
          </w:p>
        </w:tc>
        <w:tc>
          <w:tcPr>
            <w:tcW w:w="553" w:type="dxa"/>
            <w:shd w:val="clear" w:color="auto" w:fill="C6EFCE"/>
            <w:noWrap/>
          </w:tcPr>
          <w:p w14:paraId="65CF8F2F" w14:textId="7EFB33AF" w:rsidR="00011DE9" w:rsidRDefault="005701C9">
            <w:pPr>
              <w:pStyle w:val="P68B1DB1-Normal19"/>
              <w:spacing w:after="0"/>
              <w:jc w:val="center"/>
              <w:rPr>
                <w:rFonts w:eastAsia="Times New Roman"/>
                <w:noProof/>
              </w:rPr>
            </w:pPr>
            <w:r>
              <w:rPr>
                <w:noProof/>
              </w:rPr>
              <w:t>T3</w:t>
            </w:r>
          </w:p>
        </w:tc>
        <w:tc>
          <w:tcPr>
            <w:tcW w:w="553" w:type="dxa"/>
            <w:shd w:val="clear" w:color="auto" w:fill="C6EFCE"/>
            <w:noWrap/>
          </w:tcPr>
          <w:p w14:paraId="66B4DCDB" w14:textId="77777777" w:rsidR="00011DE9" w:rsidRDefault="00011DE9">
            <w:pPr>
              <w:pStyle w:val="P68B1DB1-Normal19"/>
              <w:spacing w:after="0"/>
              <w:jc w:val="center"/>
              <w:rPr>
                <w:rFonts w:eastAsia="Times New Roman"/>
                <w:noProof/>
              </w:rPr>
            </w:pPr>
            <w:r>
              <w:rPr>
                <w:noProof/>
              </w:rPr>
              <w:t>2022</w:t>
            </w:r>
          </w:p>
        </w:tc>
        <w:tc>
          <w:tcPr>
            <w:tcW w:w="5924" w:type="dxa"/>
            <w:shd w:val="clear" w:color="auto" w:fill="C6EFCE"/>
            <w:noWrap/>
          </w:tcPr>
          <w:p w14:paraId="4389B525" w14:textId="77777777" w:rsidR="00011DE9" w:rsidRDefault="00011DE9">
            <w:pPr>
              <w:pStyle w:val="P68B1DB1-Normal19"/>
              <w:spacing w:after="0"/>
              <w:rPr>
                <w:rFonts w:eastAsia="Times New Roman"/>
                <w:noProof/>
              </w:rPr>
            </w:pPr>
            <w:r>
              <w:rPr>
                <w:noProof/>
              </w:rPr>
              <w:t>Raportul privind bugetul verde (dimensiunea verde) care însoțește Legea anuală a bugetului pentru 2023. Raportul cartografiază cheltuielile verzi în legea anuală a bugetului și este elaborat în conformitate cu metodologia și cadrul de monitorizare concepute cu sprijinul Instrumentului de sprijin tehnic al UE.</w:t>
            </w:r>
          </w:p>
        </w:tc>
      </w:tr>
      <w:tr w:rsidR="00011DE9" w14:paraId="4A56AF7C" w14:textId="77777777">
        <w:trPr>
          <w:trHeight w:val="309"/>
          <w:jc w:val="center"/>
        </w:trPr>
        <w:tc>
          <w:tcPr>
            <w:tcW w:w="833" w:type="dxa"/>
            <w:shd w:val="clear" w:color="auto" w:fill="C6EFCE"/>
            <w:noWrap/>
          </w:tcPr>
          <w:p w14:paraId="67EEF08D" w14:textId="77777777" w:rsidR="00011DE9" w:rsidRDefault="00011DE9">
            <w:pPr>
              <w:pStyle w:val="P68B1DB1-Normal19"/>
              <w:spacing w:after="0"/>
              <w:jc w:val="center"/>
              <w:rPr>
                <w:noProof/>
              </w:rPr>
            </w:pPr>
            <w:r>
              <w:rPr>
                <w:noProof/>
              </w:rPr>
              <w:t>405</w:t>
            </w:r>
          </w:p>
        </w:tc>
        <w:tc>
          <w:tcPr>
            <w:tcW w:w="829" w:type="dxa"/>
            <w:shd w:val="clear" w:color="auto" w:fill="C6EFCE"/>
            <w:noWrap/>
          </w:tcPr>
          <w:p w14:paraId="548F4117" w14:textId="77777777" w:rsidR="00011DE9" w:rsidRDefault="00011DE9">
            <w:pPr>
              <w:pStyle w:val="P68B1DB1-Normal19"/>
              <w:spacing w:after="0"/>
              <w:jc w:val="center"/>
              <w:rPr>
                <w:noProof/>
              </w:rPr>
            </w:pPr>
            <w:r>
              <w:rPr>
                <w:noProof/>
              </w:rPr>
              <w:t>C29.R3</w:t>
            </w:r>
          </w:p>
        </w:tc>
        <w:tc>
          <w:tcPr>
            <w:tcW w:w="828" w:type="dxa"/>
            <w:shd w:val="clear" w:color="auto" w:fill="C6EFCE"/>
            <w:noWrap/>
          </w:tcPr>
          <w:p w14:paraId="16C0F077" w14:textId="77777777" w:rsidR="00011DE9" w:rsidRDefault="00011DE9">
            <w:pPr>
              <w:pStyle w:val="P68B1DB1-Normal19"/>
              <w:spacing w:after="0"/>
              <w:jc w:val="center"/>
              <w:rPr>
                <w:noProof/>
              </w:rPr>
            </w:pPr>
            <w:r>
              <w:rPr>
                <w:noProof/>
              </w:rPr>
              <w:t>M</w:t>
            </w:r>
          </w:p>
        </w:tc>
        <w:tc>
          <w:tcPr>
            <w:tcW w:w="2183" w:type="dxa"/>
            <w:shd w:val="clear" w:color="auto" w:fill="C6EFCE"/>
            <w:noWrap/>
          </w:tcPr>
          <w:p w14:paraId="02D5C84C" w14:textId="77777777" w:rsidR="00011DE9" w:rsidRDefault="00011DE9">
            <w:pPr>
              <w:pStyle w:val="P68B1DB1-Normal19"/>
              <w:spacing w:after="0" w:line="240" w:lineRule="auto"/>
              <w:rPr>
                <w:noProof/>
              </w:rPr>
            </w:pPr>
            <w:r>
              <w:rPr>
                <w:noProof/>
              </w:rPr>
              <w:t>Raportul privind alinierea la înverzirea bugetelor</w:t>
            </w:r>
          </w:p>
        </w:tc>
        <w:tc>
          <w:tcPr>
            <w:tcW w:w="1402" w:type="dxa"/>
            <w:shd w:val="clear" w:color="auto" w:fill="C6EFCE"/>
            <w:noWrap/>
          </w:tcPr>
          <w:p w14:paraId="5E71AE86" w14:textId="77777777" w:rsidR="00011DE9" w:rsidRDefault="00011DE9">
            <w:pPr>
              <w:pStyle w:val="P68B1DB1-Normal19"/>
              <w:spacing w:after="0" w:line="240" w:lineRule="auto"/>
              <w:jc w:val="center"/>
              <w:rPr>
                <w:noProof/>
              </w:rPr>
            </w:pPr>
            <w:r>
              <w:rPr>
                <w:noProof/>
              </w:rPr>
              <w:t>Publicare ca documentație complementară în Legea bugetară anuală</w:t>
            </w:r>
          </w:p>
        </w:tc>
        <w:tc>
          <w:tcPr>
            <w:tcW w:w="691" w:type="dxa"/>
            <w:shd w:val="clear" w:color="auto" w:fill="C6EFCE"/>
            <w:noWrap/>
          </w:tcPr>
          <w:p w14:paraId="4A413D3F" w14:textId="77777777" w:rsidR="00011DE9" w:rsidRDefault="00011DE9">
            <w:pPr>
              <w:pStyle w:val="P68B1DB1-Normal19"/>
              <w:spacing w:after="0"/>
              <w:jc w:val="center"/>
              <w:rPr>
                <w:noProof/>
              </w:rPr>
            </w:pPr>
            <w:r>
              <w:rPr>
                <w:noProof/>
              </w:rPr>
              <w:t xml:space="preserve"> </w:t>
            </w:r>
          </w:p>
        </w:tc>
        <w:tc>
          <w:tcPr>
            <w:tcW w:w="966" w:type="dxa"/>
            <w:shd w:val="clear" w:color="auto" w:fill="C6EFCE"/>
            <w:noWrap/>
          </w:tcPr>
          <w:p w14:paraId="43D78050" w14:textId="77777777" w:rsidR="00011DE9" w:rsidRDefault="00011DE9">
            <w:pPr>
              <w:pStyle w:val="P68B1DB1-Normal19"/>
              <w:spacing w:after="0"/>
              <w:jc w:val="right"/>
              <w:rPr>
                <w:noProof/>
              </w:rPr>
            </w:pPr>
            <w:r>
              <w:rPr>
                <w:noProof/>
              </w:rPr>
              <w:t xml:space="preserve"> </w:t>
            </w:r>
          </w:p>
        </w:tc>
        <w:tc>
          <w:tcPr>
            <w:tcW w:w="690" w:type="dxa"/>
            <w:shd w:val="clear" w:color="auto" w:fill="C6EFCE"/>
            <w:noWrap/>
          </w:tcPr>
          <w:p w14:paraId="3D626284" w14:textId="77777777" w:rsidR="00011DE9" w:rsidRDefault="00011DE9">
            <w:pPr>
              <w:pStyle w:val="P68B1DB1-Normal19"/>
              <w:spacing w:after="0"/>
              <w:jc w:val="right"/>
              <w:rPr>
                <w:noProof/>
              </w:rPr>
            </w:pPr>
            <w:r>
              <w:rPr>
                <w:noProof/>
              </w:rPr>
              <w:t xml:space="preserve"> </w:t>
            </w:r>
          </w:p>
        </w:tc>
        <w:tc>
          <w:tcPr>
            <w:tcW w:w="553" w:type="dxa"/>
            <w:shd w:val="clear" w:color="auto" w:fill="C6EFCE"/>
            <w:noWrap/>
          </w:tcPr>
          <w:p w14:paraId="026A398C" w14:textId="7E95244D" w:rsidR="00011DE9" w:rsidRDefault="005701C9">
            <w:pPr>
              <w:pStyle w:val="P68B1DB1-Normal19"/>
              <w:spacing w:after="0"/>
              <w:jc w:val="center"/>
              <w:rPr>
                <w:noProof/>
              </w:rPr>
            </w:pPr>
            <w:r>
              <w:rPr>
                <w:noProof/>
              </w:rPr>
              <w:t>T2</w:t>
            </w:r>
          </w:p>
        </w:tc>
        <w:tc>
          <w:tcPr>
            <w:tcW w:w="553" w:type="dxa"/>
            <w:shd w:val="clear" w:color="auto" w:fill="C6EFCE"/>
            <w:noWrap/>
          </w:tcPr>
          <w:p w14:paraId="402E704C" w14:textId="77777777" w:rsidR="00011DE9" w:rsidRDefault="00011DE9">
            <w:pPr>
              <w:pStyle w:val="P68B1DB1-Normal19"/>
              <w:spacing w:after="0"/>
              <w:jc w:val="center"/>
              <w:rPr>
                <w:noProof/>
              </w:rPr>
            </w:pPr>
            <w:r>
              <w:rPr>
                <w:noProof/>
              </w:rPr>
              <w:t>2023</w:t>
            </w:r>
          </w:p>
        </w:tc>
        <w:tc>
          <w:tcPr>
            <w:tcW w:w="5924" w:type="dxa"/>
            <w:shd w:val="clear" w:color="auto" w:fill="C6EFCE"/>
            <w:noWrap/>
          </w:tcPr>
          <w:p w14:paraId="5096F58B" w14:textId="77777777" w:rsidR="00011DE9" w:rsidRDefault="00011DE9">
            <w:pPr>
              <w:pStyle w:val="P68B1DB1-Normal19"/>
              <w:spacing w:after="0"/>
              <w:rPr>
                <w:noProof/>
              </w:rPr>
            </w:pPr>
            <w:r>
              <w:rPr>
                <w:noProof/>
              </w:rPr>
              <w:t>Raportul privind bugetul verde (dimensiunea maro) care însoțește Legea bugetului anual pentru 2024. Raportul cartografiază cheltuielile maro în legea bugetului anual și este elaborat în conformitate cu metodologia și cadrul de monitorizare concepute cu sprijinul Instrumentului de sprijin tehnic al UE.</w:t>
            </w:r>
          </w:p>
        </w:tc>
      </w:tr>
    </w:tbl>
    <w:p w14:paraId="7A9707A7" w14:textId="77777777" w:rsidR="00011DE9" w:rsidRDefault="00011DE9">
      <w:pPr>
        <w:pStyle w:val="SectionTitle"/>
        <w:jc w:val="left"/>
        <w:rPr>
          <w:rFonts w:ascii="Times New Roman" w:hAnsi="Times New Roman" w:cs="Times New Roman"/>
          <w:noProof/>
          <w:sz w:val="2"/>
          <w:szCs w:val="2"/>
        </w:rPr>
        <w:sectPr w:rsidR="00011DE9" w:rsidSect="00011DE9">
          <w:headerReference w:type="even" r:id="rId396"/>
          <w:headerReference w:type="default" r:id="rId397"/>
          <w:footerReference w:type="even" r:id="rId398"/>
          <w:footerReference w:type="default" r:id="rId399"/>
          <w:headerReference w:type="first" r:id="rId400"/>
          <w:footerReference w:type="first" r:id="rId401"/>
          <w:pgSz w:w="16839" w:h="11907" w:orient="landscape"/>
          <w:pgMar w:top="1134" w:right="1134" w:bottom="1134" w:left="1134" w:header="567" w:footer="567" w:gutter="0"/>
          <w:cols w:space="720"/>
          <w:docGrid w:linePitch="360"/>
        </w:sectPr>
      </w:pPr>
    </w:p>
    <w:p w14:paraId="0F0D892F" w14:textId="77777777" w:rsidR="00011DE9" w:rsidRDefault="00011DE9">
      <w:pPr>
        <w:pStyle w:val="Heading1"/>
        <w:rPr>
          <w:rFonts w:cs="Times New Roman"/>
          <w:noProof/>
        </w:rPr>
      </w:pPr>
      <w:r>
        <w:rPr>
          <w:noProof/>
        </w:rPr>
        <w:t>AD. COMPONENTA 30: Pensii</w:t>
      </w:r>
    </w:p>
    <w:p w14:paraId="155478C3" w14:textId="77777777" w:rsidR="00011DE9" w:rsidRDefault="00011DE9">
      <w:pPr>
        <w:pStyle w:val="Text1"/>
        <w:ind w:left="0"/>
        <w:rPr>
          <w:rStyle w:val="IntenseEmphasis"/>
          <w:rFonts w:ascii="Times New Roman" w:hAnsi="Times New Roman" w:cs="Times New Roman"/>
          <w:i w:val="0"/>
          <w:noProof/>
          <w:color w:val="auto"/>
          <w:szCs w:val="24"/>
        </w:rPr>
      </w:pPr>
      <w:r>
        <w:rPr>
          <w:rFonts w:ascii="Times New Roman" w:hAnsi="Times New Roman"/>
          <w:noProof/>
        </w:rPr>
        <w:t>Obiectivul componentei planului spaniol de redresare și reziliență este de a reforma sistemul de pensii pentru i) a asigura sustenabilitatea financiară a sistemului pe termen scurt, mediu și lung, ii) a menține puterea de cumpărare a pensiilor, iii) a menține caracterul adecvat al pensiilor, iv) a proteja pensionarii de sărăcie și v) a asigura echitatea între generații. Măsurile de reformă se bazează pe consensul parlamentar larg privind adoptarea recomandărilor Pactului de la Toledo</w:t>
      </w:r>
      <w:r>
        <w:rPr>
          <w:rStyle w:val="FootnoteReference"/>
          <w:rFonts w:ascii="Times New Roman" w:hAnsi="Times New Roman" w:cs="Times New Roman"/>
          <w:noProof/>
        </w:rPr>
        <w:footnoteReference w:id="145"/>
      </w:r>
      <w:r>
        <w:rPr>
          <w:rFonts w:ascii="Times New Roman" w:hAnsi="Times New Roman"/>
          <w:noProof/>
        </w:rPr>
        <w:t>. Măsurile, care fac încă obiectul dialogului social, includ: I) separarea surselor de finanțare, ii) un mecanism revizuit de indexare a prestațiilor de pensii, iii) stimulente pentru pensionarea târzie și modificări de reglementare privind pensionarea anticipată, iv) modificări ale perioadei de contribuție pentru calcularea pensiei pentru limită de vârstă, v) un nou sistem de contribuții pentru persoanele care desfășoară o activitate independentă bazat pe venitul real și vi) dezvoltarea sistemelor de pensii ocupaționale prin negocieri colective.</w:t>
      </w:r>
    </w:p>
    <w:p w14:paraId="64A99C84" w14:textId="77777777" w:rsidR="00011DE9" w:rsidRDefault="00011DE9">
      <w:pPr>
        <w:pStyle w:val="Text1"/>
        <w:ind w:left="0"/>
        <w:rPr>
          <w:rStyle w:val="IntenseEmphasis"/>
          <w:rFonts w:ascii="Times New Roman" w:hAnsi="Times New Roman" w:cs="Times New Roman"/>
          <w:i w:val="0"/>
          <w:noProof/>
          <w:color w:val="auto"/>
        </w:rPr>
      </w:pPr>
      <w:r>
        <w:rPr>
          <w:rStyle w:val="IntenseEmphasis"/>
          <w:rFonts w:ascii="Times New Roman" w:hAnsi="Times New Roman"/>
          <w:noProof/>
          <w:color w:val="auto"/>
        </w:rPr>
        <w:t xml:space="preserve">Componenta abordează recomandările specifice fiecărei țări privind menținerea sustenabilității sistemului de pensii (Recomandarea specifică fiecărei țări 1 2019) și urmărirea politicilor bugetare, atunci când condițiile economice permit acest lucru, care vizează obținerea unor poziții bugetare prudente pe termen mediu și asigurarea sustenabilității datoriei, încurajând în același timp investițiile (Recomandarea specifică fiecărei țări 1 2020). </w:t>
      </w:r>
    </w:p>
    <w:p w14:paraId="59E65F53" w14:textId="77777777" w:rsidR="00011DE9" w:rsidRDefault="00011DE9">
      <w:pPr>
        <w:pStyle w:val="P68B1DB1-Text161"/>
        <w:ind w:left="0"/>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5E3D827" w14:textId="77777777" w:rsidR="00011DE9" w:rsidRDefault="00011DE9">
      <w:pPr>
        <w:pStyle w:val="Text1"/>
        <w:ind w:left="709"/>
        <w:rPr>
          <w:rFonts w:ascii="Times New Roman" w:hAnsi="Times New Roman" w:cs="Times New Roman"/>
          <w:b/>
          <w:noProof/>
          <w:szCs w:val="24"/>
          <w:u w:val="single"/>
        </w:rPr>
      </w:pPr>
      <w:r>
        <w:rPr>
          <w:rFonts w:ascii="Times New Roman" w:hAnsi="Times New Roman"/>
          <w:b/>
          <w:noProof/>
          <w:u w:val="single"/>
        </w:rPr>
        <w:t xml:space="preserve">AD.1. </w:t>
      </w:r>
      <w:r>
        <w:rPr>
          <w:noProof/>
        </w:rPr>
        <w:t></w:t>
      </w:r>
      <w:r>
        <w:rPr>
          <w:rFonts w:ascii="Times New Roman" w:hAnsi="Times New Roman"/>
          <w:b/>
          <w:noProof/>
          <w:u w:val="single"/>
        </w:rPr>
        <w:t>Descrierea reformelor și a investițiilor pentru sprijinul financiar nerambursabil</w:t>
      </w:r>
    </w:p>
    <w:p w14:paraId="40E84AAD" w14:textId="77777777" w:rsidR="00011DE9" w:rsidRDefault="00011DE9">
      <w:pPr>
        <w:pStyle w:val="P68B1DB1-Text162"/>
        <w:ind w:left="0"/>
        <w:rPr>
          <w:rFonts w:cs="Times New Roman"/>
          <w:noProof/>
          <w:szCs w:val="24"/>
        </w:rPr>
      </w:pPr>
      <w:r>
        <w:rPr>
          <w:noProof/>
        </w:rPr>
        <w:t>Reforma 1 (C30.R1) – Separarea surselor de finanțare a securității sociale</w:t>
      </w:r>
    </w:p>
    <w:p w14:paraId="2A85A817" w14:textId="77777777" w:rsidR="00011DE9" w:rsidRDefault="00011DE9">
      <w:pPr>
        <w:pStyle w:val="P68B1DB1-Normal16"/>
        <w:spacing w:before="120" w:after="120" w:line="240" w:lineRule="auto"/>
        <w:jc w:val="both"/>
        <w:rPr>
          <w:rFonts w:cs="Times New Roman"/>
          <w:noProof/>
        </w:rPr>
      </w:pPr>
      <w:r>
        <w:rPr>
          <w:noProof/>
        </w:rPr>
        <w:t xml:space="preserve">Obiectivul reformei este de a modifica finanțarea sistemului de pensii în conformitate cu recomandările Pactului de la Toledo, astfel încât prestațiile de tip contributiv să fie finanțate prin contribuții sociale, iar prestațiile de tip necontributiv să fie plătite de la bugetul de stat. Reforma constă în preluarea de către stat a finanțării unei serii de elemente de cheltuieli, care sunt acoperite în prezent de contribuțiile sociale. Reforma consolidează legătura dintre contribuții și drepturi și îmbunătățește sustenabilitatea financiară a sistemului contributiv. </w:t>
      </w:r>
    </w:p>
    <w:p w14:paraId="648E3AA4" w14:textId="77777777" w:rsidR="00011DE9" w:rsidRDefault="00011DE9">
      <w:pPr>
        <w:pStyle w:val="P68B1DB1-Normal16"/>
        <w:spacing w:before="120" w:after="120" w:line="240" w:lineRule="auto"/>
        <w:jc w:val="both"/>
        <w:rPr>
          <w:rFonts w:cs="Times New Roman"/>
          <w:noProof/>
        </w:rPr>
      </w:pPr>
      <w:r>
        <w:rPr>
          <w:noProof/>
        </w:rPr>
        <w:t xml:space="preserve">Posturile de cheltuieli care au fost finanțate anterior prin contribuții sociale, dar în cadrul acestei reforme sunt considerate de tip necontributiv și finanțate din bugetul de stat constau în i) o parte a politicilor necontributive de ocupare a forței de muncă, ii) reduceri ale contribuției la asigurările sociale pentru promovarea ocupării forței de muncă, iii) alocații de naștere și de îngrijire a copiilor, iv) cheltuieli legate de pensionarea anticipată, v) suplimentul la pensia de maternitate, v) pensii pentru membrii familiei, vi) măsuri de sprijin („subvenții implicite”) pentru regimurile speciale și vii) costul completării diferențelor de contribuții pentru calcularea pensiei pentru limită de vârstă. </w:t>
      </w:r>
    </w:p>
    <w:p w14:paraId="3F6C9FF0" w14:textId="77777777" w:rsidR="00011DE9" w:rsidRDefault="00011DE9">
      <w:pPr>
        <w:pStyle w:val="P68B1DB1-Normal16"/>
        <w:spacing w:before="120" w:after="120" w:line="240" w:lineRule="auto"/>
        <w:jc w:val="both"/>
        <w:rPr>
          <w:rFonts w:cs="Times New Roman"/>
          <w:noProof/>
        </w:rPr>
      </w:pPr>
      <w:r>
        <w:rPr>
          <w:noProof/>
        </w:rPr>
        <w:t xml:space="preserve">Reforma a început prin dispoziții din bugetul general de stat pentru 2021 și va fi pusă în aplicare treptat prin transferuri de la bugetul de stat la bugetul asigurărilor sociale. </w:t>
      </w:r>
    </w:p>
    <w:p w14:paraId="4540856A" w14:textId="77777777" w:rsidR="00011DE9" w:rsidRDefault="00011DE9">
      <w:pPr>
        <w:pStyle w:val="P68B1DB1-Normal16"/>
        <w:spacing w:before="120" w:after="120" w:line="240" w:lineRule="auto"/>
        <w:jc w:val="both"/>
        <w:rPr>
          <w:rFonts w:cs="Times New Roman"/>
          <w:noProof/>
        </w:rPr>
      </w:pPr>
      <w:r>
        <w:rPr>
          <w:noProof/>
        </w:rPr>
        <w:t>Măsura se pune în aplicare până la 31 decembrie 2023.</w:t>
      </w:r>
    </w:p>
    <w:p w14:paraId="574B1B6F" w14:textId="77777777" w:rsidR="00011DE9" w:rsidRDefault="00011DE9">
      <w:pPr>
        <w:pStyle w:val="P68B1DB1-Text164"/>
        <w:ind w:left="0"/>
        <w:rPr>
          <w:noProof/>
        </w:rPr>
      </w:pPr>
      <w:r>
        <w:rPr>
          <w:noProof/>
        </w:rPr>
        <w:t>Reforma 2 (C30.R2) – Menținerea puterii de cumpărare a pensiilor, alinierea vârstei efective de pensionare la vârsta legală de pensionare, adaptarea perioadei de calcul pentru calcularea pensiei pentru limită de vârstă la noile cariere și înlocuirea factorului de sustenabilitate cu un mecanism de echitate între generații</w:t>
      </w:r>
    </w:p>
    <w:p w14:paraId="776848B0" w14:textId="77777777" w:rsidR="00011DE9" w:rsidRDefault="00011DE9">
      <w:pPr>
        <w:pStyle w:val="P68B1DB1-Normal16"/>
        <w:spacing w:before="120" w:after="120" w:line="240" w:lineRule="auto"/>
        <w:jc w:val="both"/>
        <w:rPr>
          <w:rFonts w:cs="Times New Roman"/>
          <w:noProof/>
        </w:rPr>
      </w:pPr>
      <w:r>
        <w:rPr>
          <w:noProof/>
        </w:rPr>
        <w:t xml:space="preserve">Obiectivele reformei sunt i) garantarea puterii de cumpărare a pensionarilor, ii) creșterea participării pe piața muncii la vârste apropiate de vârsta legală de pensionare, iii) amânarea pensionării, iv) consolidarea progresivității sistemului de contribuții, v) adaptarea regulamentului actual la carierele discontinue și la alte forme de muncă atipică și vi) abordarea impactului viitoarelor schimbări demografice fără a înrăutăți caracterul adecvat al pensiilor actuale și viitoare. Reforma constă în patru reforme separate în materie de reglementare, în conformitate cu recomandările Pactului de la Toledo, care urmează să fie adoptate în două etape. </w:t>
      </w:r>
    </w:p>
    <w:p w14:paraId="76B98032" w14:textId="77777777" w:rsidR="00011DE9" w:rsidRDefault="00011DE9">
      <w:pPr>
        <w:pStyle w:val="P68B1DB1-Normal16"/>
        <w:spacing w:before="120" w:after="120" w:line="240" w:lineRule="auto"/>
        <w:rPr>
          <w:rFonts w:cs="Times New Roman"/>
          <w:noProof/>
        </w:rPr>
      </w:pPr>
      <w:r>
        <w:rPr>
          <w:noProof/>
        </w:rPr>
        <w:t>Reformele care urmează să intre în vigoare până la 31 decembrie 2021 sunt:</w:t>
      </w:r>
    </w:p>
    <w:p w14:paraId="4577EC89" w14:textId="77777777" w:rsidR="00011DE9" w:rsidRDefault="00011DE9">
      <w:pPr>
        <w:pStyle w:val="P68B1DB1-ListParagraph25"/>
        <w:numPr>
          <w:ilvl w:val="0"/>
          <w:numId w:val="194"/>
        </w:numPr>
        <w:spacing w:before="120" w:after="120" w:line="240" w:lineRule="auto"/>
        <w:jc w:val="both"/>
        <w:rPr>
          <w:rFonts w:cs="Times New Roman"/>
          <w:noProof/>
        </w:rPr>
      </w:pPr>
      <w:r>
        <w:rPr>
          <w:noProof/>
        </w:rPr>
        <w:t xml:space="preserve">Un nou mecanism de indexare care corelează prestațiile de pensii cu inflația, cu obiectivul de a garanta puterea de cumpărare a pensionarilor în mod permanent. </w:t>
      </w:r>
    </w:p>
    <w:p w14:paraId="24BA0CAD" w14:textId="77777777" w:rsidR="00011DE9" w:rsidRDefault="00011DE9">
      <w:pPr>
        <w:pStyle w:val="P68B1DB1-ListParagraph25"/>
        <w:numPr>
          <w:ilvl w:val="0"/>
          <w:numId w:val="194"/>
        </w:numPr>
        <w:spacing w:before="120" w:after="120" w:line="240" w:lineRule="auto"/>
        <w:jc w:val="both"/>
        <w:rPr>
          <w:rFonts w:cs="Times New Roman"/>
          <w:noProof/>
        </w:rPr>
      </w:pPr>
      <w:r>
        <w:rPr>
          <w:noProof/>
        </w:rPr>
        <w:t>Alinierea vârstei efective de pensionare la vârsta legală de pensionare, cu obiectivele de creștere a participării pe piața muncii la vârste apropiate de vârsta legală de pensionare și de amânare a pensionării. Măsura constă în următoarele modificări normative:</w:t>
      </w:r>
    </w:p>
    <w:p w14:paraId="10851893" w14:textId="77777777" w:rsidR="00011DE9" w:rsidRDefault="00011DE9">
      <w:pPr>
        <w:pStyle w:val="P68B1DB1-ListParagraph25"/>
        <w:numPr>
          <w:ilvl w:val="1"/>
          <w:numId w:val="191"/>
        </w:numPr>
        <w:spacing w:before="120" w:after="120" w:line="240" w:lineRule="auto"/>
        <w:jc w:val="both"/>
        <w:rPr>
          <w:rFonts w:cs="Times New Roman"/>
          <w:noProof/>
        </w:rPr>
      </w:pPr>
      <w:r>
        <w:rPr>
          <w:noProof/>
        </w:rPr>
        <w:t xml:space="preserve"> Crearea de noi stimulente pentru amânarea pensionării (stimulente economice sporite pentru amânarea pensionării și promovarea compatibilității dintre muncă și pensie). În special, lucrătorii care amână pensionarea au dreptul de a alege dintre: o majorare a cuantumului pensiei pentru fiecare an complet de contribuție suplimentară creditat între vârsta legală de pensionare și pensionarea efectivă; o plată forfetară; și o combinație a primelor două.</w:t>
      </w:r>
    </w:p>
    <w:p w14:paraId="5D0C7D11" w14:textId="77777777" w:rsidR="00011DE9" w:rsidRDefault="00011DE9">
      <w:pPr>
        <w:pStyle w:val="P68B1DB1-ListParagraph25"/>
        <w:numPr>
          <w:ilvl w:val="1"/>
          <w:numId w:val="191"/>
        </w:numPr>
        <w:spacing w:before="120" w:after="120" w:line="240" w:lineRule="auto"/>
        <w:jc w:val="both"/>
        <w:rPr>
          <w:rFonts w:cs="Times New Roman"/>
          <w:noProof/>
        </w:rPr>
      </w:pPr>
      <w:r>
        <w:rPr>
          <w:noProof/>
        </w:rPr>
        <w:t>Consolidarea factorilor de descurajare în reglementarea elementelor de pensionare anticipată din reglementarea actuală a pensionării anticipate. Rata de reducere pentru pensionarea anticipată se modifică pentru a crește vârsta efectivă de pensionare și pentru a elimina tratamentul privilegiat acordat pensionarilor cu baza maximă de contribuție. Dispozițiile privind negocierile colective care impun accesul la pensie la vârsta standard de pensionare trebuie interzise.</w:t>
      </w:r>
    </w:p>
    <w:p w14:paraId="4326E1D2" w14:textId="77777777" w:rsidR="00011DE9" w:rsidRDefault="00011DE9">
      <w:pPr>
        <w:pStyle w:val="P68B1DB1-Normal16"/>
        <w:spacing w:before="120" w:after="120" w:line="240" w:lineRule="auto"/>
        <w:rPr>
          <w:rFonts w:cs="Times New Roman"/>
          <w:noProof/>
        </w:rPr>
      </w:pPr>
      <w:r>
        <w:rPr>
          <w:noProof/>
        </w:rPr>
        <w:t>Reformele care urmează să intre în vigoare până la 31 decembrie 2022 sunt:</w:t>
      </w:r>
    </w:p>
    <w:p w14:paraId="45B21DAA" w14:textId="77777777" w:rsidR="00011DE9" w:rsidRDefault="00011DE9">
      <w:pPr>
        <w:pStyle w:val="P68B1DB1-ListParagraph25"/>
        <w:numPr>
          <w:ilvl w:val="0"/>
          <w:numId w:val="193"/>
        </w:numPr>
        <w:spacing w:before="120" w:after="120" w:line="240" w:lineRule="auto"/>
        <w:jc w:val="both"/>
        <w:rPr>
          <w:rFonts w:cs="Times New Roman"/>
          <w:noProof/>
        </w:rPr>
      </w:pPr>
      <w:r>
        <w:rPr>
          <w:noProof/>
        </w:rPr>
        <w:t xml:space="preserve">Ajustarea perioadei de cotizare pentru calcularea pensiei pentru limită de vârstă, cu scopul de a consolida progresivitatea sistemului și de a adapta regulamentul actual la carierele discontinue și la alte forme de muncă atipică. </w:t>
      </w:r>
    </w:p>
    <w:p w14:paraId="5D28DD92" w14:textId="77777777" w:rsidR="00011DE9" w:rsidRDefault="00011DE9">
      <w:pPr>
        <w:pStyle w:val="P68B1DB1-ListParagraph25"/>
        <w:numPr>
          <w:ilvl w:val="0"/>
          <w:numId w:val="193"/>
        </w:numPr>
        <w:spacing w:before="120" w:after="120" w:line="240" w:lineRule="auto"/>
        <w:jc w:val="both"/>
        <w:rPr>
          <w:rFonts w:cs="Times New Roman"/>
          <w:noProof/>
        </w:rPr>
      </w:pPr>
      <w:r>
        <w:rPr>
          <w:noProof/>
        </w:rPr>
        <w:t xml:space="preserve">Înlocuirea factorului de durabilitate cu un mecanism care să garanteze echitatea între generații și sustenabilitatea bugetară. Obiectivul măsurii este de a aborda impactul viitoarelor schimbări demografice fără a înrăutăți caracterul adecvat al pensiilor actuale și viitoare. </w:t>
      </w:r>
    </w:p>
    <w:p w14:paraId="03C90994" w14:textId="77777777" w:rsidR="00011DE9" w:rsidRDefault="00011DE9">
      <w:pPr>
        <w:pStyle w:val="P68B1DB1-Normal16"/>
        <w:spacing w:before="120" w:after="120" w:line="240" w:lineRule="auto"/>
        <w:jc w:val="both"/>
        <w:rPr>
          <w:rFonts w:cs="Times New Roman"/>
          <w:noProof/>
        </w:rPr>
      </w:pPr>
      <w:r>
        <w:rPr>
          <w:noProof/>
        </w:rPr>
        <w:t>Măsura se pune în aplicare până la 31 decembrie 2022.</w:t>
      </w:r>
    </w:p>
    <w:p w14:paraId="52811695" w14:textId="77777777" w:rsidR="00011DE9" w:rsidRDefault="00011DE9">
      <w:pPr>
        <w:pStyle w:val="P68B1DB1-Normal17"/>
        <w:keepNext/>
        <w:spacing w:before="120" w:after="120" w:line="240" w:lineRule="auto"/>
        <w:rPr>
          <w:rFonts w:cs="Times New Roman"/>
          <w:noProof/>
        </w:rPr>
      </w:pPr>
      <w:r>
        <w:rPr>
          <w:noProof/>
        </w:rPr>
        <w:t>Reforma 3 (C30.R3) – Reforma sistemului de contribuții la asigurările sociale pentru persoanele care desfășoară o activitate independentă</w:t>
      </w:r>
    </w:p>
    <w:p w14:paraId="3D4C253A" w14:textId="77777777" w:rsidR="00011DE9" w:rsidRDefault="00011DE9">
      <w:pPr>
        <w:pStyle w:val="P68B1DB1-Normal16"/>
        <w:spacing w:before="120" w:after="120" w:line="240" w:lineRule="auto"/>
        <w:jc w:val="both"/>
        <w:rPr>
          <w:rFonts w:cs="Times New Roman"/>
          <w:noProof/>
        </w:rPr>
      </w:pPr>
      <w:r>
        <w:rPr>
          <w:noProof/>
        </w:rPr>
        <w:t>Obiectivul reformei este de a egaliza tratamentul lucrătorilor și al persoanelor care desfășoară o activitate independentă, de a crește contribuțiile la sistemul de pensii și de a se asigura că persoanele care desfășoară o activitate independentă primesc un venit din pensii adecvat. Reforma modifică regimul de contribuții al persoanelor care desfășoară o activitate independentă. Reforma va baza contribuțiile lucrătorilor independenți pe venitul real, în locul unei baze de contribuții alese de ei înșiși, în conformitate cu recomandările Pactului de la Toledo. Contribuția finală se calculează pe baza venitului profesional independent furnizat de autoritățile fiscale. Reforma este pusă în aplicare treptat prin creșteri ale bazei minime de contribuție pentru a permite adaptarea la noul regim.</w:t>
      </w:r>
    </w:p>
    <w:p w14:paraId="2D3CE668" w14:textId="77777777" w:rsidR="00011DE9" w:rsidRDefault="00011DE9">
      <w:pPr>
        <w:pStyle w:val="P68B1DB1-Normal16"/>
        <w:spacing w:before="120" w:after="120" w:line="240" w:lineRule="auto"/>
        <w:rPr>
          <w:rFonts w:cs="Times New Roman"/>
          <w:noProof/>
        </w:rPr>
      </w:pPr>
      <w:r>
        <w:rPr>
          <w:noProof/>
        </w:rPr>
        <w:t>Măsura se pune în aplicare până la 30 iunie 2022.</w:t>
      </w:r>
    </w:p>
    <w:p w14:paraId="145FF070" w14:textId="77777777" w:rsidR="00011DE9" w:rsidRDefault="00011DE9">
      <w:pPr>
        <w:pStyle w:val="P68B1DB1-Normal17"/>
        <w:spacing w:before="120" w:after="120" w:line="240" w:lineRule="auto"/>
        <w:rPr>
          <w:rFonts w:cs="Times New Roman"/>
          <w:noProof/>
        </w:rPr>
      </w:pPr>
      <w:r>
        <w:rPr>
          <w:noProof/>
        </w:rPr>
        <w:t>Reforma 5 (C30.R5) – Revizuirea actualului sistem de pensii suplimentare</w:t>
      </w:r>
    </w:p>
    <w:p w14:paraId="3F97A532" w14:textId="77777777" w:rsidR="00011DE9" w:rsidRDefault="00011DE9">
      <w:pPr>
        <w:pStyle w:val="P68B1DB1-Normal16"/>
        <w:spacing w:before="120" w:after="120" w:line="240" w:lineRule="auto"/>
        <w:jc w:val="both"/>
        <w:rPr>
          <w:rFonts w:cs="Times New Roman"/>
          <w:noProof/>
        </w:rPr>
      </w:pPr>
      <w:r>
        <w:rPr>
          <w:noProof/>
        </w:rPr>
        <w:t xml:space="preserve">Reforma revizuiește cadrul de reglementare pentru sistemul de pensii suplimentare, cu obiectivul de a spori acoperirea sistemelor de pensii ocupaționale convenite prin negocieri colective, de preferință la nivel sectorial. Noul cadru juridic pentru sistemele de pensii ocupaționale este menit să acopere lucrătorii fără sisteme de pensii ocupaționale din întreprinderile lor și lucrătorii independenți care în prezent nu au acces la aceste sisteme din al doilea pilon. </w:t>
      </w:r>
    </w:p>
    <w:p w14:paraId="37A944F5" w14:textId="77777777" w:rsidR="00011DE9" w:rsidRDefault="00011DE9">
      <w:pPr>
        <w:pStyle w:val="P68B1DB1-Normal16"/>
        <w:spacing w:before="120" w:after="120" w:line="240" w:lineRule="auto"/>
        <w:rPr>
          <w:rFonts w:cs="Times New Roman"/>
          <w:noProof/>
        </w:rPr>
      </w:pPr>
      <w:r>
        <w:rPr>
          <w:noProof/>
        </w:rPr>
        <w:t>Măsurile specifice ale reformei includ:</w:t>
      </w:r>
    </w:p>
    <w:p w14:paraId="73C74404" w14:textId="77777777" w:rsidR="00011DE9" w:rsidRDefault="00011DE9">
      <w:pPr>
        <w:pStyle w:val="P68B1DB1-ListParagraph25"/>
        <w:numPr>
          <w:ilvl w:val="0"/>
          <w:numId w:val="192"/>
        </w:numPr>
        <w:spacing w:before="120" w:after="120" w:line="240" w:lineRule="auto"/>
        <w:rPr>
          <w:rFonts w:cs="Times New Roman"/>
          <w:noProof/>
        </w:rPr>
      </w:pPr>
      <w:r>
        <w:rPr>
          <w:noProof/>
        </w:rPr>
        <w:t xml:space="preserve">Crearea de fonduri promovate public pentru furnizarea de pensii ocupaționale, gestionate de sectorul privat. </w:t>
      </w:r>
    </w:p>
    <w:p w14:paraId="3E894590" w14:textId="77777777" w:rsidR="00011DE9" w:rsidRDefault="00011DE9">
      <w:pPr>
        <w:pStyle w:val="P68B1DB1-ListParagraph25"/>
        <w:numPr>
          <w:ilvl w:val="0"/>
          <w:numId w:val="192"/>
        </w:numPr>
        <w:spacing w:before="120" w:after="120" w:line="240" w:lineRule="auto"/>
        <w:rPr>
          <w:rFonts w:cs="Times New Roman"/>
          <w:noProof/>
        </w:rPr>
      </w:pPr>
      <w:r>
        <w:rPr>
          <w:noProof/>
        </w:rPr>
        <w:t>Stimulente și modificări în materie de reglementare pentru a spori acoperirea sistemelor de pensii ocupaționale convenite prin negocieri colective.</w:t>
      </w:r>
    </w:p>
    <w:p w14:paraId="333E85BF" w14:textId="77777777" w:rsidR="00011DE9" w:rsidRDefault="00011DE9">
      <w:pPr>
        <w:pStyle w:val="P68B1DB1-ListParagraph25"/>
        <w:numPr>
          <w:ilvl w:val="0"/>
          <w:numId w:val="192"/>
        </w:numPr>
        <w:spacing w:before="120" w:after="120" w:line="240" w:lineRule="auto"/>
        <w:rPr>
          <w:rFonts w:cs="Times New Roman"/>
          <w:noProof/>
        </w:rPr>
      </w:pPr>
      <w:r>
        <w:rPr>
          <w:noProof/>
        </w:rPr>
        <w:t>Simplificarea procedurilor sistemelor de pensii.</w:t>
      </w:r>
    </w:p>
    <w:p w14:paraId="009DC177" w14:textId="77777777" w:rsidR="00011DE9" w:rsidRDefault="00011DE9">
      <w:pPr>
        <w:pStyle w:val="P68B1DB1-ListParagraph25"/>
        <w:numPr>
          <w:ilvl w:val="0"/>
          <w:numId w:val="192"/>
        </w:numPr>
        <w:spacing w:before="120" w:after="120" w:line="240" w:lineRule="auto"/>
        <w:rPr>
          <w:rFonts w:cs="Times New Roman"/>
          <w:noProof/>
        </w:rPr>
      </w:pPr>
      <w:r>
        <w:rPr>
          <w:noProof/>
        </w:rPr>
        <w:t>Modificări în materie de reglementare pentru a promova mobilitatea lucrătorilor între diferite întreprinderi și sectoare.</w:t>
      </w:r>
    </w:p>
    <w:p w14:paraId="3F1393E0" w14:textId="77777777" w:rsidR="00011DE9" w:rsidRDefault="00011DE9">
      <w:pPr>
        <w:pStyle w:val="P68B1DB1-ListParagraph25"/>
        <w:numPr>
          <w:ilvl w:val="0"/>
          <w:numId w:val="192"/>
        </w:numPr>
        <w:spacing w:before="120" w:after="120" w:line="240" w:lineRule="auto"/>
        <w:rPr>
          <w:rFonts w:cs="Times New Roman"/>
          <w:noProof/>
        </w:rPr>
      </w:pPr>
      <w:r>
        <w:rPr>
          <w:noProof/>
        </w:rPr>
        <w:t>Stimulente fiscale pentru promovarea participării la sisteme ocupaționale colective</w:t>
      </w:r>
    </w:p>
    <w:p w14:paraId="6D1CC134" w14:textId="77777777" w:rsidR="00011DE9" w:rsidRDefault="00011DE9">
      <w:pPr>
        <w:pStyle w:val="P68B1DB1-ListParagraph25"/>
        <w:numPr>
          <w:ilvl w:val="0"/>
          <w:numId w:val="192"/>
        </w:numPr>
        <w:spacing w:before="120" w:after="120" w:line="240" w:lineRule="auto"/>
        <w:rPr>
          <w:rFonts w:cs="Times New Roman"/>
          <w:noProof/>
        </w:rPr>
      </w:pPr>
      <w:r>
        <w:rPr>
          <w:noProof/>
        </w:rPr>
        <w:t>Limitarea costurilor de gestionare pentru sistemele de ocupare colectivă la mai puțin de 0,30 % din activele administrate.</w:t>
      </w:r>
    </w:p>
    <w:p w14:paraId="032CE27A" w14:textId="77777777" w:rsidR="00011DE9" w:rsidRDefault="00011DE9">
      <w:pPr>
        <w:pStyle w:val="P68B1DB1-Normal16"/>
        <w:spacing w:before="120" w:after="120" w:line="240" w:lineRule="auto"/>
        <w:jc w:val="both"/>
        <w:rPr>
          <w:rFonts w:cs="Times New Roman"/>
          <w:noProof/>
        </w:rPr>
      </w:pPr>
      <w:r>
        <w:rPr>
          <w:noProof/>
        </w:rPr>
        <w:t xml:space="preserve">Punerea în aplicare a reformei a început prin dispoziții în bugetul general de stat pentru 2021 privind redirecționarea stimulentelor fiscale asociate anterior cu sistemele individuale de pensii în favoarea sistemelor colective (măsura v. de mai sus) și prin promovarea publică a fondurilor pentru furnizarea de pensii ocupaționale (măsura i. de mai sus). </w:t>
      </w:r>
    </w:p>
    <w:p w14:paraId="6BF91C16" w14:textId="77777777" w:rsidR="00011DE9" w:rsidRDefault="00011DE9">
      <w:pPr>
        <w:pStyle w:val="P68B1DB1-Normal16"/>
        <w:spacing w:before="120" w:after="120" w:line="240" w:lineRule="auto"/>
        <w:jc w:val="both"/>
        <w:rPr>
          <w:rFonts w:cs="Times New Roman"/>
          <w:noProof/>
        </w:rPr>
      </w:pPr>
      <w:r>
        <w:rPr>
          <w:noProof/>
        </w:rPr>
        <w:t>Măsura se pune în aplicare până la 30 iunie 2022.</w:t>
      </w:r>
    </w:p>
    <w:p w14:paraId="4EB779EB" w14:textId="77777777" w:rsidR="00011DE9" w:rsidRDefault="00011DE9">
      <w:pPr>
        <w:pStyle w:val="P68B1DB1-Normal17"/>
        <w:spacing w:before="120" w:after="120" w:line="240" w:lineRule="auto"/>
        <w:rPr>
          <w:rFonts w:cs="Times New Roman"/>
          <w:noProof/>
        </w:rPr>
      </w:pPr>
      <w:r>
        <w:rPr>
          <w:noProof/>
        </w:rPr>
        <w:t>Reforma 6 (C30.R6) – Ajustarea bazei maxime a contribuției</w:t>
      </w:r>
    </w:p>
    <w:p w14:paraId="6FCD1BF0" w14:textId="77777777" w:rsidR="00011DE9" w:rsidRDefault="00011DE9">
      <w:pPr>
        <w:spacing w:before="120" w:after="120" w:line="240" w:lineRule="auto"/>
        <w:jc w:val="both"/>
        <w:rPr>
          <w:rFonts w:ascii="Times New Roman" w:hAnsi="Times New Roman" w:cs="Times New Roman"/>
          <w:noProof/>
        </w:rPr>
      </w:pPr>
      <w:r>
        <w:rPr>
          <w:rFonts w:ascii="Times New Roman" w:hAnsi="Times New Roman"/>
          <w:noProof/>
        </w:rPr>
        <w:t>Reforma mărește baza maximă de contribuție a sistemului de pensii și ajustează pensiile maxime pentru a extinde baza de contribuție, pentru a spori progresivitatea sistemului de pensii și pentru a crește veniturile globale. Măsurile sunt în conformitate cu recomandările Pactului de la Toledo. Ajustarea sistemului este treptată pentru a permite contribuitorilor să se adapteze la schimbări. Pensiile maxime și bazele maxime de cotizare sunt majorate în mod corespunzător pentru a menține caracterul contributiv al sistemului. Reforma va fi pusă în aplicare treptat, în</w:t>
      </w:r>
      <w:r>
        <w:rPr>
          <w:rStyle w:val="normaltextrun"/>
          <w:rFonts w:ascii="Times New Roman" w:hAnsi="Times New Roman"/>
          <w:noProof/>
          <w:bdr w:val="none" w:sz="0" w:space="0" w:color="auto" w:frame="1"/>
        </w:rPr>
        <w:t xml:space="preserve"> </w:t>
      </w:r>
      <w:r>
        <w:rPr>
          <w:rFonts w:ascii="Times New Roman" w:hAnsi="Times New Roman"/>
          <w:noProof/>
        </w:rPr>
        <w:t>următorii treizeci de ani.</w:t>
      </w:r>
    </w:p>
    <w:p w14:paraId="2AB5B1C9" w14:textId="77777777" w:rsidR="00011DE9" w:rsidRDefault="00011DE9">
      <w:pPr>
        <w:pStyle w:val="P68B1DB1-Normal16"/>
        <w:spacing w:before="120" w:after="120" w:line="240" w:lineRule="auto"/>
        <w:jc w:val="both"/>
        <w:rPr>
          <w:rFonts w:cs="Times New Roman"/>
          <w:noProof/>
        </w:rPr>
      </w:pPr>
      <w:r>
        <w:rPr>
          <w:noProof/>
        </w:rPr>
        <w:t xml:space="preserve">Măsura intră în vigoare până la 31 decembrie 2022. </w:t>
      </w:r>
    </w:p>
    <w:p w14:paraId="17723F91" w14:textId="77777777" w:rsidR="00011DE9" w:rsidRDefault="00011DE9">
      <w:pPr>
        <w:pStyle w:val="Text1"/>
        <w:ind w:left="709"/>
        <w:rPr>
          <w:rFonts w:ascii="Times New Roman" w:hAnsi="Times New Roman" w:cs="Times New Roman"/>
          <w:b/>
          <w:noProof/>
          <w:szCs w:val="24"/>
          <w:u w:val="single"/>
        </w:rPr>
      </w:pPr>
      <w:r>
        <w:rPr>
          <w:rFonts w:ascii="Times New Roman" w:hAnsi="Times New Roman"/>
          <w:b/>
          <w:noProof/>
          <w:u w:val="single"/>
        </w:rPr>
        <w:t xml:space="preserve">AD.2. </w:t>
      </w:r>
      <w:r>
        <w:rPr>
          <w:noProof/>
        </w:rPr>
        <w:t></w:t>
      </w:r>
      <w:r>
        <w:rPr>
          <w:rFonts w:ascii="Times New Roman" w:hAnsi="Times New Roman"/>
          <w:b/>
          <w:noProof/>
          <w:u w:val="single"/>
        </w:rPr>
        <w:t>Jaloane, ținte, indicatori și calendarul de monitorizare și implementare aplicabile sprijinului financiar nerambursabil</w:t>
      </w:r>
    </w:p>
    <w:p w14:paraId="14FD6576" w14:textId="77777777" w:rsidR="00011DE9" w:rsidRDefault="00011DE9">
      <w:pPr>
        <w:pStyle w:val="P68B1DB1-Normal16"/>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r>
        <w:rPr>
          <w:noProof/>
        </w:rPr>
        <w:t xml:space="preserve"> </w:t>
      </w:r>
    </w:p>
    <w:p w14:paraId="582A13CB" w14:textId="77777777" w:rsidR="00011DE9" w:rsidRDefault="00011DE9">
      <w:pPr>
        <w:pStyle w:val="Text1"/>
        <w:ind w:left="709"/>
        <w:rPr>
          <w:rFonts w:ascii="Times New Roman" w:hAnsi="Times New Roman" w:cs="Times New Roman"/>
          <w:noProof/>
        </w:rPr>
        <w:sectPr w:rsidR="00011DE9" w:rsidSect="00011DE9">
          <w:headerReference w:type="even" r:id="rId402"/>
          <w:headerReference w:type="default" r:id="rId403"/>
          <w:footerReference w:type="even" r:id="rId404"/>
          <w:footerReference w:type="default" r:id="rId405"/>
          <w:headerReference w:type="first" r:id="rId406"/>
          <w:footerReference w:type="first" r:id="rId407"/>
          <w:pgSz w:w="11907" w:h="16839"/>
          <w:pgMar w:top="1134" w:right="1134" w:bottom="1134" w:left="1134" w:header="567" w:footer="567" w:gutter="0"/>
          <w:cols w:space="720"/>
          <w:docGrid w:linePitch="360"/>
        </w:sect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11"/>
        <w:gridCol w:w="823"/>
        <w:gridCol w:w="821"/>
        <w:gridCol w:w="2202"/>
        <w:gridCol w:w="1214"/>
        <w:gridCol w:w="548"/>
        <w:gridCol w:w="957"/>
        <w:gridCol w:w="548"/>
        <w:gridCol w:w="413"/>
        <w:gridCol w:w="548"/>
        <w:gridCol w:w="6550"/>
      </w:tblGrid>
      <w:tr w:rsidR="00011DE9" w14:paraId="7C14D17E" w14:textId="77777777">
        <w:trPr>
          <w:trHeight w:val="309"/>
          <w:tblHeader/>
          <w:jc w:val="center"/>
        </w:trPr>
        <w:tc>
          <w:tcPr>
            <w:tcW w:w="1111" w:type="dxa"/>
            <w:vMerge w:val="restart"/>
            <w:shd w:val="clear" w:color="auto" w:fill="B7D4EF" w:themeFill="text2" w:themeFillTint="33"/>
            <w:noWrap/>
            <w:vAlign w:val="center"/>
          </w:tcPr>
          <w:p w14:paraId="614627DD" w14:textId="77777777" w:rsidR="00011DE9" w:rsidRDefault="00011DE9">
            <w:pPr>
              <w:pStyle w:val="P68B1DB1-Normal18"/>
              <w:spacing w:after="0"/>
              <w:jc w:val="center"/>
              <w:rPr>
                <w:rFonts w:cs="Times New Roman"/>
                <w:noProof/>
                <w:szCs w:val="18"/>
              </w:rPr>
            </w:pPr>
            <w:r>
              <w:rPr>
                <w:noProof/>
              </w:rPr>
              <w:t>Număr</w:t>
            </w:r>
          </w:p>
        </w:tc>
        <w:tc>
          <w:tcPr>
            <w:tcW w:w="823" w:type="dxa"/>
            <w:vMerge w:val="restart"/>
            <w:shd w:val="clear" w:color="auto" w:fill="B7D4EF" w:themeFill="text2" w:themeFillTint="33"/>
            <w:noWrap/>
            <w:vAlign w:val="center"/>
          </w:tcPr>
          <w:p w14:paraId="5B74304F" w14:textId="77777777" w:rsidR="00011DE9" w:rsidRDefault="00011DE9">
            <w:pPr>
              <w:pStyle w:val="P68B1DB1-Normal18"/>
              <w:spacing w:after="0"/>
              <w:jc w:val="center"/>
              <w:rPr>
                <w:rFonts w:cs="Times New Roman"/>
                <w:noProof/>
                <w:szCs w:val="18"/>
              </w:rPr>
            </w:pPr>
            <w:r>
              <w:rPr>
                <w:noProof/>
              </w:rPr>
              <w:t>Măsură</w:t>
            </w:r>
          </w:p>
        </w:tc>
        <w:tc>
          <w:tcPr>
            <w:tcW w:w="821" w:type="dxa"/>
            <w:vMerge w:val="restart"/>
            <w:shd w:val="clear" w:color="auto" w:fill="B7D4EF" w:themeFill="text2" w:themeFillTint="33"/>
            <w:noWrap/>
            <w:vAlign w:val="center"/>
          </w:tcPr>
          <w:p w14:paraId="136E3D8A" w14:textId="131A512E" w:rsidR="00011DE9" w:rsidRDefault="00011DE9">
            <w:pPr>
              <w:spacing w:after="0"/>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2202" w:type="dxa"/>
            <w:vMerge w:val="restart"/>
            <w:shd w:val="clear" w:color="auto" w:fill="B7D4EF" w:themeFill="text2" w:themeFillTint="33"/>
            <w:noWrap/>
            <w:vAlign w:val="center"/>
          </w:tcPr>
          <w:p w14:paraId="073B8DC2" w14:textId="77777777" w:rsidR="00011DE9" w:rsidRDefault="00011DE9">
            <w:pPr>
              <w:pStyle w:val="P68B1DB1-Normal18"/>
              <w:spacing w:after="0"/>
              <w:jc w:val="center"/>
              <w:rPr>
                <w:rFonts w:cs="Times New Roman"/>
                <w:noProof/>
                <w:szCs w:val="18"/>
              </w:rPr>
            </w:pPr>
            <w:r>
              <w:rPr>
                <w:noProof/>
              </w:rPr>
              <w:t>Nume</w:t>
            </w:r>
          </w:p>
        </w:tc>
        <w:tc>
          <w:tcPr>
            <w:tcW w:w="1214" w:type="dxa"/>
            <w:vMerge w:val="restart"/>
            <w:shd w:val="clear" w:color="auto" w:fill="B7D4EF" w:themeFill="text2" w:themeFillTint="33"/>
            <w:noWrap/>
            <w:vAlign w:val="center"/>
          </w:tcPr>
          <w:p w14:paraId="12BA0EEA" w14:textId="77777777" w:rsidR="00011DE9" w:rsidRDefault="00011DE9">
            <w:pPr>
              <w:pStyle w:val="P68B1DB1-Normal18"/>
              <w:spacing w:after="0"/>
              <w:jc w:val="center"/>
              <w:rPr>
                <w:rFonts w:cs="Times New Roman"/>
                <w:noProof/>
                <w:szCs w:val="18"/>
              </w:rPr>
            </w:pPr>
            <w:r>
              <w:rPr>
                <w:noProof/>
              </w:rPr>
              <w:t>Indicator calitativ pentru jaloane</w:t>
            </w:r>
          </w:p>
        </w:tc>
        <w:tc>
          <w:tcPr>
            <w:tcW w:w="2053" w:type="dxa"/>
            <w:gridSpan w:val="3"/>
            <w:shd w:val="clear" w:color="auto" w:fill="B7D4EF" w:themeFill="text2" w:themeFillTint="33"/>
            <w:noWrap/>
            <w:vAlign w:val="center"/>
          </w:tcPr>
          <w:p w14:paraId="06DAECC5" w14:textId="77777777" w:rsidR="00011DE9" w:rsidRDefault="00011DE9">
            <w:pPr>
              <w:pStyle w:val="P68B1DB1-Normal18"/>
              <w:spacing w:after="0"/>
              <w:jc w:val="center"/>
              <w:rPr>
                <w:rFonts w:cs="Times New Roman"/>
                <w:noProof/>
                <w:szCs w:val="18"/>
              </w:rPr>
            </w:pPr>
            <w:r>
              <w:rPr>
                <w:noProof/>
              </w:rPr>
              <w:t>Indicator cantitativ pentru ținte</w:t>
            </w:r>
          </w:p>
        </w:tc>
        <w:tc>
          <w:tcPr>
            <w:tcW w:w="961" w:type="dxa"/>
            <w:gridSpan w:val="2"/>
            <w:shd w:val="clear" w:color="auto" w:fill="B7D4EF" w:themeFill="text2" w:themeFillTint="33"/>
            <w:noWrap/>
            <w:vAlign w:val="center"/>
          </w:tcPr>
          <w:p w14:paraId="17B9F92A" w14:textId="77777777" w:rsidR="00011DE9" w:rsidRDefault="00011DE9">
            <w:pPr>
              <w:pStyle w:val="P68B1DB1-Normal18"/>
              <w:spacing w:after="0"/>
              <w:jc w:val="center"/>
              <w:rPr>
                <w:rFonts w:cs="Times New Roman"/>
                <w:noProof/>
                <w:szCs w:val="18"/>
              </w:rPr>
            </w:pPr>
            <w:r>
              <w:rPr>
                <w:noProof/>
              </w:rPr>
              <w:t>Timp</w:t>
            </w:r>
          </w:p>
        </w:tc>
        <w:tc>
          <w:tcPr>
            <w:tcW w:w="6550" w:type="dxa"/>
            <w:vMerge w:val="restart"/>
            <w:shd w:val="clear" w:color="auto" w:fill="B7D4EF" w:themeFill="text2" w:themeFillTint="33"/>
            <w:noWrap/>
            <w:vAlign w:val="center"/>
          </w:tcPr>
          <w:p w14:paraId="5498918E" w14:textId="77777777" w:rsidR="00011DE9" w:rsidRDefault="00011DE9">
            <w:pPr>
              <w:pStyle w:val="P68B1DB1-Normal18"/>
              <w:spacing w:after="0"/>
              <w:jc w:val="center"/>
              <w:rPr>
                <w:rFonts w:cs="Times New Roman"/>
                <w:noProof/>
                <w:szCs w:val="18"/>
              </w:rPr>
            </w:pPr>
            <w:r>
              <w:rPr>
                <w:noProof/>
              </w:rPr>
              <w:t>Descrierea fiecărui jalon și a fiecărei ținte</w:t>
            </w:r>
          </w:p>
        </w:tc>
      </w:tr>
      <w:tr w:rsidR="00011DE9" w14:paraId="0B5EA841" w14:textId="77777777">
        <w:trPr>
          <w:trHeight w:val="309"/>
          <w:tblHeader/>
          <w:jc w:val="center"/>
        </w:trPr>
        <w:tc>
          <w:tcPr>
            <w:tcW w:w="1111" w:type="dxa"/>
            <w:vMerge/>
            <w:noWrap/>
          </w:tcPr>
          <w:p w14:paraId="45B5D7F8" w14:textId="77777777" w:rsidR="00011DE9" w:rsidRDefault="00011DE9">
            <w:pPr>
              <w:spacing w:after="0"/>
              <w:jc w:val="center"/>
              <w:rPr>
                <w:rFonts w:ascii="Times New Roman" w:hAnsi="Times New Roman" w:cs="Times New Roman"/>
                <w:b/>
                <w:noProof/>
                <w:sz w:val="18"/>
                <w:szCs w:val="18"/>
              </w:rPr>
            </w:pPr>
          </w:p>
        </w:tc>
        <w:tc>
          <w:tcPr>
            <w:tcW w:w="823" w:type="dxa"/>
            <w:vMerge/>
            <w:noWrap/>
          </w:tcPr>
          <w:p w14:paraId="6C2B0F0C" w14:textId="77777777" w:rsidR="00011DE9" w:rsidRDefault="00011DE9">
            <w:pPr>
              <w:spacing w:after="0"/>
              <w:jc w:val="center"/>
              <w:rPr>
                <w:rFonts w:ascii="Times New Roman" w:hAnsi="Times New Roman" w:cs="Times New Roman"/>
                <w:b/>
                <w:noProof/>
                <w:sz w:val="18"/>
                <w:szCs w:val="18"/>
              </w:rPr>
            </w:pPr>
          </w:p>
        </w:tc>
        <w:tc>
          <w:tcPr>
            <w:tcW w:w="821" w:type="dxa"/>
            <w:vMerge/>
            <w:noWrap/>
          </w:tcPr>
          <w:p w14:paraId="4AED23EA" w14:textId="77777777" w:rsidR="00011DE9" w:rsidRDefault="00011DE9">
            <w:pPr>
              <w:spacing w:after="0"/>
              <w:jc w:val="center"/>
              <w:rPr>
                <w:rFonts w:ascii="Times New Roman" w:hAnsi="Times New Roman" w:cs="Times New Roman"/>
                <w:b/>
                <w:noProof/>
                <w:sz w:val="18"/>
                <w:szCs w:val="18"/>
              </w:rPr>
            </w:pPr>
          </w:p>
        </w:tc>
        <w:tc>
          <w:tcPr>
            <w:tcW w:w="2202" w:type="dxa"/>
            <w:vMerge/>
            <w:noWrap/>
          </w:tcPr>
          <w:p w14:paraId="068798DC" w14:textId="77777777" w:rsidR="00011DE9" w:rsidRDefault="00011DE9">
            <w:pPr>
              <w:spacing w:after="0"/>
              <w:rPr>
                <w:rFonts w:ascii="Times New Roman" w:hAnsi="Times New Roman" w:cs="Times New Roman"/>
                <w:b/>
                <w:noProof/>
                <w:sz w:val="18"/>
                <w:szCs w:val="18"/>
              </w:rPr>
            </w:pPr>
          </w:p>
        </w:tc>
        <w:tc>
          <w:tcPr>
            <w:tcW w:w="1214" w:type="dxa"/>
            <w:vMerge/>
            <w:noWrap/>
          </w:tcPr>
          <w:p w14:paraId="1AFFE307" w14:textId="77777777" w:rsidR="00011DE9" w:rsidRDefault="00011DE9">
            <w:pPr>
              <w:spacing w:after="0"/>
              <w:jc w:val="center"/>
              <w:rPr>
                <w:rFonts w:ascii="Times New Roman" w:hAnsi="Times New Roman" w:cs="Times New Roman"/>
                <w:b/>
                <w:noProof/>
                <w:sz w:val="18"/>
                <w:szCs w:val="18"/>
              </w:rPr>
            </w:pPr>
          </w:p>
        </w:tc>
        <w:tc>
          <w:tcPr>
            <w:tcW w:w="548" w:type="dxa"/>
            <w:shd w:val="clear" w:color="auto" w:fill="B7D4EF" w:themeFill="text2" w:themeFillTint="33"/>
            <w:noWrap/>
          </w:tcPr>
          <w:p w14:paraId="65B5325F" w14:textId="77777777" w:rsidR="00011DE9" w:rsidRDefault="00011DE9">
            <w:pPr>
              <w:pStyle w:val="P68B1DB1-Normal18"/>
              <w:spacing w:after="0"/>
              <w:jc w:val="center"/>
              <w:rPr>
                <w:rFonts w:cs="Times New Roman"/>
                <w:noProof/>
                <w:szCs w:val="18"/>
              </w:rPr>
            </w:pPr>
            <w:r>
              <w:rPr>
                <w:noProof/>
              </w:rPr>
              <w:t>Unitate</w:t>
            </w:r>
          </w:p>
        </w:tc>
        <w:tc>
          <w:tcPr>
            <w:tcW w:w="957" w:type="dxa"/>
            <w:shd w:val="clear" w:color="auto" w:fill="B7D4EF" w:themeFill="text2" w:themeFillTint="33"/>
            <w:noWrap/>
          </w:tcPr>
          <w:p w14:paraId="735A5481" w14:textId="77777777" w:rsidR="00011DE9" w:rsidRDefault="00011DE9">
            <w:pPr>
              <w:pStyle w:val="P68B1DB1-Normal18"/>
              <w:spacing w:after="0"/>
              <w:jc w:val="center"/>
              <w:rPr>
                <w:rFonts w:cs="Times New Roman"/>
                <w:noProof/>
                <w:szCs w:val="18"/>
              </w:rPr>
            </w:pPr>
            <w:r>
              <w:rPr>
                <w:noProof/>
              </w:rPr>
              <w:t>Situația de referință</w:t>
            </w:r>
          </w:p>
        </w:tc>
        <w:tc>
          <w:tcPr>
            <w:tcW w:w="548" w:type="dxa"/>
            <w:shd w:val="clear" w:color="auto" w:fill="B7D4EF" w:themeFill="text2" w:themeFillTint="33"/>
            <w:noWrap/>
          </w:tcPr>
          <w:p w14:paraId="6B68CB94" w14:textId="77777777" w:rsidR="00011DE9" w:rsidRDefault="00011DE9">
            <w:pPr>
              <w:pStyle w:val="P68B1DB1-Normal18"/>
              <w:spacing w:after="0"/>
              <w:jc w:val="center"/>
              <w:rPr>
                <w:rFonts w:cs="Times New Roman"/>
                <w:noProof/>
                <w:szCs w:val="18"/>
              </w:rPr>
            </w:pPr>
            <w:r>
              <w:rPr>
                <w:noProof/>
              </w:rPr>
              <w:t>Obiectiv</w:t>
            </w:r>
          </w:p>
        </w:tc>
        <w:tc>
          <w:tcPr>
            <w:tcW w:w="413" w:type="dxa"/>
            <w:shd w:val="clear" w:color="auto" w:fill="B7D4EF" w:themeFill="text2" w:themeFillTint="33"/>
            <w:noWrap/>
          </w:tcPr>
          <w:p w14:paraId="2E56CA34" w14:textId="551B321B" w:rsidR="00011DE9" w:rsidRDefault="003010A3">
            <w:pPr>
              <w:pStyle w:val="P68B1DB1-Normal18"/>
              <w:spacing w:after="0"/>
              <w:jc w:val="center"/>
              <w:rPr>
                <w:rFonts w:cs="Times New Roman"/>
                <w:noProof/>
                <w:szCs w:val="18"/>
              </w:rPr>
            </w:pPr>
            <w:r>
              <w:rPr>
                <w:noProof/>
              </w:rPr>
              <w:t>T</w:t>
            </w:r>
          </w:p>
        </w:tc>
        <w:tc>
          <w:tcPr>
            <w:tcW w:w="548" w:type="dxa"/>
            <w:shd w:val="clear" w:color="auto" w:fill="B7D4EF" w:themeFill="text2" w:themeFillTint="33"/>
            <w:noWrap/>
          </w:tcPr>
          <w:p w14:paraId="5297F3D9" w14:textId="77777777" w:rsidR="00011DE9" w:rsidRDefault="00011DE9">
            <w:pPr>
              <w:pStyle w:val="P68B1DB1-Normal18"/>
              <w:spacing w:after="0"/>
              <w:jc w:val="center"/>
              <w:rPr>
                <w:rFonts w:cs="Times New Roman"/>
                <w:noProof/>
                <w:szCs w:val="18"/>
              </w:rPr>
            </w:pPr>
            <w:r>
              <w:rPr>
                <w:noProof/>
              </w:rPr>
              <w:t>Anul</w:t>
            </w:r>
          </w:p>
        </w:tc>
        <w:tc>
          <w:tcPr>
            <w:tcW w:w="6550" w:type="dxa"/>
            <w:vMerge/>
            <w:noWrap/>
          </w:tcPr>
          <w:p w14:paraId="2A72A632" w14:textId="77777777" w:rsidR="00011DE9" w:rsidRDefault="00011DE9">
            <w:pPr>
              <w:spacing w:after="0"/>
              <w:rPr>
                <w:rFonts w:ascii="Times New Roman" w:hAnsi="Times New Roman" w:cs="Times New Roman"/>
                <w:b/>
                <w:noProof/>
                <w:sz w:val="18"/>
                <w:szCs w:val="18"/>
              </w:rPr>
            </w:pPr>
          </w:p>
        </w:tc>
      </w:tr>
      <w:tr w:rsidR="00011DE9" w14:paraId="09D294C3" w14:textId="77777777">
        <w:trPr>
          <w:trHeight w:val="309"/>
          <w:jc w:val="center"/>
        </w:trPr>
        <w:tc>
          <w:tcPr>
            <w:tcW w:w="1111" w:type="dxa"/>
            <w:shd w:val="clear" w:color="auto" w:fill="C6EFCE"/>
            <w:noWrap/>
          </w:tcPr>
          <w:p w14:paraId="49698228" w14:textId="77777777" w:rsidR="00011DE9" w:rsidRDefault="00011DE9">
            <w:pPr>
              <w:pStyle w:val="P68B1DB1-Normal19"/>
              <w:spacing w:after="0"/>
              <w:jc w:val="center"/>
              <w:rPr>
                <w:rFonts w:eastAsia="Times New Roman"/>
                <w:noProof/>
              </w:rPr>
            </w:pPr>
            <w:r>
              <w:rPr>
                <w:noProof/>
              </w:rPr>
              <w:t>406</w:t>
            </w:r>
          </w:p>
        </w:tc>
        <w:tc>
          <w:tcPr>
            <w:tcW w:w="823" w:type="dxa"/>
            <w:shd w:val="clear" w:color="auto" w:fill="C6EFCE"/>
            <w:noWrap/>
          </w:tcPr>
          <w:p w14:paraId="6FB30960" w14:textId="77777777" w:rsidR="00011DE9" w:rsidRDefault="00011DE9">
            <w:pPr>
              <w:pStyle w:val="P68B1DB1-Normal19"/>
              <w:spacing w:after="0"/>
              <w:jc w:val="center"/>
              <w:rPr>
                <w:rFonts w:eastAsia="Times New Roman"/>
                <w:noProof/>
              </w:rPr>
            </w:pPr>
            <w:r>
              <w:rPr>
                <w:noProof/>
              </w:rPr>
              <w:t>C30.R1</w:t>
            </w:r>
          </w:p>
        </w:tc>
        <w:tc>
          <w:tcPr>
            <w:tcW w:w="821" w:type="dxa"/>
            <w:shd w:val="clear" w:color="auto" w:fill="C6EFCE"/>
            <w:noWrap/>
          </w:tcPr>
          <w:p w14:paraId="427BA7B4" w14:textId="77777777" w:rsidR="00011DE9" w:rsidRDefault="00011DE9">
            <w:pPr>
              <w:pStyle w:val="P68B1DB1-Normal19"/>
              <w:spacing w:after="0"/>
              <w:jc w:val="center"/>
              <w:rPr>
                <w:rFonts w:eastAsia="Times New Roman"/>
                <w:noProof/>
              </w:rPr>
            </w:pPr>
            <w:r>
              <w:rPr>
                <w:noProof/>
              </w:rPr>
              <w:t>M</w:t>
            </w:r>
          </w:p>
        </w:tc>
        <w:tc>
          <w:tcPr>
            <w:tcW w:w="2202" w:type="dxa"/>
            <w:shd w:val="clear" w:color="auto" w:fill="C6EFCE"/>
            <w:noWrap/>
          </w:tcPr>
          <w:p w14:paraId="1CDD79BD" w14:textId="77777777" w:rsidR="00011DE9" w:rsidRDefault="00011DE9">
            <w:pPr>
              <w:pStyle w:val="P68B1DB1-Normal19"/>
              <w:spacing w:after="0"/>
              <w:rPr>
                <w:rFonts w:eastAsia="Times New Roman"/>
                <w:noProof/>
              </w:rPr>
            </w:pPr>
            <w:r>
              <w:rPr>
                <w:noProof/>
              </w:rPr>
              <w:t>Separarea finanțării pentru securitatea socială</w:t>
            </w:r>
          </w:p>
        </w:tc>
        <w:tc>
          <w:tcPr>
            <w:tcW w:w="1214" w:type="dxa"/>
            <w:shd w:val="clear" w:color="auto" w:fill="C6EFCE"/>
            <w:noWrap/>
          </w:tcPr>
          <w:p w14:paraId="7793F6DD" w14:textId="77777777" w:rsidR="00011DE9" w:rsidRDefault="00011DE9">
            <w:pPr>
              <w:pStyle w:val="P68B1DB1-Normal19"/>
              <w:spacing w:after="0"/>
              <w:rPr>
                <w:rFonts w:eastAsia="Times New Roman"/>
                <w:noProof/>
              </w:rPr>
            </w:pPr>
            <w:r>
              <w:rPr>
                <w:noProof/>
              </w:rPr>
              <w:t xml:space="preserve">Dispoziție legală care indică intrarea sa în vigoare </w:t>
            </w:r>
          </w:p>
        </w:tc>
        <w:tc>
          <w:tcPr>
            <w:tcW w:w="548" w:type="dxa"/>
            <w:shd w:val="clear" w:color="auto" w:fill="C6EFCE"/>
            <w:noWrap/>
          </w:tcPr>
          <w:p w14:paraId="027266C3" w14:textId="77777777" w:rsidR="00011DE9" w:rsidRDefault="00011DE9">
            <w:pPr>
              <w:pStyle w:val="P68B1DB1-Normal19"/>
              <w:spacing w:after="0"/>
              <w:jc w:val="center"/>
              <w:rPr>
                <w:rFonts w:eastAsia="Times New Roman"/>
                <w:noProof/>
              </w:rPr>
            </w:pPr>
            <w:r>
              <w:rPr>
                <w:noProof/>
              </w:rPr>
              <w:t xml:space="preserve"> </w:t>
            </w:r>
          </w:p>
        </w:tc>
        <w:tc>
          <w:tcPr>
            <w:tcW w:w="957" w:type="dxa"/>
            <w:shd w:val="clear" w:color="auto" w:fill="C6EFCE"/>
            <w:noWrap/>
          </w:tcPr>
          <w:p w14:paraId="79DCFEA9" w14:textId="77777777" w:rsidR="00011DE9" w:rsidRDefault="00011DE9">
            <w:pPr>
              <w:pStyle w:val="P68B1DB1-Normal19"/>
              <w:spacing w:after="0"/>
              <w:jc w:val="right"/>
              <w:rPr>
                <w:rFonts w:eastAsia="Times New Roman"/>
                <w:noProof/>
              </w:rPr>
            </w:pPr>
            <w:r>
              <w:rPr>
                <w:noProof/>
              </w:rPr>
              <w:t xml:space="preserve"> </w:t>
            </w:r>
          </w:p>
        </w:tc>
        <w:tc>
          <w:tcPr>
            <w:tcW w:w="548" w:type="dxa"/>
            <w:shd w:val="clear" w:color="auto" w:fill="C6EFCE"/>
            <w:noWrap/>
          </w:tcPr>
          <w:p w14:paraId="2E227F9A" w14:textId="77777777" w:rsidR="00011DE9" w:rsidRDefault="00011DE9">
            <w:pPr>
              <w:pStyle w:val="P68B1DB1-Normal19"/>
              <w:spacing w:after="0"/>
              <w:jc w:val="right"/>
              <w:rPr>
                <w:rFonts w:eastAsia="Times New Roman"/>
                <w:noProof/>
              </w:rPr>
            </w:pPr>
            <w:r>
              <w:rPr>
                <w:noProof/>
              </w:rPr>
              <w:t xml:space="preserve"> </w:t>
            </w:r>
          </w:p>
        </w:tc>
        <w:tc>
          <w:tcPr>
            <w:tcW w:w="413" w:type="dxa"/>
            <w:shd w:val="clear" w:color="auto" w:fill="C6EFCE"/>
            <w:noWrap/>
          </w:tcPr>
          <w:p w14:paraId="7C85F834" w14:textId="18179BAA" w:rsidR="00011DE9" w:rsidRDefault="005701C9">
            <w:pPr>
              <w:pStyle w:val="P68B1DB1-Normal19"/>
              <w:spacing w:after="0"/>
              <w:jc w:val="center"/>
              <w:rPr>
                <w:rFonts w:eastAsia="Times New Roman"/>
                <w:noProof/>
              </w:rPr>
            </w:pPr>
            <w:r>
              <w:rPr>
                <w:noProof/>
              </w:rPr>
              <w:t>T4</w:t>
            </w:r>
          </w:p>
        </w:tc>
        <w:tc>
          <w:tcPr>
            <w:tcW w:w="548" w:type="dxa"/>
            <w:shd w:val="clear" w:color="auto" w:fill="C6EFCE"/>
            <w:noWrap/>
          </w:tcPr>
          <w:p w14:paraId="3A8FEB1C" w14:textId="77777777" w:rsidR="00011DE9" w:rsidRDefault="00011DE9">
            <w:pPr>
              <w:pStyle w:val="P68B1DB1-Normal19"/>
              <w:spacing w:after="0"/>
              <w:jc w:val="center"/>
              <w:rPr>
                <w:rFonts w:eastAsia="Times New Roman"/>
                <w:noProof/>
              </w:rPr>
            </w:pPr>
            <w:r>
              <w:rPr>
                <w:noProof/>
              </w:rPr>
              <w:t>2020</w:t>
            </w:r>
          </w:p>
        </w:tc>
        <w:tc>
          <w:tcPr>
            <w:tcW w:w="6550" w:type="dxa"/>
            <w:shd w:val="clear" w:color="auto" w:fill="C6EFCE"/>
            <w:noWrap/>
          </w:tcPr>
          <w:p w14:paraId="3E3B73B4" w14:textId="77777777" w:rsidR="00011DE9" w:rsidRDefault="00011DE9">
            <w:pPr>
              <w:pStyle w:val="P68B1DB1-Normal19"/>
              <w:spacing w:after="0"/>
              <w:rPr>
                <w:rFonts w:eastAsia="Times New Roman"/>
                <w:noProof/>
              </w:rPr>
            </w:pPr>
            <w:r>
              <w:rPr>
                <w:noProof/>
              </w:rPr>
              <w:t>Intrarea în vigoare a Legii nr. 11/2020 din 30 decembrie privind bugetul general de stat pentru 2021, privind separarea surselor de finanțare a securității sociale. Anual, statul transferă către sistemul de securitate socială o sumă echivalentă cheltuielilor cu elementele necontributive. Acest lucru permite reducerea deficitului de securitate socială și transferul acestuia către administrația centrală, care dispune de instrumentele adecvate pentru a-l aborda. De asemenea, aceasta elimină îndoielile cu privire la solvabilitatea sistemului, îmbunătățind condițiile de abordare a provocărilor pe termen mediu și lung. Legea bugetului de stat pentru 2021 prevede un prim pas semnificativ în această direcție.</w:t>
            </w:r>
          </w:p>
        </w:tc>
      </w:tr>
      <w:tr w:rsidR="00011DE9" w14:paraId="41525D5A" w14:textId="77777777">
        <w:trPr>
          <w:trHeight w:val="309"/>
          <w:jc w:val="center"/>
        </w:trPr>
        <w:tc>
          <w:tcPr>
            <w:tcW w:w="1111" w:type="dxa"/>
            <w:shd w:val="clear" w:color="auto" w:fill="C6EFCE"/>
            <w:noWrap/>
          </w:tcPr>
          <w:p w14:paraId="6EA1C48B" w14:textId="77777777" w:rsidR="00011DE9" w:rsidRDefault="00011DE9">
            <w:pPr>
              <w:pStyle w:val="P68B1DB1-Normal19"/>
              <w:spacing w:after="0"/>
              <w:jc w:val="center"/>
              <w:rPr>
                <w:rFonts w:eastAsia="Times New Roman"/>
                <w:noProof/>
              </w:rPr>
            </w:pPr>
            <w:r>
              <w:rPr>
                <w:noProof/>
              </w:rPr>
              <w:t>407</w:t>
            </w:r>
          </w:p>
        </w:tc>
        <w:tc>
          <w:tcPr>
            <w:tcW w:w="823" w:type="dxa"/>
            <w:shd w:val="clear" w:color="auto" w:fill="C6EFCE"/>
            <w:noWrap/>
          </w:tcPr>
          <w:p w14:paraId="4EFE022E" w14:textId="77777777" w:rsidR="00011DE9" w:rsidRDefault="00011DE9">
            <w:pPr>
              <w:pStyle w:val="P68B1DB1-Normal19"/>
              <w:spacing w:after="0"/>
              <w:jc w:val="center"/>
              <w:rPr>
                <w:rFonts w:eastAsia="Times New Roman"/>
                <w:noProof/>
              </w:rPr>
            </w:pPr>
            <w:r>
              <w:rPr>
                <w:noProof/>
              </w:rPr>
              <w:t>C30.R2</w:t>
            </w:r>
          </w:p>
        </w:tc>
        <w:tc>
          <w:tcPr>
            <w:tcW w:w="821" w:type="dxa"/>
            <w:shd w:val="clear" w:color="auto" w:fill="C6EFCE"/>
            <w:noWrap/>
          </w:tcPr>
          <w:p w14:paraId="01A677F4" w14:textId="77777777" w:rsidR="00011DE9" w:rsidRDefault="00011DE9">
            <w:pPr>
              <w:pStyle w:val="P68B1DB1-Normal19"/>
              <w:spacing w:after="0"/>
              <w:jc w:val="center"/>
              <w:rPr>
                <w:rFonts w:eastAsia="Times New Roman"/>
                <w:noProof/>
              </w:rPr>
            </w:pPr>
            <w:r>
              <w:rPr>
                <w:noProof/>
              </w:rPr>
              <w:t>M</w:t>
            </w:r>
          </w:p>
        </w:tc>
        <w:tc>
          <w:tcPr>
            <w:tcW w:w="2202" w:type="dxa"/>
            <w:shd w:val="clear" w:color="auto" w:fill="C6EFCE"/>
            <w:noWrap/>
          </w:tcPr>
          <w:p w14:paraId="6A548BED" w14:textId="77777777" w:rsidR="00011DE9" w:rsidRDefault="00011DE9">
            <w:pPr>
              <w:pStyle w:val="P68B1DB1-Normal19"/>
              <w:spacing w:after="0"/>
              <w:rPr>
                <w:rFonts w:eastAsia="Times New Roman"/>
                <w:noProof/>
              </w:rPr>
            </w:pPr>
            <w:r>
              <w:rPr>
                <w:noProof/>
              </w:rPr>
              <w:t>Menținerea puterii de cumpărare a pensiilor și alinierea vârstei efective de pensionare la vârsta legală de pensionare</w:t>
            </w:r>
          </w:p>
        </w:tc>
        <w:tc>
          <w:tcPr>
            <w:tcW w:w="1214" w:type="dxa"/>
            <w:shd w:val="clear" w:color="auto" w:fill="C6EFCE"/>
            <w:noWrap/>
          </w:tcPr>
          <w:p w14:paraId="4888FD75" w14:textId="77777777" w:rsidR="00011DE9" w:rsidRDefault="00011DE9">
            <w:pPr>
              <w:pStyle w:val="P68B1DB1-Normal19"/>
              <w:spacing w:after="0"/>
              <w:rPr>
                <w:rFonts w:eastAsia="Times New Roman"/>
                <w:noProof/>
              </w:rPr>
            </w:pPr>
            <w:r>
              <w:rPr>
                <w:noProof/>
              </w:rPr>
              <w:t xml:space="preserve">Dispoziție a legislației care indică intrarea sa în vigoare </w:t>
            </w:r>
          </w:p>
        </w:tc>
        <w:tc>
          <w:tcPr>
            <w:tcW w:w="548" w:type="dxa"/>
            <w:shd w:val="clear" w:color="auto" w:fill="C6EFCE"/>
            <w:noWrap/>
          </w:tcPr>
          <w:p w14:paraId="4A704832" w14:textId="77777777" w:rsidR="00011DE9" w:rsidRDefault="00011DE9">
            <w:pPr>
              <w:pStyle w:val="P68B1DB1-Normal19"/>
              <w:spacing w:after="0"/>
              <w:jc w:val="center"/>
              <w:rPr>
                <w:rFonts w:eastAsia="Times New Roman"/>
                <w:noProof/>
              </w:rPr>
            </w:pPr>
            <w:r>
              <w:rPr>
                <w:noProof/>
              </w:rPr>
              <w:t xml:space="preserve"> </w:t>
            </w:r>
          </w:p>
        </w:tc>
        <w:tc>
          <w:tcPr>
            <w:tcW w:w="957" w:type="dxa"/>
            <w:shd w:val="clear" w:color="auto" w:fill="C6EFCE"/>
            <w:noWrap/>
          </w:tcPr>
          <w:p w14:paraId="508E8612" w14:textId="77777777" w:rsidR="00011DE9" w:rsidRDefault="00011DE9">
            <w:pPr>
              <w:pStyle w:val="P68B1DB1-Normal19"/>
              <w:spacing w:after="0"/>
              <w:jc w:val="right"/>
              <w:rPr>
                <w:rFonts w:eastAsia="Times New Roman"/>
                <w:noProof/>
              </w:rPr>
            </w:pPr>
            <w:r>
              <w:rPr>
                <w:noProof/>
              </w:rPr>
              <w:t xml:space="preserve"> </w:t>
            </w:r>
          </w:p>
        </w:tc>
        <w:tc>
          <w:tcPr>
            <w:tcW w:w="548" w:type="dxa"/>
            <w:shd w:val="clear" w:color="auto" w:fill="C6EFCE"/>
            <w:noWrap/>
          </w:tcPr>
          <w:p w14:paraId="06BA4D90" w14:textId="77777777" w:rsidR="00011DE9" w:rsidRDefault="00011DE9">
            <w:pPr>
              <w:pStyle w:val="P68B1DB1-Normal19"/>
              <w:spacing w:after="0"/>
              <w:jc w:val="right"/>
              <w:rPr>
                <w:rFonts w:eastAsia="Times New Roman"/>
                <w:noProof/>
              </w:rPr>
            </w:pPr>
            <w:r>
              <w:rPr>
                <w:noProof/>
              </w:rPr>
              <w:t xml:space="preserve"> </w:t>
            </w:r>
          </w:p>
        </w:tc>
        <w:tc>
          <w:tcPr>
            <w:tcW w:w="413" w:type="dxa"/>
            <w:shd w:val="clear" w:color="auto" w:fill="C6EFCE"/>
            <w:noWrap/>
          </w:tcPr>
          <w:p w14:paraId="343E4BCE" w14:textId="2376AEFC" w:rsidR="00011DE9" w:rsidRDefault="005701C9">
            <w:pPr>
              <w:pStyle w:val="P68B1DB1-Normal19"/>
              <w:spacing w:after="0"/>
              <w:jc w:val="center"/>
              <w:rPr>
                <w:rFonts w:eastAsia="Times New Roman"/>
                <w:noProof/>
              </w:rPr>
            </w:pPr>
            <w:r>
              <w:rPr>
                <w:noProof/>
              </w:rPr>
              <w:t>T4</w:t>
            </w:r>
          </w:p>
        </w:tc>
        <w:tc>
          <w:tcPr>
            <w:tcW w:w="548" w:type="dxa"/>
            <w:shd w:val="clear" w:color="auto" w:fill="C6EFCE"/>
            <w:noWrap/>
          </w:tcPr>
          <w:p w14:paraId="54EEE40B" w14:textId="77777777" w:rsidR="00011DE9" w:rsidRDefault="00011DE9">
            <w:pPr>
              <w:pStyle w:val="P68B1DB1-Normal19"/>
              <w:spacing w:after="0"/>
              <w:jc w:val="center"/>
              <w:rPr>
                <w:rFonts w:eastAsia="Times New Roman"/>
                <w:noProof/>
              </w:rPr>
            </w:pPr>
            <w:r>
              <w:rPr>
                <w:noProof/>
              </w:rPr>
              <w:t>2021</w:t>
            </w:r>
          </w:p>
        </w:tc>
        <w:tc>
          <w:tcPr>
            <w:tcW w:w="6550" w:type="dxa"/>
            <w:shd w:val="clear" w:color="auto" w:fill="C6EFCE"/>
            <w:noWrap/>
          </w:tcPr>
          <w:p w14:paraId="6BAF5B67" w14:textId="1FF554FD" w:rsidR="00011DE9" w:rsidRDefault="00011DE9">
            <w:pPr>
              <w:spacing w:after="0"/>
              <w:rPr>
                <w:rFonts w:ascii="Times New Roman" w:eastAsia="Times New Roman" w:hAnsi="Times New Roman" w:cs="Times New Roman"/>
                <w:noProof/>
                <w:sz w:val="18"/>
                <w:szCs w:val="18"/>
              </w:rPr>
            </w:pPr>
            <w:r>
              <w:rPr>
                <w:rFonts w:ascii="Times New Roman" w:hAnsi="Times New Roman"/>
                <w:noProof/>
                <w:sz w:val="18"/>
              </w:rPr>
              <w:t>Intrarea în vigoare a legislației publicate în Jurnalul Oficial care vizează:</w:t>
            </w:r>
            <w:r w:rsidR="00971820">
              <w:rPr>
                <w:noProof/>
              </w:rPr>
              <w:t xml:space="preserve"> </w:t>
            </w:r>
            <w:r>
              <w:rPr>
                <w:noProof/>
              </w:rPr>
              <w:br/>
            </w:r>
            <w:r>
              <w:rPr>
                <w:rFonts w:ascii="Times New Roman" w:hAnsi="Times New Roman"/>
                <w:noProof/>
                <w:sz w:val="18"/>
              </w:rPr>
              <w:t>menținerea puterii de cumpărare a pensiilor: va fi dezvoltat un nou mecanism de reevaluare care să coreleze pensiile cu inflația, pentru a se asigura că puterea de cumpărare a pensionarilor este garantată în mod permanent.</w:t>
            </w:r>
            <w:r w:rsidR="00971820">
              <w:rPr>
                <w:rFonts w:ascii="Times New Roman" w:hAnsi="Times New Roman"/>
                <w:noProof/>
                <w:sz w:val="18"/>
              </w:rPr>
              <w:t xml:space="preserve"> </w:t>
            </w:r>
            <w:r>
              <w:rPr>
                <w:noProof/>
              </w:rPr>
              <w:br/>
            </w:r>
            <w:r>
              <w:rPr>
                <w:rFonts w:ascii="Times New Roman" w:hAnsi="Times New Roman"/>
                <w:noProof/>
                <w:sz w:val="18"/>
              </w:rPr>
              <w:t>b) Alinierea vârstei efective de pensionare și a vârstei legale de pensionare: oferirea de stimulente pentru amânarea pensionării, inclusiv stimulente economice sporite și promovarea reconcilierii între viața profesională și pensionare, pentru a crește participarea pe piața forței de muncă la vârste apropiate de vârsta legală de pensionare și pentru a amâna pensionarea.</w:t>
            </w:r>
          </w:p>
        </w:tc>
      </w:tr>
      <w:tr w:rsidR="00011DE9" w14:paraId="555B4609" w14:textId="77777777">
        <w:trPr>
          <w:trHeight w:val="309"/>
          <w:jc w:val="center"/>
        </w:trPr>
        <w:tc>
          <w:tcPr>
            <w:tcW w:w="1111" w:type="dxa"/>
            <w:shd w:val="clear" w:color="auto" w:fill="C6EFCE"/>
            <w:noWrap/>
          </w:tcPr>
          <w:p w14:paraId="0FD424EF" w14:textId="77777777" w:rsidR="00011DE9" w:rsidRDefault="00011DE9">
            <w:pPr>
              <w:pStyle w:val="P68B1DB1-Normal19"/>
              <w:spacing w:after="0"/>
              <w:jc w:val="center"/>
              <w:rPr>
                <w:rFonts w:eastAsia="Times New Roman"/>
                <w:noProof/>
              </w:rPr>
            </w:pPr>
            <w:r>
              <w:rPr>
                <w:noProof/>
              </w:rPr>
              <w:t>408</w:t>
            </w:r>
          </w:p>
        </w:tc>
        <w:tc>
          <w:tcPr>
            <w:tcW w:w="823" w:type="dxa"/>
            <w:shd w:val="clear" w:color="auto" w:fill="C6EFCE"/>
            <w:noWrap/>
          </w:tcPr>
          <w:p w14:paraId="58999321" w14:textId="77777777" w:rsidR="00011DE9" w:rsidRDefault="00011DE9">
            <w:pPr>
              <w:pStyle w:val="P68B1DB1-Normal19"/>
              <w:spacing w:after="0"/>
              <w:jc w:val="center"/>
              <w:rPr>
                <w:rFonts w:eastAsia="Times New Roman"/>
                <w:noProof/>
              </w:rPr>
            </w:pPr>
            <w:r>
              <w:rPr>
                <w:noProof/>
              </w:rPr>
              <w:t>C30.R2</w:t>
            </w:r>
          </w:p>
        </w:tc>
        <w:tc>
          <w:tcPr>
            <w:tcW w:w="821" w:type="dxa"/>
            <w:shd w:val="clear" w:color="auto" w:fill="C6EFCE"/>
            <w:noWrap/>
          </w:tcPr>
          <w:p w14:paraId="16AE3C92" w14:textId="77777777" w:rsidR="00011DE9" w:rsidRDefault="00011DE9">
            <w:pPr>
              <w:pStyle w:val="P68B1DB1-Normal19"/>
              <w:spacing w:after="0"/>
              <w:jc w:val="center"/>
              <w:rPr>
                <w:rFonts w:eastAsia="Times New Roman"/>
                <w:noProof/>
              </w:rPr>
            </w:pPr>
            <w:r>
              <w:rPr>
                <w:noProof/>
              </w:rPr>
              <w:t>M</w:t>
            </w:r>
          </w:p>
        </w:tc>
        <w:tc>
          <w:tcPr>
            <w:tcW w:w="2202" w:type="dxa"/>
            <w:shd w:val="clear" w:color="auto" w:fill="C6EFCE"/>
            <w:noWrap/>
          </w:tcPr>
          <w:p w14:paraId="35566FE0" w14:textId="77777777" w:rsidR="00011DE9" w:rsidRDefault="00011DE9">
            <w:pPr>
              <w:pStyle w:val="P68B1DB1-Normal19"/>
              <w:spacing w:after="0"/>
              <w:rPr>
                <w:rFonts w:eastAsia="Times New Roman"/>
                <w:noProof/>
              </w:rPr>
            </w:pPr>
            <w:r>
              <w:rPr>
                <w:noProof/>
              </w:rPr>
              <w:t xml:space="preserve">Ajustarea perioadei de calcul pentru calcularea pensiei pentru limită de vârstă </w:t>
            </w:r>
          </w:p>
        </w:tc>
        <w:tc>
          <w:tcPr>
            <w:tcW w:w="1214" w:type="dxa"/>
            <w:shd w:val="clear" w:color="auto" w:fill="C6EFCE"/>
            <w:noWrap/>
          </w:tcPr>
          <w:p w14:paraId="500EBF1D" w14:textId="77777777" w:rsidR="00011DE9" w:rsidRDefault="00011DE9">
            <w:pPr>
              <w:pStyle w:val="P68B1DB1-Normal19"/>
              <w:spacing w:after="0"/>
              <w:rPr>
                <w:rFonts w:eastAsia="Times New Roman"/>
                <w:noProof/>
              </w:rPr>
            </w:pPr>
            <w:r>
              <w:rPr>
                <w:noProof/>
              </w:rPr>
              <w:t xml:space="preserve">Dispoziție a legislației care indică intrarea sa în vigoare </w:t>
            </w:r>
          </w:p>
        </w:tc>
        <w:tc>
          <w:tcPr>
            <w:tcW w:w="548" w:type="dxa"/>
            <w:shd w:val="clear" w:color="auto" w:fill="C6EFCE"/>
            <w:noWrap/>
          </w:tcPr>
          <w:p w14:paraId="60C69419" w14:textId="77777777" w:rsidR="00011DE9" w:rsidRDefault="00011DE9">
            <w:pPr>
              <w:pStyle w:val="P68B1DB1-Normal19"/>
              <w:spacing w:after="0"/>
              <w:jc w:val="center"/>
              <w:rPr>
                <w:rFonts w:eastAsia="Times New Roman"/>
                <w:noProof/>
              </w:rPr>
            </w:pPr>
            <w:r>
              <w:rPr>
                <w:noProof/>
              </w:rPr>
              <w:t xml:space="preserve"> </w:t>
            </w:r>
          </w:p>
        </w:tc>
        <w:tc>
          <w:tcPr>
            <w:tcW w:w="957" w:type="dxa"/>
            <w:shd w:val="clear" w:color="auto" w:fill="C6EFCE"/>
            <w:noWrap/>
          </w:tcPr>
          <w:p w14:paraId="3D2C77BF" w14:textId="77777777" w:rsidR="00011DE9" w:rsidRDefault="00011DE9">
            <w:pPr>
              <w:pStyle w:val="P68B1DB1-Normal19"/>
              <w:spacing w:after="0"/>
              <w:jc w:val="right"/>
              <w:rPr>
                <w:rFonts w:eastAsia="Times New Roman"/>
                <w:noProof/>
              </w:rPr>
            </w:pPr>
            <w:r>
              <w:rPr>
                <w:noProof/>
              </w:rPr>
              <w:t xml:space="preserve"> </w:t>
            </w:r>
          </w:p>
        </w:tc>
        <w:tc>
          <w:tcPr>
            <w:tcW w:w="548" w:type="dxa"/>
            <w:shd w:val="clear" w:color="auto" w:fill="C6EFCE"/>
            <w:noWrap/>
          </w:tcPr>
          <w:p w14:paraId="6DFAAD1B" w14:textId="77777777" w:rsidR="00011DE9" w:rsidRDefault="00011DE9">
            <w:pPr>
              <w:pStyle w:val="P68B1DB1-Normal19"/>
              <w:spacing w:after="0"/>
              <w:jc w:val="right"/>
              <w:rPr>
                <w:rFonts w:eastAsia="Times New Roman"/>
                <w:noProof/>
              </w:rPr>
            </w:pPr>
            <w:r>
              <w:rPr>
                <w:noProof/>
              </w:rPr>
              <w:t xml:space="preserve"> </w:t>
            </w:r>
          </w:p>
        </w:tc>
        <w:tc>
          <w:tcPr>
            <w:tcW w:w="413" w:type="dxa"/>
            <w:shd w:val="clear" w:color="auto" w:fill="C6EFCE"/>
            <w:noWrap/>
          </w:tcPr>
          <w:p w14:paraId="44CFD307" w14:textId="42E54E86" w:rsidR="00011DE9" w:rsidRDefault="005701C9">
            <w:pPr>
              <w:pStyle w:val="P68B1DB1-Normal19"/>
              <w:spacing w:after="0"/>
              <w:jc w:val="center"/>
              <w:rPr>
                <w:rFonts w:eastAsia="Times New Roman"/>
                <w:noProof/>
              </w:rPr>
            </w:pPr>
            <w:r>
              <w:rPr>
                <w:noProof/>
              </w:rPr>
              <w:t>T4</w:t>
            </w:r>
          </w:p>
        </w:tc>
        <w:tc>
          <w:tcPr>
            <w:tcW w:w="548" w:type="dxa"/>
            <w:shd w:val="clear" w:color="auto" w:fill="C6EFCE"/>
            <w:noWrap/>
          </w:tcPr>
          <w:p w14:paraId="73DF94DF" w14:textId="77777777" w:rsidR="00011DE9" w:rsidRDefault="00011DE9">
            <w:pPr>
              <w:pStyle w:val="P68B1DB1-Normal19"/>
              <w:spacing w:after="0"/>
              <w:jc w:val="center"/>
              <w:rPr>
                <w:rFonts w:eastAsia="Times New Roman"/>
                <w:noProof/>
              </w:rPr>
            </w:pPr>
            <w:r>
              <w:rPr>
                <w:noProof/>
              </w:rPr>
              <w:t>2022</w:t>
            </w:r>
          </w:p>
        </w:tc>
        <w:tc>
          <w:tcPr>
            <w:tcW w:w="6550" w:type="dxa"/>
            <w:shd w:val="clear" w:color="auto" w:fill="C6EFCE"/>
            <w:noWrap/>
          </w:tcPr>
          <w:p w14:paraId="635F2D57" w14:textId="77777777" w:rsidR="00011DE9" w:rsidRDefault="00011DE9">
            <w:pPr>
              <w:pStyle w:val="P68B1DB1-Normal19"/>
              <w:spacing w:after="0"/>
              <w:rPr>
                <w:rFonts w:eastAsia="Times New Roman"/>
                <w:noProof/>
              </w:rPr>
            </w:pPr>
            <w:r>
              <w:rPr>
                <w:noProof/>
              </w:rPr>
              <w:t xml:space="preserve">Intrarea în vigoare a legislației privind ajustarea perioadei de calcul, prelungind perioada de calcul pentru calcularea pensiei pentru limită de vârstă. </w:t>
            </w:r>
          </w:p>
        </w:tc>
      </w:tr>
      <w:tr w:rsidR="00011DE9" w14:paraId="5A2B908E" w14:textId="77777777">
        <w:trPr>
          <w:trHeight w:val="309"/>
          <w:jc w:val="center"/>
        </w:trPr>
        <w:tc>
          <w:tcPr>
            <w:tcW w:w="1111" w:type="dxa"/>
            <w:shd w:val="clear" w:color="auto" w:fill="C6EFCE"/>
            <w:noWrap/>
          </w:tcPr>
          <w:p w14:paraId="299AA289" w14:textId="77777777" w:rsidR="00011DE9" w:rsidRDefault="00011DE9">
            <w:pPr>
              <w:pStyle w:val="P68B1DB1-Normal19"/>
              <w:spacing w:after="0"/>
              <w:jc w:val="center"/>
              <w:rPr>
                <w:rFonts w:eastAsia="Times New Roman"/>
                <w:noProof/>
              </w:rPr>
            </w:pPr>
            <w:r>
              <w:rPr>
                <w:noProof/>
              </w:rPr>
              <w:t>409</w:t>
            </w:r>
          </w:p>
        </w:tc>
        <w:tc>
          <w:tcPr>
            <w:tcW w:w="823" w:type="dxa"/>
            <w:shd w:val="clear" w:color="auto" w:fill="C6EFCE"/>
            <w:noWrap/>
          </w:tcPr>
          <w:p w14:paraId="2C5A1E63" w14:textId="77777777" w:rsidR="00011DE9" w:rsidRDefault="00011DE9">
            <w:pPr>
              <w:pStyle w:val="P68B1DB1-Normal19"/>
              <w:spacing w:after="0"/>
              <w:jc w:val="center"/>
              <w:rPr>
                <w:rFonts w:eastAsia="Times New Roman"/>
                <w:noProof/>
              </w:rPr>
            </w:pPr>
            <w:r>
              <w:rPr>
                <w:noProof/>
              </w:rPr>
              <w:t>C30.R2</w:t>
            </w:r>
          </w:p>
        </w:tc>
        <w:tc>
          <w:tcPr>
            <w:tcW w:w="821" w:type="dxa"/>
            <w:shd w:val="clear" w:color="auto" w:fill="C6EFCE"/>
            <w:noWrap/>
          </w:tcPr>
          <w:p w14:paraId="184C93C9" w14:textId="77777777" w:rsidR="00011DE9" w:rsidRDefault="00011DE9">
            <w:pPr>
              <w:pStyle w:val="P68B1DB1-Normal19"/>
              <w:spacing w:after="0"/>
              <w:jc w:val="center"/>
              <w:rPr>
                <w:rFonts w:eastAsia="Times New Roman"/>
                <w:noProof/>
              </w:rPr>
            </w:pPr>
            <w:r>
              <w:rPr>
                <w:noProof/>
              </w:rPr>
              <w:t>M</w:t>
            </w:r>
          </w:p>
        </w:tc>
        <w:tc>
          <w:tcPr>
            <w:tcW w:w="2202" w:type="dxa"/>
            <w:shd w:val="clear" w:color="auto" w:fill="C6EFCE"/>
            <w:noWrap/>
          </w:tcPr>
          <w:p w14:paraId="4CCE3500" w14:textId="77777777" w:rsidR="00011DE9" w:rsidRDefault="00011DE9">
            <w:pPr>
              <w:pStyle w:val="P68B1DB1-Normal19"/>
              <w:spacing w:after="0"/>
              <w:rPr>
                <w:rFonts w:eastAsia="Times New Roman"/>
                <w:noProof/>
              </w:rPr>
            </w:pPr>
            <w:r>
              <w:rPr>
                <w:noProof/>
              </w:rPr>
              <w:t>Înlocuirea factorului de durabilitate cu un mecanism de echitate între generații</w:t>
            </w:r>
          </w:p>
        </w:tc>
        <w:tc>
          <w:tcPr>
            <w:tcW w:w="1214" w:type="dxa"/>
            <w:shd w:val="clear" w:color="auto" w:fill="C6EFCE"/>
            <w:noWrap/>
          </w:tcPr>
          <w:p w14:paraId="1DD41692" w14:textId="77777777" w:rsidR="00011DE9" w:rsidRDefault="00011DE9">
            <w:pPr>
              <w:pStyle w:val="P68B1DB1-Normal19"/>
              <w:spacing w:after="0"/>
              <w:rPr>
                <w:rFonts w:eastAsia="Times New Roman"/>
                <w:noProof/>
              </w:rPr>
            </w:pPr>
            <w:r>
              <w:rPr>
                <w:noProof/>
              </w:rPr>
              <w:t>Dispoziție a legislației care indică intrarea sa în vigoare</w:t>
            </w:r>
          </w:p>
        </w:tc>
        <w:tc>
          <w:tcPr>
            <w:tcW w:w="548" w:type="dxa"/>
            <w:shd w:val="clear" w:color="auto" w:fill="C6EFCE"/>
            <w:noWrap/>
          </w:tcPr>
          <w:p w14:paraId="6C72A326" w14:textId="77777777" w:rsidR="00011DE9" w:rsidRDefault="00011DE9">
            <w:pPr>
              <w:pStyle w:val="P68B1DB1-Normal19"/>
              <w:spacing w:after="0"/>
              <w:jc w:val="center"/>
              <w:rPr>
                <w:rFonts w:eastAsia="Times New Roman"/>
                <w:noProof/>
              </w:rPr>
            </w:pPr>
            <w:r>
              <w:rPr>
                <w:noProof/>
              </w:rPr>
              <w:t xml:space="preserve"> </w:t>
            </w:r>
          </w:p>
        </w:tc>
        <w:tc>
          <w:tcPr>
            <w:tcW w:w="957" w:type="dxa"/>
            <w:shd w:val="clear" w:color="auto" w:fill="C6EFCE"/>
            <w:noWrap/>
          </w:tcPr>
          <w:p w14:paraId="04E9C6EB" w14:textId="77777777" w:rsidR="00011DE9" w:rsidRDefault="00011DE9">
            <w:pPr>
              <w:pStyle w:val="P68B1DB1-Normal19"/>
              <w:spacing w:after="0"/>
              <w:jc w:val="right"/>
              <w:rPr>
                <w:rFonts w:eastAsia="Times New Roman"/>
                <w:noProof/>
              </w:rPr>
            </w:pPr>
            <w:r>
              <w:rPr>
                <w:noProof/>
              </w:rPr>
              <w:t xml:space="preserve"> </w:t>
            </w:r>
          </w:p>
        </w:tc>
        <w:tc>
          <w:tcPr>
            <w:tcW w:w="548" w:type="dxa"/>
            <w:shd w:val="clear" w:color="auto" w:fill="C6EFCE"/>
            <w:noWrap/>
          </w:tcPr>
          <w:p w14:paraId="1780DE3F" w14:textId="77777777" w:rsidR="00011DE9" w:rsidRDefault="00011DE9">
            <w:pPr>
              <w:pStyle w:val="P68B1DB1-Normal19"/>
              <w:spacing w:after="0"/>
              <w:jc w:val="right"/>
              <w:rPr>
                <w:rFonts w:eastAsia="Times New Roman"/>
                <w:noProof/>
              </w:rPr>
            </w:pPr>
            <w:r>
              <w:rPr>
                <w:noProof/>
              </w:rPr>
              <w:t xml:space="preserve"> </w:t>
            </w:r>
          </w:p>
        </w:tc>
        <w:tc>
          <w:tcPr>
            <w:tcW w:w="413" w:type="dxa"/>
            <w:shd w:val="clear" w:color="auto" w:fill="C6EFCE"/>
            <w:noWrap/>
          </w:tcPr>
          <w:p w14:paraId="45DAC531" w14:textId="5C5BF05E" w:rsidR="00011DE9" w:rsidRDefault="005701C9">
            <w:pPr>
              <w:pStyle w:val="P68B1DB1-Normal19"/>
              <w:spacing w:after="0"/>
              <w:jc w:val="center"/>
              <w:rPr>
                <w:rFonts w:eastAsia="Times New Roman"/>
                <w:noProof/>
              </w:rPr>
            </w:pPr>
            <w:r>
              <w:rPr>
                <w:noProof/>
              </w:rPr>
              <w:t>T4</w:t>
            </w:r>
          </w:p>
        </w:tc>
        <w:tc>
          <w:tcPr>
            <w:tcW w:w="548" w:type="dxa"/>
            <w:shd w:val="clear" w:color="auto" w:fill="C6EFCE"/>
            <w:noWrap/>
          </w:tcPr>
          <w:p w14:paraId="74CBCC61" w14:textId="77777777" w:rsidR="00011DE9" w:rsidRDefault="00011DE9">
            <w:pPr>
              <w:pStyle w:val="P68B1DB1-Normal19"/>
              <w:spacing w:after="0"/>
              <w:jc w:val="center"/>
              <w:rPr>
                <w:rFonts w:eastAsia="Times New Roman"/>
                <w:noProof/>
              </w:rPr>
            </w:pPr>
            <w:r>
              <w:rPr>
                <w:noProof/>
              </w:rPr>
              <w:t>2022</w:t>
            </w:r>
          </w:p>
        </w:tc>
        <w:tc>
          <w:tcPr>
            <w:tcW w:w="6550" w:type="dxa"/>
            <w:shd w:val="clear" w:color="auto" w:fill="C6EFCE"/>
            <w:noWrap/>
          </w:tcPr>
          <w:p w14:paraId="496C8E70" w14:textId="77777777" w:rsidR="00011DE9" w:rsidRDefault="00011DE9">
            <w:pPr>
              <w:pStyle w:val="P68B1DB1-Normal20"/>
              <w:spacing w:after="0"/>
              <w:rPr>
                <w:rFonts w:eastAsia="Times New Roman" w:cs="Times New Roman"/>
                <w:noProof/>
              </w:rPr>
            </w:pPr>
            <w:r>
              <w:rPr>
                <w:noProof/>
              </w:rPr>
              <w:t>Intrarea în vigoare a legislației privind înlocuirea actualului factor de sustenabilitate care corelează pensiile cu speranța de viață cu un mecanism care să garanteze echitatea între generații și sustenabilitatea bugetară prin adaptarea la schimbările demografice.</w:t>
            </w:r>
          </w:p>
          <w:p w14:paraId="64A1396C" w14:textId="77777777" w:rsidR="00011DE9" w:rsidRDefault="00011DE9">
            <w:pPr>
              <w:spacing w:after="0"/>
              <w:rPr>
                <w:rFonts w:ascii="Times New Roman" w:hAnsi="Times New Roman"/>
                <w:noProof/>
                <w:sz w:val="18"/>
                <w:szCs w:val="18"/>
              </w:rPr>
            </w:pPr>
          </w:p>
          <w:p w14:paraId="1824E32A" w14:textId="77777777" w:rsidR="00011DE9" w:rsidRDefault="00011DE9">
            <w:pPr>
              <w:pStyle w:val="P68B1DB1-Normal20"/>
              <w:spacing w:after="0"/>
              <w:rPr>
                <w:noProof/>
              </w:rPr>
            </w:pPr>
            <w:r>
              <w:rPr>
                <w:noProof/>
              </w:rPr>
              <w:t>Este garantată o evaluare a impactului care să dovedească echitatea între generații.</w:t>
            </w:r>
          </w:p>
        </w:tc>
      </w:tr>
      <w:tr w:rsidR="00011DE9" w14:paraId="7198DFDE" w14:textId="77777777">
        <w:trPr>
          <w:trHeight w:val="309"/>
          <w:jc w:val="center"/>
        </w:trPr>
        <w:tc>
          <w:tcPr>
            <w:tcW w:w="1111" w:type="dxa"/>
            <w:shd w:val="clear" w:color="auto" w:fill="C6EFCE"/>
            <w:noWrap/>
          </w:tcPr>
          <w:p w14:paraId="545590AB" w14:textId="77777777" w:rsidR="00011DE9" w:rsidRDefault="00011DE9">
            <w:pPr>
              <w:pStyle w:val="P68B1DB1-Normal19"/>
              <w:spacing w:after="0"/>
              <w:jc w:val="center"/>
              <w:rPr>
                <w:rFonts w:eastAsia="Times New Roman"/>
                <w:noProof/>
              </w:rPr>
            </w:pPr>
            <w:r>
              <w:rPr>
                <w:noProof/>
              </w:rPr>
              <w:t>410</w:t>
            </w:r>
          </w:p>
        </w:tc>
        <w:tc>
          <w:tcPr>
            <w:tcW w:w="823" w:type="dxa"/>
            <w:shd w:val="clear" w:color="auto" w:fill="C6EFCE"/>
            <w:noWrap/>
          </w:tcPr>
          <w:p w14:paraId="719BDE57" w14:textId="77777777" w:rsidR="00011DE9" w:rsidRDefault="00011DE9">
            <w:pPr>
              <w:pStyle w:val="P68B1DB1-Normal19"/>
              <w:spacing w:after="0"/>
              <w:jc w:val="center"/>
              <w:rPr>
                <w:rFonts w:eastAsia="Times New Roman"/>
                <w:noProof/>
              </w:rPr>
            </w:pPr>
            <w:r>
              <w:rPr>
                <w:noProof/>
              </w:rPr>
              <w:t>C30.R2</w:t>
            </w:r>
          </w:p>
        </w:tc>
        <w:tc>
          <w:tcPr>
            <w:tcW w:w="821" w:type="dxa"/>
            <w:shd w:val="clear" w:color="auto" w:fill="C6EFCE"/>
            <w:noWrap/>
          </w:tcPr>
          <w:p w14:paraId="03AD90DE" w14:textId="77777777" w:rsidR="00011DE9" w:rsidRDefault="00011DE9">
            <w:pPr>
              <w:pStyle w:val="P68B1DB1-Normal19"/>
              <w:spacing w:after="0"/>
              <w:jc w:val="center"/>
              <w:rPr>
                <w:rFonts w:eastAsia="Times New Roman"/>
                <w:noProof/>
              </w:rPr>
            </w:pPr>
            <w:r>
              <w:rPr>
                <w:noProof/>
              </w:rPr>
              <w:t>M</w:t>
            </w:r>
          </w:p>
        </w:tc>
        <w:tc>
          <w:tcPr>
            <w:tcW w:w="2202" w:type="dxa"/>
            <w:shd w:val="clear" w:color="auto" w:fill="C6EFCE"/>
            <w:noWrap/>
          </w:tcPr>
          <w:p w14:paraId="349B3F6F" w14:textId="77777777" w:rsidR="00011DE9" w:rsidRDefault="00011DE9">
            <w:pPr>
              <w:pStyle w:val="P68B1DB1-Normal19"/>
              <w:spacing w:after="0"/>
              <w:rPr>
                <w:rFonts w:eastAsia="Times New Roman"/>
                <w:noProof/>
              </w:rPr>
            </w:pPr>
            <w:r>
              <w:rPr>
                <w:noProof/>
              </w:rPr>
              <w:t>Proiecții actualizate care arată modul în care reformele pensiilor întreprinse în 2021 și 2022 asigură sustenabilitatea finanțelor publice pe termen lung</w:t>
            </w:r>
          </w:p>
        </w:tc>
        <w:tc>
          <w:tcPr>
            <w:tcW w:w="1214" w:type="dxa"/>
            <w:shd w:val="clear" w:color="auto" w:fill="C6EFCE"/>
            <w:noWrap/>
          </w:tcPr>
          <w:p w14:paraId="42DD544C" w14:textId="77777777" w:rsidR="00011DE9" w:rsidRDefault="00011DE9">
            <w:pPr>
              <w:pStyle w:val="P68B1DB1-Normal19"/>
              <w:spacing w:after="0"/>
              <w:rPr>
                <w:rFonts w:eastAsia="Times New Roman"/>
                <w:noProof/>
              </w:rPr>
            </w:pPr>
            <w:r>
              <w:rPr>
                <w:noProof/>
              </w:rPr>
              <w:t>Publicarea unui raport pe site-ul dedicat securității sociale</w:t>
            </w:r>
          </w:p>
        </w:tc>
        <w:tc>
          <w:tcPr>
            <w:tcW w:w="548" w:type="dxa"/>
            <w:shd w:val="clear" w:color="auto" w:fill="C6EFCE"/>
            <w:noWrap/>
          </w:tcPr>
          <w:p w14:paraId="3FF7D2AF" w14:textId="77777777" w:rsidR="00011DE9" w:rsidRDefault="00011DE9">
            <w:pPr>
              <w:pStyle w:val="P68B1DB1-Normal19"/>
              <w:spacing w:after="0"/>
              <w:jc w:val="center"/>
              <w:rPr>
                <w:rFonts w:eastAsia="Times New Roman"/>
                <w:noProof/>
              </w:rPr>
            </w:pPr>
            <w:r>
              <w:rPr>
                <w:noProof/>
              </w:rPr>
              <w:t xml:space="preserve"> </w:t>
            </w:r>
          </w:p>
        </w:tc>
        <w:tc>
          <w:tcPr>
            <w:tcW w:w="957" w:type="dxa"/>
            <w:shd w:val="clear" w:color="auto" w:fill="C6EFCE"/>
            <w:noWrap/>
          </w:tcPr>
          <w:p w14:paraId="215A4CB5" w14:textId="77777777" w:rsidR="00011DE9" w:rsidRDefault="00011DE9">
            <w:pPr>
              <w:pStyle w:val="P68B1DB1-Normal19"/>
              <w:spacing w:after="0"/>
              <w:jc w:val="right"/>
              <w:rPr>
                <w:rFonts w:eastAsia="Times New Roman"/>
                <w:noProof/>
              </w:rPr>
            </w:pPr>
            <w:r>
              <w:rPr>
                <w:noProof/>
              </w:rPr>
              <w:t xml:space="preserve"> </w:t>
            </w:r>
          </w:p>
        </w:tc>
        <w:tc>
          <w:tcPr>
            <w:tcW w:w="548" w:type="dxa"/>
            <w:shd w:val="clear" w:color="auto" w:fill="C6EFCE"/>
            <w:noWrap/>
          </w:tcPr>
          <w:p w14:paraId="203D7A06" w14:textId="77777777" w:rsidR="00011DE9" w:rsidRDefault="00011DE9">
            <w:pPr>
              <w:pStyle w:val="P68B1DB1-Normal19"/>
              <w:spacing w:after="0"/>
              <w:jc w:val="right"/>
              <w:rPr>
                <w:rFonts w:eastAsia="Times New Roman"/>
                <w:noProof/>
              </w:rPr>
            </w:pPr>
            <w:r>
              <w:rPr>
                <w:noProof/>
              </w:rPr>
              <w:t xml:space="preserve"> </w:t>
            </w:r>
          </w:p>
        </w:tc>
        <w:tc>
          <w:tcPr>
            <w:tcW w:w="413" w:type="dxa"/>
            <w:shd w:val="clear" w:color="auto" w:fill="C6EFCE"/>
            <w:noWrap/>
          </w:tcPr>
          <w:p w14:paraId="717EE97B" w14:textId="67BDFF9D" w:rsidR="00011DE9" w:rsidRDefault="005701C9">
            <w:pPr>
              <w:pStyle w:val="P68B1DB1-Normal19"/>
              <w:spacing w:after="0"/>
              <w:jc w:val="center"/>
              <w:rPr>
                <w:rFonts w:eastAsia="Times New Roman"/>
                <w:noProof/>
              </w:rPr>
            </w:pPr>
            <w:r>
              <w:rPr>
                <w:noProof/>
              </w:rPr>
              <w:t>T4</w:t>
            </w:r>
          </w:p>
        </w:tc>
        <w:tc>
          <w:tcPr>
            <w:tcW w:w="548" w:type="dxa"/>
            <w:shd w:val="clear" w:color="auto" w:fill="C6EFCE"/>
            <w:noWrap/>
          </w:tcPr>
          <w:p w14:paraId="2CD00174" w14:textId="77777777" w:rsidR="00011DE9" w:rsidRDefault="00011DE9">
            <w:pPr>
              <w:pStyle w:val="P68B1DB1-Normal19"/>
              <w:spacing w:after="0"/>
              <w:jc w:val="center"/>
              <w:rPr>
                <w:rFonts w:eastAsia="Times New Roman"/>
                <w:noProof/>
              </w:rPr>
            </w:pPr>
            <w:r>
              <w:rPr>
                <w:noProof/>
              </w:rPr>
              <w:t>2022</w:t>
            </w:r>
          </w:p>
        </w:tc>
        <w:tc>
          <w:tcPr>
            <w:tcW w:w="6550" w:type="dxa"/>
            <w:shd w:val="clear" w:color="auto" w:fill="C6EFCE"/>
            <w:noWrap/>
          </w:tcPr>
          <w:p w14:paraId="42D49D07" w14:textId="77777777" w:rsidR="00011DE9" w:rsidRDefault="00011DE9">
            <w:pPr>
              <w:pStyle w:val="P68B1DB1-Normal19"/>
              <w:spacing w:after="0"/>
              <w:rPr>
                <w:rFonts w:eastAsia="Times New Roman"/>
                <w:noProof/>
              </w:rPr>
            </w:pPr>
            <w:r>
              <w:rPr>
                <w:noProof/>
              </w:rPr>
              <w:t>Publicarea unor proiecții actualizate care să arate modul în care reformele pensiilor întreprinse în 2021 și 2022 asigură sustenabilitatea finanțelor publice pe termen lung, ținând seama, de asemenea, de impactul altor reforme structurale, cum ar fi reformele pieței forței de muncă.</w:t>
            </w:r>
          </w:p>
        </w:tc>
      </w:tr>
      <w:tr w:rsidR="00011DE9" w14:paraId="3AB14A10" w14:textId="77777777">
        <w:trPr>
          <w:trHeight w:val="309"/>
          <w:jc w:val="center"/>
        </w:trPr>
        <w:tc>
          <w:tcPr>
            <w:tcW w:w="1111" w:type="dxa"/>
            <w:shd w:val="clear" w:color="auto" w:fill="C6EFCE"/>
            <w:noWrap/>
          </w:tcPr>
          <w:p w14:paraId="10D14F0C" w14:textId="77777777" w:rsidR="00011DE9" w:rsidRDefault="00011DE9">
            <w:pPr>
              <w:pStyle w:val="P68B1DB1-Normal19"/>
              <w:spacing w:after="0"/>
              <w:jc w:val="center"/>
              <w:rPr>
                <w:rFonts w:eastAsia="Times New Roman"/>
                <w:noProof/>
              </w:rPr>
            </w:pPr>
            <w:r>
              <w:rPr>
                <w:noProof/>
              </w:rPr>
              <w:t>411</w:t>
            </w:r>
          </w:p>
        </w:tc>
        <w:tc>
          <w:tcPr>
            <w:tcW w:w="823" w:type="dxa"/>
            <w:shd w:val="clear" w:color="auto" w:fill="C6EFCE"/>
            <w:noWrap/>
          </w:tcPr>
          <w:p w14:paraId="48D23B87" w14:textId="77777777" w:rsidR="00011DE9" w:rsidRDefault="00011DE9">
            <w:pPr>
              <w:pStyle w:val="P68B1DB1-Normal19"/>
              <w:spacing w:after="0"/>
              <w:jc w:val="center"/>
              <w:rPr>
                <w:rFonts w:eastAsia="Times New Roman"/>
                <w:noProof/>
              </w:rPr>
            </w:pPr>
            <w:r>
              <w:rPr>
                <w:noProof/>
              </w:rPr>
              <w:t>C30.R3</w:t>
            </w:r>
          </w:p>
        </w:tc>
        <w:tc>
          <w:tcPr>
            <w:tcW w:w="821" w:type="dxa"/>
            <w:shd w:val="clear" w:color="auto" w:fill="C6EFCE"/>
            <w:noWrap/>
          </w:tcPr>
          <w:p w14:paraId="44427E6A" w14:textId="77777777" w:rsidR="00011DE9" w:rsidRDefault="00011DE9">
            <w:pPr>
              <w:pStyle w:val="P68B1DB1-Normal19"/>
              <w:spacing w:after="0"/>
              <w:jc w:val="center"/>
              <w:rPr>
                <w:rFonts w:eastAsia="Times New Roman"/>
                <w:noProof/>
              </w:rPr>
            </w:pPr>
            <w:r>
              <w:rPr>
                <w:noProof/>
              </w:rPr>
              <w:t>M</w:t>
            </w:r>
          </w:p>
        </w:tc>
        <w:tc>
          <w:tcPr>
            <w:tcW w:w="2202" w:type="dxa"/>
            <w:shd w:val="clear" w:color="auto" w:fill="C6EFCE"/>
            <w:noWrap/>
          </w:tcPr>
          <w:p w14:paraId="45F87037" w14:textId="77777777" w:rsidR="00011DE9" w:rsidRDefault="00011DE9">
            <w:pPr>
              <w:pStyle w:val="P68B1DB1-Normal19"/>
              <w:spacing w:after="0"/>
              <w:rPr>
                <w:rFonts w:eastAsia="Times New Roman"/>
                <w:noProof/>
              </w:rPr>
            </w:pPr>
            <w:r>
              <w:rPr>
                <w:noProof/>
              </w:rPr>
              <w:t>Reforma sistemului de contribuții la asigurările sociale pentru persoanele care desfășoară o activitate independentă</w:t>
            </w:r>
          </w:p>
        </w:tc>
        <w:tc>
          <w:tcPr>
            <w:tcW w:w="1214" w:type="dxa"/>
            <w:shd w:val="clear" w:color="auto" w:fill="C6EFCE"/>
            <w:noWrap/>
          </w:tcPr>
          <w:p w14:paraId="66F5C14C" w14:textId="77777777" w:rsidR="00011DE9" w:rsidRDefault="00011DE9">
            <w:pPr>
              <w:pStyle w:val="P68B1DB1-Normal19"/>
              <w:spacing w:after="0"/>
              <w:rPr>
                <w:rFonts w:eastAsia="Times New Roman"/>
                <w:noProof/>
              </w:rPr>
            </w:pPr>
            <w:r>
              <w:rPr>
                <w:noProof/>
              </w:rPr>
              <w:t xml:space="preserve">Dispoziție a legislației care indică intrarea sa în vigoare </w:t>
            </w:r>
          </w:p>
        </w:tc>
        <w:tc>
          <w:tcPr>
            <w:tcW w:w="548" w:type="dxa"/>
            <w:shd w:val="clear" w:color="auto" w:fill="C6EFCE"/>
            <w:noWrap/>
          </w:tcPr>
          <w:p w14:paraId="7D058035" w14:textId="77777777" w:rsidR="00011DE9" w:rsidRDefault="00011DE9">
            <w:pPr>
              <w:pStyle w:val="P68B1DB1-Normal19"/>
              <w:spacing w:after="0"/>
              <w:jc w:val="center"/>
              <w:rPr>
                <w:rFonts w:eastAsia="Times New Roman"/>
                <w:noProof/>
              </w:rPr>
            </w:pPr>
            <w:r>
              <w:rPr>
                <w:noProof/>
              </w:rPr>
              <w:t xml:space="preserve"> </w:t>
            </w:r>
          </w:p>
        </w:tc>
        <w:tc>
          <w:tcPr>
            <w:tcW w:w="957" w:type="dxa"/>
            <w:shd w:val="clear" w:color="auto" w:fill="C6EFCE"/>
            <w:noWrap/>
          </w:tcPr>
          <w:p w14:paraId="57147E45" w14:textId="77777777" w:rsidR="00011DE9" w:rsidRDefault="00011DE9">
            <w:pPr>
              <w:pStyle w:val="P68B1DB1-Normal19"/>
              <w:spacing w:after="0"/>
              <w:jc w:val="right"/>
              <w:rPr>
                <w:rFonts w:eastAsia="Times New Roman"/>
                <w:noProof/>
              </w:rPr>
            </w:pPr>
            <w:r>
              <w:rPr>
                <w:noProof/>
              </w:rPr>
              <w:t xml:space="preserve"> </w:t>
            </w:r>
          </w:p>
        </w:tc>
        <w:tc>
          <w:tcPr>
            <w:tcW w:w="548" w:type="dxa"/>
            <w:shd w:val="clear" w:color="auto" w:fill="C6EFCE"/>
            <w:noWrap/>
          </w:tcPr>
          <w:p w14:paraId="483CF136" w14:textId="77777777" w:rsidR="00011DE9" w:rsidRDefault="00011DE9">
            <w:pPr>
              <w:pStyle w:val="P68B1DB1-Normal19"/>
              <w:spacing w:after="0"/>
              <w:jc w:val="right"/>
              <w:rPr>
                <w:rFonts w:eastAsia="Times New Roman"/>
                <w:noProof/>
              </w:rPr>
            </w:pPr>
            <w:r>
              <w:rPr>
                <w:noProof/>
              </w:rPr>
              <w:t xml:space="preserve"> </w:t>
            </w:r>
          </w:p>
        </w:tc>
        <w:tc>
          <w:tcPr>
            <w:tcW w:w="413" w:type="dxa"/>
            <w:shd w:val="clear" w:color="auto" w:fill="C6EFCE"/>
            <w:noWrap/>
          </w:tcPr>
          <w:p w14:paraId="64FE7DC8" w14:textId="5A2664FC" w:rsidR="00011DE9" w:rsidRDefault="005701C9">
            <w:pPr>
              <w:pStyle w:val="P68B1DB1-Normal19"/>
              <w:spacing w:after="0"/>
              <w:jc w:val="center"/>
              <w:rPr>
                <w:rFonts w:eastAsia="Times New Roman"/>
                <w:noProof/>
              </w:rPr>
            </w:pPr>
            <w:r>
              <w:rPr>
                <w:noProof/>
              </w:rPr>
              <w:t>T2</w:t>
            </w:r>
          </w:p>
        </w:tc>
        <w:tc>
          <w:tcPr>
            <w:tcW w:w="548" w:type="dxa"/>
            <w:shd w:val="clear" w:color="auto" w:fill="C6EFCE"/>
            <w:noWrap/>
          </w:tcPr>
          <w:p w14:paraId="122C4158" w14:textId="77777777" w:rsidR="00011DE9" w:rsidRDefault="00011DE9">
            <w:pPr>
              <w:pStyle w:val="P68B1DB1-Normal19"/>
              <w:spacing w:after="0"/>
              <w:jc w:val="center"/>
              <w:rPr>
                <w:rFonts w:eastAsia="Times New Roman"/>
                <w:noProof/>
              </w:rPr>
            </w:pPr>
            <w:r>
              <w:rPr>
                <w:noProof/>
              </w:rPr>
              <w:t>2022</w:t>
            </w:r>
          </w:p>
        </w:tc>
        <w:tc>
          <w:tcPr>
            <w:tcW w:w="6550" w:type="dxa"/>
            <w:shd w:val="clear" w:color="auto" w:fill="C6EFCE"/>
            <w:noWrap/>
          </w:tcPr>
          <w:p w14:paraId="46D37EB9" w14:textId="77777777" w:rsidR="00011DE9" w:rsidRDefault="00011DE9">
            <w:pPr>
              <w:pStyle w:val="P68B1DB1-Normal19"/>
              <w:spacing w:after="0"/>
              <w:rPr>
                <w:rFonts w:eastAsia="Times New Roman"/>
                <w:noProof/>
              </w:rPr>
            </w:pPr>
            <w:r>
              <w:rPr>
                <w:noProof/>
              </w:rPr>
              <w:t>Intrarea în vigoare a legislației privind reforma sistemului de contribuții la asigurările sociale pentru persoanele care desfășoară o activitate independentă, modificând treptat sistemul de contribuții pentru a se baza pe venitul real.</w:t>
            </w:r>
          </w:p>
        </w:tc>
      </w:tr>
      <w:tr w:rsidR="00011DE9" w14:paraId="12732BD3" w14:textId="77777777">
        <w:trPr>
          <w:trHeight w:val="309"/>
          <w:jc w:val="center"/>
        </w:trPr>
        <w:tc>
          <w:tcPr>
            <w:tcW w:w="1111" w:type="dxa"/>
            <w:shd w:val="clear" w:color="auto" w:fill="C6EFCE"/>
            <w:noWrap/>
          </w:tcPr>
          <w:p w14:paraId="3E730CE6" w14:textId="77777777" w:rsidR="00011DE9" w:rsidRDefault="00011DE9">
            <w:pPr>
              <w:pStyle w:val="P68B1DB1-Normal19"/>
              <w:spacing w:after="0"/>
              <w:jc w:val="center"/>
              <w:rPr>
                <w:rFonts w:eastAsia="Times New Roman"/>
                <w:noProof/>
              </w:rPr>
            </w:pPr>
            <w:r>
              <w:rPr>
                <w:noProof/>
              </w:rPr>
              <w:t>413</w:t>
            </w:r>
          </w:p>
        </w:tc>
        <w:tc>
          <w:tcPr>
            <w:tcW w:w="823" w:type="dxa"/>
            <w:shd w:val="clear" w:color="auto" w:fill="C6EFCE"/>
            <w:noWrap/>
          </w:tcPr>
          <w:p w14:paraId="5EC29929" w14:textId="77777777" w:rsidR="00011DE9" w:rsidRDefault="00011DE9">
            <w:pPr>
              <w:pStyle w:val="P68B1DB1-Normal19"/>
              <w:spacing w:after="0"/>
              <w:jc w:val="center"/>
              <w:rPr>
                <w:rFonts w:eastAsia="Times New Roman"/>
                <w:noProof/>
              </w:rPr>
            </w:pPr>
            <w:r>
              <w:rPr>
                <w:noProof/>
              </w:rPr>
              <w:t>C30.R5</w:t>
            </w:r>
          </w:p>
        </w:tc>
        <w:tc>
          <w:tcPr>
            <w:tcW w:w="821" w:type="dxa"/>
            <w:shd w:val="clear" w:color="auto" w:fill="C6EFCE"/>
            <w:noWrap/>
          </w:tcPr>
          <w:p w14:paraId="6A7AB047" w14:textId="77777777" w:rsidR="00011DE9" w:rsidRDefault="00011DE9">
            <w:pPr>
              <w:pStyle w:val="P68B1DB1-Normal19"/>
              <w:spacing w:after="0"/>
              <w:jc w:val="center"/>
              <w:rPr>
                <w:rFonts w:eastAsia="Times New Roman"/>
                <w:noProof/>
              </w:rPr>
            </w:pPr>
            <w:r>
              <w:rPr>
                <w:noProof/>
              </w:rPr>
              <w:t>M</w:t>
            </w:r>
          </w:p>
        </w:tc>
        <w:tc>
          <w:tcPr>
            <w:tcW w:w="2202" w:type="dxa"/>
            <w:shd w:val="clear" w:color="auto" w:fill="C6EFCE"/>
            <w:noWrap/>
          </w:tcPr>
          <w:p w14:paraId="7FC993B1" w14:textId="77777777" w:rsidR="00011DE9" w:rsidRDefault="00011DE9">
            <w:pPr>
              <w:pStyle w:val="P68B1DB1-Normal19"/>
              <w:spacing w:after="0"/>
              <w:rPr>
                <w:rFonts w:eastAsia="Times New Roman"/>
                <w:noProof/>
              </w:rPr>
            </w:pPr>
            <w:r>
              <w:rPr>
                <w:noProof/>
              </w:rPr>
              <w:t>Revizuirea facilităților fiscale legate de actualul sistem de pensii suplimentare</w:t>
            </w:r>
          </w:p>
        </w:tc>
        <w:tc>
          <w:tcPr>
            <w:tcW w:w="1214" w:type="dxa"/>
            <w:shd w:val="clear" w:color="auto" w:fill="C6EFCE"/>
            <w:noWrap/>
          </w:tcPr>
          <w:p w14:paraId="7333EFD3" w14:textId="77777777" w:rsidR="00011DE9" w:rsidRDefault="00011DE9">
            <w:pPr>
              <w:pStyle w:val="P68B1DB1-Normal19"/>
              <w:spacing w:after="0"/>
              <w:rPr>
                <w:rFonts w:eastAsia="Times New Roman"/>
                <w:noProof/>
              </w:rPr>
            </w:pPr>
            <w:r>
              <w:rPr>
                <w:noProof/>
              </w:rPr>
              <w:t xml:space="preserve">Dispoziție legală care indică intrarea în vigoare a dispoziției finale 11 și a articolului 62 </w:t>
            </w:r>
          </w:p>
        </w:tc>
        <w:tc>
          <w:tcPr>
            <w:tcW w:w="548" w:type="dxa"/>
            <w:shd w:val="clear" w:color="auto" w:fill="C6EFCE"/>
            <w:noWrap/>
          </w:tcPr>
          <w:p w14:paraId="2A845BAD" w14:textId="77777777" w:rsidR="00011DE9" w:rsidRDefault="00011DE9">
            <w:pPr>
              <w:pStyle w:val="P68B1DB1-Normal19"/>
              <w:spacing w:after="0"/>
              <w:jc w:val="center"/>
              <w:rPr>
                <w:rFonts w:eastAsia="Times New Roman"/>
                <w:noProof/>
              </w:rPr>
            </w:pPr>
            <w:r>
              <w:rPr>
                <w:noProof/>
              </w:rPr>
              <w:t xml:space="preserve"> </w:t>
            </w:r>
          </w:p>
        </w:tc>
        <w:tc>
          <w:tcPr>
            <w:tcW w:w="957" w:type="dxa"/>
            <w:shd w:val="clear" w:color="auto" w:fill="C6EFCE"/>
            <w:noWrap/>
          </w:tcPr>
          <w:p w14:paraId="32BDD696" w14:textId="77777777" w:rsidR="00011DE9" w:rsidRDefault="00011DE9">
            <w:pPr>
              <w:pStyle w:val="P68B1DB1-Normal19"/>
              <w:spacing w:after="0"/>
              <w:jc w:val="right"/>
              <w:rPr>
                <w:rFonts w:eastAsia="Times New Roman"/>
                <w:noProof/>
              </w:rPr>
            </w:pPr>
            <w:r>
              <w:rPr>
                <w:noProof/>
              </w:rPr>
              <w:t xml:space="preserve"> </w:t>
            </w:r>
          </w:p>
        </w:tc>
        <w:tc>
          <w:tcPr>
            <w:tcW w:w="548" w:type="dxa"/>
            <w:shd w:val="clear" w:color="auto" w:fill="C6EFCE"/>
            <w:noWrap/>
          </w:tcPr>
          <w:p w14:paraId="37DE110F" w14:textId="77777777" w:rsidR="00011DE9" w:rsidRDefault="00011DE9">
            <w:pPr>
              <w:pStyle w:val="P68B1DB1-Normal19"/>
              <w:spacing w:after="0"/>
              <w:jc w:val="right"/>
              <w:rPr>
                <w:rFonts w:eastAsia="Times New Roman"/>
                <w:noProof/>
              </w:rPr>
            </w:pPr>
            <w:r>
              <w:rPr>
                <w:noProof/>
              </w:rPr>
              <w:t xml:space="preserve"> </w:t>
            </w:r>
          </w:p>
        </w:tc>
        <w:tc>
          <w:tcPr>
            <w:tcW w:w="413" w:type="dxa"/>
            <w:shd w:val="clear" w:color="auto" w:fill="C6EFCE"/>
            <w:noWrap/>
          </w:tcPr>
          <w:p w14:paraId="5D413ABF" w14:textId="5CF501EB" w:rsidR="00011DE9" w:rsidRDefault="005701C9">
            <w:pPr>
              <w:pStyle w:val="P68B1DB1-Normal19"/>
              <w:spacing w:after="0"/>
              <w:jc w:val="center"/>
              <w:rPr>
                <w:rFonts w:eastAsia="Times New Roman"/>
                <w:noProof/>
              </w:rPr>
            </w:pPr>
            <w:r>
              <w:rPr>
                <w:noProof/>
              </w:rPr>
              <w:t>T4</w:t>
            </w:r>
          </w:p>
        </w:tc>
        <w:tc>
          <w:tcPr>
            <w:tcW w:w="548" w:type="dxa"/>
            <w:shd w:val="clear" w:color="auto" w:fill="C6EFCE"/>
            <w:noWrap/>
          </w:tcPr>
          <w:p w14:paraId="2A77AA79" w14:textId="77777777" w:rsidR="00011DE9" w:rsidRDefault="00011DE9">
            <w:pPr>
              <w:pStyle w:val="P68B1DB1-Normal19"/>
              <w:spacing w:after="0"/>
              <w:jc w:val="center"/>
              <w:rPr>
                <w:rFonts w:eastAsia="Times New Roman"/>
                <w:noProof/>
              </w:rPr>
            </w:pPr>
            <w:r>
              <w:rPr>
                <w:noProof/>
              </w:rPr>
              <w:t>2020</w:t>
            </w:r>
          </w:p>
        </w:tc>
        <w:tc>
          <w:tcPr>
            <w:tcW w:w="6550" w:type="dxa"/>
            <w:shd w:val="clear" w:color="auto" w:fill="C6EFCE"/>
            <w:noWrap/>
          </w:tcPr>
          <w:p w14:paraId="4BD3ABD0" w14:textId="77777777" w:rsidR="00011DE9" w:rsidRDefault="00011DE9">
            <w:pPr>
              <w:pStyle w:val="P68B1DB1-Normal19"/>
              <w:spacing w:after="0"/>
              <w:rPr>
                <w:rFonts w:eastAsia="Times New Roman"/>
                <w:noProof/>
              </w:rPr>
            </w:pPr>
            <w:r>
              <w:rPr>
                <w:noProof/>
              </w:rPr>
              <w:t>Intrarea în vigoare a Legii nr. 11/2020 din decembrie 30 privind bugetul general de stat pentru 2021, privind revizuirea facilităților fiscale legate de actualul sistem de pensii suplimentare. Dreptul la facilități fiscale se transferă de la planurile de pensii private individuale la sistemele de pensii ocupaționale bazate pe contracte colective de muncă. Dispozițiile relevante din Legea bugetului pentru introducerea noului cadru sunt dispoziția finală 11 LPGE și articolul 62.</w:t>
            </w:r>
          </w:p>
        </w:tc>
      </w:tr>
      <w:tr w:rsidR="00011DE9" w14:paraId="1BCAD4D7" w14:textId="77777777">
        <w:trPr>
          <w:trHeight w:val="309"/>
          <w:jc w:val="center"/>
        </w:trPr>
        <w:tc>
          <w:tcPr>
            <w:tcW w:w="1111" w:type="dxa"/>
            <w:shd w:val="clear" w:color="auto" w:fill="C6EFCE"/>
            <w:noWrap/>
          </w:tcPr>
          <w:p w14:paraId="6764E849" w14:textId="77777777" w:rsidR="00011DE9" w:rsidRDefault="00011DE9">
            <w:pPr>
              <w:pStyle w:val="P68B1DB1-Normal19"/>
              <w:spacing w:after="0"/>
              <w:jc w:val="center"/>
              <w:rPr>
                <w:rFonts w:eastAsia="Times New Roman"/>
                <w:noProof/>
              </w:rPr>
            </w:pPr>
            <w:r>
              <w:rPr>
                <w:noProof/>
              </w:rPr>
              <w:t>414</w:t>
            </w:r>
          </w:p>
        </w:tc>
        <w:tc>
          <w:tcPr>
            <w:tcW w:w="823" w:type="dxa"/>
            <w:shd w:val="clear" w:color="auto" w:fill="C6EFCE"/>
            <w:noWrap/>
          </w:tcPr>
          <w:p w14:paraId="25301FEC" w14:textId="77777777" w:rsidR="00011DE9" w:rsidRDefault="00011DE9">
            <w:pPr>
              <w:pStyle w:val="P68B1DB1-Normal19"/>
              <w:spacing w:after="0"/>
              <w:jc w:val="center"/>
              <w:rPr>
                <w:rFonts w:eastAsia="Times New Roman"/>
                <w:noProof/>
              </w:rPr>
            </w:pPr>
            <w:r>
              <w:rPr>
                <w:noProof/>
              </w:rPr>
              <w:t>C30.R5</w:t>
            </w:r>
          </w:p>
        </w:tc>
        <w:tc>
          <w:tcPr>
            <w:tcW w:w="821" w:type="dxa"/>
            <w:shd w:val="clear" w:color="auto" w:fill="C6EFCE"/>
            <w:noWrap/>
          </w:tcPr>
          <w:p w14:paraId="42456DB0" w14:textId="77777777" w:rsidR="00011DE9" w:rsidRDefault="00011DE9">
            <w:pPr>
              <w:pStyle w:val="P68B1DB1-Normal19"/>
              <w:spacing w:after="0"/>
              <w:jc w:val="center"/>
              <w:rPr>
                <w:rFonts w:eastAsia="Times New Roman"/>
                <w:noProof/>
              </w:rPr>
            </w:pPr>
            <w:r>
              <w:rPr>
                <w:noProof/>
              </w:rPr>
              <w:t>M</w:t>
            </w:r>
          </w:p>
        </w:tc>
        <w:tc>
          <w:tcPr>
            <w:tcW w:w="2202" w:type="dxa"/>
            <w:shd w:val="clear" w:color="auto" w:fill="C6EFCE"/>
            <w:noWrap/>
          </w:tcPr>
          <w:p w14:paraId="7C8DC151" w14:textId="77777777" w:rsidR="00011DE9" w:rsidRDefault="00011DE9">
            <w:pPr>
              <w:pStyle w:val="P68B1DB1-Normal19"/>
              <w:spacing w:after="0"/>
              <w:rPr>
                <w:rFonts w:eastAsia="Times New Roman"/>
                <w:noProof/>
              </w:rPr>
            </w:pPr>
            <w:r>
              <w:rPr>
                <w:noProof/>
              </w:rPr>
              <w:t>Revizuirea actualului sistem de pensii suplimentare</w:t>
            </w:r>
          </w:p>
        </w:tc>
        <w:tc>
          <w:tcPr>
            <w:tcW w:w="1214" w:type="dxa"/>
            <w:shd w:val="clear" w:color="auto" w:fill="C6EFCE"/>
            <w:noWrap/>
          </w:tcPr>
          <w:p w14:paraId="653E2C19" w14:textId="77777777" w:rsidR="00011DE9" w:rsidRDefault="00011DE9">
            <w:pPr>
              <w:pStyle w:val="P68B1DB1-Normal19"/>
              <w:spacing w:after="0"/>
              <w:rPr>
                <w:rFonts w:eastAsia="Times New Roman"/>
                <w:noProof/>
              </w:rPr>
            </w:pPr>
            <w:r>
              <w:rPr>
                <w:noProof/>
              </w:rPr>
              <w:t xml:space="preserve">Dispoziție a legislației care indică intrarea sa în vigoare </w:t>
            </w:r>
          </w:p>
        </w:tc>
        <w:tc>
          <w:tcPr>
            <w:tcW w:w="548" w:type="dxa"/>
            <w:shd w:val="clear" w:color="auto" w:fill="C6EFCE"/>
            <w:noWrap/>
          </w:tcPr>
          <w:p w14:paraId="1D2E95AC" w14:textId="77777777" w:rsidR="00011DE9" w:rsidRDefault="00011DE9">
            <w:pPr>
              <w:pStyle w:val="P68B1DB1-Normal19"/>
              <w:spacing w:after="0"/>
              <w:jc w:val="center"/>
              <w:rPr>
                <w:rFonts w:eastAsia="Times New Roman"/>
                <w:noProof/>
              </w:rPr>
            </w:pPr>
            <w:r>
              <w:rPr>
                <w:noProof/>
              </w:rPr>
              <w:t xml:space="preserve"> </w:t>
            </w:r>
          </w:p>
        </w:tc>
        <w:tc>
          <w:tcPr>
            <w:tcW w:w="957" w:type="dxa"/>
            <w:shd w:val="clear" w:color="auto" w:fill="C6EFCE"/>
            <w:noWrap/>
          </w:tcPr>
          <w:p w14:paraId="1F30B21E" w14:textId="77777777" w:rsidR="00011DE9" w:rsidRDefault="00011DE9">
            <w:pPr>
              <w:pStyle w:val="P68B1DB1-Normal19"/>
              <w:spacing w:after="0"/>
              <w:jc w:val="right"/>
              <w:rPr>
                <w:rFonts w:eastAsia="Times New Roman"/>
                <w:noProof/>
              </w:rPr>
            </w:pPr>
            <w:r>
              <w:rPr>
                <w:noProof/>
              </w:rPr>
              <w:t xml:space="preserve"> </w:t>
            </w:r>
          </w:p>
        </w:tc>
        <w:tc>
          <w:tcPr>
            <w:tcW w:w="548" w:type="dxa"/>
            <w:shd w:val="clear" w:color="auto" w:fill="C6EFCE"/>
            <w:noWrap/>
          </w:tcPr>
          <w:p w14:paraId="2A2DD914" w14:textId="77777777" w:rsidR="00011DE9" w:rsidRDefault="00011DE9">
            <w:pPr>
              <w:pStyle w:val="P68B1DB1-Normal19"/>
              <w:spacing w:after="0"/>
              <w:jc w:val="right"/>
              <w:rPr>
                <w:rFonts w:eastAsia="Times New Roman"/>
                <w:noProof/>
              </w:rPr>
            </w:pPr>
            <w:r>
              <w:rPr>
                <w:noProof/>
              </w:rPr>
              <w:t xml:space="preserve"> </w:t>
            </w:r>
          </w:p>
        </w:tc>
        <w:tc>
          <w:tcPr>
            <w:tcW w:w="413" w:type="dxa"/>
            <w:shd w:val="clear" w:color="auto" w:fill="C6EFCE"/>
            <w:noWrap/>
          </w:tcPr>
          <w:p w14:paraId="3BEDA63D" w14:textId="3B18BC66" w:rsidR="00011DE9" w:rsidRDefault="005701C9">
            <w:pPr>
              <w:pStyle w:val="P68B1DB1-Normal19"/>
              <w:spacing w:after="0"/>
              <w:jc w:val="center"/>
              <w:rPr>
                <w:rFonts w:eastAsia="Times New Roman"/>
                <w:noProof/>
              </w:rPr>
            </w:pPr>
            <w:r>
              <w:rPr>
                <w:noProof/>
              </w:rPr>
              <w:t>T2</w:t>
            </w:r>
          </w:p>
        </w:tc>
        <w:tc>
          <w:tcPr>
            <w:tcW w:w="548" w:type="dxa"/>
            <w:shd w:val="clear" w:color="auto" w:fill="C6EFCE"/>
            <w:noWrap/>
          </w:tcPr>
          <w:p w14:paraId="270F4110" w14:textId="77777777" w:rsidR="00011DE9" w:rsidRDefault="00011DE9">
            <w:pPr>
              <w:pStyle w:val="P68B1DB1-Normal19"/>
              <w:spacing w:after="0"/>
              <w:jc w:val="center"/>
              <w:rPr>
                <w:rFonts w:eastAsia="Times New Roman"/>
                <w:noProof/>
              </w:rPr>
            </w:pPr>
            <w:r>
              <w:rPr>
                <w:noProof/>
              </w:rPr>
              <w:t>2022</w:t>
            </w:r>
          </w:p>
        </w:tc>
        <w:tc>
          <w:tcPr>
            <w:tcW w:w="6550" w:type="dxa"/>
            <w:shd w:val="clear" w:color="auto" w:fill="C6EFCE"/>
            <w:noWrap/>
          </w:tcPr>
          <w:p w14:paraId="0F3FC08F" w14:textId="77777777" w:rsidR="00011DE9" w:rsidRDefault="00011DE9">
            <w:pPr>
              <w:pStyle w:val="P68B1DB1-Normal19"/>
              <w:spacing w:after="0"/>
              <w:rPr>
                <w:rFonts w:eastAsia="Times New Roman"/>
                <w:noProof/>
              </w:rPr>
            </w:pPr>
            <w:r>
              <w:rPr>
                <w:noProof/>
              </w:rPr>
              <w:t>Intrarea în vigoare a legislației privind revizuirea actualului sistem de pensii suplimentare pentru a promova sistemele de pensii prin crearea de către administrație a unor fonduri de pensii deschise tuturor întreprinderilor și lucrătorilor.</w:t>
            </w:r>
          </w:p>
        </w:tc>
      </w:tr>
      <w:tr w:rsidR="00011DE9" w14:paraId="215A3444" w14:textId="77777777">
        <w:trPr>
          <w:trHeight w:val="309"/>
          <w:jc w:val="center"/>
        </w:trPr>
        <w:tc>
          <w:tcPr>
            <w:tcW w:w="1111" w:type="dxa"/>
            <w:shd w:val="clear" w:color="auto" w:fill="C6EFCE"/>
            <w:noWrap/>
          </w:tcPr>
          <w:p w14:paraId="4F53F9FF" w14:textId="77777777" w:rsidR="00011DE9" w:rsidRDefault="00011DE9">
            <w:pPr>
              <w:pStyle w:val="P68B1DB1-Normal19"/>
              <w:spacing w:after="0"/>
              <w:jc w:val="center"/>
              <w:rPr>
                <w:rFonts w:eastAsia="Times New Roman"/>
                <w:noProof/>
              </w:rPr>
            </w:pPr>
            <w:r>
              <w:rPr>
                <w:noProof/>
              </w:rPr>
              <w:t>415</w:t>
            </w:r>
          </w:p>
        </w:tc>
        <w:tc>
          <w:tcPr>
            <w:tcW w:w="823" w:type="dxa"/>
            <w:shd w:val="clear" w:color="auto" w:fill="C6EFCE"/>
            <w:noWrap/>
          </w:tcPr>
          <w:p w14:paraId="63AA86D3" w14:textId="77777777" w:rsidR="00011DE9" w:rsidRDefault="00011DE9">
            <w:pPr>
              <w:pStyle w:val="P68B1DB1-Normal19"/>
              <w:spacing w:after="0"/>
              <w:jc w:val="center"/>
              <w:rPr>
                <w:rFonts w:eastAsia="Times New Roman"/>
                <w:noProof/>
              </w:rPr>
            </w:pPr>
            <w:r>
              <w:rPr>
                <w:noProof/>
              </w:rPr>
              <w:t>C30.R6</w:t>
            </w:r>
          </w:p>
        </w:tc>
        <w:tc>
          <w:tcPr>
            <w:tcW w:w="821" w:type="dxa"/>
            <w:shd w:val="clear" w:color="auto" w:fill="C6EFCE"/>
            <w:noWrap/>
          </w:tcPr>
          <w:p w14:paraId="200328AB" w14:textId="77777777" w:rsidR="00011DE9" w:rsidRDefault="00011DE9">
            <w:pPr>
              <w:pStyle w:val="P68B1DB1-Normal19"/>
              <w:spacing w:after="0"/>
              <w:jc w:val="center"/>
              <w:rPr>
                <w:rFonts w:eastAsia="Times New Roman"/>
                <w:noProof/>
              </w:rPr>
            </w:pPr>
            <w:r>
              <w:rPr>
                <w:noProof/>
              </w:rPr>
              <w:t>M</w:t>
            </w:r>
          </w:p>
        </w:tc>
        <w:tc>
          <w:tcPr>
            <w:tcW w:w="2202" w:type="dxa"/>
            <w:shd w:val="clear" w:color="auto" w:fill="C6EFCE"/>
            <w:noWrap/>
          </w:tcPr>
          <w:p w14:paraId="343BDDB2" w14:textId="77777777" w:rsidR="00011DE9" w:rsidRDefault="00011DE9">
            <w:pPr>
              <w:pStyle w:val="P68B1DB1-Normal19"/>
              <w:spacing w:after="0"/>
              <w:rPr>
                <w:rFonts w:eastAsia="Times New Roman"/>
                <w:noProof/>
              </w:rPr>
            </w:pPr>
            <w:r>
              <w:rPr>
                <w:noProof/>
              </w:rPr>
              <w:t>Ajustarea bazei de contribuție maximă</w:t>
            </w:r>
          </w:p>
        </w:tc>
        <w:tc>
          <w:tcPr>
            <w:tcW w:w="1214" w:type="dxa"/>
            <w:shd w:val="clear" w:color="auto" w:fill="C6EFCE"/>
            <w:noWrap/>
          </w:tcPr>
          <w:p w14:paraId="77B4CAA1" w14:textId="77777777" w:rsidR="00011DE9" w:rsidRDefault="00011DE9">
            <w:pPr>
              <w:pStyle w:val="P68B1DB1-Normal19"/>
              <w:spacing w:after="0"/>
              <w:rPr>
                <w:rFonts w:eastAsia="Times New Roman"/>
                <w:noProof/>
              </w:rPr>
            </w:pPr>
            <w:r>
              <w:rPr>
                <w:noProof/>
              </w:rPr>
              <w:t xml:space="preserve">Dispoziție a legislației care indică intrarea sa în vigoare </w:t>
            </w:r>
          </w:p>
        </w:tc>
        <w:tc>
          <w:tcPr>
            <w:tcW w:w="548" w:type="dxa"/>
            <w:shd w:val="clear" w:color="auto" w:fill="C6EFCE"/>
            <w:noWrap/>
          </w:tcPr>
          <w:p w14:paraId="6DCE81F0" w14:textId="77777777" w:rsidR="00011DE9" w:rsidRDefault="00011DE9">
            <w:pPr>
              <w:pStyle w:val="P68B1DB1-Normal19"/>
              <w:spacing w:after="0"/>
              <w:jc w:val="center"/>
              <w:rPr>
                <w:rFonts w:eastAsia="Times New Roman"/>
                <w:noProof/>
              </w:rPr>
            </w:pPr>
            <w:r>
              <w:rPr>
                <w:noProof/>
              </w:rPr>
              <w:t xml:space="preserve"> </w:t>
            </w:r>
          </w:p>
        </w:tc>
        <w:tc>
          <w:tcPr>
            <w:tcW w:w="957" w:type="dxa"/>
            <w:shd w:val="clear" w:color="auto" w:fill="C6EFCE"/>
            <w:noWrap/>
          </w:tcPr>
          <w:p w14:paraId="265BD358" w14:textId="77777777" w:rsidR="00011DE9" w:rsidRDefault="00011DE9">
            <w:pPr>
              <w:pStyle w:val="P68B1DB1-Normal19"/>
              <w:spacing w:after="0"/>
              <w:jc w:val="right"/>
              <w:rPr>
                <w:rFonts w:eastAsia="Times New Roman"/>
                <w:noProof/>
              </w:rPr>
            </w:pPr>
            <w:r>
              <w:rPr>
                <w:noProof/>
              </w:rPr>
              <w:t xml:space="preserve"> </w:t>
            </w:r>
          </w:p>
        </w:tc>
        <w:tc>
          <w:tcPr>
            <w:tcW w:w="548" w:type="dxa"/>
            <w:shd w:val="clear" w:color="auto" w:fill="C6EFCE"/>
            <w:noWrap/>
          </w:tcPr>
          <w:p w14:paraId="2BC793E3" w14:textId="77777777" w:rsidR="00011DE9" w:rsidRDefault="00011DE9">
            <w:pPr>
              <w:pStyle w:val="P68B1DB1-Normal19"/>
              <w:spacing w:after="0"/>
              <w:jc w:val="right"/>
              <w:rPr>
                <w:rFonts w:eastAsia="Times New Roman"/>
                <w:noProof/>
              </w:rPr>
            </w:pPr>
            <w:r>
              <w:rPr>
                <w:noProof/>
              </w:rPr>
              <w:t xml:space="preserve"> </w:t>
            </w:r>
          </w:p>
        </w:tc>
        <w:tc>
          <w:tcPr>
            <w:tcW w:w="413" w:type="dxa"/>
            <w:shd w:val="clear" w:color="auto" w:fill="C6EFCE"/>
            <w:noWrap/>
          </w:tcPr>
          <w:p w14:paraId="228138CB" w14:textId="3D4846FA" w:rsidR="00011DE9" w:rsidRDefault="005701C9">
            <w:pPr>
              <w:pStyle w:val="P68B1DB1-Normal19"/>
              <w:spacing w:after="0"/>
              <w:jc w:val="center"/>
              <w:rPr>
                <w:rFonts w:eastAsia="Times New Roman"/>
                <w:noProof/>
              </w:rPr>
            </w:pPr>
            <w:r>
              <w:rPr>
                <w:noProof/>
              </w:rPr>
              <w:t>T4</w:t>
            </w:r>
          </w:p>
        </w:tc>
        <w:tc>
          <w:tcPr>
            <w:tcW w:w="548" w:type="dxa"/>
            <w:shd w:val="clear" w:color="auto" w:fill="C6EFCE"/>
            <w:noWrap/>
          </w:tcPr>
          <w:p w14:paraId="526C889B" w14:textId="77777777" w:rsidR="00011DE9" w:rsidRDefault="00011DE9">
            <w:pPr>
              <w:pStyle w:val="P68B1DB1-Normal19"/>
              <w:spacing w:after="0"/>
              <w:jc w:val="center"/>
              <w:rPr>
                <w:rFonts w:eastAsia="Times New Roman"/>
                <w:noProof/>
              </w:rPr>
            </w:pPr>
            <w:r>
              <w:rPr>
                <w:noProof/>
              </w:rPr>
              <w:t>2022</w:t>
            </w:r>
          </w:p>
        </w:tc>
        <w:tc>
          <w:tcPr>
            <w:tcW w:w="6550" w:type="dxa"/>
            <w:shd w:val="clear" w:color="auto" w:fill="C6EFCE"/>
            <w:noWrap/>
          </w:tcPr>
          <w:p w14:paraId="28C17961" w14:textId="77777777" w:rsidR="00011DE9" w:rsidRDefault="00011DE9">
            <w:pPr>
              <w:pStyle w:val="P68B1DB1-Normal19"/>
              <w:spacing w:after="0"/>
              <w:rPr>
                <w:rFonts w:eastAsia="Times New Roman"/>
                <w:noProof/>
              </w:rPr>
            </w:pPr>
            <w:r>
              <w:rPr>
                <w:noProof/>
              </w:rPr>
              <w:t>Intrarea în vigoare a legislației pentru ajustarea bazei maxime de contribuție: creșterea treptată a bazei maxime de contribuție a sistemului și ajustarea pensiilor maxime pentru a extinde baza de contribuție și progresivitatea sistemului și pentru a crește veniturile globale.</w:t>
            </w:r>
          </w:p>
        </w:tc>
      </w:tr>
    </w:tbl>
    <w:p w14:paraId="1C93C6C2" w14:textId="77777777" w:rsidR="00011DE9" w:rsidRDefault="00011DE9">
      <w:pPr>
        <w:pStyle w:val="Text1"/>
        <w:ind w:left="0"/>
        <w:rPr>
          <w:rFonts w:ascii="Times New Roman" w:hAnsi="Times New Roman" w:cs="Times New Roman"/>
          <w:noProof/>
        </w:rPr>
        <w:sectPr w:rsidR="00011DE9" w:rsidSect="00011DE9">
          <w:headerReference w:type="even" r:id="rId408"/>
          <w:headerReference w:type="default" r:id="rId409"/>
          <w:footerReference w:type="even" r:id="rId410"/>
          <w:footerReference w:type="default" r:id="rId411"/>
          <w:headerReference w:type="first" r:id="rId412"/>
          <w:footerReference w:type="first" r:id="rId413"/>
          <w:pgSz w:w="16839" w:h="11907" w:orient="landscape"/>
          <w:pgMar w:top="1134" w:right="1134" w:bottom="1134" w:left="1134" w:header="567" w:footer="567" w:gutter="0"/>
          <w:cols w:space="720"/>
          <w:docGrid w:linePitch="360"/>
        </w:sectPr>
      </w:pPr>
    </w:p>
    <w:p w14:paraId="6C3CC0D6" w14:textId="77777777" w:rsidR="00011DE9" w:rsidRDefault="00011DE9">
      <w:pPr>
        <w:pStyle w:val="Heading1"/>
        <w:rPr>
          <w:rFonts w:cs="Times New Roman"/>
          <w:noProof/>
        </w:rPr>
      </w:pPr>
      <w:r>
        <w:rPr>
          <w:noProof/>
        </w:rPr>
        <w:t>AE. COMPONENTA 31: Capitolul privind REPowerEU</w:t>
      </w:r>
    </w:p>
    <w:p w14:paraId="71BED311" w14:textId="77777777" w:rsidR="00011DE9" w:rsidRDefault="00011DE9">
      <w:pPr>
        <w:pStyle w:val="Text1"/>
        <w:ind w:left="0"/>
        <w:rPr>
          <w:rStyle w:val="IntenseEmphasis"/>
          <w:rFonts w:ascii="Times New Roman" w:hAnsi="Times New Roman" w:cs="Times New Roman"/>
          <w:i w:val="0"/>
          <w:noProof/>
          <w:color w:val="auto"/>
        </w:rPr>
      </w:pPr>
      <w:r>
        <w:rPr>
          <w:rStyle w:val="IntenseEmphasis"/>
          <w:rFonts w:ascii="Times New Roman" w:hAnsi="Times New Roman"/>
          <w:noProof/>
          <w:color w:val="auto"/>
        </w:rPr>
        <w:t xml:space="preserve">Obiectivul capitolului privind REPowerEU este de a reduce dependența generală de combustibilii fosili și, în special, de a simplifica autorizarea noilor rețele de energie electrică și a proiectelor privind energia din surse regenerabile, de a sprijini producția de energie din surse regenerabile și de hidrogen din surse regenerabile, de a îmbunătăți lanțul valoric pentru sursele regenerabile de energie și de a stimula decarbonizarea industrială. </w:t>
      </w:r>
    </w:p>
    <w:p w14:paraId="40B420CC" w14:textId="77777777" w:rsidR="00011DE9" w:rsidRDefault="00011DE9">
      <w:pPr>
        <w:pStyle w:val="Text1"/>
        <w:ind w:left="0"/>
        <w:rPr>
          <w:rStyle w:val="IntenseEmphasis"/>
          <w:rFonts w:ascii="Times New Roman" w:hAnsi="Times New Roman"/>
          <w:i w:val="0"/>
          <w:noProof/>
          <w:color w:val="auto"/>
        </w:rPr>
      </w:pPr>
      <w:r>
        <w:rPr>
          <w:rStyle w:val="IntenseEmphasis"/>
          <w:rFonts w:ascii="Times New Roman" w:hAnsi="Times New Roman"/>
          <w:noProof/>
          <w:color w:val="auto"/>
        </w:rPr>
        <w:t>Componenta abordează recomandările specifice fiecărei țări referitoare la reducerea dependenței generale de combustibilii fosili în 2022 și 2023. Aceasta contribuie prin măsuri de accelerare a implementării energiei din surse regenerabile, cu accent pe instalațiile descentralizate și pe autoconsum, inclusiv prin simplificarea în continuare a procedurilor de autorizare și prin îmbunătățirea accesului la rețea. De asemenea, sprijină</w:t>
      </w:r>
    </w:p>
    <w:p w14:paraId="595B020F" w14:textId="77777777" w:rsidR="00011DE9" w:rsidRDefault="00011DE9">
      <w:pPr>
        <w:pStyle w:val="Text1"/>
        <w:ind w:left="0"/>
        <w:rPr>
          <w:rStyle w:val="IntenseEmphasis"/>
          <w:rFonts w:ascii="Times New Roman" w:hAnsi="Times New Roman" w:cs="Times New Roman"/>
          <w:i w:val="0"/>
          <w:noProof/>
          <w:color w:val="auto"/>
        </w:rPr>
      </w:pPr>
      <w:r>
        <w:rPr>
          <w:rStyle w:val="IntenseEmphasis"/>
          <w:rFonts w:ascii="Times New Roman" w:hAnsi="Times New Roman"/>
          <w:noProof/>
          <w:color w:val="auto"/>
        </w:rPr>
        <w:t xml:space="preserve"> investiții complementare în stocare, în infrastructura de rețea și în hidrogenul din surse regenerabile (Recomandarea specifică fiecărei țări 4 2022 și Recomandarea specifică fiecărei țări 3 2023). </w:t>
      </w:r>
    </w:p>
    <w:p w14:paraId="136ACC06" w14:textId="77777777" w:rsidR="00011DE9" w:rsidRDefault="00011DE9">
      <w:pPr>
        <w:pStyle w:val="P68B1DB1-Text161"/>
        <w:ind w:left="0"/>
        <w:rPr>
          <w:rFonts w:cs="Times New Roman"/>
          <w:noProof/>
        </w:rPr>
      </w:pPr>
      <w:r>
        <w:rPr>
          <w:noProof/>
        </w:rPr>
        <w:t>Nicio măsură din cadrul acestei componente nu aduce prejudicii semnificative obiectivelor de mediu în sensul articolului 17 din Regulamentul (UE) 2020/852, ținând seama de descrierea măsurilor și a etapelor de atenuare prevăzute în planul de redresare și reziliență în conformitate cu Orientările tehnice DNSH (2021/C58/01).</w:t>
      </w:r>
    </w:p>
    <w:p w14:paraId="0321BC1A" w14:textId="77777777" w:rsidR="00011DE9" w:rsidRDefault="00011DE9">
      <w:pPr>
        <w:pStyle w:val="Text1"/>
        <w:ind w:left="709"/>
        <w:rPr>
          <w:rFonts w:ascii="Times New Roman" w:hAnsi="Times New Roman" w:cs="Times New Roman"/>
          <w:b/>
          <w:noProof/>
          <w:szCs w:val="24"/>
          <w:u w:val="single"/>
        </w:rPr>
      </w:pPr>
      <w:r>
        <w:rPr>
          <w:rFonts w:ascii="Times New Roman" w:hAnsi="Times New Roman"/>
          <w:b/>
          <w:noProof/>
          <w:u w:val="single"/>
        </w:rPr>
        <w:t xml:space="preserve">AE.1. </w:t>
      </w:r>
      <w:r>
        <w:rPr>
          <w:noProof/>
        </w:rPr>
        <w:t></w:t>
      </w:r>
      <w:r>
        <w:rPr>
          <w:rFonts w:ascii="Times New Roman" w:hAnsi="Times New Roman"/>
          <w:b/>
          <w:noProof/>
          <w:u w:val="single"/>
        </w:rPr>
        <w:t>Descrierea reformelor și a investițiilor pentru sprijinul financiar nerambursabil</w:t>
      </w:r>
    </w:p>
    <w:p w14:paraId="4039F495" w14:textId="77777777" w:rsidR="00011DE9" w:rsidRDefault="00011DE9">
      <w:pPr>
        <w:pStyle w:val="P68B1DB1-Text162"/>
        <w:keepNext/>
        <w:keepLines/>
        <w:ind w:left="0"/>
        <w:rPr>
          <w:noProof/>
        </w:rPr>
      </w:pPr>
      <w:r>
        <w:rPr>
          <w:noProof/>
        </w:rPr>
        <w:t>Reforma 1 (C31.R1) – Reformă de îmbunătățire a autorizării proiectelor de producere a energiei din surse regenerabile și a infrastructurii rețelei de energie electrică</w:t>
      </w:r>
    </w:p>
    <w:p w14:paraId="0A68C862" w14:textId="77777777" w:rsidR="00011DE9" w:rsidRDefault="00011DE9">
      <w:pPr>
        <w:pStyle w:val="NormalWeb"/>
        <w:spacing w:before="120" w:after="120" w:line="240" w:lineRule="auto"/>
        <w:jc w:val="both"/>
        <w:rPr>
          <w:noProof/>
        </w:rPr>
      </w:pPr>
      <w:r>
        <w:rPr>
          <w:noProof/>
        </w:rPr>
        <w:t>Obiectivul reformei este dublu. În primul rând, simplificarea procedurilor de autorizare pentru producția de energie din surse regenerabile și pentru infrastructura rețelei de energie electrică și, în al doilea rând, raționalizarea prelucrării cererilor de autorizare. În ceea ce privește primul obiectiv, reforma constă într-o legislație care simplifică procedurile pentru proiectele privind energia din surse regenerabile și pentru infrastructura rețelei de energie electrică. În acest sens, reforma include următoarele elemente:</w:t>
      </w:r>
    </w:p>
    <w:p w14:paraId="70DC1052" w14:textId="77777777" w:rsidR="00011DE9" w:rsidRDefault="00011DE9">
      <w:pPr>
        <w:pStyle w:val="P68B1DB1-ListParagraph65"/>
        <w:numPr>
          <w:ilvl w:val="0"/>
          <w:numId w:val="198"/>
        </w:numPr>
        <w:spacing w:before="120" w:after="120" w:line="240" w:lineRule="auto"/>
        <w:jc w:val="both"/>
        <w:rPr>
          <w:noProof/>
        </w:rPr>
      </w:pPr>
      <w:r>
        <w:rPr>
          <w:noProof/>
        </w:rPr>
        <w:t>simplificarea procedurilor pentru anumite categorii de proiecte, inclusiv evaluarea impactului asupra mediului și procedura de autorizare;</w:t>
      </w:r>
    </w:p>
    <w:p w14:paraId="456B06E2" w14:textId="77777777" w:rsidR="00011DE9" w:rsidRDefault="00011DE9">
      <w:pPr>
        <w:pStyle w:val="P68B1DB1-ListParagraph25"/>
        <w:numPr>
          <w:ilvl w:val="0"/>
          <w:numId w:val="198"/>
        </w:numPr>
        <w:spacing w:before="120" w:after="120" w:line="240" w:lineRule="auto"/>
        <w:jc w:val="both"/>
        <w:rPr>
          <w:noProof/>
        </w:rPr>
      </w:pPr>
      <w:r>
        <w:rPr>
          <w:noProof/>
        </w:rPr>
        <w:t>clarificarea și reducerea sarcinii administrative pentru anumite proiecte în ceea ce privește injectarea de gaze din surse regenerabile în rețeaua de gaze;</w:t>
      </w:r>
    </w:p>
    <w:p w14:paraId="35F3F7ED" w14:textId="77777777" w:rsidR="00011DE9" w:rsidRDefault="00011DE9">
      <w:pPr>
        <w:pStyle w:val="P68B1DB1-ListParagraph25"/>
        <w:numPr>
          <w:ilvl w:val="0"/>
          <w:numId w:val="198"/>
        </w:numPr>
        <w:spacing w:before="120" w:after="120" w:line="240" w:lineRule="auto"/>
        <w:jc w:val="both"/>
        <w:rPr>
          <w:noProof/>
        </w:rPr>
      </w:pPr>
      <w:r>
        <w:rPr>
          <w:noProof/>
        </w:rPr>
        <w:t>Stabilirea unui termen până la care CNMC trebuie să emită un raport privind autorizarea noilor proiecte în domeniul energiei din surse regenerabile;</w:t>
      </w:r>
    </w:p>
    <w:p w14:paraId="6B7B012F" w14:textId="77777777" w:rsidR="00011DE9" w:rsidRDefault="00011DE9">
      <w:pPr>
        <w:pStyle w:val="P68B1DB1-ListParagraph25"/>
        <w:numPr>
          <w:ilvl w:val="0"/>
          <w:numId w:val="198"/>
        </w:numPr>
        <w:spacing w:before="120" w:after="120" w:line="240" w:lineRule="auto"/>
        <w:jc w:val="both"/>
        <w:rPr>
          <w:noProof/>
        </w:rPr>
      </w:pPr>
      <w:r>
        <w:rPr>
          <w:noProof/>
        </w:rPr>
        <w:t>Eliminarea restricțiilor privind introducerea autoconsumului și simplificarea procedurilor lor de autorizare;</w:t>
      </w:r>
    </w:p>
    <w:p w14:paraId="68E949DA" w14:textId="77777777" w:rsidR="00011DE9" w:rsidRDefault="00011DE9">
      <w:pPr>
        <w:pStyle w:val="P68B1DB1-ListParagraph25"/>
        <w:numPr>
          <w:ilvl w:val="0"/>
          <w:numId w:val="198"/>
        </w:numPr>
        <w:spacing w:before="120" w:after="120" w:line="240" w:lineRule="auto"/>
        <w:jc w:val="both"/>
        <w:rPr>
          <w:noProof/>
        </w:rPr>
      </w:pPr>
      <w:r>
        <w:rPr>
          <w:noProof/>
        </w:rPr>
        <w:t>Îmbunătățirea alocării capacității rețelei.</w:t>
      </w:r>
    </w:p>
    <w:p w14:paraId="58C3320B" w14:textId="77777777" w:rsidR="00011DE9" w:rsidRDefault="00011DE9">
      <w:pPr>
        <w:pStyle w:val="P68B1DB1-Normal16"/>
        <w:spacing w:before="120" w:after="120" w:line="240" w:lineRule="auto"/>
        <w:jc w:val="both"/>
        <w:rPr>
          <w:noProof/>
        </w:rPr>
      </w:pPr>
      <w:r>
        <w:rPr>
          <w:noProof/>
        </w:rPr>
        <w:t>În ceea ce privește al doilea obiectiv, reforma implică înființarea unei noi unități administrative în cadrul administrației centrale pentru a sprijini prelucrarea cererilor de autorizare a proiectelor privind energia din surse regenerabile.</w:t>
      </w:r>
    </w:p>
    <w:p w14:paraId="5363C7E1" w14:textId="77777777" w:rsidR="00011DE9" w:rsidRDefault="00011DE9">
      <w:pPr>
        <w:pStyle w:val="P68B1DB1-Normal16"/>
        <w:spacing w:before="120" w:after="120" w:line="240" w:lineRule="auto"/>
        <w:jc w:val="both"/>
        <w:rPr>
          <w:rFonts w:cs="Times New Roman"/>
          <w:noProof/>
        </w:rPr>
      </w:pPr>
      <w:r>
        <w:rPr>
          <w:noProof/>
        </w:rPr>
        <w:t>Punerea în aplicare a măsurii se finalizează până la 30 septembrie 2023.</w:t>
      </w:r>
    </w:p>
    <w:p w14:paraId="35F7F48E" w14:textId="77777777" w:rsidR="00011DE9" w:rsidRDefault="00011DE9">
      <w:pPr>
        <w:pStyle w:val="P68B1DB1-Text162"/>
        <w:keepNext/>
        <w:keepLines/>
        <w:ind w:left="0"/>
        <w:rPr>
          <w:rFonts w:cs="Times New Roman"/>
          <w:noProof/>
        </w:rPr>
      </w:pPr>
      <w:r>
        <w:rPr>
          <w:noProof/>
        </w:rPr>
        <w:t>Investiția 1 (C31.I1) – Investiții care promovează autoconsumul (pe baza energiei din surse regenerabile și a stocării în spatele contorului)</w:t>
      </w:r>
    </w:p>
    <w:p w14:paraId="046DC20F" w14:textId="77777777" w:rsidR="00011DE9" w:rsidRDefault="00011DE9">
      <w:pPr>
        <w:pStyle w:val="P68B1DB1-Normal16"/>
        <w:keepNext/>
        <w:keepLines/>
        <w:spacing w:before="120" w:after="120" w:line="240" w:lineRule="auto"/>
        <w:jc w:val="both"/>
        <w:rPr>
          <w:rFonts w:cs="Times New Roman"/>
          <w:noProof/>
        </w:rPr>
      </w:pPr>
      <w:r>
        <w:rPr>
          <w:noProof/>
        </w:rPr>
        <w:t xml:space="preserve">Obiectivul acestei investiții este de a promova aplicațiile de autoconsum și stocarea în spatele contorului. Aceasta constă într-o extindere a măsurii C7.I1 (Dezvoltarea energiei din surse regenerabile și stocarea energiei). </w:t>
      </w:r>
    </w:p>
    <w:p w14:paraId="01BA5E18" w14:textId="77777777" w:rsidR="00011DE9" w:rsidRDefault="00011DE9">
      <w:pPr>
        <w:pStyle w:val="P68B1DB1-Text162"/>
        <w:ind w:left="0"/>
        <w:rPr>
          <w:rFonts w:cs="Times New Roman"/>
          <w:noProof/>
          <w:szCs w:val="24"/>
        </w:rPr>
      </w:pPr>
      <w:r>
        <w:rPr>
          <w:noProof/>
        </w:rPr>
        <w:t>Investiția 2 (C31.I2) – Schemă de sprijinire a producției și a utilizării hidrogenului din surse regenerabile</w:t>
      </w:r>
    </w:p>
    <w:p w14:paraId="65B86B60" w14:textId="77777777" w:rsidR="00011DE9" w:rsidRDefault="00011DE9">
      <w:pPr>
        <w:spacing w:before="120" w:after="120"/>
        <w:jc w:val="both"/>
        <w:rPr>
          <w:rFonts w:ascii="Times New Roman" w:hAnsi="Times New Roman" w:cs="Times New Roman"/>
          <w:noProof/>
        </w:rPr>
      </w:pPr>
      <w:r>
        <w:rPr>
          <w:rFonts w:ascii="Times New Roman" w:hAnsi="Times New Roman"/>
          <w:noProof/>
        </w:rPr>
        <w:t>Această măsură constă într-o investiție publică într-o schemă de sprijin care acoperă subvențiile și, eventual, capitalurile proprii, inclusiv capitalul de risc, pentru a sprijini producția și utilizarea hidrogenului din surse regenerabile. Schema funcționează prin furnizarea de stimulente financiare prin acordarea de granturi sau de investiții de capital, inclusiv de capital de risc, sectorului privat, precum și entităților din sectorul public implicate în activități similare. Schema este gestionată de „Instituto de Diversificación y Ahorro de la Energía” (IDAE) în calitate de partener de implementare</w:t>
      </w:r>
      <w:r>
        <w:rPr>
          <w:noProof/>
        </w:rPr>
        <w:t>.</w:t>
      </w:r>
    </w:p>
    <w:p w14:paraId="6EFC259B" w14:textId="77777777" w:rsidR="00011DE9" w:rsidRDefault="00011DE9">
      <w:pPr>
        <w:pStyle w:val="P68B1DB1-Normal16"/>
        <w:spacing w:before="120" w:after="120" w:line="240" w:lineRule="auto"/>
        <w:jc w:val="both"/>
        <w:rPr>
          <w:rFonts w:cs="Times New Roman"/>
          <w:noProof/>
        </w:rPr>
      </w:pPr>
      <w:r>
        <w:rPr>
          <w:noProof/>
        </w:rPr>
        <w:t>Pentru a pune în aplicare investiția în schemă, Spania adoptă unul sau mai multe instrumente juridice (în cazul investițiilor de capital, acest instrument ar fi o politică de investiții care urmează să fie aprobată de IDAE), instituind schema, care include următoarele elemente:</w:t>
      </w:r>
    </w:p>
    <w:p w14:paraId="5A3B9315" w14:textId="77777777" w:rsidR="00011DE9" w:rsidRDefault="00011DE9">
      <w:pPr>
        <w:pStyle w:val="P68B1DB1-ListParagraph25"/>
        <w:numPr>
          <w:ilvl w:val="0"/>
          <w:numId w:val="200"/>
        </w:numPr>
        <w:spacing w:before="120" w:after="120" w:line="240" w:lineRule="auto"/>
        <w:jc w:val="both"/>
        <w:rPr>
          <w:rFonts w:cs="Times New Roman"/>
          <w:noProof/>
        </w:rPr>
      </w:pPr>
      <w:r>
        <w:rPr>
          <w:noProof/>
        </w:rPr>
        <w:t>Lista activităților eligibile pentru sprijin, care trebuie să fie cel puțin una dintre următoarele:</w:t>
      </w:r>
    </w:p>
    <w:p w14:paraId="3A867C7F" w14:textId="77777777" w:rsidR="00011DE9" w:rsidRDefault="00011DE9">
      <w:pPr>
        <w:pStyle w:val="P68B1DB1-ListParagraph25"/>
        <w:numPr>
          <w:ilvl w:val="1"/>
          <w:numId w:val="200"/>
        </w:numPr>
        <w:spacing w:before="120" w:after="120" w:line="240" w:lineRule="auto"/>
        <w:jc w:val="both"/>
        <w:rPr>
          <w:rFonts w:cs="Times New Roman"/>
          <w:noProof/>
        </w:rPr>
      </w:pPr>
      <w:r>
        <w:rPr>
          <w:noProof/>
        </w:rPr>
        <w:t>Sprijinirea inovării în lanțul valoric și a bazei de cunoștințe pentru hidrogenul din surse regenerabile: această componentă poate include cercetarea și dezvoltarea, transferul de tehnologie și sistemele și componentele de producție și testare.</w:t>
      </w:r>
    </w:p>
    <w:p w14:paraId="5462F53E" w14:textId="77777777" w:rsidR="00011DE9" w:rsidRDefault="00011DE9">
      <w:pPr>
        <w:pStyle w:val="P68B1DB1-ListParagraph25"/>
        <w:numPr>
          <w:ilvl w:val="1"/>
          <w:numId w:val="200"/>
        </w:numPr>
        <w:spacing w:before="120" w:after="120" w:line="240" w:lineRule="auto"/>
        <w:jc w:val="both"/>
        <w:rPr>
          <w:rFonts w:cs="Times New Roman"/>
          <w:noProof/>
        </w:rPr>
      </w:pPr>
      <w:r>
        <w:rPr>
          <w:noProof/>
        </w:rPr>
        <w:t>Înființarea de clustere de hidrogen din surse regenerabile care să integreze producția, prelucrarea și consumul la scară largă.</w:t>
      </w:r>
    </w:p>
    <w:p w14:paraId="736734F2" w14:textId="77777777" w:rsidR="00011DE9" w:rsidRDefault="00011DE9">
      <w:pPr>
        <w:pStyle w:val="P68B1DB1-ListParagraph25"/>
        <w:numPr>
          <w:ilvl w:val="1"/>
          <w:numId w:val="200"/>
        </w:numPr>
        <w:spacing w:before="120" w:after="120" w:line="240" w:lineRule="auto"/>
        <w:jc w:val="both"/>
        <w:rPr>
          <w:rFonts w:cs="Times New Roman"/>
          <w:noProof/>
        </w:rPr>
      </w:pPr>
      <w:r>
        <w:rPr>
          <w:noProof/>
        </w:rPr>
        <w:t>Dezvoltarea de proiecte „de pionierat”, care ar permite introducerea hidrogenului din surse regenerabile la o scară mai mică în diferite sectoare, cum ar fi industria, producția de energie electrică, utilizările termice și transporturile.</w:t>
      </w:r>
    </w:p>
    <w:p w14:paraId="5967178E" w14:textId="77777777" w:rsidR="00011DE9" w:rsidRDefault="00011DE9">
      <w:pPr>
        <w:pStyle w:val="P68B1DB1-ListParagraph25"/>
        <w:numPr>
          <w:ilvl w:val="1"/>
          <w:numId w:val="200"/>
        </w:numPr>
        <w:spacing w:before="120" w:after="120" w:line="240" w:lineRule="auto"/>
        <w:jc w:val="both"/>
        <w:rPr>
          <w:rFonts w:cs="Times New Roman"/>
          <w:noProof/>
        </w:rPr>
      </w:pPr>
      <w:r>
        <w:rPr>
          <w:noProof/>
        </w:rPr>
        <w:t>Sprijinirea integrării sistemului spaniol de hidrogen din surse regenerabile în sistemul european, de exemplu prin sprijinirea întreprinderilor în proiecte europene, cum ar fi inițiativele PIIEC. Proiectele rezultate în cadrul acestor inițiative PIIEC se încadrează în cele trei activități menționate anterior eligibile pentru sprijin (lanț valoric, clustere, proiecte de pionierat).</w:t>
      </w:r>
    </w:p>
    <w:p w14:paraId="62FF954D" w14:textId="77777777" w:rsidR="00011DE9" w:rsidRDefault="00011DE9">
      <w:pPr>
        <w:pStyle w:val="P68B1DB1-ListParagraph65"/>
        <w:numPr>
          <w:ilvl w:val="1"/>
          <w:numId w:val="200"/>
        </w:numPr>
        <w:spacing w:line="259" w:lineRule="auto"/>
        <w:rPr>
          <w:noProof/>
        </w:rPr>
      </w:pPr>
      <w:r>
        <w:rPr>
          <w:noProof/>
        </w:rPr>
        <w:t>Sprijinirea proiectelor din Spania prin intermediul sistemului „licitații ca serviciu” al Băncii Europene pentru Hidrogen.</w:t>
      </w:r>
    </w:p>
    <w:p w14:paraId="020F8856" w14:textId="77777777" w:rsidR="00011DE9" w:rsidRDefault="00011DE9">
      <w:pPr>
        <w:pStyle w:val="ListParagraph"/>
        <w:spacing w:before="120" w:after="120" w:line="240" w:lineRule="auto"/>
        <w:ind w:left="1440"/>
        <w:jc w:val="both"/>
        <w:rPr>
          <w:rFonts w:ascii="Times New Roman" w:hAnsi="Times New Roman" w:cs="Times New Roman"/>
          <w:noProof/>
        </w:rPr>
      </w:pPr>
    </w:p>
    <w:p w14:paraId="28EE0B28" w14:textId="269EFC13" w:rsidR="00011DE9" w:rsidRDefault="00011DE9">
      <w:pPr>
        <w:pStyle w:val="P68B1DB1-ListParagraph25"/>
        <w:numPr>
          <w:ilvl w:val="0"/>
          <w:numId w:val="200"/>
        </w:numPr>
        <w:spacing w:before="120" w:after="120" w:line="240" w:lineRule="auto"/>
        <w:jc w:val="both"/>
        <w:rPr>
          <w:rFonts w:cs="Times New Roman"/>
          <w:noProof/>
        </w:rPr>
      </w:pPr>
      <w:r>
        <w:rPr>
          <w:noProof/>
        </w:rPr>
        <w:t xml:space="preserve">Descrierea procesului decizional al sistemului: Evaluarea cererilor și selectarea beneficiarilor care urmează să fie incluși în deciziile finale de atribuire sau în deciziile de investiții din cadrul schemei se iau de către un comitet de investiții sau de către un comitet de evaluare tehnică și se aprobă cu majoritatea voturilor membrilor independenți de guvern, ceea ce înseamnă că aceștia trebuie să fie membri ai personalului angajat de IDAE și/sau alți experți independenți. Deciziile finale de atribuire sau deciziile de investiții din cadrul schemei se limitează la aprobarea (fără modificări) sau la exercitarea unui drept de veto cu privire la o decizie de atribuire sau la o decizie de investiții propusă de comitetul de investiții sau de organul de conducere echivalent relevant. În cazul în care IDAE participă la oricare dintre cereri, iar bugetul pentru cererea respectivă este insuficient pentru a acoperi toate cererile primite, procesul de evaluare face obiectul unui audit extern, astfel cum se prevede în „Plan de Mitigación de Potenciales Conflictos de Interés en Sociedades Participadas” al IDAE. </w:t>
      </w:r>
    </w:p>
    <w:p w14:paraId="4F2ED50D" w14:textId="77777777" w:rsidR="00011DE9" w:rsidRDefault="00011DE9">
      <w:pPr>
        <w:pStyle w:val="ListParagraph"/>
        <w:spacing w:before="120" w:after="120" w:line="240" w:lineRule="auto"/>
        <w:jc w:val="both"/>
        <w:rPr>
          <w:rFonts w:ascii="Times New Roman" w:hAnsi="Times New Roman" w:cs="Times New Roman"/>
          <w:noProof/>
        </w:rPr>
      </w:pPr>
    </w:p>
    <w:p w14:paraId="52B02432" w14:textId="77777777" w:rsidR="00011DE9" w:rsidRDefault="00011DE9">
      <w:pPr>
        <w:pStyle w:val="P68B1DB1-ListParagraph25"/>
        <w:numPr>
          <w:ilvl w:val="0"/>
          <w:numId w:val="200"/>
        </w:numPr>
        <w:spacing w:before="120" w:after="120" w:line="240" w:lineRule="auto"/>
        <w:jc w:val="both"/>
        <w:rPr>
          <w:rFonts w:cs="Times New Roman"/>
          <w:noProof/>
          <w:sz w:val="28"/>
          <w:szCs w:val="28"/>
        </w:rPr>
      </w:pPr>
      <w:r>
        <w:rPr>
          <w:noProof/>
        </w:rPr>
        <w:t>Cerința de a respecta principiul de „a nu prejudicia în mod semnificativ” în cadrul Mecanismului de redresare și reziliență, astfel cum se prevede în Orientările tehnice privind principiul de „a nu prejudicia în mod semnificativ” (2021/C58/01). În cazul sprijinului general pentru întreprinderi (inclusiv capital propriu și capital de risc), instrumentul (instrumentele) juridic (e) exclude (exclud) întreprinderile care acordă o atenție deosebită</w:t>
      </w:r>
      <w:r>
        <w:rPr>
          <w:noProof/>
        </w:rPr>
        <w:footnoteReference w:id="146"/>
      </w:r>
      <w:r>
        <w:rPr>
          <w:noProof/>
        </w:rPr>
        <w:t xml:space="preserve"> următoarelor sectoare: (I) producția de energie pe bază de combustibili fosili și activitățile conexe</w:t>
      </w:r>
      <w:r>
        <w:rPr>
          <w:noProof/>
        </w:rPr>
        <w:footnoteReference w:id="147"/>
      </w:r>
      <w:r>
        <w:rPr>
          <w:noProof/>
        </w:rPr>
        <w:t>; (II) industriile mari consumatoare de energie și/sau cu emisii ridicate de CO2</w:t>
      </w:r>
      <w:r>
        <w:rPr>
          <w:noProof/>
        </w:rPr>
        <w:footnoteReference w:id="148"/>
      </w:r>
      <w:r>
        <w:rPr>
          <w:noProof/>
        </w:rPr>
        <w:t>; (III) producția, închirierea sau vânzarea de vehicule poluante</w:t>
      </w:r>
      <w:r>
        <w:rPr>
          <w:noProof/>
        </w:rPr>
        <w:footnoteReference w:id="149"/>
      </w:r>
      <w:r>
        <w:rPr>
          <w:noProof/>
        </w:rPr>
        <w:t>; (IV) colectarea deșeurilor, tratarea și eliminarea deșeurilor</w:t>
      </w:r>
      <w:r>
        <w:rPr>
          <w:noProof/>
        </w:rPr>
        <w:footnoteReference w:id="150"/>
      </w:r>
      <w:r>
        <w:rPr>
          <w:noProof/>
        </w:rPr>
        <w:t>, (v) prelucrarea combustibilului nuclear, producția de energie nucleară. În plus, instrumentul (instrumentele) juridic (e) impune (impun) respectarea legislației UE și naționale relevante în materie de mediu de către beneficiarii finali ai sistemelor de subvenții.</w:t>
      </w:r>
    </w:p>
    <w:p w14:paraId="4A696F26" w14:textId="77777777" w:rsidR="00011DE9" w:rsidRDefault="00011DE9">
      <w:pPr>
        <w:pStyle w:val="ListParagraph"/>
        <w:rPr>
          <w:rFonts w:ascii="Times New Roman" w:hAnsi="Times New Roman" w:cs="Times New Roman"/>
          <w:noProof/>
        </w:rPr>
      </w:pPr>
    </w:p>
    <w:p w14:paraId="49D9EE9A" w14:textId="77777777" w:rsidR="00011DE9" w:rsidRDefault="00011DE9">
      <w:pPr>
        <w:pStyle w:val="P68B1DB1-ListParagraph25"/>
        <w:numPr>
          <w:ilvl w:val="0"/>
          <w:numId w:val="200"/>
        </w:numPr>
        <w:spacing w:line="259" w:lineRule="auto"/>
        <w:rPr>
          <w:rFonts w:cs="Times New Roman"/>
          <w:noProof/>
        </w:rPr>
      </w:pPr>
      <w:r>
        <w:rPr>
          <w:noProof/>
        </w:rPr>
        <w:t>Cerința ca beneficiarii finali ai mecanismului să nu primească sprijin din partea altor instrumente ale Uniunii pentru a acoperi aceleași costuri.</w:t>
      </w:r>
    </w:p>
    <w:p w14:paraId="48A37611" w14:textId="77777777" w:rsidR="00011DE9" w:rsidRDefault="00011DE9">
      <w:pPr>
        <w:pStyle w:val="ListParagraph"/>
        <w:rPr>
          <w:rFonts w:ascii="Times New Roman" w:hAnsi="Times New Roman" w:cs="Times New Roman"/>
          <w:noProof/>
        </w:rPr>
      </w:pPr>
    </w:p>
    <w:p w14:paraId="41F54823" w14:textId="77777777" w:rsidR="00011DE9" w:rsidRDefault="00011DE9">
      <w:pPr>
        <w:pStyle w:val="P68B1DB1-ListParagraph25"/>
        <w:numPr>
          <w:ilvl w:val="0"/>
          <w:numId w:val="200"/>
        </w:numPr>
        <w:spacing w:line="259" w:lineRule="auto"/>
        <w:jc w:val="both"/>
        <w:rPr>
          <w:rFonts w:cs="Times New Roman"/>
          <w:noProof/>
        </w:rPr>
      </w:pPr>
      <w:r>
        <w:rPr>
          <w:noProof/>
        </w:rPr>
        <w:t>Suma acoperită de schemă și cerința de a reinvesti orice venituri neutilizate din schemă în activitățile enumerate mai sus, inclusiv după 2026.</w:t>
      </w:r>
    </w:p>
    <w:p w14:paraId="79DD3802" w14:textId="77777777" w:rsidR="00011DE9" w:rsidRDefault="00011DE9">
      <w:pPr>
        <w:pStyle w:val="ListParagraph"/>
        <w:rPr>
          <w:rFonts w:ascii="Times New Roman" w:hAnsi="Times New Roman" w:cs="Times New Roman"/>
          <w:noProof/>
        </w:rPr>
      </w:pPr>
    </w:p>
    <w:p w14:paraId="36BAA800" w14:textId="77777777" w:rsidR="00011DE9" w:rsidRDefault="00011DE9">
      <w:pPr>
        <w:pStyle w:val="ListParagraph"/>
        <w:numPr>
          <w:ilvl w:val="0"/>
          <w:numId w:val="200"/>
        </w:numPr>
        <w:spacing w:line="259" w:lineRule="auto"/>
        <w:jc w:val="both"/>
        <w:rPr>
          <w:rFonts w:ascii="Times New Roman" w:hAnsi="Times New Roman" w:cs="Times New Roman"/>
          <w:noProof/>
        </w:rPr>
      </w:pPr>
      <w:r>
        <w:rPr>
          <w:rFonts w:ascii="Times New Roman" w:hAnsi="Times New Roman"/>
          <w:noProof/>
        </w:rPr>
        <w:t>Cerințe de raportare pentru investițiile în domeniul climei pentru schema de subvenții</w:t>
      </w:r>
      <w:r>
        <w:rPr>
          <w:rStyle w:val="FootnoteReference"/>
          <w:rFonts w:ascii="Times New Roman" w:hAnsi="Times New Roman" w:cs="Times New Roman"/>
          <w:noProof/>
        </w:rPr>
        <w:footnoteReference w:id="151"/>
      </w:r>
      <w:r>
        <w:rPr>
          <w:rFonts w:ascii="Times New Roman" w:hAnsi="Times New Roman"/>
          <w:noProof/>
        </w:rPr>
        <w:t>.</w:t>
      </w:r>
    </w:p>
    <w:p w14:paraId="31CBEAD5" w14:textId="77777777" w:rsidR="00011DE9" w:rsidRDefault="00011DE9">
      <w:pPr>
        <w:pStyle w:val="ListParagraph"/>
        <w:rPr>
          <w:rFonts w:ascii="Times New Roman" w:hAnsi="Times New Roman" w:cs="Times New Roman"/>
          <w:noProof/>
        </w:rPr>
      </w:pPr>
    </w:p>
    <w:p w14:paraId="76FCB741" w14:textId="77777777" w:rsidR="00011DE9" w:rsidRDefault="00011DE9">
      <w:pPr>
        <w:pStyle w:val="P68B1DB1-ListParagraph25"/>
        <w:numPr>
          <w:ilvl w:val="0"/>
          <w:numId w:val="200"/>
        </w:numPr>
        <w:spacing w:before="120" w:after="120" w:line="240" w:lineRule="auto"/>
        <w:jc w:val="both"/>
        <w:rPr>
          <w:rFonts w:cs="Times New Roman"/>
          <w:noProof/>
        </w:rPr>
      </w:pPr>
      <w:r>
        <w:rPr>
          <w:noProof/>
        </w:rPr>
        <w:t>Pentru investițiile de capital, inclusiv capitalul de risc, cerințele-cheie ale politicii de investiții în ceea ce privește posibila acordare de fonduri pentru investiții de capital, inclusiv capitalul de risc, includ:</w:t>
      </w:r>
    </w:p>
    <w:p w14:paraId="580F3C90" w14:textId="77777777" w:rsidR="00011DE9" w:rsidRDefault="00011DE9">
      <w:pPr>
        <w:pStyle w:val="P68B1DB1-ListParagraph25"/>
        <w:numPr>
          <w:ilvl w:val="0"/>
          <w:numId w:val="203"/>
        </w:numPr>
        <w:spacing w:before="120" w:after="120" w:line="240" w:lineRule="auto"/>
        <w:jc w:val="both"/>
        <w:rPr>
          <w:rFonts w:cs="Times New Roman"/>
          <w:noProof/>
        </w:rPr>
      </w:pPr>
      <w:r>
        <w:rPr>
          <w:noProof/>
        </w:rPr>
        <w:t>Descrierea liniilor de produse financiare și a beneficiarilor finali eligibili</w:t>
      </w:r>
    </w:p>
    <w:p w14:paraId="5B933534" w14:textId="77777777" w:rsidR="00011DE9" w:rsidRDefault="00011DE9">
      <w:pPr>
        <w:pStyle w:val="P68B1DB1-ListParagraph25"/>
        <w:numPr>
          <w:ilvl w:val="0"/>
          <w:numId w:val="203"/>
        </w:numPr>
        <w:spacing w:before="120" w:after="120" w:line="240" w:lineRule="auto"/>
        <w:jc w:val="both"/>
        <w:rPr>
          <w:rFonts w:cs="Times New Roman"/>
          <w:noProof/>
        </w:rPr>
      </w:pPr>
      <w:r>
        <w:rPr>
          <w:noProof/>
        </w:rPr>
        <w:t>Cerința ca toate investițiile care beneficiază de sprijin să fie viabile din punct de vedere economic.</w:t>
      </w:r>
    </w:p>
    <w:p w14:paraId="396D0460" w14:textId="77777777" w:rsidR="00011DE9" w:rsidRDefault="00011DE9">
      <w:pPr>
        <w:pStyle w:val="ListParagraph"/>
        <w:rPr>
          <w:rFonts w:ascii="Times New Roman" w:hAnsi="Times New Roman" w:cs="Times New Roman"/>
          <w:noProof/>
        </w:rPr>
      </w:pPr>
    </w:p>
    <w:p w14:paraId="264DB3B7" w14:textId="77777777" w:rsidR="00011DE9" w:rsidRDefault="00011DE9">
      <w:pPr>
        <w:pStyle w:val="P68B1DB1-ListParagraph25"/>
        <w:numPr>
          <w:ilvl w:val="0"/>
          <w:numId w:val="200"/>
        </w:numPr>
        <w:spacing w:before="120" w:after="120" w:line="240" w:lineRule="auto"/>
        <w:jc w:val="both"/>
        <w:rPr>
          <w:rFonts w:cs="Times New Roman"/>
          <w:noProof/>
        </w:rPr>
      </w:pPr>
      <w:r>
        <w:rPr>
          <w:noProof/>
        </w:rPr>
        <w:t>Pentru investițiile de capital, inclusiv capitalul de risc, următoarele cerințe de monitorizare, audit și control:</w:t>
      </w:r>
    </w:p>
    <w:p w14:paraId="0DF428FC" w14:textId="77777777" w:rsidR="00011DE9" w:rsidRDefault="00011DE9">
      <w:pPr>
        <w:pStyle w:val="P68B1DB1-ListParagraph25"/>
        <w:numPr>
          <w:ilvl w:val="0"/>
          <w:numId w:val="201"/>
        </w:numPr>
        <w:spacing w:line="259" w:lineRule="auto"/>
        <w:rPr>
          <w:rFonts w:cs="Times New Roman"/>
          <w:noProof/>
        </w:rPr>
      </w:pPr>
      <w:r>
        <w:rPr>
          <w:noProof/>
        </w:rPr>
        <w:t>Descrierea sistemului de monitorizare al IDAE pentru raportarea cu privire la investițiile mobilizate.</w:t>
      </w:r>
    </w:p>
    <w:p w14:paraId="6AD4F32F" w14:textId="77777777" w:rsidR="00011DE9" w:rsidRDefault="00011DE9">
      <w:pPr>
        <w:pStyle w:val="P68B1DB1-ListParagraph25"/>
        <w:numPr>
          <w:ilvl w:val="0"/>
          <w:numId w:val="201"/>
        </w:numPr>
        <w:spacing w:before="120" w:after="120" w:line="240" w:lineRule="auto"/>
        <w:jc w:val="both"/>
        <w:rPr>
          <w:rFonts w:cs="Times New Roman"/>
          <w:noProof/>
        </w:rPr>
      </w:pPr>
      <w:r>
        <w:rPr>
          <w:noProof/>
        </w:rPr>
        <w:t xml:space="preserve">Descrierea procedurilor IDAE care vor asigura prevenirea, detectarea și corectarea fraudei, a corupției și a conflictelor de interese. </w:t>
      </w:r>
    </w:p>
    <w:p w14:paraId="06822F4A" w14:textId="77777777" w:rsidR="00011DE9" w:rsidRDefault="00011DE9">
      <w:pPr>
        <w:pStyle w:val="P68B1DB1-ListParagraph25"/>
        <w:numPr>
          <w:ilvl w:val="0"/>
          <w:numId w:val="201"/>
        </w:numPr>
        <w:spacing w:before="120" w:after="120" w:line="240" w:lineRule="auto"/>
        <w:jc w:val="both"/>
        <w:rPr>
          <w:rFonts w:cs="Times New Roman"/>
          <w:noProof/>
        </w:rPr>
      </w:pPr>
      <w:r>
        <w:rPr>
          <w:noProof/>
        </w:rPr>
        <w:t>Obligația de a verifica eligibilitatea fiecărei operațiuni în conformitate cu cerințele prevăzute în actul juridic relevant de instituire a schemei înainte de a se angaja să finanțeze o operațiune.</w:t>
      </w:r>
    </w:p>
    <w:p w14:paraId="4B5CDBDC" w14:textId="77777777" w:rsidR="00011DE9" w:rsidRDefault="00011DE9">
      <w:pPr>
        <w:pStyle w:val="P68B1DB1-ListParagraph25"/>
        <w:numPr>
          <w:ilvl w:val="0"/>
          <w:numId w:val="201"/>
        </w:numPr>
        <w:spacing w:before="120" w:after="120" w:line="240" w:lineRule="auto"/>
        <w:jc w:val="both"/>
        <w:rPr>
          <w:rFonts w:cs="Times New Roman"/>
          <w:noProof/>
        </w:rPr>
      </w:pPr>
      <w:r>
        <w:rPr>
          <w:noProof/>
        </w:rPr>
        <w:t xml:space="preserve">Obligația de a efectua audituri ex post bazate pe riscuri, în conformitate cu un plan de audit al IDAE. Aceste audituri verifică i) dacă sistemele de control sunt eficace, inclusiv detectarea fraudei, a corupției și a conflictelor de interese; respectarea principiului DNSH, a normelor privind ajutoarele de stat, a cerințelor privind țintele climatice și digitale; și iii) respectarea cerinței ca IDAE să verifice dacă beneficiarul final prezintă o declarație responsabilă pentru a controla dacă același cost este acoperit de un alt instrument al Uniunii. Auditurile verifică, de asemenea, legalitatea tranzacțiilor și respectarea condițiilor instrumentului (instrumentelor) juridic (e) aplicabil (e) de instituire a sistemului. </w:t>
      </w:r>
    </w:p>
    <w:p w14:paraId="446B66AE" w14:textId="77777777" w:rsidR="00011DE9" w:rsidRDefault="00011DE9">
      <w:pPr>
        <w:pStyle w:val="P68B1DB1-Text162"/>
        <w:ind w:left="0"/>
        <w:rPr>
          <w:rFonts w:cs="Times New Roman"/>
          <w:noProof/>
          <w:szCs w:val="24"/>
        </w:rPr>
      </w:pPr>
      <w:r>
        <w:rPr>
          <w:noProof/>
        </w:rPr>
        <w:t>Investiția 3 (C31.I3) – Schemă de subvenții pentru sprijinirea decarbonizării sectorului industrial și a lanțului valoric al surselor regenerabile de energie și al stocării</w:t>
      </w:r>
    </w:p>
    <w:p w14:paraId="674F004B" w14:textId="77777777" w:rsidR="00011DE9" w:rsidRDefault="00011DE9">
      <w:pPr>
        <w:pStyle w:val="P68B1DB1-Normal16"/>
        <w:spacing w:before="120" w:after="120" w:line="240" w:lineRule="auto"/>
        <w:jc w:val="both"/>
        <w:rPr>
          <w:rFonts w:cs="Times New Roman"/>
          <w:noProof/>
        </w:rPr>
      </w:pPr>
      <w:r>
        <w:rPr>
          <w:noProof/>
        </w:rPr>
        <w:t>Această măsură constă într-o investiție publică într-o schemă de sprijin care acoperă subvențiile și, eventual, capitalurile proprii, inclusiv capitalul de risc, pentru a sprijini</w:t>
      </w:r>
      <w:r>
        <w:rPr>
          <w:noProof/>
          <w:sz w:val="22"/>
          <w:szCs w:val="22"/>
        </w:rPr>
        <w:t xml:space="preserve"> </w:t>
      </w:r>
      <w:r>
        <w:rPr>
          <w:noProof/>
        </w:rPr>
        <w:t xml:space="preserve">decarbonizarea sectorului industrial și a lanțului valoric al energiei din surse regenerabile și al stocării. Schema funcționează prin furnizarea de stimulente financiare prin acordarea de granturi sau de investiții de capital, inclusiv de capital de risc, sectorului privat, precum și entităților din sectorul public implicate în activități similare. Schema este gestionată de „Instituto de Diversificación y Ahorro de la Energía” (IDAE) în calitate de partener de implementare. </w:t>
      </w:r>
    </w:p>
    <w:p w14:paraId="5CCB2A57" w14:textId="77777777" w:rsidR="00011DE9" w:rsidRDefault="00011DE9">
      <w:pPr>
        <w:pStyle w:val="P68B1DB1-Normal16"/>
        <w:spacing w:before="120" w:after="120" w:line="240" w:lineRule="auto"/>
        <w:jc w:val="both"/>
        <w:rPr>
          <w:rFonts w:cs="Times New Roman"/>
          <w:noProof/>
        </w:rPr>
      </w:pPr>
      <w:r>
        <w:rPr>
          <w:noProof/>
        </w:rPr>
        <w:t>Pentru a pune în aplicare investiția, guvernul adoptă unul sau mai multe instrumente juridice (în cazul investițiilor de capital, acest instrument ar fi o politică de investiții care urmează să fie aprobată de IDAE) de instituire a schemei, care includ următoarele elemente:</w:t>
      </w:r>
    </w:p>
    <w:p w14:paraId="7924376D" w14:textId="77777777" w:rsidR="00011DE9" w:rsidRDefault="00011DE9">
      <w:pPr>
        <w:pStyle w:val="P68B1DB1-ListParagraph25"/>
        <w:numPr>
          <w:ilvl w:val="0"/>
          <w:numId w:val="202"/>
        </w:numPr>
        <w:spacing w:before="120" w:after="120" w:line="240" w:lineRule="auto"/>
        <w:jc w:val="both"/>
        <w:rPr>
          <w:rFonts w:cs="Times New Roman"/>
          <w:noProof/>
        </w:rPr>
      </w:pPr>
      <w:r>
        <w:rPr>
          <w:noProof/>
        </w:rPr>
        <w:t>Lista activităților eligibile pentru sprijin, care trebuie să fie cel puțin una dintre următoarele: decarbonizarea sectorului industrial, proiectarea, fabricarea, stocarea, reciclarea sau cercetarea &amp; dezvoltarea de tehnologii și componente relevante pentru tranziția către o economie cu emisii nete zero și adaptarea infrastructurii, cum ar fi porturile. Printre exemplele de astfel de tehnologii sau componente se numără bateriile, panourile solare, turbinele eoliene și pompele de căldură. Recuperarea materiilor prime necesare pentru fabricarea acestor tehnologii poate fi, de asemenea, sprijinită.</w:t>
      </w:r>
    </w:p>
    <w:p w14:paraId="7D6F390B" w14:textId="77777777" w:rsidR="00011DE9" w:rsidRDefault="00011DE9">
      <w:pPr>
        <w:pStyle w:val="ListParagraph"/>
        <w:spacing w:before="120" w:after="120" w:line="240" w:lineRule="auto"/>
        <w:jc w:val="both"/>
        <w:rPr>
          <w:rFonts w:ascii="Times New Roman" w:hAnsi="Times New Roman" w:cs="Times New Roman"/>
          <w:noProof/>
        </w:rPr>
      </w:pPr>
    </w:p>
    <w:p w14:paraId="2EEC634B" w14:textId="09549874" w:rsidR="00011DE9" w:rsidRDefault="00011DE9">
      <w:pPr>
        <w:pStyle w:val="P68B1DB1-ListParagraph25"/>
        <w:numPr>
          <w:ilvl w:val="0"/>
          <w:numId w:val="202"/>
        </w:numPr>
        <w:spacing w:before="120" w:after="120" w:line="240" w:lineRule="auto"/>
        <w:jc w:val="both"/>
        <w:rPr>
          <w:rFonts w:cs="Times New Roman"/>
          <w:noProof/>
        </w:rPr>
      </w:pPr>
      <w:r>
        <w:rPr>
          <w:noProof/>
        </w:rPr>
        <w:t>Descrierea procesului decizional al sistemului: Evaluarea cererilor și selectarea beneficiarilor care urmează să fie incluși în deciziile finale de atribuire sau în deciziile de investiții din cadrul schemei se iau de către un comitet de investiții sau de către un comitet de evaluare tehnică și se aprobă cu majoritatea voturilor membrilor independenți de guvern, ceea ce înseamnă că aceștia trebuie să fie membri ai personalului angajat de IDAE și/sau alți experți independenți. Deciziile finale de atribuire sau deciziile de investiții din cadrul schemei de subvenții se limitează la aprobarea (fără modificări) sau exercitarea unui drept de veto cu privire la o decizie de atribuire sau la o decizie de investiții propusă de comitetul pentru investiții sau de organul de conducere echivalent relevant. În cazul în care IDAE participă la oricare dintre cereri, iar bugetul pentru cererea respectivă este insuficient pentru a acoperi toate cererile primite, procesul de evaluare face obiectul unui audit extern, astfel cum se prevede în „Plan de Mitigación de Potenciales Conflictos de Interés en Sociedades Participadas” al IDAE.</w:t>
      </w:r>
    </w:p>
    <w:p w14:paraId="3DA9F74F" w14:textId="77777777" w:rsidR="00011DE9" w:rsidRDefault="00011DE9">
      <w:pPr>
        <w:pStyle w:val="ListParagraph"/>
        <w:spacing w:before="120" w:after="120" w:line="240" w:lineRule="auto"/>
        <w:jc w:val="both"/>
        <w:rPr>
          <w:rFonts w:ascii="Times New Roman" w:hAnsi="Times New Roman" w:cs="Times New Roman"/>
          <w:noProof/>
        </w:rPr>
      </w:pPr>
    </w:p>
    <w:p w14:paraId="3C815AFB" w14:textId="77777777" w:rsidR="00011DE9" w:rsidRDefault="00011DE9">
      <w:pPr>
        <w:pStyle w:val="ListParagraph"/>
        <w:numPr>
          <w:ilvl w:val="0"/>
          <w:numId w:val="204"/>
        </w:numPr>
        <w:spacing w:before="120" w:after="120" w:line="240" w:lineRule="auto"/>
        <w:jc w:val="both"/>
        <w:rPr>
          <w:rFonts w:ascii="Times New Roman" w:hAnsi="Times New Roman" w:cs="Times New Roman"/>
          <w:noProof/>
        </w:rPr>
      </w:pPr>
      <w:r>
        <w:rPr>
          <w:rFonts w:ascii="Times New Roman" w:hAnsi="Times New Roman"/>
          <w:noProof/>
        </w:rPr>
        <w:t>Cerința de a respecta principiul de „a nu prejudicia în mod semnificativ” în cadrul Mecanismului de redresare și reziliență, astfel cum se prevede în Orientările tehnice privind principiul de „a nu prejudicia în mod semnificativ” (2021/C58/01). În special, instrumentul (instrumentele) juridic (e) exclude (exclud) următoarea listă de activități: (I) activități legate de combustibilii fosili, inclusiv utilizarea în aval</w:t>
      </w:r>
      <w:r>
        <w:rPr>
          <w:rStyle w:val="FootnoteReference"/>
          <w:rFonts w:ascii="Times New Roman" w:hAnsi="Times New Roman" w:cs="Times New Roman"/>
          <w:noProof/>
        </w:rPr>
        <w:footnoteReference w:id="152"/>
      </w:r>
      <w:r>
        <w:rPr>
          <w:rFonts w:ascii="Times New Roman" w:hAnsi="Times New Roman"/>
          <w:noProof/>
        </w:rPr>
        <w:t>; (II) activitățile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153"/>
      </w:r>
      <w:r>
        <w:rPr>
          <w:rFonts w:ascii="Times New Roman" w:hAnsi="Times New Roman"/>
          <w:noProof/>
        </w:rPr>
        <w:t>; și (iii) activități legate de depozitele de deșeuri, incineratoare</w:t>
      </w:r>
      <w:r>
        <w:rPr>
          <w:rStyle w:val="FootnoteReference"/>
          <w:rFonts w:ascii="Times New Roman" w:hAnsi="Times New Roman" w:cs="Times New Roman"/>
          <w:noProof/>
        </w:rPr>
        <w:footnoteReference w:id="154"/>
      </w:r>
      <w:r>
        <w:rPr>
          <w:rFonts w:ascii="Times New Roman" w:hAnsi="Times New Roman"/>
          <w:noProof/>
        </w:rPr>
        <w:t xml:space="preserve"> și stații de tratare mecano-biologică</w:t>
      </w:r>
      <w:r>
        <w:rPr>
          <w:rStyle w:val="FootnoteReference"/>
          <w:rFonts w:ascii="Times New Roman" w:hAnsi="Times New Roman" w:cs="Times New Roman"/>
          <w:noProof/>
        </w:rPr>
        <w:footnoteReference w:id="155"/>
      </w:r>
      <w:r>
        <w:rPr>
          <w:rFonts w:ascii="Times New Roman" w:hAnsi="Times New Roman"/>
          <w:noProof/>
        </w:rPr>
        <w:t>. În cazul sprijinului general pentru întreprinderi (inclusiv capital propriu și capital de risc), instrumentul (instrumentele) juridic (e) exclude (exclud) întreprinderile care acordă o atenție deosebită</w:t>
      </w:r>
      <w:r>
        <w:rPr>
          <w:rFonts w:ascii="Times New Roman" w:hAnsi="Times New Roman"/>
          <w:noProof/>
        </w:rPr>
        <w:footnoteReference w:id="156"/>
      </w:r>
      <w:r>
        <w:rPr>
          <w:rFonts w:ascii="Times New Roman" w:hAnsi="Times New Roman"/>
          <w:noProof/>
        </w:rPr>
        <w:t xml:space="preserve"> următoarelor sectoare: (I) producția de energie pe bază de combustibili fosili și activitățile conexe</w:t>
      </w:r>
      <w:r>
        <w:rPr>
          <w:rFonts w:ascii="Times New Roman" w:hAnsi="Times New Roman"/>
          <w:noProof/>
        </w:rPr>
        <w:footnoteReference w:id="157"/>
      </w:r>
      <w:r>
        <w:rPr>
          <w:rFonts w:ascii="Times New Roman" w:hAnsi="Times New Roman"/>
          <w:noProof/>
        </w:rPr>
        <w:t>; (II) industriile mari consumatoare de energie și/sau cu emisii ridicate de CO2</w:t>
      </w:r>
      <w:r>
        <w:rPr>
          <w:rFonts w:ascii="Times New Roman" w:hAnsi="Times New Roman"/>
          <w:noProof/>
        </w:rPr>
        <w:footnoteReference w:id="158"/>
      </w:r>
      <w:r>
        <w:rPr>
          <w:rFonts w:ascii="Times New Roman" w:hAnsi="Times New Roman"/>
          <w:noProof/>
        </w:rPr>
        <w:t>; (III) producția, închirierea sau vânzarea de vehicule poluante</w:t>
      </w:r>
      <w:r>
        <w:rPr>
          <w:rFonts w:ascii="Times New Roman" w:hAnsi="Times New Roman"/>
          <w:noProof/>
        </w:rPr>
        <w:footnoteReference w:id="159"/>
      </w:r>
      <w:r>
        <w:rPr>
          <w:rFonts w:ascii="Times New Roman" w:hAnsi="Times New Roman"/>
          <w:noProof/>
        </w:rPr>
        <w:t>; (IV) colectarea deșeurilor, tratarea și eliminarea deșeurilor</w:t>
      </w:r>
      <w:r>
        <w:rPr>
          <w:rFonts w:ascii="Times New Roman" w:hAnsi="Times New Roman"/>
          <w:noProof/>
        </w:rPr>
        <w:footnoteReference w:id="160"/>
      </w:r>
      <w:r>
        <w:rPr>
          <w:rFonts w:ascii="Times New Roman" w:hAnsi="Times New Roman"/>
          <w:noProof/>
        </w:rPr>
        <w:t>, (v) prelucrarea combustibilului nuclear, producția de energie nucleară. În plus, instrumentul (instrumentele) juridic (e) impune (impun) respectarea legislației UE și naționale relevante în materie de mediu de către beneficiarii finali ai sistemelor de subvenții.</w:t>
      </w:r>
    </w:p>
    <w:p w14:paraId="498C1B63" w14:textId="77777777" w:rsidR="00011DE9" w:rsidRDefault="00011DE9">
      <w:pPr>
        <w:pStyle w:val="ListParagraph"/>
        <w:spacing w:before="120" w:after="120" w:line="240" w:lineRule="auto"/>
        <w:jc w:val="both"/>
        <w:rPr>
          <w:rFonts w:ascii="Times New Roman" w:hAnsi="Times New Roman" w:cs="Times New Roman"/>
          <w:noProof/>
        </w:rPr>
      </w:pPr>
    </w:p>
    <w:p w14:paraId="1F037464" w14:textId="77777777" w:rsidR="00011DE9" w:rsidRDefault="00011DE9">
      <w:pPr>
        <w:pStyle w:val="ListParagraph"/>
        <w:numPr>
          <w:ilvl w:val="0"/>
          <w:numId w:val="204"/>
        </w:numPr>
        <w:spacing w:before="120" w:after="120" w:line="240" w:lineRule="auto"/>
        <w:jc w:val="both"/>
        <w:rPr>
          <w:rFonts w:ascii="Times New Roman" w:hAnsi="Times New Roman" w:cs="Times New Roman"/>
          <w:noProof/>
        </w:rPr>
      </w:pPr>
      <w:r>
        <w:rPr>
          <w:rFonts w:ascii="Times New Roman" w:hAnsi="Times New Roman"/>
          <w:noProof/>
        </w:rPr>
        <w:t>Cerințe privind investițiile în domeniul climei pentru schema de subvenții: cel puțin 902 000 000 EUR din investițiile în schema de subvenții contribuie la obiectivul privind schimbările climatice în conformitate cu anexa VI la Regulamentul privind MRR.</w:t>
      </w:r>
      <w:r>
        <w:rPr>
          <w:rStyle w:val="FootnoteReference"/>
          <w:rFonts w:ascii="Times New Roman" w:hAnsi="Times New Roman" w:cs="Times New Roman"/>
          <w:noProof/>
        </w:rPr>
        <w:footnoteReference w:id="161"/>
      </w:r>
      <w:r>
        <w:rPr>
          <w:rFonts w:ascii="Times New Roman" w:hAnsi="Times New Roman"/>
          <w:noProof/>
        </w:rPr>
        <w:t xml:space="preserve"> </w:t>
      </w:r>
    </w:p>
    <w:p w14:paraId="6294E87B" w14:textId="77777777" w:rsidR="00011DE9" w:rsidRDefault="00011DE9">
      <w:pPr>
        <w:pStyle w:val="ListParagraph"/>
        <w:spacing w:before="120" w:after="120" w:line="240" w:lineRule="auto"/>
        <w:jc w:val="both"/>
        <w:rPr>
          <w:rFonts w:ascii="Times New Roman" w:hAnsi="Times New Roman" w:cs="Times New Roman"/>
          <w:noProof/>
        </w:rPr>
      </w:pPr>
    </w:p>
    <w:p w14:paraId="05A7B3D1" w14:textId="77777777" w:rsidR="00011DE9" w:rsidRDefault="00011DE9">
      <w:pPr>
        <w:pStyle w:val="P68B1DB1-ListParagraph25"/>
        <w:numPr>
          <w:ilvl w:val="0"/>
          <w:numId w:val="204"/>
        </w:numPr>
        <w:spacing w:before="120" w:after="120" w:line="240" w:lineRule="auto"/>
        <w:jc w:val="both"/>
        <w:rPr>
          <w:rFonts w:cs="Times New Roman"/>
          <w:noProof/>
        </w:rPr>
      </w:pPr>
      <w:r>
        <w:rPr>
          <w:noProof/>
        </w:rPr>
        <w:t>Cerința ca beneficiarii finali ai mecanismului să nu primească sprijin din partea altor instrumente ale Uniunii pentru a acoperi aceleași costuri.</w:t>
      </w:r>
    </w:p>
    <w:p w14:paraId="0DAA1971" w14:textId="77777777" w:rsidR="00011DE9" w:rsidRDefault="00011DE9">
      <w:pPr>
        <w:pStyle w:val="ListParagraph"/>
        <w:rPr>
          <w:rFonts w:ascii="Times New Roman" w:hAnsi="Times New Roman" w:cs="Times New Roman"/>
          <w:noProof/>
        </w:rPr>
      </w:pPr>
    </w:p>
    <w:p w14:paraId="519EC696" w14:textId="77777777" w:rsidR="00011DE9" w:rsidRDefault="00011DE9">
      <w:pPr>
        <w:pStyle w:val="P68B1DB1-ListParagraph25"/>
        <w:numPr>
          <w:ilvl w:val="0"/>
          <w:numId w:val="204"/>
        </w:numPr>
        <w:spacing w:line="259" w:lineRule="auto"/>
        <w:jc w:val="both"/>
        <w:rPr>
          <w:rFonts w:cs="Times New Roman"/>
          <w:noProof/>
        </w:rPr>
      </w:pPr>
      <w:r>
        <w:rPr>
          <w:noProof/>
        </w:rPr>
        <w:t>Suma acoperită de schemă și cerința de a reinvesti orice venituri neutilizate din schemă în activitățile enumerate mai sus, inclusiv după 2026.</w:t>
      </w:r>
    </w:p>
    <w:p w14:paraId="53354DB8" w14:textId="77777777" w:rsidR="00011DE9" w:rsidRDefault="00011DE9">
      <w:pPr>
        <w:pStyle w:val="ListParagraph"/>
        <w:spacing w:before="120" w:after="120" w:line="240" w:lineRule="auto"/>
        <w:jc w:val="both"/>
        <w:rPr>
          <w:rFonts w:ascii="Times New Roman" w:hAnsi="Times New Roman" w:cs="Times New Roman"/>
          <w:noProof/>
        </w:rPr>
      </w:pPr>
    </w:p>
    <w:p w14:paraId="3EF374E5" w14:textId="77777777" w:rsidR="00011DE9" w:rsidRDefault="00011DE9">
      <w:pPr>
        <w:pStyle w:val="P68B1DB1-ListParagraph25"/>
        <w:numPr>
          <w:ilvl w:val="0"/>
          <w:numId w:val="204"/>
        </w:numPr>
        <w:spacing w:before="120" w:after="120" w:line="240" w:lineRule="auto"/>
        <w:jc w:val="both"/>
        <w:rPr>
          <w:rFonts w:cs="Times New Roman"/>
          <w:noProof/>
        </w:rPr>
      </w:pPr>
      <w:r>
        <w:rPr>
          <w:noProof/>
        </w:rPr>
        <w:t>Pentru investițiile de capital, inclusiv capitalul de risc, cerințele-cheie ale politicii de investiții includ:</w:t>
      </w:r>
    </w:p>
    <w:p w14:paraId="1CD841FF" w14:textId="77777777" w:rsidR="00011DE9" w:rsidRDefault="00011DE9">
      <w:pPr>
        <w:pStyle w:val="ListParagraph"/>
        <w:spacing w:before="120" w:after="120" w:line="240" w:lineRule="auto"/>
        <w:jc w:val="both"/>
        <w:rPr>
          <w:rFonts w:ascii="Times New Roman" w:hAnsi="Times New Roman" w:cs="Times New Roman"/>
          <w:noProof/>
        </w:rPr>
      </w:pPr>
    </w:p>
    <w:p w14:paraId="2F688E15" w14:textId="77777777" w:rsidR="00011DE9" w:rsidRDefault="00011DE9">
      <w:pPr>
        <w:pStyle w:val="P68B1DB1-ListParagraph25"/>
        <w:numPr>
          <w:ilvl w:val="0"/>
          <w:numId w:val="205"/>
        </w:numPr>
        <w:spacing w:before="120" w:after="120" w:line="240" w:lineRule="auto"/>
        <w:jc w:val="both"/>
        <w:rPr>
          <w:rFonts w:cs="Times New Roman"/>
          <w:noProof/>
        </w:rPr>
      </w:pPr>
      <w:r>
        <w:rPr>
          <w:noProof/>
        </w:rPr>
        <w:t>Descrierea liniilor de produse financiare și a beneficiarilor finali eligibili</w:t>
      </w:r>
    </w:p>
    <w:p w14:paraId="591F892E" w14:textId="77777777" w:rsidR="00011DE9" w:rsidRDefault="00011DE9">
      <w:pPr>
        <w:pStyle w:val="P68B1DB1-ListParagraph25"/>
        <w:numPr>
          <w:ilvl w:val="0"/>
          <w:numId w:val="205"/>
        </w:numPr>
        <w:spacing w:before="120" w:after="120" w:line="240" w:lineRule="auto"/>
        <w:jc w:val="both"/>
        <w:rPr>
          <w:rFonts w:cs="Times New Roman"/>
          <w:noProof/>
        </w:rPr>
      </w:pPr>
      <w:r>
        <w:rPr>
          <w:noProof/>
        </w:rPr>
        <w:t>Cerința ca toate investițiile care beneficiază de sprijin să fie viabile din punct de vedere economic.</w:t>
      </w:r>
    </w:p>
    <w:p w14:paraId="29DE837A" w14:textId="77777777" w:rsidR="00011DE9" w:rsidRDefault="00011DE9">
      <w:pPr>
        <w:pStyle w:val="ListParagraph"/>
        <w:rPr>
          <w:rFonts w:ascii="Times New Roman" w:hAnsi="Times New Roman" w:cs="Times New Roman"/>
          <w:noProof/>
        </w:rPr>
      </w:pPr>
    </w:p>
    <w:p w14:paraId="5866AA06" w14:textId="77777777" w:rsidR="00011DE9" w:rsidRDefault="00011DE9">
      <w:pPr>
        <w:pStyle w:val="P68B1DB1-ListParagraph25"/>
        <w:numPr>
          <w:ilvl w:val="0"/>
          <w:numId w:val="204"/>
        </w:numPr>
        <w:spacing w:before="120" w:after="120" w:line="240" w:lineRule="auto"/>
        <w:jc w:val="both"/>
        <w:rPr>
          <w:rFonts w:cs="Times New Roman"/>
          <w:noProof/>
        </w:rPr>
      </w:pPr>
      <w:r>
        <w:rPr>
          <w:noProof/>
        </w:rPr>
        <w:t>Pentru investițiile de capital, inclusiv capitalul de risc, următoarele cerințe de monitorizare, audit și control:</w:t>
      </w:r>
    </w:p>
    <w:p w14:paraId="759585B0" w14:textId="77777777" w:rsidR="00011DE9" w:rsidRDefault="00011DE9">
      <w:pPr>
        <w:pStyle w:val="P68B1DB1-ListParagraph25"/>
        <w:numPr>
          <w:ilvl w:val="0"/>
          <w:numId w:val="207"/>
        </w:numPr>
        <w:spacing w:line="259" w:lineRule="auto"/>
        <w:rPr>
          <w:rFonts w:cs="Times New Roman"/>
          <w:noProof/>
        </w:rPr>
      </w:pPr>
      <w:r>
        <w:rPr>
          <w:noProof/>
        </w:rPr>
        <w:t>Descrierea sistemului de monitorizare al IDAE pentru raportarea cu privire la investițiile mobilizate.</w:t>
      </w:r>
    </w:p>
    <w:p w14:paraId="0436A528" w14:textId="77777777" w:rsidR="00011DE9" w:rsidRDefault="00011DE9">
      <w:pPr>
        <w:pStyle w:val="P68B1DB1-ListParagraph25"/>
        <w:numPr>
          <w:ilvl w:val="0"/>
          <w:numId w:val="207"/>
        </w:numPr>
        <w:spacing w:before="120" w:after="120" w:line="240" w:lineRule="auto"/>
        <w:jc w:val="both"/>
        <w:rPr>
          <w:rFonts w:cs="Times New Roman"/>
          <w:noProof/>
        </w:rPr>
      </w:pPr>
      <w:r>
        <w:rPr>
          <w:noProof/>
        </w:rPr>
        <w:t xml:space="preserve">Descrierea procedurilor IDAE care vor asigura prevenirea, detectarea și corectarea fraudei, a corupției și a conflictelor de interese. </w:t>
      </w:r>
    </w:p>
    <w:p w14:paraId="3F6A9884" w14:textId="77777777" w:rsidR="00011DE9" w:rsidRDefault="00011DE9">
      <w:pPr>
        <w:pStyle w:val="P68B1DB1-ListParagraph25"/>
        <w:numPr>
          <w:ilvl w:val="0"/>
          <w:numId w:val="207"/>
        </w:numPr>
        <w:spacing w:before="120" w:after="120" w:line="240" w:lineRule="auto"/>
        <w:jc w:val="both"/>
        <w:rPr>
          <w:rFonts w:cs="Times New Roman"/>
          <w:noProof/>
        </w:rPr>
      </w:pPr>
      <w:r>
        <w:rPr>
          <w:noProof/>
        </w:rPr>
        <w:t>Obligația de a verifica eligibilitatea fiecărei operațiuni în conformitate cu cerințele prevăzute în actul juridic relevant de instituire a schemei înainte de a se angaja să finanțeze o operațiune.</w:t>
      </w:r>
    </w:p>
    <w:p w14:paraId="7769E780" w14:textId="77777777" w:rsidR="00011DE9" w:rsidRDefault="00011DE9">
      <w:pPr>
        <w:pStyle w:val="P68B1DB1-ListParagraph25"/>
        <w:numPr>
          <w:ilvl w:val="0"/>
          <w:numId w:val="207"/>
        </w:numPr>
        <w:spacing w:before="120" w:after="120" w:line="240" w:lineRule="auto"/>
        <w:jc w:val="both"/>
        <w:rPr>
          <w:rFonts w:cs="Times New Roman"/>
          <w:noProof/>
        </w:rPr>
      </w:pPr>
      <w:r>
        <w:rPr>
          <w:noProof/>
        </w:rPr>
        <w:t xml:space="preserve">Obligația de a efectua audituri ex post bazate pe riscuri, în conformitate cu un plan de audit al IDAE. Aceste audituri verifică: că sistemele de control sunt eficace, inclusiv detectarea fraudei, a corupției și a conflictelor de interese; respectarea principiului DNSH, a normelor privind ajutoarele de stat, a cerințelor privind țintele climatice și digitale; și iii) respectarea cerinței ca IDAE să verifice dacă beneficiarul final prezintă o declarație responsabilă pentru a controla dacă același cost este acoperit de un alt instrument al Uniunii. Auditurile verifică, de asemenea, legalitatea tranzacțiilor și respectarea condițiilor instrumentului (instrumentelor) juridic (e) aplicabil (e) de instituire a sistemului. </w:t>
      </w:r>
    </w:p>
    <w:p w14:paraId="34E31AC1" w14:textId="77777777" w:rsidR="00011DE9" w:rsidRDefault="00011DE9">
      <w:pPr>
        <w:pStyle w:val="Text1"/>
        <w:ind w:left="0"/>
        <w:rPr>
          <w:rFonts w:ascii="Times New Roman" w:hAnsi="Times New Roman"/>
          <w:noProof/>
          <w:u w:val="single"/>
        </w:rPr>
        <w:sectPr w:rsidR="00011DE9" w:rsidSect="00011DE9">
          <w:headerReference w:type="even" r:id="rId414"/>
          <w:headerReference w:type="default" r:id="rId415"/>
          <w:footerReference w:type="even" r:id="rId416"/>
          <w:footerReference w:type="default" r:id="rId417"/>
          <w:headerReference w:type="first" r:id="rId418"/>
          <w:footerReference w:type="first" r:id="rId419"/>
          <w:pgSz w:w="11907" w:h="16839"/>
          <w:pgMar w:top="1134" w:right="1134" w:bottom="1134" w:left="1134" w:header="567" w:footer="567" w:gutter="0"/>
          <w:cols w:space="720"/>
          <w:docGrid w:linePitch="360"/>
        </w:sectPr>
      </w:pPr>
    </w:p>
    <w:p w14:paraId="07861E55" w14:textId="77777777" w:rsidR="00011DE9" w:rsidRDefault="00011DE9">
      <w:pPr>
        <w:pStyle w:val="P68B1DB1-Text162"/>
        <w:ind w:left="0"/>
        <w:rPr>
          <w:rFonts w:cs="Times New Roman"/>
          <w:noProof/>
          <w:szCs w:val="24"/>
        </w:rPr>
      </w:pPr>
      <w:r>
        <w:rPr>
          <w:noProof/>
        </w:rPr>
        <w:t>Investiția 4 (C31.I4) – Investiții pentru sprijinirea infrastructurii rețelelor de energie electrică</w:t>
      </w:r>
    </w:p>
    <w:p w14:paraId="3F46498B" w14:textId="77777777" w:rsidR="00011DE9" w:rsidRDefault="00011DE9">
      <w:pPr>
        <w:pStyle w:val="P68B1DB1-Normal16"/>
        <w:spacing w:before="120" w:after="120" w:line="240" w:lineRule="auto"/>
        <w:jc w:val="both"/>
        <w:rPr>
          <w:rFonts w:cs="Times New Roman"/>
          <w:noProof/>
        </w:rPr>
      </w:pPr>
      <w:r>
        <w:rPr>
          <w:noProof/>
        </w:rPr>
        <w:t xml:space="preserve">Obiectivul acestei investiții este de a sprijini dezvoltarea rețelei spaniole de transport al energiei electrice. Investiția constă în proiecte eligibile în cadrul planului spaniol de dezvoltare a rețelei pentru perioada 2021-2026 (denumit în continuare „planul”). </w:t>
      </w:r>
    </w:p>
    <w:p w14:paraId="068028D9" w14:textId="77777777" w:rsidR="00011DE9" w:rsidRDefault="00011DE9">
      <w:pPr>
        <w:pStyle w:val="P68B1DB1-Text162"/>
        <w:ind w:left="0"/>
        <w:rPr>
          <w:rFonts w:cs="Times New Roman"/>
          <w:noProof/>
        </w:rPr>
      </w:pPr>
      <w:r>
        <w:rPr>
          <w:noProof/>
        </w:rPr>
        <w:t>Investiția 5 (C31.I5) – Investiții pentru sprijinirea decarbonizării industriale (granturi)</w:t>
      </w:r>
    </w:p>
    <w:p w14:paraId="7DABCE04" w14:textId="77777777" w:rsidR="00011DE9" w:rsidRDefault="00011DE9">
      <w:pPr>
        <w:pStyle w:val="Text1"/>
        <w:ind w:left="0"/>
        <w:rPr>
          <w:rStyle w:val="IntenseEmphasis"/>
          <w:rFonts w:ascii="Times New Roman" w:hAnsi="Times New Roman"/>
          <w:i w:val="0"/>
          <w:iCs w:val="0"/>
          <w:noProof/>
          <w:color w:val="auto"/>
        </w:rPr>
      </w:pPr>
      <w:r>
        <w:rPr>
          <w:rStyle w:val="IntenseEmphasis"/>
          <w:rFonts w:ascii="Times New Roman" w:hAnsi="Times New Roman"/>
          <w:noProof/>
          <w:color w:val="auto"/>
        </w:rPr>
        <w:t>Obiectivul acestei măsuri este de a sprijini decarbonizarea proceselor industriale. Măsura constă în sprijinirea decarbonizării industriei prelucrătoare și a dezvoltării de noi instalații de producție foarte eficiente și decarbonizate.</w:t>
      </w:r>
    </w:p>
    <w:p w14:paraId="430B70B4" w14:textId="77777777" w:rsidR="00011DE9" w:rsidRDefault="00011DE9">
      <w:pPr>
        <w:spacing w:after="0" w:line="240" w:lineRule="auto"/>
        <w:jc w:val="both"/>
        <w:rPr>
          <w:rFonts w:ascii="Times New Roman" w:hAnsi="Times New Roman" w:cs="Times New Roman"/>
          <w:noProof/>
        </w:rPr>
      </w:pPr>
    </w:p>
    <w:p w14:paraId="28EF8FF8" w14:textId="77777777" w:rsidR="00011DE9" w:rsidRDefault="00011DE9">
      <w:pPr>
        <w:pStyle w:val="P68B1DB1-Normal17"/>
        <w:rPr>
          <w:rFonts w:cs="Times New Roman"/>
          <w:noProof/>
        </w:rPr>
      </w:pPr>
      <w:r>
        <w:rPr>
          <w:noProof/>
        </w:rPr>
        <w:t>Investiția 6 (C31.I6) – Schemă de subvenții pentru proiecte de decarbonizare (granturi)</w:t>
      </w:r>
    </w:p>
    <w:p w14:paraId="0972EA20" w14:textId="77777777" w:rsidR="00011DE9" w:rsidRDefault="00011DE9">
      <w:pPr>
        <w:pStyle w:val="P68B1DB1-paragraph66"/>
        <w:spacing w:before="120" w:after="120"/>
        <w:jc w:val="both"/>
        <w:textAlignment w:val="baseline"/>
        <w:rPr>
          <w:rFonts w:cs="Times New Roman"/>
          <w:noProof/>
        </w:rPr>
      </w:pPr>
      <w:r>
        <w:rPr>
          <w:noProof/>
        </w:rPr>
        <w:t xml:space="preserve">Această măsură constă într-o investiție publică într-o schemă de subvenții publice pentru a stimula investițiile private în decarbonizarea industrială. Sistemul funcționează prin acordarea de subvenții direct sectorului privat, precum și entităților din sectorul public care desfășoară activități similare. . </w:t>
      </w:r>
    </w:p>
    <w:p w14:paraId="188C769D" w14:textId="77777777" w:rsidR="00011DE9" w:rsidRDefault="00011DE9">
      <w:pPr>
        <w:pStyle w:val="P68B1DB1-paragraph66"/>
        <w:spacing w:before="120" w:after="120"/>
        <w:jc w:val="both"/>
        <w:textAlignment w:val="baseline"/>
        <w:rPr>
          <w:rFonts w:cs="Times New Roman"/>
          <w:noProof/>
        </w:rPr>
      </w:pPr>
      <w:r>
        <w:rPr>
          <w:noProof/>
        </w:rPr>
        <w:t xml:space="preserve">Sistemul este gestionat de SEPIDES în calitate de partener de implementare. Un act juridic relevant transformă SEPIDES într-o întreprindere publică pentru a pune în aplicare această investiție. </w:t>
      </w:r>
    </w:p>
    <w:p w14:paraId="5FAF2639" w14:textId="1A7D0B7B" w:rsidR="00011DE9" w:rsidRDefault="00011DE9">
      <w:pPr>
        <w:pStyle w:val="P68B1DB1-paragraph67"/>
        <w:spacing w:before="120" w:after="120"/>
        <w:jc w:val="both"/>
        <w:textAlignment w:val="baseline"/>
        <w:rPr>
          <w:noProof/>
        </w:rPr>
      </w:pPr>
      <w:r>
        <w:rPr>
          <w:noProof/>
        </w:rPr>
        <w:t>Pentru a pune în aplicare investiția în sistem, guvernul adoptă unul sau mai multe instrumente juridice de instituire a sistemului de subvenții, care includ următoarele elemente:</w:t>
      </w:r>
      <w:r w:rsidR="00971820">
        <w:rPr>
          <w:noProof/>
        </w:rPr>
        <w:t xml:space="preserve"> </w:t>
      </w:r>
    </w:p>
    <w:p w14:paraId="5D5A3398" w14:textId="6636B983" w:rsidR="00011DE9" w:rsidRDefault="00011DE9">
      <w:pPr>
        <w:pStyle w:val="P68B1DB1-paragraph66"/>
        <w:numPr>
          <w:ilvl w:val="0"/>
          <w:numId w:val="206"/>
        </w:numPr>
        <w:spacing w:before="120" w:after="120"/>
        <w:jc w:val="both"/>
        <w:textAlignment w:val="baseline"/>
        <w:rPr>
          <w:rFonts w:cs="Times New Roman"/>
          <w:noProof/>
        </w:rPr>
      </w:pPr>
      <w:r>
        <w:rPr>
          <w:noProof/>
        </w:rPr>
        <w:t>Descrierea procesului decizional pentru schemă: Evaluarea cererilor și selectarea beneficiarilor care urmează să fie incluși în deciziile finale de atribuire sau în deciziile de investiții din cadrul schemei sunt luate de un comitet de evaluare sau de un alt organism de conducere echivalent relevant și sunt aprobate cu majoritatea voturilor membrilor independenți de guvernul spaniol, ceea ce înseamnă că aceștia trebuie să fie membri ai personalului angajat de SEPIDES și/sau alți experți independenți. Decizia finală de investiție a schemei se limitează la aprobarea (fără modificări) sau la exercitarea unui drept de veto cu privire la o decizie de investiții propusă de comitetul de evaluare sau de organul de conducere echivalent relevant.</w:t>
      </w:r>
      <w:r w:rsidR="00971820">
        <w:rPr>
          <w:noProof/>
        </w:rPr>
        <w:t xml:space="preserve"> </w:t>
      </w:r>
    </w:p>
    <w:p w14:paraId="687A34B8" w14:textId="77777777" w:rsidR="00011DE9" w:rsidRDefault="00011DE9">
      <w:pPr>
        <w:pStyle w:val="P68B1DB1-paragraph66"/>
        <w:numPr>
          <w:ilvl w:val="0"/>
          <w:numId w:val="206"/>
        </w:numPr>
        <w:spacing w:before="120" w:after="120"/>
        <w:jc w:val="both"/>
        <w:textAlignment w:val="baseline"/>
        <w:rPr>
          <w:rFonts w:cs="Times New Roman"/>
          <w:noProof/>
        </w:rPr>
      </w:pPr>
      <w:r>
        <w:rPr>
          <w:noProof/>
        </w:rPr>
        <w:t>Descrierea subvențiilor acordate și a beneficiarilor finali eligibili.</w:t>
      </w:r>
    </w:p>
    <w:p w14:paraId="33456344" w14:textId="7C108012" w:rsidR="00011DE9" w:rsidRDefault="00011DE9">
      <w:pPr>
        <w:pStyle w:val="P68B1DB1-paragraph67"/>
        <w:numPr>
          <w:ilvl w:val="0"/>
          <w:numId w:val="206"/>
        </w:numPr>
        <w:spacing w:before="120" w:after="120"/>
        <w:jc w:val="both"/>
        <w:textAlignment w:val="baseline"/>
        <w:rPr>
          <w:noProof/>
        </w:rPr>
      </w:pPr>
      <w:r>
        <w:rPr>
          <w:noProof/>
        </w:rPr>
        <w:t>Cerința de a respecta principiul de „a nu prejudicia în mod semnificativ”. În special, instrumentul (instrumentele) juridic (e) exclude (exclud) următoarea listă de activități: (I) activitățile din cadrul schemei UE de comercializare a certificatelor de emisii (ETS) care realizează emisii preconizate de gaze cu efect de seră care nu sunt mai mici decât valorile de referință relevante</w:t>
      </w:r>
      <w:r>
        <w:rPr>
          <w:noProof/>
        </w:rPr>
        <w:footnoteReference w:id="162"/>
      </w:r>
      <w:r>
        <w:rPr>
          <w:noProof/>
        </w:rPr>
        <w:t>; (II) activități legate de combustibilii fosili, inclusiv utilizarea în aval, în afara schemei de comercializare a certificatelor de emisii (ETS)</w:t>
      </w:r>
      <w:r>
        <w:rPr>
          <w:noProof/>
        </w:rPr>
        <w:footnoteReference w:id="163"/>
      </w:r>
      <w:r>
        <w:rPr>
          <w:noProof/>
        </w:rPr>
        <w:t>. Următoarele acțiuni de C &amp; D &amp; I din cadrul acestei investiții sunt considerate conforme cu Orientările tehnice de „a nu prejudicia în mod semnificativ” (2021/C58/01): Acțiunile de C &amp; D &amp; I din cadrul acestei investiții dedicate creșterii substanțiale a sustenabilității întreprinderilor din punctul de vedere al mediului (cum ar fi decarbonizarea, reducerea poluării și economia circulară), dacă acțiunile de C &amp; D &amp; I din cadrul acestei investiții se axează în principal pe dezvoltarea sau adaptarea unor alternative cu cel mai mic impact posibil asupra mediului în acest sector. În plus, instrumentul (instrumentele) juridic (e) impune (impun) respectarea legislației UE și naționale relevante în materie de mediu de către beneficiarii finali ai sistemelor de subvenții.</w:t>
      </w:r>
      <w:r w:rsidR="00971820">
        <w:rPr>
          <w:noProof/>
        </w:rPr>
        <w:t xml:space="preserve"> </w:t>
      </w:r>
    </w:p>
    <w:p w14:paraId="07FDFB2D" w14:textId="77777777" w:rsidR="00011DE9" w:rsidRDefault="00011DE9">
      <w:pPr>
        <w:pStyle w:val="paragraph"/>
        <w:numPr>
          <w:ilvl w:val="0"/>
          <w:numId w:val="206"/>
        </w:numPr>
        <w:spacing w:before="120" w:after="120"/>
        <w:jc w:val="both"/>
        <w:textAlignment w:val="baseline"/>
        <w:rPr>
          <w:rFonts w:ascii="Times New Roman" w:hAnsi="Times New Roman" w:cs="Times New Roman"/>
          <w:noProof/>
        </w:rPr>
      </w:pPr>
      <w:r>
        <w:rPr>
          <w:rFonts w:ascii="Times New Roman" w:hAnsi="Times New Roman"/>
          <w:noProof/>
        </w:rPr>
        <w:t>Cerințe privind investițiile în domeniul climei pentru schema de subvenții: cel puțin 203 400 000 EUR din investițiile MRR în schemă contribuie la obiectivele legate de schimbările climatice, în conformitate cu anexa VI la Regulamentul privind MRR.</w:t>
      </w:r>
      <w:r>
        <w:rPr>
          <w:rStyle w:val="FootnoteReference"/>
          <w:rFonts w:ascii="Times New Roman" w:hAnsi="Times New Roman" w:cs="Times New Roman"/>
          <w:noProof/>
        </w:rPr>
        <w:footnoteReference w:id="164"/>
      </w:r>
      <w:r>
        <w:rPr>
          <w:rFonts w:ascii="Times New Roman" w:hAnsi="Times New Roman"/>
          <w:noProof/>
        </w:rPr>
        <w:t xml:space="preserve"> </w:t>
      </w:r>
    </w:p>
    <w:p w14:paraId="3599AE29" w14:textId="77777777" w:rsidR="00011DE9" w:rsidRDefault="00011DE9">
      <w:pPr>
        <w:pStyle w:val="P68B1DB1-paragraph66"/>
        <w:numPr>
          <w:ilvl w:val="0"/>
          <w:numId w:val="206"/>
        </w:numPr>
        <w:spacing w:before="120" w:after="120"/>
        <w:jc w:val="both"/>
        <w:textAlignment w:val="baseline"/>
        <w:rPr>
          <w:rFonts w:cs="Times New Roman"/>
          <w:noProof/>
        </w:rPr>
      </w:pPr>
      <w:r>
        <w:rPr>
          <w:noProof/>
        </w:rPr>
        <w:t>Cerința ca beneficiarii finali ai sistemului de subvenții să nu primească sprijin din partea altor instrumente ale Uniunii pentru a acoperi aceleași costuri.</w:t>
      </w:r>
    </w:p>
    <w:p w14:paraId="63BB394D" w14:textId="77777777" w:rsidR="00011DE9" w:rsidRDefault="00011DE9">
      <w:pPr>
        <w:pStyle w:val="P68B1DB1-paragraph66"/>
        <w:numPr>
          <w:ilvl w:val="0"/>
          <w:numId w:val="206"/>
        </w:numPr>
        <w:spacing w:before="120" w:after="120"/>
        <w:jc w:val="both"/>
        <w:textAlignment w:val="baseline"/>
        <w:rPr>
          <w:rFonts w:cs="Times New Roman"/>
          <w:noProof/>
        </w:rPr>
      </w:pPr>
      <w:r>
        <w:rPr>
          <w:noProof/>
        </w:rPr>
        <w:t xml:space="preserve">Suma acoperită de sistem și cerința de a reinvesti orice venituri neutilizate din sistemul de subvenții în activitățile enumerate mai sus, inclusiv după 2026. </w:t>
      </w:r>
    </w:p>
    <w:p w14:paraId="20923A15" w14:textId="77777777" w:rsidR="00011DE9" w:rsidRDefault="00011DE9">
      <w:pPr>
        <w:spacing w:before="120" w:after="120" w:line="240" w:lineRule="auto"/>
        <w:jc w:val="both"/>
        <w:rPr>
          <w:rFonts w:ascii="Times New Roman" w:hAnsi="Times New Roman" w:cs="Times New Roman"/>
          <w:noProof/>
        </w:rPr>
      </w:pPr>
      <w:r>
        <w:rPr>
          <w:rStyle w:val="Fuentedeprrafopredeter1"/>
          <w:rFonts w:ascii="Times New Roman" w:hAnsi="Times New Roman" w:cs="Times New Roman"/>
          <w:noProof/>
          <w:u w:val="single"/>
        </w:rPr>
        <w:t>Investiția 9 (C31.I9) – Schemă de sprijinire a tranziției verzi</w:t>
      </w:r>
    </w:p>
    <w:p w14:paraId="24CAFBD1" w14:textId="77777777" w:rsidR="00011DE9" w:rsidRDefault="00011DE9">
      <w:pPr>
        <w:pStyle w:val="P68B1DB1-paragraph66"/>
        <w:spacing w:before="120" w:after="120"/>
        <w:jc w:val="both"/>
        <w:textAlignment w:val="baseline"/>
        <w:rPr>
          <w:noProof/>
        </w:rPr>
      </w:pPr>
      <w:r>
        <w:rPr>
          <w:noProof/>
        </w:rPr>
        <w:t>Această măsură urmărește să sprijine tranziția verde a Spaniei în sectoarele mobilității electrice, energiei din surse regenerabile și stocării energiei.</w:t>
      </w:r>
    </w:p>
    <w:p w14:paraId="1A2B3FA5" w14:textId="77777777" w:rsidR="00011DE9" w:rsidRDefault="00011DE9">
      <w:pPr>
        <w:pStyle w:val="P68B1DB1-paragraph66"/>
        <w:spacing w:before="120" w:after="120"/>
        <w:jc w:val="both"/>
        <w:rPr>
          <w:noProof/>
        </w:rPr>
      </w:pPr>
      <w:r>
        <w:rPr>
          <w:noProof/>
        </w:rPr>
        <w:t>Această măsură constă într-o investiție publică într-o schemă de sprijin care acoperă granturi pentru a sprijini implementarea parcurilor de vehicule electrice și a infrastructurii de reîncărcare a acestora, energia din surse regenerabile, stocarea energiei, sprijinirea lanțului valoric și a noilor modele de afaceri din sector, precum și dezvoltarea tranziției energetice în insule. Sistemul funcționează prin furnizarea de stimulente financiare prin acordarea de granturi sectorului privat, precum și entităților din sectorul public care desfășoară activități similare. Schema este gestionată de „Instituto de Diversificación y Ahorro de la Energía” (IDAE) în calitate de partener de implementare.</w:t>
      </w:r>
    </w:p>
    <w:p w14:paraId="083551B2" w14:textId="77777777" w:rsidR="00011DE9" w:rsidRDefault="00011DE9">
      <w:pPr>
        <w:pStyle w:val="P68B1DB1-paragraph66"/>
        <w:spacing w:before="120" w:after="120"/>
        <w:jc w:val="both"/>
        <w:rPr>
          <w:noProof/>
        </w:rPr>
      </w:pPr>
      <w:r>
        <w:rPr>
          <w:noProof/>
        </w:rPr>
        <w:t xml:space="preserve">Pentru a implementa investiția în schemă, Spania adoptă unul sau mai multe instrumente juridice de instituire a schemei, care includ următoarele elemente: </w:t>
      </w:r>
    </w:p>
    <w:p w14:paraId="008BC859" w14:textId="77777777" w:rsidR="00011DE9" w:rsidRDefault="00011DE9">
      <w:pPr>
        <w:pStyle w:val="P68B1DB1-paragraph66"/>
        <w:numPr>
          <w:ilvl w:val="0"/>
          <w:numId w:val="208"/>
        </w:numPr>
        <w:spacing w:before="120" w:after="120"/>
        <w:jc w:val="both"/>
        <w:textAlignment w:val="baseline"/>
        <w:rPr>
          <w:noProof/>
        </w:rPr>
      </w:pPr>
      <w:r>
        <w:rPr>
          <w:noProof/>
        </w:rPr>
        <w:t>Lista restrictivă a activităților eligibile pentru sprijin include următoarele activități:</w:t>
      </w:r>
    </w:p>
    <w:p w14:paraId="0D91B808" w14:textId="77777777" w:rsidR="00011DE9" w:rsidRDefault="00011DE9">
      <w:pPr>
        <w:pStyle w:val="P68B1DB1-paragraph66"/>
        <w:numPr>
          <w:ilvl w:val="1"/>
          <w:numId w:val="208"/>
        </w:numPr>
        <w:spacing w:before="120" w:after="120"/>
        <w:jc w:val="both"/>
        <w:textAlignment w:val="baseline"/>
        <w:rPr>
          <w:rFonts w:cs="Times New Roman"/>
          <w:noProof/>
        </w:rPr>
      </w:pPr>
      <w:r>
        <w:rPr>
          <w:noProof/>
        </w:rPr>
        <w:t>sprijinirea instalării parcurilor de vehicule electrice (BEV, REEV, PHEV sau FCEV) și sprijinirea infrastructurii de reîncărcare și/sau a stațiilor de reîncărcare accesibile publicului de-a lungul rețelei rutiere centrale și globale TEN-T (inclusiv producția la fața locului de energie electrică din surse regenerabile sau stocarea);</w:t>
      </w:r>
    </w:p>
    <w:p w14:paraId="2A4DB924" w14:textId="77777777" w:rsidR="00011DE9" w:rsidRDefault="00011DE9">
      <w:pPr>
        <w:pStyle w:val="P68B1DB1-paragraph67"/>
        <w:numPr>
          <w:ilvl w:val="1"/>
          <w:numId w:val="208"/>
        </w:numPr>
        <w:spacing w:before="120" w:after="120"/>
        <w:jc w:val="both"/>
        <w:textAlignment w:val="baseline"/>
        <w:rPr>
          <w:noProof/>
        </w:rPr>
      </w:pPr>
      <w:r>
        <w:rPr>
          <w:noProof/>
        </w:rPr>
        <w:t>sprijinirea sectorului energiei din surse regenerabile;</w:t>
      </w:r>
    </w:p>
    <w:p w14:paraId="02C45BD5" w14:textId="77777777" w:rsidR="00011DE9" w:rsidRDefault="00011DE9">
      <w:pPr>
        <w:pStyle w:val="P68B1DB1-paragraph67"/>
        <w:numPr>
          <w:ilvl w:val="1"/>
          <w:numId w:val="208"/>
        </w:numPr>
        <w:spacing w:before="120" w:after="120"/>
        <w:jc w:val="both"/>
        <w:textAlignment w:val="baseline"/>
        <w:rPr>
          <w:noProof/>
        </w:rPr>
      </w:pPr>
      <w:r>
        <w:rPr>
          <w:noProof/>
        </w:rPr>
        <w:t>sprijinirea inițiativelor întreprinse de comunitățile energetice;</w:t>
      </w:r>
    </w:p>
    <w:p w14:paraId="4203A99F" w14:textId="77777777" w:rsidR="00011DE9" w:rsidRDefault="00011DE9">
      <w:pPr>
        <w:pStyle w:val="P68B1DB1-paragraph67"/>
        <w:numPr>
          <w:ilvl w:val="1"/>
          <w:numId w:val="208"/>
        </w:numPr>
        <w:spacing w:before="120" w:after="120"/>
        <w:jc w:val="both"/>
        <w:textAlignment w:val="baseline"/>
        <w:rPr>
          <w:noProof/>
        </w:rPr>
      </w:pPr>
      <w:r>
        <w:rPr>
          <w:noProof/>
        </w:rPr>
        <w:t>sprijinirea tranziției energetice pe insule;</w:t>
      </w:r>
    </w:p>
    <w:p w14:paraId="218F138B" w14:textId="77777777" w:rsidR="00011DE9" w:rsidRDefault="00011DE9">
      <w:pPr>
        <w:pStyle w:val="P68B1DB1-paragraph67"/>
        <w:numPr>
          <w:ilvl w:val="1"/>
          <w:numId w:val="208"/>
        </w:numPr>
        <w:spacing w:before="120" w:after="120"/>
        <w:jc w:val="both"/>
        <w:textAlignment w:val="baseline"/>
        <w:rPr>
          <w:noProof/>
        </w:rPr>
      </w:pPr>
      <w:r>
        <w:rPr>
          <w:noProof/>
        </w:rPr>
        <w:t>sprijinirea proiectelor de stocare;</w:t>
      </w:r>
    </w:p>
    <w:p w14:paraId="08ED74F8" w14:textId="77777777" w:rsidR="00011DE9" w:rsidRDefault="00011DE9">
      <w:pPr>
        <w:pStyle w:val="P68B1DB1-paragraph67"/>
        <w:numPr>
          <w:ilvl w:val="1"/>
          <w:numId w:val="208"/>
        </w:numPr>
        <w:spacing w:before="120" w:after="120"/>
        <w:jc w:val="both"/>
        <w:textAlignment w:val="baseline"/>
        <w:rPr>
          <w:noProof/>
        </w:rPr>
      </w:pPr>
      <w:r>
        <w:rPr>
          <w:noProof/>
        </w:rPr>
        <w:t>sprijinirea noilor modele de afaceri în tranziția energetică;</w:t>
      </w:r>
    </w:p>
    <w:p w14:paraId="18AD0DC9" w14:textId="77777777" w:rsidR="00011DE9" w:rsidRDefault="00011DE9">
      <w:pPr>
        <w:pStyle w:val="P68B1DB1-paragraph67"/>
        <w:numPr>
          <w:ilvl w:val="1"/>
          <w:numId w:val="208"/>
        </w:numPr>
        <w:spacing w:before="120" w:after="120"/>
        <w:jc w:val="both"/>
        <w:textAlignment w:val="baseline"/>
        <w:rPr>
          <w:noProof/>
        </w:rPr>
      </w:pPr>
      <w:r>
        <w:rPr>
          <w:noProof/>
        </w:rPr>
        <w:t>sprijinirea reciclării componentelor tehnologiilor din domeniul energiei din surse regenerabile.</w:t>
      </w:r>
    </w:p>
    <w:p w14:paraId="41F69AA2" w14:textId="0A62BF61" w:rsidR="00011DE9" w:rsidRDefault="00011DE9">
      <w:pPr>
        <w:pStyle w:val="Prrafodelista1"/>
        <w:numPr>
          <w:ilvl w:val="0"/>
          <w:numId w:val="208"/>
        </w:numPr>
        <w:jc w:val="both"/>
        <w:rPr>
          <w:rFonts w:ascii="Times New Roman" w:hAnsi="Times New Roman"/>
          <w:noProof/>
        </w:rPr>
      </w:pPr>
      <w:r>
        <w:rPr>
          <w:rStyle w:val="Fuentedeprrafopredeter1"/>
          <w:rFonts w:ascii="Times New Roman" w:hAnsi="Times New Roman"/>
          <w:noProof/>
          <w:sz w:val="24"/>
          <w:szCs w:val="24"/>
        </w:rPr>
        <w:t>Descrierea procesului decizional al sistemului: Evaluarea cererilor și selectarea beneficiarilor care urmează să fie incluși în deciziile finale de atribuire sau în deciziile de investiții din cadrul schemei se iau de către un comitet de investiții sau de către un comitet de evaluare tehnică și se aprobă cu majoritatea voturilor membrilor independenți de guvern, ceea ce înseamnă că aceștia trebuie să fie membri ai personalului angajat de IDAE și/sau alți experți independenți. Deciziile finale de atribuire sau deciziile de investiții din cadrul schemei se limitează la aprobarea (fără modificări) sau la exercitarea unui drept de veto cu privire la o decizie de atribuire sau la o decizie de investiții propusă de comitetul de investiții sau de organul de conducere echivalent relevant. În cazul în care IDAE participă la oricare dintre cereri, iar bugetul pentru cererea respectivă este insuficient pentru a acoperi toate cererile primite, procesul de evaluare face obiectul unui audit extern, astfel cum se prevede în „Plan de Mitigación de Potenciales Conflictos de Interés en Sociedades Participadas” al IDAE.</w:t>
      </w:r>
    </w:p>
    <w:p w14:paraId="2C96FEB0" w14:textId="77777777" w:rsidR="00011DE9" w:rsidRDefault="00011DE9">
      <w:pPr>
        <w:pStyle w:val="P68B1DB1-paragraph66"/>
        <w:numPr>
          <w:ilvl w:val="0"/>
          <w:numId w:val="208"/>
        </w:numPr>
        <w:spacing w:before="120" w:after="120"/>
        <w:jc w:val="both"/>
        <w:textAlignment w:val="baseline"/>
        <w:rPr>
          <w:noProof/>
        </w:rPr>
      </w:pPr>
      <w:r>
        <w:rPr>
          <w:noProof/>
        </w:rPr>
        <w:t>Cerința de a respecta principiul de „a nu prejudicia în mod semnificativ”, astfel cum este prevăzută în Orientările tehnice privind principiul de „a nu prejudicia în mod semnificativ” (2021/C58/01). În special, politica de granturi exclude de la eligibilitate următoarele activități și active: (I) activitățile și activele legate de combustibilii fosili, inclusiv utilizarea în aval</w:t>
      </w:r>
      <w:r>
        <w:rPr>
          <w:noProof/>
        </w:rPr>
        <w:footnoteReference w:id="165"/>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166"/>
      </w:r>
      <w:r>
        <w:rPr>
          <w:noProof/>
        </w:rPr>
        <w:t>, (iii) activitățile și activele legate de depozitele de deșeuri, incineratoare</w:t>
      </w:r>
      <w:r>
        <w:rPr>
          <w:noProof/>
        </w:rPr>
        <w:footnoteReference w:id="167"/>
      </w:r>
      <w:r>
        <w:rPr>
          <w:noProof/>
        </w:rPr>
        <w:t xml:space="preserve"> și stațiile de tratare mecano-biologică</w:t>
      </w:r>
      <w:r>
        <w:rPr>
          <w:noProof/>
        </w:rPr>
        <w:footnoteReference w:id="168"/>
      </w:r>
      <w:r>
        <w:rPr>
          <w:noProof/>
        </w:rPr>
        <w:t xml:space="preserve">. </w:t>
      </w:r>
    </w:p>
    <w:p w14:paraId="37B56481" w14:textId="77777777" w:rsidR="00011DE9" w:rsidRDefault="00011DE9">
      <w:pPr>
        <w:pStyle w:val="P68B1DB1-paragraph66"/>
        <w:numPr>
          <w:ilvl w:val="0"/>
          <w:numId w:val="208"/>
        </w:numPr>
        <w:spacing w:before="120" w:after="120"/>
        <w:jc w:val="both"/>
        <w:textAlignment w:val="baseline"/>
        <w:rPr>
          <w:noProof/>
        </w:rPr>
      </w:pPr>
      <w:r>
        <w:rPr>
          <w:noProof/>
        </w:rPr>
        <w:t>Cerința ca beneficiarii finali ai schemei să nu primească sprijin din partea altor instrumente ale Uniunii pentru a acoperi aceleași costuri.</w:t>
      </w:r>
    </w:p>
    <w:p w14:paraId="44DD760A" w14:textId="77777777" w:rsidR="00011DE9" w:rsidRDefault="00011DE9">
      <w:pPr>
        <w:pStyle w:val="P68B1DB1-paragraph66"/>
        <w:numPr>
          <w:ilvl w:val="0"/>
          <w:numId w:val="208"/>
        </w:numPr>
        <w:spacing w:before="120" w:after="120"/>
        <w:jc w:val="both"/>
        <w:textAlignment w:val="baseline"/>
        <w:rPr>
          <w:noProof/>
        </w:rPr>
      </w:pPr>
      <w:r>
        <w:rPr>
          <w:noProof/>
        </w:rPr>
        <w:t xml:space="preserve">Suma acoperită de schemă și cerința de a reinvesti orice venituri neutilizate din schemă în activitățile enumerate mai sus, inclusiv după 2026. </w:t>
      </w:r>
    </w:p>
    <w:p w14:paraId="7F063AEA" w14:textId="77777777" w:rsidR="00011DE9" w:rsidRDefault="00011DE9">
      <w:pPr>
        <w:pStyle w:val="P68B1DB1-paragraph66"/>
        <w:numPr>
          <w:ilvl w:val="0"/>
          <w:numId w:val="208"/>
        </w:numPr>
        <w:spacing w:before="120" w:after="120"/>
        <w:jc w:val="both"/>
        <w:textAlignment w:val="baseline"/>
        <w:rPr>
          <w:noProof/>
        </w:rPr>
      </w:pPr>
      <w:r>
        <w:rPr>
          <w:noProof/>
        </w:rPr>
        <w:t>Cerințe de raportare pentru investițiile în domeniul climei pentru schema de subvenții</w:t>
      </w:r>
      <w:r>
        <w:rPr>
          <w:noProof/>
        </w:rPr>
        <w:footnoteReference w:id="169"/>
      </w:r>
      <w:r>
        <w:rPr>
          <w:noProof/>
        </w:rPr>
        <w:t>.</w:t>
      </w:r>
    </w:p>
    <w:p w14:paraId="2D0F28AE" w14:textId="77777777" w:rsidR="00011DE9" w:rsidRDefault="00011DE9">
      <w:pPr>
        <w:rPr>
          <w:rFonts w:ascii="Times New Roman" w:hAnsi="Times New Roman"/>
          <w:noProof/>
          <w:sz w:val="22"/>
          <w:szCs w:val="22"/>
        </w:rPr>
      </w:pPr>
    </w:p>
    <w:p w14:paraId="399876D9" w14:textId="77777777" w:rsidR="00011DE9" w:rsidRDefault="00011DE9">
      <w:pPr>
        <w:pStyle w:val="Text1"/>
        <w:spacing w:before="0" w:after="160" w:line="259" w:lineRule="auto"/>
        <w:rPr>
          <w:rFonts w:ascii="Times New Roman" w:hAnsi="Times New Roman" w:cs="Times New Roman"/>
          <w:b/>
          <w:noProof/>
        </w:rPr>
      </w:pPr>
      <w:r>
        <w:rPr>
          <w:rFonts w:ascii="Times New Roman" w:hAnsi="Times New Roman"/>
          <w:b/>
          <w:noProof/>
          <w:u w:val="single"/>
        </w:rPr>
        <w:t xml:space="preserve">AE.2. </w:t>
      </w:r>
      <w:r>
        <w:rPr>
          <w:noProof/>
        </w:rPr>
        <w:t></w:t>
      </w:r>
      <w:r>
        <w:rPr>
          <w:rFonts w:ascii="Times New Roman" w:hAnsi="Times New Roman"/>
          <w:b/>
          <w:noProof/>
          <w:u w:val="single"/>
        </w:rPr>
        <w:t>Jaloane, ținte, indicatori și calendarul de monitorizare și implementare aplicabile sprijinului financiar nerambursabil</w:t>
      </w:r>
      <w:r>
        <w:rPr>
          <w:rFonts w:ascii="Times New Roman" w:hAnsi="Times New Roman"/>
          <w:b/>
          <w:noProof/>
        </w:rPr>
        <w:t xml:space="preserve"> </w:t>
      </w:r>
    </w:p>
    <w:p w14:paraId="2914424B" w14:textId="5AE8BE57" w:rsidR="00011DE9" w:rsidRDefault="00011DE9">
      <w:pPr>
        <w:pStyle w:val="P68B1DB1-Normal26"/>
        <w:spacing w:line="259" w:lineRule="auto"/>
        <w:jc w:val="both"/>
        <w:rPr>
          <w:rFonts w:eastAsia="Times New Roman"/>
          <w:noProof/>
          <w:u w:val="single"/>
        </w:rPr>
        <w:sectPr w:rsidR="00011DE9" w:rsidSect="00011DE9">
          <w:headerReference w:type="default" r:id="rId420"/>
          <w:footerReference w:type="default" r:id="rId421"/>
          <w:pgSz w:w="11907" w:h="16839"/>
          <w:pgMar w:top="1134" w:right="1134" w:bottom="1134" w:left="1134" w:header="567" w:footer="567" w:gutter="0"/>
          <w:cols w:space="720"/>
          <w:docGrid w:linePitch="360"/>
        </w:sectPr>
      </w:pPr>
      <w:r>
        <w:rPr>
          <w:noProof/>
        </w:rPr>
        <w:t>A se vedea tabelul de mai jos. Data de referință pentru toți indicatorii este 1 februarie 2022, cu excepția cazului în care se indică altfel în descrierea acțiunii. Sumele din tabel nu includ TVA.</w:t>
      </w:r>
      <w:r w:rsidR="00971820">
        <w:rPr>
          <w:noProof/>
        </w:rPr>
        <w:t xml:space="preserve"> </w:t>
      </w:r>
    </w:p>
    <w:tbl>
      <w:tblPr>
        <w:tblW w:w="15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89"/>
        <w:gridCol w:w="777"/>
        <w:gridCol w:w="870"/>
        <w:gridCol w:w="2215"/>
        <w:gridCol w:w="1173"/>
        <w:gridCol w:w="697"/>
        <w:gridCol w:w="987"/>
        <w:gridCol w:w="992"/>
        <w:gridCol w:w="709"/>
        <w:gridCol w:w="709"/>
        <w:gridCol w:w="5532"/>
      </w:tblGrid>
      <w:tr w:rsidR="00011DE9" w14:paraId="79D61697" w14:textId="77777777">
        <w:trPr>
          <w:trHeight w:val="309"/>
          <w:tblHeader/>
          <w:jc w:val="center"/>
        </w:trPr>
        <w:tc>
          <w:tcPr>
            <w:tcW w:w="789" w:type="dxa"/>
            <w:vMerge w:val="restart"/>
            <w:shd w:val="clear" w:color="auto" w:fill="B7D4EF"/>
            <w:noWrap/>
            <w:vAlign w:val="center"/>
          </w:tcPr>
          <w:p w14:paraId="093FFA76" w14:textId="77777777" w:rsidR="00011DE9" w:rsidRDefault="00011DE9">
            <w:pPr>
              <w:pStyle w:val="P68B1DB1-Normal18"/>
              <w:spacing w:after="0"/>
              <w:jc w:val="center"/>
              <w:rPr>
                <w:rFonts w:cs="Times New Roman"/>
                <w:noProof/>
                <w:szCs w:val="18"/>
              </w:rPr>
            </w:pPr>
            <w:r>
              <w:rPr>
                <w:noProof/>
              </w:rPr>
              <w:t>Număr</w:t>
            </w:r>
          </w:p>
        </w:tc>
        <w:tc>
          <w:tcPr>
            <w:tcW w:w="777" w:type="dxa"/>
            <w:vMerge w:val="restart"/>
            <w:shd w:val="clear" w:color="auto" w:fill="B7D4EF"/>
            <w:noWrap/>
            <w:vAlign w:val="center"/>
          </w:tcPr>
          <w:p w14:paraId="767831B8" w14:textId="77777777" w:rsidR="00011DE9" w:rsidRDefault="00011DE9">
            <w:pPr>
              <w:pStyle w:val="P68B1DB1-Normal18"/>
              <w:spacing w:after="0"/>
              <w:jc w:val="center"/>
              <w:rPr>
                <w:rFonts w:cs="Times New Roman"/>
                <w:noProof/>
                <w:szCs w:val="18"/>
              </w:rPr>
            </w:pPr>
            <w:r>
              <w:rPr>
                <w:noProof/>
              </w:rPr>
              <w:t>Măsură</w:t>
            </w:r>
          </w:p>
        </w:tc>
        <w:tc>
          <w:tcPr>
            <w:tcW w:w="870" w:type="dxa"/>
            <w:vMerge w:val="restart"/>
            <w:shd w:val="clear" w:color="auto" w:fill="B7D4EF"/>
            <w:noWrap/>
            <w:vAlign w:val="center"/>
          </w:tcPr>
          <w:p w14:paraId="7C184A2A" w14:textId="42E9E432" w:rsidR="00011DE9" w:rsidRDefault="00011DE9">
            <w:pPr>
              <w:spacing w:after="0"/>
              <w:jc w:val="center"/>
              <w:rPr>
                <w:rFonts w:ascii="Times New Roman" w:hAnsi="Times New Roman" w:cs="Times New Roman"/>
                <w:b/>
                <w:noProof/>
                <w:sz w:val="18"/>
                <w:szCs w:val="18"/>
              </w:rPr>
            </w:pPr>
            <w:r>
              <w:rPr>
                <w:rFonts w:ascii="Times New Roman" w:hAnsi="Times New Roman"/>
                <w:b/>
                <w:noProof/>
                <w:sz w:val="18"/>
              </w:rPr>
              <w:t>Etapă</w:t>
            </w:r>
            <w:r w:rsidR="00971820">
              <w:rPr>
                <w:noProof/>
              </w:rPr>
              <w:t xml:space="preserve"> </w:t>
            </w:r>
            <w:r>
              <w:rPr>
                <w:noProof/>
              </w:rPr>
              <w:br/>
            </w:r>
            <w:r>
              <w:rPr>
                <w:rFonts w:ascii="Times New Roman" w:hAnsi="Times New Roman"/>
                <w:b/>
                <w:noProof/>
                <w:sz w:val="18"/>
              </w:rPr>
              <w:t xml:space="preserve"> /Țintei</w:t>
            </w:r>
          </w:p>
        </w:tc>
        <w:tc>
          <w:tcPr>
            <w:tcW w:w="2215" w:type="dxa"/>
            <w:vMerge w:val="restart"/>
            <w:shd w:val="clear" w:color="auto" w:fill="B7D4EF"/>
            <w:noWrap/>
            <w:vAlign w:val="center"/>
          </w:tcPr>
          <w:p w14:paraId="4AE223DE" w14:textId="77777777" w:rsidR="00011DE9" w:rsidRDefault="00011DE9">
            <w:pPr>
              <w:pStyle w:val="P68B1DB1-Normal18"/>
              <w:spacing w:after="0"/>
              <w:jc w:val="center"/>
              <w:rPr>
                <w:rFonts w:cs="Times New Roman"/>
                <w:noProof/>
                <w:szCs w:val="18"/>
              </w:rPr>
            </w:pPr>
            <w:r>
              <w:rPr>
                <w:noProof/>
              </w:rPr>
              <w:t>Nume</w:t>
            </w:r>
          </w:p>
        </w:tc>
        <w:tc>
          <w:tcPr>
            <w:tcW w:w="1173" w:type="dxa"/>
            <w:vMerge w:val="restart"/>
            <w:shd w:val="clear" w:color="auto" w:fill="B7D4EF"/>
            <w:noWrap/>
            <w:vAlign w:val="center"/>
          </w:tcPr>
          <w:p w14:paraId="6086EA2A" w14:textId="77777777" w:rsidR="00011DE9" w:rsidRDefault="00011DE9">
            <w:pPr>
              <w:pStyle w:val="P68B1DB1-Normal18"/>
              <w:spacing w:after="0"/>
              <w:jc w:val="center"/>
              <w:rPr>
                <w:rFonts w:cs="Times New Roman"/>
                <w:noProof/>
                <w:szCs w:val="18"/>
              </w:rPr>
            </w:pPr>
            <w:r>
              <w:rPr>
                <w:noProof/>
              </w:rPr>
              <w:t>Indicator calitativ pentru jaloane</w:t>
            </w:r>
          </w:p>
        </w:tc>
        <w:tc>
          <w:tcPr>
            <w:tcW w:w="2676" w:type="dxa"/>
            <w:gridSpan w:val="3"/>
            <w:shd w:val="clear" w:color="auto" w:fill="B7D4EF"/>
            <w:noWrap/>
            <w:vAlign w:val="center"/>
          </w:tcPr>
          <w:p w14:paraId="32D24A64" w14:textId="77777777" w:rsidR="00011DE9" w:rsidRDefault="00011DE9">
            <w:pPr>
              <w:pStyle w:val="P68B1DB1-Normal18"/>
              <w:spacing w:after="0"/>
              <w:jc w:val="center"/>
              <w:rPr>
                <w:rFonts w:cs="Times New Roman"/>
                <w:noProof/>
                <w:szCs w:val="18"/>
              </w:rPr>
            </w:pPr>
            <w:r>
              <w:rPr>
                <w:noProof/>
              </w:rPr>
              <w:t>Indicator cantitativ pentru ținte</w:t>
            </w:r>
          </w:p>
        </w:tc>
        <w:tc>
          <w:tcPr>
            <w:tcW w:w="1418" w:type="dxa"/>
            <w:gridSpan w:val="2"/>
            <w:shd w:val="clear" w:color="auto" w:fill="B7D4EF"/>
            <w:noWrap/>
            <w:vAlign w:val="center"/>
          </w:tcPr>
          <w:p w14:paraId="487C9ED7" w14:textId="77777777" w:rsidR="00011DE9" w:rsidRDefault="00011DE9">
            <w:pPr>
              <w:pStyle w:val="P68B1DB1-Normal18"/>
              <w:spacing w:after="0"/>
              <w:jc w:val="center"/>
              <w:rPr>
                <w:rFonts w:cs="Times New Roman"/>
                <w:noProof/>
                <w:szCs w:val="18"/>
              </w:rPr>
            </w:pPr>
            <w:r>
              <w:rPr>
                <w:noProof/>
              </w:rPr>
              <w:t>Timp</w:t>
            </w:r>
          </w:p>
        </w:tc>
        <w:tc>
          <w:tcPr>
            <w:tcW w:w="5532" w:type="dxa"/>
            <w:vMerge w:val="restart"/>
            <w:shd w:val="clear" w:color="auto" w:fill="B7D4EF"/>
            <w:noWrap/>
            <w:vAlign w:val="center"/>
          </w:tcPr>
          <w:p w14:paraId="6FE68701" w14:textId="77777777" w:rsidR="00011DE9" w:rsidRDefault="00011DE9">
            <w:pPr>
              <w:pStyle w:val="P68B1DB1-Normal18"/>
              <w:spacing w:after="0"/>
              <w:jc w:val="center"/>
              <w:rPr>
                <w:rFonts w:cs="Times New Roman"/>
                <w:noProof/>
                <w:szCs w:val="18"/>
              </w:rPr>
            </w:pPr>
            <w:r>
              <w:rPr>
                <w:noProof/>
              </w:rPr>
              <w:t>Descrierea fiecărui jalon și a fiecărei ținte</w:t>
            </w:r>
          </w:p>
        </w:tc>
      </w:tr>
      <w:tr w:rsidR="00011DE9" w14:paraId="2D25CDC1" w14:textId="77777777">
        <w:trPr>
          <w:trHeight w:val="309"/>
          <w:tblHeader/>
          <w:jc w:val="center"/>
        </w:trPr>
        <w:tc>
          <w:tcPr>
            <w:tcW w:w="789" w:type="dxa"/>
            <w:vMerge/>
            <w:noWrap/>
          </w:tcPr>
          <w:p w14:paraId="252D87FB" w14:textId="77777777" w:rsidR="00011DE9" w:rsidRDefault="00011DE9">
            <w:pPr>
              <w:spacing w:after="0"/>
              <w:jc w:val="center"/>
              <w:rPr>
                <w:rFonts w:ascii="Times New Roman" w:hAnsi="Times New Roman" w:cs="Times New Roman"/>
                <w:b/>
                <w:noProof/>
                <w:sz w:val="18"/>
                <w:szCs w:val="18"/>
              </w:rPr>
            </w:pPr>
          </w:p>
        </w:tc>
        <w:tc>
          <w:tcPr>
            <w:tcW w:w="777" w:type="dxa"/>
            <w:vMerge/>
            <w:noWrap/>
          </w:tcPr>
          <w:p w14:paraId="5EC67C07" w14:textId="77777777" w:rsidR="00011DE9" w:rsidRDefault="00011DE9">
            <w:pPr>
              <w:spacing w:after="0"/>
              <w:jc w:val="center"/>
              <w:rPr>
                <w:rFonts w:ascii="Times New Roman" w:hAnsi="Times New Roman" w:cs="Times New Roman"/>
                <w:b/>
                <w:noProof/>
                <w:sz w:val="18"/>
                <w:szCs w:val="18"/>
              </w:rPr>
            </w:pPr>
          </w:p>
        </w:tc>
        <w:tc>
          <w:tcPr>
            <w:tcW w:w="870" w:type="dxa"/>
            <w:vMerge/>
            <w:noWrap/>
          </w:tcPr>
          <w:p w14:paraId="7F90FC32" w14:textId="77777777" w:rsidR="00011DE9" w:rsidRDefault="00011DE9">
            <w:pPr>
              <w:spacing w:after="0"/>
              <w:jc w:val="center"/>
              <w:rPr>
                <w:rFonts w:ascii="Times New Roman" w:hAnsi="Times New Roman" w:cs="Times New Roman"/>
                <w:b/>
                <w:noProof/>
                <w:sz w:val="18"/>
                <w:szCs w:val="18"/>
              </w:rPr>
            </w:pPr>
          </w:p>
        </w:tc>
        <w:tc>
          <w:tcPr>
            <w:tcW w:w="2215" w:type="dxa"/>
            <w:vMerge/>
            <w:noWrap/>
          </w:tcPr>
          <w:p w14:paraId="7827FA54" w14:textId="77777777" w:rsidR="00011DE9" w:rsidRDefault="00011DE9">
            <w:pPr>
              <w:spacing w:after="0"/>
              <w:rPr>
                <w:rFonts w:ascii="Times New Roman" w:hAnsi="Times New Roman" w:cs="Times New Roman"/>
                <w:b/>
                <w:noProof/>
                <w:sz w:val="18"/>
                <w:szCs w:val="18"/>
              </w:rPr>
            </w:pPr>
          </w:p>
        </w:tc>
        <w:tc>
          <w:tcPr>
            <w:tcW w:w="1173" w:type="dxa"/>
            <w:vMerge/>
            <w:noWrap/>
          </w:tcPr>
          <w:p w14:paraId="30BB6592" w14:textId="77777777" w:rsidR="00011DE9" w:rsidRDefault="00011DE9">
            <w:pPr>
              <w:spacing w:after="0"/>
              <w:jc w:val="center"/>
              <w:rPr>
                <w:rFonts w:ascii="Times New Roman" w:hAnsi="Times New Roman" w:cs="Times New Roman"/>
                <w:b/>
                <w:noProof/>
                <w:sz w:val="18"/>
                <w:szCs w:val="18"/>
              </w:rPr>
            </w:pPr>
          </w:p>
        </w:tc>
        <w:tc>
          <w:tcPr>
            <w:tcW w:w="697" w:type="dxa"/>
            <w:shd w:val="clear" w:color="auto" w:fill="B7D4EF"/>
            <w:noWrap/>
          </w:tcPr>
          <w:p w14:paraId="20347206" w14:textId="77777777" w:rsidR="00011DE9" w:rsidRDefault="00011DE9">
            <w:pPr>
              <w:pStyle w:val="P68B1DB1-Normal18"/>
              <w:spacing w:after="0"/>
              <w:jc w:val="center"/>
              <w:rPr>
                <w:rFonts w:cs="Times New Roman"/>
                <w:noProof/>
                <w:szCs w:val="18"/>
              </w:rPr>
            </w:pPr>
            <w:r>
              <w:rPr>
                <w:noProof/>
              </w:rPr>
              <w:t>Unitate</w:t>
            </w:r>
          </w:p>
        </w:tc>
        <w:tc>
          <w:tcPr>
            <w:tcW w:w="987" w:type="dxa"/>
            <w:shd w:val="clear" w:color="auto" w:fill="B7D4EF"/>
            <w:noWrap/>
          </w:tcPr>
          <w:p w14:paraId="17071DCF" w14:textId="77777777" w:rsidR="00011DE9" w:rsidRDefault="00011DE9">
            <w:pPr>
              <w:pStyle w:val="P68B1DB1-Normal18"/>
              <w:spacing w:after="0"/>
              <w:jc w:val="center"/>
              <w:rPr>
                <w:rFonts w:cs="Times New Roman"/>
                <w:noProof/>
                <w:szCs w:val="18"/>
              </w:rPr>
            </w:pPr>
            <w:r>
              <w:rPr>
                <w:noProof/>
              </w:rPr>
              <w:t>Situația de referință</w:t>
            </w:r>
          </w:p>
        </w:tc>
        <w:tc>
          <w:tcPr>
            <w:tcW w:w="992" w:type="dxa"/>
            <w:shd w:val="clear" w:color="auto" w:fill="B7D4EF"/>
            <w:noWrap/>
          </w:tcPr>
          <w:p w14:paraId="070F4892" w14:textId="77777777" w:rsidR="00011DE9" w:rsidRDefault="00011DE9">
            <w:pPr>
              <w:pStyle w:val="P68B1DB1-Normal18"/>
              <w:spacing w:after="0"/>
              <w:jc w:val="center"/>
              <w:rPr>
                <w:rFonts w:cs="Times New Roman"/>
                <w:noProof/>
                <w:szCs w:val="18"/>
              </w:rPr>
            </w:pPr>
            <w:r>
              <w:rPr>
                <w:noProof/>
              </w:rPr>
              <w:t>Obiectiv</w:t>
            </w:r>
          </w:p>
        </w:tc>
        <w:tc>
          <w:tcPr>
            <w:tcW w:w="709" w:type="dxa"/>
            <w:shd w:val="clear" w:color="auto" w:fill="B7D4EF"/>
            <w:noWrap/>
          </w:tcPr>
          <w:p w14:paraId="705FCF9E" w14:textId="2A315AF3" w:rsidR="00011DE9" w:rsidRDefault="003010A3">
            <w:pPr>
              <w:pStyle w:val="P68B1DB1-Normal18"/>
              <w:spacing w:after="0"/>
              <w:jc w:val="center"/>
              <w:rPr>
                <w:rFonts w:cs="Times New Roman"/>
                <w:noProof/>
                <w:szCs w:val="18"/>
              </w:rPr>
            </w:pPr>
            <w:r>
              <w:rPr>
                <w:noProof/>
              </w:rPr>
              <w:t>T</w:t>
            </w:r>
          </w:p>
        </w:tc>
        <w:tc>
          <w:tcPr>
            <w:tcW w:w="709" w:type="dxa"/>
            <w:shd w:val="clear" w:color="auto" w:fill="B7D4EF"/>
            <w:noWrap/>
          </w:tcPr>
          <w:p w14:paraId="26ACE4A6" w14:textId="77777777" w:rsidR="00011DE9" w:rsidRDefault="00011DE9">
            <w:pPr>
              <w:pStyle w:val="P68B1DB1-Normal18"/>
              <w:spacing w:after="0"/>
              <w:jc w:val="center"/>
              <w:rPr>
                <w:rFonts w:cs="Times New Roman"/>
                <w:noProof/>
                <w:szCs w:val="18"/>
              </w:rPr>
            </w:pPr>
            <w:r>
              <w:rPr>
                <w:noProof/>
              </w:rPr>
              <w:t>Anul</w:t>
            </w:r>
          </w:p>
        </w:tc>
        <w:tc>
          <w:tcPr>
            <w:tcW w:w="5532" w:type="dxa"/>
            <w:vMerge/>
            <w:noWrap/>
          </w:tcPr>
          <w:p w14:paraId="51CC7EB5" w14:textId="77777777" w:rsidR="00011DE9" w:rsidRDefault="00011DE9">
            <w:pPr>
              <w:spacing w:after="0"/>
              <w:rPr>
                <w:rFonts w:ascii="Times New Roman" w:hAnsi="Times New Roman" w:cs="Times New Roman"/>
                <w:b/>
                <w:noProof/>
                <w:sz w:val="18"/>
                <w:szCs w:val="18"/>
              </w:rPr>
            </w:pPr>
          </w:p>
        </w:tc>
      </w:tr>
      <w:tr w:rsidR="00011DE9" w14:paraId="2B0DD3DF" w14:textId="77777777">
        <w:trPr>
          <w:trHeight w:val="309"/>
          <w:jc w:val="center"/>
        </w:trPr>
        <w:tc>
          <w:tcPr>
            <w:tcW w:w="789" w:type="dxa"/>
            <w:shd w:val="clear" w:color="auto" w:fill="C6EFCE"/>
            <w:noWrap/>
          </w:tcPr>
          <w:p w14:paraId="1E534373" w14:textId="77777777" w:rsidR="00011DE9" w:rsidRDefault="00011DE9">
            <w:pPr>
              <w:pStyle w:val="P68B1DB1-Normal19"/>
              <w:spacing w:after="0"/>
              <w:jc w:val="center"/>
              <w:rPr>
                <w:rFonts w:eastAsia="Times New Roman"/>
                <w:noProof/>
              </w:rPr>
            </w:pPr>
            <w:r>
              <w:rPr>
                <w:noProof/>
              </w:rPr>
              <w:t>477</w:t>
            </w:r>
          </w:p>
        </w:tc>
        <w:tc>
          <w:tcPr>
            <w:tcW w:w="777" w:type="dxa"/>
            <w:shd w:val="clear" w:color="auto" w:fill="C6EFCE"/>
            <w:noWrap/>
          </w:tcPr>
          <w:p w14:paraId="7B4F608D" w14:textId="77777777" w:rsidR="00011DE9" w:rsidRDefault="00011DE9">
            <w:pPr>
              <w:pStyle w:val="P68B1DB1-Normal19"/>
              <w:spacing w:after="0"/>
              <w:jc w:val="center"/>
              <w:rPr>
                <w:rFonts w:eastAsia="Times New Roman"/>
                <w:noProof/>
              </w:rPr>
            </w:pPr>
            <w:r>
              <w:rPr>
                <w:noProof/>
              </w:rPr>
              <w:t>C31.R1</w:t>
            </w:r>
          </w:p>
        </w:tc>
        <w:tc>
          <w:tcPr>
            <w:tcW w:w="870" w:type="dxa"/>
            <w:shd w:val="clear" w:color="auto" w:fill="C6EFCE"/>
            <w:noWrap/>
          </w:tcPr>
          <w:p w14:paraId="2F37EFE5" w14:textId="77777777" w:rsidR="00011DE9" w:rsidRDefault="00011DE9">
            <w:pPr>
              <w:pStyle w:val="P68B1DB1-Normal19"/>
              <w:spacing w:after="0"/>
              <w:jc w:val="center"/>
              <w:rPr>
                <w:rFonts w:eastAsia="Times New Roman"/>
                <w:noProof/>
              </w:rPr>
            </w:pPr>
            <w:r>
              <w:rPr>
                <w:noProof/>
              </w:rPr>
              <w:t>M</w:t>
            </w:r>
          </w:p>
        </w:tc>
        <w:tc>
          <w:tcPr>
            <w:tcW w:w="2215" w:type="dxa"/>
            <w:shd w:val="clear" w:color="auto" w:fill="C6EFCE"/>
            <w:noWrap/>
          </w:tcPr>
          <w:p w14:paraId="0FFAE29C" w14:textId="77777777" w:rsidR="00011DE9" w:rsidRDefault="00011DE9">
            <w:pPr>
              <w:pStyle w:val="P68B1DB1-Normal19"/>
              <w:spacing w:after="0" w:line="240" w:lineRule="auto"/>
              <w:rPr>
                <w:rFonts w:eastAsia="Times New Roman"/>
                <w:noProof/>
              </w:rPr>
            </w:pPr>
            <w:r>
              <w:rPr>
                <w:noProof/>
              </w:rPr>
              <w:t>Reforma privind îmbunătățirea autorizării producției de energie din surse regenerabile și a infrastructurii rețelei de energie electrică</w:t>
            </w:r>
          </w:p>
        </w:tc>
        <w:tc>
          <w:tcPr>
            <w:tcW w:w="1173" w:type="dxa"/>
            <w:shd w:val="clear" w:color="auto" w:fill="C6EFCE"/>
            <w:noWrap/>
          </w:tcPr>
          <w:p w14:paraId="26D439EA" w14:textId="77777777" w:rsidR="00011DE9" w:rsidRDefault="00011DE9">
            <w:pPr>
              <w:pStyle w:val="P68B1DB1-Normal19"/>
              <w:spacing w:after="0" w:line="240" w:lineRule="auto"/>
              <w:rPr>
                <w:rFonts w:eastAsia="Times New Roman"/>
                <w:noProof/>
              </w:rPr>
            </w:pPr>
            <w:r>
              <w:rPr>
                <w:noProof/>
              </w:rPr>
              <w:t>Intrarea în vigoare a dispozițiilor actelor juridice relevante</w:t>
            </w:r>
          </w:p>
        </w:tc>
        <w:tc>
          <w:tcPr>
            <w:tcW w:w="697" w:type="dxa"/>
            <w:shd w:val="clear" w:color="auto" w:fill="C6EFCE"/>
            <w:noWrap/>
          </w:tcPr>
          <w:p w14:paraId="36BE852C" w14:textId="77777777" w:rsidR="00011DE9" w:rsidRDefault="00011DE9">
            <w:pPr>
              <w:spacing w:after="0"/>
              <w:jc w:val="center"/>
              <w:rPr>
                <w:rFonts w:ascii="Times New Roman" w:eastAsia="Times New Roman" w:hAnsi="Times New Roman" w:cs="Times New Roman"/>
                <w:noProof/>
                <w:sz w:val="18"/>
                <w:szCs w:val="18"/>
              </w:rPr>
            </w:pPr>
          </w:p>
        </w:tc>
        <w:tc>
          <w:tcPr>
            <w:tcW w:w="987" w:type="dxa"/>
            <w:shd w:val="clear" w:color="auto" w:fill="C6EFCE"/>
            <w:noWrap/>
          </w:tcPr>
          <w:p w14:paraId="4607C78B" w14:textId="77777777" w:rsidR="00011DE9" w:rsidRDefault="00011DE9">
            <w:pPr>
              <w:spacing w:after="0"/>
              <w:jc w:val="right"/>
              <w:rPr>
                <w:rFonts w:ascii="Times New Roman" w:eastAsia="Times New Roman" w:hAnsi="Times New Roman" w:cs="Times New Roman"/>
                <w:noProof/>
                <w:sz w:val="18"/>
                <w:szCs w:val="18"/>
              </w:rPr>
            </w:pPr>
          </w:p>
        </w:tc>
        <w:tc>
          <w:tcPr>
            <w:tcW w:w="992" w:type="dxa"/>
            <w:shd w:val="clear" w:color="auto" w:fill="C6EFCE"/>
            <w:noWrap/>
          </w:tcPr>
          <w:p w14:paraId="337F022E" w14:textId="77777777" w:rsidR="00011DE9" w:rsidRDefault="00011DE9">
            <w:pPr>
              <w:spacing w:after="0"/>
              <w:jc w:val="right"/>
              <w:rPr>
                <w:rFonts w:ascii="Times New Roman" w:eastAsia="Times New Roman" w:hAnsi="Times New Roman" w:cs="Times New Roman"/>
                <w:noProof/>
                <w:sz w:val="18"/>
                <w:szCs w:val="18"/>
              </w:rPr>
            </w:pPr>
          </w:p>
        </w:tc>
        <w:tc>
          <w:tcPr>
            <w:tcW w:w="709" w:type="dxa"/>
            <w:shd w:val="clear" w:color="auto" w:fill="C6EFCE"/>
            <w:noWrap/>
          </w:tcPr>
          <w:p w14:paraId="2A835AA8" w14:textId="3EF018FE" w:rsidR="00011DE9" w:rsidRDefault="005701C9">
            <w:pPr>
              <w:pStyle w:val="P68B1DB1-Normal19"/>
              <w:spacing w:after="0"/>
              <w:jc w:val="center"/>
              <w:rPr>
                <w:rFonts w:eastAsia="Times New Roman"/>
                <w:noProof/>
              </w:rPr>
            </w:pPr>
            <w:r>
              <w:rPr>
                <w:noProof/>
              </w:rPr>
              <w:t>T2</w:t>
            </w:r>
          </w:p>
        </w:tc>
        <w:tc>
          <w:tcPr>
            <w:tcW w:w="709" w:type="dxa"/>
            <w:shd w:val="clear" w:color="auto" w:fill="C6EFCE"/>
            <w:noWrap/>
          </w:tcPr>
          <w:p w14:paraId="0C399E80" w14:textId="77777777" w:rsidR="00011DE9" w:rsidRDefault="00011DE9">
            <w:pPr>
              <w:pStyle w:val="P68B1DB1-Normal19"/>
              <w:spacing w:after="0"/>
              <w:jc w:val="center"/>
              <w:rPr>
                <w:rFonts w:eastAsia="Times New Roman"/>
                <w:noProof/>
              </w:rPr>
            </w:pPr>
            <w:r>
              <w:rPr>
                <w:noProof/>
              </w:rPr>
              <w:t>2023</w:t>
            </w:r>
          </w:p>
        </w:tc>
        <w:tc>
          <w:tcPr>
            <w:tcW w:w="5532" w:type="dxa"/>
            <w:shd w:val="clear" w:color="auto" w:fill="C6EFCE"/>
            <w:noWrap/>
          </w:tcPr>
          <w:p w14:paraId="19824235" w14:textId="77777777" w:rsidR="00011DE9" w:rsidRDefault="00011DE9">
            <w:pPr>
              <w:pStyle w:val="P68B1DB1-Normal19"/>
              <w:spacing w:after="0" w:line="240" w:lineRule="auto"/>
              <w:rPr>
                <w:rFonts w:eastAsia="Times New Roman"/>
                <w:noProof/>
              </w:rPr>
            </w:pPr>
            <w:r>
              <w:rPr>
                <w:noProof/>
              </w:rPr>
              <w:t>Acest jalon include două elemente.</w:t>
            </w:r>
          </w:p>
          <w:p w14:paraId="3532BD74" w14:textId="77777777" w:rsidR="00011DE9" w:rsidRDefault="00011DE9">
            <w:pPr>
              <w:pStyle w:val="P68B1DB1-ListParagraph43"/>
              <w:numPr>
                <w:ilvl w:val="0"/>
                <w:numId w:val="197"/>
              </w:numPr>
              <w:spacing w:after="0" w:line="240" w:lineRule="auto"/>
              <w:rPr>
                <w:rFonts w:eastAsia="Times New Roman" w:cs="Times New Roman"/>
                <w:noProof/>
                <w:szCs w:val="18"/>
              </w:rPr>
            </w:pPr>
            <w:r>
              <w:rPr>
                <w:noProof/>
              </w:rPr>
              <w:t xml:space="preserve">În primul rând, intrarea în vigoare a Decretelor-lege regale 14/2022, 17/2022, 18/2022 și 20/2022. Măsurile din domeniul energiei prevăzute în aceste decrete-legi regale vizează simplificarea procedurilor de autorizare pentru proiectele privind energia din surse regenerabile și infrastructura rețelei de energie electrică. </w:t>
            </w:r>
          </w:p>
          <w:p w14:paraId="769AC894" w14:textId="77777777" w:rsidR="00011DE9" w:rsidRDefault="00011DE9">
            <w:pPr>
              <w:pStyle w:val="P68B1DB1-ListParagraph43"/>
              <w:numPr>
                <w:ilvl w:val="0"/>
                <w:numId w:val="197"/>
              </w:numPr>
              <w:spacing w:after="0" w:line="240" w:lineRule="auto"/>
              <w:rPr>
                <w:rFonts w:eastAsia="Times New Roman" w:cs="Times New Roman"/>
                <w:noProof/>
                <w:szCs w:val="18"/>
              </w:rPr>
            </w:pPr>
            <w:r>
              <w:rPr>
                <w:noProof/>
              </w:rPr>
              <w:t>În al doilea rând, intrarea în vigoare a Ordinului TED/189/2023 de instituire a unei noi unități administrative în cadrul administrației centrale care sprijină prelucrarea cererilor de autorizare a proiectelor privind energia din surse regenerabile.</w:t>
            </w:r>
          </w:p>
        </w:tc>
      </w:tr>
      <w:tr w:rsidR="00011DE9" w14:paraId="56A4EF60" w14:textId="77777777">
        <w:trPr>
          <w:trHeight w:val="761"/>
          <w:jc w:val="center"/>
        </w:trPr>
        <w:tc>
          <w:tcPr>
            <w:tcW w:w="789" w:type="dxa"/>
            <w:shd w:val="clear" w:color="auto" w:fill="C6EFCE"/>
            <w:noWrap/>
          </w:tcPr>
          <w:p w14:paraId="4C85E076" w14:textId="77777777" w:rsidR="00011DE9" w:rsidRDefault="00011DE9">
            <w:pPr>
              <w:pStyle w:val="P68B1DB1-Normal19"/>
              <w:spacing w:after="0"/>
              <w:jc w:val="center"/>
              <w:rPr>
                <w:rFonts w:eastAsia="Times New Roman"/>
                <w:noProof/>
              </w:rPr>
            </w:pPr>
            <w:r>
              <w:rPr>
                <w:noProof/>
              </w:rPr>
              <w:t>478</w:t>
            </w:r>
          </w:p>
        </w:tc>
        <w:tc>
          <w:tcPr>
            <w:tcW w:w="777" w:type="dxa"/>
            <w:shd w:val="clear" w:color="auto" w:fill="C6EFCE"/>
            <w:noWrap/>
          </w:tcPr>
          <w:p w14:paraId="4700EF86" w14:textId="77777777" w:rsidR="00011DE9" w:rsidRDefault="00011DE9">
            <w:pPr>
              <w:pStyle w:val="P68B1DB1-Normal19"/>
              <w:spacing w:after="0"/>
              <w:jc w:val="center"/>
              <w:rPr>
                <w:rFonts w:eastAsia="Times New Roman"/>
                <w:noProof/>
              </w:rPr>
            </w:pPr>
            <w:r>
              <w:rPr>
                <w:noProof/>
              </w:rPr>
              <w:t>C31.I1</w:t>
            </w:r>
          </w:p>
        </w:tc>
        <w:tc>
          <w:tcPr>
            <w:tcW w:w="870" w:type="dxa"/>
            <w:shd w:val="clear" w:color="auto" w:fill="C6EFCE"/>
            <w:noWrap/>
          </w:tcPr>
          <w:p w14:paraId="09F1CDA9" w14:textId="77777777" w:rsidR="00011DE9" w:rsidRDefault="00011DE9">
            <w:pPr>
              <w:pStyle w:val="P68B1DB1-Normal19"/>
              <w:spacing w:after="0"/>
              <w:jc w:val="center"/>
              <w:rPr>
                <w:rFonts w:eastAsia="Times New Roman"/>
                <w:noProof/>
              </w:rPr>
            </w:pPr>
            <w:r>
              <w:rPr>
                <w:noProof/>
              </w:rPr>
              <w:t>T</w:t>
            </w:r>
          </w:p>
        </w:tc>
        <w:tc>
          <w:tcPr>
            <w:tcW w:w="2215" w:type="dxa"/>
            <w:shd w:val="clear" w:color="auto" w:fill="C6EFCE"/>
            <w:noWrap/>
          </w:tcPr>
          <w:p w14:paraId="1C6B880A" w14:textId="77777777" w:rsidR="00011DE9" w:rsidRDefault="00011DE9">
            <w:pPr>
              <w:pStyle w:val="P68B1DB1-Normal19"/>
              <w:spacing w:after="0" w:line="240" w:lineRule="auto"/>
              <w:rPr>
                <w:rFonts w:eastAsia="Times New Roman"/>
                <w:noProof/>
              </w:rPr>
            </w:pPr>
            <w:r>
              <w:rPr>
                <w:noProof/>
              </w:rPr>
              <w:t xml:space="preserve">Investiții care promovează stocarea energiei sau autoconsumul pe baza producției de energie din surse regenerabile sau a stocării din spatele contorului: Rapoarte finale </w:t>
            </w:r>
          </w:p>
        </w:tc>
        <w:tc>
          <w:tcPr>
            <w:tcW w:w="1173" w:type="dxa"/>
            <w:shd w:val="clear" w:color="auto" w:fill="C6EFCE"/>
            <w:noWrap/>
          </w:tcPr>
          <w:p w14:paraId="644EB196" w14:textId="77777777" w:rsidR="00011DE9" w:rsidRDefault="00011DE9">
            <w:pPr>
              <w:spacing w:after="0"/>
              <w:rPr>
                <w:rFonts w:ascii="Times New Roman" w:eastAsia="Times New Roman" w:hAnsi="Times New Roman" w:cs="Times New Roman"/>
                <w:noProof/>
                <w:sz w:val="18"/>
                <w:szCs w:val="18"/>
              </w:rPr>
            </w:pPr>
          </w:p>
        </w:tc>
        <w:tc>
          <w:tcPr>
            <w:tcW w:w="697" w:type="dxa"/>
            <w:shd w:val="clear" w:color="auto" w:fill="C6EFCE"/>
            <w:noWrap/>
          </w:tcPr>
          <w:p w14:paraId="39FFAC0C" w14:textId="77777777" w:rsidR="00011DE9" w:rsidRDefault="00011DE9">
            <w:pPr>
              <w:pStyle w:val="P68B1DB1-Normal19"/>
              <w:spacing w:after="0"/>
              <w:jc w:val="center"/>
              <w:rPr>
                <w:rFonts w:eastAsia="Times New Roman"/>
                <w:noProof/>
              </w:rPr>
            </w:pPr>
            <w:r>
              <w:rPr>
                <w:noProof/>
              </w:rPr>
              <w:t>MW</w:t>
            </w:r>
          </w:p>
        </w:tc>
        <w:tc>
          <w:tcPr>
            <w:tcW w:w="987" w:type="dxa"/>
            <w:shd w:val="clear" w:color="auto" w:fill="C6EFCE"/>
            <w:noWrap/>
          </w:tcPr>
          <w:p w14:paraId="2078190F" w14:textId="77777777" w:rsidR="00011DE9" w:rsidRDefault="00011DE9">
            <w:pPr>
              <w:pStyle w:val="P68B1DB1-Normal19"/>
              <w:spacing w:after="0"/>
              <w:jc w:val="right"/>
              <w:rPr>
                <w:noProof/>
                <w:highlight w:val="yellow"/>
              </w:rPr>
            </w:pPr>
            <w:r>
              <w:rPr>
                <w:noProof/>
              </w:rPr>
              <w:t>2 811</w:t>
            </w:r>
          </w:p>
        </w:tc>
        <w:tc>
          <w:tcPr>
            <w:tcW w:w="992" w:type="dxa"/>
            <w:shd w:val="clear" w:color="auto" w:fill="C6EFCE"/>
            <w:noWrap/>
          </w:tcPr>
          <w:p w14:paraId="3A661FFA" w14:textId="77777777" w:rsidR="00011DE9" w:rsidRDefault="00011DE9">
            <w:pPr>
              <w:pStyle w:val="P68B1DB1-Normal19"/>
              <w:spacing w:after="0"/>
              <w:jc w:val="right"/>
              <w:rPr>
                <w:rFonts w:eastAsia="Times New Roman"/>
                <w:noProof/>
              </w:rPr>
            </w:pPr>
            <w:r>
              <w:rPr>
                <w:noProof/>
              </w:rPr>
              <w:t>3 337</w:t>
            </w:r>
          </w:p>
        </w:tc>
        <w:tc>
          <w:tcPr>
            <w:tcW w:w="709" w:type="dxa"/>
            <w:shd w:val="clear" w:color="auto" w:fill="C6EFCE"/>
            <w:noWrap/>
          </w:tcPr>
          <w:p w14:paraId="7AE59741" w14:textId="1C8D467B" w:rsidR="00011DE9" w:rsidRDefault="005701C9">
            <w:pPr>
              <w:pStyle w:val="P68B1DB1-Normal19"/>
              <w:spacing w:after="0"/>
              <w:jc w:val="center"/>
              <w:rPr>
                <w:rFonts w:eastAsia="Times New Roman"/>
                <w:noProof/>
              </w:rPr>
            </w:pPr>
            <w:r>
              <w:rPr>
                <w:noProof/>
              </w:rPr>
              <w:t>T2</w:t>
            </w:r>
            <w:r w:rsidR="00011DE9">
              <w:rPr>
                <w:noProof/>
              </w:rPr>
              <w:t xml:space="preserve"> </w:t>
            </w:r>
          </w:p>
        </w:tc>
        <w:tc>
          <w:tcPr>
            <w:tcW w:w="709" w:type="dxa"/>
            <w:shd w:val="clear" w:color="auto" w:fill="C6EFCE"/>
            <w:noWrap/>
          </w:tcPr>
          <w:p w14:paraId="54E885DC" w14:textId="77777777" w:rsidR="00011DE9" w:rsidRDefault="00011DE9">
            <w:pPr>
              <w:pStyle w:val="P68B1DB1-Normal19"/>
              <w:spacing w:after="0"/>
              <w:jc w:val="center"/>
              <w:rPr>
                <w:rFonts w:eastAsia="Times New Roman"/>
                <w:noProof/>
              </w:rPr>
            </w:pPr>
            <w:r>
              <w:rPr>
                <w:noProof/>
              </w:rPr>
              <w:t>2026</w:t>
            </w:r>
          </w:p>
        </w:tc>
        <w:tc>
          <w:tcPr>
            <w:tcW w:w="5532" w:type="dxa"/>
            <w:shd w:val="clear" w:color="auto" w:fill="C6EFCE"/>
            <w:noWrap/>
          </w:tcPr>
          <w:p w14:paraId="77641C77" w14:textId="77777777" w:rsidR="00011DE9" w:rsidRDefault="00011DE9">
            <w:pPr>
              <w:pStyle w:val="P68B1DB1-Normal20"/>
              <w:spacing w:after="0" w:line="240" w:lineRule="auto"/>
              <w:rPr>
                <w:noProof/>
              </w:rPr>
            </w:pPr>
            <w:r>
              <w:rPr>
                <w:noProof/>
              </w:rPr>
              <w:t>Entitățile sau persoanele beneficiare prezintă rapoarte finale care confirmă finalizarea activităților atribuite pentru granturi legate de un număr cumulat de 526 MW de capacitate suplimentară de producție de energie din surse regenerabile sau de stocare.</w:t>
            </w:r>
          </w:p>
        </w:tc>
      </w:tr>
      <w:tr w:rsidR="00011DE9" w14:paraId="2056C857" w14:textId="77777777">
        <w:trPr>
          <w:trHeight w:val="309"/>
          <w:jc w:val="center"/>
        </w:trPr>
        <w:tc>
          <w:tcPr>
            <w:tcW w:w="789" w:type="dxa"/>
            <w:shd w:val="clear" w:color="auto" w:fill="C6EFCE"/>
            <w:noWrap/>
          </w:tcPr>
          <w:p w14:paraId="10801051" w14:textId="77777777" w:rsidR="00011DE9" w:rsidRDefault="00011DE9">
            <w:pPr>
              <w:pStyle w:val="P68B1DB1-Normal19"/>
              <w:spacing w:after="0"/>
              <w:jc w:val="center"/>
              <w:rPr>
                <w:rFonts w:eastAsia="Times New Roman"/>
                <w:noProof/>
              </w:rPr>
            </w:pPr>
            <w:r>
              <w:rPr>
                <w:noProof/>
              </w:rPr>
              <w:t>480</w:t>
            </w:r>
          </w:p>
        </w:tc>
        <w:tc>
          <w:tcPr>
            <w:tcW w:w="777" w:type="dxa"/>
            <w:shd w:val="clear" w:color="auto" w:fill="C6EFCE"/>
            <w:noWrap/>
          </w:tcPr>
          <w:p w14:paraId="1BFEB01F" w14:textId="77777777" w:rsidR="00011DE9" w:rsidRDefault="00011DE9">
            <w:pPr>
              <w:pStyle w:val="P68B1DB1-Normal19"/>
              <w:spacing w:after="0"/>
              <w:jc w:val="center"/>
              <w:rPr>
                <w:rFonts w:eastAsia="Times New Roman"/>
                <w:noProof/>
              </w:rPr>
            </w:pPr>
            <w:r>
              <w:rPr>
                <w:noProof/>
              </w:rPr>
              <w:t>C31.I2</w:t>
            </w:r>
          </w:p>
        </w:tc>
        <w:tc>
          <w:tcPr>
            <w:tcW w:w="870" w:type="dxa"/>
            <w:shd w:val="clear" w:color="auto" w:fill="C6EFCE"/>
            <w:noWrap/>
          </w:tcPr>
          <w:p w14:paraId="14B74DB0" w14:textId="77777777" w:rsidR="00011DE9" w:rsidRDefault="00011DE9">
            <w:pPr>
              <w:pStyle w:val="P68B1DB1-Normal19"/>
              <w:spacing w:after="0"/>
              <w:jc w:val="center"/>
              <w:rPr>
                <w:rFonts w:eastAsia="Times New Roman"/>
                <w:noProof/>
              </w:rPr>
            </w:pPr>
            <w:r>
              <w:rPr>
                <w:noProof/>
              </w:rPr>
              <w:t>M</w:t>
            </w:r>
          </w:p>
        </w:tc>
        <w:tc>
          <w:tcPr>
            <w:tcW w:w="2215" w:type="dxa"/>
            <w:shd w:val="clear" w:color="auto" w:fill="C6EFCE"/>
            <w:noWrap/>
          </w:tcPr>
          <w:p w14:paraId="572C03CC" w14:textId="77777777" w:rsidR="00011DE9" w:rsidRDefault="00011DE9">
            <w:pPr>
              <w:pStyle w:val="P68B1DB1-Normal20"/>
              <w:spacing w:after="0"/>
              <w:rPr>
                <w:noProof/>
              </w:rPr>
            </w:pPr>
            <w:r>
              <w:rPr>
                <w:noProof/>
              </w:rPr>
              <w:t xml:space="preserve">Schema de sprijin pentru hidrogenul din surse regenerabile: Instituirea sistemului. </w:t>
            </w:r>
          </w:p>
        </w:tc>
        <w:tc>
          <w:tcPr>
            <w:tcW w:w="1173" w:type="dxa"/>
            <w:shd w:val="clear" w:color="auto" w:fill="C6EFCE"/>
            <w:noWrap/>
          </w:tcPr>
          <w:p w14:paraId="4E9A7F0D" w14:textId="77777777" w:rsidR="00011DE9" w:rsidRDefault="00011DE9">
            <w:pPr>
              <w:pStyle w:val="P68B1DB1-Normal19"/>
              <w:spacing w:after="0" w:line="240" w:lineRule="auto"/>
              <w:rPr>
                <w:rFonts w:eastAsia="Times New Roman"/>
                <w:noProof/>
              </w:rPr>
            </w:pPr>
            <w:r>
              <w:rPr>
                <w:noProof/>
              </w:rPr>
              <w:t>Intrarea în vigoare a instrumentului (instrumentelor) juridic (e) relevant (e)</w:t>
            </w:r>
          </w:p>
        </w:tc>
        <w:tc>
          <w:tcPr>
            <w:tcW w:w="697" w:type="dxa"/>
            <w:shd w:val="clear" w:color="auto" w:fill="C6EFCE"/>
            <w:noWrap/>
          </w:tcPr>
          <w:p w14:paraId="1808FCAD" w14:textId="77777777" w:rsidR="00011DE9" w:rsidRDefault="00011DE9">
            <w:pPr>
              <w:spacing w:after="0"/>
              <w:jc w:val="center"/>
              <w:rPr>
                <w:rFonts w:ascii="Times New Roman" w:eastAsia="Times New Roman" w:hAnsi="Times New Roman" w:cs="Times New Roman"/>
                <w:noProof/>
                <w:sz w:val="18"/>
                <w:szCs w:val="18"/>
              </w:rPr>
            </w:pPr>
          </w:p>
        </w:tc>
        <w:tc>
          <w:tcPr>
            <w:tcW w:w="987" w:type="dxa"/>
            <w:shd w:val="clear" w:color="auto" w:fill="C6EFCE"/>
            <w:noWrap/>
          </w:tcPr>
          <w:p w14:paraId="2BD2425B" w14:textId="77777777" w:rsidR="00011DE9" w:rsidRDefault="00011DE9">
            <w:pPr>
              <w:spacing w:after="0"/>
              <w:jc w:val="right"/>
              <w:rPr>
                <w:rFonts w:ascii="Times New Roman" w:eastAsia="Times New Roman" w:hAnsi="Times New Roman" w:cs="Times New Roman"/>
                <w:noProof/>
                <w:sz w:val="18"/>
                <w:szCs w:val="18"/>
              </w:rPr>
            </w:pPr>
          </w:p>
        </w:tc>
        <w:tc>
          <w:tcPr>
            <w:tcW w:w="992" w:type="dxa"/>
            <w:shd w:val="clear" w:color="auto" w:fill="C6EFCE"/>
            <w:noWrap/>
          </w:tcPr>
          <w:p w14:paraId="3C4857CE" w14:textId="77777777" w:rsidR="00011DE9" w:rsidRDefault="00011DE9">
            <w:pPr>
              <w:spacing w:after="0"/>
              <w:jc w:val="right"/>
              <w:rPr>
                <w:rFonts w:ascii="Times New Roman" w:eastAsia="Times New Roman" w:hAnsi="Times New Roman" w:cs="Times New Roman"/>
                <w:noProof/>
                <w:sz w:val="18"/>
                <w:szCs w:val="18"/>
              </w:rPr>
            </w:pPr>
          </w:p>
        </w:tc>
        <w:tc>
          <w:tcPr>
            <w:tcW w:w="709" w:type="dxa"/>
            <w:shd w:val="clear" w:color="auto" w:fill="C6EFCE"/>
            <w:noWrap/>
          </w:tcPr>
          <w:p w14:paraId="3E5D3CE6" w14:textId="06EF3ABA" w:rsidR="00011DE9" w:rsidRDefault="005701C9">
            <w:pPr>
              <w:pStyle w:val="P68B1DB1-Normal19"/>
              <w:spacing w:after="0"/>
              <w:jc w:val="center"/>
              <w:rPr>
                <w:rFonts w:eastAsia="Times New Roman"/>
                <w:noProof/>
                <w:highlight w:val="yellow"/>
              </w:rPr>
            </w:pPr>
            <w:r>
              <w:rPr>
                <w:noProof/>
              </w:rPr>
              <w:t>T4</w:t>
            </w:r>
          </w:p>
        </w:tc>
        <w:tc>
          <w:tcPr>
            <w:tcW w:w="709" w:type="dxa"/>
            <w:shd w:val="clear" w:color="auto" w:fill="C6EFCE"/>
            <w:noWrap/>
          </w:tcPr>
          <w:p w14:paraId="19F60CD6" w14:textId="77777777" w:rsidR="00011DE9" w:rsidRDefault="00011DE9">
            <w:pPr>
              <w:pStyle w:val="P68B1DB1-Normal19"/>
              <w:spacing w:after="0"/>
              <w:jc w:val="center"/>
              <w:rPr>
                <w:rFonts w:eastAsia="Times New Roman"/>
                <w:noProof/>
                <w:highlight w:val="yellow"/>
              </w:rPr>
            </w:pPr>
            <w:r>
              <w:rPr>
                <w:noProof/>
              </w:rPr>
              <w:t>2025</w:t>
            </w:r>
          </w:p>
        </w:tc>
        <w:tc>
          <w:tcPr>
            <w:tcW w:w="5532" w:type="dxa"/>
            <w:shd w:val="clear" w:color="auto" w:fill="C6EFCE"/>
            <w:noWrap/>
          </w:tcPr>
          <w:p w14:paraId="0F5739F3" w14:textId="77777777" w:rsidR="00011DE9" w:rsidRDefault="00011DE9">
            <w:pPr>
              <w:pStyle w:val="P68B1DB1-Normal20"/>
              <w:spacing w:after="0" w:line="240" w:lineRule="auto"/>
              <w:rPr>
                <w:rFonts w:eastAsia="Times New Roman" w:cs="Times New Roman"/>
                <w:noProof/>
              </w:rPr>
            </w:pPr>
            <w:r>
              <w:rPr>
                <w:noProof/>
              </w:rPr>
              <w:t>Intrarea în vigoare a instrumentului (instrumentelor) juridic (e) de instituire a schemei de sprijin în conformitate cu cerințele specificate în descrierea măsurii.</w:t>
            </w:r>
          </w:p>
        </w:tc>
      </w:tr>
      <w:tr w:rsidR="00011DE9" w14:paraId="5EA01042" w14:textId="77777777">
        <w:trPr>
          <w:trHeight w:val="309"/>
          <w:jc w:val="center"/>
        </w:trPr>
        <w:tc>
          <w:tcPr>
            <w:tcW w:w="789" w:type="dxa"/>
            <w:shd w:val="clear" w:color="auto" w:fill="C6EFCE"/>
            <w:noWrap/>
          </w:tcPr>
          <w:p w14:paraId="3C5079C3" w14:textId="77777777" w:rsidR="00011DE9" w:rsidRDefault="00011DE9">
            <w:pPr>
              <w:pStyle w:val="P68B1DB1-Normal19"/>
              <w:spacing w:after="0"/>
              <w:jc w:val="center"/>
              <w:rPr>
                <w:rFonts w:eastAsia="Times New Roman"/>
                <w:noProof/>
              </w:rPr>
            </w:pPr>
            <w:r>
              <w:rPr>
                <w:noProof/>
              </w:rPr>
              <w:t>482</w:t>
            </w:r>
          </w:p>
        </w:tc>
        <w:tc>
          <w:tcPr>
            <w:tcW w:w="777" w:type="dxa"/>
            <w:shd w:val="clear" w:color="auto" w:fill="C6EFCE"/>
            <w:noWrap/>
          </w:tcPr>
          <w:p w14:paraId="765C049B" w14:textId="77777777" w:rsidR="00011DE9" w:rsidRDefault="00011DE9">
            <w:pPr>
              <w:pStyle w:val="P68B1DB1-Normal19"/>
              <w:spacing w:after="0"/>
              <w:jc w:val="center"/>
              <w:rPr>
                <w:rFonts w:eastAsia="Times New Roman"/>
                <w:noProof/>
              </w:rPr>
            </w:pPr>
            <w:r>
              <w:rPr>
                <w:noProof/>
              </w:rPr>
              <w:t>C31.I2</w:t>
            </w:r>
          </w:p>
        </w:tc>
        <w:tc>
          <w:tcPr>
            <w:tcW w:w="870" w:type="dxa"/>
            <w:shd w:val="clear" w:color="auto" w:fill="C6EFCE"/>
            <w:noWrap/>
          </w:tcPr>
          <w:p w14:paraId="4329952F" w14:textId="77777777" w:rsidR="00011DE9" w:rsidRDefault="00011DE9">
            <w:pPr>
              <w:pStyle w:val="P68B1DB1-Normal20"/>
              <w:spacing w:after="0"/>
              <w:jc w:val="center"/>
              <w:rPr>
                <w:noProof/>
              </w:rPr>
            </w:pPr>
            <w:r>
              <w:rPr>
                <w:noProof/>
              </w:rPr>
              <w:t>M</w:t>
            </w:r>
          </w:p>
        </w:tc>
        <w:tc>
          <w:tcPr>
            <w:tcW w:w="2215" w:type="dxa"/>
            <w:shd w:val="clear" w:color="auto" w:fill="C6EFCE"/>
            <w:noWrap/>
          </w:tcPr>
          <w:p w14:paraId="2D4D150D" w14:textId="77777777" w:rsidR="00011DE9" w:rsidRDefault="00011DE9">
            <w:pPr>
              <w:pStyle w:val="P68B1DB1-Normal20"/>
              <w:spacing w:after="0" w:line="240" w:lineRule="auto"/>
              <w:rPr>
                <w:rFonts w:eastAsia="Times New Roman" w:cs="Times New Roman"/>
                <w:noProof/>
              </w:rPr>
            </w:pPr>
            <w:r>
              <w:rPr>
                <w:noProof/>
              </w:rPr>
              <w:t>Schema de sprijin pentru hidrogenul din surse regenerabile: Acorduri juridice semnate cu beneficiarii finali sau rezoluții finale de atribuire publicate</w:t>
            </w:r>
          </w:p>
        </w:tc>
        <w:tc>
          <w:tcPr>
            <w:tcW w:w="1173" w:type="dxa"/>
            <w:shd w:val="clear" w:color="auto" w:fill="C6EFCE"/>
            <w:noWrap/>
          </w:tcPr>
          <w:p w14:paraId="012D598F" w14:textId="77777777" w:rsidR="00011DE9" w:rsidRDefault="00011DE9">
            <w:pPr>
              <w:pStyle w:val="P68B1DB1-Normal19"/>
              <w:spacing w:after="0" w:line="240" w:lineRule="auto"/>
              <w:rPr>
                <w:rFonts w:eastAsia="Times New Roman"/>
                <w:noProof/>
              </w:rPr>
            </w:pPr>
            <w:r>
              <w:rPr>
                <w:noProof/>
              </w:rPr>
              <w:t>Intrarea în vigoare a acordurilor juridice de finanțare sau publicarea hotărârilor de atribuire finală și a certificatului de transfer</w:t>
            </w:r>
          </w:p>
        </w:tc>
        <w:tc>
          <w:tcPr>
            <w:tcW w:w="697" w:type="dxa"/>
            <w:shd w:val="clear" w:color="auto" w:fill="C6EFCE"/>
            <w:noWrap/>
          </w:tcPr>
          <w:p w14:paraId="43D18184" w14:textId="77777777" w:rsidR="00011DE9" w:rsidRDefault="00011DE9">
            <w:pPr>
              <w:spacing w:after="0"/>
              <w:jc w:val="center"/>
              <w:rPr>
                <w:rFonts w:ascii="Times New Roman" w:eastAsia="Times New Roman" w:hAnsi="Times New Roman" w:cs="Times New Roman"/>
                <w:noProof/>
                <w:sz w:val="18"/>
                <w:szCs w:val="18"/>
              </w:rPr>
            </w:pPr>
          </w:p>
        </w:tc>
        <w:tc>
          <w:tcPr>
            <w:tcW w:w="987" w:type="dxa"/>
            <w:shd w:val="clear" w:color="auto" w:fill="C6EFCE"/>
            <w:noWrap/>
          </w:tcPr>
          <w:p w14:paraId="57627221" w14:textId="77777777" w:rsidR="00011DE9" w:rsidRDefault="00011DE9">
            <w:pPr>
              <w:spacing w:after="0"/>
              <w:jc w:val="right"/>
              <w:rPr>
                <w:rFonts w:ascii="Times New Roman" w:eastAsia="Times New Roman" w:hAnsi="Times New Roman" w:cs="Times New Roman"/>
                <w:noProof/>
                <w:sz w:val="18"/>
                <w:szCs w:val="18"/>
              </w:rPr>
            </w:pPr>
          </w:p>
        </w:tc>
        <w:tc>
          <w:tcPr>
            <w:tcW w:w="992" w:type="dxa"/>
            <w:shd w:val="clear" w:color="auto" w:fill="C6EFCE"/>
            <w:noWrap/>
          </w:tcPr>
          <w:p w14:paraId="76C144BC" w14:textId="77777777" w:rsidR="00011DE9" w:rsidRDefault="00011DE9">
            <w:pPr>
              <w:spacing w:after="0"/>
              <w:jc w:val="right"/>
              <w:rPr>
                <w:rFonts w:ascii="Times New Roman" w:eastAsia="Times New Roman" w:hAnsi="Times New Roman" w:cs="Times New Roman"/>
                <w:noProof/>
                <w:sz w:val="18"/>
                <w:szCs w:val="18"/>
              </w:rPr>
            </w:pPr>
          </w:p>
        </w:tc>
        <w:tc>
          <w:tcPr>
            <w:tcW w:w="709" w:type="dxa"/>
            <w:shd w:val="clear" w:color="auto" w:fill="C6EFCE"/>
            <w:noWrap/>
          </w:tcPr>
          <w:p w14:paraId="6F76DDF3" w14:textId="08A60870" w:rsidR="00011DE9" w:rsidRDefault="005701C9">
            <w:pPr>
              <w:pStyle w:val="P68B1DB1-Normal19"/>
              <w:spacing w:after="0"/>
              <w:jc w:val="center"/>
              <w:rPr>
                <w:rFonts w:eastAsia="Times New Roman"/>
                <w:noProof/>
                <w:highlight w:val="yellow"/>
              </w:rPr>
            </w:pPr>
            <w:r>
              <w:rPr>
                <w:noProof/>
              </w:rPr>
              <w:t>T2</w:t>
            </w:r>
          </w:p>
        </w:tc>
        <w:tc>
          <w:tcPr>
            <w:tcW w:w="709" w:type="dxa"/>
            <w:shd w:val="clear" w:color="auto" w:fill="C6EFCE"/>
            <w:noWrap/>
          </w:tcPr>
          <w:p w14:paraId="3E2DA4A5" w14:textId="77777777" w:rsidR="00011DE9" w:rsidRDefault="00011DE9">
            <w:pPr>
              <w:pStyle w:val="P68B1DB1-Normal19"/>
              <w:spacing w:after="0"/>
              <w:jc w:val="center"/>
              <w:rPr>
                <w:rFonts w:eastAsia="Times New Roman"/>
                <w:noProof/>
                <w:highlight w:val="yellow"/>
              </w:rPr>
            </w:pPr>
            <w:r>
              <w:rPr>
                <w:noProof/>
              </w:rPr>
              <w:t>2026</w:t>
            </w:r>
          </w:p>
        </w:tc>
        <w:tc>
          <w:tcPr>
            <w:tcW w:w="5532" w:type="dxa"/>
            <w:shd w:val="clear" w:color="auto" w:fill="C6EFCE"/>
            <w:noWrap/>
          </w:tcPr>
          <w:p w14:paraId="78122109" w14:textId="77777777" w:rsidR="00011DE9" w:rsidRDefault="00011DE9">
            <w:pPr>
              <w:pStyle w:val="P68B1DB1-Normal19"/>
              <w:spacing w:after="0" w:line="240" w:lineRule="auto"/>
              <w:rPr>
                <w:noProof/>
              </w:rPr>
            </w:pPr>
            <w:r>
              <w:rPr>
                <w:noProof/>
              </w:rPr>
              <w:t xml:space="preserve">IDAE a publicat rezoluțiile finale de atribuire sau intrarea în vigoare a acordurilor de finanțare cu beneficiarii finali, pentru 100 % din investițiile MRR în schema de sprijin (inclusiv costurile indirecte). </w:t>
            </w:r>
          </w:p>
          <w:p w14:paraId="6A8A40F7" w14:textId="77777777" w:rsidR="00011DE9" w:rsidRDefault="00011DE9">
            <w:pPr>
              <w:spacing w:after="0" w:line="240" w:lineRule="auto"/>
              <w:rPr>
                <w:rFonts w:ascii="Times New Roman" w:hAnsi="Times New Roman"/>
                <w:noProof/>
                <w:sz w:val="18"/>
              </w:rPr>
            </w:pPr>
          </w:p>
          <w:p w14:paraId="54EB36BF" w14:textId="77777777" w:rsidR="00011DE9" w:rsidRDefault="00011DE9">
            <w:pPr>
              <w:pStyle w:val="P68B1DB1-Normal19"/>
              <w:spacing w:after="0" w:line="240" w:lineRule="auto"/>
              <w:rPr>
                <w:rFonts w:eastAsia="Times New Roman"/>
                <w:noProof/>
              </w:rPr>
            </w:pPr>
            <w:r>
              <w:rPr>
                <w:noProof/>
              </w:rPr>
              <w:t>Spania transferă 1 600 000 000 EUR către IDAE pentru schema de sprijin.</w:t>
            </w:r>
          </w:p>
        </w:tc>
      </w:tr>
      <w:tr w:rsidR="00011DE9" w14:paraId="4C8C09BD" w14:textId="77777777">
        <w:trPr>
          <w:trHeight w:val="309"/>
          <w:jc w:val="center"/>
        </w:trPr>
        <w:tc>
          <w:tcPr>
            <w:tcW w:w="789" w:type="dxa"/>
            <w:shd w:val="clear" w:color="auto" w:fill="C6EFCE"/>
            <w:noWrap/>
          </w:tcPr>
          <w:p w14:paraId="3D9C89C5" w14:textId="77777777" w:rsidR="00011DE9" w:rsidRDefault="00011DE9">
            <w:pPr>
              <w:pStyle w:val="P68B1DB1-Normal19"/>
              <w:spacing w:after="0"/>
              <w:jc w:val="center"/>
              <w:rPr>
                <w:rFonts w:eastAsia="Times New Roman"/>
                <w:noProof/>
              </w:rPr>
            </w:pPr>
            <w:r>
              <w:rPr>
                <w:noProof/>
              </w:rPr>
              <w:t>484</w:t>
            </w:r>
          </w:p>
        </w:tc>
        <w:tc>
          <w:tcPr>
            <w:tcW w:w="777" w:type="dxa"/>
            <w:shd w:val="clear" w:color="auto" w:fill="C6EFCE"/>
            <w:noWrap/>
          </w:tcPr>
          <w:p w14:paraId="395E2395" w14:textId="77777777" w:rsidR="00011DE9" w:rsidRDefault="00011DE9">
            <w:pPr>
              <w:pStyle w:val="P68B1DB1-Normal19"/>
              <w:spacing w:after="0"/>
              <w:jc w:val="center"/>
              <w:rPr>
                <w:rFonts w:eastAsia="Times New Roman"/>
                <w:noProof/>
              </w:rPr>
            </w:pPr>
            <w:r>
              <w:rPr>
                <w:noProof/>
              </w:rPr>
              <w:t>C31.I3</w:t>
            </w:r>
          </w:p>
        </w:tc>
        <w:tc>
          <w:tcPr>
            <w:tcW w:w="870" w:type="dxa"/>
            <w:shd w:val="clear" w:color="auto" w:fill="C6EFCE"/>
            <w:noWrap/>
          </w:tcPr>
          <w:p w14:paraId="6B87DCE0" w14:textId="77777777" w:rsidR="00011DE9" w:rsidRDefault="00011DE9">
            <w:pPr>
              <w:pStyle w:val="P68B1DB1-Normal19"/>
              <w:spacing w:after="0"/>
              <w:jc w:val="center"/>
              <w:rPr>
                <w:rFonts w:eastAsia="Times New Roman"/>
                <w:noProof/>
              </w:rPr>
            </w:pPr>
            <w:r>
              <w:rPr>
                <w:noProof/>
              </w:rPr>
              <w:t>M</w:t>
            </w:r>
          </w:p>
        </w:tc>
        <w:tc>
          <w:tcPr>
            <w:tcW w:w="2215" w:type="dxa"/>
            <w:shd w:val="clear" w:color="auto" w:fill="C6EFCE"/>
            <w:noWrap/>
          </w:tcPr>
          <w:p w14:paraId="56315DBB" w14:textId="77777777" w:rsidR="00011DE9" w:rsidRDefault="00011DE9">
            <w:pPr>
              <w:pStyle w:val="P68B1DB1-Normal19"/>
              <w:spacing w:after="0" w:line="240" w:lineRule="auto"/>
              <w:rPr>
                <w:rFonts w:eastAsia="Times New Roman"/>
                <w:noProof/>
              </w:rPr>
            </w:pPr>
            <w:r>
              <w:rPr>
                <w:noProof/>
              </w:rPr>
              <w:t xml:space="preserve">Schema de sprijin pentru decarbonizarea sectorului industrial și a lanțului valoric: Instituirea sistemului </w:t>
            </w:r>
          </w:p>
        </w:tc>
        <w:tc>
          <w:tcPr>
            <w:tcW w:w="1173" w:type="dxa"/>
            <w:shd w:val="clear" w:color="auto" w:fill="C6EFCE"/>
            <w:noWrap/>
          </w:tcPr>
          <w:p w14:paraId="3EE5BF8D" w14:textId="77777777" w:rsidR="00011DE9" w:rsidRDefault="00011DE9">
            <w:pPr>
              <w:pStyle w:val="P68B1DB1-Normal19"/>
              <w:spacing w:after="0" w:line="240" w:lineRule="auto"/>
              <w:rPr>
                <w:rFonts w:eastAsia="Times New Roman"/>
                <w:noProof/>
              </w:rPr>
            </w:pPr>
            <w:r>
              <w:rPr>
                <w:noProof/>
              </w:rPr>
              <w:t xml:space="preserve">Intrarea în vigoare a instrumentului (instrumentelor) juridic (e) </w:t>
            </w:r>
          </w:p>
        </w:tc>
        <w:tc>
          <w:tcPr>
            <w:tcW w:w="697" w:type="dxa"/>
            <w:shd w:val="clear" w:color="auto" w:fill="C6EFCE"/>
            <w:noWrap/>
          </w:tcPr>
          <w:p w14:paraId="0EF25E4A" w14:textId="77777777" w:rsidR="00011DE9" w:rsidRDefault="00011DE9">
            <w:pPr>
              <w:spacing w:after="0"/>
              <w:jc w:val="center"/>
              <w:rPr>
                <w:rFonts w:ascii="Times New Roman" w:eastAsia="Times New Roman" w:hAnsi="Times New Roman" w:cs="Times New Roman"/>
                <w:noProof/>
                <w:sz w:val="18"/>
                <w:szCs w:val="18"/>
              </w:rPr>
            </w:pPr>
          </w:p>
        </w:tc>
        <w:tc>
          <w:tcPr>
            <w:tcW w:w="987" w:type="dxa"/>
            <w:shd w:val="clear" w:color="auto" w:fill="C6EFCE"/>
            <w:noWrap/>
          </w:tcPr>
          <w:p w14:paraId="0317FD1A" w14:textId="77777777" w:rsidR="00011DE9" w:rsidRDefault="00011DE9">
            <w:pPr>
              <w:spacing w:after="0"/>
              <w:rPr>
                <w:rFonts w:ascii="Times New Roman" w:eastAsia="Times New Roman" w:hAnsi="Times New Roman" w:cs="Times New Roman"/>
                <w:noProof/>
                <w:sz w:val="18"/>
                <w:szCs w:val="18"/>
              </w:rPr>
            </w:pPr>
          </w:p>
        </w:tc>
        <w:tc>
          <w:tcPr>
            <w:tcW w:w="992" w:type="dxa"/>
            <w:shd w:val="clear" w:color="auto" w:fill="C6EFCE"/>
            <w:noWrap/>
          </w:tcPr>
          <w:p w14:paraId="4A55751C" w14:textId="77777777" w:rsidR="00011DE9" w:rsidRDefault="00011DE9">
            <w:pPr>
              <w:spacing w:after="0"/>
              <w:rPr>
                <w:rFonts w:ascii="Times New Roman" w:eastAsia="Times New Roman" w:hAnsi="Times New Roman" w:cs="Times New Roman"/>
                <w:noProof/>
                <w:sz w:val="18"/>
                <w:szCs w:val="18"/>
              </w:rPr>
            </w:pPr>
          </w:p>
        </w:tc>
        <w:tc>
          <w:tcPr>
            <w:tcW w:w="709" w:type="dxa"/>
            <w:shd w:val="clear" w:color="auto" w:fill="C6EFCE"/>
            <w:noWrap/>
          </w:tcPr>
          <w:p w14:paraId="4B7A8286" w14:textId="56D9B149" w:rsidR="00011DE9" w:rsidRDefault="005701C9">
            <w:pPr>
              <w:pStyle w:val="P68B1DB1-Normal19"/>
              <w:spacing w:after="0"/>
              <w:jc w:val="center"/>
              <w:rPr>
                <w:rFonts w:eastAsia="Times New Roman"/>
                <w:noProof/>
                <w:highlight w:val="yellow"/>
              </w:rPr>
            </w:pPr>
            <w:r>
              <w:rPr>
                <w:noProof/>
              </w:rPr>
              <w:t>T4</w:t>
            </w:r>
          </w:p>
        </w:tc>
        <w:tc>
          <w:tcPr>
            <w:tcW w:w="709" w:type="dxa"/>
            <w:shd w:val="clear" w:color="auto" w:fill="C6EFCE"/>
            <w:noWrap/>
          </w:tcPr>
          <w:p w14:paraId="35EE26DF" w14:textId="77777777" w:rsidR="00011DE9" w:rsidRDefault="00011DE9">
            <w:pPr>
              <w:pStyle w:val="P68B1DB1-Normal19"/>
              <w:spacing w:after="0"/>
              <w:jc w:val="center"/>
              <w:rPr>
                <w:rFonts w:eastAsia="Times New Roman"/>
                <w:noProof/>
                <w:highlight w:val="yellow"/>
              </w:rPr>
            </w:pPr>
            <w:r>
              <w:rPr>
                <w:noProof/>
              </w:rPr>
              <w:t>2025</w:t>
            </w:r>
          </w:p>
        </w:tc>
        <w:tc>
          <w:tcPr>
            <w:tcW w:w="5532" w:type="dxa"/>
            <w:shd w:val="clear" w:color="auto" w:fill="C6EFCE"/>
            <w:noWrap/>
          </w:tcPr>
          <w:p w14:paraId="0C560AD6" w14:textId="77777777" w:rsidR="00011DE9" w:rsidRDefault="00011DE9">
            <w:pPr>
              <w:pStyle w:val="P68B1DB1-Normal19"/>
              <w:spacing w:after="0" w:line="240" w:lineRule="auto"/>
              <w:rPr>
                <w:noProof/>
              </w:rPr>
            </w:pPr>
            <w:r>
              <w:rPr>
                <w:noProof/>
              </w:rPr>
              <w:t xml:space="preserve">Intrarea în vigoare a instrumentului (instrumentelor) juridic (e) de instituire a schemei de sprijin în conformitate cu cerințele specificate în descrierea măsurii. </w:t>
            </w:r>
          </w:p>
          <w:p w14:paraId="5BEA74B4" w14:textId="77777777" w:rsidR="00011DE9" w:rsidRDefault="00011DE9">
            <w:pPr>
              <w:spacing w:after="0"/>
              <w:rPr>
                <w:rFonts w:ascii="Times New Roman" w:hAnsi="Times New Roman"/>
                <w:noProof/>
                <w:sz w:val="18"/>
              </w:rPr>
            </w:pPr>
          </w:p>
        </w:tc>
      </w:tr>
      <w:tr w:rsidR="00011DE9" w14:paraId="5E893F72" w14:textId="77777777">
        <w:trPr>
          <w:trHeight w:val="309"/>
          <w:jc w:val="center"/>
        </w:trPr>
        <w:tc>
          <w:tcPr>
            <w:tcW w:w="789" w:type="dxa"/>
            <w:shd w:val="clear" w:color="auto" w:fill="C6EFCE"/>
            <w:noWrap/>
          </w:tcPr>
          <w:p w14:paraId="335E642A" w14:textId="77777777" w:rsidR="00011DE9" w:rsidRDefault="00011DE9">
            <w:pPr>
              <w:pStyle w:val="P68B1DB1-Normal19"/>
              <w:spacing w:after="0"/>
              <w:jc w:val="center"/>
              <w:rPr>
                <w:rFonts w:eastAsia="Times New Roman"/>
                <w:noProof/>
              </w:rPr>
            </w:pPr>
            <w:r>
              <w:rPr>
                <w:noProof/>
              </w:rPr>
              <w:t>486</w:t>
            </w:r>
          </w:p>
        </w:tc>
        <w:tc>
          <w:tcPr>
            <w:tcW w:w="777" w:type="dxa"/>
            <w:shd w:val="clear" w:color="auto" w:fill="C6EFCE"/>
            <w:noWrap/>
          </w:tcPr>
          <w:p w14:paraId="47356431" w14:textId="77777777" w:rsidR="00011DE9" w:rsidRDefault="00011DE9">
            <w:pPr>
              <w:pStyle w:val="P68B1DB1-Normal19"/>
              <w:spacing w:after="0"/>
              <w:jc w:val="center"/>
              <w:rPr>
                <w:rFonts w:eastAsia="Times New Roman"/>
                <w:noProof/>
              </w:rPr>
            </w:pPr>
            <w:r>
              <w:rPr>
                <w:noProof/>
              </w:rPr>
              <w:t>C31.I3</w:t>
            </w:r>
          </w:p>
        </w:tc>
        <w:tc>
          <w:tcPr>
            <w:tcW w:w="870" w:type="dxa"/>
            <w:shd w:val="clear" w:color="auto" w:fill="C6EFCE"/>
            <w:noWrap/>
          </w:tcPr>
          <w:p w14:paraId="665189D5" w14:textId="77777777" w:rsidR="00011DE9" w:rsidRDefault="00011DE9">
            <w:pPr>
              <w:pStyle w:val="P68B1DB1-Normal20"/>
              <w:spacing w:after="0"/>
              <w:jc w:val="center"/>
              <w:rPr>
                <w:rFonts w:eastAsia="Times New Roman" w:cs="Times New Roman"/>
                <w:noProof/>
              </w:rPr>
            </w:pPr>
            <w:r>
              <w:rPr>
                <w:noProof/>
              </w:rPr>
              <w:t>M</w:t>
            </w:r>
          </w:p>
        </w:tc>
        <w:tc>
          <w:tcPr>
            <w:tcW w:w="2215" w:type="dxa"/>
            <w:shd w:val="clear" w:color="auto" w:fill="C6EFCE"/>
            <w:noWrap/>
          </w:tcPr>
          <w:p w14:paraId="6121AF02" w14:textId="77777777" w:rsidR="00011DE9" w:rsidRDefault="00011DE9">
            <w:pPr>
              <w:pStyle w:val="P68B1DB1-Normal19"/>
              <w:spacing w:after="0" w:line="240" w:lineRule="auto"/>
              <w:rPr>
                <w:rFonts w:eastAsia="Times New Roman"/>
                <w:noProof/>
              </w:rPr>
            </w:pPr>
            <w:r>
              <w:rPr>
                <w:noProof/>
              </w:rPr>
              <w:t>Schema de sprijin pentru decarbonizarea sectorului industrial și a lanțului valoric: Acorduri juridice semnate cu beneficiarii finali sau rezoluții finale de atribuire publicate</w:t>
            </w:r>
          </w:p>
        </w:tc>
        <w:tc>
          <w:tcPr>
            <w:tcW w:w="1173" w:type="dxa"/>
            <w:shd w:val="clear" w:color="auto" w:fill="C6EFCE"/>
            <w:noWrap/>
          </w:tcPr>
          <w:p w14:paraId="6443B884" w14:textId="77777777" w:rsidR="00011DE9" w:rsidRDefault="00011DE9">
            <w:pPr>
              <w:pStyle w:val="P68B1DB1-Normal19"/>
              <w:spacing w:after="0" w:line="240" w:lineRule="auto"/>
              <w:rPr>
                <w:rFonts w:eastAsia="Times New Roman"/>
                <w:noProof/>
              </w:rPr>
            </w:pPr>
            <w:r>
              <w:rPr>
                <w:noProof/>
              </w:rPr>
              <w:t>Intrarea în vigoare a acordurilor juridice de finanțare sau publicarea rezoluțiilor finale de atribuire și a certificatului de transfer.</w:t>
            </w:r>
          </w:p>
        </w:tc>
        <w:tc>
          <w:tcPr>
            <w:tcW w:w="697" w:type="dxa"/>
            <w:shd w:val="clear" w:color="auto" w:fill="C6EFCE"/>
            <w:noWrap/>
          </w:tcPr>
          <w:p w14:paraId="150A8329" w14:textId="77777777" w:rsidR="00011DE9" w:rsidRDefault="00011DE9">
            <w:pPr>
              <w:spacing w:after="0"/>
              <w:jc w:val="center"/>
              <w:rPr>
                <w:rFonts w:ascii="Times New Roman" w:eastAsia="Times New Roman" w:hAnsi="Times New Roman" w:cs="Times New Roman"/>
                <w:noProof/>
                <w:sz w:val="18"/>
                <w:szCs w:val="18"/>
              </w:rPr>
            </w:pPr>
          </w:p>
        </w:tc>
        <w:tc>
          <w:tcPr>
            <w:tcW w:w="987" w:type="dxa"/>
            <w:shd w:val="clear" w:color="auto" w:fill="C6EFCE"/>
            <w:noWrap/>
          </w:tcPr>
          <w:p w14:paraId="4F568240" w14:textId="77777777" w:rsidR="00011DE9" w:rsidRDefault="00011DE9">
            <w:pPr>
              <w:spacing w:after="0"/>
              <w:jc w:val="right"/>
              <w:rPr>
                <w:rFonts w:ascii="Times New Roman" w:eastAsia="Times New Roman" w:hAnsi="Times New Roman" w:cs="Times New Roman"/>
                <w:noProof/>
                <w:sz w:val="18"/>
                <w:szCs w:val="18"/>
              </w:rPr>
            </w:pPr>
          </w:p>
        </w:tc>
        <w:tc>
          <w:tcPr>
            <w:tcW w:w="992" w:type="dxa"/>
            <w:shd w:val="clear" w:color="auto" w:fill="C6EFCE"/>
            <w:noWrap/>
          </w:tcPr>
          <w:p w14:paraId="44CFC098" w14:textId="77777777" w:rsidR="00011DE9" w:rsidRDefault="00011DE9">
            <w:pPr>
              <w:spacing w:after="0"/>
              <w:jc w:val="right"/>
              <w:rPr>
                <w:rFonts w:ascii="Times New Roman" w:eastAsia="Times New Roman" w:hAnsi="Times New Roman" w:cs="Times New Roman"/>
                <w:noProof/>
                <w:sz w:val="18"/>
                <w:szCs w:val="18"/>
              </w:rPr>
            </w:pPr>
          </w:p>
        </w:tc>
        <w:tc>
          <w:tcPr>
            <w:tcW w:w="709" w:type="dxa"/>
            <w:shd w:val="clear" w:color="auto" w:fill="C6EFCE"/>
            <w:noWrap/>
          </w:tcPr>
          <w:p w14:paraId="711C5DE8" w14:textId="2B3BF385" w:rsidR="00011DE9" w:rsidRDefault="005701C9">
            <w:pPr>
              <w:pStyle w:val="P68B1DB1-Normal19"/>
              <w:spacing w:after="0"/>
              <w:jc w:val="center"/>
              <w:rPr>
                <w:rFonts w:eastAsia="Times New Roman"/>
                <w:noProof/>
                <w:highlight w:val="yellow"/>
              </w:rPr>
            </w:pPr>
            <w:r>
              <w:rPr>
                <w:noProof/>
              </w:rPr>
              <w:t>T2</w:t>
            </w:r>
          </w:p>
        </w:tc>
        <w:tc>
          <w:tcPr>
            <w:tcW w:w="709" w:type="dxa"/>
            <w:shd w:val="clear" w:color="auto" w:fill="C6EFCE"/>
            <w:noWrap/>
          </w:tcPr>
          <w:p w14:paraId="684B938D" w14:textId="77777777" w:rsidR="00011DE9" w:rsidRDefault="00011DE9">
            <w:pPr>
              <w:pStyle w:val="P68B1DB1-Normal19"/>
              <w:spacing w:after="0"/>
              <w:jc w:val="center"/>
              <w:rPr>
                <w:rFonts w:eastAsia="Times New Roman"/>
                <w:noProof/>
                <w:highlight w:val="yellow"/>
              </w:rPr>
            </w:pPr>
            <w:r>
              <w:rPr>
                <w:noProof/>
              </w:rPr>
              <w:t>2026</w:t>
            </w:r>
          </w:p>
        </w:tc>
        <w:tc>
          <w:tcPr>
            <w:tcW w:w="5532" w:type="dxa"/>
            <w:shd w:val="clear" w:color="auto" w:fill="C6EFCE"/>
            <w:noWrap/>
          </w:tcPr>
          <w:p w14:paraId="3668753F" w14:textId="77777777" w:rsidR="00011DE9" w:rsidRDefault="00011DE9">
            <w:pPr>
              <w:pStyle w:val="P68B1DB1-Normal20"/>
              <w:spacing w:after="0" w:line="240" w:lineRule="auto"/>
              <w:rPr>
                <w:noProof/>
              </w:rPr>
            </w:pPr>
            <w:r>
              <w:rPr>
                <w:noProof/>
              </w:rPr>
              <w:t>IDAE a publicat rezoluțiile finale de atribuire sau intrarea în vigoare a acordurilor de finanțare cu beneficiarii finali, pentru cel puțin 100 % din investițiile MRR în schema de sprijin (inclusiv costurile indirecte). IDAE trebuie să se fi asigurat că 90 % din această finanțare contribuie la obiectivele climatice utilizând metodologia din anexa VI la Regulamentul privind MRR.</w:t>
            </w:r>
          </w:p>
          <w:p w14:paraId="6066B060" w14:textId="77777777" w:rsidR="00011DE9" w:rsidRDefault="00011DE9">
            <w:pPr>
              <w:pStyle w:val="P68B1DB1-Normal20"/>
              <w:spacing w:after="0" w:line="240" w:lineRule="auto"/>
              <w:rPr>
                <w:rFonts w:eastAsia="Times New Roman" w:cs="Times New Roman"/>
                <w:noProof/>
              </w:rPr>
            </w:pPr>
            <w:r>
              <w:rPr>
                <w:noProof/>
              </w:rPr>
              <w:t>Spania transferă 1 000 000 000 EUR către IDAE pentru schema de sprijin.</w:t>
            </w:r>
          </w:p>
        </w:tc>
      </w:tr>
      <w:tr w:rsidR="00011DE9" w14:paraId="1FF30DFC" w14:textId="77777777">
        <w:trPr>
          <w:trHeight w:val="600"/>
          <w:jc w:val="center"/>
        </w:trPr>
        <w:tc>
          <w:tcPr>
            <w:tcW w:w="789" w:type="dxa"/>
            <w:shd w:val="clear" w:color="auto" w:fill="C6EFCE"/>
            <w:noWrap/>
          </w:tcPr>
          <w:p w14:paraId="5253D9D2" w14:textId="77777777" w:rsidR="00011DE9" w:rsidRDefault="00011DE9">
            <w:pPr>
              <w:pStyle w:val="P68B1DB1-Normal19"/>
              <w:spacing w:after="0"/>
              <w:jc w:val="center"/>
              <w:rPr>
                <w:rFonts w:eastAsia="Times New Roman"/>
                <w:noProof/>
              </w:rPr>
            </w:pPr>
            <w:r>
              <w:rPr>
                <w:noProof/>
              </w:rPr>
              <w:t>490</w:t>
            </w:r>
          </w:p>
        </w:tc>
        <w:tc>
          <w:tcPr>
            <w:tcW w:w="777" w:type="dxa"/>
            <w:tcBorders>
              <w:bottom w:val="single" w:sz="4" w:space="0" w:color="auto"/>
            </w:tcBorders>
            <w:shd w:val="clear" w:color="auto" w:fill="C6EFCE"/>
            <w:noWrap/>
          </w:tcPr>
          <w:p w14:paraId="75D82C38" w14:textId="77777777" w:rsidR="00011DE9" w:rsidRDefault="00011DE9">
            <w:pPr>
              <w:pStyle w:val="P68B1DB1-Normal19"/>
              <w:spacing w:after="0"/>
              <w:jc w:val="center"/>
              <w:rPr>
                <w:rFonts w:eastAsia="Times New Roman"/>
                <w:noProof/>
              </w:rPr>
            </w:pPr>
            <w:r>
              <w:rPr>
                <w:noProof/>
              </w:rPr>
              <w:t>C31.I4</w:t>
            </w:r>
          </w:p>
        </w:tc>
        <w:tc>
          <w:tcPr>
            <w:tcW w:w="870" w:type="dxa"/>
            <w:tcBorders>
              <w:bottom w:val="single" w:sz="4" w:space="0" w:color="auto"/>
            </w:tcBorders>
            <w:shd w:val="clear" w:color="auto" w:fill="C6EFCE"/>
            <w:noWrap/>
          </w:tcPr>
          <w:p w14:paraId="012565DF" w14:textId="77777777" w:rsidR="00011DE9" w:rsidRDefault="00011DE9">
            <w:pPr>
              <w:pStyle w:val="P68B1DB1-Normal19"/>
              <w:spacing w:after="0"/>
              <w:jc w:val="center"/>
              <w:rPr>
                <w:rFonts w:eastAsia="Times New Roman"/>
                <w:noProof/>
              </w:rPr>
            </w:pPr>
            <w:r>
              <w:rPr>
                <w:noProof/>
              </w:rPr>
              <w:t>M</w:t>
            </w:r>
          </w:p>
        </w:tc>
        <w:tc>
          <w:tcPr>
            <w:tcW w:w="2215" w:type="dxa"/>
            <w:tcBorders>
              <w:bottom w:val="single" w:sz="4" w:space="0" w:color="auto"/>
            </w:tcBorders>
            <w:shd w:val="clear" w:color="auto" w:fill="C6EFCE"/>
            <w:noWrap/>
          </w:tcPr>
          <w:p w14:paraId="12C1C381" w14:textId="77777777" w:rsidR="00011DE9" w:rsidRDefault="00011DE9">
            <w:pPr>
              <w:pStyle w:val="P68B1DB1-Normal19"/>
              <w:spacing w:after="0"/>
              <w:rPr>
                <w:rFonts w:eastAsia="Times New Roman"/>
                <w:noProof/>
              </w:rPr>
            </w:pPr>
            <w:r>
              <w:rPr>
                <w:noProof/>
              </w:rPr>
              <w:t>Proiecte de transport al energiei electrice care beneficiază de sprijin</w:t>
            </w:r>
          </w:p>
        </w:tc>
        <w:tc>
          <w:tcPr>
            <w:tcW w:w="1173" w:type="dxa"/>
            <w:tcBorders>
              <w:bottom w:val="single" w:sz="4" w:space="0" w:color="auto"/>
            </w:tcBorders>
            <w:shd w:val="clear" w:color="auto" w:fill="C6EFCE"/>
            <w:noWrap/>
          </w:tcPr>
          <w:p w14:paraId="2E75D4C7" w14:textId="77777777" w:rsidR="00011DE9" w:rsidRDefault="00011DE9">
            <w:pPr>
              <w:pStyle w:val="P68B1DB1-Normal20"/>
              <w:spacing w:after="0"/>
              <w:rPr>
                <w:rFonts w:eastAsia="Times New Roman" w:cs="Times New Roman"/>
                <w:noProof/>
              </w:rPr>
            </w:pPr>
            <w:r>
              <w:rPr>
                <w:noProof/>
              </w:rPr>
              <w:t xml:space="preserve">Autorizație de funcționare </w:t>
            </w:r>
          </w:p>
        </w:tc>
        <w:tc>
          <w:tcPr>
            <w:tcW w:w="697" w:type="dxa"/>
            <w:tcBorders>
              <w:bottom w:val="single" w:sz="4" w:space="0" w:color="auto"/>
            </w:tcBorders>
            <w:shd w:val="clear" w:color="auto" w:fill="C6EFCE"/>
            <w:noWrap/>
          </w:tcPr>
          <w:p w14:paraId="79709C03" w14:textId="77777777" w:rsidR="00011DE9" w:rsidRDefault="00011DE9">
            <w:pPr>
              <w:spacing w:after="0"/>
              <w:jc w:val="center"/>
              <w:rPr>
                <w:rFonts w:ascii="Times New Roman" w:eastAsia="Times New Roman" w:hAnsi="Times New Roman" w:cs="Times New Roman"/>
                <w:noProof/>
                <w:sz w:val="18"/>
                <w:szCs w:val="18"/>
              </w:rPr>
            </w:pPr>
          </w:p>
        </w:tc>
        <w:tc>
          <w:tcPr>
            <w:tcW w:w="987" w:type="dxa"/>
            <w:tcBorders>
              <w:bottom w:val="single" w:sz="4" w:space="0" w:color="auto"/>
            </w:tcBorders>
            <w:shd w:val="clear" w:color="auto" w:fill="C6EFCE"/>
            <w:noWrap/>
          </w:tcPr>
          <w:p w14:paraId="701E0CBF" w14:textId="77777777" w:rsidR="00011DE9" w:rsidRDefault="00011DE9">
            <w:pPr>
              <w:spacing w:after="0"/>
              <w:jc w:val="right"/>
              <w:rPr>
                <w:rFonts w:ascii="Times New Roman" w:eastAsia="Times New Roman" w:hAnsi="Times New Roman" w:cs="Times New Roman"/>
                <w:noProof/>
                <w:sz w:val="18"/>
                <w:szCs w:val="18"/>
              </w:rPr>
            </w:pPr>
          </w:p>
        </w:tc>
        <w:tc>
          <w:tcPr>
            <w:tcW w:w="992" w:type="dxa"/>
            <w:tcBorders>
              <w:bottom w:val="single" w:sz="4" w:space="0" w:color="auto"/>
            </w:tcBorders>
            <w:shd w:val="clear" w:color="auto" w:fill="C6EFCE"/>
            <w:noWrap/>
          </w:tcPr>
          <w:p w14:paraId="4BDBE1F7" w14:textId="77777777" w:rsidR="00011DE9" w:rsidRDefault="00011DE9">
            <w:pPr>
              <w:spacing w:after="0"/>
              <w:jc w:val="right"/>
              <w:rPr>
                <w:rFonts w:ascii="Times New Roman" w:eastAsia="Times New Roman" w:hAnsi="Times New Roman" w:cs="Times New Roman"/>
                <w:noProof/>
                <w:sz w:val="18"/>
                <w:szCs w:val="18"/>
              </w:rPr>
            </w:pPr>
          </w:p>
        </w:tc>
        <w:tc>
          <w:tcPr>
            <w:tcW w:w="709" w:type="dxa"/>
            <w:tcBorders>
              <w:bottom w:val="single" w:sz="4" w:space="0" w:color="auto"/>
            </w:tcBorders>
            <w:shd w:val="clear" w:color="auto" w:fill="C6EFCE"/>
            <w:noWrap/>
          </w:tcPr>
          <w:p w14:paraId="4D788DD5" w14:textId="502DBC5D" w:rsidR="00011DE9" w:rsidRDefault="005701C9">
            <w:pPr>
              <w:pStyle w:val="P68B1DB1-Normal19"/>
              <w:spacing w:after="0"/>
              <w:jc w:val="center"/>
              <w:rPr>
                <w:rFonts w:eastAsia="Times New Roman"/>
                <w:noProof/>
              </w:rPr>
            </w:pPr>
            <w:r>
              <w:rPr>
                <w:noProof/>
              </w:rPr>
              <w:t>T2</w:t>
            </w:r>
          </w:p>
        </w:tc>
        <w:tc>
          <w:tcPr>
            <w:tcW w:w="709" w:type="dxa"/>
            <w:tcBorders>
              <w:bottom w:val="single" w:sz="4" w:space="0" w:color="auto"/>
            </w:tcBorders>
            <w:shd w:val="clear" w:color="auto" w:fill="C6EFCE"/>
            <w:noWrap/>
          </w:tcPr>
          <w:p w14:paraId="24E5FAB3" w14:textId="77777777" w:rsidR="00011DE9" w:rsidRDefault="00011DE9">
            <w:pPr>
              <w:pStyle w:val="P68B1DB1-Normal19"/>
              <w:spacing w:after="0"/>
              <w:jc w:val="center"/>
              <w:rPr>
                <w:rFonts w:eastAsia="Times New Roman"/>
                <w:noProof/>
              </w:rPr>
            </w:pPr>
            <w:r>
              <w:rPr>
                <w:noProof/>
              </w:rPr>
              <w:t>2026</w:t>
            </w:r>
          </w:p>
        </w:tc>
        <w:tc>
          <w:tcPr>
            <w:tcW w:w="5532" w:type="dxa"/>
            <w:tcBorders>
              <w:bottom w:val="single" w:sz="4" w:space="0" w:color="auto"/>
            </w:tcBorders>
            <w:shd w:val="clear" w:color="auto" w:fill="C6EFCE"/>
            <w:noWrap/>
          </w:tcPr>
          <w:p w14:paraId="25CF6219" w14:textId="77777777" w:rsidR="00011DE9" w:rsidRDefault="00011DE9">
            <w:pPr>
              <w:pStyle w:val="P68B1DB1-Normal20"/>
              <w:spacing w:after="0" w:line="240" w:lineRule="auto"/>
              <w:rPr>
                <w:rFonts w:eastAsia="Times New Roman" w:cs="Times New Roman"/>
                <w:noProof/>
              </w:rPr>
            </w:pPr>
            <w:r>
              <w:rPr>
                <w:noProof/>
              </w:rPr>
              <w:t>Autorizațiile de funcționare sunt emise pentru proiectele de transport al energiei electrice sprijinite în temeiul decretului regal, care a stabilit criteriile de eligibilitate pentru proiectele de transport al energiei electrice, precum și lista adoptată de proiecte eligibile în cadrul planului spaniol de dezvoltare a rețelei pentru perioada 2021-2026.</w:t>
            </w:r>
          </w:p>
        </w:tc>
      </w:tr>
      <w:tr w:rsidR="00011DE9" w14:paraId="0F7116EE" w14:textId="77777777">
        <w:trPr>
          <w:trHeight w:val="309"/>
          <w:jc w:val="center"/>
        </w:trPr>
        <w:tc>
          <w:tcPr>
            <w:tcW w:w="789" w:type="dxa"/>
            <w:shd w:val="clear" w:color="auto" w:fill="C6EFCE"/>
            <w:noWrap/>
          </w:tcPr>
          <w:p w14:paraId="4A6C392A" w14:textId="77777777" w:rsidR="00011DE9" w:rsidRDefault="00011DE9">
            <w:pPr>
              <w:pStyle w:val="P68B1DB1-Normal19"/>
              <w:spacing w:after="0"/>
              <w:jc w:val="center"/>
              <w:rPr>
                <w:rFonts w:eastAsia="Times New Roman"/>
                <w:noProof/>
              </w:rPr>
            </w:pPr>
            <w:r>
              <w:rPr>
                <w:noProof/>
              </w:rPr>
              <w:t>491</w:t>
            </w:r>
          </w:p>
        </w:tc>
        <w:tc>
          <w:tcPr>
            <w:tcW w:w="777" w:type="dxa"/>
            <w:shd w:val="clear" w:color="auto" w:fill="C6EFCE"/>
            <w:noWrap/>
          </w:tcPr>
          <w:p w14:paraId="34D9D813" w14:textId="77777777" w:rsidR="00011DE9" w:rsidRDefault="00011DE9">
            <w:pPr>
              <w:pStyle w:val="P68B1DB1-Normal19"/>
              <w:spacing w:after="0"/>
              <w:jc w:val="center"/>
              <w:rPr>
                <w:rFonts w:eastAsia="Times New Roman"/>
                <w:noProof/>
              </w:rPr>
            </w:pPr>
            <w:r>
              <w:rPr>
                <w:noProof/>
              </w:rPr>
              <w:t xml:space="preserve">C31.I5 </w:t>
            </w:r>
          </w:p>
        </w:tc>
        <w:tc>
          <w:tcPr>
            <w:tcW w:w="870" w:type="dxa"/>
            <w:shd w:val="clear" w:color="auto" w:fill="C6EFCE"/>
            <w:noWrap/>
          </w:tcPr>
          <w:p w14:paraId="2443263F" w14:textId="77777777" w:rsidR="00011DE9" w:rsidRDefault="00011DE9">
            <w:pPr>
              <w:pStyle w:val="P68B1DB1-Normal19"/>
              <w:spacing w:after="0"/>
              <w:jc w:val="center"/>
              <w:rPr>
                <w:rFonts w:eastAsia="Times New Roman"/>
                <w:noProof/>
              </w:rPr>
            </w:pPr>
            <w:r>
              <w:rPr>
                <w:noProof/>
              </w:rPr>
              <w:t>M</w:t>
            </w:r>
          </w:p>
        </w:tc>
        <w:tc>
          <w:tcPr>
            <w:tcW w:w="2215" w:type="dxa"/>
            <w:shd w:val="clear" w:color="auto" w:fill="C6EFCE"/>
            <w:noWrap/>
          </w:tcPr>
          <w:p w14:paraId="3F1F1475" w14:textId="77777777" w:rsidR="00011DE9" w:rsidRDefault="00011DE9">
            <w:pPr>
              <w:pStyle w:val="P68B1DB1-Normal19"/>
              <w:spacing w:after="0" w:line="240" w:lineRule="auto"/>
              <w:rPr>
                <w:rFonts w:eastAsia="Times New Roman"/>
                <w:noProof/>
              </w:rPr>
            </w:pPr>
            <w:r>
              <w:rPr>
                <w:noProof/>
              </w:rPr>
              <w:t>Publicarea cererilor de propuneri și a normelor care reglementează acordarea de sprijin pentru decarbonizarea industriei</w:t>
            </w:r>
          </w:p>
        </w:tc>
        <w:tc>
          <w:tcPr>
            <w:tcW w:w="1173" w:type="dxa"/>
            <w:shd w:val="clear" w:color="auto" w:fill="C6EFCE"/>
            <w:noWrap/>
          </w:tcPr>
          <w:p w14:paraId="2660909E" w14:textId="77777777" w:rsidR="00011DE9" w:rsidRDefault="00011DE9">
            <w:pPr>
              <w:pStyle w:val="P68B1DB1-Normal19"/>
              <w:spacing w:after="0"/>
              <w:rPr>
                <w:rFonts w:eastAsia="Times New Roman"/>
                <w:noProof/>
              </w:rPr>
            </w:pPr>
            <w:r>
              <w:rPr>
                <w:noProof/>
              </w:rPr>
              <w:t>Publicare</w:t>
            </w:r>
          </w:p>
        </w:tc>
        <w:tc>
          <w:tcPr>
            <w:tcW w:w="697" w:type="dxa"/>
            <w:shd w:val="clear" w:color="auto" w:fill="C6EFCE"/>
            <w:noWrap/>
          </w:tcPr>
          <w:p w14:paraId="6198B525" w14:textId="77777777" w:rsidR="00011DE9" w:rsidRDefault="00011DE9">
            <w:pPr>
              <w:spacing w:after="0"/>
              <w:jc w:val="center"/>
              <w:rPr>
                <w:rFonts w:ascii="Times New Roman" w:eastAsia="Times New Roman" w:hAnsi="Times New Roman" w:cs="Times New Roman"/>
                <w:noProof/>
                <w:sz w:val="18"/>
                <w:szCs w:val="18"/>
              </w:rPr>
            </w:pPr>
          </w:p>
        </w:tc>
        <w:tc>
          <w:tcPr>
            <w:tcW w:w="987" w:type="dxa"/>
            <w:shd w:val="clear" w:color="auto" w:fill="C6EFCE"/>
            <w:noWrap/>
          </w:tcPr>
          <w:p w14:paraId="3A6A2BAD" w14:textId="77777777" w:rsidR="00011DE9" w:rsidRDefault="00011DE9">
            <w:pPr>
              <w:spacing w:after="0"/>
              <w:jc w:val="right"/>
              <w:rPr>
                <w:rFonts w:ascii="Times New Roman" w:eastAsia="Times New Roman" w:hAnsi="Times New Roman" w:cs="Times New Roman"/>
                <w:noProof/>
                <w:sz w:val="18"/>
                <w:szCs w:val="18"/>
              </w:rPr>
            </w:pPr>
          </w:p>
        </w:tc>
        <w:tc>
          <w:tcPr>
            <w:tcW w:w="992" w:type="dxa"/>
            <w:shd w:val="clear" w:color="auto" w:fill="C6EFCE"/>
            <w:noWrap/>
          </w:tcPr>
          <w:p w14:paraId="161A6085" w14:textId="77777777" w:rsidR="00011DE9" w:rsidRDefault="00011DE9">
            <w:pPr>
              <w:spacing w:after="0"/>
              <w:jc w:val="right"/>
              <w:rPr>
                <w:rFonts w:ascii="Times New Roman" w:eastAsia="Times New Roman" w:hAnsi="Times New Roman" w:cs="Times New Roman"/>
                <w:noProof/>
                <w:sz w:val="18"/>
                <w:szCs w:val="18"/>
              </w:rPr>
            </w:pPr>
          </w:p>
        </w:tc>
        <w:tc>
          <w:tcPr>
            <w:tcW w:w="709" w:type="dxa"/>
            <w:shd w:val="clear" w:color="auto" w:fill="C6EFCE"/>
            <w:noWrap/>
          </w:tcPr>
          <w:p w14:paraId="0CF58B89" w14:textId="6C1C4DC2" w:rsidR="00011DE9" w:rsidRDefault="005701C9">
            <w:pPr>
              <w:pStyle w:val="P68B1DB1-Normal19"/>
              <w:spacing w:after="0"/>
              <w:jc w:val="center"/>
              <w:rPr>
                <w:rFonts w:eastAsia="Times New Roman"/>
                <w:noProof/>
              </w:rPr>
            </w:pPr>
            <w:r>
              <w:rPr>
                <w:noProof/>
              </w:rPr>
              <w:t>T2</w:t>
            </w:r>
          </w:p>
        </w:tc>
        <w:tc>
          <w:tcPr>
            <w:tcW w:w="709" w:type="dxa"/>
            <w:shd w:val="clear" w:color="auto" w:fill="C6EFCE"/>
            <w:noWrap/>
          </w:tcPr>
          <w:p w14:paraId="42F6C99B" w14:textId="77777777" w:rsidR="00011DE9" w:rsidRDefault="00011DE9">
            <w:pPr>
              <w:pStyle w:val="P68B1DB1-Normal19"/>
              <w:spacing w:after="0"/>
              <w:jc w:val="center"/>
              <w:rPr>
                <w:rFonts w:eastAsia="Times New Roman"/>
                <w:noProof/>
              </w:rPr>
            </w:pPr>
            <w:r>
              <w:rPr>
                <w:noProof/>
              </w:rPr>
              <w:t>2023</w:t>
            </w:r>
          </w:p>
        </w:tc>
        <w:tc>
          <w:tcPr>
            <w:tcW w:w="5532" w:type="dxa"/>
            <w:shd w:val="clear" w:color="auto" w:fill="C6EFCE"/>
            <w:noWrap/>
          </w:tcPr>
          <w:p w14:paraId="10A11A0D" w14:textId="77777777" w:rsidR="00011DE9" w:rsidRDefault="00011DE9">
            <w:pPr>
              <w:pStyle w:val="P68B1DB1-Normal19"/>
              <w:spacing w:after="0" w:line="240" w:lineRule="auto"/>
              <w:rPr>
                <w:rFonts w:eastAsia="Times New Roman"/>
                <w:noProof/>
              </w:rPr>
            </w:pPr>
            <w:r>
              <w:rPr>
                <w:noProof/>
              </w:rPr>
              <w:t>Aprobarea cererilor de propuneri și a normelor care reglementează sprijinul sub formă de granturi pentru proiecte de decarbonizare a industriei prelucrătoare, precum și dezvoltarea de noi instalații de producție foarte eficiente și decarbonizate. Cererile de propuneri și normele care reglementează sprijinul sub formă de granturi pentru proiecte asigură faptul că măsura respectă Orientările tehnice de „a nu prejudicia în mod semnificativ” (2021/C58/01) prin utilizarea unei liste de excludere și a cerinței de a respecta legislația UE și națională relevantă în materie de mediu.</w:t>
            </w:r>
          </w:p>
        </w:tc>
      </w:tr>
      <w:tr w:rsidR="00011DE9" w14:paraId="2A10C231" w14:textId="77777777">
        <w:trPr>
          <w:trHeight w:val="309"/>
          <w:jc w:val="center"/>
        </w:trPr>
        <w:tc>
          <w:tcPr>
            <w:tcW w:w="789" w:type="dxa"/>
            <w:tcBorders>
              <w:top w:val="single" w:sz="4" w:space="0" w:color="156082" w:themeColor="accent1"/>
              <w:left w:val="single" w:sz="4" w:space="0" w:color="156082" w:themeColor="accent1"/>
              <w:bottom w:val="single" w:sz="4" w:space="0" w:color="156082" w:themeColor="accent1"/>
              <w:right w:val="single" w:sz="4" w:space="0" w:color="auto"/>
            </w:tcBorders>
            <w:shd w:val="clear" w:color="auto" w:fill="C6EFCE"/>
            <w:noWrap/>
          </w:tcPr>
          <w:p w14:paraId="00895067" w14:textId="77777777" w:rsidR="00011DE9" w:rsidRDefault="00011DE9">
            <w:pPr>
              <w:pStyle w:val="P68B1DB1-Normal19"/>
              <w:spacing w:after="0"/>
              <w:jc w:val="center"/>
              <w:rPr>
                <w:rFonts w:eastAsia="Times New Roman"/>
                <w:noProof/>
              </w:rPr>
            </w:pPr>
            <w:r>
              <w:rPr>
                <w:noProof/>
              </w:rPr>
              <w:t>493</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2EDE2BC7" w14:textId="77777777" w:rsidR="00011DE9" w:rsidRDefault="00011DE9">
            <w:pPr>
              <w:pStyle w:val="P68B1DB1-Normal19"/>
              <w:spacing w:after="0"/>
              <w:jc w:val="center"/>
              <w:rPr>
                <w:rFonts w:eastAsia="Times New Roman"/>
                <w:noProof/>
              </w:rPr>
            </w:pPr>
            <w:r>
              <w:rPr>
                <w:noProof/>
              </w:rPr>
              <w:t>C31.I5</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1C423927" w14:textId="77777777" w:rsidR="00011DE9" w:rsidRDefault="00011DE9">
            <w:pPr>
              <w:pStyle w:val="P68B1DB1-Normal19"/>
              <w:spacing w:after="0"/>
              <w:jc w:val="center"/>
              <w:rPr>
                <w:rFonts w:eastAsia="Times New Roman"/>
                <w:noProof/>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33975390" w14:textId="77777777" w:rsidR="00011DE9" w:rsidRDefault="00011DE9">
            <w:pPr>
              <w:pStyle w:val="P68B1DB1-Normal19"/>
              <w:spacing w:after="0"/>
              <w:rPr>
                <w:rFonts w:eastAsia="Times New Roman"/>
                <w:noProof/>
              </w:rPr>
            </w:pPr>
            <w:r>
              <w:rPr>
                <w:noProof/>
              </w:rPr>
              <w:t>Proiecte de decarbonizare</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F6D9AF5" w14:textId="77777777" w:rsidR="00011DE9" w:rsidRDefault="00011DE9">
            <w:pPr>
              <w:pStyle w:val="P68B1DB1-Normal22"/>
              <w:spacing w:after="0"/>
              <w:rPr>
                <w:noProof/>
              </w:rPr>
            </w:pPr>
            <w:r>
              <w:rPr>
                <w:noProof/>
              </w:rPr>
              <w:t xml:space="preserve">Rapoarte finale </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3ADE90D1" w14:textId="77777777" w:rsidR="00011DE9" w:rsidRDefault="00011DE9">
            <w:pPr>
              <w:spacing w:after="0"/>
              <w:jc w:val="center"/>
              <w:rPr>
                <w:rFonts w:ascii="Times New Roman" w:eastAsia="Times New Roman" w:hAnsi="Times New Roman" w:cs="Times New Roman"/>
                <w:noProof/>
                <w:sz w:val="18"/>
                <w:szCs w:val="18"/>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076681FD" w14:textId="77777777" w:rsidR="00011DE9" w:rsidRDefault="00011DE9">
            <w:pPr>
              <w:spacing w:after="0"/>
              <w:jc w:val="righ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2957525" w14:textId="77777777" w:rsidR="00011DE9" w:rsidRDefault="00011DE9">
            <w:pPr>
              <w:spacing w:after="0"/>
              <w:jc w:val="right"/>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ABBC2B1" w14:textId="6D9DD876" w:rsidR="00011DE9" w:rsidRDefault="005701C9">
            <w:pPr>
              <w:pStyle w:val="P68B1DB1-Normal19"/>
              <w:spacing w:after="0"/>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028C742" w14:textId="77777777" w:rsidR="00011DE9" w:rsidRDefault="00011DE9">
            <w:pPr>
              <w:pStyle w:val="P68B1DB1-Normal19"/>
              <w:spacing w:after="0"/>
              <w:jc w:val="center"/>
              <w:rPr>
                <w:rFonts w:eastAsia="Times New Roman"/>
                <w:noProof/>
              </w:rPr>
            </w:pPr>
            <w:r>
              <w:rPr>
                <w:noProof/>
              </w:rPr>
              <w:t>2026</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47712058" w14:textId="77777777" w:rsidR="00011DE9" w:rsidRDefault="00011DE9">
            <w:pPr>
              <w:pStyle w:val="P68B1DB1-FootnoteText68"/>
              <w:rPr>
                <w:noProof/>
              </w:rPr>
            </w:pPr>
            <w:r>
              <w:rPr>
                <w:noProof/>
              </w:rPr>
              <w:t>Entitățile sau persoanele beneficiare prezintă rapoarte finale care confirmă finalizarea activităților pentru care a fost acordată o sumă totală de 379 350 000 EUR pentru granturi legate de proiecte de decarbonizare.</w:t>
            </w:r>
          </w:p>
          <w:p w14:paraId="59F2A2FD" w14:textId="77777777" w:rsidR="00011DE9" w:rsidRDefault="00011DE9">
            <w:pPr>
              <w:pStyle w:val="P68B1DB1-FootnoteText68"/>
              <w:rPr>
                <w:noProof/>
              </w:rPr>
            </w:pPr>
            <w:r>
              <w:rPr>
                <w:noProof/>
              </w:rPr>
              <w:t>40 % din totalul fondurilor acordate contribuie la obiectivele climatice utilizând metodologia din anexa VI la Regulamentul privind MRR.</w:t>
            </w:r>
          </w:p>
          <w:p w14:paraId="4C63A7A4" w14:textId="77777777" w:rsidR="00011DE9" w:rsidRDefault="00011DE9">
            <w:pPr>
              <w:pStyle w:val="FootnoteText"/>
              <w:rPr>
                <w:rFonts w:ascii="Times New Roman" w:eastAsia="Times New Roman" w:hAnsi="Times New Roman" w:cs="Times New Roman"/>
                <w:noProof/>
                <w:sz w:val="18"/>
                <w:szCs w:val="22"/>
              </w:rPr>
            </w:pPr>
          </w:p>
          <w:p w14:paraId="26230F5A" w14:textId="77777777" w:rsidR="00011DE9" w:rsidRDefault="00011DE9">
            <w:pPr>
              <w:pStyle w:val="FootnoteText"/>
              <w:rPr>
                <w:rFonts w:ascii="Times New Roman" w:eastAsia="Times New Roman" w:hAnsi="Times New Roman" w:cs="Times New Roman"/>
                <w:noProof/>
                <w:sz w:val="18"/>
                <w:szCs w:val="18"/>
              </w:rPr>
            </w:pPr>
          </w:p>
        </w:tc>
      </w:tr>
      <w:tr w:rsidR="00011DE9" w14:paraId="6B69E509" w14:textId="77777777">
        <w:trPr>
          <w:trHeight w:val="309"/>
          <w:jc w:val="center"/>
        </w:trPr>
        <w:tc>
          <w:tcPr>
            <w:tcW w:w="789" w:type="dxa"/>
            <w:tcBorders>
              <w:top w:val="single" w:sz="4" w:space="0" w:color="156082" w:themeColor="accent1"/>
              <w:left w:val="single" w:sz="4" w:space="0" w:color="156082" w:themeColor="accent1"/>
              <w:bottom w:val="single" w:sz="4" w:space="0" w:color="156082" w:themeColor="accent1"/>
              <w:right w:val="single" w:sz="4" w:space="0" w:color="auto"/>
            </w:tcBorders>
            <w:shd w:val="clear" w:color="auto" w:fill="C6EFCE"/>
            <w:noWrap/>
          </w:tcPr>
          <w:p w14:paraId="5FF6AB1D" w14:textId="77777777" w:rsidR="00011DE9" w:rsidRDefault="00011DE9">
            <w:pPr>
              <w:pStyle w:val="P68B1DB1-Normal19"/>
              <w:spacing w:after="200"/>
              <w:jc w:val="center"/>
              <w:rPr>
                <w:rFonts w:eastAsia="Times New Roman"/>
                <w:noProof/>
              </w:rPr>
            </w:pPr>
            <w:r>
              <w:rPr>
                <w:noProof/>
              </w:rPr>
              <w:t>494</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150F6528" w14:textId="77777777" w:rsidR="00011DE9" w:rsidRDefault="00011DE9">
            <w:pPr>
              <w:pStyle w:val="P68B1DB1-Normal19"/>
              <w:spacing w:after="200"/>
              <w:jc w:val="center"/>
              <w:rPr>
                <w:rFonts w:eastAsia="Times New Roman"/>
                <w:noProof/>
              </w:rPr>
            </w:pPr>
            <w:r>
              <w:rPr>
                <w:noProof/>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0AA87F69" w14:textId="77777777" w:rsidR="00011DE9" w:rsidRDefault="00011DE9">
            <w:pPr>
              <w:pStyle w:val="P68B1DB1-Normal19"/>
              <w:spacing w:after="200"/>
              <w:jc w:val="center"/>
              <w:rPr>
                <w:rFonts w:eastAsia="Times New Roman"/>
                <w:noProof/>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7D2C8461" w14:textId="77777777" w:rsidR="00011DE9" w:rsidRDefault="00011DE9">
            <w:pPr>
              <w:pStyle w:val="P68B1DB1-Normal19"/>
              <w:spacing w:after="200" w:line="240" w:lineRule="auto"/>
              <w:rPr>
                <w:rFonts w:eastAsia="Times New Roman"/>
                <w:noProof/>
              </w:rPr>
            </w:pPr>
            <w:r>
              <w:rPr>
                <w:noProof/>
              </w:rPr>
              <w:t>Schema de subvenții pentru decarbonizarea industrială: Transformarea SEPIDES în întreprindere publică</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2FDF8802" w14:textId="77777777" w:rsidR="00011DE9" w:rsidRDefault="00011DE9">
            <w:pPr>
              <w:pStyle w:val="P68B1DB1-Normal19"/>
              <w:spacing w:after="200"/>
              <w:rPr>
                <w:rFonts w:eastAsia="Times New Roman"/>
                <w:noProof/>
              </w:rPr>
            </w:pPr>
            <w:r>
              <w:rPr>
                <w:noProof/>
              </w:rPr>
              <w:t>Intrarea în vigoare a actului legislativ</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2D71777D" w14:textId="77777777" w:rsidR="00011DE9" w:rsidRDefault="00011DE9">
            <w:pPr>
              <w:spacing w:after="200"/>
              <w:jc w:val="center"/>
              <w:rPr>
                <w:rFonts w:ascii="Times New Roman" w:eastAsia="Times New Roman" w:hAnsi="Times New Roman" w:cs="Times New Roman"/>
                <w:noProof/>
                <w:sz w:val="18"/>
                <w:szCs w:val="18"/>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7501CA2D" w14:textId="77777777" w:rsidR="00011DE9" w:rsidRDefault="00011DE9">
            <w:pPr>
              <w:spacing w:after="200"/>
              <w:jc w:val="righ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0B62365" w14:textId="77777777" w:rsidR="00011DE9" w:rsidRDefault="00011DE9">
            <w:pPr>
              <w:spacing w:after="200"/>
              <w:jc w:val="right"/>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678CE0E" w14:textId="73F1E378" w:rsidR="00011DE9" w:rsidRDefault="005701C9">
            <w:pPr>
              <w:pStyle w:val="P68B1DB1-Normal19"/>
              <w:spacing w:after="200"/>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385CC4C" w14:textId="77777777" w:rsidR="00011DE9" w:rsidRDefault="00011DE9">
            <w:pPr>
              <w:pStyle w:val="P68B1DB1-Normal19"/>
              <w:spacing w:after="200"/>
              <w:jc w:val="center"/>
              <w:rPr>
                <w:rFonts w:eastAsia="Times New Roman"/>
                <w:noProof/>
              </w:rPr>
            </w:pPr>
            <w:r>
              <w:rPr>
                <w:noProof/>
              </w:rPr>
              <w:t>2025</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5EFB57F3" w14:textId="77777777" w:rsidR="00011DE9" w:rsidRDefault="00011DE9">
            <w:pPr>
              <w:pStyle w:val="P68B1DB1-Normal20"/>
              <w:spacing w:after="200" w:line="240" w:lineRule="auto"/>
              <w:rPr>
                <w:rFonts w:eastAsia="Times New Roman" w:cs="Times New Roman"/>
                <w:noProof/>
              </w:rPr>
            </w:pPr>
            <w:r>
              <w:rPr>
                <w:noProof/>
              </w:rPr>
              <w:t xml:space="preserve">Intrarea în vigoare a unui instrument legislativ de transformare a SEPIDES într-o întreprindere publică. </w:t>
            </w:r>
          </w:p>
        </w:tc>
      </w:tr>
      <w:tr w:rsidR="00011DE9" w14:paraId="5A4552FA" w14:textId="77777777">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5884695A" w14:textId="77777777" w:rsidR="00011DE9" w:rsidRDefault="00011DE9">
            <w:pPr>
              <w:spacing w:after="0"/>
              <w:jc w:val="center"/>
              <w:rPr>
                <w:rFonts w:ascii="Times New Roman" w:eastAsia="Times New Roman" w:hAnsi="Times New Roman" w:cs="Times New Roman"/>
                <w:noProof/>
                <w:sz w:val="18"/>
                <w:szCs w:val="18"/>
              </w:rPr>
            </w:pPr>
            <w:r>
              <w:rPr>
                <w:rStyle w:val="normaltextrun"/>
                <w:rFonts w:ascii="Times New Roman" w:hAnsi="Times New Roman"/>
                <w:noProof/>
                <w:sz w:val="18"/>
              </w:rPr>
              <w:t>495</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6ACA8EDD" w14:textId="77777777" w:rsidR="00011DE9" w:rsidRDefault="00011DE9">
            <w:pPr>
              <w:pStyle w:val="P68B1DB1-Normal19"/>
              <w:spacing w:after="0"/>
              <w:jc w:val="center"/>
              <w:rPr>
                <w:rFonts w:eastAsia="Times New Roman"/>
                <w:noProof/>
              </w:rPr>
            </w:pPr>
            <w:r>
              <w:rPr>
                <w:noProof/>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77D7A712" w14:textId="77777777" w:rsidR="00011DE9" w:rsidRDefault="00011DE9">
            <w:pPr>
              <w:pStyle w:val="P68B1DB1-Normal19"/>
              <w:spacing w:after="0"/>
              <w:jc w:val="center"/>
              <w:rPr>
                <w:rFonts w:eastAsia="Times New Roman"/>
                <w:noProof/>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2731683C" w14:textId="77777777" w:rsidR="00011DE9" w:rsidRDefault="00011DE9">
            <w:pPr>
              <w:pStyle w:val="P68B1DB1-Normal20"/>
              <w:spacing w:after="0" w:line="240" w:lineRule="auto"/>
              <w:rPr>
                <w:rFonts w:eastAsia="Times New Roman" w:cs="Times New Roman"/>
                <w:noProof/>
              </w:rPr>
            </w:pPr>
            <w:r>
              <w:rPr>
                <w:noProof/>
              </w:rPr>
              <w:t>Schema de subvenții pentru decarbonizarea industrială: instituirea sistemului</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2D7881AB" w14:textId="77777777" w:rsidR="00011DE9" w:rsidRDefault="00011DE9">
            <w:pPr>
              <w:pStyle w:val="P68B1DB1-Normal19"/>
              <w:spacing w:after="0" w:line="240" w:lineRule="auto"/>
              <w:rPr>
                <w:rFonts w:eastAsia="Times New Roman"/>
                <w:noProof/>
              </w:rPr>
            </w:pPr>
            <w:r>
              <w:rPr>
                <w:noProof/>
              </w:rPr>
              <w:t>Intrarea în vigoare a instrumentului (instrumentelor) juridic (e) relevant (e)</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0313359F" w14:textId="77777777" w:rsidR="00011DE9" w:rsidRDefault="00011DE9">
            <w:pPr>
              <w:spacing w:after="0"/>
              <w:jc w:val="center"/>
              <w:rPr>
                <w:rFonts w:ascii="Times New Roman" w:eastAsia="Times New Roman" w:hAnsi="Times New Roman" w:cs="Times New Roman"/>
                <w:noProof/>
                <w:sz w:val="18"/>
                <w:szCs w:val="18"/>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2FCC698" w14:textId="77777777" w:rsidR="00011DE9" w:rsidRDefault="00011DE9">
            <w:pPr>
              <w:spacing w:after="0"/>
              <w:jc w:val="righ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65B60AF" w14:textId="77777777" w:rsidR="00011DE9" w:rsidRDefault="00011DE9">
            <w:pPr>
              <w:spacing w:after="0"/>
              <w:jc w:val="right"/>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A98CB2C" w14:textId="06736D6A" w:rsidR="00011DE9" w:rsidRDefault="005701C9">
            <w:pPr>
              <w:pStyle w:val="P68B1DB1-Normal19"/>
              <w:spacing w:after="0"/>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2B760A0" w14:textId="77777777" w:rsidR="00011DE9" w:rsidRDefault="00011DE9">
            <w:pPr>
              <w:pStyle w:val="P68B1DB1-Normal19"/>
              <w:spacing w:after="0"/>
              <w:jc w:val="center"/>
              <w:rPr>
                <w:rFonts w:eastAsia="Times New Roman"/>
                <w:noProof/>
              </w:rPr>
            </w:pPr>
            <w:r>
              <w:rPr>
                <w:noProof/>
              </w:rPr>
              <w:t>2025</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6002CDE3" w14:textId="77777777" w:rsidR="00011DE9" w:rsidRDefault="00011DE9">
            <w:pPr>
              <w:pStyle w:val="P68B1DB1-Normal19"/>
              <w:spacing w:after="0" w:line="240" w:lineRule="auto"/>
              <w:rPr>
                <w:noProof/>
              </w:rPr>
            </w:pPr>
            <w:r>
              <w:rPr>
                <w:noProof/>
              </w:rPr>
              <w:t>Intrarea în vigoare a instrumentului (instrumentelor) juridic (e) de instituire a schemei de subvenții în conformitate cu cerințele specificate în descrierea măsurii.</w:t>
            </w:r>
          </w:p>
          <w:p w14:paraId="66A16FA7" w14:textId="77777777" w:rsidR="00011DE9" w:rsidRDefault="00011DE9">
            <w:pPr>
              <w:spacing w:after="0"/>
              <w:rPr>
                <w:rStyle w:val="normaltextrun"/>
                <w:noProof/>
              </w:rPr>
            </w:pPr>
          </w:p>
        </w:tc>
      </w:tr>
      <w:tr w:rsidR="00011DE9" w14:paraId="5CA25980" w14:textId="77777777">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308D1D95" w14:textId="77777777" w:rsidR="00011DE9" w:rsidRDefault="00011DE9">
            <w:pPr>
              <w:spacing w:after="0"/>
              <w:jc w:val="center"/>
              <w:rPr>
                <w:rFonts w:ascii="Times New Roman" w:eastAsia="Times New Roman" w:hAnsi="Times New Roman" w:cs="Times New Roman"/>
                <w:noProof/>
                <w:sz w:val="18"/>
                <w:szCs w:val="18"/>
              </w:rPr>
            </w:pPr>
            <w:r>
              <w:rPr>
                <w:rStyle w:val="normaltextrun"/>
                <w:rFonts w:ascii="Times New Roman" w:hAnsi="Times New Roman"/>
                <w:noProof/>
                <w:sz w:val="18"/>
              </w:rPr>
              <w:t>496</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30B4B206" w14:textId="77777777" w:rsidR="00011DE9" w:rsidRDefault="00011DE9">
            <w:pPr>
              <w:pStyle w:val="P68B1DB1-Normal19"/>
              <w:spacing w:after="0"/>
              <w:jc w:val="center"/>
              <w:rPr>
                <w:rFonts w:eastAsia="Times New Roman"/>
                <w:noProof/>
              </w:rPr>
            </w:pPr>
            <w:r>
              <w:rPr>
                <w:noProof/>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1F1E624E" w14:textId="77777777" w:rsidR="00011DE9" w:rsidRDefault="00011DE9">
            <w:pPr>
              <w:pStyle w:val="P68B1DB1-Normal19"/>
              <w:spacing w:after="0"/>
              <w:jc w:val="center"/>
              <w:rPr>
                <w:rFonts w:eastAsia="Times New Roman"/>
                <w:noProof/>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6BAE00CE" w14:textId="77777777" w:rsidR="00011DE9" w:rsidRDefault="00011DE9">
            <w:pPr>
              <w:pStyle w:val="P68B1DB1-Normal19"/>
              <w:spacing w:after="0"/>
              <w:rPr>
                <w:rFonts w:eastAsia="Times New Roman"/>
                <w:noProof/>
              </w:rPr>
            </w:pPr>
            <w:r>
              <w:rPr>
                <w:noProof/>
              </w:rPr>
              <w:t>Schema de subvenții pentru decarbonizarea industrială: Ministerul a finalizat acordurile de investiții și acordurile juridice semnate cu beneficiarii finali sau rezoluțiile finale de atribuire publicate</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0D61E111" w14:textId="77777777" w:rsidR="00011DE9" w:rsidRDefault="00011DE9">
            <w:pPr>
              <w:spacing w:after="0" w:line="240" w:lineRule="auto"/>
              <w:rPr>
                <w:rFonts w:ascii="Times New Roman" w:eastAsia="Times New Roman" w:hAnsi="Times New Roman" w:cs="Times New Roman"/>
                <w:noProof/>
                <w:sz w:val="18"/>
                <w:szCs w:val="18"/>
              </w:rPr>
            </w:pPr>
            <w:r>
              <w:rPr>
                <w:rStyle w:val="normaltextrun"/>
                <w:rFonts w:ascii="Times New Roman" w:hAnsi="Times New Roman"/>
                <w:noProof/>
                <w:sz w:val="18"/>
              </w:rPr>
              <w:t>Intrarea în vigoare a acordurilor juridice de finanțare sau a rezoluțiilor finale de atribuire publicate și certificatul de plată către SEPIDES</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7F03F0F6" w14:textId="77777777" w:rsidR="00011DE9" w:rsidRDefault="00011DE9">
            <w:pPr>
              <w:spacing w:after="0"/>
              <w:jc w:val="center"/>
              <w:rPr>
                <w:rStyle w:val="eop"/>
                <w:noProof/>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553FF884" w14:textId="77777777" w:rsidR="00011DE9" w:rsidRDefault="00011DE9">
            <w:pPr>
              <w:spacing w:after="0"/>
              <w:jc w:val="right"/>
              <w:rPr>
                <w:rStyle w:val="eop"/>
                <w:noProof/>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2DB034" w14:textId="77777777" w:rsidR="00011DE9" w:rsidRDefault="00011DE9">
            <w:pPr>
              <w:spacing w:after="0"/>
              <w:jc w:val="right"/>
              <w:rPr>
                <w:rStyle w:val="eop"/>
                <w:noProof/>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DCD82F8" w14:textId="43569D91" w:rsidR="00011DE9" w:rsidRDefault="005701C9">
            <w:pPr>
              <w:pStyle w:val="P68B1DB1-Normal19"/>
              <w:spacing w:after="0"/>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0265A41" w14:textId="77777777" w:rsidR="00011DE9" w:rsidRDefault="00011DE9">
            <w:pPr>
              <w:pStyle w:val="P68B1DB1-Normal19"/>
              <w:spacing w:after="0"/>
              <w:jc w:val="center"/>
              <w:rPr>
                <w:rFonts w:eastAsia="Times New Roman"/>
                <w:noProof/>
              </w:rPr>
            </w:pPr>
            <w:r>
              <w:rPr>
                <w:noProof/>
              </w:rPr>
              <w:t>2026</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6A615AAF" w14:textId="77777777" w:rsidR="00011DE9" w:rsidRDefault="00011DE9">
            <w:pPr>
              <w:pStyle w:val="P68B1DB1-Normal20"/>
              <w:spacing w:after="0" w:line="240" w:lineRule="auto"/>
              <w:rPr>
                <w:noProof/>
              </w:rPr>
            </w:pPr>
            <w:r>
              <w:rPr>
                <w:noProof/>
              </w:rPr>
              <w:t xml:space="preserve">SEPIDES trebuie să fi publicat rezoluțiile finale de atribuire sau să fi încheiat acorduri juridice de finanțare cu beneficiarii finali pentru o sumă necesară pentru a utiliza 100 % din investițiile MRR în schemă. SEPIDES trebuie să se fi asigurat că 40 % din această finanțare contribuie la obiectivele climatice utilizând metodologia din anexa VI la Regulamentul privind MRR. </w:t>
            </w:r>
          </w:p>
          <w:p w14:paraId="33E0DB12" w14:textId="77777777" w:rsidR="00011DE9" w:rsidRDefault="00011DE9">
            <w:pPr>
              <w:pStyle w:val="P68B1DB1-Normal16"/>
              <w:spacing w:after="0" w:line="240" w:lineRule="auto"/>
              <w:rPr>
                <w:noProof/>
                <w:sz w:val="18"/>
                <w:szCs w:val="18"/>
              </w:rPr>
            </w:pPr>
            <w:r>
              <w:rPr>
                <w:noProof/>
                <w:sz w:val="18"/>
                <w:szCs w:val="18"/>
              </w:rPr>
              <w:t>Spania transferă 507</w:t>
            </w:r>
            <w:r>
              <w:rPr>
                <w:noProof/>
                <w:sz w:val="20"/>
                <w:szCs w:val="20"/>
              </w:rPr>
              <w:t xml:space="preserve"> </w:t>
            </w:r>
            <w:r>
              <w:rPr>
                <w:noProof/>
                <w:sz w:val="18"/>
                <w:szCs w:val="18"/>
              </w:rPr>
              <w:t>483 000 EUR către SEPIDES pentru schemă.</w:t>
            </w:r>
          </w:p>
          <w:p w14:paraId="5440FFCE" w14:textId="77777777" w:rsidR="00011DE9" w:rsidRDefault="00011DE9">
            <w:pPr>
              <w:spacing w:after="0"/>
              <w:rPr>
                <w:rFonts w:ascii="Times New Roman" w:eastAsia="Times New Roman" w:hAnsi="Times New Roman" w:cs="Times New Roman"/>
                <w:noProof/>
                <w:sz w:val="18"/>
                <w:szCs w:val="18"/>
              </w:rPr>
            </w:pPr>
          </w:p>
        </w:tc>
      </w:tr>
      <w:tr w:rsidR="00011DE9" w14:paraId="4F26BF4D" w14:textId="77777777">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5B507145" w14:textId="77777777" w:rsidR="00011DE9" w:rsidRDefault="00011DE9">
            <w:pPr>
              <w:spacing w:after="0"/>
              <w:jc w:val="center"/>
              <w:rPr>
                <w:rStyle w:val="normaltextrun"/>
                <w:noProof/>
              </w:rPr>
            </w:pPr>
            <w:r>
              <w:rPr>
                <w:rStyle w:val="normaltextrun"/>
                <w:rFonts w:ascii="Times New Roman" w:hAnsi="Times New Roman"/>
                <w:noProof/>
                <w:sz w:val="18"/>
              </w:rPr>
              <w:t>506</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381641E1" w14:textId="77777777" w:rsidR="00011DE9" w:rsidRDefault="00011DE9">
            <w:pPr>
              <w:pStyle w:val="P68B1DB1-Normal19"/>
              <w:spacing w:after="0"/>
              <w:jc w:val="center"/>
              <w:rPr>
                <w:noProof/>
              </w:rPr>
            </w:pPr>
            <w:r>
              <w:rPr>
                <w:noProof/>
              </w:rPr>
              <w:t>C31.I9</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8EA1819" w14:textId="77777777" w:rsidR="00011DE9" w:rsidRDefault="00011DE9">
            <w:pPr>
              <w:pStyle w:val="P68B1DB1-Normal19"/>
              <w:spacing w:after="0"/>
              <w:jc w:val="center"/>
              <w:rPr>
                <w:noProof/>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57AB5C3C" w14:textId="77777777" w:rsidR="00011DE9" w:rsidRDefault="00011DE9">
            <w:pPr>
              <w:pStyle w:val="P68B1DB1-Normal20"/>
              <w:spacing w:after="0" w:line="240" w:lineRule="auto"/>
              <w:rPr>
                <w:noProof/>
              </w:rPr>
            </w:pPr>
            <w:r>
              <w:rPr>
                <w:noProof/>
              </w:rPr>
              <w:t>Schemă de sprijinire a tranziției verzi: Instituirea sistemului</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63FE4BE0" w14:textId="77777777" w:rsidR="00011DE9" w:rsidRDefault="00011DE9">
            <w:pPr>
              <w:pStyle w:val="P68B1DB1-Normal19"/>
              <w:spacing w:after="0" w:line="240" w:lineRule="auto"/>
              <w:rPr>
                <w:noProof/>
              </w:rPr>
            </w:pPr>
            <w:r>
              <w:rPr>
                <w:noProof/>
              </w:rPr>
              <w:t>Intrarea în vigoare a instrumentului (instrumentelor) juridic (e) relevant (e)</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2DB1C7AA" w14:textId="77777777" w:rsidR="00011DE9" w:rsidRDefault="00011DE9">
            <w:pPr>
              <w:spacing w:after="0"/>
              <w:jc w:val="center"/>
              <w:rPr>
                <w:rStyle w:val="eop"/>
                <w:noProof/>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8457ED4" w14:textId="77777777" w:rsidR="00011DE9" w:rsidRDefault="00011DE9">
            <w:pPr>
              <w:spacing w:after="0"/>
              <w:jc w:val="right"/>
              <w:rPr>
                <w:rFonts w:ascii="Times New Roman" w:hAnsi="Times New Roman"/>
                <w:noProof/>
                <w:sz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D1F5C17" w14:textId="77777777" w:rsidR="00011DE9" w:rsidRDefault="00011DE9">
            <w:pPr>
              <w:spacing w:after="0"/>
              <w:jc w:val="right"/>
              <w:rPr>
                <w:rFonts w:ascii="Times New Roman" w:hAnsi="Times New Roman"/>
                <w:noProof/>
                <w:sz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71CA65C" w14:textId="4FFCD200" w:rsidR="00011DE9" w:rsidRDefault="005701C9">
            <w:pPr>
              <w:pStyle w:val="P68B1DB1-Normal19"/>
              <w:spacing w:after="0"/>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127069E" w14:textId="77777777" w:rsidR="00011DE9" w:rsidRDefault="00011DE9">
            <w:pPr>
              <w:pStyle w:val="P68B1DB1-Normal19"/>
              <w:spacing w:after="0"/>
              <w:jc w:val="center"/>
              <w:rPr>
                <w:noProof/>
              </w:rPr>
            </w:pPr>
            <w:r>
              <w:rPr>
                <w:noProof/>
              </w:rPr>
              <w:t>2025</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7135A427" w14:textId="77777777" w:rsidR="00011DE9" w:rsidRDefault="00011DE9">
            <w:pPr>
              <w:pStyle w:val="P68B1DB1-Normal20"/>
              <w:spacing w:after="0" w:line="240" w:lineRule="auto"/>
              <w:rPr>
                <w:noProof/>
              </w:rPr>
            </w:pPr>
            <w:r>
              <w:rPr>
                <w:noProof/>
              </w:rPr>
              <w:t>Intrarea în vigoare a instrumentului (instrumentelor) juridic (e) de instituire a schemei de sprijin care constituie bugetul investiției, în conformitate cu cerințele specificate în descrierea măsurii.</w:t>
            </w:r>
          </w:p>
          <w:p w14:paraId="31E75452" w14:textId="77777777" w:rsidR="00011DE9" w:rsidRDefault="00011DE9">
            <w:pPr>
              <w:pStyle w:val="P68B1DB1-Normal20"/>
              <w:spacing w:after="0" w:line="240" w:lineRule="auto"/>
              <w:rPr>
                <w:noProof/>
              </w:rPr>
            </w:pPr>
            <w:r>
              <w:rPr>
                <w:noProof/>
              </w:rPr>
              <w:t>Pentru cererile de propuneri anterioare și din cursul anului 2025, procesul decizional al sistemului poate consta în decizii aprobate în unanimitate și cu cel puțin un vot independent de guvernul spaniol.</w:t>
            </w:r>
          </w:p>
          <w:p w14:paraId="129A93DA" w14:textId="77777777" w:rsidR="00011DE9" w:rsidRDefault="00011DE9">
            <w:pPr>
              <w:spacing w:after="0"/>
              <w:rPr>
                <w:rFonts w:ascii="Times New Roman" w:hAnsi="Times New Roman"/>
                <w:noProof/>
                <w:sz w:val="18"/>
                <w:szCs w:val="18"/>
              </w:rPr>
            </w:pPr>
          </w:p>
        </w:tc>
      </w:tr>
      <w:tr w:rsidR="00011DE9" w14:paraId="14CFDF06" w14:textId="77777777">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1C85D427" w14:textId="77777777" w:rsidR="00011DE9" w:rsidRDefault="00011DE9">
            <w:pPr>
              <w:spacing w:after="0"/>
              <w:jc w:val="center"/>
              <w:rPr>
                <w:rStyle w:val="normaltextrun"/>
                <w:noProof/>
              </w:rPr>
            </w:pPr>
            <w:r>
              <w:rPr>
                <w:rStyle w:val="normaltextrun"/>
                <w:rFonts w:ascii="Times New Roman" w:hAnsi="Times New Roman"/>
                <w:noProof/>
                <w:sz w:val="18"/>
              </w:rPr>
              <w:t>507</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55289437" w14:textId="77777777" w:rsidR="00011DE9" w:rsidRDefault="00011DE9">
            <w:pPr>
              <w:pStyle w:val="P68B1DB1-Normal19"/>
              <w:spacing w:after="0"/>
              <w:jc w:val="center"/>
              <w:rPr>
                <w:noProof/>
              </w:rPr>
            </w:pPr>
            <w:r>
              <w:rPr>
                <w:noProof/>
              </w:rPr>
              <w:t>C31.I9</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10CAD6BA" w14:textId="77777777" w:rsidR="00011DE9" w:rsidRDefault="00011DE9">
            <w:pPr>
              <w:pStyle w:val="P68B1DB1-Normal19"/>
              <w:spacing w:after="0"/>
              <w:jc w:val="center"/>
              <w:rPr>
                <w:noProof/>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509C61C1" w14:textId="77777777" w:rsidR="00011DE9" w:rsidRDefault="00011DE9">
            <w:pPr>
              <w:pStyle w:val="P68B1DB1-Normal22"/>
              <w:spacing w:after="0" w:line="240" w:lineRule="auto"/>
              <w:rPr>
                <w:noProof/>
              </w:rPr>
            </w:pPr>
            <w:r>
              <w:rPr>
                <w:noProof/>
              </w:rPr>
              <w:t xml:space="preserve">Schemă de sprijinire a tranziției verzi: Ministerul a finalizat acordurile de investiții și acordurile juridice semnate cu beneficiarii finali sau rezoluțiile finale de atribuire publicate </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1A5F0E32" w14:textId="77777777" w:rsidR="00011DE9" w:rsidRDefault="00011DE9">
            <w:pPr>
              <w:pStyle w:val="P68B1DB1-Normal15"/>
              <w:spacing w:after="0" w:line="240" w:lineRule="auto"/>
              <w:rPr>
                <w:rStyle w:val="normaltextrun"/>
                <w:noProof/>
              </w:rPr>
            </w:pPr>
            <w:r>
              <w:rPr>
                <w:noProof/>
              </w:rPr>
              <w:t>Intrarea în vigoare a acordurilor juridice de finanțare sau publicarea rezoluțiilor de atribuire finală; și certificatul de transfer</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BB048EA" w14:textId="77777777" w:rsidR="00011DE9" w:rsidRDefault="00011DE9">
            <w:pPr>
              <w:spacing w:after="0"/>
              <w:jc w:val="center"/>
              <w:rPr>
                <w:rStyle w:val="eop"/>
                <w:rFonts w:ascii="Times New Roman" w:hAnsi="Times New Roman" w:cs="Times New Roman"/>
                <w:noProof/>
                <w:sz w:val="18"/>
                <w:szCs w:val="18"/>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44EA0E0D" w14:textId="77777777" w:rsidR="00011DE9" w:rsidRDefault="00011DE9">
            <w:pPr>
              <w:spacing w:after="0"/>
              <w:jc w:val="right"/>
              <w:rPr>
                <w:noProof/>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229E8C7" w14:textId="77777777" w:rsidR="00011DE9" w:rsidRDefault="00011DE9">
            <w:pPr>
              <w:spacing w:after="0"/>
              <w:jc w:val="right"/>
              <w:rPr>
                <w:noProof/>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CD4153F" w14:textId="0C114873" w:rsidR="00011DE9" w:rsidRDefault="005701C9">
            <w:pPr>
              <w:pStyle w:val="P68B1DB1-Normal19"/>
              <w:spacing w:after="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F4014DC" w14:textId="77777777" w:rsidR="00011DE9" w:rsidRDefault="00011DE9">
            <w:pPr>
              <w:pStyle w:val="P68B1DB1-Normal19"/>
              <w:spacing w:after="0"/>
              <w:jc w:val="center"/>
              <w:rPr>
                <w:noProof/>
              </w:rPr>
            </w:pPr>
            <w:r>
              <w:rPr>
                <w:noProof/>
              </w:rPr>
              <w:t>2026</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086D293F" w14:textId="77777777" w:rsidR="00011DE9" w:rsidRDefault="00011DE9">
            <w:pPr>
              <w:pStyle w:val="P68B1DB1-Normal19"/>
              <w:spacing w:after="0" w:line="240" w:lineRule="auto"/>
              <w:rPr>
                <w:noProof/>
              </w:rPr>
            </w:pPr>
            <w:r>
              <w:rPr>
                <w:noProof/>
              </w:rPr>
              <w:t xml:space="preserve">IDAE trebuie să fi publicat rezoluțiile finale de atribuire sau intrarea în vigoare a acordurilor de finanțare cu beneficiarii finali, pentru 100 % din investițiile MRR în schema de sprijin (inclusiv costurile indirecte). </w:t>
            </w:r>
          </w:p>
          <w:p w14:paraId="5ED409F6" w14:textId="77777777" w:rsidR="00011DE9" w:rsidRDefault="00011DE9">
            <w:pPr>
              <w:spacing w:after="0" w:line="240" w:lineRule="auto"/>
              <w:rPr>
                <w:rFonts w:ascii="Times New Roman" w:hAnsi="Times New Roman"/>
                <w:noProof/>
                <w:sz w:val="18"/>
              </w:rPr>
            </w:pPr>
          </w:p>
          <w:p w14:paraId="078F056D" w14:textId="77777777" w:rsidR="00011DE9" w:rsidRDefault="00011DE9">
            <w:pPr>
              <w:pStyle w:val="P68B1DB1-Normal19"/>
              <w:spacing w:after="0" w:line="240" w:lineRule="auto"/>
              <w:rPr>
                <w:noProof/>
              </w:rPr>
            </w:pPr>
            <w:r>
              <w:rPr>
                <w:noProof/>
              </w:rPr>
              <w:t>Spania transferă 2 190 000 000 EUR către IDAE pentru schema de sprijin.</w:t>
            </w:r>
          </w:p>
        </w:tc>
      </w:tr>
    </w:tbl>
    <w:p w14:paraId="05AB940B" w14:textId="77777777" w:rsidR="00011DE9" w:rsidRDefault="00011DE9">
      <w:pPr>
        <w:spacing w:before="120" w:after="120" w:line="240" w:lineRule="auto"/>
        <w:jc w:val="both"/>
        <w:rPr>
          <w:rFonts w:ascii="Times New Roman" w:hAnsi="Times New Roman" w:cs="Times New Roman"/>
          <w:noProof/>
        </w:rPr>
      </w:pPr>
    </w:p>
    <w:p w14:paraId="225B1994" w14:textId="77777777" w:rsidR="00011DE9" w:rsidRDefault="00011DE9">
      <w:pPr>
        <w:pStyle w:val="NormalWeb"/>
        <w:tabs>
          <w:tab w:val="left" w:pos="930"/>
        </w:tabs>
        <w:rPr>
          <w:noProof/>
        </w:rPr>
        <w:sectPr w:rsidR="00011DE9" w:rsidSect="00011DE9">
          <w:headerReference w:type="even" r:id="rId422"/>
          <w:headerReference w:type="default" r:id="rId423"/>
          <w:footerReference w:type="even" r:id="rId424"/>
          <w:footerReference w:type="default" r:id="rId425"/>
          <w:headerReference w:type="first" r:id="rId426"/>
          <w:footerReference w:type="first" r:id="rId427"/>
          <w:pgSz w:w="16839" w:h="11907" w:orient="landscape"/>
          <w:pgMar w:top="1134" w:right="1134" w:bottom="1134" w:left="1134" w:header="567" w:footer="567" w:gutter="0"/>
          <w:cols w:space="720"/>
          <w:docGrid w:linePitch="360"/>
        </w:sectPr>
      </w:pPr>
      <w:r>
        <w:rPr>
          <w:noProof/>
        </w:rPr>
        <w:tab/>
      </w:r>
    </w:p>
    <w:p w14:paraId="1BF1035B" w14:textId="77777777" w:rsidR="00011DE9" w:rsidRDefault="00011DE9">
      <w:pPr>
        <w:pStyle w:val="Heading1"/>
        <w:rPr>
          <w:noProof/>
        </w:rPr>
      </w:pPr>
      <w:r>
        <w:rPr>
          <w:noProof/>
        </w:rPr>
        <w:t xml:space="preserve">AF. COMPONENTA 32: SPRIJIN PENTRU REDRESARE ȘI REZILIENȚĂ CA RĂSPUNS LA DEZASTRELE NATURALE </w:t>
      </w:r>
    </w:p>
    <w:p w14:paraId="081A8391" w14:textId="77777777" w:rsidR="00011DE9" w:rsidRDefault="00011DE9">
      <w:pPr>
        <w:pStyle w:val="P68B1DB1-Text151"/>
        <w:ind w:left="0"/>
        <w:rPr>
          <w:noProof/>
        </w:rPr>
      </w:pPr>
      <w:r>
        <w:rPr>
          <w:noProof/>
        </w:rPr>
        <w:t xml:space="preserve">Obiectivul acestui capitol este de a sprijini redresarea sau teritoriul spaniol afectat de fenomenul meteorologic extrem din octombrie 2024, precum și de a consolida reziliența la șocurile externe mai ample care au apărut la nivel mondial. Acest eveniment grav a provocat inundații pe scară largă în Comunitatea Valencia și în regiunile învecinate și a generat daune și consecințe economice semnificative. </w:t>
      </w:r>
    </w:p>
    <w:p w14:paraId="7C360C6B" w14:textId="77777777" w:rsidR="00011DE9" w:rsidRDefault="00011DE9">
      <w:pPr>
        <w:pStyle w:val="P68B1DB1-Text161"/>
        <w:ind w:left="0"/>
        <w:rPr>
          <w:rFonts w:cs="Times New Roman"/>
          <w:noProof/>
        </w:rPr>
      </w:pPr>
      <w:r>
        <w:rPr>
          <w:noProof/>
        </w:rPr>
        <w:t>Nicio măsură din cadrul acestei componente nu aduce prejudicii semnificative obiectivelor de mediu în sensul articolului 17 din Regulamentul (UE) 2020/852, ținând seama de descrierea măsurilor și a etapelor de atenuare prevăzute în planul de redresare și reziliență în conformitate cu Orientările tehnice DNSH (2021/C58/01).</w:t>
      </w:r>
    </w:p>
    <w:p w14:paraId="40874E4C" w14:textId="77777777" w:rsidR="00011DE9" w:rsidRDefault="00011DE9">
      <w:pPr>
        <w:pStyle w:val="Text1"/>
        <w:ind w:left="709"/>
        <w:rPr>
          <w:rFonts w:ascii="Times New Roman" w:hAnsi="Times New Roman" w:cs="Times New Roman"/>
          <w:b/>
          <w:noProof/>
          <w:u w:val="single"/>
        </w:rPr>
      </w:pPr>
      <w:r>
        <w:rPr>
          <w:rFonts w:ascii="Times New Roman" w:hAnsi="Times New Roman"/>
          <w:b/>
          <w:noProof/>
          <w:u w:val="single"/>
        </w:rPr>
        <w:t xml:space="preserve">AF.1. </w:t>
      </w:r>
      <w:r>
        <w:rPr>
          <w:noProof/>
        </w:rPr>
        <w:t></w:t>
      </w:r>
      <w:r>
        <w:rPr>
          <w:rFonts w:ascii="Times New Roman" w:hAnsi="Times New Roman"/>
          <w:b/>
          <w:noProof/>
          <w:u w:val="single"/>
        </w:rPr>
        <w:t>Descrierea investițiilor pentru sprijinul financiar nerambursabil</w:t>
      </w:r>
    </w:p>
    <w:p w14:paraId="21D382F7" w14:textId="77777777" w:rsidR="00011DE9" w:rsidRDefault="00011DE9">
      <w:pPr>
        <w:pStyle w:val="P68B1DB1-Normal69"/>
        <w:keepNext/>
        <w:spacing w:before="120" w:after="120" w:line="240" w:lineRule="auto"/>
        <w:jc w:val="both"/>
        <w:rPr>
          <w:noProof/>
        </w:rPr>
      </w:pPr>
      <w:r>
        <w:rPr>
          <w:noProof/>
        </w:rPr>
        <w:t>Investiția 1 (C32.I1): Mobilitatea și infrastructura verde și durabilă</w:t>
      </w:r>
    </w:p>
    <w:p w14:paraId="4A5410E7" w14:textId="77777777" w:rsidR="00011DE9" w:rsidRDefault="00011DE9">
      <w:pPr>
        <w:pStyle w:val="P68B1DB1-Normal70"/>
        <w:keepNext/>
        <w:spacing w:before="120" w:after="120" w:line="240" w:lineRule="auto"/>
        <w:jc w:val="both"/>
        <w:rPr>
          <w:noProof/>
        </w:rPr>
      </w:pPr>
      <w:r>
        <w:rPr>
          <w:noProof/>
        </w:rPr>
        <w:t xml:space="preserve">Obiectivul acestei măsuri este de a restabili mobilitatea după inundațiile DANA. </w:t>
      </w:r>
    </w:p>
    <w:p w14:paraId="16193939" w14:textId="77777777" w:rsidR="00011DE9" w:rsidRDefault="00011DE9">
      <w:pPr>
        <w:pStyle w:val="P68B1DB1-Normal70"/>
        <w:keepNext/>
        <w:spacing w:before="120" w:after="120" w:line="240" w:lineRule="auto"/>
        <w:jc w:val="both"/>
        <w:rPr>
          <w:noProof/>
        </w:rPr>
      </w:pPr>
      <w:r>
        <w:rPr>
          <w:noProof/>
        </w:rPr>
        <w:t xml:space="preserve">Investiția constă în: </w:t>
      </w:r>
    </w:p>
    <w:p w14:paraId="60B5083C" w14:textId="77777777" w:rsidR="00011DE9" w:rsidRDefault="00011DE9">
      <w:pPr>
        <w:pStyle w:val="P68B1DB1-ListParagraph71"/>
        <w:keepNext/>
        <w:numPr>
          <w:ilvl w:val="2"/>
          <w:numId w:val="159"/>
        </w:numPr>
        <w:spacing w:before="120" w:after="120" w:line="240" w:lineRule="auto"/>
        <w:jc w:val="both"/>
        <w:rPr>
          <w:noProof/>
        </w:rPr>
      </w:pPr>
      <w:r>
        <w:rPr>
          <w:noProof/>
        </w:rPr>
        <w:t>reconstrucția sau repararea infrastructurii feroviare, sprijin pentru serviciile feroviare;</w:t>
      </w:r>
    </w:p>
    <w:p w14:paraId="1C09DF68" w14:textId="77777777" w:rsidR="00011DE9" w:rsidRDefault="00011DE9">
      <w:pPr>
        <w:pStyle w:val="P68B1DB1-ListParagraph72"/>
        <w:keepNext/>
        <w:numPr>
          <w:ilvl w:val="2"/>
          <w:numId w:val="159"/>
        </w:numPr>
        <w:spacing w:before="120" w:after="120" w:line="240" w:lineRule="auto"/>
        <w:jc w:val="both"/>
        <w:rPr>
          <w:noProof/>
          <w:color w:val="000000" w:themeColor="text1"/>
        </w:rPr>
      </w:pPr>
      <w:r>
        <w:rPr>
          <w:noProof/>
          <w:color w:val="000000" w:themeColor="text1"/>
        </w:rPr>
        <w:t xml:space="preserve">sprijin pentru achiziționarea de vehicule </w:t>
      </w:r>
      <w:r>
        <w:rPr>
          <w:noProof/>
        </w:rPr>
        <w:t>în cadrul „Sección Etiqueta Cero” din Programa Reinicia Auto +</w:t>
      </w:r>
    </w:p>
    <w:p w14:paraId="41CC6B0D" w14:textId="4BF9F732" w:rsidR="00011DE9" w:rsidRDefault="00011DE9">
      <w:pPr>
        <w:pStyle w:val="P68B1DB1-Normal70"/>
        <w:spacing w:before="120" w:after="120" w:line="240" w:lineRule="auto"/>
        <w:jc w:val="both"/>
        <w:rPr>
          <w:noProof/>
          <w:color w:val="4472C4"/>
        </w:rPr>
      </w:pPr>
      <w:r>
        <w:rPr>
          <w:noProof/>
          <w:u w:val="single"/>
        </w:rPr>
        <w:t>Investiția 2 (C32.I2): Refacerea infrastructurii de apă, de mediu și agricole</w:t>
      </w:r>
      <w:r w:rsidR="00971820">
        <w:rPr>
          <w:noProof/>
          <w:u w:val="single"/>
        </w:rPr>
        <w:t xml:space="preserve"> </w:t>
      </w:r>
    </w:p>
    <w:p w14:paraId="5A33BC7F" w14:textId="77777777" w:rsidR="00011DE9" w:rsidRDefault="00011DE9">
      <w:pPr>
        <w:pStyle w:val="P68B1DB1-Normal70"/>
        <w:spacing w:before="120" w:after="120" w:line="240" w:lineRule="auto"/>
        <w:jc w:val="both"/>
        <w:rPr>
          <w:noProof/>
        </w:rPr>
      </w:pPr>
      <w:r>
        <w:rPr>
          <w:noProof/>
        </w:rPr>
        <w:t>Obiectivul acestei măsuri este de a reface infrastructurile de apă, de mediu și agricole distruse de inundațiile din DANA.</w:t>
      </w:r>
    </w:p>
    <w:p w14:paraId="0DD327C3" w14:textId="724FBCD5" w:rsidR="00011DE9" w:rsidRDefault="00011DE9">
      <w:pPr>
        <w:pStyle w:val="P68B1DB1-Normal70"/>
        <w:spacing w:before="120" w:after="120" w:line="240" w:lineRule="auto"/>
        <w:jc w:val="both"/>
        <w:rPr>
          <w:noProof/>
        </w:rPr>
      </w:pPr>
      <w:r>
        <w:rPr>
          <w:noProof/>
        </w:rPr>
        <w:t>Această investiție constă în:</w:t>
      </w:r>
      <w:r w:rsidR="00971820">
        <w:rPr>
          <w:noProof/>
        </w:rPr>
        <w:t xml:space="preserve"> </w:t>
      </w:r>
    </w:p>
    <w:p w14:paraId="78A90C39" w14:textId="77777777" w:rsidR="00011DE9" w:rsidRDefault="00011DE9">
      <w:pPr>
        <w:pStyle w:val="P68B1DB1-ListParagraph72"/>
        <w:numPr>
          <w:ilvl w:val="0"/>
          <w:numId w:val="211"/>
        </w:numPr>
        <w:spacing w:before="120" w:after="120" w:line="240" w:lineRule="auto"/>
        <w:jc w:val="both"/>
        <w:rPr>
          <w:noProof/>
        </w:rPr>
      </w:pPr>
      <w:r>
        <w:rPr>
          <w:noProof/>
        </w:rPr>
        <w:t>Refacerea hidrologică și forestieră;</w:t>
      </w:r>
    </w:p>
    <w:p w14:paraId="0846E33E" w14:textId="77777777" w:rsidR="00011DE9" w:rsidRDefault="00011DE9">
      <w:pPr>
        <w:pStyle w:val="P68B1DB1-ListParagraph72"/>
        <w:numPr>
          <w:ilvl w:val="0"/>
          <w:numId w:val="211"/>
        </w:numPr>
        <w:spacing w:before="120" w:after="120" w:line="240" w:lineRule="auto"/>
        <w:jc w:val="both"/>
        <w:rPr>
          <w:noProof/>
        </w:rPr>
      </w:pPr>
      <w:r>
        <w:rPr>
          <w:noProof/>
        </w:rPr>
        <w:t>instalarea unui sistem de calcul de înaltă performanță de către Agenția Meteorologică de Stat;</w:t>
      </w:r>
    </w:p>
    <w:p w14:paraId="228870CE" w14:textId="77777777" w:rsidR="00011DE9" w:rsidRDefault="00011DE9">
      <w:pPr>
        <w:pStyle w:val="P68B1DB1-ListParagraph72"/>
        <w:numPr>
          <w:ilvl w:val="0"/>
          <w:numId w:val="211"/>
        </w:numPr>
        <w:spacing w:before="120" w:after="120" w:line="240" w:lineRule="auto"/>
        <w:jc w:val="both"/>
        <w:rPr>
          <w:noProof/>
        </w:rPr>
      </w:pPr>
      <w:r>
        <w:rPr>
          <w:noProof/>
        </w:rPr>
        <w:t xml:space="preserve">restaurarea infrastructurii hidraulice; </w:t>
      </w:r>
    </w:p>
    <w:p w14:paraId="675C59E9" w14:textId="77777777" w:rsidR="00011DE9" w:rsidRDefault="00011DE9">
      <w:pPr>
        <w:pStyle w:val="P68B1DB1-ListParagraph72"/>
        <w:numPr>
          <w:ilvl w:val="0"/>
          <w:numId w:val="211"/>
        </w:numPr>
        <w:spacing w:before="120" w:after="120" w:line="240" w:lineRule="auto"/>
        <w:jc w:val="both"/>
        <w:rPr>
          <w:noProof/>
        </w:rPr>
      </w:pPr>
      <w:r>
        <w:rPr>
          <w:noProof/>
        </w:rPr>
        <w:t xml:space="preserve">restaurarea domeniilor publice hidraulice (Dominio Público Hidráaulico); </w:t>
      </w:r>
    </w:p>
    <w:p w14:paraId="5CF23FFF" w14:textId="77777777" w:rsidR="00011DE9" w:rsidRDefault="00011DE9">
      <w:pPr>
        <w:pStyle w:val="P68B1DB1-ListParagraph72"/>
        <w:numPr>
          <w:ilvl w:val="0"/>
          <w:numId w:val="211"/>
        </w:numPr>
        <w:spacing w:before="120" w:after="120" w:line="240" w:lineRule="auto"/>
        <w:jc w:val="both"/>
        <w:rPr>
          <w:noProof/>
        </w:rPr>
      </w:pPr>
      <w:r>
        <w:rPr>
          <w:noProof/>
        </w:rPr>
        <w:t>reconstrucția potențialului productiv agricol.</w:t>
      </w:r>
    </w:p>
    <w:p w14:paraId="548DF93F" w14:textId="77777777" w:rsidR="00011DE9" w:rsidRDefault="00011DE9">
      <w:pPr>
        <w:pStyle w:val="P68B1DB1-Normal69"/>
        <w:keepNext/>
        <w:spacing w:before="120" w:after="120" w:line="240" w:lineRule="auto"/>
        <w:jc w:val="both"/>
        <w:rPr>
          <w:noProof/>
        </w:rPr>
      </w:pPr>
      <w:r>
        <w:rPr>
          <w:noProof/>
        </w:rPr>
        <w:t xml:space="preserve">Investiția 3 (C32.I3): Oportunități de ocupare a forței de muncă pentru lucrători în vederea reconstrucției și revitalizării socioeconomice a teritoriilor afectate de DANA </w:t>
      </w:r>
    </w:p>
    <w:p w14:paraId="659FB708" w14:textId="77777777" w:rsidR="00011DE9" w:rsidRDefault="00011DE9">
      <w:pPr>
        <w:pStyle w:val="P68B1DB1-Normal70"/>
        <w:keepNext/>
        <w:spacing w:before="120" w:after="120" w:line="240" w:lineRule="auto"/>
        <w:jc w:val="both"/>
        <w:rPr>
          <w:noProof/>
        </w:rPr>
      </w:pPr>
      <w:r>
        <w:rPr>
          <w:noProof/>
        </w:rPr>
        <w:t>Obiectivul măsurii este de a oferi oportunități de angajare pentru lucrători în vederea reconstrucției și revitalizării socioeconomice a zonelor afectate de DANA. Aceasta constă în semnarea contractelor de muncă pentru lucrătorii din zonele afectate.</w:t>
      </w:r>
    </w:p>
    <w:p w14:paraId="3B3DA33F" w14:textId="77777777" w:rsidR="00011DE9" w:rsidRDefault="00011DE9">
      <w:pPr>
        <w:pStyle w:val="P68B1DB1-Normal69"/>
        <w:spacing w:before="120" w:after="120" w:line="240" w:lineRule="auto"/>
        <w:jc w:val="both"/>
        <w:rPr>
          <w:rFonts w:ascii="Calibri" w:eastAsia="Calibri" w:hAnsi="Calibri" w:cs="Calibri"/>
          <w:noProof/>
          <w:color w:val="4471C4"/>
        </w:rPr>
      </w:pPr>
      <w:r>
        <w:rPr>
          <w:noProof/>
        </w:rPr>
        <w:t xml:space="preserve">Investiția 4 (C32.I4): Prevenirea și combaterea dezastrelor naturale: noua componentă spaniolă a constelației atlantice (ESCA +) </w:t>
      </w:r>
    </w:p>
    <w:p w14:paraId="46AC6C99" w14:textId="77777777" w:rsidR="00011DE9" w:rsidRDefault="00011DE9">
      <w:pPr>
        <w:pStyle w:val="P68B1DB1-Normal49"/>
        <w:spacing w:before="120" w:after="120" w:line="240" w:lineRule="auto"/>
        <w:jc w:val="both"/>
        <w:rPr>
          <w:noProof/>
        </w:rPr>
      </w:pPr>
      <w:r>
        <w:rPr>
          <w:noProof/>
          <w:color w:val="000000" w:themeColor="text1"/>
        </w:rPr>
        <w:t xml:space="preserve">Obiectivul măsurii este de a spori </w:t>
      </w:r>
      <w:r>
        <w:rPr>
          <w:noProof/>
        </w:rPr>
        <w:t>capacitatea de prevenire, combatere și redresare în urma</w:t>
      </w:r>
      <w:r>
        <w:rPr>
          <w:strike/>
          <w:noProof/>
        </w:rPr>
        <w:t xml:space="preserve"> </w:t>
      </w:r>
      <w:r>
        <w:rPr>
          <w:noProof/>
        </w:rPr>
        <w:t xml:space="preserve">dezastrelor și de a contribui la consolidarea rezilienței Spaniei și a Europei, prin dezvoltarea de sateliți. </w:t>
      </w:r>
    </w:p>
    <w:p w14:paraId="5FCEF2B6" w14:textId="77777777" w:rsidR="00011DE9" w:rsidRDefault="00011DE9">
      <w:pPr>
        <w:spacing w:before="120" w:after="120" w:line="240" w:lineRule="auto"/>
        <w:jc w:val="both"/>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Măsura constă în contribuția voluntară de 325.01 milioane EUR</w:t>
      </w:r>
      <w:r>
        <w:rPr>
          <w:rFonts w:ascii="Times New Roman" w:hAnsi="Times New Roman"/>
          <w:noProof/>
          <w:sz w:val="20"/>
        </w:rPr>
        <w:t xml:space="preserve"> </w:t>
      </w:r>
      <w:r>
        <w:rPr>
          <w:rFonts w:ascii="Times New Roman" w:eastAsia="Times New Roman" w:hAnsi="Times New Roman" w:cs="Times New Roman"/>
          <w:noProof/>
          <w:color w:val="000000" w:themeColor="text1"/>
        </w:rPr>
        <w:t xml:space="preserve">la programul „Atlantic Constellation”, între Agenția Spațială Spaniolă (Agencia Estatal Espanola) și Agenția Spațială Europeană. </w:t>
      </w:r>
    </w:p>
    <w:p w14:paraId="214214C0" w14:textId="77777777" w:rsidR="00011DE9" w:rsidRDefault="00011DE9">
      <w:pPr>
        <w:pStyle w:val="P68B1DB1-Normal69"/>
        <w:keepNext/>
        <w:spacing w:before="120" w:after="120" w:line="240" w:lineRule="auto"/>
        <w:jc w:val="both"/>
        <w:rPr>
          <w:noProof/>
        </w:rPr>
      </w:pPr>
      <w:r>
        <w:rPr>
          <w:noProof/>
        </w:rPr>
        <w:t>Investiția 5 (C32.I5): Consolidarea programelor de internaționalizare a întreprinderilor</w:t>
      </w:r>
    </w:p>
    <w:p w14:paraId="7F22BB0D" w14:textId="77777777" w:rsidR="00011DE9" w:rsidRDefault="00011DE9">
      <w:pPr>
        <w:pStyle w:val="P68B1DB1-Normal70"/>
        <w:spacing w:before="120" w:after="120" w:line="240" w:lineRule="auto"/>
        <w:jc w:val="both"/>
        <w:rPr>
          <w:noProof/>
        </w:rPr>
      </w:pPr>
      <w:r>
        <w:rPr>
          <w:noProof/>
        </w:rPr>
        <w:t>Obiectivul reformei este de a consolida programele de internaționalizare a întreprinderilor. Acesta constă în elaborarea unui raport ex post privind punerea în aplicare a programelor „ICEX-DANA” și „ICEX-Aranceles”, inclusiv lecțiile învățate pentru programele viitoare.</w:t>
      </w:r>
    </w:p>
    <w:p w14:paraId="726ECF7D" w14:textId="08ABB638" w:rsidR="00011DE9" w:rsidRDefault="00011DE9">
      <w:pPr>
        <w:pStyle w:val="P68B1DB1-Normal70"/>
        <w:keepNext/>
        <w:spacing w:before="120" w:after="120" w:line="240" w:lineRule="auto"/>
        <w:jc w:val="both"/>
        <w:rPr>
          <w:noProof/>
          <w:u w:val="single"/>
        </w:rPr>
      </w:pPr>
      <w:r>
        <w:rPr>
          <w:noProof/>
          <w:u w:val="single"/>
        </w:rPr>
        <w:t>Investiția 6 (C32.I6): Schema de sprijin a ICO pentru întreprinderile afectate de schimbarea mediului tarifar mondial</w:t>
      </w:r>
      <w:r w:rsidR="00971820">
        <w:rPr>
          <w:noProof/>
          <w:u w:val="single"/>
        </w:rPr>
        <w:t xml:space="preserve"> </w:t>
      </w:r>
    </w:p>
    <w:p w14:paraId="201AF2A9" w14:textId="77777777" w:rsidR="00011DE9" w:rsidRDefault="00011DE9">
      <w:pPr>
        <w:spacing w:before="120" w:after="120" w:line="240" w:lineRule="auto"/>
        <w:jc w:val="both"/>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Această măsură constă într-o investiție într-o schemă de subvenții pentru a stimula investițiile private și a îmbunătăți accesul la finanțare pentru întreprinderile afectate în mod semnificativ, direct sau indirect, de schimbarea mediului tarifar global. Acest sistem funcționează prin acordarea unei tranșe nerambursabile de până la 30 % din valoarea nominală a operațiunii și care nu depășește</w:t>
      </w:r>
      <w:r>
        <w:rPr>
          <w:rFonts w:ascii="Times New Roman" w:hAnsi="Times New Roman"/>
          <w:noProof/>
          <w:sz w:val="20"/>
        </w:rPr>
        <w:t xml:space="preserve"> </w:t>
      </w:r>
      <w:r>
        <w:rPr>
          <w:rFonts w:ascii="Times New Roman" w:eastAsia="Times New Roman" w:hAnsi="Times New Roman" w:cs="Times New Roman"/>
          <w:noProof/>
          <w:color w:val="000000" w:themeColor="text1"/>
        </w:rPr>
        <w:t>200</w:t>
      </w:r>
      <w:r>
        <w:rPr>
          <w:rFonts w:ascii="Times New Roman" w:hAnsi="Times New Roman"/>
          <w:noProof/>
          <w:sz w:val="20"/>
        </w:rPr>
        <w:t xml:space="preserve"> </w:t>
      </w:r>
      <w:r>
        <w:rPr>
          <w:rFonts w:ascii="Times New Roman" w:eastAsia="Times New Roman" w:hAnsi="Times New Roman" w:cs="Times New Roman"/>
          <w:noProof/>
          <w:color w:val="000000" w:themeColor="text1"/>
        </w:rPr>
        <w:t>000 EUR pe operațiune, precum și prin subvenționarea ratei dobânzii direct către sectorul privat. Sprijinul eligibil include investiții în active corporale (inclusiv instalații, utilaje și echipamente), active necorporale (inclusiv cheltuieli legate de mărci comerciale și proprietate intelectuală, tehnologii ale informației și capacități organizaționale), achiziții de participații în întreprinderi, precum și capital circulant. Investițiile în capitalul circulant nu depășesc 30 % din suma finanțată. Subvenția parțială a ratei dobânzii acordată acoperă atât costurile de finanțare, cât și costurile de garantare solicitate de ICO pentru aprobarea împrumutului. Pe baza investiției MRR, schema urmărește să ofere inițial subvenții în valoare de</w:t>
      </w:r>
      <w:r>
        <w:rPr>
          <w:rFonts w:ascii="Times New Roman" w:hAnsi="Times New Roman"/>
          <w:noProof/>
          <w:sz w:val="20"/>
        </w:rPr>
        <w:t xml:space="preserve"> </w:t>
      </w:r>
      <w:r>
        <w:rPr>
          <w:rFonts w:ascii="Times New Roman" w:eastAsia="Times New Roman" w:hAnsi="Times New Roman" w:cs="Times New Roman"/>
          <w:noProof/>
          <w:color w:val="000000" w:themeColor="text1"/>
        </w:rPr>
        <w:t>181</w:t>
      </w:r>
      <w:r>
        <w:rPr>
          <w:rFonts w:ascii="Times New Roman" w:hAnsi="Times New Roman"/>
          <w:noProof/>
          <w:sz w:val="20"/>
        </w:rPr>
        <w:t xml:space="preserve"> </w:t>
      </w:r>
      <w:r>
        <w:rPr>
          <w:rFonts w:ascii="Times New Roman" w:eastAsia="Times New Roman" w:hAnsi="Times New Roman" w:cs="Times New Roman"/>
          <w:noProof/>
          <w:color w:val="000000" w:themeColor="text1"/>
        </w:rPr>
        <w:t>053</w:t>
      </w:r>
      <w:r>
        <w:rPr>
          <w:rFonts w:ascii="Times New Roman" w:hAnsi="Times New Roman"/>
          <w:noProof/>
          <w:sz w:val="20"/>
        </w:rPr>
        <w:t xml:space="preserve"> </w:t>
      </w:r>
      <w:r>
        <w:rPr>
          <w:rFonts w:ascii="Times New Roman" w:eastAsia="Times New Roman" w:hAnsi="Times New Roman" w:cs="Times New Roman"/>
          <w:noProof/>
          <w:color w:val="000000" w:themeColor="text1"/>
        </w:rPr>
        <w:t>227 EUR. Sistemul este gestionat de Instituto de Credito Oficial (ICO) în calitate de partener de implementare.</w:t>
      </w:r>
    </w:p>
    <w:p w14:paraId="44DC07CC" w14:textId="77777777" w:rsidR="00011DE9" w:rsidRDefault="00011DE9">
      <w:pPr>
        <w:pStyle w:val="P68B1DB1-Normal70"/>
        <w:spacing w:before="120" w:after="120" w:line="240" w:lineRule="auto"/>
        <w:jc w:val="both"/>
        <w:rPr>
          <w:noProof/>
        </w:rPr>
      </w:pPr>
      <w:r>
        <w:rPr>
          <w:noProof/>
        </w:rPr>
        <w:t>Pentru a pune în aplicare investiția în schemă, Spania și ICO semnează un acord de punere în aplicare care include următorul conținut:</w:t>
      </w:r>
    </w:p>
    <w:p w14:paraId="4824051C" w14:textId="77777777" w:rsidR="00011DE9" w:rsidRDefault="00011DE9">
      <w:pPr>
        <w:pStyle w:val="P68B1DB1-Normal70"/>
        <w:numPr>
          <w:ilvl w:val="0"/>
          <w:numId w:val="212"/>
        </w:numPr>
        <w:spacing w:before="120" w:after="120" w:line="240" w:lineRule="auto"/>
        <w:contextualSpacing/>
        <w:jc w:val="both"/>
        <w:rPr>
          <w:rFonts w:eastAsia="Aptos"/>
          <w:noProof/>
        </w:rPr>
      </w:pPr>
      <w:r>
        <w:rPr>
          <w:noProof/>
        </w:rPr>
        <w:t>Descrierea procesului decizional al sistemului: Decizia finală de atribuire a schemei este luată de un comitet pentru investiții sau de un alt organ de conducere echivalent relevant și este aprobată cu o majoritate de voturi de către membri independenți de guvern.</w:t>
      </w:r>
    </w:p>
    <w:p w14:paraId="28E4E182" w14:textId="77777777" w:rsidR="00011DE9" w:rsidRDefault="00011DE9">
      <w:pPr>
        <w:pStyle w:val="P68B1DB1-Normal70"/>
        <w:numPr>
          <w:ilvl w:val="0"/>
          <w:numId w:val="212"/>
        </w:numPr>
        <w:spacing w:before="120" w:after="120" w:line="240" w:lineRule="auto"/>
        <w:contextualSpacing/>
        <w:jc w:val="both"/>
        <w:rPr>
          <w:noProof/>
        </w:rPr>
      </w:pPr>
      <w:r>
        <w:rPr>
          <w:noProof/>
        </w:rPr>
        <w:t>Cerințele-cheie ale politicii de subvenționare asociate, care includ:</w:t>
      </w:r>
    </w:p>
    <w:p w14:paraId="6FAC0600" w14:textId="77777777" w:rsidR="00011DE9" w:rsidRDefault="00011DE9">
      <w:pPr>
        <w:pStyle w:val="P68B1DB1-Normal70"/>
        <w:numPr>
          <w:ilvl w:val="7"/>
          <w:numId w:val="159"/>
        </w:numPr>
        <w:spacing w:before="120" w:after="120" w:line="240" w:lineRule="auto"/>
        <w:contextualSpacing/>
        <w:jc w:val="both"/>
        <w:rPr>
          <w:noProof/>
        </w:rPr>
      </w:pPr>
      <w:r>
        <w:rPr>
          <w:noProof/>
        </w:rPr>
        <w:t>Descrierea subvențiilor acordate și a beneficiarilor finali eligibili, inclusiv, dacă este cazul, a oricăror sectoare sau domenii geografice de aplicare ale tarifelor vizate.</w:t>
      </w:r>
    </w:p>
    <w:p w14:paraId="356F1CAC" w14:textId="77777777" w:rsidR="00011DE9" w:rsidRDefault="00011DE9">
      <w:pPr>
        <w:pStyle w:val="P68B1DB1-Normal70"/>
        <w:numPr>
          <w:ilvl w:val="7"/>
          <w:numId w:val="159"/>
        </w:numPr>
        <w:spacing w:before="120" w:after="120" w:line="240" w:lineRule="auto"/>
        <w:contextualSpacing/>
        <w:jc w:val="both"/>
        <w:rPr>
          <w:noProof/>
        </w:rPr>
      </w:pPr>
      <w:r>
        <w:rPr>
          <w:noProof/>
        </w:rPr>
        <w:t xml:space="preserve">Cerința ca toate investițiile care beneficiază de sprijin să fie viabile din punct de vedere economic. </w:t>
      </w:r>
    </w:p>
    <w:p w14:paraId="02ABB0E7" w14:textId="77777777" w:rsidR="00011DE9" w:rsidRDefault="00011DE9">
      <w:pPr>
        <w:numPr>
          <w:ilvl w:val="0"/>
          <w:numId w:val="212"/>
        </w:numPr>
        <w:spacing w:before="120" w:after="120" w:line="240" w:lineRule="auto"/>
        <w:contextualSpacing/>
        <w:jc w:val="both"/>
        <w:rPr>
          <w:noProof/>
        </w:rPr>
      </w:pPr>
      <w:r>
        <w:rPr>
          <w:noProof/>
        </w:rPr>
        <w:t xml:space="preserve">Cerința </w:t>
      </w:r>
      <w:r>
        <w:rPr>
          <w:rFonts w:ascii="Times New Roman" w:hAnsi="Times New Roman" w:cs="Times New Roman"/>
          <w:noProof/>
        </w:rPr>
        <w:t>de a respecta principiul de „a nu prejudicia în mod semnificativ”, astfel cum este prevăzută în Orientările tehnice privind principiul de „a nu prejudicia în mod semnificativ” (2021/C58/01). În special, politica de subvenționare exclude de la eligibilitate următoarele activități și active:</w:t>
      </w:r>
      <w:r>
        <w:rPr>
          <w:noProof/>
        </w:rPr>
        <w:t xml:space="preserve"> </w:t>
      </w:r>
      <w:r>
        <w:rPr>
          <w:rFonts w:ascii="Times New Roman"/>
          <w:noProof/>
        </w:rPr>
        <w:t>activit</w:t>
      </w:r>
      <w:r>
        <w:rPr>
          <w:rFonts w:ascii="Times New Roman"/>
          <w:noProof/>
        </w:rPr>
        <w:t>ăț</w:t>
      </w:r>
      <w:r>
        <w:rPr>
          <w:rFonts w:ascii="Times New Roman"/>
          <w:noProof/>
        </w:rPr>
        <w:t xml:space="preserve">ile </w:t>
      </w:r>
      <w:r>
        <w:rPr>
          <w:rFonts w:ascii="Times New Roman"/>
          <w:noProof/>
        </w:rPr>
        <w:t>ș</w:t>
      </w:r>
      <w:r>
        <w:rPr>
          <w:rFonts w:ascii="Times New Roman"/>
          <w:noProof/>
        </w:rPr>
        <w:t xml:space="preserve">i activele legate de combustibilii fosili, inclusiv utilizarea </w:t>
      </w:r>
      <w:r>
        <w:rPr>
          <w:rFonts w:ascii="Times New Roman"/>
          <w:noProof/>
        </w:rPr>
        <w:t>î</w:t>
      </w:r>
      <w:r>
        <w:rPr>
          <w:rFonts w:ascii="Times New Roman"/>
          <w:noProof/>
        </w:rPr>
        <w:t>n aval</w:t>
      </w:r>
      <w:r>
        <w:rPr>
          <w:rFonts w:ascii="Times New Roman"/>
          <w:noProof/>
        </w:rPr>
        <w:footnoteReference w:id="170"/>
      </w:r>
      <w:r>
        <w:rPr>
          <w:rFonts w:ascii="Times New Roman"/>
          <w:noProof/>
        </w:rPr>
        <w:t>, (ii) activit</w:t>
      </w:r>
      <w:r>
        <w:rPr>
          <w:rFonts w:ascii="Times New Roman"/>
          <w:noProof/>
        </w:rPr>
        <w:t>ăț</w:t>
      </w:r>
      <w:r>
        <w:rPr>
          <w:rFonts w:ascii="Times New Roman"/>
          <w:noProof/>
        </w:rPr>
        <w:t xml:space="preserve">ile </w:t>
      </w:r>
      <w:r>
        <w:rPr>
          <w:rFonts w:ascii="Times New Roman"/>
          <w:noProof/>
        </w:rPr>
        <w:t>ș</w:t>
      </w:r>
      <w:r>
        <w:rPr>
          <w:rFonts w:ascii="Times New Roman"/>
          <w:noProof/>
        </w:rPr>
        <w:t>i activele din cadrul schemei UE de comercializare a certificatelor de emisii (ETS) care realizeaz</w:t>
      </w:r>
      <w:r>
        <w:rPr>
          <w:rFonts w:ascii="Times New Roman"/>
          <w:noProof/>
        </w:rPr>
        <w:t>ă</w:t>
      </w:r>
      <w:r>
        <w:rPr>
          <w:rFonts w:ascii="Times New Roman"/>
          <w:noProof/>
        </w:rPr>
        <w:t xml:space="preserve"> emisii preconizate de gaze cu efect de ser</w:t>
      </w:r>
      <w:r>
        <w:rPr>
          <w:rFonts w:ascii="Times New Roman"/>
          <w:noProof/>
        </w:rPr>
        <w:t>ă</w:t>
      </w:r>
      <w:r>
        <w:rPr>
          <w:rFonts w:ascii="Times New Roman"/>
          <w:noProof/>
        </w:rPr>
        <w:t xml:space="preserve"> care nu sunt mai mici dec</w:t>
      </w:r>
      <w:r>
        <w:rPr>
          <w:rFonts w:ascii="Times New Roman"/>
          <w:noProof/>
        </w:rPr>
        <w:t>â</w:t>
      </w:r>
      <w:r>
        <w:rPr>
          <w:rFonts w:ascii="Times New Roman"/>
          <w:noProof/>
        </w:rPr>
        <w:t>t valorile de referin</w:t>
      </w:r>
      <w:r>
        <w:rPr>
          <w:rFonts w:ascii="Times New Roman"/>
          <w:noProof/>
        </w:rPr>
        <w:t>ță</w:t>
      </w:r>
      <w:r>
        <w:rPr>
          <w:rFonts w:ascii="Times New Roman"/>
          <w:noProof/>
        </w:rPr>
        <w:t xml:space="preserve"> relevante</w:t>
      </w:r>
      <w:r>
        <w:rPr>
          <w:rFonts w:ascii="Times New Roman"/>
          <w:noProof/>
        </w:rPr>
        <w:footnoteReference w:id="171"/>
      </w:r>
      <w:r>
        <w:rPr>
          <w:rFonts w:ascii="Times New Roman"/>
          <w:noProof/>
        </w:rPr>
        <w:t>, (iii) activit</w:t>
      </w:r>
      <w:r>
        <w:rPr>
          <w:rFonts w:ascii="Times New Roman"/>
          <w:noProof/>
        </w:rPr>
        <w:t>ăț</w:t>
      </w:r>
      <w:r>
        <w:rPr>
          <w:rFonts w:ascii="Times New Roman"/>
          <w:noProof/>
        </w:rPr>
        <w:t xml:space="preserve">ile </w:t>
      </w:r>
      <w:r>
        <w:rPr>
          <w:rFonts w:ascii="Times New Roman"/>
          <w:noProof/>
        </w:rPr>
        <w:t>ș</w:t>
      </w:r>
      <w:r>
        <w:rPr>
          <w:rFonts w:ascii="Times New Roman"/>
          <w:noProof/>
        </w:rPr>
        <w:t>i activele legate de depozitele de de</w:t>
      </w:r>
      <w:r>
        <w:rPr>
          <w:rFonts w:ascii="Times New Roman"/>
          <w:noProof/>
        </w:rPr>
        <w:t>ș</w:t>
      </w:r>
      <w:r>
        <w:rPr>
          <w:rFonts w:ascii="Times New Roman"/>
          <w:noProof/>
        </w:rPr>
        <w:t>euri, incineratoare</w:t>
      </w:r>
      <w:r>
        <w:rPr>
          <w:rFonts w:ascii="Times New Roman"/>
          <w:noProof/>
        </w:rPr>
        <w:footnoteReference w:id="172"/>
      </w:r>
      <w:r>
        <w:rPr>
          <w:rFonts w:ascii="Times New Roman"/>
          <w:noProof/>
        </w:rPr>
        <w:t xml:space="preserve"> </w:t>
      </w:r>
      <w:r>
        <w:rPr>
          <w:rFonts w:ascii="Times New Roman"/>
          <w:noProof/>
        </w:rPr>
        <w:t>ș</w:t>
      </w:r>
      <w:r>
        <w:rPr>
          <w:rFonts w:ascii="Times New Roman"/>
          <w:noProof/>
        </w:rPr>
        <w:t>i sta</w:t>
      </w:r>
      <w:r>
        <w:rPr>
          <w:rFonts w:ascii="Times New Roman"/>
          <w:noProof/>
        </w:rPr>
        <w:t>ț</w:t>
      </w:r>
      <w:r>
        <w:rPr>
          <w:rFonts w:ascii="Times New Roman"/>
          <w:noProof/>
        </w:rPr>
        <w:t>iile de tratare mecano-biologic</w:t>
      </w:r>
      <w:r>
        <w:rPr>
          <w:rFonts w:ascii="Times New Roman"/>
          <w:noProof/>
        </w:rPr>
        <w:t>ă</w:t>
      </w:r>
      <w:r>
        <w:rPr>
          <w:rFonts w:ascii="Times New Roman"/>
          <w:noProof/>
        </w:rPr>
        <w:footnoteReference w:id="173"/>
      </w:r>
      <w:r>
        <w:rPr>
          <w:rFonts w:ascii="Times New Roman"/>
          <w:noProof/>
        </w:rPr>
        <w:t>.</w:t>
      </w:r>
    </w:p>
    <w:p w14:paraId="0FAE4D29" w14:textId="77777777" w:rsidR="00011DE9" w:rsidRDefault="00011DE9">
      <w:pPr>
        <w:pStyle w:val="P68B1DB1-Normal70"/>
        <w:numPr>
          <w:ilvl w:val="0"/>
          <w:numId w:val="212"/>
        </w:numPr>
        <w:spacing w:before="120" w:after="120" w:line="240" w:lineRule="auto"/>
        <w:contextualSpacing/>
        <w:jc w:val="both"/>
        <w:rPr>
          <w:noProof/>
        </w:rPr>
      </w:pPr>
      <w:r>
        <w:rPr>
          <w:noProof/>
        </w:rPr>
        <w:t>Cerința ca beneficiarii finali ai schemei să nu primească sprijin din partea altor instrumente ale Uniunii pentru a acoperi aceleași costuri.</w:t>
      </w:r>
    </w:p>
    <w:p w14:paraId="2CD2DD10" w14:textId="77777777" w:rsidR="00011DE9" w:rsidRDefault="00011DE9">
      <w:pPr>
        <w:pStyle w:val="P68B1DB1-Normal70"/>
        <w:numPr>
          <w:ilvl w:val="0"/>
          <w:numId w:val="212"/>
        </w:numPr>
        <w:spacing w:before="120" w:after="120" w:line="240" w:lineRule="auto"/>
        <w:contextualSpacing/>
        <w:jc w:val="both"/>
        <w:rPr>
          <w:noProof/>
        </w:rPr>
      </w:pPr>
      <w:r>
        <w:rPr>
          <w:noProof/>
        </w:rPr>
        <w:t>Suma acoperită de acordul de punere în aplicare, structura comisioanelor pentru partenerul de implementare și cerința de a utiliza orice încasări neutilizate ale sistemului, inclusiv după 2026, în aceleași scopuri de politică.</w:t>
      </w:r>
    </w:p>
    <w:p w14:paraId="30777E03" w14:textId="77777777" w:rsidR="00011DE9" w:rsidRDefault="00011DE9">
      <w:pPr>
        <w:pStyle w:val="P68B1DB1-Normal70"/>
        <w:numPr>
          <w:ilvl w:val="0"/>
          <w:numId w:val="212"/>
        </w:numPr>
        <w:spacing w:before="120" w:after="120" w:line="240" w:lineRule="auto"/>
        <w:contextualSpacing/>
        <w:jc w:val="both"/>
        <w:rPr>
          <w:noProof/>
        </w:rPr>
      </w:pPr>
      <w:r>
        <w:rPr>
          <w:noProof/>
        </w:rPr>
        <w:t>Cerințe de monitorizare, audit și control, inclusiv:</w:t>
      </w:r>
    </w:p>
    <w:p w14:paraId="732A12B4" w14:textId="77777777" w:rsidR="00011DE9" w:rsidRDefault="00011DE9">
      <w:pPr>
        <w:pStyle w:val="P68B1DB1-Normal70"/>
        <w:numPr>
          <w:ilvl w:val="1"/>
          <w:numId w:val="194"/>
        </w:numPr>
        <w:spacing w:before="120" w:after="120" w:line="240" w:lineRule="auto"/>
        <w:contextualSpacing/>
        <w:jc w:val="both"/>
        <w:rPr>
          <w:noProof/>
        </w:rPr>
      </w:pPr>
      <w:r>
        <w:rPr>
          <w:noProof/>
        </w:rPr>
        <w:t>Descrierea sistemului de monitorizare al partenerului de implementare pentru raportarea cu privire la subvențiile mobilizate.</w:t>
      </w:r>
    </w:p>
    <w:p w14:paraId="301C6686" w14:textId="77777777" w:rsidR="00011DE9" w:rsidRDefault="00011DE9">
      <w:pPr>
        <w:pStyle w:val="P68B1DB1-Normal70"/>
        <w:numPr>
          <w:ilvl w:val="1"/>
          <w:numId w:val="194"/>
        </w:numPr>
        <w:spacing w:before="120" w:after="120" w:line="240" w:lineRule="auto"/>
        <w:contextualSpacing/>
        <w:jc w:val="both"/>
        <w:rPr>
          <w:noProof/>
        </w:rPr>
      </w:pPr>
      <w:r>
        <w:rPr>
          <w:noProof/>
        </w:rPr>
        <w:t>Descrierea procedurilor partenerului de implementare care vor asigura prevenirea, detectarea și corectarea fraudei, a corupției și a conflictelor de interese.</w:t>
      </w:r>
    </w:p>
    <w:p w14:paraId="4C95E225" w14:textId="77777777" w:rsidR="00011DE9" w:rsidRDefault="00011DE9">
      <w:pPr>
        <w:pStyle w:val="P68B1DB1-Normal70"/>
        <w:numPr>
          <w:ilvl w:val="1"/>
          <w:numId w:val="194"/>
        </w:numPr>
        <w:spacing w:before="120" w:after="120" w:line="240" w:lineRule="auto"/>
        <w:contextualSpacing/>
        <w:jc w:val="both"/>
        <w:rPr>
          <w:noProof/>
        </w:rPr>
      </w:pPr>
      <w:r>
        <w:rPr>
          <w:noProof/>
        </w:rPr>
        <w:t>Obligația de a verifica eligibilitatea fiecărei operațiuni în conformitate cu cerințele prevăzute în acordul de punere în aplicare înainte de a acorda o subvenție unei operațiuni.</w:t>
      </w:r>
    </w:p>
    <w:p w14:paraId="2D117983" w14:textId="77777777" w:rsidR="00011DE9" w:rsidRDefault="00011DE9">
      <w:pPr>
        <w:pStyle w:val="P68B1DB1-Normal70"/>
        <w:numPr>
          <w:ilvl w:val="1"/>
          <w:numId w:val="194"/>
        </w:numPr>
        <w:spacing w:before="120" w:after="120" w:line="240" w:lineRule="auto"/>
        <w:contextualSpacing/>
        <w:jc w:val="both"/>
        <w:rPr>
          <w:noProof/>
        </w:rPr>
      </w:pPr>
      <w:r>
        <w:rPr>
          <w:noProof/>
        </w:rPr>
        <w:t>Obligația de a efectua audituri ex post bazate pe riscuri, în conformitate cu un plan de audit al ICO. Aceste audituri verifică i) dacă sistemele de control sunt eficace, inclusiv detectarea fraudei, a corupției și a conflictelor de interese; respectarea principiului DNSH, a normelor privind ajutoarele de stat; și iii) respectarea cerinței ca beneficiarii finali ai schemei să nu fi primit sprijin din partea altor instrumente ale Uniunii pentru a acoperi aceleași costuri. Auditurile verifică, de asemenea, legalitatea tranzacțiilor și respectarea condițiilor prevăzute în acordul de punere în aplicare aplicabil [și în acordurile de subvenție/grant].</w:t>
      </w:r>
    </w:p>
    <w:p w14:paraId="126F68CA" w14:textId="77777777" w:rsidR="00011DE9" w:rsidRDefault="00011DE9">
      <w:pPr>
        <w:spacing w:before="120" w:after="120" w:line="240" w:lineRule="auto"/>
        <w:jc w:val="both"/>
        <w:rPr>
          <w:rFonts w:ascii="Times New Roman" w:eastAsia="Times New Roman" w:hAnsi="Times New Roman" w:cs="Times New Roman"/>
          <w:noProof/>
          <w:color w:val="000000" w:themeColor="text1"/>
        </w:rPr>
      </w:pPr>
    </w:p>
    <w:p w14:paraId="5713CAD3" w14:textId="1C03BC8B" w:rsidR="00011DE9" w:rsidRDefault="00011DE9">
      <w:pPr>
        <w:spacing w:before="120" w:after="120" w:line="240" w:lineRule="auto"/>
        <w:ind w:left="720"/>
        <w:jc w:val="both"/>
        <w:rPr>
          <w:rFonts w:ascii="Times New Roman" w:eastAsia="Times New Roman" w:hAnsi="Times New Roman" w:cs="Times New Roman"/>
          <w:noProof/>
          <w:color w:val="000000" w:themeColor="text1"/>
        </w:rPr>
      </w:pPr>
      <w:r>
        <w:rPr>
          <w:rFonts w:ascii="Times New Roman" w:eastAsia="Times New Roman" w:hAnsi="Times New Roman" w:cs="Times New Roman"/>
          <w:b/>
          <w:noProof/>
          <w:color w:val="000000" w:themeColor="text1"/>
          <w:u w:val="single"/>
        </w:rPr>
        <w:t>ÎNTREBAREA 2</w:t>
      </w:r>
      <w:r w:rsidR="00971820">
        <w:rPr>
          <w:rFonts w:ascii="Times New Roman" w:eastAsia="Times New Roman" w:hAnsi="Times New Roman" w:cs="Times New Roman"/>
          <w:b/>
          <w:noProof/>
          <w:color w:val="000000" w:themeColor="text1"/>
          <w:u w:val="single"/>
        </w:rPr>
        <w:t xml:space="preserve"> </w:t>
      </w:r>
      <w:r>
        <w:rPr>
          <w:rFonts w:ascii="Times New Roman" w:eastAsia="Times New Roman" w:hAnsi="Times New Roman" w:cs="Times New Roman"/>
          <w:b/>
          <w:noProof/>
          <w:color w:val="000000" w:themeColor="text1"/>
          <w:u w:val="single"/>
        </w:rPr>
        <w:t>Jaloane, ținte, indicatori și calendarul de monitorizare și implementare aplicabile sprijinului financiar nerambursabil</w:t>
      </w:r>
    </w:p>
    <w:p w14:paraId="2D58D865" w14:textId="77777777" w:rsidR="00011DE9" w:rsidRDefault="00011DE9">
      <w:pPr>
        <w:pStyle w:val="P68B1DB1-Normal70"/>
        <w:spacing w:before="120" w:after="120" w:line="240" w:lineRule="auto"/>
        <w:jc w:val="both"/>
        <w:rPr>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4726911" w14:textId="77777777" w:rsidR="00011DE9" w:rsidRDefault="00011DE9">
      <w:pPr>
        <w:spacing w:before="120" w:after="120" w:line="240" w:lineRule="auto"/>
        <w:jc w:val="both"/>
        <w:rPr>
          <w:rFonts w:ascii="Times New Roman" w:eastAsia="Calibri" w:hAnsi="Times New Roman" w:cs="Arial"/>
          <w:i/>
          <w:iCs/>
          <w:noProof/>
        </w:rPr>
        <w:sectPr w:rsidR="00011DE9" w:rsidSect="00011DE9">
          <w:headerReference w:type="default" r:id="rId428"/>
          <w:footerReference w:type="default" r:id="rId429"/>
          <w:pgSz w:w="11907" w:h="16839"/>
          <w:pgMar w:top="1134" w:right="1134" w:bottom="1134" w:left="1134" w:header="567" w:footer="567" w:gutter="0"/>
          <w:cols w:space="720"/>
          <w:docGrid w:linePitch="360"/>
        </w:sectPr>
      </w:pPr>
    </w:p>
    <w:tbl>
      <w:tblPr>
        <w:tblW w:w="14851"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9"/>
        <w:gridCol w:w="1315"/>
        <w:gridCol w:w="850"/>
        <w:gridCol w:w="1985"/>
        <w:gridCol w:w="2126"/>
        <w:gridCol w:w="951"/>
        <w:gridCol w:w="941"/>
        <w:gridCol w:w="660"/>
        <w:gridCol w:w="390"/>
        <w:gridCol w:w="603"/>
        <w:gridCol w:w="4251"/>
      </w:tblGrid>
      <w:tr w:rsidR="00011DE9" w14:paraId="50ACC67E" w14:textId="77777777">
        <w:trPr>
          <w:trHeight w:val="300"/>
          <w:tblHeader/>
        </w:trPr>
        <w:tc>
          <w:tcPr>
            <w:tcW w:w="779" w:type="dxa"/>
            <w:vMerge w:val="restart"/>
            <w:tcBorders>
              <w:top w:val="single" w:sz="4" w:space="0" w:color="auto"/>
            </w:tcBorders>
            <w:shd w:val="clear" w:color="auto" w:fill="B7D4EF"/>
            <w:noWrap/>
            <w:vAlign w:val="center"/>
          </w:tcPr>
          <w:p w14:paraId="74358ADD" w14:textId="77777777" w:rsidR="00011DE9" w:rsidRDefault="00011DE9">
            <w:pPr>
              <w:pStyle w:val="P68B1DB1-Normal60"/>
              <w:spacing w:after="0" w:line="240" w:lineRule="auto"/>
              <w:jc w:val="center"/>
              <w:rPr>
                <w:rFonts w:cs="Times New Roman"/>
                <w:noProof/>
                <w:szCs w:val="18"/>
              </w:rPr>
            </w:pPr>
            <w:r>
              <w:rPr>
                <w:noProof/>
              </w:rPr>
              <w:t>Număr</w:t>
            </w:r>
          </w:p>
        </w:tc>
        <w:tc>
          <w:tcPr>
            <w:tcW w:w="1315" w:type="dxa"/>
            <w:vMerge w:val="restart"/>
            <w:tcBorders>
              <w:top w:val="single" w:sz="4" w:space="0" w:color="auto"/>
            </w:tcBorders>
            <w:shd w:val="clear" w:color="auto" w:fill="B7D4EF"/>
            <w:noWrap/>
            <w:vAlign w:val="center"/>
          </w:tcPr>
          <w:p w14:paraId="451D2A62" w14:textId="77777777" w:rsidR="00011DE9" w:rsidRDefault="00011DE9">
            <w:pPr>
              <w:pStyle w:val="P68B1DB1-Normal73"/>
              <w:spacing w:after="0" w:line="240" w:lineRule="auto"/>
              <w:jc w:val="center"/>
              <w:rPr>
                <w:noProof/>
              </w:rPr>
            </w:pPr>
            <w:r>
              <w:rPr>
                <w:noProof/>
              </w:rPr>
              <w:t>Măsură</w:t>
            </w:r>
          </w:p>
        </w:tc>
        <w:tc>
          <w:tcPr>
            <w:tcW w:w="850" w:type="dxa"/>
            <w:vMerge w:val="restart"/>
            <w:tcBorders>
              <w:top w:val="single" w:sz="4" w:space="0" w:color="auto"/>
            </w:tcBorders>
            <w:shd w:val="clear" w:color="auto" w:fill="B7D4EF"/>
            <w:noWrap/>
            <w:vAlign w:val="center"/>
          </w:tcPr>
          <w:p w14:paraId="0AEFD33D" w14:textId="78B12042" w:rsidR="00011DE9" w:rsidRDefault="00011DE9">
            <w:pPr>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Etapă</w:t>
            </w:r>
            <w:r w:rsidR="00971820">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/Țintei</w:t>
            </w:r>
          </w:p>
        </w:tc>
        <w:tc>
          <w:tcPr>
            <w:tcW w:w="1985" w:type="dxa"/>
            <w:vMerge w:val="restart"/>
            <w:tcBorders>
              <w:top w:val="single" w:sz="4" w:space="0" w:color="auto"/>
            </w:tcBorders>
            <w:shd w:val="clear" w:color="auto" w:fill="B7D4EF"/>
            <w:vAlign w:val="center"/>
          </w:tcPr>
          <w:p w14:paraId="2D877246" w14:textId="77777777" w:rsidR="00011DE9" w:rsidRDefault="00011DE9">
            <w:pPr>
              <w:pStyle w:val="P68B1DB1-Normal60"/>
              <w:spacing w:after="0" w:line="240" w:lineRule="auto"/>
              <w:jc w:val="center"/>
              <w:rPr>
                <w:rFonts w:cs="Times New Roman"/>
                <w:noProof/>
                <w:szCs w:val="18"/>
              </w:rPr>
            </w:pPr>
            <w:r>
              <w:rPr>
                <w:noProof/>
              </w:rPr>
              <w:t>Nume</w:t>
            </w:r>
          </w:p>
        </w:tc>
        <w:tc>
          <w:tcPr>
            <w:tcW w:w="2126" w:type="dxa"/>
            <w:vMerge w:val="restart"/>
            <w:tcBorders>
              <w:top w:val="single" w:sz="4" w:space="0" w:color="auto"/>
            </w:tcBorders>
            <w:shd w:val="clear" w:color="auto" w:fill="B7D4EF"/>
            <w:noWrap/>
            <w:vAlign w:val="center"/>
          </w:tcPr>
          <w:p w14:paraId="4037BA3A" w14:textId="77777777" w:rsidR="00011DE9" w:rsidRDefault="00011DE9">
            <w:pPr>
              <w:pStyle w:val="P68B1DB1-Normal60"/>
              <w:spacing w:after="0" w:line="240" w:lineRule="auto"/>
              <w:jc w:val="center"/>
              <w:rPr>
                <w:rFonts w:cs="Times New Roman"/>
                <w:noProof/>
                <w:szCs w:val="18"/>
              </w:rPr>
            </w:pPr>
            <w:r>
              <w:rPr>
                <w:noProof/>
              </w:rPr>
              <w:t>Indicator calitativ pentru jaloane</w:t>
            </w:r>
          </w:p>
        </w:tc>
        <w:tc>
          <w:tcPr>
            <w:tcW w:w="2552" w:type="dxa"/>
            <w:gridSpan w:val="3"/>
            <w:tcBorders>
              <w:top w:val="single" w:sz="4" w:space="0" w:color="auto"/>
            </w:tcBorders>
            <w:shd w:val="clear" w:color="auto" w:fill="B7D4EF"/>
            <w:noWrap/>
            <w:vAlign w:val="center"/>
          </w:tcPr>
          <w:p w14:paraId="34F011E5" w14:textId="77777777" w:rsidR="00011DE9" w:rsidRDefault="00011DE9">
            <w:pPr>
              <w:pStyle w:val="P68B1DB1-Normal60"/>
              <w:spacing w:after="0" w:line="240" w:lineRule="auto"/>
              <w:jc w:val="center"/>
              <w:rPr>
                <w:rFonts w:cs="Times New Roman"/>
                <w:noProof/>
                <w:szCs w:val="18"/>
              </w:rPr>
            </w:pPr>
            <w:r>
              <w:rPr>
                <w:noProof/>
              </w:rPr>
              <w:t>Indicator cantitativ pentru ținte</w:t>
            </w:r>
          </w:p>
        </w:tc>
        <w:tc>
          <w:tcPr>
            <w:tcW w:w="993" w:type="dxa"/>
            <w:gridSpan w:val="2"/>
            <w:tcBorders>
              <w:top w:val="single" w:sz="4" w:space="0" w:color="auto"/>
            </w:tcBorders>
            <w:shd w:val="clear" w:color="auto" w:fill="B7D4EF"/>
            <w:vAlign w:val="center"/>
          </w:tcPr>
          <w:p w14:paraId="78EB5B53" w14:textId="77777777" w:rsidR="00011DE9" w:rsidRDefault="00011DE9">
            <w:pPr>
              <w:pStyle w:val="P68B1DB1-Normal60"/>
              <w:spacing w:after="0" w:line="240" w:lineRule="auto"/>
              <w:jc w:val="center"/>
              <w:rPr>
                <w:rFonts w:cs="Times New Roman"/>
                <w:noProof/>
                <w:szCs w:val="18"/>
              </w:rPr>
            </w:pPr>
            <w:r>
              <w:rPr>
                <w:noProof/>
              </w:rPr>
              <w:t>Timp</w:t>
            </w:r>
          </w:p>
        </w:tc>
        <w:tc>
          <w:tcPr>
            <w:tcW w:w="4251" w:type="dxa"/>
            <w:vMerge w:val="restart"/>
            <w:tcBorders>
              <w:top w:val="single" w:sz="4" w:space="0" w:color="auto"/>
            </w:tcBorders>
            <w:shd w:val="clear" w:color="auto" w:fill="B7D4EF"/>
            <w:noWrap/>
            <w:vAlign w:val="center"/>
          </w:tcPr>
          <w:p w14:paraId="781B76E2" w14:textId="77777777" w:rsidR="00011DE9" w:rsidRDefault="00011DE9">
            <w:pPr>
              <w:pStyle w:val="P68B1DB1-Normal60"/>
              <w:spacing w:after="0" w:line="240" w:lineRule="auto"/>
              <w:jc w:val="center"/>
              <w:rPr>
                <w:rFonts w:cs="Times New Roman"/>
                <w:noProof/>
                <w:szCs w:val="18"/>
              </w:rPr>
            </w:pPr>
            <w:r>
              <w:rPr>
                <w:noProof/>
              </w:rPr>
              <w:t>Descrierea fiecărui jalon și a fiecărei ținte</w:t>
            </w:r>
          </w:p>
        </w:tc>
      </w:tr>
      <w:tr w:rsidR="00011DE9" w14:paraId="731DF9CF" w14:textId="77777777">
        <w:trPr>
          <w:trHeight w:val="300"/>
          <w:tblHeader/>
        </w:trPr>
        <w:tc>
          <w:tcPr>
            <w:tcW w:w="779" w:type="dxa"/>
            <w:vMerge/>
            <w:noWrap/>
            <w:vAlign w:val="center"/>
          </w:tcPr>
          <w:p w14:paraId="0F47BC7F" w14:textId="77777777" w:rsidR="00011DE9" w:rsidRDefault="00011DE9">
            <w:pPr>
              <w:spacing w:after="0" w:line="240" w:lineRule="auto"/>
              <w:jc w:val="center"/>
              <w:rPr>
                <w:rFonts w:ascii="Times New Roman" w:eastAsia="Calibri" w:hAnsi="Times New Roman" w:cs="Times New Roman"/>
                <w:b/>
                <w:noProof/>
                <w:sz w:val="18"/>
                <w:szCs w:val="18"/>
              </w:rPr>
            </w:pPr>
          </w:p>
        </w:tc>
        <w:tc>
          <w:tcPr>
            <w:tcW w:w="1315" w:type="dxa"/>
            <w:vMerge/>
            <w:noWrap/>
            <w:vAlign w:val="center"/>
          </w:tcPr>
          <w:p w14:paraId="4E171D1E" w14:textId="77777777" w:rsidR="00011DE9" w:rsidRDefault="00011DE9">
            <w:pPr>
              <w:spacing w:after="0" w:line="240" w:lineRule="auto"/>
              <w:jc w:val="center"/>
              <w:rPr>
                <w:rFonts w:ascii="Times New Roman" w:eastAsia="Calibri" w:hAnsi="Times New Roman" w:cs="Times New Roman"/>
                <w:b/>
                <w:noProof/>
                <w:sz w:val="18"/>
                <w:szCs w:val="18"/>
              </w:rPr>
            </w:pPr>
          </w:p>
        </w:tc>
        <w:tc>
          <w:tcPr>
            <w:tcW w:w="850" w:type="dxa"/>
            <w:vMerge/>
            <w:noWrap/>
            <w:vAlign w:val="center"/>
          </w:tcPr>
          <w:p w14:paraId="67C4DE97" w14:textId="77777777" w:rsidR="00011DE9" w:rsidRDefault="00011DE9">
            <w:pPr>
              <w:spacing w:after="0" w:line="240" w:lineRule="auto"/>
              <w:jc w:val="center"/>
              <w:rPr>
                <w:rFonts w:ascii="Times New Roman" w:eastAsia="Calibri" w:hAnsi="Times New Roman" w:cs="Times New Roman"/>
                <w:b/>
                <w:noProof/>
                <w:sz w:val="18"/>
                <w:szCs w:val="18"/>
              </w:rPr>
            </w:pPr>
          </w:p>
        </w:tc>
        <w:tc>
          <w:tcPr>
            <w:tcW w:w="1985" w:type="dxa"/>
            <w:vMerge/>
            <w:noWrap/>
            <w:vAlign w:val="center"/>
          </w:tcPr>
          <w:p w14:paraId="069C26C4" w14:textId="77777777" w:rsidR="00011DE9" w:rsidRDefault="00011DE9">
            <w:pPr>
              <w:spacing w:after="0" w:line="240" w:lineRule="auto"/>
              <w:rPr>
                <w:rFonts w:ascii="Times New Roman" w:eastAsia="Calibri" w:hAnsi="Times New Roman" w:cs="Times New Roman"/>
                <w:b/>
                <w:noProof/>
                <w:sz w:val="18"/>
                <w:szCs w:val="18"/>
              </w:rPr>
            </w:pPr>
          </w:p>
        </w:tc>
        <w:tc>
          <w:tcPr>
            <w:tcW w:w="2126" w:type="dxa"/>
            <w:vMerge/>
            <w:noWrap/>
            <w:vAlign w:val="center"/>
          </w:tcPr>
          <w:p w14:paraId="2F87F3DD" w14:textId="77777777" w:rsidR="00011DE9" w:rsidRDefault="00011DE9">
            <w:pPr>
              <w:spacing w:after="0" w:line="240" w:lineRule="auto"/>
              <w:jc w:val="center"/>
              <w:rPr>
                <w:rFonts w:ascii="Times New Roman" w:eastAsia="Calibri" w:hAnsi="Times New Roman" w:cs="Times New Roman"/>
                <w:b/>
                <w:noProof/>
                <w:sz w:val="18"/>
                <w:szCs w:val="18"/>
              </w:rPr>
            </w:pPr>
          </w:p>
        </w:tc>
        <w:tc>
          <w:tcPr>
            <w:tcW w:w="951"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0DA323C7" w14:textId="77777777" w:rsidR="00011DE9" w:rsidRDefault="00011DE9">
            <w:pPr>
              <w:pStyle w:val="P68B1DB1-Normal60"/>
              <w:spacing w:after="0" w:line="240" w:lineRule="auto"/>
              <w:jc w:val="center"/>
              <w:rPr>
                <w:rFonts w:cs="Times New Roman"/>
                <w:bCs/>
                <w:noProof/>
                <w:szCs w:val="18"/>
              </w:rPr>
            </w:pPr>
            <w:r>
              <w:rPr>
                <w:noProof/>
              </w:rPr>
              <w:t>Unitate</w:t>
            </w:r>
          </w:p>
        </w:tc>
        <w:tc>
          <w:tcPr>
            <w:tcW w:w="941" w:type="dxa"/>
            <w:tcBorders>
              <w:top w:val="single" w:sz="4" w:space="0" w:color="auto"/>
              <w:left w:val="single" w:sz="4" w:space="0" w:color="auto"/>
              <w:bottom w:val="single" w:sz="4" w:space="0" w:color="auto"/>
              <w:right w:val="single" w:sz="4" w:space="0" w:color="auto"/>
            </w:tcBorders>
            <w:shd w:val="clear" w:color="auto" w:fill="B7D4EF"/>
            <w:vAlign w:val="center"/>
          </w:tcPr>
          <w:p w14:paraId="46A04F80" w14:textId="77777777" w:rsidR="00011DE9" w:rsidRDefault="00011DE9">
            <w:pPr>
              <w:pStyle w:val="P68B1DB1-Normal60"/>
              <w:spacing w:after="0" w:line="240" w:lineRule="auto"/>
              <w:jc w:val="center"/>
              <w:rPr>
                <w:rFonts w:eastAsia="Times New Roman" w:cs="Times New Roman"/>
                <w:bCs/>
                <w:noProof/>
                <w:szCs w:val="18"/>
              </w:rPr>
            </w:pPr>
            <w:r>
              <w:rPr>
                <w:noProof/>
              </w:rPr>
              <w:t xml:space="preserve">Situația de referință </w:t>
            </w:r>
          </w:p>
        </w:tc>
        <w:tc>
          <w:tcPr>
            <w:tcW w:w="660" w:type="dxa"/>
            <w:tcBorders>
              <w:top w:val="single" w:sz="4" w:space="0" w:color="auto"/>
              <w:left w:val="single" w:sz="4" w:space="0" w:color="auto"/>
              <w:bottom w:val="single" w:sz="4" w:space="0" w:color="auto"/>
              <w:right w:val="single" w:sz="4" w:space="0" w:color="auto"/>
            </w:tcBorders>
            <w:shd w:val="clear" w:color="auto" w:fill="B7D4EF"/>
            <w:vAlign w:val="center"/>
          </w:tcPr>
          <w:p w14:paraId="0F16C2E9" w14:textId="77777777" w:rsidR="00011DE9" w:rsidRDefault="00011DE9">
            <w:pPr>
              <w:pStyle w:val="P68B1DB1-Normal60"/>
              <w:spacing w:after="0" w:line="240" w:lineRule="auto"/>
              <w:rPr>
                <w:rFonts w:cs="Times New Roman"/>
                <w:noProof/>
                <w:szCs w:val="18"/>
              </w:rPr>
            </w:pPr>
            <w:r>
              <w:rPr>
                <w:noProof/>
              </w:rPr>
              <w:t>Obiectiv</w:t>
            </w:r>
          </w:p>
        </w:tc>
        <w:tc>
          <w:tcPr>
            <w:tcW w:w="390" w:type="dxa"/>
            <w:tcBorders>
              <w:top w:val="single" w:sz="4" w:space="0" w:color="auto"/>
              <w:left w:val="single" w:sz="4" w:space="0" w:color="auto"/>
              <w:bottom w:val="single" w:sz="4" w:space="0" w:color="auto"/>
              <w:right w:val="single" w:sz="4" w:space="0" w:color="auto"/>
            </w:tcBorders>
            <w:shd w:val="clear" w:color="auto" w:fill="B7D4EF"/>
            <w:vAlign w:val="center"/>
          </w:tcPr>
          <w:p w14:paraId="77401D36" w14:textId="7CF10BBD" w:rsidR="00011DE9" w:rsidRDefault="003010A3">
            <w:pPr>
              <w:pStyle w:val="P68B1DB1-Normal60"/>
              <w:spacing w:after="0" w:line="240" w:lineRule="auto"/>
              <w:jc w:val="center"/>
              <w:rPr>
                <w:rFonts w:cs="Times New Roman"/>
                <w:noProof/>
                <w:szCs w:val="18"/>
              </w:rPr>
            </w:pPr>
            <w:r>
              <w:rPr>
                <w:noProof/>
              </w:rPr>
              <w:t>T</w:t>
            </w:r>
          </w:p>
        </w:tc>
        <w:tc>
          <w:tcPr>
            <w:tcW w:w="603" w:type="dxa"/>
            <w:tcBorders>
              <w:top w:val="single" w:sz="4" w:space="0" w:color="auto"/>
              <w:left w:val="single" w:sz="4" w:space="0" w:color="auto"/>
              <w:bottom w:val="single" w:sz="4" w:space="0" w:color="auto"/>
              <w:right w:val="single" w:sz="4" w:space="0" w:color="auto"/>
            </w:tcBorders>
            <w:shd w:val="clear" w:color="auto" w:fill="B7D4EF"/>
            <w:vAlign w:val="center"/>
          </w:tcPr>
          <w:p w14:paraId="71ADA623" w14:textId="77777777" w:rsidR="00011DE9" w:rsidRDefault="00011DE9">
            <w:pPr>
              <w:pStyle w:val="P68B1DB1-Normal60"/>
              <w:spacing w:after="0" w:line="240" w:lineRule="auto"/>
              <w:jc w:val="center"/>
              <w:rPr>
                <w:rFonts w:cs="Times New Roman"/>
                <w:noProof/>
                <w:szCs w:val="18"/>
              </w:rPr>
            </w:pPr>
            <w:r>
              <w:rPr>
                <w:noProof/>
              </w:rPr>
              <w:t>Anul</w:t>
            </w:r>
          </w:p>
        </w:tc>
        <w:tc>
          <w:tcPr>
            <w:tcW w:w="4251" w:type="dxa"/>
            <w:vMerge/>
            <w:noWrap/>
            <w:vAlign w:val="center"/>
          </w:tcPr>
          <w:p w14:paraId="2DCB80EE" w14:textId="77777777" w:rsidR="00011DE9" w:rsidRDefault="00011DE9">
            <w:pPr>
              <w:spacing w:after="0" w:line="240" w:lineRule="auto"/>
              <w:rPr>
                <w:rFonts w:ascii="Times New Roman" w:eastAsia="Times New Roman" w:hAnsi="Times New Roman" w:cs="Times New Roman"/>
                <w:b/>
                <w:bCs/>
                <w:noProof/>
                <w:sz w:val="18"/>
                <w:szCs w:val="18"/>
              </w:rPr>
            </w:pPr>
          </w:p>
        </w:tc>
      </w:tr>
      <w:tr w:rsidR="00011DE9" w14:paraId="0BF9AA06" w14:textId="77777777">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600561C0" w14:textId="77777777" w:rsidR="00011DE9" w:rsidRDefault="00011DE9">
            <w:pPr>
              <w:pStyle w:val="P68B1DB1-Normal30"/>
              <w:spacing w:after="0" w:line="240" w:lineRule="auto"/>
              <w:rPr>
                <w:noProof/>
              </w:rPr>
            </w:pPr>
            <w:r>
              <w:rPr>
                <w:noProof/>
              </w:rPr>
              <w:t>498</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983DDCA" w14:textId="77777777" w:rsidR="00011DE9" w:rsidRDefault="00011DE9">
            <w:pPr>
              <w:pStyle w:val="P68B1DB1-Normal30"/>
              <w:spacing w:after="0" w:line="240" w:lineRule="auto"/>
              <w:rPr>
                <w:noProof/>
              </w:rPr>
            </w:pPr>
            <w:r>
              <w:rPr>
                <w:noProof/>
              </w:rPr>
              <w:t>C32.I1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2E05C75" w14:textId="77777777" w:rsidR="00011DE9" w:rsidRDefault="00011DE9">
            <w:pPr>
              <w:pStyle w:val="P68B1DB1-Normal30"/>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5447D8AF" w14:textId="77777777" w:rsidR="00011DE9" w:rsidRDefault="00011DE9">
            <w:pPr>
              <w:pStyle w:val="P68B1DB1-Normal30"/>
              <w:spacing w:after="0" w:line="240" w:lineRule="auto"/>
              <w:rPr>
                <w:noProof/>
              </w:rPr>
            </w:pPr>
            <w:r>
              <w:rPr>
                <w:noProof/>
              </w:rPr>
              <w:t xml:space="preserve">Infrastructură și servicii feroviare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35085CB" w14:textId="77777777" w:rsidR="00011DE9" w:rsidRDefault="00011DE9">
            <w:pPr>
              <w:pStyle w:val="P68B1DB1-Normal30"/>
              <w:spacing w:after="0" w:line="240" w:lineRule="auto"/>
              <w:rPr>
                <w:noProof/>
              </w:rPr>
            </w:pPr>
            <w:r>
              <w:rPr>
                <w:noProof/>
              </w:rPr>
              <w:t>Certificate de acceptare, declarații de conformitate sau alte documente echivalente care atestă executarea contractelor</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23299CE2"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0E743F4E"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1CAD4577"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3E4EAD90" w14:textId="3F30B29A" w:rsidR="00011DE9" w:rsidRDefault="005701C9">
            <w:pPr>
              <w:pStyle w:val="P68B1DB1-Normal30"/>
              <w:spacing w:after="0" w:line="240" w:lineRule="auto"/>
              <w:rPr>
                <w:noProof/>
              </w:rPr>
            </w:pPr>
            <w:r>
              <w:rPr>
                <w:noProof/>
              </w:rPr>
              <w:t>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6B654427" w14:textId="77777777" w:rsidR="00011DE9" w:rsidRDefault="00011DE9">
            <w:pPr>
              <w:pStyle w:val="P68B1DB1-Normal30"/>
              <w:spacing w:after="0" w:line="240" w:lineRule="auto"/>
              <w:rPr>
                <w:noProof/>
              </w:rPr>
            </w:pPr>
            <w:r>
              <w:rPr>
                <w:noProof/>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26F47A04" w14:textId="77777777" w:rsidR="00011DE9" w:rsidRDefault="00011DE9">
            <w:pPr>
              <w:pStyle w:val="P68B1DB1-Normal30"/>
              <w:spacing w:after="0" w:line="240" w:lineRule="auto"/>
              <w:rPr>
                <w:noProof/>
              </w:rPr>
            </w:pPr>
            <w:r>
              <w:rPr>
                <w:noProof/>
              </w:rPr>
              <w:t>Confirmarea de către administrație a executării contractelor privind infrastructura și serviciile feroviare în valoare totală de 87 milioane EUR.</w:t>
            </w:r>
          </w:p>
        </w:tc>
      </w:tr>
      <w:tr w:rsidR="00011DE9" w14:paraId="17B72D62" w14:textId="77777777">
        <w:trPr>
          <w:trHeight w:val="309"/>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03FC4EFF" w14:textId="77777777" w:rsidR="00011DE9" w:rsidRDefault="00011DE9">
            <w:pPr>
              <w:pStyle w:val="P68B1DB1-Normal30"/>
              <w:spacing w:after="0" w:line="240" w:lineRule="auto"/>
              <w:rPr>
                <w:noProof/>
              </w:rPr>
            </w:pPr>
            <w:r>
              <w:rPr>
                <w:noProof/>
              </w:rPr>
              <w:t>499</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016F4390" w14:textId="77777777" w:rsidR="00011DE9" w:rsidRDefault="00011DE9">
            <w:pPr>
              <w:pStyle w:val="P68B1DB1-Normal30"/>
              <w:spacing w:after="0" w:line="240" w:lineRule="auto"/>
              <w:rPr>
                <w:noProof/>
              </w:rPr>
            </w:pPr>
            <w:r>
              <w:rPr>
                <w:noProof/>
              </w:rPr>
              <w:t>C32.I1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47FA443" w14:textId="77777777" w:rsidR="00011DE9" w:rsidRDefault="00011DE9">
            <w:pPr>
              <w:pStyle w:val="P68B1DB1-Normal30"/>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FCD539D" w14:textId="77777777" w:rsidR="00011DE9" w:rsidRDefault="00011DE9">
            <w:pPr>
              <w:spacing w:after="0" w:line="240" w:lineRule="auto"/>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Publicarea rezoluțiilor privind granturile pentru achiziționarea a 5</w:t>
            </w:r>
            <w:r>
              <w:rPr>
                <w:rFonts w:ascii="Times New Roman" w:hAnsi="Times New Roman"/>
                <w:noProof/>
                <w:sz w:val="20"/>
              </w:rPr>
              <w:t xml:space="preserve"> </w:t>
            </w:r>
            <w:r>
              <w:rPr>
                <w:rFonts w:ascii="Times New Roman" w:eastAsia="Times New Roman" w:hAnsi="Times New Roman" w:cs="Times New Roman"/>
                <w:noProof/>
                <w:sz w:val="18"/>
                <w:szCs w:val="18"/>
              </w:rPr>
              <w:t>600 de vehicule în cadrul „Sección Etiqueta Cero” din Programa Reinicia Auto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130D9900" w14:textId="77777777" w:rsidR="00011DE9" w:rsidRDefault="00011DE9">
            <w:pPr>
              <w:pStyle w:val="P68B1DB1-Normal30"/>
              <w:spacing w:after="0" w:line="240" w:lineRule="auto"/>
              <w:rPr>
                <w:noProof/>
              </w:rPr>
            </w:pPr>
            <w:r>
              <w:rPr>
                <w:noProof/>
              </w:rPr>
              <w:t>Publicarea pe site-ul ministerului de resort a rezoluțiilor privind granturile</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0BB34076"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76BCAFD4"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3FB2445D"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34F57070" w14:textId="29D559A9" w:rsidR="00011DE9" w:rsidRDefault="005701C9">
            <w:pPr>
              <w:pStyle w:val="P68B1DB1-Normal30"/>
              <w:spacing w:after="0" w:line="240" w:lineRule="auto"/>
              <w:rPr>
                <w:noProof/>
              </w:rPr>
            </w:pPr>
            <w:r>
              <w:rPr>
                <w:noProof/>
              </w:rPr>
              <w:t>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6E74B8F" w14:textId="77777777" w:rsidR="00011DE9" w:rsidRDefault="00011DE9">
            <w:pPr>
              <w:pStyle w:val="P68B1DB1-Normal30"/>
              <w:spacing w:after="0" w:line="240" w:lineRule="auto"/>
              <w:rPr>
                <w:noProof/>
              </w:rPr>
            </w:pPr>
            <w:r>
              <w:rPr>
                <w:noProof/>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324A82BE" w14:textId="77777777" w:rsidR="00011DE9" w:rsidRDefault="00011DE9">
            <w:pPr>
              <w:spacing w:after="0" w:line="240" w:lineRule="auto"/>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Publicarea rezoluțiilor privind granturile pentru achiziționarea a 5</w:t>
            </w:r>
            <w:r>
              <w:rPr>
                <w:rFonts w:ascii="Times New Roman" w:hAnsi="Times New Roman"/>
                <w:noProof/>
                <w:sz w:val="20"/>
              </w:rPr>
              <w:t xml:space="preserve"> </w:t>
            </w:r>
            <w:r>
              <w:rPr>
                <w:rFonts w:ascii="Times New Roman" w:eastAsia="Times New Roman" w:hAnsi="Times New Roman" w:cs="Times New Roman"/>
                <w:noProof/>
                <w:sz w:val="18"/>
                <w:szCs w:val="18"/>
              </w:rPr>
              <w:t>600 de vehicule în cadrul „Sección Etiqueta Cero” din Programa Reinicia Auto +.</w:t>
            </w:r>
          </w:p>
          <w:p w14:paraId="6F868C09" w14:textId="77777777" w:rsidR="00011DE9" w:rsidRDefault="00011DE9">
            <w:pPr>
              <w:spacing w:after="0" w:line="240" w:lineRule="auto"/>
              <w:rPr>
                <w:rFonts w:ascii="Times New Roman" w:eastAsia="Times New Roman" w:hAnsi="Times New Roman" w:cs="Times New Roman"/>
                <w:noProof/>
                <w:sz w:val="18"/>
                <w:szCs w:val="18"/>
              </w:rPr>
            </w:pPr>
          </w:p>
        </w:tc>
      </w:tr>
      <w:tr w:rsidR="00011DE9" w14:paraId="036CFCB5" w14:textId="77777777">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6954C2AB" w14:textId="77777777" w:rsidR="00011DE9" w:rsidRDefault="00011DE9">
            <w:pPr>
              <w:pStyle w:val="P68B1DB1-Normal30"/>
              <w:spacing w:after="0" w:line="240" w:lineRule="auto"/>
              <w:rPr>
                <w:noProof/>
              </w:rPr>
            </w:pPr>
            <w:r>
              <w:rPr>
                <w:noProof/>
              </w:rPr>
              <w:t>500</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73BD118E" w14:textId="77777777" w:rsidR="00011DE9" w:rsidRDefault="00011DE9">
            <w:pPr>
              <w:pStyle w:val="P68B1DB1-Normal30"/>
              <w:spacing w:after="0" w:line="240" w:lineRule="auto"/>
              <w:rPr>
                <w:noProof/>
              </w:rPr>
            </w:pPr>
            <w:r>
              <w:rPr>
                <w:noProof/>
              </w:rPr>
              <w:t>C32.I2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75762F5" w14:textId="77777777" w:rsidR="00011DE9" w:rsidRDefault="00011DE9">
            <w:pPr>
              <w:pStyle w:val="P68B1DB1-Normal30"/>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2E7C19E9" w14:textId="77777777" w:rsidR="00011DE9" w:rsidRDefault="00011DE9">
            <w:pPr>
              <w:pStyle w:val="P68B1DB1-Normal30"/>
              <w:spacing w:after="0" w:line="240" w:lineRule="auto"/>
              <w:rPr>
                <w:noProof/>
              </w:rPr>
            </w:pPr>
            <w:r>
              <w:rPr>
                <w:noProof/>
              </w:rPr>
              <w:t>Refacerea apei și a mediului</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9FACF5E" w14:textId="77777777" w:rsidR="00011DE9" w:rsidRDefault="00011DE9">
            <w:pPr>
              <w:pStyle w:val="P68B1DB1-Normal30"/>
              <w:spacing w:after="0" w:line="240" w:lineRule="auto"/>
              <w:rPr>
                <w:noProof/>
              </w:rPr>
            </w:pPr>
            <w:r>
              <w:rPr>
                <w:noProof/>
              </w:rPr>
              <w:t xml:space="preserve"> Certificate de acceptare, declarații de conformitate sau alte documente echivalente care atestă executarea contractelor; și dovada plății pentru instalarea unui sistem de calcul de înaltă performanță</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55F22D2D"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6BC03FE"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35F20FA6"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224F2E1F" w14:textId="627E64A0" w:rsidR="00011DE9" w:rsidRDefault="005701C9">
            <w:pPr>
              <w:pStyle w:val="P68B1DB1-Normal30"/>
              <w:spacing w:after="0" w:line="240" w:lineRule="auto"/>
              <w:rPr>
                <w:noProof/>
              </w:rPr>
            </w:pPr>
            <w:r>
              <w:rPr>
                <w:noProof/>
              </w:rPr>
              <w:t>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52A9146E" w14:textId="77777777" w:rsidR="00011DE9" w:rsidRDefault="00011DE9">
            <w:pPr>
              <w:pStyle w:val="P68B1DB1-Normal30"/>
              <w:spacing w:after="0" w:line="240" w:lineRule="auto"/>
              <w:rPr>
                <w:noProof/>
              </w:rPr>
            </w:pPr>
            <w:r>
              <w:rPr>
                <w:noProof/>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3B81B081" w14:textId="402DE79D" w:rsidR="00011DE9" w:rsidRDefault="00011DE9">
            <w:pPr>
              <w:pStyle w:val="P68B1DB1-Normal30"/>
              <w:spacing w:after="0" w:line="240" w:lineRule="auto"/>
              <w:rPr>
                <w:noProof/>
              </w:rPr>
            </w:pPr>
            <w:r>
              <w:rPr>
                <w:noProof/>
              </w:rPr>
              <w:t>Confirmarea de către administrație a executării contractelor referitoare la 46 intervenții de refacere a pădurilor, a zonelor hidrologice, a infrastructurii hidraulice sau a domeniilor publice hidraulice și de evaluare sau monitorizare a daunelor hidrologice</w:t>
            </w:r>
            <w:r w:rsidR="00971820">
              <w:rPr>
                <w:noProof/>
              </w:rPr>
              <w:t xml:space="preserve"> </w:t>
            </w:r>
          </w:p>
          <w:p w14:paraId="795D17F5" w14:textId="77777777" w:rsidR="00011DE9" w:rsidRDefault="00011DE9">
            <w:pPr>
              <w:pStyle w:val="P68B1DB1-Normal30"/>
              <w:spacing w:after="0" w:line="240" w:lineRule="auto"/>
              <w:rPr>
                <w:noProof/>
              </w:rPr>
            </w:pPr>
            <w:r>
              <w:rPr>
                <w:noProof/>
              </w:rPr>
              <w:t xml:space="preserve">— Dovada plății pentru instalarea unui sistem de calcul de înaltă performanță de către Agenția Meteorologică de Stat. </w:t>
            </w:r>
          </w:p>
        </w:tc>
      </w:tr>
      <w:tr w:rsidR="00011DE9" w14:paraId="5EFB600A" w14:textId="77777777">
        <w:trPr>
          <w:trHeight w:val="4763"/>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0727520C" w14:textId="77777777" w:rsidR="00011DE9" w:rsidRDefault="00011DE9">
            <w:pPr>
              <w:pStyle w:val="P68B1DB1-Normal30"/>
              <w:spacing w:after="0" w:line="240" w:lineRule="auto"/>
              <w:rPr>
                <w:noProof/>
              </w:rPr>
            </w:pPr>
            <w:r>
              <w:rPr>
                <w:noProof/>
              </w:rPr>
              <w:t>501</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0A8342DF" w14:textId="77777777" w:rsidR="00011DE9" w:rsidRDefault="00011DE9">
            <w:pPr>
              <w:pStyle w:val="P68B1DB1-Normal30"/>
              <w:spacing w:after="0" w:line="240" w:lineRule="auto"/>
              <w:rPr>
                <w:noProof/>
              </w:rPr>
            </w:pPr>
            <w:r>
              <w:rPr>
                <w:noProof/>
              </w:rPr>
              <w:t>C32.I2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8A91470" w14:textId="77777777" w:rsidR="00011DE9" w:rsidRDefault="00011DE9">
            <w:pPr>
              <w:pStyle w:val="P68B1DB1-Normal30"/>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39820C11" w14:textId="77777777" w:rsidR="00011DE9" w:rsidRDefault="00011DE9">
            <w:pPr>
              <w:pStyle w:val="P68B1DB1-Normal30"/>
              <w:spacing w:after="0" w:line="240" w:lineRule="auto"/>
              <w:rPr>
                <w:noProof/>
              </w:rPr>
            </w:pPr>
            <w:r>
              <w:rPr>
                <w:noProof/>
              </w:rPr>
              <w:t>Restaurarea agriculturii</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D15B9EC" w14:textId="77777777" w:rsidR="00011DE9" w:rsidRDefault="00011DE9">
            <w:pPr>
              <w:pStyle w:val="P68B1DB1-Normal30"/>
              <w:spacing w:after="0" w:line="240" w:lineRule="auto"/>
              <w:rPr>
                <w:noProof/>
              </w:rPr>
            </w:pPr>
            <w:r>
              <w:rPr>
                <w:noProof/>
              </w:rPr>
              <w:t>Certificate de acceptare, declarații de conformitate sau alte documente echivalente care atestă executarea contractelor</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558A7317"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3B6E29D3"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0C474FC8"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26CC741D" w14:textId="3319DC31" w:rsidR="00011DE9" w:rsidRDefault="005701C9">
            <w:pPr>
              <w:pStyle w:val="P68B1DB1-Normal30"/>
              <w:spacing w:after="0" w:line="240" w:lineRule="auto"/>
              <w:rPr>
                <w:noProof/>
              </w:rPr>
            </w:pPr>
            <w:r>
              <w:rPr>
                <w:noProof/>
              </w:rPr>
              <w:t>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0C8F48D1" w14:textId="77777777" w:rsidR="00011DE9" w:rsidRDefault="00011DE9">
            <w:pPr>
              <w:pStyle w:val="P68B1DB1-Normal30"/>
              <w:spacing w:after="0" w:line="240" w:lineRule="auto"/>
              <w:rPr>
                <w:noProof/>
              </w:rPr>
            </w:pPr>
            <w:r>
              <w:rPr>
                <w:noProof/>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6FE929F4" w14:textId="77777777" w:rsidR="00011DE9" w:rsidRDefault="00011DE9">
            <w:pPr>
              <w:pStyle w:val="P68B1DB1-Normal30"/>
              <w:spacing w:after="0" w:line="240" w:lineRule="auto"/>
              <w:rPr>
                <w:noProof/>
              </w:rPr>
            </w:pPr>
            <w:r>
              <w:rPr>
                <w:noProof/>
              </w:rPr>
              <w:t>Confirmarea de către administrație a executării a 5 contracte referitoare la reconstrucția potențialului productiv agricol.</w:t>
            </w:r>
          </w:p>
        </w:tc>
      </w:tr>
      <w:tr w:rsidR="00011DE9" w14:paraId="7E9956C5" w14:textId="77777777">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6CA036C6" w14:textId="77777777" w:rsidR="00011DE9" w:rsidRDefault="00011DE9">
            <w:pPr>
              <w:pStyle w:val="P68B1DB1-Normal30"/>
              <w:spacing w:after="0" w:line="240" w:lineRule="auto"/>
              <w:rPr>
                <w:noProof/>
              </w:rPr>
            </w:pPr>
            <w:r>
              <w:rPr>
                <w:noProof/>
              </w:rPr>
              <w:t>502</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59622D49" w14:textId="77777777" w:rsidR="00011DE9" w:rsidRDefault="00011DE9">
            <w:pPr>
              <w:pStyle w:val="P68B1DB1-Normal30"/>
              <w:spacing w:after="0" w:line="240" w:lineRule="auto"/>
              <w:rPr>
                <w:noProof/>
              </w:rPr>
            </w:pPr>
            <w:r>
              <w:rPr>
                <w:noProof/>
              </w:rPr>
              <w:t>C32.I3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6701DF7" w14:textId="77777777" w:rsidR="00011DE9" w:rsidRDefault="00011DE9">
            <w:pPr>
              <w:pStyle w:val="P68B1DB1-Normal30"/>
              <w:spacing w:after="0" w:line="240" w:lineRule="auto"/>
              <w:rPr>
                <w:noProof/>
              </w:rPr>
            </w:pPr>
            <w:r>
              <w:rPr>
                <w:noProof/>
              </w:rPr>
              <w:t>T</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363A5B68" w14:textId="77777777" w:rsidR="00011DE9" w:rsidRDefault="00011DE9">
            <w:pPr>
              <w:pStyle w:val="P68B1DB1-Normal30"/>
              <w:spacing w:after="0" w:line="240" w:lineRule="auto"/>
              <w:rPr>
                <w:noProof/>
              </w:rPr>
            </w:pPr>
            <w:r>
              <w:rPr>
                <w:noProof/>
              </w:rPr>
              <w:t>Contracte de muncă pentru zonele afectate de DANA.</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7D173FA"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395B3DCC" w14:textId="77777777" w:rsidR="00011DE9" w:rsidRDefault="00011DE9">
            <w:pPr>
              <w:pStyle w:val="P68B1DB1-Normal30"/>
              <w:spacing w:after="0" w:line="240" w:lineRule="auto"/>
              <w:rPr>
                <w:noProof/>
              </w:rPr>
            </w:pPr>
            <w:r>
              <w:rPr>
                <w:noProof/>
              </w:rPr>
              <w:t>Număr</w:t>
            </w: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7C5E9E3C" w14:textId="77777777" w:rsidR="00011DE9" w:rsidRDefault="00011DE9">
            <w:pPr>
              <w:pStyle w:val="P68B1DB1-Normal30"/>
              <w:spacing w:after="0" w:line="240" w:lineRule="auto"/>
              <w:rPr>
                <w:noProof/>
              </w:rPr>
            </w:pPr>
            <w:r>
              <w:rPr>
                <w:noProof/>
              </w:rPr>
              <w:t>0</w:t>
            </w: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54E96FE9" w14:textId="77777777" w:rsidR="00011DE9" w:rsidRDefault="00011DE9">
            <w:pPr>
              <w:pStyle w:val="P68B1DB1-Normal30"/>
              <w:spacing w:after="0" w:line="240" w:lineRule="auto"/>
              <w:rPr>
                <w:noProof/>
              </w:rPr>
            </w:pPr>
            <w:r>
              <w:rPr>
                <w:noProof/>
              </w:rPr>
              <w:t>2020</w:t>
            </w: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1A773143" w14:textId="4AF6B433" w:rsidR="00011DE9" w:rsidRDefault="005701C9">
            <w:pPr>
              <w:pStyle w:val="P68B1DB1-Normal30"/>
              <w:spacing w:after="0" w:line="240" w:lineRule="auto"/>
              <w:rPr>
                <w:noProof/>
              </w:rPr>
            </w:pPr>
            <w:r>
              <w:rPr>
                <w:noProof/>
              </w:rPr>
              <w:t>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69A9953A" w14:textId="77777777" w:rsidR="00011DE9" w:rsidRDefault="00011DE9">
            <w:pPr>
              <w:pStyle w:val="P68B1DB1-Normal30"/>
              <w:spacing w:after="0" w:line="240" w:lineRule="auto"/>
              <w:rPr>
                <w:noProof/>
              </w:rPr>
            </w:pPr>
            <w:r>
              <w:rPr>
                <w:noProof/>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29CED39F" w14:textId="77777777" w:rsidR="00011DE9" w:rsidRDefault="00011DE9">
            <w:pPr>
              <w:pStyle w:val="P68B1DB1-Normal30"/>
              <w:spacing w:after="0" w:line="240" w:lineRule="auto"/>
              <w:rPr>
                <w:noProof/>
              </w:rPr>
            </w:pPr>
            <w:r>
              <w:rPr>
                <w:noProof/>
              </w:rPr>
              <w:t>2020 de notificări ale contractelor de muncă semnate în temeiul Ordinului nr. TES/1302/2025 din 14 noiembrie de stabilire a bazelor de reglementare și de emitere a apelului pentru acordarea de către Serviciul public de stat pentru ocuparea forței de muncă a unor subvenții menite să finanțeze „</w:t>
            </w:r>
            <w:r>
              <w:rPr>
                <w:i/>
                <w:noProof/>
              </w:rPr>
              <w:t>Planul DANA Ocupación</w:t>
            </w:r>
            <w:r>
              <w:rPr>
                <w:noProof/>
              </w:rPr>
              <w:t xml:space="preserve">”, menit să sprijine angajarea de lucrători în zona teritorială afectată de DANA în perioada 28 octombrie-4 noiembrie 2024, în cadrul planului de redresare și reziliență. </w:t>
            </w:r>
          </w:p>
        </w:tc>
      </w:tr>
      <w:tr w:rsidR="00011DE9" w14:paraId="43067090" w14:textId="77777777">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5BA2C5DE" w14:textId="77777777" w:rsidR="00011DE9" w:rsidRDefault="00011DE9">
            <w:pPr>
              <w:pStyle w:val="P68B1DB1-Normal30"/>
              <w:spacing w:after="0" w:line="240" w:lineRule="auto"/>
              <w:rPr>
                <w:noProof/>
              </w:rPr>
            </w:pPr>
            <w:r>
              <w:rPr>
                <w:noProof/>
              </w:rPr>
              <w:t>503</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0E8DAAB2" w14:textId="77777777" w:rsidR="00011DE9" w:rsidRDefault="00011DE9">
            <w:pPr>
              <w:pStyle w:val="P68B1DB1-Normal30"/>
              <w:spacing w:after="0" w:line="240" w:lineRule="auto"/>
              <w:rPr>
                <w:noProof/>
              </w:rPr>
            </w:pPr>
            <w:r>
              <w:rPr>
                <w:noProof/>
              </w:rPr>
              <w:t>C32.I4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BDA285B" w14:textId="77777777" w:rsidR="00011DE9" w:rsidRDefault="00011DE9">
            <w:pPr>
              <w:pStyle w:val="P68B1DB1-Normal30"/>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2B4B2604" w14:textId="77777777" w:rsidR="00011DE9" w:rsidRDefault="00011DE9">
            <w:pPr>
              <w:pStyle w:val="P68B1DB1-Normal30"/>
              <w:spacing w:after="0" w:line="240" w:lineRule="auto"/>
              <w:rPr>
                <w:noProof/>
              </w:rPr>
            </w:pPr>
            <w:r>
              <w:rPr>
                <w:noProof/>
              </w:rPr>
              <w:t>Semnarea unui acord cu ESA și contribuția voluntară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CFE4423" w14:textId="77777777" w:rsidR="00011DE9" w:rsidRDefault="00011DE9">
            <w:pPr>
              <w:pStyle w:val="P68B1DB1-Normal30"/>
              <w:spacing w:after="0" w:line="240" w:lineRule="auto"/>
              <w:rPr>
                <w:noProof/>
              </w:rPr>
            </w:pPr>
            <w:r>
              <w:rPr>
                <w:noProof/>
              </w:rPr>
              <w:t>Semnarea acordului</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188E701"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3C12E79B"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3C4C01C5"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AECC1F3" w14:textId="46709D7B" w:rsidR="00011DE9" w:rsidRDefault="005701C9">
            <w:pPr>
              <w:pStyle w:val="P68B1DB1-Normal30"/>
              <w:spacing w:after="0" w:line="240" w:lineRule="auto"/>
              <w:rPr>
                <w:noProof/>
              </w:rPr>
            </w:pPr>
            <w:r>
              <w:rPr>
                <w:noProof/>
              </w:rPr>
              <w:t>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77D969E1" w14:textId="77777777" w:rsidR="00011DE9" w:rsidRDefault="00011DE9">
            <w:pPr>
              <w:pStyle w:val="P68B1DB1-Normal30"/>
              <w:spacing w:after="0" w:line="240" w:lineRule="auto"/>
              <w:rPr>
                <w:noProof/>
              </w:rPr>
            </w:pPr>
            <w:r>
              <w:rPr>
                <w:noProof/>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6ABFDE70" w14:textId="77777777" w:rsidR="00011DE9" w:rsidRDefault="00011DE9">
            <w:pPr>
              <w:pStyle w:val="P68B1DB1-Normal30"/>
              <w:spacing w:after="0" w:line="240" w:lineRule="auto"/>
              <w:rPr>
                <w:noProof/>
              </w:rPr>
            </w:pPr>
            <w:r>
              <w:rPr>
                <w:noProof/>
              </w:rPr>
              <w:t>Semnarea acordului dintre Spania și ESA. Acordul respectiv include:</w:t>
            </w:r>
          </w:p>
          <w:p w14:paraId="5DC558B6"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p w14:paraId="76E918C7" w14:textId="77777777" w:rsidR="00011DE9" w:rsidRDefault="00011DE9">
            <w:pPr>
              <w:pStyle w:val="P68B1DB1-Normal30"/>
              <w:spacing w:after="0" w:line="240" w:lineRule="auto"/>
              <w:rPr>
                <w:noProof/>
              </w:rPr>
            </w:pPr>
            <w:r>
              <w:rPr>
                <w:noProof/>
              </w:rPr>
              <w:t>— Activitățile care ar urma să fie finanțate în cadrul contribuției voluntare, care constă în dezvoltarea extinderii componentei spaniole a constelației atlantice (ESCA +).</w:t>
            </w:r>
          </w:p>
          <w:p w14:paraId="67688240"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p w14:paraId="2F59CA1C" w14:textId="77777777" w:rsidR="00011DE9" w:rsidRDefault="00011DE9">
            <w:pPr>
              <w:pStyle w:val="P68B1DB1-Normal30"/>
              <w:spacing w:after="0" w:line="240" w:lineRule="auto"/>
              <w:rPr>
                <w:noProof/>
              </w:rPr>
            </w:pPr>
            <w:r>
              <w:rPr>
                <w:noProof/>
              </w:rPr>
              <w:t>— O dispoziție care să asigure utilizarea integrală de către ESA a contribuției voluntare suplimentare.</w:t>
            </w:r>
          </w:p>
          <w:p w14:paraId="22AB6D7D"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p w14:paraId="25941BAB" w14:textId="77777777" w:rsidR="00011DE9" w:rsidRDefault="00011DE9">
            <w:pPr>
              <w:pStyle w:val="P68B1DB1-Normal30"/>
              <w:spacing w:after="0" w:line="240" w:lineRule="auto"/>
              <w:rPr>
                <w:noProof/>
              </w:rPr>
            </w:pPr>
            <w:r>
              <w:rPr>
                <w:noProof/>
              </w:rPr>
              <w:t>— O dispoziție care să asigure că, pentru lansatoare, se utilizează cea mai bună tehnologie disponibilă cu cel mai mic impact asupra mediului din sector.</w:t>
            </w:r>
          </w:p>
          <w:p w14:paraId="3DF63EFF"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p w14:paraId="2ADB883E" w14:textId="77777777" w:rsidR="00011DE9" w:rsidRDefault="00011DE9">
            <w:pPr>
              <w:pStyle w:val="P68B1DB1-Normal30"/>
              <w:spacing w:after="0" w:line="240" w:lineRule="auto"/>
              <w:rPr>
                <w:noProof/>
              </w:rPr>
            </w:pPr>
            <w:r>
              <w:rPr>
                <w:noProof/>
              </w:rPr>
              <w:t>Spania contribuie cu 325.01 milioane EUR la ESA pentru dezvoltarea extinderii componentei spaniole a constelației atlantice (ESCA +).</w:t>
            </w:r>
          </w:p>
        </w:tc>
      </w:tr>
      <w:tr w:rsidR="00011DE9" w14:paraId="7A04C829" w14:textId="77777777">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69192D6F" w14:textId="77777777" w:rsidR="00011DE9" w:rsidRDefault="00011DE9">
            <w:pPr>
              <w:pStyle w:val="P68B1DB1-Normal30"/>
              <w:spacing w:after="0" w:line="240" w:lineRule="auto"/>
              <w:rPr>
                <w:noProof/>
              </w:rPr>
            </w:pPr>
            <w:r>
              <w:rPr>
                <w:noProof/>
              </w:rPr>
              <w:t>504</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05F0F576" w14:textId="77777777" w:rsidR="00011DE9" w:rsidRDefault="00011DE9">
            <w:pPr>
              <w:pStyle w:val="P68B1DB1-Normal30"/>
              <w:spacing w:after="0" w:line="240" w:lineRule="auto"/>
              <w:rPr>
                <w:noProof/>
              </w:rPr>
            </w:pPr>
            <w:r>
              <w:rPr>
                <w:noProof/>
              </w:rPr>
              <w:t>C32.I5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8056632" w14:textId="77777777" w:rsidR="00011DE9" w:rsidRDefault="00011DE9">
            <w:pPr>
              <w:pStyle w:val="P68B1DB1-Normal30"/>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522E33BA" w14:textId="77777777" w:rsidR="00011DE9" w:rsidRDefault="00011DE9">
            <w:pPr>
              <w:pStyle w:val="P68B1DB1-Normal30"/>
              <w:spacing w:after="0" w:line="240" w:lineRule="auto"/>
              <w:rPr>
                <w:noProof/>
              </w:rPr>
            </w:pPr>
            <w:r>
              <w:rPr>
                <w:noProof/>
              </w:rPr>
              <w:t>Raport ex post privind punerea în aplicare a programelor „ICEX-DANA” și „ICEX-Aranceles”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51833CD0" w14:textId="77777777" w:rsidR="00011DE9" w:rsidRDefault="00011DE9">
            <w:pPr>
              <w:pStyle w:val="P68B1DB1-Normal30"/>
              <w:spacing w:after="0" w:line="240" w:lineRule="auto"/>
              <w:rPr>
                <w:noProof/>
              </w:rPr>
            </w:pPr>
            <w:r>
              <w:rPr>
                <w:noProof/>
              </w:rPr>
              <w:t>Prezentarea raportului ex post</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32C0D406"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2A92C991"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5C4B7BEB"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56DDC1B5" w14:textId="2D54AC71" w:rsidR="00011DE9" w:rsidRDefault="005701C9">
            <w:pPr>
              <w:pStyle w:val="P68B1DB1-Normal30"/>
              <w:spacing w:after="0" w:line="240" w:lineRule="auto"/>
              <w:rPr>
                <w:noProof/>
              </w:rPr>
            </w:pPr>
            <w:r>
              <w:rPr>
                <w:noProof/>
              </w:rPr>
              <w:t>T2</w:t>
            </w:r>
          </w:p>
          <w:p w14:paraId="145D26B5"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54A29B16" w14:textId="77777777" w:rsidR="00011DE9" w:rsidRDefault="00011DE9">
            <w:pPr>
              <w:pStyle w:val="P68B1DB1-Normal30"/>
              <w:spacing w:after="0" w:line="240" w:lineRule="auto"/>
              <w:rPr>
                <w:noProof/>
              </w:rPr>
            </w:pPr>
            <w:r>
              <w:rPr>
                <w:noProof/>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7D2470B5" w14:textId="77777777" w:rsidR="00011DE9" w:rsidRDefault="00011DE9">
            <w:pPr>
              <w:pStyle w:val="P68B1DB1-Normal30"/>
              <w:spacing w:after="0" w:line="240" w:lineRule="auto"/>
              <w:rPr>
                <w:noProof/>
              </w:rPr>
            </w:pPr>
            <w:r>
              <w:rPr>
                <w:noProof/>
              </w:rPr>
              <w:t>Raport ex post privind punerea în aplicare a programelor „ICEX-DANA” și „ICEX-Aranceles”, inclusiv lecțiile învățate pentru programele viitoare.</w:t>
            </w:r>
          </w:p>
        </w:tc>
      </w:tr>
      <w:tr w:rsidR="00011DE9" w14:paraId="61F16B9C" w14:textId="77777777">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247FC934" w14:textId="77777777" w:rsidR="00011DE9" w:rsidRDefault="00011DE9">
            <w:pPr>
              <w:pStyle w:val="P68B1DB1-Normal30"/>
              <w:spacing w:after="0" w:line="240" w:lineRule="auto"/>
              <w:rPr>
                <w:noProof/>
              </w:rPr>
            </w:pPr>
            <w:r>
              <w:rPr>
                <w:noProof/>
              </w:rPr>
              <w:t xml:space="preserve"> 505</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5556908E" w14:textId="77777777" w:rsidR="00011DE9" w:rsidRDefault="00011DE9">
            <w:pPr>
              <w:pStyle w:val="P68B1DB1-Normal30"/>
              <w:spacing w:after="0" w:line="240" w:lineRule="auto"/>
              <w:rPr>
                <w:noProof/>
              </w:rPr>
            </w:pPr>
            <w:r>
              <w:rPr>
                <w:noProof/>
              </w:rPr>
              <w:t>C32.I6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4F4680E" w14:textId="77777777" w:rsidR="00011DE9" w:rsidRDefault="00011DE9">
            <w:pPr>
              <w:pStyle w:val="P68B1DB1-Normal30"/>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5F48E46F" w14:textId="7D1E0ED9" w:rsidR="00011DE9" w:rsidRDefault="00011DE9">
            <w:pPr>
              <w:pStyle w:val="P68B1DB1-Normal30"/>
              <w:spacing w:after="0" w:line="240" w:lineRule="auto"/>
              <w:rPr>
                <w:noProof/>
              </w:rPr>
            </w:pPr>
            <w:r>
              <w:rPr>
                <w:noProof/>
              </w:rPr>
              <w:t>Schema ICO de sprijinire a întreprinderilor afectate de schimbarea mediului tarifar mondial</w:t>
            </w:r>
            <w:r w:rsidR="00971820">
              <w:rPr>
                <w:noProof/>
              </w:rPr>
              <w:t xml:space="preserve"> </w:t>
            </w:r>
            <w:r>
              <w:rPr>
                <w:noProof/>
              </w:rP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0A706034" w14:textId="77777777" w:rsidR="00011DE9" w:rsidRDefault="00011DE9">
            <w:pPr>
              <w:pStyle w:val="P68B1DB1-Normal30"/>
              <w:spacing w:after="0" w:line="240" w:lineRule="auto"/>
              <w:rPr>
                <w:noProof/>
              </w:rPr>
            </w:pPr>
            <w:r>
              <w:rPr>
                <w:noProof/>
              </w:rPr>
              <w:t>Intrarea în vigoare a acordului de punere în aplicare, a acordurilor privind certificatele de transfer și subvențiile legale semnate cu beneficiarii finali</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14275142"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3650474"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1568A7D1"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6AFAAFF3" w14:textId="4E2ABBE1" w:rsidR="00011DE9" w:rsidRDefault="005701C9">
            <w:pPr>
              <w:pStyle w:val="P68B1DB1-Normal30"/>
              <w:spacing w:after="0" w:line="240" w:lineRule="auto"/>
              <w:rPr>
                <w:noProof/>
              </w:rPr>
            </w:pPr>
            <w:r>
              <w:rPr>
                <w:noProof/>
              </w:rPr>
              <w:t>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2E3CF1DE" w14:textId="77777777" w:rsidR="00011DE9" w:rsidRDefault="00011DE9">
            <w:pPr>
              <w:pStyle w:val="P68B1DB1-Normal30"/>
              <w:spacing w:after="0" w:line="240" w:lineRule="auto"/>
              <w:rPr>
                <w:noProof/>
              </w:rPr>
            </w:pPr>
            <w:r>
              <w:rPr>
                <w:noProof/>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73179D66" w14:textId="77777777" w:rsidR="00011DE9" w:rsidRDefault="00011DE9">
            <w:pPr>
              <w:pStyle w:val="P68B1DB1-Normal30"/>
              <w:spacing w:after="0" w:line="240" w:lineRule="auto"/>
              <w:rPr>
                <w:noProof/>
              </w:rPr>
            </w:pPr>
            <w:r>
              <w:rPr>
                <w:noProof/>
              </w:rPr>
              <w:t xml:space="preserve">Intrarea în vigoare a acordului de punere în aplicare </w:t>
            </w:r>
          </w:p>
          <w:p w14:paraId="6BFE4465"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p w14:paraId="1492B7BA" w14:textId="77777777" w:rsidR="00011DE9" w:rsidRDefault="00011DE9">
            <w:pPr>
              <w:pStyle w:val="P68B1DB1-Normal22"/>
              <w:spacing w:after="0" w:line="240" w:lineRule="auto"/>
              <w:rPr>
                <w:noProof/>
                <w:color w:val="000000" w:themeColor="text1"/>
              </w:rPr>
            </w:pPr>
            <w:r>
              <w:rPr>
                <w:noProof/>
                <w:color w:val="000000" w:themeColor="text1"/>
              </w:rPr>
              <w:t xml:space="preserve">Spania transferă 181 053 </w:t>
            </w:r>
            <w:r>
              <w:rPr>
                <w:noProof/>
              </w:rPr>
              <w:t>227 EUR către ICO pentru schemă.</w:t>
            </w:r>
            <w:r>
              <w:rPr>
                <w:noProof/>
                <w:color w:val="000000" w:themeColor="text1"/>
              </w:rPr>
              <w:t xml:space="preserve"> </w:t>
            </w:r>
          </w:p>
          <w:p w14:paraId="5B9F16BD" w14:textId="77777777" w:rsidR="00011DE9" w:rsidRDefault="00011DE9">
            <w:pPr>
              <w:spacing w:after="0" w:line="240" w:lineRule="auto"/>
              <w:rPr>
                <w:rFonts w:ascii="Times New Roman" w:eastAsia="Times New Roman" w:hAnsi="Times New Roman" w:cs="Times New Roman"/>
                <w:noProof/>
                <w:color w:val="000000" w:themeColor="text1"/>
                <w:sz w:val="18"/>
                <w:szCs w:val="18"/>
              </w:rPr>
            </w:pPr>
          </w:p>
          <w:p w14:paraId="01382509" w14:textId="77777777" w:rsidR="00011DE9" w:rsidRDefault="00011DE9">
            <w:pPr>
              <w:pStyle w:val="P68B1DB1-Normal30"/>
              <w:spacing w:after="0" w:line="240" w:lineRule="auto"/>
              <w:rPr>
                <w:noProof/>
              </w:rPr>
            </w:pPr>
            <w:r>
              <w:rPr>
                <w:noProof/>
              </w:rPr>
              <w:t>ICO trebuie să fi încheiat acorduri juridice de subvenționare cu beneficiarii finali pentru o sumă necesară pentru a utiliza 100 % din investițiile MRR în mecanism.</w:t>
            </w:r>
          </w:p>
        </w:tc>
      </w:tr>
    </w:tbl>
    <w:p w14:paraId="05BA395C" w14:textId="77777777" w:rsidR="00011DE9" w:rsidRDefault="00011DE9">
      <w:pPr>
        <w:rPr>
          <w:rFonts w:ascii="Times New Roman" w:eastAsia="Calibri" w:hAnsi="Times New Roman" w:cs="Times New Roman"/>
          <w:noProof/>
        </w:rPr>
        <w:sectPr w:rsidR="00011DE9" w:rsidSect="00011DE9">
          <w:headerReference w:type="even" r:id="rId430"/>
          <w:headerReference w:type="default" r:id="rId431"/>
          <w:footerReference w:type="even" r:id="rId432"/>
          <w:footerReference w:type="default" r:id="rId433"/>
          <w:headerReference w:type="first" r:id="rId434"/>
          <w:footerReference w:type="first" r:id="rId435"/>
          <w:pgSz w:w="16839" w:h="11907" w:orient="landscape"/>
          <w:pgMar w:top="1134" w:right="1134" w:bottom="1134" w:left="1134" w:header="567" w:footer="567" w:gutter="0"/>
          <w:cols w:space="720"/>
          <w:docGrid w:linePitch="360"/>
        </w:sectPr>
      </w:pPr>
    </w:p>
    <w:p w14:paraId="54373CC3" w14:textId="77777777" w:rsidR="00011DE9" w:rsidRDefault="00011DE9">
      <w:pPr>
        <w:pStyle w:val="P68B1DB1-Normal74"/>
        <w:numPr>
          <w:ilvl w:val="0"/>
          <w:numId w:val="18"/>
        </w:numPr>
        <w:spacing w:before="120" w:after="120" w:line="240" w:lineRule="auto"/>
        <w:jc w:val="both"/>
        <w:rPr>
          <w:rFonts w:cs="Times New Roman"/>
          <w:noProof/>
        </w:rPr>
      </w:pPr>
      <w:r>
        <w:rPr>
          <w:noProof/>
        </w:rPr>
        <w:t>Costul total estimat al planului de redresare și reziliență</w:t>
      </w:r>
    </w:p>
    <w:p w14:paraId="6622E379" w14:textId="77777777" w:rsidR="00011DE9" w:rsidRDefault="00011DE9">
      <w:pPr>
        <w:pStyle w:val="P68B1DB1-Normal16"/>
        <w:spacing w:before="240" w:after="240" w:line="240" w:lineRule="auto"/>
        <w:jc w:val="both"/>
        <w:rPr>
          <w:noProof/>
        </w:rPr>
      </w:pPr>
      <w:r>
        <w:rPr>
          <w:noProof/>
        </w:rPr>
        <w:t>Costurile totale estimate ale planului de redresare și reziliență al Spaniei sunt de 102 575 266 373 EUR.</w:t>
      </w:r>
    </w:p>
    <w:p w14:paraId="637D829B" w14:textId="77777777" w:rsidR="00011DE9" w:rsidRDefault="00011DE9">
      <w:pPr>
        <w:pStyle w:val="P68B1DB1-Normal75"/>
        <w:spacing w:before="240" w:after="240" w:line="240" w:lineRule="auto"/>
        <w:jc w:val="both"/>
        <w:rPr>
          <w:noProof/>
        </w:rPr>
      </w:pPr>
      <w:r>
        <w:rPr>
          <w:noProof/>
        </w:rPr>
        <w:t>Costurile totale estimate ale capitolului REPowerEU sunt de 7 080 493 413 EUR. În special, costurile totale estimate ale măsurilor menționate la articolul 21c alineatul (3) litera (a) din Regulamentul (UE) 2023/435 sunt de 0 EUR, în timp ce costurile celorlalte măsuri din capitolul REPowerEU sunt de 7 080 493 413 EUR.</w:t>
      </w:r>
    </w:p>
    <w:p w14:paraId="6108527E" w14:textId="77777777" w:rsidR="00011DE9" w:rsidRDefault="00011DE9">
      <w:pPr>
        <w:spacing w:before="240" w:after="240" w:line="240" w:lineRule="auto"/>
        <w:jc w:val="both"/>
        <w:rPr>
          <w:rFonts w:ascii="Times New Roman" w:hAnsi="Times New Roman"/>
          <w:noProof/>
          <w:highlight w:val="yellow"/>
        </w:rPr>
      </w:pPr>
    </w:p>
    <w:p w14:paraId="175191FA" w14:textId="77777777" w:rsidR="00011DE9" w:rsidRDefault="00011DE9">
      <w:pPr>
        <w:pStyle w:val="P68B1DB1-Normal74"/>
        <w:spacing w:before="120" w:after="120" w:line="240" w:lineRule="auto"/>
        <w:jc w:val="both"/>
        <w:rPr>
          <w:rFonts w:cs="Times New Roman"/>
          <w:noProof/>
        </w:rPr>
      </w:pPr>
      <w:r>
        <w:rPr>
          <w:noProof/>
        </w:rPr>
        <w:t xml:space="preserve">SECȚIUNEA 2: SPRIJIN FINANCIAR </w:t>
      </w:r>
    </w:p>
    <w:p w14:paraId="2F59F45F" w14:textId="77777777" w:rsidR="00011DE9" w:rsidRDefault="00011DE9">
      <w:pPr>
        <w:pStyle w:val="P68B1DB1-NumPar176"/>
        <w:numPr>
          <w:ilvl w:val="0"/>
          <w:numId w:val="19"/>
        </w:numPr>
        <w:rPr>
          <w:rFonts w:cs="Times New Roman"/>
          <w:noProof/>
        </w:rPr>
      </w:pPr>
      <w:r>
        <w:rPr>
          <w:noProof/>
        </w:rPr>
        <w:t xml:space="preserve">Financiară adecvată </w:t>
      </w:r>
    </w:p>
    <w:p w14:paraId="29009E1B" w14:textId="77777777" w:rsidR="00011DE9" w:rsidRDefault="00011DE9">
      <w:pPr>
        <w:pStyle w:val="P68B1DB1-Normal16"/>
        <w:spacing w:before="120" w:after="120" w:line="240" w:lineRule="auto"/>
        <w:ind w:left="850"/>
        <w:jc w:val="both"/>
        <w:rPr>
          <w:rFonts w:cs="Times New Roman"/>
          <w:noProof/>
        </w:rPr>
      </w:pPr>
      <w:r>
        <w:rPr>
          <w:noProof/>
        </w:rPr>
        <w:t>Tranșele menționate la articolul 2 alineatul (2) se organizează după cum urmează:</w:t>
      </w:r>
    </w:p>
    <w:p w14:paraId="17BE3120" w14:textId="77777777" w:rsidR="00011DE9" w:rsidRDefault="00011DE9">
      <w:pPr>
        <w:pStyle w:val="P68B1DB1-Normal16"/>
        <w:numPr>
          <w:ilvl w:val="1"/>
          <w:numId w:val="18"/>
        </w:numPr>
        <w:tabs>
          <w:tab w:val="clear" w:pos="6236"/>
          <w:tab w:val="num" w:pos="850"/>
        </w:tabs>
        <w:spacing w:before="120" w:after="120" w:line="240" w:lineRule="auto"/>
        <w:ind w:left="850"/>
        <w:jc w:val="both"/>
        <w:rPr>
          <w:rFonts w:cs="Times New Roman"/>
          <w:noProof/>
        </w:rPr>
      </w:pPr>
      <w:r>
        <w:rPr>
          <w:noProof/>
        </w:rPr>
        <w:t xml:space="preserve">Prima tranșă (sprijin nerambursabil): </w:t>
      </w:r>
    </w:p>
    <w:tbl>
      <w:tblPr>
        <w:tblW w:w="98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403"/>
        <w:gridCol w:w="1296"/>
        <w:gridCol w:w="6074"/>
        <w:gridCol w:w="13"/>
      </w:tblGrid>
      <w:tr w:rsidR="00011DE9" w14:paraId="79C7CAB1" w14:textId="77777777">
        <w:trPr>
          <w:trHeight w:val="964"/>
          <w:tblHeader/>
        </w:trPr>
        <w:tc>
          <w:tcPr>
            <w:tcW w:w="1260" w:type="dxa"/>
            <w:vMerge w:val="restart"/>
            <w:shd w:val="clear" w:color="auto" w:fill="BDD7EE"/>
            <w:vAlign w:val="center"/>
            <w:hideMark/>
          </w:tcPr>
          <w:p w14:paraId="766F5EC1" w14:textId="77777777" w:rsidR="00011DE9" w:rsidRDefault="00011DE9">
            <w:pPr>
              <w:pStyle w:val="P68B1DB1-Normal77"/>
              <w:spacing w:after="0" w:line="240" w:lineRule="auto"/>
              <w:jc w:val="center"/>
              <w:rPr>
                <w:rFonts w:eastAsia="Times New Roman" w:cs="Times New Roman"/>
                <w:noProof/>
                <w:szCs w:val="20"/>
              </w:rPr>
            </w:pPr>
            <w:r>
              <w:rPr>
                <w:noProof/>
              </w:rPr>
              <w:t>Număr secvențial</w:t>
            </w:r>
          </w:p>
        </w:tc>
        <w:tc>
          <w:tcPr>
            <w:tcW w:w="1403" w:type="dxa"/>
            <w:vMerge w:val="restart"/>
            <w:shd w:val="clear" w:color="auto" w:fill="BDD7EE"/>
            <w:vAlign w:val="center"/>
            <w:hideMark/>
          </w:tcPr>
          <w:p w14:paraId="299312EB" w14:textId="77777777" w:rsidR="00011DE9" w:rsidRDefault="00011DE9">
            <w:pPr>
              <w:pStyle w:val="P68B1DB1-Normal77"/>
              <w:spacing w:after="0" w:line="240" w:lineRule="auto"/>
              <w:jc w:val="center"/>
              <w:rPr>
                <w:rFonts w:eastAsia="Times New Roman" w:cs="Times New Roman"/>
                <w:noProof/>
                <w:szCs w:val="20"/>
              </w:rPr>
            </w:pPr>
            <w:r>
              <w:rPr>
                <w:noProof/>
              </w:rPr>
              <w:t>Măsură conexă (reformă sau investiții)</w:t>
            </w:r>
          </w:p>
        </w:tc>
        <w:tc>
          <w:tcPr>
            <w:tcW w:w="1139" w:type="dxa"/>
            <w:vMerge w:val="restart"/>
            <w:shd w:val="clear" w:color="auto" w:fill="BDD7EE"/>
            <w:vAlign w:val="center"/>
            <w:hideMark/>
          </w:tcPr>
          <w:p w14:paraId="0A497E24" w14:textId="77777777" w:rsidR="00011DE9" w:rsidRDefault="00011DE9">
            <w:pPr>
              <w:pStyle w:val="P68B1DB1-Normal77"/>
              <w:spacing w:after="0" w:line="240" w:lineRule="auto"/>
              <w:jc w:val="center"/>
              <w:rPr>
                <w:rFonts w:eastAsia="Times New Roman" w:cs="Times New Roman"/>
                <w:noProof/>
                <w:szCs w:val="20"/>
              </w:rPr>
            </w:pPr>
            <w:r>
              <w:rPr>
                <w:noProof/>
              </w:rPr>
              <w:t>Etapă/Obiectiv</w:t>
            </w:r>
          </w:p>
        </w:tc>
        <w:tc>
          <w:tcPr>
            <w:tcW w:w="6087" w:type="dxa"/>
            <w:gridSpan w:val="2"/>
            <w:vMerge w:val="restart"/>
            <w:shd w:val="clear" w:color="auto" w:fill="BDD7EE"/>
            <w:vAlign w:val="center"/>
            <w:hideMark/>
          </w:tcPr>
          <w:p w14:paraId="4078EA78" w14:textId="77777777" w:rsidR="00011DE9" w:rsidRDefault="00011DE9">
            <w:pPr>
              <w:pStyle w:val="P68B1DB1-Normal77"/>
              <w:spacing w:after="0" w:line="240" w:lineRule="auto"/>
              <w:jc w:val="center"/>
              <w:rPr>
                <w:rFonts w:eastAsia="Times New Roman" w:cs="Times New Roman"/>
                <w:noProof/>
                <w:szCs w:val="20"/>
              </w:rPr>
            </w:pPr>
            <w:r>
              <w:rPr>
                <w:noProof/>
              </w:rPr>
              <w:t>Nume</w:t>
            </w:r>
          </w:p>
        </w:tc>
      </w:tr>
      <w:tr w:rsidR="00011DE9" w14:paraId="67D6B8EE" w14:textId="77777777">
        <w:trPr>
          <w:trHeight w:val="509"/>
        </w:trPr>
        <w:tc>
          <w:tcPr>
            <w:tcW w:w="1260" w:type="dxa"/>
            <w:vMerge/>
            <w:vAlign w:val="center"/>
            <w:hideMark/>
          </w:tcPr>
          <w:p w14:paraId="00B7E4FC" w14:textId="77777777" w:rsidR="00011DE9" w:rsidRDefault="00011DE9">
            <w:pPr>
              <w:spacing w:after="0" w:line="240" w:lineRule="auto"/>
              <w:rPr>
                <w:rFonts w:ascii="Times New Roman" w:eastAsia="Times New Roman" w:hAnsi="Times New Roman" w:cs="Times New Roman"/>
                <w:b/>
                <w:noProof/>
                <w:sz w:val="20"/>
                <w:szCs w:val="20"/>
              </w:rPr>
            </w:pPr>
          </w:p>
        </w:tc>
        <w:tc>
          <w:tcPr>
            <w:tcW w:w="1403" w:type="dxa"/>
            <w:vMerge/>
            <w:vAlign w:val="center"/>
            <w:hideMark/>
          </w:tcPr>
          <w:p w14:paraId="29D8549D" w14:textId="77777777" w:rsidR="00011DE9" w:rsidRDefault="00011DE9">
            <w:pPr>
              <w:spacing w:after="0" w:line="240" w:lineRule="auto"/>
              <w:rPr>
                <w:rFonts w:ascii="Times New Roman" w:eastAsia="Times New Roman" w:hAnsi="Times New Roman" w:cs="Times New Roman"/>
                <w:b/>
                <w:noProof/>
                <w:sz w:val="20"/>
                <w:szCs w:val="20"/>
              </w:rPr>
            </w:pPr>
          </w:p>
        </w:tc>
        <w:tc>
          <w:tcPr>
            <w:tcW w:w="1139" w:type="dxa"/>
            <w:vMerge/>
            <w:vAlign w:val="center"/>
            <w:hideMark/>
          </w:tcPr>
          <w:p w14:paraId="6B32E64C" w14:textId="77777777" w:rsidR="00011DE9" w:rsidRDefault="00011DE9">
            <w:pPr>
              <w:spacing w:after="0" w:line="240" w:lineRule="auto"/>
              <w:rPr>
                <w:rFonts w:ascii="Times New Roman" w:eastAsia="Times New Roman" w:hAnsi="Times New Roman" w:cs="Times New Roman"/>
                <w:b/>
                <w:noProof/>
                <w:sz w:val="20"/>
                <w:szCs w:val="20"/>
              </w:rPr>
            </w:pPr>
          </w:p>
        </w:tc>
        <w:tc>
          <w:tcPr>
            <w:tcW w:w="6087" w:type="dxa"/>
            <w:gridSpan w:val="2"/>
            <w:vMerge/>
            <w:vAlign w:val="center"/>
            <w:hideMark/>
          </w:tcPr>
          <w:p w14:paraId="1AB9E018" w14:textId="77777777" w:rsidR="00011DE9" w:rsidRDefault="00011DE9">
            <w:pPr>
              <w:spacing w:after="0" w:line="240" w:lineRule="auto"/>
              <w:rPr>
                <w:rFonts w:ascii="Times New Roman" w:eastAsia="Times New Roman" w:hAnsi="Times New Roman" w:cs="Times New Roman"/>
                <w:b/>
                <w:noProof/>
                <w:sz w:val="20"/>
                <w:szCs w:val="20"/>
              </w:rPr>
            </w:pPr>
          </w:p>
        </w:tc>
      </w:tr>
      <w:tr w:rsidR="00011DE9" w14:paraId="75728563" w14:textId="77777777">
        <w:trPr>
          <w:trHeight w:val="268"/>
        </w:trPr>
        <w:tc>
          <w:tcPr>
            <w:tcW w:w="1260" w:type="dxa"/>
            <w:shd w:val="clear" w:color="auto" w:fill="C6EFCE"/>
            <w:noWrap/>
            <w:vAlign w:val="center"/>
          </w:tcPr>
          <w:p w14:paraId="338175DA" w14:textId="77777777" w:rsidR="00011DE9" w:rsidRDefault="00011DE9">
            <w:pPr>
              <w:pStyle w:val="P68B1DB1-Normal78"/>
              <w:spacing w:after="0" w:line="240" w:lineRule="auto"/>
              <w:jc w:val="center"/>
              <w:rPr>
                <w:rFonts w:eastAsia="Times New Roman" w:cs="Times New Roman"/>
                <w:noProof/>
                <w:szCs w:val="20"/>
              </w:rPr>
            </w:pPr>
            <w:r>
              <w:rPr>
                <w:noProof/>
              </w:rPr>
              <w:t>1</w:t>
            </w:r>
          </w:p>
        </w:tc>
        <w:tc>
          <w:tcPr>
            <w:tcW w:w="1403" w:type="dxa"/>
            <w:shd w:val="clear" w:color="auto" w:fill="C6EFCE"/>
            <w:noWrap/>
            <w:vAlign w:val="center"/>
          </w:tcPr>
          <w:p w14:paraId="0892FB8C" w14:textId="77777777" w:rsidR="00011DE9" w:rsidRDefault="00011DE9">
            <w:pPr>
              <w:pStyle w:val="P68B1DB1-Normal78"/>
              <w:spacing w:after="0" w:line="240" w:lineRule="auto"/>
              <w:jc w:val="center"/>
              <w:rPr>
                <w:rFonts w:eastAsia="Times New Roman" w:cs="Times New Roman"/>
                <w:noProof/>
                <w:szCs w:val="20"/>
              </w:rPr>
            </w:pPr>
            <w:r>
              <w:rPr>
                <w:noProof/>
              </w:rPr>
              <w:t>C1.R1</w:t>
            </w:r>
          </w:p>
        </w:tc>
        <w:tc>
          <w:tcPr>
            <w:tcW w:w="1139" w:type="dxa"/>
            <w:shd w:val="clear" w:color="auto" w:fill="C6EFCE"/>
            <w:noWrap/>
            <w:vAlign w:val="center"/>
          </w:tcPr>
          <w:p w14:paraId="09C8EB0D"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7BEE063E" w14:textId="77777777" w:rsidR="00011DE9" w:rsidRDefault="00011DE9">
            <w:pPr>
              <w:pStyle w:val="P68B1DB1-Normal78"/>
              <w:spacing w:after="0" w:line="240" w:lineRule="auto"/>
              <w:rPr>
                <w:rFonts w:eastAsia="Times New Roman" w:cs="Times New Roman"/>
                <w:noProof/>
                <w:szCs w:val="20"/>
              </w:rPr>
            </w:pPr>
            <w:r>
              <w:rPr>
                <w:noProof/>
              </w:rPr>
              <w:t>Ordinul TMA/178/2020 și Decretul-lege regal 23/2020</w:t>
            </w:r>
          </w:p>
        </w:tc>
      </w:tr>
      <w:tr w:rsidR="00011DE9" w14:paraId="4038CCAB" w14:textId="77777777">
        <w:trPr>
          <w:trHeight w:val="268"/>
        </w:trPr>
        <w:tc>
          <w:tcPr>
            <w:tcW w:w="1260" w:type="dxa"/>
            <w:shd w:val="clear" w:color="auto" w:fill="C6EFCE"/>
            <w:noWrap/>
            <w:vAlign w:val="center"/>
          </w:tcPr>
          <w:p w14:paraId="45741363" w14:textId="77777777" w:rsidR="00011DE9" w:rsidRDefault="00011DE9">
            <w:pPr>
              <w:pStyle w:val="P68B1DB1-Normal78"/>
              <w:spacing w:after="0" w:line="240" w:lineRule="auto"/>
              <w:jc w:val="center"/>
              <w:rPr>
                <w:rFonts w:eastAsia="Times New Roman" w:cs="Times New Roman"/>
                <w:noProof/>
                <w:szCs w:val="20"/>
              </w:rPr>
            </w:pPr>
            <w:r>
              <w:rPr>
                <w:noProof/>
              </w:rPr>
              <w:t>21</w:t>
            </w:r>
          </w:p>
        </w:tc>
        <w:tc>
          <w:tcPr>
            <w:tcW w:w="1403" w:type="dxa"/>
            <w:shd w:val="clear" w:color="auto" w:fill="C6EFCE"/>
            <w:noWrap/>
            <w:vAlign w:val="center"/>
          </w:tcPr>
          <w:p w14:paraId="11189083" w14:textId="77777777" w:rsidR="00011DE9" w:rsidRDefault="00011DE9">
            <w:pPr>
              <w:pStyle w:val="P68B1DB1-Normal78"/>
              <w:spacing w:after="0" w:line="240" w:lineRule="auto"/>
              <w:jc w:val="center"/>
              <w:rPr>
                <w:rFonts w:eastAsia="Times New Roman" w:cs="Times New Roman"/>
                <w:noProof/>
                <w:szCs w:val="20"/>
              </w:rPr>
            </w:pPr>
            <w:r>
              <w:rPr>
                <w:noProof/>
              </w:rPr>
              <w:t>C2.R1</w:t>
            </w:r>
          </w:p>
        </w:tc>
        <w:tc>
          <w:tcPr>
            <w:tcW w:w="1139" w:type="dxa"/>
            <w:shd w:val="clear" w:color="auto" w:fill="C6EFCE"/>
            <w:noWrap/>
            <w:vAlign w:val="center"/>
          </w:tcPr>
          <w:p w14:paraId="766CB95E"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4104BCD"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Agendei urbane spaniole și a Strategiei de renovare pe termen lung pentru reabilitarea energetică în sectorul construcțiilor din Spania </w:t>
            </w:r>
          </w:p>
        </w:tc>
      </w:tr>
      <w:tr w:rsidR="00011DE9" w14:paraId="174847F2" w14:textId="77777777">
        <w:trPr>
          <w:trHeight w:val="268"/>
        </w:trPr>
        <w:tc>
          <w:tcPr>
            <w:tcW w:w="1260" w:type="dxa"/>
            <w:shd w:val="clear" w:color="auto" w:fill="C6EFCE"/>
            <w:noWrap/>
            <w:vAlign w:val="center"/>
          </w:tcPr>
          <w:p w14:paraId="5E1083C0" w14:textId="77777777" w:rsidR="00011DE9" w:rsidRDefault="00011DE9">
            <w:pPr>
              <w:pStyle w:val="P68B1DB1-Normal78"/>
              <w:spacing w:after="0" w:line="240" w:lineRule="auto"/>
              <w:jc w:val="center"/>
              <w:rPr>
                <w:rFonts w:eastAsia="Times New Roman" w:cs="Times New Roman"/>
                <w:noProof/>
                <w:szCs w:val="20"/>
              </w:rPr>
            </w:pPr>
            <w:r>
              <w:rPr>
                <w:noProof/>
              </w:rPr>
              <w:t>39</w:t>
            </w:r>
          </w:p>
        </w:tc>
        <w:tc>
          <w:tcPr>
            <w:tcW w:w="1403" w:type="dxa"/>
            <w:shd w:val="clear" w:color="auto" w:fill="C6EFCE"/>
            <w:noWrap/>
            <w:vAlign w:val="center"/>
          </w:tcPr>
          <w:p w14:paraId="3A9B4F77" w14:textId="77777777" w:rsidR="00011DE9" w:rsidRDefault="00011DE9">
            <w:pPr>
              <w:pStyle w:val="P68B1DB1-Normal78"/>
              <w:spacing w:after="0" w:line="240" w:lineRule="auto"/>
              <w:jc w:val="center"/>
              <w:rPr>
                <w:rFonts w:eastAsia="Times New Roman" w:cs="Times New Roman"/>
                <w:noProof/>
                <w:szCs w:val="20"/>
              </w:rPr>
            </w:pPr>
            <w:r>
              <w:rPr>
                <w:noProof/>
              </w:rPr>
              <w:t>C3.R1</w:t>
            </w:r>
          </w:p>
        </w:tc>
        <w:tc>
          <w:tcPr>
            <w:tcW w:w="1139" w:type="dxa"/>
            <w:shd w:val="clear" w:color="auto" w:fill="C6EFCE"/>
            <w:noWrap/>
            <w:vAlign w:val="center"/>
          </w:tcPr>
          <w:p w14:paraId="73446597"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21FA3822" w14:textId="77777777" w:rsidR="00011DE9" w:rsidRDefault="00011DE9">
            <w:pPr>
              <w:pStyle w:val="P68B1DB1-Normal78"/>
              <w:spacing w:after="0" w:line="240" w:lineRule="auto"/>
              <w:rPr>
                <w:rFonts w:eastAsia="Times New Roman" w:cs="Times New Roman"/>
                <w:noProof/>
                <w:szCs w:val="20"/>
              </w:rPr>
            </w:pPr>
            <w:r>
              <w:rPr>
                <w:noProof/>
              </w:rPr>
              <w:t>Intrarea în vigoare a Decretului-lege regal nr. 5/2020 privind măsurile urgente referitoare la agricultură și sectorul alimentar și a Legii nr. 8/2020 privind modificarea Legii nr. 12/2013 privind măsurile de îmbunătățire a funcționării lanțului alimentar</w:t>
            </w:r>
          </w:p>
        </w:tc>
      </w:tr>
      <w:tr w:rsidR="00011DE9" w14:paraId="6416C92C" w14:textId="77777777">
        <w:trPr>
          <w:trHeight w:val="268"/>
        </w:trPr>
        <w:tc>
          <w:tcPr>
            <w:tcW w:w="1260" w:type="dxa"/>
            <w:shd w:val="clear" w:color="auto" w:fill="C6EFCE"/>
            <w:noWrap/>
            <w:vAlign w:val="center"/>
          </w:tcPr>
          <w:p w14:paraId="4AFCCF5A" w14:textId="77777777" w:rsidR="00011DE9" w:rsidRDefault="00011DE9">
            <w:pPr>
              <w:pStyle w:val="P68B1DB1-Normal78"/>
              <w:spacing w:after="0" w:line="240" w:lineRule="auto"/>
              <w:jc w:val="center"/>
              <w:rPr>
                <w:rFonts w:eastAsia="Times New Roman" w:cs="Times New Roman"/>
                <w:noProof/>
                <w:szCs w:val="20"/>
              </w:rPr>
            </w:pPr>
            <w:r>
              <w:rPr>
                <w:noProof/>
              </w:rPr>
              <w:t>63</w:t>
            </w:r>
          </w:p>
        </w:tc>
        <w:tc>
          <w:tcPr>
            <w:tcW w:w="1403" w:type="dxa"/>
            <w:shd w:val="clear" w:color="auto" w:fill="C6EFCE"/>
            <w:noWrap/>
            <w:vAlign w:val="center"/>
          </w:tcPr>
          <w:p w14:paraId="5FAB91A0" w14:textId="77777777" w:rsidR="00011DE9" w:rsidRDefault="00011DE9">
            <w:pPr>
              <w:pStyle w:val="P68B1DB1-Normal78"/>
              <w:spacing w:after="0" w:line="240" w:lineRule="auto"/>
              <w:jc w:val="center"/>
              <w:rPr>
                <w:rFonts w:eastAsia="Times New Roman" w:cs="Times New Roman"/>
                <w:noProof/>
                <w:szCs w:val="20"/>
              </w:rPr>
            </w:pPr>
            <w:r>
              <w:rPr>
                <w:noProof/>
              </w:rPr>
              <w:t>C4.R2</w:t>
            </w:r>
          </w:p>
        </w:tc>
        <w:tc>
          <w:tcPr>
            <w:tcW w:w="1139" w:type="dxa"/>
            <w:shd w:val="clear" w:color="auto" w:fill="C6EFCE"/>
            <w:noWrap/>
            <w:vAlign w:val="center"/>
          </w:tcPr>
          <w:p w14:paraId="53FE9079"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67F95AA1" w14:textId="77777777" w:rsidR="00011DE9" w:rsidRDefault="00011DE9">
            <w:pPr>
              <w:pStyle w:val="P68B1DB1-Normal78"/>
              <w:spacing w:after="0" w:line="240" w:lineRule="auto"/>
              <w:rPr>
                <w:rFonts w:eastAsia="Times New Roman" w:cs="Times New Roman"/>
                <w:noProof/>
                <w:szCs w:val="20"/>
              </w:rPr>
            </w:pPr>
            <w:r>
              <w:rPr>
                <w:noProof/>
              </w:rPr>
              <w:t>Adoptarea Strategiei naționale privind infrastructurile ecologice, conectivitatea și refacerea ecologică</w:t>
            </w:r>
          </w:p>
        </w:tc>
      </w:tr>
      <w:tr w:rsidR="00011DE9" w14:paraId="03C9CDC1" w14:textId="77777777">
        <w:trPr>
          <w:trHeight w:val="268"/>
        </w:trPr>
        <w:tc>
          <w:tcPr>
            <w:tcW w:w="1260" w:type="dxa"/>
            <w:shd w:val="clear" w:color="auto" w:fill="C6EFCE"/>
            <w:noWrap/>
            <w:vAlign w:val="center"/>
          </w:tcPr>
          <w:p w14:paraId="59309265" w14:textId="77777777" w:rsidR="00011DE9" w:rsidRDefault="00011DE9">
            <w:pPr>
              <w:pStyle w:val="P68B1DB1-Normal78"/>
              <w:spacing w:after="0" w:line="240" w:lineRule="auto"/>
              <w:jc w:val="center"/>
              <w:rPr>
                <w:rFonts w:eastAsia="Times New Roman" w:cs="Times New Roman"/>
                <w:noProof/>
                <w:szCs w:val="20"/>
              </w:rPr>
            </w:pPr>
            <w:r>
              <w:rPr>
                <w:noProof/>
              </w:rPr>
              <w:t>82</w:t>
            </w:r>
          </w:p>
        </w:tc>
        <w:tc>
          <w:tcPr>
            <w:tcW w:w="1403" w:type="dxa"/>
            <w:shd w:val="clear" w:color="auto" w:fill="C6EFCE"/>
            <w:noWrap/>
            <w:vAlign w:val="center"/>
          </w:tcPr>
          <w:p w14:paraId="376D1EBC" w14:textId="77777777" w:rsidR="00011DE9" w:rsidRDefault="00011DE9">
            <w:pPr>
              <w:pStyle w:val="P68B1DB1-Normal78"/>
              <w:spacing w:after="0" w:line="240" w:lineRule="auto"/>
              <w:jc w:val="center"/>
              <w:rPr>
                <w:rFonts w:eastAsia="Times New Roman" w:cs="Times New Roman"/>
                <w:noProof/>
                <w:szCs w:val="20"/>
              </w:rPr>
            </w:pPr>
            <w:r>
              <w:rPr>
                <w:noProof/>
              </w:rPr>
              <w:t>C6.R1</w:t>
            </w:r>
          </w:p>
        </w:tc>
        <w:tc>
          <w:tcPr>
            <w:tcW w:w="1139" w:type="dxa"/>
            <w:shd w:val="clear" w:color="auto" w:fill="C6EFCE"/>
            <w:noWrap/>
            <w:vAlign w:val="center"/>
          </w:tcPr>
          <w:p w14:paraId="7040D74E"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0290B058" w14:textId="77777777" w:rsidR="00011DE9" w:rsidRDefault="00011DE9">
            <w:pPr>
              <w:pStyle w:val="P68B1DB1-Normal78"/>
              <w:spacing w:after="0" w:line="240" w:lineRule="auto"/>
              <w:rPr>
                <w:rFonts w:eastAsia="Times New Roman" w:cs="Times New Roman"/>
                <w:noProof/>
                <w:szCs w:val="20"/>
              </w:rPr>
            </w:pPr>
            <w:r>
              <w:rPr>
                <w:noProof/>
              </w:rPr>
              <w:t>Strategia privind mobilitatea durabilă, sigură și conectată (consultare publică)</w:t>
            </w:r>
          </w:p>
        </w:tc>
      </w:tr>
      <w:tr w:rsidR="00011DE9" w14:paraId="18E9A0F4" w14:textId="77777777">
        <w:trPr>
          <w:trHeight w:val="268"/>
        </w:trPr>
        <w:tc>
          <w:tcPr>
            <w:tcW w:w="1260" w:type="dxa"/>
            <w:shd w:val="clear" w:color="auto" w:fill="C6EFCE"/>
            <w:noWrap/>
            <w:vAlign w:val="center"/>
          </w:tcPr>
          <w:p w14:paraId="6FE717EA" w14:textId="77777777" w:rsidR="00011DE9" w:rsidRDefault="00011DE9">
            <w:pPr>
              <w:pStyle w:val="P68B1DB1-Normal78"/>
              <w:spacing w:after="0" w:line="240" w:lineRule="auto"/>
              <w:jc w:val="center"/>
              <w:rPr>
                <w:rFonts w:eastAsia="Times New Roman" w:cs="Times New Roman"/>
                <w:noProof/>
                <w:szCs w:val="20"/>
              </w:rPr>
            </w:pPr>
            <w:r>
              <w:rPr>
                <w:noProof/>
              </w:rPr>
              <w:t>102</w:t>
            </w:r>
          </w:p>
        </w:tc>
        <w:tc>
          <w:tcPr>
            <w:tcW w:w="1403" w:type="dxa"/>
            <w:shd w:val="clear" w:color="auto" w:fill="C6EFCE"/>
            <w:noWrap/>
            <w:vAlign w:val="center"/>
          </w:tcPr>
          <w:p w14:paraId="0F8D62B0" w14:textId="77777777" w:rsidR="00011DE9" w:rsidRDefault="00011DE9">
            <w:pPr>
              <w:pStyle w:val="P68B1DB1-Normal78"/>
              <w:spacing w:after="0" w:line="240" w:lineRule="auto"/>
              <w:jc w:val="center"/>
              <w:rPr>
                <w:rFonts w:eastAsia="Times New Roman" w:cs="Times New Roman"/>
                <w:noProof/>
                <w:szCs w:val="20"/>
              </w:rPr>
            </w:pPr>
            <w:r>
              <w:rPr>
                <w:noProof/>
              </w:rPr>
              <w:t>C7.R1</w:t>
            </w:r>
          </w:p>
        </w:tc>
        <w:tc>
          <w:tcPr>
            <w:tcW w:w="1139" w:type="dxa"/>
            <w:shd w:val="clear" w:color="auto" w:fill="C6EFCE"/>
            <w:noWrap/>
            <w:vAlign w:val="center"/>
          </w:tcPr>
          <w:p w14:paraId="3E0FB9DA"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7C59B7B5" w14:textId="77777777" w:rsidR="00011DE9" w:rsidRDefault="00011DE9">
            <w:pPr>
              <w:pStyle w:val="P68B1DB1-Normal78"/>
              <w:spacing w:after="0" w:line="240" w:lineRule="auto"/>
              <w:rPr>
                <w:rFonts w:eastAsia="Times New Roman" w:cs="Times New Roman"/>
                <w:noProof/>
                <w:szCs w:val="20"/>
              </w:rPr>
            </w:pPr>
            <w:r>
              <w:rPr>
                <w:noProof/>
              </w:rPr>
              <w:t>Intrarea în vigoare a Decretului-lege regal 23/2020 (măsuri în domeniul energiei)</w:t>
            </w:r>
          </w:p>
        </w:tc>
      </w:tr>
      <w:tr w:rsidR="00011DE9" w14:paraId="298815B5" w14:textId="77777777">
        <w:trPr>
          <w:trHeight w:val="268"/>
        </w:trPr>
        <w:tc>
          <w:tcPr>
            <w:tcW w:w="1260" w:type="dxa"/>
            <w:shd w:val="clear" w:color="auto" w:fill="C6EFCE"/>
            <w:noWrap/>
            <w:vAlign w:val="center"/>
          </w:tcPr>
          <w:p w14:paraId="55D07067" w14:textId="77777777" w:rsidR="00011DE9" w:rsidRDefault="00011DE9">
            <w:pPr>
              <w:pStyle w:val="P68B1DB1-Normal78"/>
              <w:spacing w:after="0" w:line="240" w:lineRule="auto"/>
              <w:jc w:val="center"/>
              <w:rPr>
                <w:rFonts w:eastAsia="Times New Roman" w:cs="Times New Roman"/>
                <w:noProof/>
                <w:szCs w:val="20"/>
              </w:rPr>
            </w:pPr>
            <w:r>
              <w:rPr>
                <w:noProof/>
              </w:rPr>
              <w:t>103</w:t>
            </w:r>
          </w:p>
        </w:tc>
        <w:tc>
          <w:tcPr>
            <w:tcW w:w="1403" w:type="dxa"/>
            <w:shd w:val="clear" w:color="auto" w:fill="C6EFCE"/>
            <w:noWrap/>
            <w:vAlign w:val="center"/>
          </w:tcPr>
          <w:p w14:paraId="38750F5D" w14:textId="77777777" w:rsidR="00011DE9" w:rsidRDefault="00011DE9">
            <w:pPr>
              <w:pStyle w:val="P68B1DB1-Normal78"/>
              <w:spacing w:after="0" w:line="240" w:lineRule="auto"/>
              <w:jc w:val="center"/>
              <w:rPr>
                <w:rFonts w:eastAsia="Times New Roman" w:cs="Times New Roman"/>
                <w:noProof/>
                <w:szCs w:val="20"/>
              </w:rPr>
            </w:pPr>
            <w:r>
              <w:rPr>
                <w:noProof/>
              </w:rPr>
              <w:t>C7.R1</w:t>
            </w:r>
          </w:p>
        </w:tc>
        <w:tc>
          <w:tcPr>
            <w:tcW w:w="1139" w:type="dxa"/>
            <w:shd w:val="clear" w:color="auto" w:fill="C6EFCE"/>
            <w:noWrap/>
            <w:vAlign w:val="center"/>
          </w:tcPr>
          <w:p w14:paraId="7DDB247E"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5B140170" w14:textId="77777777" w:rsidR="00011DE9" w:rsidRDefault="00011DE9">
            <w:pPr>
              <w:pStyle w:val="P68B1DB1-Normal78"/>
              <w:spacing w:after="0" w:line="240" w:lineRule="auto"/>
              <w:rPr>
                <w:rFonts w:eastAsia="Times New Roman" w:cs="Times New Roman"/>
                <w:noProof/>
                <w:szCs w:val="20"/>
              </w:rPr>
            </w:pPr>
            <w:r>
              <w:rPr>
                <w:noProof/>
              </w:rPr>
              <w:t>Intrarea în vigoare a Decretului regal 960/2020 (regimul economic pentru energia din surse regenerabile)</w:t>
            </w:r>
          </w:p>
        </w:tc>
      </w:tr>
      <w:tr w:rsidR="00011DE9" w14:paraId="5AEA054A" w14:textId="77777777">
        <w:trPr>
          <w:trHeight w:val="268"/>
        </w:trPr>
        <w:tc>
          <w:tcPr>
            <w:tcW w:w="1260" w:type="dxa"/>
            <w:shd w:val="clear" w:color="auto" w:fill="C6EFCE"/>
            <w:noWrap/>
            <w:vAlign w:val="center"/>
          </w:tcPr>
          <w:p w14:paraId="64B5896F" w14:textId="77777777" w:rsidR="00011DE9" w:rsidRDefault="00011DE9">
            <w:pPr>
              <w:pStyle w:val="P68B1DB1-Normal78"/>
              <w:spacing w:after="0" w:line="240" w:lineRule="auto"/>
              <w:jc w:val="center"/>
              <w:rPr>
                <w:rFonts w:eastAsia="Times New Roman" w:cs="Times New Roman"/>
                <w:noProof/>
                <w:szCs w:val="20"/>
              </w:rPr>
            </w:pPr>
            <w:r>
              <w:rPr>
                <w:noProof/>
              </w:rPr>
              <w:t>104</w:t>
            </w:r>
          </w:p>
        </w:tc>
        <w:tc>
          <w:tcPr>
            <w:tcW w:w="1403" w:type="dxa"/>
            <w:shd w:val="clear" w:color="auto" w:fill="C6EFCE"/>
            <w:noWrap/>
            <w:vAlign w:val="center"/>
          </w:tcPr>
          <w:p w14:paraId="23664882" w14:textId="77777777" w:rsidR="00011DE9" w:rsidRDefault="00011DE9">
            <w:pPr>
              <w:pStyle w:val="P68B1DB1-Normal78"/>
              <w:spacing w:after="0" w:line="240" w:lineRule="auto"/>
              <w:jc w:val="center"/>
              <w:rPr>
                <w:rFonts w:eastAsia="Times New Roman" w:cs="Times New Roman"/>
                <w:noProof/>
                <w:szCs w:val="20"/>
              </w:rPr>
            </w:pPr>
            <w:r>
              <w:rPr>
                <w:noProof/>
              </w:rPr>
              <w:t>C7.R1</w:t>
            </w:r>
          </w:p>
        </w:tc>
        <w:tc>
          <w:tcPr>
            <w:tcW w:w="1139" w:type="dxa"/>
            <w:shd w:val="clear" w:color="auto" w:fill="C6EFCE"/>
            <w:noWrap/>
            <w:vAlign w:val="center"/>
          </w:tcPr>
          <w:p w14:paraId="25F86D42"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6844223" w14:textId="77777777" w:rsidR="00011DE9" w:rsidRDefault="00011DE9">
            <w:pPr>
              <w:pStyle w:val="P68B1DB1-Normal78"/>
              <w:spacing w:after="0" w:line="240" w:lineRule="auto"/>
              <w:rPr>
                <w:rFonts w:eastAsia="Times New Roman" w:cs="Times New Roman"/>
                <w:noProof/>
                <w:szCs w:val="20"/>
              </w:rPr>
            </w:pPr>
            <w:r>
              <w:rPr>
                <w:noProof/>
              </w:rPr>
              <w:t>Intrarea în vigoare a Decretului regal 1183/2020 (racordarea surselor regenerabile de energie la rețeaua electrică)</w:t>
            </w:r>
          </w:p>
        </w:tc>
      </w:tr>
      <w:tr w:rsidR="00011DE9" w14:paraId="097F2807" w14:textId="77777777">
        <w:trPr>
          <w:trHeight w:val="268"/>
        </w:trPr>
        <w:tc>
          <w:tcPr>
            <w:tcW w:w="1260" w:type="dxa"/>
            <w:shd w:val="clear" w:color="auto" w:fill="C6EFCE"/>
            <w:noWrap/>
            <w:vAlign w:val="center"/>
          </w:tcPr>
          <w:p w14:paraId="5ED9DA26" w14:textId="77777777" w:rsidR="00011DE9" w:rsidRDefault="00011DE9">
            <w:pPr>
              <w:pStyle w:val="P68B1DB1-Normal78"/>
              <w:spacing w:after="0" w:line="240" w:lineRule="auto"/>
              <w:jc w:val="center"/>
              <w:rPr>
                <w:rFonts w:eastAsia="Times New Roman" w:cs="Times New Roman"/>
                <w:noProof/>
                <w:szCs w:val="20"/>
              </w:rPr>
            </w:pPr>
            <w:r>
              <w:rPr>
                <w:noProof/>
              </w:rPr>
              <w:t>105</w:t>
            </w:r>
          </w:p>
        </w:tc>
        <w:tc>
          <w:tcPr>
            <w:tcW w:w="1403" w:type="dxa"/>
            <w:shd w:val="clear" w:color="auto" w:fill="C6EFCE"/>
            <w:noWrap/>
            <w:vAlign w:val="center"/>
          </w:tcPr>
          <w:p w14:paraId="6692BDB7" w14:textId="77777777" w:rsidR="00011DE9" w:rsidRDefault="00011DE9">
            <w:pPr>
              <w:pStyle w:val="P68B1DB1-Normal78"/>
              <w:spacing w:after="0" w:line="240" w:lineRule="auto"/>
              <w:jc w:val="center"/>
              <w:rPr>
                <w:rFonts w:eastAsia="Times New Roman" w:cs="Times New Roman"/>
                <w:noProof/>
                <w:szCs w:val="20"/>
              </w:rPr>
            </w:pPr>
            <w:r>
              <w:rPr>
                <w:noProof/>
              </w:rPr>
              <w:t>C7.R1</w:t>
            </w:r>
          </w:p>
        </w:tc>
        <w:tc>
          <w:tcPr>
            <w:tcW w:w="1139" w:type="dxa"/>
            <w:shd w:val="clear" w:color="auto" w:fill="C6EFCE"/>
            <w:noWrap/>
            <w:vAlign w:val="center"/>
          </w:tcPr>
          <w:p w14:paraId="2685147C"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5A6FAE50"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Legii privind schimbările climatice și tranziția energetică </w:t>
            </w:r>
          </w:p>
        </w:tc>
      </w:tr>
      <w:tr w:rsidR="00011DE9" w14:paraId="305790E2" w14:textId="77777777">
        <w:trPr>
          <w:trHeight w:val="268"/>
        </w:trPr>
        <w:tc>
          <w:tcPr>
            <w:tcW w:w="1260" w:type="dxa"/>
            <w:shd w:val="clear" w:color="auto" w:fill="C6EFCE"/>
            <w:noWrap/>
            <w:vAlign w:val="center"/>
          </w:tcPr>
          <w:p w14:paraId="6E2F5CC5" w14:textId="77777777" w:rsidR="00011DE9" w:rsidRDefault="00011DE9">
            <w:pPr>
              <w:pStyle w:val="P68B1DB1-Normal78"/>
              <w:spacing w:after="0" w:line="240" w:lineRule="auto"/>
              <w:jc w:val="center"/>
              <w:rPr>
                <w:rFonts w:eastAsia="Times New Roman" w:cs="Times New Roman"/>
                <w:noProof/>
                <w:szCs w:val="20"/>
              </w:rPr>
            </w:pPr>
            <w:r>
              <w:rPr>
                <w:noProof/>
              </w:rPr>
              <w:t>121</w:t>
            </w:r>
          </w:p>
        </w:tc>
        <w:tc>
          <w:tcPr>
            <w:tcW w:w="1403" w:type="dxa"/>
            <w:shd w:val="clear" w:color="auto" w:fill="C6EFCE"/>
            <w:noWrap/>
            <w:vAlign w:val="center"/>
          </w:tcPr>
          <w:p w14:paraId="2A06F5AB" w14:textId="77777777" w:rsidR="00011DE9" w:rsidRDefault="00011DE9">
            <w:pPr>
              <w:pStyle w:val="P68B1DB1-Normal78"/>
              <w:spacing w:after="0" w:line="240" w:lineRule="auto"/>
              <w:jc w:val="center"/>
              <w:rPr>
                <w:rFonts w:eastAsia="Times New Roman" w:cs="Times New Roman"/>
                <w:noProof/>
                <w:szCs w:val="20"/>
              </w:rPr>
            </w:pPr>
            <w:r>
              <w:rPr>
                <w:noProof/>
              </w:rPr>
              <w:t>C8.R1</w:t>
            </w:r>
          </w:p>
        </w:tc>
        <w:tc>
          <w:tcPr>
            <w:tcW w:w="1139" w:type="dxa"/>
            <w:shd w:val="clear" w:color="auto" w:fill="C6EFCE"/>
            <w:noWrap/>
            <w:vAlign w:val="center"/>
          </w:tcPr>
          <w:p w14:paraId="680B5D96"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171233BD" w14:textId="77777777" w:rsidR="00011DE9" w:rsidRDefault="00011DE9">
            <w:pPr>
              <w:pStyle w:val="P68B1DB1-Normal78"/>
              <w:spacing w:after="0" w:line="240" w:lineRule="auto"/>
              <w:rPr>
                <w:rFonts w:eastAsia="Times New Roman" w:cs="Times New Roman"/>
                <w:noProof/>
                <w:szCs w:val="20"/>
              </w:rPr>
            </w:pPr>
            <w:r>
              <w:rPr>
                <w:noProof/>
              </w:rPr>
              <w:t>Aprobarea strategiei de decarbonizare pe termen lung („ELP2050”).</w:t>
            </w:r>
          </w:p>
        </w:tc>
      </w:tr>
      <w:tr w:rsidR="00011DE9" w14:paraId="5ED82378" w14:textId="77777777">
        <w:trPr>
          <w:trHeight w:val="268"/>
        </w:trPr>
        <w:tc>
          <w:tcPr>
            <w:tcW w:w="1260" w:type="dxa"/>
            <w:shd w:val="clear" w:color="auto" w:fill="C6EFCE"/>
            <w:noWrap/>
            <w:vAlign w:val="center"/>
          </w:tcPr>
          <w:p w14:paraId="2A5E02EC" w14:textId="77777777" w:rsidR="00011DE9" w:rsidRDefault="00011DE9">
            <w:pPr>
              <w:pStyle w:val="P68B1DB1-Normal78"/>
              <w:spacing w:after="0" w:line="240" w:lineRule="auto"/>
              <w:jc w:val="center"/>
              <w:rPr>
                <w:rFonts w:eastAsia="Times New Roman" w:cs="Times New Roman"/>
                <w:noProof/>
                <w:szCs w:val="20"/>
              </w:rPr>
            </w:pPr>
            <w:r>
              <w:rPr>
                <w:noProof/>
              </w:rPr>
              <w:t>122</w:t>
            </w:r>
          </w:p>
        </w:tc>
        <w:tc>
          <w:tcPr>
            <w:tcW w:w="1403" w:type="dxa"/>
            <w:shd w:val="clear" w:color="auto" w:fill="C6EFCE"/>
            <w:noWrap/>
            <w:vAlign w:val="center"/>
          </w:tcPr>
          <w:p w14:paraId="73A2E2E2" w14:textId="77777777" w:rsidR="00011DE9" w:rsidRDefault="00011DE9">
            <w:pPr>
              <w:pStyle w:val="P68B1DB1-Normal78"/>
              <w:spacing w:after="0" w:line="240" w:lineRule="auto"/>
              <w:jc w:val="center"/>
              <w:rPr>
                <w:rFonts w:eastAsia="Times New Roman" w:cs="Times New Roman"/>
                <w:noProof/>
                <w:szCs w:val="20"/>
              </w:rPr>
            </w:pPr>
            <w:r>
              <w:rPr>
                <w:noProof/>
              </w:rPr>
              <w:t>C8.R2</w:t>
            </w:r>
          </w:p>
        </w:tc>
        <w:tc>
          <w:tcPr>
            <w:tcW w:w="1139" w:type="dxa"/>
            <w:shd w:val="clear" w:color="auto" w:fill="C6EFCE"/>
            <w:noWrap/>
            <w:vAlign w:val="center"/>
          </w:tcPr>
          <w:p w14:paraId="4AE6FF6C"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1AE1ADE0" w14:textId="77777777" w:rsidR="00011DE9" w:rsidRDefault="00011DE9">
            <w:pPr>
              <w:pStyle w:val="P68B1DB1-Normal78"/>
              <w:spacing w:after="0" w:line="240" w:lineRule="auto"/>
              <w:rPr>
                <w:rFonts w:eastAsia="Times New Roman" w:cs="Times New Roman"/>
                <w:noProof/>
                <w:szCs w:val="20"/>
              </w:rPr>
            </w:pPr>
            <w:r>
              <w:rPr>
                <w:noProof/>
              </w:rPr>
              <w:t>Intrarea în vigoare a reformelor de planificare, legislative și de reglementare pentru a promova dezvoltarea soluțiilor de stocare a energiei.</w:t>
            </w:r>
          </w:p>
        </w:tc>
      </w:tr>
      <w:tr w:rsidR="00011DE9" w14:paraId="3B7D49CF" w14:textId="77777777">
        <w:trPr>
          <w:trHeight w:val="268"/>
        </w:trPr>
        <w:tc>
          <w:tcPr>
            <w:tcW w:w="1260" w:type="dxa"/>
            <w:shd w:val="clear" w:color="auto" w:fill="C6EFCE"/>
            <w:noWrap/>
            <w:vAlign w:val="center"/>
          </w:tcPr>
          <w:p w14:paraId="24D59C2B" w14:textId="77777777" w:rsidR="00011DE9" w:rsidRDefault="00011DE9">
            <w:pPr>
              <w:pStyle w:val="P68B1DB1-Normal78"/>
              <w:spacing w:after="0" w:line="240" w:lineRule="auto"/>
              <w:jc w:val="center"/>
              <w:rPr>
                <w:rFonts w:eastAsia="Times New Roman" w:cs="Times New Roman"/>
                <w:noProof/>
                <w:szCs w:val="20"/>
              </w:rPr>
            </w:pPr>
            <w:r>
              <w:rPr>
                <w:noProof/>
              </w:rPr>
              <w:t>129</w:t>
            </w:r>
          </w:p>
        </w:tc>
        <w:tc>
          <w:tcPr>
            <w:tcW w:w="1403" w:type="dxa"/>
            <w:shd w:val="clear" w:color="auto" w:fill="C6EFCE"/>
            <w:noWrap/>
            <w:vAlign w:val="center"/>
          </w:tcPr>
          <w:p w14:paraId="31D4F4D7" w14:textId="77777777" w:rsidR="00011DE9" w:rsidRDefault="00011DE9">
            <w:pPr>
              <w:pStyle w:val="P68B1DB1-Normal78"/>
              <w:spacing w:after="0" w:line="240" w:lineRule="auto"/>
              <w:jc w:val="center"/>
              <w:rPr>
                <w:rFonts w:eastAsia="Times New Roman" w:cs="Times New Roman"/>
                <w:noProof/>
                <w:szCs w:val="20"/>
              </w:rPr>
            </w:pPr>
            <w:r>
              <w:rPr>
                <w:noProof/>
              </w:rPr>
              <w:t>C9.R1</w:t>
            </w:r>
          </w:p>
        </w:tc>
        <w:tc>
          <w:tcPr>
            <w:tcW w:w="1139" w:type="dxa"/>
            <w:shd w:val="clear" w:color="auto" w:fill="C6EFCE"/>
            <w:noWrap/>
            <w:vAlign w:val="center"/>
          </w:tcPr>
          <w:p w14:paraId="51C1A011"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0C267C5A" w14:textId="77777777" w:rsidR="00011DE9" w:rsidRDefault="00011DE9">
            <w:pPr>
              <w:pStyle w:val="P68B1DB1-Normal78"/>
              <w:spacing w:after="0" w:line="240" w:lineRule="auto"/>
              <w:rPr>
                <w:rFonts w:eastAsia="Times New Roman" w:cs="Times New Roman"/>
                <w:noProof/>
                <w:szCs w:val="20"/>
              </w:rPr>
            </w:pPr>
            <w:r>
              <w:rPr>
                <w:noProof/>
              </w:rPr>
              <w:t xml:space="preserve">Foaie de parcurs privind hidrogenul </w:t>
            </w:r>
          </w:p>
        </w:tc>
      </w:tr>
      <w:tr w:rsidR="00011DE9" w14:paraId="73188AB5" w14:textId="77777777">
        <w:trPr>
          <w:trHeight w:val="268"/>
        </w:trPr>
        <w:tc>
          <w:tcPr>
            <w:tcW w:w="1260" w:type="dxa"/>
            <w:shd w:val="clear" w:color="auto" w:fill="C6EFCE"/>
            <w:noWrap/>
            <w:vAlign w:val="center"/>
          </w:tcPr>
          <w:p w14:paraId="50855E1E" w14:textId="77777777" w:rsidR="00011DE9" w:rsidRDefault="00011DE9">
            <w:pPr>
              <w:pStyle w:val="P68B1DB1-Normal78"/>
              <w:spacing w:after="0" w:line="240" w:lineRule="auto"/>
              <w:jc w:val="center"/>
              <w:rPr>
                <w:rFonts w:eastAsia="Times New Roman" w:cs="Times New Roman"/>
                <w:noProof/>
                <w:szCs w:val="20"/>
              </w:rPr>
            </w:pPr>
            <w:r>
              <w:rPr>
                <w:noProof/>
              </w:rPr>
              <w:t>137</w:t>
            </w:r>
          </w:p>
        </w:tc>
        <w:tc>
          <w:tcPr>
            <w:tcW w:w="1403" w:type="dxa"/>
            <w:shd w:val="clear" w:color="auto" w:fill="C6EFCE"/>
            <w:noWrap/>
            <w:vAlign w:val="center"/>
          </w:tcPr>
          <w:p w14:paraId="27788F86" w14:textId="77777777" w:rsidR="00011DE9" w:rsidRDefault="00011DE9">
            <w:pPr>
              <w:pStyle w:val="P68B1DB1-Normal78"/>
              <w:spacing w:after="0" w:line="240" w:lineRule="auto"/>
              <w:jc w:val="center"/>
              <w:rPr>
                <w:rFonts w:eastAsia="Times New Roman" w:cs="Times New Roman"/>
                <w:noProof/>
                <w:szCs w:val="20"/>
              </w:rPr>
            </w:pPr>
            <w:r>
              <w:rPr>
                <w:noProof/>
              </w:rPr>
              <w:t>C10.R1</w:t>
            </w:r>
          </w:p>
        </w:tc>
        <w:tc>
          <w:tcPr>
            <w:tcW w:w="1139" w:type="dxa"/>
            <w:shd w:val="clear" w:color="auto" w:fill="C6EFCE"/>
            <w:noWrap/>
            <w:vAlign w:val="center"/>
          </w:tcPr>
          <w:p w14:paraId="5726CD5D"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06A13FC8" w14:textId="77777777" w:rsidR="00011DE9" w:rsidRDefault="00011DE9">
            <w:pPr>
              <w:pStyle w:val="P68B1DB1-Normal78"/>
              <w:spacing w:after="0" w:line="240" w:lineRule="auto"/>
              <w:rPr>
                <w:rFonts w:eastAsia="Times New Roman" w:cs="Times New Roman"/>
                <w:noProof/>
                <w:szCs w:val="20"/>
              </w:rPr>
            </w:pPr>
            <w:r>
              <w:rPr>
                <w:noProof/>
              </w:rPr>
              <w:t xml:space="preserve">Crearea Institutului pentru Fondul pentru o tranziție justă </w:t>
            </w:r>
          </w:p>
        </w:tc>
      </w:tr>
      <w:tr w:rsidR="00011DE9" w14:paraId="330C5434" w14:textId="77777777">
        <w:trPr>
          <w:trHeight w:val="268"/>
        </w:trPr>
        <w:tc>
          <w:tcPr>
            <w:tcW w:w="1260" w:type="dxa"/>
            <w:shd w:val="clear" w:color="auto" w:fill="C6EFCE"/>
            <w:noWrap/>
            <w:vAlign w:val="center"/>
          </w:tcPr>
          <w:p w14:paraId="0F8E44A8" w14:textId="77777777" w:rsidR="00011DE9" w:rsidRDefault="00011DE9">
            <w:pPr>
              <w:pStyle w:val="P68B1DB1-Normal78"/>
              <w:spacing w:after="0" w:line="240" w:lineRule="auto"/>
              <w:jc w:val="center"/>
              <w:rPr>
                <w:rFonts w:eastAsia="Times New Roman" w:cs="Times New Roman"/>
                <w:noProof/>
                <w:szCs w:val="20"/>
              </w:rPr>
            </w:pPr>
            <w:r>
              <w:rPr>
                <w:noProof/>
              </w:rPr>
              <w:t>144</w:t>
            </w:r>
          </w:p>
        </w:tc>
        <w:tc>
          <w:tcPr>
            <w:tcW w:w="1403" w:type="dxa"/>
            <w:shd w:val="clear" w:color="auto" w:fill="C6EFCE"/>
            <w:noWrap/>
            <w:vAlign w:val="center"/>
          </w:tcPr>
          <w:p w14:paraId="5FECA118" w14:textId="77777777" w:rsidR="00011DE9" w:rsidRDefault="00011DE9">
            <w:pPr>
              <w:pStyle w:val="P68B1DB1-Normal78"/>
              <w:spacing w:after="0" w:line="240" w:lineRule="auto"/>
              <w:jc w:val="center"/>
              <w:rPr>
                <w:rFonts w:eastAsia="Times New Roman" w:cs="Times New Roman"/>
                <w:noProof/>
                <w:szCs w:val="20"/>
              </w:rPr>
            </w:pPr>
            <w:r>
              <w:rPr>
                <w:noProof/>
              </w:rPr>
              <w:t>C11.R1</w:t>
            </w:r>
          </w:p>
        </w:tc>
        <w:tc>
          <w:tcPr>
            <w:tcW w:w="1139" w:type="dxa"/>
            <w:shd w:val="clear" w:color="auto" w:fill="C6EFCE"/>
            <w:noWrap/>
            <w:vAlign w:val="center"/>
          </w:tcPr>
          <w:p w14:paraId="13ECFB2D"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056C9E94" w14:textId="77777777" w:rsidR="00011DE9" w:rsidRDefault="00011DE9">
            <w:pPr>
              <w:pStyle w:val="P68B1DB1-Normal78"/>
              <w:spacing w:after="0" w:line="240" w:lineRule="auto"/>
              <w:rPr>
                <w:rFonts w:eastAsia="Times New Roman" w:cs="Times New Roman"/>
                <w:noProof/>
                <w:szCs w:val="20"/>
              </w:rPr>
            </w:pPr>
            <w:r>
              <w:rPr>
                <w:noProof/>
              </w:rPr>
              <w:t>Intrarea în vigoare a actului legislativ de reducere a ocupării temporare a forței de muncă în administrațiile publice</w:t>
            </w:r>
          </w:p>
        </w:tc>
      </w:tr>
      <w:tr w:rsidR="00011DE9" w14:paraId="17D77C00" w14:textId="77777777">
        <w:trPr>
          <w:trHeight w:val="268"/>
        </w:trPr>
        <w:tc>
          <w:tcPr>
            <w:tcW w:w="1260" w:type="dxa"/>
            <w:shd w:val="clear" w:color="auto" w:fill="C6EFCE"/>
            <w:noWrap/>
            <w:vAlign w:val="center"/>
          </w:tcPr>
          <w:p w14:paraId="7B0730D2" w14:textId="77777777" w:rsidR="00011DE9" w:rsidRDefault="00011DE9">
            <w:pPr>
              <w:pStyle w:val="P68B1DB1-Normal78"/>
              <w:spacing w:after="0" w:line="240" w:lineRule="auto"/>
              <w:jc w:val="center"/>
              <w:rPr>
                <w:rFonts w:eastAsia="Times New Roman" w:cs="Times New Roman"/>
                <w:noProof/>
                <w:szCs w:val="20"/>
              </w:rPr>
            </w:pPr>
            <w:r>
              <w:rPr>
                <w:noProof/>
              </w:rPr>
              <w:t>151</w:t>
            </w:r>
          </w:p>
        </w:tc>
        <w:tc>
          <w:tcPr>
            <w:tcW w:w="1403" w:type="dxa"/>
            <w:shd w:val="clear" w:color="auto" w:fill="C6EFCE"/>
            <w:noWrap/>
            <w:vAlign w:val="center"/>
          </w:tcPr>
          <w:p w14:paraId="5DE8D1A3" w14:textId="77777777" w:rsidR="00011DE9" w:rsidRDefault="00011DE9">
            <w:pPr>
              <w:pStyle w:val="P68B1DB1-Normal78"/>
              <w:spacing w:after="0" w:line="240" w:lineRule="auto"/>
              <w:jc w:val="center"/>
              <w:rPr>
                <w:rFonts w:eastAsia="Times New Roman" w:cs="Times New Roman"/>
                <w:noProof/>
                <w:szCs w:val="20"/>
              </w:rPr>
            </w:pPr>
            <w:r>
              <w:rPr>
                <w:noProof/>
              </w:rPr>
              <w:t>C11.R2</w:t>
            </w:r>
          </w:p>
        </w:tc>
        <w:tc>
          <w:tcPr>
            <w:tcW w:w="1139" w:type="dxa"/>
            <w:shd w:val="clear" w:color="auto" w:fill="C6EFCE"/>
            <w:noWrap/>
            <w:vAlign w:val="center"/>
          </w:tcPr>
          <w:p w14:paraId="47BF430A"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0F7BB4E5" w14:textId="77777777" w:rsidR="00011DE9" w:rsidRDefault="00011DE9">
            <w:pPr>
              <w:pStyle w:val="P68B1DB1-Normal78"/>
              <w:spacing w:after="0" w:line="240" w:lineRule="auto"/>
              <w:rPr>
                <w:rFonts w:eastAsia="Times New Roman" w:cs="Times New Roman"/>
                <w:noProof/>
                <w:szCs w:val="20"/>
              </w:rPr>
            </w:pPr>
            <w:r>
              <w:rPr>
                <w:noProof/>
              </w:rPr>
              <w:t>Intrarea în vigoare a Legii nr. 3/2020 privind măsurile procedurale și organizatorice în domeniul justiției</w:t>
            </w:r>
          </w:p>
        </w:tc>
      </w:tr>
      <w:tr w:rsidR="00011DE9" w14:paraId="26EEDD2D" w14:textId="77777777">
        <w:trPr>
          <w:trHeight w:val="268"/>
        </w:trPr>
        <w:tc>
          <w:tcPr>
            <w:tcW w:w="1260" w:type="dxa"/>
            <w:shd w:val="clear" w:color="auto" w:fill="C6EFCE"/>
            <w:noWrap/>
            <w:vAlign w:val="center"/>
          </w:tcPr>
          <w:p w14:paraId="40BCD86D" w14:textId="77777777" w:rsidR="00011DE9" w:rsidRDefault="00011DE9">
            <w:pPr>
              <w:pStyle w:val="P68B1DB1-Normal78"/>
              <w:spacing w:after="0" w:line="240" w:lineRule="auto"/>
              <w:jc w:val="center"/>
              <w:rPr>
                <w:rFonts w:eastAsia="Times New Roman" w:cs="Times New Roman"/>
                <w:noProof/>
                <w:szCs w:val="20"/>
              </w:rPr>
            </w:pPr>
            <w:r>
              <w:rPr>
                <w:noProof/>
              </w:rPr>
              <w:t>153</w:t>
            </w:r>
          </w:p>
        </w:tc>
        <w:tc>
          <w:tcPr>
            <w:tcW w:w="1403" w:type="dxa"/>
            <w:shd w:val="clear" w:color="auto" w:fill="C6EFCE"/>
            <w:noWrap/>
            <w:vAlign w:val="center"/>
          </w:tcPr>
          <w:p w14:paraId="27C7B1EE" w14:textId="77777777" w:rsidR="00011DE9" w:rsidRDefault="00011DE9">
            <w:pPr>
              <w:pStyle w:val="P68B1DB1-Normal78"/>
              <w:spacing w:after="0" w:line="240" w:lineRule="auto"/>
              <w:jc w:val="center"/>
              <w:rPr>
                <w:rFonts w:eastAsia="Times New Roman" w:cs="Times New Roman"/>
                <w:noProof/>
                <w:szCs w:val="20"/>
              </w:rPr>
            </w:pPr>
            <w:r>
              <w:rPr>
                <w:noProof/>
              </w:rPr>
              <w:t>C11.R3</w:t>
            </w:r>
          </w:p>
        </w:tc>
        <w:tc>
          <w:tcPr>
            <w:tcW w:w="1139" w:type="dxa"/>
            <w:shd w:val="clear" w:color="auto" w:fill="C6EFCE"/>
            <w:noWrap/>
            <w:vAlign w:val="center"/>
          </w:tcPr>
          <w:p w14:paraId="3301B341"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63469C81" w14:textId="77777777" w:rsidR="00011DE9" w:rsidRDefault="00011DE9">
            <w:pPr>
              <w:pStyle w:val="P68B1DB1-Normal78"/>
              <w:spacing w:after="0" w:line="240" w:lineRule="auto"/>
              <w:rPr>
                <w:rFonts w:eastAsia="Times New Roman" w:cs="Times New Roman"/>
                <w:noProof/>
                <w:szCs w:val="20"/>
              </w:rPr>
            </w:pPr>
            <w:r>
              <w:rPr>
                <w:noProof/>
              </w:rPr>
              <w:t>Intrarea în vigoare a Decretului regal nr. 937/2020 privind reglementarea Caja General de Depósitos</w:t>
            </w:r>
          </w:p>
        </w:tc>
      </w:tr>
      <w:tr w:rsidR="00011DE9" w14:paraId="009F3D90" w14:textId="77777777">
        <w:trPr>
          <w:trHeight w:val="268"/>
        </w:trPr>
        <w:tc>
          <w:tcPr>
            <w:tcW w:w="1260" w:type="dxa"/>
            <w:shd w:val="clear" w:color="auto" w:fill="C6EFCE"/>
            <w:noWrap/>
            <w:vAlign w:val="center"/>
          </w:tcPr>
          <w:p w14:paraId="34A7D8CC" w14:textId="77777777" w:rsidR="00011DE9" w:rsidRDefault="00011DE9">
            <w:pPr>
              <w:pStyle w:val="P68B1DB1-Normal78"/>
              <w:spacing w:after="0" w:line="240" w:lineRule="auto"/>
              <w:jc w:val="center"/>
              <w:rPr>
                <w:rFonts w:eastAsia="Times New Roman" w:cs="Times New Roman"/>
                <w:noProof/>
                <w:szCs w:val="20"/>
              </w:rPr>
            </w:pPr>
            <w:r>
              <w:rPr>
                <w:noProof/>
              </w:rPr>
              <w:t>154</w:t>
            </w:r>
          </w:p>
        </w:tc>
        <w:tc>
          <w:tcPr>
            <w:tcW w:w="1403" w:type="dxa"/>
            <w:shd w:val="clear" w:color="auto" w:fill="C6EFCE"/>
            <w:noWrap/>
            <w:vAlign w:val="center"/>
          </w:tcPr>
          <w:p w14:paraId="2634CE99" w14:textId="77777777" w:rsidR="00011DE9" w:rsidRDefault="00011DE9">
            <w:pPr>
              <w:pStyle w:val="P68B1DB1-Normal78"/>
              <w:spacing w:after="0" w:line="240" w:lineRule="auto"/>
              <w:jc w:val="center"/>
              <w:rPr>
                <w:rFonts w:eastAsia="Times New Roman" w:cs="Times New Roman"/>
                <w:noProof/>
                <w:szCs w:val="20"/>
              </w:rPr>
            </w:pPr>
            <w:r>
              <w:rPr>
                <w:noProof/>
              </w:rPr>
              <w:t>C11.R3</w:t>
            </w:r>
          </w:p>
        </w:tc>
        <w:tc>
          <w:tcPr>
            <w:tcW w:w="1139" w:type="dxa"/>
            <w:shd w:val="clear" w:color="auto" w:fill="C6EFCE"/>
            <w:noWrap/>
            <w:vAlign w:val="center"/>
          </w:tcPr>
          <w:p w14:paraId="52E677CE"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6E8F0AD3" w14:textId="77777777" w:rsidR="00011DE9" w:rsidRDefault="00011DE9">
            <w:pPr>
              <w:pStyle w:val="P68B1DB1-Normal78"/>
              <w:spacing w:after="0" w:line="240" w:lineRule="auto"/>
              <w:rPr>
                <w:rFonts w:eastAsia="Times New Roman" w:cs="Times New Roman"/>
                <w:noProof/>
                <w:szCs w:val="20"/>
              </w:rPr>
            </w:pPr>
            <w:r>
              <w:rPr>
                <w:noProof/>
              </w:rPr>
              <w:t>Intrarea în vigoare a Decretului regal de aprobare a Regulamentului de punere în aplicare a Legii nr. 22/2015 din 20 iulie privind auditul conturilor</w:t>
            </w:r>
          </w:p>
        </w:tc>
      </w:tr>
      <w:tr w:rsidR="00011DE9" w14:paraId="7FAEDE65" w14:textId="77777777">
        <w:trPr>
          <w:trHeight w:val="268"/>
        </w:trPr>
        <w:tc>
          <w:tcPr>
            <w:tcW w:w="1260" w:type="dxa"/>
            <w:shd w:val="clear" w:color="auto" w:fill="C6EFCE"/>
            <w:noWrap/>
            <w:vAlign w:val="center"/>
          </w:tcPr>
          <w:p w14:paraId="780968FE" w14:textId="77777777" w:rsidR="00011DE9" w:rsidRDefault="00011DE9">
            <w:pPr>
              <w:pStyle w:val="P68B1DB1-Normal78"/>
              <w:spacing w:after="0" w:line="240" w:lineRule="auto"/>
              <w:jc w:val="center"/>
              <w:rPr>
                <w:rFonts w:eastAsia="Times New Roman" w:cs="Times New Roman"/>
                <w:noProof/>
                <w:szCs w:val="20"/>
              </w:rPr>
            </w:pPr>
            <w:r>
              <w:rPr>
                <w:noProof/>
              </w:rPr>
              <w:t>157</w:t>
            </w:r>
          </w:p>
        </w:tc>
        <w:tc>
          <w:tcPr>
            <w:tcW w:w="1403" w:type="dxa"/>
            <w:shd w:val="clear" w:color="auto" w:fill="C6EFCE"/>
            <w:noWrap/>
            <w:vAlign w:val="center"/>
          </w:tcPr>
          <w:p w14:paraId="1C0DD482" w14:textId="77777777" w:rsidR="00011DE9" w:rsidRDefault="00011DE9">
            <w:pPr>
              <w:pStyle w:val="P68B1DB1-Normal78"/>
              <w:spacing w:after="0" w:line="240" w:lineRule="auto"/>
              <w:jc w:val="center"/>
              <w:rPr>
                <w:rFonts w:eastAsia="Times New Roman" w:cs="Times New Roman"/>
                <w:noProof/>
                <w:szCs w:val="20"/>
              </w:rPr>
            </w:pPr>
            <w:r>
              <w:rPr>
                <w:noProof/>
              </w:rPr>
              <w:t>C11.R5</w:t>
            </w:r>
          </w:p>
        </w:tc>
        <w:tc>
          <w:tcPr>
            <w:tcW w:w="1139" w:type="dxa"/>
            <w:shd w:val="clear" w:color="auto" w:fill="C6EFCE"/>
            <w:noWrap/>
            <w:vAlign w:val="center"/>
          </w:tcPr>
          <w:p w14:paraId="599E4462"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27B2568B" w14:textId="77777777" w:rsidR="00011DE9" w:rsidRDefault="00011DE9">
            <w:pPr>
              <w:pStyle w:val="P68B1DB1-Normal78"/>
              <w:spacing w:after="0" w:line="240" w:lineRule="auto"/>
              <w:rPr>
                <w:rFonts w:eastAsia="Times New Roman" w:cs="Times New Roman"/>
                <w:noProof/>
                <w:szCs w:val="20"/>
              </w:rPr>
            </w:pPr>
            <w:r>
              <w:rPr>
                <w:noProof/>
              </w:rPr>
              <w:t>Intrarea în vigoare a Decretului-lege regal nr. 36/2020 privind punerea în aplicare a planului de redresare, transformare și reziliență</w:t>
            </w:r>
          </w:p>
        </w:tc>
      </w:tr>
      <w:tr w:rsidR="00011DE9" w14:paraId="5449B5EA" w14:textId="77777777">
        <w:trPr>
          <w:trHeight w:val="613"/>
        </w:trPr>
        <w:tc>
          <w:tcPr>
            <w:tcW w:w="1260" w:type="dxa"/>
            <w:shd w:val="clear" w:color="auto" w:fill="C6EFCE"/>
            <w:noWrap/>
            <w:vAlign w:val="center"/>
          </w:tcPr>
          <w:p w14:paraId="7296C8F7" w14:textId="77777777" w:rsidR="00011DE9" w:rsidRDefault="00011DE9">
            <w:pPr>
              <w:pStyle w:val="P68B1DB1-Normal78"/>
              <w:spacing w:after="0" w:line="240" w:lineRule="auto"/>
              <w:jc w:val="center"/>
              <w:rPr>
                <w:rFonts w:eastAsia="Times New Roman" w:cs="Times New Roman"/>
                <w:noProof/>
                <w:szCs w:val="20"/>
              </w:rPr>
            </w:pPr>
            <w:r>
              <w:rPr>
                <w:noProof/>
              </w:rPr>
              <w:t>158</w:t>
            </w:r>
          </w:p>
        </w:tc>
        <w:tc>
          <w:tcPr>
            <w:tcW w:w="1403" w:type="dxa"/>
            <w:shd w:val="clear" w:color="auto" w:fill="C6EFCE"/>
            <w:noWrap/>
            <w:vAlign w:val="center"/>
          </w:tcPr>
          <w:p w14:paraId="1DA8AABD" w14:textId="77777777" w:rsidR="00011DE9" w:rsidRDefault="00011DE9">
            <w:pPr>
              <w:pStyle w:val="P68B1DB1-Normal78"/>
              <w:spacing w:after="0" w:line="240" w:lineRule="auto"/>
              <w:jc w:val="center"/>
              <w:rPr>
                <w:rFonts w:eastAsia="Times New Roman" w:cs="Times New Roman"/>
                <w:noProof/>
                <w:szCs w:val="20"/>
              </w:rPr>
            </w:pPr>
            <w:r>
              <w:rPr>
                <w:noProof/>
              </w:rPr>
              <w:t>C11.R5</w:t>
            </w:r>
          </w:p>
        </w:tc>
        <w:tc>
          <w:tcPr>
            <w:tcW w:w="1139" w:type="dxa"/>
            <w:shd w:val="clear" w:color="auto" w:fill="C6EFCE"/>
            <w:noWrap/>
            <w:vAlign w:val="center"/>
          </w:tcPr>
          <w:p w14:paraId="6AAAC3A3"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34204026" w14:textId="77777777" w:rsidR="00011DE9" w:rsidRDefault="00011DE9">
            <w:pPr>
              <w:pStyle w:val="P68B1DB1-Normal78"/>
              <w:spacing w:after="0" w:line="240" w:lineRule="auto"/>
              <w:rPr>
                <w:rFonts w:eastAsia="Times New Roman" w:cs="Times New Roman"/>
                <w:noProof/>
                <w:szCs w:val="20"/>
              </w:rPr>
            </w:pPr>
            <w:r>
              <w:rPr>
                <w:noProof/>
              </w:rPr>
              <w:t>Crearea de noi organisme în cadrul administrației centrale pentru a monitoriza punerea în aplicare, controlul și auditul planului.</w:t>
            </w:r>
          </w:p>
        </w:tc>
      </w:tr>
      <w:tr w:rsidR="00011DE9" w14:paraId="6288DDF7" w14:textId="77777777">
        <w:trPr>
          <w:gridAfter w:val="1"/>
          <w:wAfter w:w="13" w:type="dxa"/>
          <w:trHeight w:val="302"/>
        </w:trPr>
        <w:tc>
          <w:tcPr>
            <w:tcW w:w="1260" w:type="dxa"/>
            <w:shd w:val="clear" w:color="auto" w:fill="C6EFCE"/>
            <w:noWrap/>
            <w:vAlign w:val="bottom"/>
          </w:tcPr>
          <w:p w14:paraId="2AD4B01F" w14:textId="77777777" w:rsidR="00011DE9" w:rsidRDefault="00011DE9">
            <w:pPr>
              <w:pStyle w:val="P68B1DB1-Normal78"/>
              <w:spacing w:after="0" w:line="240" w:lineRule="auto"/>
              <w:jc w:val="center"/>
              <w:rPr>
                <w:rFonts w:eastAsia="Times New Roman" w:cs="Times New Roman"/>
                <w:noProof/>
                <w:szCs w:val="20"/>
              </w:rPr>
            </w:pPr>
            <w:r>
              <w:rPr>
                <w:noProof/>
              </w:rPr>
              <w:t>159</w:t>
            </w:r>
          </w:p>
        </w:tc>
        <w:tc>
          <w:tcPr>
            <w:tcW w:w="1403" w:type="dxa"/>
            <w:shd w:val="clear" w:color="auto" w:fill="C6EFCE"/>
            <w:noWrap/>
            <w:vAlign w:val="bottom"/>
          </w:tcPr>
          <w:p w14:paraId="3C754E22" w14:textId="77777777" w:rsidR="00011DE9" w:rsidRDefault="00011DE9">
            <w:pPr>
              <w:pStyle w:val="P68B1DB1-Normal78"/>
              <w:spacing w:after="0" w:line="240" w:lineRule="auto"/>
              <w:jc w:val="center"/>
              <w:rPr>
                <w:rFonts w:eastAsia="Times New Roman" w:cs="Times New Roman"/>
                <w:noProof/>
                <w:szCs w:val="20"/>
              </w:rPr>
            </w:pPr>
            <w:r>
              <w:rPr>
                <w:noProof/>
              </w:rPr>
              <w:t>C11.R5</w:t>
            </w:r>
          </w:p>
        </w:tc>
        <w:tc>
          <w:tcPr>
            <w:tcW w:w="1139" w:type="dxa"/>
            <w:shd w:val="clear" w:color="auto" w:fill="C6EFCE"/>
            <w:noWrap/>
            <w:vAlign w:val="bottom"/>
          </w:tcPr>
          <w:p w14:paraId="7B434304"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74" w:type="dxa"/>
            <w:shd w:val="clear" w:color="auto" w:fill="C6EFCE"/>
            <w:noWrap/>
            <w:vAlign w:val="bottom"/>
          </w:tcPr>
          <w:p w14:paraId="5E6EFA65" w14:textId="77777777" w:rsidR="00011DE9" w:rsidRDefault="00011DE9">
            <w:pPr>
              <w:pStyle w:val="P68B1DB1-Normal78"/>
              <w:spacing w:after="0" w:line="240" w:lineRule="auto"/>
              <w:rPr>
                <w:rFonts w:eastAsia="Times New Roman" w:cs="Times New Roman"/>
                <w:noProof/>
                <w:szCs w:val="20"/>
              </w:rPr>
            </w:pPr>
            <w:r>
              <w:rPr>
                <w:noProof/>
              </w:rPr>
              <w:t>Ordin de definire a procedurilor și a formatului informațiilor care urmează să fie partajate pentru monitorizarea planului de redresare și reziliență și pentru execuția contabilă a cheltuielilor</w:t>
            </w:r>
          </w:p>
        </w:tc>
      </w:tr>
      <w:tr w:rsidR="00011DE9" w14:paraId="3868DFA3" w14:textId="77777777">
        <w:trPr>
          <w:gridAfter w:val="1"/>
          <w:wAfter w:w="13" w:type="dxa"/>
          <w:trHeight w:val="302"/>
        </w:trPr>
        <w:tc>
          <w:tcPr>
            <w:tcW w:w="1260" w:type="dxa"/>
            <w:shd w:val="clear" w:color="auto" w:fill="C6EFCE"/>
            <w:noWrap/>
            <w:vAlign w:val="bottom"/>
          </w:tcPr>
          <w:p w14:paraId="37B82E70" w14:textId="77777777" w:rsidR="00011DE9" w:rsidRDefault="00011DE9">
            <w:pPr>
              <w:pStyle w:val="P68B1DB1-Normal78"/>
              <w:spacing w:after="0" w:line="240" w:lineRule="auto"/>
              <w:jc w:val="center"/>
              <w:rPr>
                <w:rFonts w:eastAsia="Times New Roman" w:cs="Times New Roman"/>
                <w:noProof/>
                <w:szCs w:val="20"/>
              </w:rPr>
            </w:pPr>
            <w:r>
              <w:rPr>
                <w:noProof/>
              </w:rPr>
              <w:t>173</w:t>
            </w:r>
          </w:p>
        </w:tc>
        <w:tc>
          <w:tcPr>
            <w:tcW w:w="1403" w:type="dxa"/>
            <w:shd w:val="clear" w:color="auto" w:fill="C6EFCE"/>
            <w:noWrap/>
            <w:vAlign w:val="bottom"/>
          </w:tcPr>
          <w:p w14:paraId="2FDA5322" w14:textId="77777777" w:rsidR="00011DE9" w:rsidRDefault="00011DE9">
            <w:pPr>
              <w:pStyle w:val="P68B1DB1-Normal78"/>
              <w:spacing w:after="0" w:line="240" w:lineRule="auto"/>
              <w:jc w:val="center"/>
              <w:rPr>
                <w:rFonts w:eastAsia="Times New Roman" w:cs="Times New Roman"/>
                <w:noProof/>
                <w:szCs w:val="20"/>
              </w:rPr>
            </w:pPr>
            <w:r>
              <w:rPr>
                <w:noProof/>
              </w:rPr>
              <w:t>C11.I5</w:t>
            </w:r>
          </w:p>
        </w:tc>
        <w:tc>
          <w:tcPr>
            <w:tcW w:w="1139" w:type="dxa"/>
            <w:shd w:val="clear" w:color="auto" w:fill="C6EFCE"/>
            <w:noWrap/>
            <w:vAlign w:val="bottom"/>
          </w:tcPr>
          <w:p w14:paraId="65B40E06"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74" w:type="dxa"/>
            <w:shd w:val="clear" w:color="auto" w:fill="C6EFCE"/>
            <w:noWrap/>
            <w:vAlign w:val="bottom"/>
          </w:tcPr>
          <w:p w14:paraId="478AF1BE" w14:textId="77777777" w:rsidR="00011DE9" w:rsidRDefault="00011DE9">
            <w:pPr>
              <w:pStyle w:val="P68B1DB1-Normal78"/>
              <w:spacing w:after="0" w:line="240" w:lineRule="auto"/>
              <w:rPr>
                <w:rFonts w:eastAsia="Times New Roman" w:cs="Times New Roman"/>
                <w:noProof/>
                <w:szCs w:val="20"/>
              </w:rPr>
            </w:pPr>
            <w:r>
              <w:rPr>
                <w:noProof/>
              </w:rPr>
              <w:t>Sistemul integrat de informații al Mecanismului de redresare și reziliență</w:t>
            </w:r>
          </w:p>
        </w:tc>
      </w:tr>
      <w:tr w:rsidR="00011DE9" w14:paraId="06DCB7E3" w14:textId="77777777">
        <w:trPr>
          <w:trHeight w:val="268"/>
        </w:trPr>
        <w:tc>
          <w:tcPr>
            <w:tcW w:w="1260" w:type="dxa"/>
            <w:shd w:val="clear" w:color="auto" w:fill="C6EFCE"/>
            <w:noWrap/>
            <w:vAlign w:val="center"/>
          </w:tcPr>
          <w:p w14:paraId="2A585359" w14:textId="77777777" w:rsidR="00011DE9" w:rsidRDefault="00011DE9">
            <w:pPr>
              <w:pStyle w:val="P68B1DB1-Normal78"/>
              <w:spacing w:after="0" w:line="240" w:lineRule="auto"/>
              <w:jc w:val="center"/>
              <w:rPr>
                <w:rFonts w:eastAsia="Times New Roman" w:cs="Times New Roman"/>
                <w:noProof/>
                <w:szCs w:val="20"/>
              </w:rPr>
            </w:pPr>
            <w:r>
              <w:rPr>
                <w:noProof/>
              </w:rPr>
              <w:t>177</w:t>
            </w:r>
          </w:p>
        </w:tc>
        <w:tc>
          <w:tcPr>
            <w:tcW w:w="1403" w:type="dxa"/>
            <w:shd w:val="clear" w:color="auto" w:fill="C6EFCE"/>
            <w:noWrap/>
            <w:vAlign w:val="center"/>
          </w:tcPr>
          <w:p w14:paraId="19823CB9" w14:textId="77777777" w:rsidR="00011DE9" w:rsidRDefault="00011DE9">
            <w:pPr>
              <w:pStyle w:val="P68B1DB1-Normal78"/>
              <w:spacing w:after="0" w:line="240" w:lineRule="auto"/>
              <w:jc w:val="center"/>
              <w:rPr>
                <w:rFonts w:eastAsia="Times New Roman" w:cs="Times New Roman"/>
                <w:noProof/>
                <w:szCs w:val="20"/>
              </w:rPr>
            </w:pPr>
            <w:r>
              <w:rPr>
                <w:noProof/>
              </w:rPr>
              <w:t>C12.R2</w:t>
            </w:r>
          </w:p>
        </w:tc>
        <w:tc>
          <w:tcPr>
            <w:tcW w:w="1139" w:type="dxa"/>
            <w:shd w:val="clear" w:color="auto" w:fill="C6EFCE"/>
            <w:noWrap/>
            <w:vAlign w:val="center"/>
          </w:tcPr>
          <w:p w14:paraId="3460524F"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6E427704" w14:textId="77777777" w:rsidR="00011DE9" w:rsidRDefault="00011DE9">
            <w:pPr>
              <w:pStyle w:val="P68B1DB1-Normal78"/>
              <w:spacing w:after="0" w:line="240" w:lineRule="auto"/>
              <w:rPr>
                <w:rFonts w:eastAsia="Times New Roman" w:cs="Times New Roman"/>
                <w:noProof/>
                <w:szCs w:val="20"/>
              </w:rPr>
            </w:pPr>
            <w:r>
              <w:rPr>
                <w:noProof/>
              </w:rPr>
              <w:t>Strategia spaniolă privind economia circulară (EEEC)</w:t>
            </w:r>
          </w:p>
        </w:tc>
      </w:tr>
      <w:tr w:rsidR="00011DE9" w14:paraId="0364AFD6" w14:textId="77777777">
        <w:trPr>
          <w:trHeight w:val="268"/>
        </w:trPr>
        <w:tc>
          <w:tcPr>
            <w:tcW w:w="1260" w:type="dxa"/>
            <w:shd w:val="clear" w:color="auto" w:fill="C6EFCE"/>
            <w:noWrap/>
            <w:vAlign w:val="center"/>
          </w:tcPr>
          <w:p w14:paraId="5C873470" w14:textId="77777777" w:rsidR="00011DE9" w:rsidRDefault="00011DE9">
            <w:pPr>
              <w:pStyle w:val="P68B1DB1-Normal78"/>
              <w:spacing w:after="0" w:line="240" w:lineRule="auto"/>
              <w:jc w:val="center"/>
              <w:rPr>
                <w:rFonts w:eastAsia="Times New Roman" w:cs="Times New Roman"/>
                <w:noProof/>
                <w:szCs w:val="20"/>
              </w:rPr>
            </w:pPr>
            <w:r>
              <w:rPr>
                <w:noProof/>
              </w:rPr>
              <w:t>181</w:t>
            </w:r>
          </w:p>
        </w:tc>
        <w:tc>
          <w:tcPr>
            <w:tcW w:w="1403" w:type="dxa"/>
            <w:shd w:val="clear" w:color="auto" w:fill="C6EFCE"/>
            <w:noWrap/>
            <w:vAlign w:val="center"/>
          </w:tcPr>
          <w:p w14:paraId="49F396A3" w14:textId="77777777" w:rsidR="00011DE9" w:rsidRDefault="00011DE9">
            <w:pPr>
              <w:pStyle w:val="P68B1DB1-Normal78"/>
              <w:spacing w:after="0" w:line="240" w:lineRule="auto"/>
              <w:jc w:val="center"/>
              <w:rPr>
                <w:rFonts w:eastAsia="Times New Roman" w:cs="Times New Roman"/>
                <w:noProof/>
                <w:szCs w:val="20"/>
              </w:rPr>
            </w:pPr>
            <w:r>
              <w:rPr>
                <w:noProof/>
              </w:rPr>
              <w:t>C12.I2</w:t>
            </w:r>
          </w:p>
        </w:tc>
        <w:tc>
          <w:tcPr>
            <w:tcW w:w="1139" w:type="dxa"/>
            <w:shd w:val="clear" w:color="auto" w:fill="C6EFCE"/>
            <w:noWrap/>
            <w:vAlign w:val="center"/>
          </w:tcPr>
          <w:p w14:paraId="20E6BEE9"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F36C65D" w14:textId="77777777" w:rsidR="00011DE9" w:rsidRDefault="00011DE9">
            <w:pPr>
              <w:pStyle w:val="P68B1DB1-Normal78"/>
              <w:spacing w:after="0" w:line="240" w:lineRule="auto"/>
              <w:rPr>
                <w:rFonts w:eastAsia="Times New Roman" w:cs="Times New Roman"/>
                <w:noProof/>
                <w:szCs w:val="20"/>
              </w:rPr>
            </w:pPr>
            <w:r>
              <w:rPr>
                <w:noProof/>
              </w:rPr>
              <w:t>Plan de stimulare a lanțului valoric al industriei autovehiculelor către o mobilitate durabilă și conectată</w:t>
            </w:r>
          </w:p>
        </w:tc>
      </w:tr>
      <w:tr w:rsidR="00011DE9" w14:paraId="7DA845DB" w14:textId="77777777">
        <w:trPr>
          <w:trHeight w:val="268"/>
        </w:trPr>
        <w:tc>
          <w:tcPr>
            <w:tcW w:w="1260" w:type="dxa"/>
            <w:shd w:val="clear" w:color="auto" w:fill="C6EFCE"/>
            <w:noWrap/>
            <w:vAlign w:val="center"/>
          </w:tcPr>
          <w:p w14:paraId="48BA543F" w14:textId="77777777" w:rsidR="00011DE9" w:rsidRDefault="00011DE9">
            <w:pPr>
              <w:pStyle w:val="P68B1DB1-Normal78"/>
              <w:spacing w:after="0" w:line="240" w:lineRule="auto"/>
              <w:jc w:val="center"/>
              <w:rPr>
                <w:rFonts w:eastAsia="Times New Roman" w:cs="Times New Roman"/>
                <w:noProof/>
                <w:szCs w:val="20"/>
              </w:rPr>
            </w:pPr>
            <w:r>
              <w:rPr>
                <w:noProof/>
              </w:rPr>
              <w:t>199</w:t>
            </w:r>
          </w:p>
        </w:tc>
        <w:tc>
          <w:tcPr>
            <w:tcW w:w="1403" w:type="dxa"/>
            <w:shd w:val="clear" w:color="auto" w:fill="C6EFCE"/>
            <w:noWrap/>
            <w:vAlign w:val="center"/>
          </w:tcPr>
          <w:p w14:paraId="2F3ED4DF" w14:textId="77777777" w:rsidR="00011DE9" w:rsidRDefault="00011DE9">
            <w:pPr>
              <w:pStyle w:val="P68B1DB1-Normal78"/>
              <w:spacing w:after="0" w:line="240" w:lineRule="auto"/>
              <w:jc w:val="center"/>
              <w:rPr>
                <w:rFonts w:eastAsia="Times New Roman" w:cs="Times New Roman"/>
                <w:noProof/>
                <w:szCs w:val="20"/>
              </w:rPr>
            </w:pPr>
            <w:r>
              <w:rPr>
                <w:noProof/>
              </w:rPr>
              <w:t>C13.I3</w:t>
            </w:r>
          </w:p>
        </w:tc>
        <w:tc>
          <w:tcPr>
            <w:tcW w:w="1139" w:type="dxa"/>
            <w:shd w:val="clear" w:color="auto" w:fill="C6EFCE"/>
            <w:noWrap/>
            <w:vAlign w:val="center"/>
          </w:tcPr>
          <w:p w14:paraId="18793CA4"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7E1819F2" w14:textId="77777777" w:rsidR="00011DE9" w:rsidRDefault="00011DE9">
            <w:pPr>
              <w:pStyle w:val="P68B1DB1-Normal78"/>
              <w:spacing w:after="0" w:line="240" w:lineRule="auto"/>
              <w:rPr>
                <w:rFonts w:eastAsia="Times New Roman" w:cs="Times New Roman"/>
                <w:noProof/>
                <w:szCs w:val="20"/>
              </w:rPr>
            </w:pPr>
            <w:r>
              <w:rPr>
                <w:noProof/>
              </w:rPr>
              <w:t>Planul privind digitalizarea IMM-urilor pentru perioada 2021-2025</w:t>
            </w:r>
          </w:p>
        </w:tc>
      </w:tr>
      <w:tr w:rsidR="00011DE9" w14:paraId="65F151C3" w14:textId="77777777">
        <w:trPr>
          <w:trHeight w:val="268"/>
        </w:trPr>
        <w:tc>
          <w:tcPr>
            <w:tcW w:w="1260" w:type="dxa"/>
            <w:shd w:val="clear" w:color="auto" w:fill="C6EFCE"/>
            <w:noWrap/>
            <w:vAlign w:val="center"/>
          </w:tcPr>
          <w:p w14:paraId="3B8CE6F5" w14:textId="77777777" w:rsidR="00011DE9" w:rsidRDefault="00011DE9">
            <w:pPr>
              <w:pStyle w:val="P68B1DB1-Normal78"/>
              <w:spacing w:after="0" w:line="240" w:lineRule="auto"/>
              <w:jc w:val="center"/>
              <w:rPr>
                <w:rFonts w:eastAsia="Times New Roman" w:cs="Times New Roman"/>
                <w:noProof/>
                <w:szCs w:val="20"/>
              </w:rPr>
            </w:pPr>
            <w:r>
              <w:rPr>
                <w:noProof/>
              </w:rPr>
              <w:t>214</w:t>
            </w:r>
          </w:p>
        </w:tc>
        <w:tc>
          <w:tcPr>
            <w:tcW w:w="1403" w:type="dxa"/>
            <w:shd w:val="clear" w:color="auto" w:fill="C6EFCE"/>
            <w:noWrap/>
            <w:vAlign w:val="center"/>
          </w:tcPr>
          <w:p w14:paraId="27851D59" w14:textId="77777777" w:rsidR="00011DE9" w:rsidRDefault="00011DE9">
            <w:pPr>
              <w:pStyle w:val="P68B1DB1-Normal78"/>
              <w:spacing w:after="0" w:line="240" w:lineRule="auto"/>
              <w:jc w:val="center"/>
              <w:rPr>
                <w:rFonts w:eastAsia="Times New Roman" w:cs="Times New Roman"/>
                <w:noProof/>
                <w:szCs w:val="20"/>
              </w:rPr>
            </w:pPr>
            <w:r>
              <w:rPr>
                <w:noProof/>
              </w:rPr>
              <w:t>C14.R1</w:t>
            </w:r>
          </w:p>
        </w:tc>
        <w:tc>
          <w:tcPr>
            <w:tcW w:w="1139" w:type="dxa"/>
            <w:shd w:val="clear" w:color="auto" w:fill="C6EFCE"/>
            <w:noWrap/>
            <w:vAlign w:val="center"/>
          </w:tcPr>
          <w:p w14:paraId="38C398BA"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2C6F6A8" w14:textId="77777777" w:rsidR="00011DE9" w:rsidRDefault="00011DE9">
            <w:pPr>
              <w:pStyle w:val="P68B1DB1-Normal78"/>
              <w:spacing w:after="0" w:line="240" w:lineRule="auto"/>
              <w:rPr>
                <w:rFonts w:eastAsia="Times New Roman" w:cs="Times New Roman"/>
                <w:noProof/>
                <w:szCs w:val="20"/>
              </w:rPr>
            </w:pPr>
            <w:r>
              <w:rPr>
                <w:noProof/>
              </w:rPr>
              <w:t>Plan de promovare a sectorului turismului</w:t>
            </w:r>
          </w:p>
        </w:tc>
      </w:tr>
      <w:tr w:rsidR="00011DE9" w14:paraId="712C4A17" w14:textId="77777777">
        <w:trPr>
          <w:trHeight w:val="268"/>
        </w:trPr>
        <w:tc>
          <w:tcPr>
            <w:tcW w:w="1260" w:type="dxa"/>
            <w:shd w:val="clear" w:color="auto" w:fill="C6EFCE"/>
            <w:noWrap/>
            <w:vAlign w:val="center"/>
          </w:tcPr>
          <w:p w14:paraId="75DA91A9" w14:textId="77777777" w:rsidR="00011DE9" w:rsidRDefault="00011DE9">
            <w:pPr>
              <w:pStyle w:val="P68B1DB1-Normal78"/>
              <w:spacing w:after="0" w:line="240" w:lineRule="auto"/>
              <w:jc w:val="center"/>
              <w:rPr>
                <w:rFonts w:eastAsia="Times New Roman" w:cs="Times New Roman"/>
                <w:noProof/>
                <w:szCs w:val="20"/>
              </w:rPr>
            </w:pPr>
            <w:r>
              <w:rPr>
                <w:noProof/>
              </w:rPr>
              <w:t>215</w:t>
            </w:r>
          </w:p>
        </w:tc>
        <w:tc>
          <w:tcPr>
            <w:tcW w:w="1403" w:type="dxa"/>
            <w:shd w:val="clear" w:color="auto" w:fill="C6EFCE"/>
            <w:noWrap/>
            <w:vAlign w:val="center"/>
          </w:tcPr>
          <w:p w14:paraId="5D12E8D8" w14:textId="77777777" w:rsidR="00011DE9" w:rsidRDefault="00011DE9">
            <w:pPr>
              <w:pStyle w:val="P68B1DB1-Normal78"/>
              <w:spacing w:after="0" w:line="240" w:lineRule="auto"/>
              <w:jc w:val="center"/>
              <w:rPr>
                <w:rFonts w:eastAsia="Times New Roman" w:cs="Times New Roman"/>
                <w:noProof/>
                <w:szCs w:val="20"/>
              </w:rPr>
            </w:pPr>
            <w:r>
              <w:rPr>
                <w:noProof/>
              </w:rPr>
              <w:t>C14.R1</w:t>
            </w:r>
          </w:p>
        </w:tc>
        <w:tc>
          <w:tcPr>
            <w:tcW w:w="1139" w:type="dxa"/>
            <w:shd w:val="clear" w:color="auto" w:fill="C6EFCE"/>
            <w:noWrap/>
            <w:vAlign w:val="center"/>
          </w:tcPr>
          <w:p w14:paraId="397B8867"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532C9A67" w14:textId="77777777" w:rsidR="00011DE9" w:rsidRDefault="00011DE9">
            <w:pPr>
              <w:pStyle w:val="P68B1DB1-Normal78"/>
              <w:spacing w:after="0" w:line="240" w:lineRule="auto"/>
              <w:rPr>
                <w:rFonts w:eastAsia="Times New Roman" w:cs="Times New Roman"/>
                <w:noProof/>
                <w:szCs w:val="20"/>
              </w:rPr>
            </w:pPr>
            <w:r>
              <w:rPr>
                <w:noProof/>
              </w:rPr>
              <w:t>Lansarea site-ului „DATAESTUR”, care colectează date privind turismul</w:t>
            </w:r>
          </w:p>
        </w:tc>
      </w:tr>
      <w:tr w:rsidR="00011DE9" w14:paraId="26C70895" w14:textId="77777777">
        <w:trPr>
          <w:trHeight w:val="268"/>
        </w:trPr>
        <w:tc>
          <w:tcPr>
            <w:tcW w:w="1260" w:type="dxa"/>
            <w:shd w:val="clear" w:color="auto" w:fill="C6EFCE"/>
            <w:noWrap/>
            <w:vAlign w:val="center"/>
          </w:tcPr>
          <w:p w14:paraId="4B234B0B" w14:textId="77777777" w:rsidR="00011DE9" w:rsidRDefault="00011DE9">
            <w:pPr>
              <w:pStyle w:val="P68B1DB1-Normal78"/>
              <w:spacing w:after="0" w:line="240" w:lineRule="auto"/>
              <w:jc w:val="center"/>
              <w:rPr>
                <w:rFonts w:eastAsia="Times New Roman" w:cs="Times New Roman"/>
                <w:noProof/>
                <w:szCs w:val="20"/>
              </w:rPr>
            </w:pPr>
            <w:r>
              <w:rPr>
                <w:noProof/>
              </w:rPr>
              <w:t>230</w:t>
            </w:r>
          </w:p>
        </w:tc>
        <w:tc>
          <w:tcPr>
            <w:tcW w:w="1403" w:type="dxa"/>
            <w:shd w:val="clear" w:color="auto" w:fill="C6EFCE"/>
            <w:noWrap/>
            <w:vAlign w:val="center"/>
          </w:tcPr>
          <w:p w14:paraId="2402B40C" w14:textId="77777777" w:rsidR="00011DE9" w:rsidRDefault="00011DE9">
            <w:pPr>
              <w:pStyle w:val="P68B1DB1-Normal78"/>
              <w:spacing w:after="0" w:line="240" w:lineRule="auto"/>
              <w:jc w:val="center"/>
              <w:rPr>
                <w:rFonts w:eastAsia="Times New Roman" w:cs="Times New Roman"/>
                <w:noProof/>
                <w:szCs w:val="20"/>
              </w:rPr>
            </w:pPr>
            <w:r>
              <w:rPr>
                <w:noProof/>
              </w:rPr>
              <w:t>C15.R2</w:t>
            </w:r>
          </w:p>
        </w:tc>
        <w:tc>
          <w:tcPr>
            <w:tcW w:w="1139" w:type="dxa"/>
            <w:shd w:val="clear" w:color="auto" w:fill="C6EFCE"/>
            <w:noWrap/>
            <w:vAlign w:val="center"/>
          </w:tcPr>
          <w:p w14:paraId="16C1FC0A"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2AEED0A5" w14:textId="77777777" w:rsidR="00011DE9" w:rsidRDefault="00011DE9">
            <w:pPr>
              <w:pStyle w:val="P68B1DB1-Normal78"/>
              <w:spacing w:after="0" w:line="240" w:lineRule="auto"/>
              <w:rPr>
                <w:rFonts w:eastAsia="Times New Roman" w:cs="Times New Roman"/>
                <w:noProof/>
                <w:szCs w:val="20"/>
              </w:rPr>
            </w:pPr>
            <w:r>
              <w:rPr>
                <w:noProof/>
              </w:rPr>
              <w:t>Planul și Strategia digitală a Spaniei pentru 2025 pentru promovarea tehnologiei 5G</w:t>
            </w:r>
          </w:p>
        </w:tc>
      </w:tr>
      <w:tr w:rsidR="00011DE9" w14:paraId="72EE161F" w14:textId="77777777">
        <w:trPr>
          <w:trHeight w:val="268"/>
        </w:trPr>
        <w:tc>
          <w:tcPr>
            <w:tcW w:w="1260" w:type="dxa"/>
            <w:shd w:val="clear" w:color="auto" w:fill="C6EFCE"/>
            <w:noWrap/>
            <w:vAlign w:val="center"/>
          </w:tcPr>
          <w:p w14:paraId="3CA11046" w14:textId="77777777" w:rsidR="00011DE9" w:rsidRDefault="00011DE9">
            <w:pPr>
              <w:pStyle w:val="P68B1DB1-Normal78"/>
              <w:spacing w:after="0" w:line="240" w:lineRule="auto"/>
              <w:jc w:val="center"/>
              <w:rPr>
                <w:rFonts w:eastAsia="Times New Roman" w:cs="Times New Roman"/>
                <w:noProof/>
                <w:szCs w:val="20"/>
              </w:rPr>
            </w:pPr>
            <w:r>
              <w:rPr>
                <w:noProof/>
              </w:rPr>
              <w:t>231</w:t>
            </w:r>
          </w:p>
        </w:tc>
        <w:tc>
          <w:tcPr>
            <w:tcW w:w="1403" w:type="dxa"/>
            <w:shd w:val="clear" w:color="auto" w:fill="C6EFCE"/>
            <w:noWrap/>
            <w:vAlign w:val="center"/>
          </w:tcPr>
          <w:p w14:paraId="09FA2699" w14:textId="77777777" w:rsidR="00011DE9" w:rsidRDefault="00011DE9">
            <w:pPr>
              <w:pStyle w:val="P68B1DB1-Normal78"/>
              <w:spacing w:after="0" w:line="240" w:lineRule="auto"/>
              <w:jc w:val="center"/>
              <w:rPr>
                <w:rFonts w:eastAsia="Times New Roman" w:cs="Times New Roman"/>
                <w:noProof/>
                <w:szCs w:val="20"/>
              </w:rPr>
            </w:pPr>
            <w:r>
              <w:rPr>
                <w:noProof/>
              </w:rPr>
              <w:t>C15.R2</w:t>
            </w:r>
          </w:p>
        </w:tc>
        <w:tc>
          <w:tcPr>
            <w:tcW w:w="1139" w:type="dxa"/>
            <w:shd w:val="clear" w:color="auto" w:fill="C6EFCE"/>
            <w:noWrap/>
            <w:vAlign w:val="center"/>
          </w:tcPr>
          <w:p w14:paraId="5CA774E7"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1F3C9A09" w14:textId="77777777" w:rsidR="00011DE9" w:rsidRDefault="00011DE9">
            <w:pPr>
              <w:pStyle w:val="P68B1DB1-Normal78"/>
              <w:spacing w:after="0" w:line="240" w:lineRule="auto"/>
              <w:rPr>
                <w:rFonts w:eastAsia="Times New Roman" w:cs="Times New Roman"/>
                <w:noProof/>
                <w:szCs w:val="20"/>
              </w:rPr>
            </w:pPr>
            <w:r>
              <w:rPr>
                <w:noProof/>
              </w:rPr>
              <w:t>Eliberarea benzii de frecvențe de 700 MHz</w:t>
            </w:r>
          </w:p>
        </w:tc>
      </w:tr>
      <w:tr w:rsidR="00011DE9" w14:paraId="72D6FADB" w14:textId="77777777">
        <w:trPr>
          <w:trHeight w:val="268"/>
        </w:trPr>
        <w:tc>
          <w:tcPr>
            <w:tcW w:w="1260" w:type="dxa"/>
            <w:shd w:val="clear" w:color="auto" w:fill="C6EFCE"/>
            <w:noWrap/>
            <w:vAlign w:val="center"/>
          </w:tcPr>
          <w:p w14:paraId="32D38EB6" w14:textId="77777777" w:rsidR="00011DE9" w:rsidRDefault="00011DE9">
            <w:pPr>
              <w:pStyle w:val="P68B1DB1-Normal78"/>
              <w:spacing w:after="0" w:line="240" w:lineRule="auto"/>
              <w:jc w:val="center"/>
              <w:rPr>
                <w:rFonts w:eastAsia="Times New Roman" w:cs="Times New Roman"/>
                <w:noProof/>
                <w:szCs w:val="20"/>
              </w:rPr>
            </w:pPr>
            <w:r>
              <w:rPr>
                <w:noProof/>
              </w:rPr>
              <w:t>249</w:t>
            </w:r>
          </w:p>
        </w:tc>
        <w:tc>
          <w:tcPr>
            <w:tcW w:w="1403" w:type="dxa"/>
            <w:shd w:val="clear" w:color="auto" w:fill="C6EFCE"/>
            <w:noWrap/>
            <w:vAlign w:val="center"/>
          </w:tcPr>
          <w:p w14:paraId="7916A1DF" w14:textId="77777777" w:rsidR="00011DE9" w:rsidRDefault="00011DE9">
            <w:pPr>
              <w:pStyle w:val="P68B1DB1-Normal78"/>
              <w:spacing w:after="0" w:line="240" w:lineRule="auto"/>
              <w:jc w:val="center"/>
              <w:rPr>
                <w:rFonts w:eastAsia="Times New Roman" w:cs="Times New Roman"/>
                <w:noProof/>
                <w:szCs w:val="20"/>
              </w:rPr>
            </w:pPr>
            <w:r>
              <w:rPr>
                <w:noProof/>
              </w:rPr>
              <w:t>C16.R1</w:t>
            </w:r>
          </w:p>
        </w:tc>
        <w:tc>
          <w:tcPr>
            <w:tcW w:w="1139" w:type="dxa"/>
            <w:shd w:val="clear" w:color="auto" w:fill="C6EFCE"/>
            <w:noWrap/>
            <w:vAlign w:val="center"/>
          </w:tcPr>
          <w:p w14:paraId="744CEC55"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61370B0" w14:textId="77777777" w:rsidR="00011DE9" w:rsidRDefault="00011DE9">
            <w:pPr>
              <w:pStyle w:val="P68B1DB1-Normal78"/>
              <w:spacing w:after="0" w:line="240" w:lineRule="auto"/>
              <w:rPr>
                <w:rFonts w:eastAsia="Times New Roman" w:cs="Times New Roman"/>
                <w:noProof/>
                <w:szCs w:val="20"/>
              </w:rPr>
            </w:pPr>
            <w:r>
              <w:rPr>
                <w:noProof/>
              </w:rPr>
              <w:t xml:space="preserve">Strategia națională pentru inteligența artificială </w:t>
            </w:r>
          </w:p>
        </w:tc>
      </w:tr>
      <w:tr w:rsidR="00011DE9" w14:paraId="6FEEBD62" w14:textId="77777777">
        <w:trPr>
          <w:trHeight w:val="268"/>
        </w:trPr>
        <w:tc>
          <w:tcPr>
            <w:tcW w:w="1260" w:type="dxa"/>
            <w:shd w:val="clear" w:color="auto" w:fill="C6EFCE"/>
            <w:noWrap/>
            <w:vAlign w:val="center"/>
          </w:tcPr>
          <w:p w14:paraId="3C62AB7B" w14:textId="77777777" w:rsidR="00011DE9" w:rsidRDefault="00011DE9">
            <w:pPr>
              <w:pStyle w:val="P68B1DB1-Normal78"/>
              <w:spacing w:after="0" w:line="240" w:lineRule="auto"/>
              <w:jc w:val="center"/>
              <w:rPr>
                <w:rFonts w:eastAsia="Times New Roman" w:cs="Times New Roman"/>
                <w:noProof/>
                <w:szCs w:val="20"/>
              </w:rPr>
            </w:pPr>
            <w:r>
              <w:rPr>
                <w:noProof/>
              </w:rPr>
              <w:t>255</w:t>
            </w:r>
          </w:p>
        </w:tc>
        <w:tc>
          <w:tcPr>
            <w:tcW w:w="1403" w:type="dxa"/>
            <w:shd w:val="clear" w:color="auto" w:fill="C6EFCE"/>
            <w:noWrap/>
            <w:vAlign w:val="center"/>
          </w:tcPr>
          <w:p w14:paraId="30595458" w14:textId="77777777" w:rsidR="00011DE9" w:rsidRDefault="00011DE9">
            <w:pPr>
              <w:pStyle w:val="P68B1DB1-Normal78"/>
              <w:spacing w:after="0" w:line="240" w:lineRule="auto"/>
              <w:jc w:val="center"/>
              <w:rPr>
                <w:rFonts w:eastAsia="Times New Roman" w:cs="Times New Roman"/>
                <w:noProof/>
                <w:szCs w:val="20"/>
              </w:rPr>
            </w:pPr>
            <w:r>
              <w:rPr>
                <w:noProof/>
              </w:rPr>
              <w:t>C17.R2</w:t>
            </w:r>
          </w:p>
        </w:tc>
        <w:tc>
          <w:tcPr>
            <w:tcW w:w="1139" w:type="dxa"/>
            <w:shd w:val="clear" w:color="auto" w:fill="C6EFCE"/>
            <w:noWrap/>
            <w:vAlign w:val="center"/>
          </w:tcPr>
          <w:p w14:paraId="6E057275"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6204DF13" w14:textId="77777777" w:rsidR="00011DE9" w:rsidRDefault="00011DE9">
            <w:pPr>
              <w:pStyle w:val="P68B1DB1-Normal78"/>
              <w:spacing w:after="0" w:line="240" w:lineRule="auto"/>
              <w:rPr>
                <w:rFonts w:eastAsia="Times New Roman" w:cs="Times New Roman"/>
                <w:noProof/>
                <w:szCs w:val="20"/>
              </w:rPr>
            </w:pPr>
            <w:r>
              <w:rPr>
                <w:noProof/>
              </w:rPr>
              <w:t>Publicarea Strategiei spaniole pentru știință, tehnologie și inovare 2021-2027</w:t>
            </w:r>
          </w:p>
        </w:tc>
      </w:tr>
      <w:tr w:rsidR="00011DE9" w14:paraId="68B4665C" w14:textId="77777777">
        <w:trPr>
          <w:trHeight w:val="268"/>
        </w:trPr>
        <w:tc>
          <w:tcPr>
            <w:tcW w:w="1260" w:type="dxa"/>
            <w:shd w:val="clear" w:color="auto" w:fill="C6EFCE"/>
            <w:noWrap/>
            <w:vAlign w:val="center"/>
          </w:tcPr>
          <w:p w14:paraId="34E43E81" w14:textId="77777777" w:rsidR="00011DE9" w:rsidRDefault="00011DE9">
            <w:pPr>
              <w:pStyle w:val="P68B1DB1-Normal78"/>
              <w:spacing w:after="0" w:line="240" w:lineRule="auto"/>
              <w:jc w:val="center"/>
              <w:rPr>
                <w:rFonts w:eastAsia="Times New Roman" w:cs="Times New Roman"/>
                <w:noProof/>
                <w:szCs w:val="20"/>
              </w:rPr>
            </w:pPr>
            <w:r>
              <w:rPr>
                <w:noProof/>
              </w:rPr>
              <w:t>257</w:t>
            </w:r>
          </w:p>
        </w:tc>
        <w:tc>
          <w:tcPr>
            <w:tcW w:w="1403" w:type="dxa"/>
            <w:shd w:val="clear" w:color="auto" w:fill="C6EFCE"/>
            <w:noWrap/>
            <w:vAlign w:val="center"/>
          </w:tcPr>
          <w:p w14:paraId="333EB5E7" w14:textId="77777777" w:rsidR="00011DE9" w:rsidRDefault="00011DE9">
            <w:pPr>
              <w:pStyle w:val="P68B1DB1-Normal78"/>
              <w:spacing w:after="0" w:line="240" w:lineRule="auto"/>
              <w:jc w:val="center"/>
              <w:rPr>
                <w:rFonts w:eastAsia="Times New Roman" w:cs="Times New Roman"/>
                <w:noProof/>
                <w:szCs w:val="20"/>
              </w:rPr>
            </w:pPr>
            <w:r>
              <w:rPr>
                <w:noProof/>
              </w:rPr>
              <w:t>C17.R3</w:t>
            </w:r>
          </w:p>
        </w:tc>
        <w:tc>
          <w:tcPr>
            <w:tcW w:w="1139" w:type="dxa"/>
            <w:shd w:val="clear" w:color="auto" w:fill="C6EFCE"/>
            <w:noWrap/>
            <w:vAlign w:val="center"/>
          </w:tcPr>
          <w:p w14:paraId="07D52CFF"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182BF075"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Decretului regal privind reorganizarea organizațiilor publice de cercetare. </w:t>
            </w:r>
          </w:p>
        </w:tc>
      </w:tr>
      <w:tr w:rsidR="00011DE9" w14:paraId="11E17A2D" w14:textId="77777777">
        <w:trPr>
          <w:trHeight w:val="268"/>
        </w:trPr>
        <w:tc>
          <w:tcPr>
            <w:tcW w:w="1260" w:type="dxa"/>
            <w:shd w:val="clear" w:color="auto" w:fill="C6EFCE"/>
            <w:noWrap/>
            <w:vAlign w:val="center"/>
          </w:tcPr>
          <w:p w14:paraId="6BC7B78D" w14:textId="77777777" w:rsidR="00011DE9" w:rsidRDefault="00011DE9">
            <w:pPr>
              <w:pStyle w:val="P68B1DB1-Normal78"/>
              <w:spacing w:after="0" w:line="240" w:lineRule="auto"/>
              <w:jc w:val="center"/>
              <w:rPr>
                <w:rFonts w:eastAsia="Times New Roman" w:cs="Times New Roman"/>
                <w:noProof/>
                <w:szCs w:val="20"/>
              </w:rPr>
            </w:pPr>
            <w:r>
              <w:rPr>
                <w:noProof/>
              </w:rPr>
              <w:t>285</w:t>
            </w:r>
          </w:p>
        </w:tc>
        <w:tc>
          <w:tcPr>
            <w:tcW w:w="1403" w:type="dxa"/>
            <w:shd w:val="clear" w:color="auto" w:fill="C6EFCE"/>
            <w:noWrap/>
            <w:vAlign w:val="center"/>
          </w:tcPr>
          <w:p w14:paraId="67D99E25" w14:textId="77777777" w:rsidR="00011DE9" w:rsidRDefault="00011DE9">
            <w:pPr>
              <w:pStyle w:val="P68B1DB1-Normal78"/>
              <w:spacing w:after="0" w:line="240" w:lineRule="auto"/>
              <w:jc w:val="center"/>
              <w:rPr>
                <w:rFonts w:eastAsia="Times New Roman" w:cs="Times New Roman"/>
                <w:noProof/>
                <w:szCs w:val="20"/>
              </w:rPr>
            </w:pPr>
            <w:r>
              <w:rPr>
                <w:noProof/>
              </w:rPr>
              <w:t>C19.R1</w:t>
            </w:r>
          </w:p>
        </w:tc>
        <w:tc>
          <w:tcPr>
            <w:tcW w:w="1139" w:type="dxa"/>
            <w:shd w:val="clear" w:color="auto" w:fill="C6EFCE"/>
            <w:noWrap/>
            <w:vAlign w:val="center"/>
          </w:tcPr>
          <w:p w14:paraId="2294F072"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6D91AAF" w14:textId="77777777" w:rsidR="00011DE9" w:rsidRDefault="00011DE9">
            <w:pPr>
              <w:pStyle w:val="P68B1DB1-Normal78"/>
              <w:spacing w:after="0" w:line="240" w:lineRule="auto"/>
              <w:rPr>
                <w:rFonts w:eastAsia="Times New Roman" w:cs="Times New Roman"/>
                <w:noProof/>
                <w:szCs w:val="20"/>
              </w:rPr>
            </w:pPr>
            <w:r>
              <w:rPr>
                <w:noProof/>
              </w:rPr>
              <w:t>Aprobarea planului național privind competențele digitale de către Consiliul de Miniștri</w:t>
            </w:r>
          </w:p>
        </w:tc>
      </w:tr>
      <w:tr w:rsidR="00011DE9" w14:paraId="353F1C2C" w14:textId="77777777">
        <w:trPr>
          <w:trHeight w:val="268"/>
        </w:trPr>
        <w:tc>
          <w:tcPr>
            <w:tcW w:w="1260" w:type="dxa"/>
            <w:shd w:val="clear" w:color="auto" w:fill="C6EFCE"/>
            <w:noWrap/>
            <w:vAlign w:val="center"/>
          </w:tcPr>
          <w:p w14:paraId="1218D895" w14:textId="77777777" w:rsidR="00011DE9" w:rsidRDefault="00011DE9">
            <w:pPr>
              <w:pStyle w:val="P68B1DB1-Normal78"/>
              <w:spacing w:after="0" w:line="240" w:lineRule="auto"/>
              <w:jc w:val="center"/>
              <w:rPr>
                <w:rFonts w:eastAsia="Times New Roman" w:cs="Times New Roman"/>
                <w:noProof/>
                <w:szCs w:val="20"/>
              </w:rPr>
            </w:pPr>
            <w:r>
              <w:rPr>
                <w:noProof/>
              </w:rPr>
              <w:t>295</w:t>
            </w:r>
          </w:p>
        </w:tc>
        <w:tc>
          <w:tcPr>
            <w:tcW w:w="1403" w:type="dxa"/>
            <w:shd w:val="clear" w:color="auto" w:fill="C6EFCE"/>
            <w:noWrap/>
            <w:vAlign w:val="center"/>
          </w:tcPr>
          <w:p w14:paraId="5E398380" w14:textId="77777777" w:rsidR="00011DE9" w:rsidRDefault="00011DE9">
            <w:pPr>
              <w:pStyle w:val="P68B1DB1-Normal78"/>
              <w:spacing w:after="0" w:line="240" w:lineRule="auto"/>
              <w:jc w:val="center"/>
              <w:rPr>
                <w:rFonts w:eastAsia="Times New Roman" w:cs="Times New Roman"/>
                <w:noProof/>
                <w:szCs w:val="20"/>
              </w:rPr>
            </w:pPr>
            <w:r>
              <w:rPr>
                <w:noProof/>
              </w:rPr>
              <w:t>C20.R1</w:t>
            </w:r>
          </w:p>
        </w:tc>
        <w:tc>
          <w:tcPr>
            <w:tcW w:w="1139" w:type="dxa"/>
            <w:shd w:val="clear" w:color="auto" w:fill="C6EFCE"/>
            <w:noWrap/>
            <w:vAlign w:val="center"/>
          </w:tcPr>
          <w:p w14:paraId="5F76A841"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6621AEE3" w14:textId="77777777" w:rsidR="00011DE9" w:rsidRDefault="00011DE9">
            <w:pPr>
              <w:pStyle w:val="P68B1DB1-Normal78"/>
              <w:spacing w:after="0" w:line="240" w:lineRule="auto"/>
              <w:rPr>
                <w:rFonts w:eastAsia="Times New Roman" w:cs="Times New Roman"/>
                <w:noProof/>
                <w:szCs w:val="20"/>
              </w:rPr>
            </w:pPr>
            <w:r>
              <w:rPr>
                <w:noProof/>
              </w:rPr>
              <w:t>Planul de modernizare a formării profesionale și decretele-lege aferente</w:t>
            </w:r>
          </w:p>
        </w:tc>
      </w:tr>
      <w:tr w:rsidR="00011DE9" w14:paraId="48A07A64" w14:textId="77777777">
        <w:trPr>
          <w:trHeight w:val="268"/>
        </w:trPr>
        <w:tc>
          <w:tcPr>
            <w:tcW w:w="1260" w:type="dxa"/>
            <w:shd w:val="clear" w:color="auto" w:fill="C6EFCE"/>
            <w:noWrap/>
            <w:vAlign w:val="center"/>
          </w:tcPr>
          <w:p w14:paraId="5128986E" w14:textId="77777777" w:rsidR="00011DE9" w:rsidRDefault="00011DE9">
            <w:pPr>
              <w:pStyle w:val="P68B1DB1-Normal78"/>
              <w:spacing w:after="0" w:line="240" w:lineRule="auto"/>
              <w:jc w:val="center"/>
              <w:rPr>
                <w:rFonts w:eastAsia="Times New Roman" w:cs="Times New Roman"/>
                <w:noProof/>
                <w:szCs w:val="20"/>
              </w:rPr>
            </w:pPr>
            <w:r>
              <w:rPr>
                <w:noProof/>
              </w:rPr>
              <w:t>303</w:t>
            </w:r>
          </w:p>
        </w:tc>
        <w:tc>
          <w:tcPr>
            <w:tcW w:w="1403" w:type="dxa"/>
            <w:shd w:val="clear" w:color="auto" w:fill="C6EFCE"/>
            <w:noWrap/>
            <w:vAlign w:val="center"/>
          </w:tcPr>
          <w:p w14:paraId="1D6C82A3" w14:textId="77777777" w:rsidR="00011DE9" w:rsidRDefault="00011DE9">
            <w:pPr>
              <w:pStyle w:val="P68B1DB1-Normal78"/>
              <w:spacing w:after="0" w:line="240" w:lineRule="auto"/>
              <w:jc w:val="center"/>
              <w:rPr>
                <w:rFonts w:eastAsia="Times New Roman" w:cs="Times New Roman"/>
                <w:noProof/>
                <w:szCs w:val="20"/>
              </w:rPr>
            </w:pPr>
            <w:r>
              <w:rPr>
                <w:noProof/>
              </w:rPr>
              <w:t>C21.R1</w:t>
            </w:r>
          </w:p>
        </w:tc>
        <w:tc>
          <w:tcPr>
            <w:tcW w:w="1139" w:type="dxa"/>
            <w:shd w:val="clear" w:color="auto" w:fill="C6EFCE"/>
            <w:noWrap/>
            <w:vAlign w:val="center"/>
          </w:tcPr>
          <w:p w14:paraId="66DC7669"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32B79A20"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Legii organice privind educația </w:t>
            </w:r>
          </w:p>
        </w:tc>
      </w:tr>
      <w:tr w:rsidR="00011DE9" w14:paraId="78282A78" w14:textId="77777777">
        <w:trPr>
          <w:trHeight w:val="268"/>
        </w:trPr>
        <w:tc>
          <w:tcPr>
            <w:tcW w:w="1260" w:type="dxa"/>
            <w:shd w:val="clear" w:color="auto" w:fill="C6EFCE"/>
            <w:noWrap/>
            <w:vAlign w:val="center"/>
          </w:tcPr>
          <w:p w14:paraId="4F843415" w14:textId="77777777" w:rsidR="00011DE9" w:rsidRDefault="00011DE9">
            <w:pPr>
              <w:pStyle w:val="P68B1DB1-Normal78"/>
              <w:spacing w:after="0" w:line="240" w:lineRule="auto"/>
              <w:jc w:val="center"/>
              <w:rPr>
                <w:rFonts w:eastAsia="Times New Roman" w:cs="Times New Roman"/>
                <w:noProof/>
                <w:szCs w:val="20"/>
              </w:rPr>
            </w:pPr>
            <w:r>
              <w:rPr>
                <w:noProof/>
              </w:rPr>
              <w:t>318</w:t>
            </w:r>
          </w:p>
        </w:tc>
        <w:tc>
          <w:tcPr>
            <w:tcW w:w="1403" w:type="dxa"/>
            <w:shd w:val="clear" w:color="auto" w:fill="C6EFCE"/>
            <w:noWrap/>
            <w:vAlign w:val="center"/>
          </w:tcPr>
          <w:p w14:paraId="1DCED6BC" w14:textId="77777777" w:rsidR="00011DE9" w:rsidRDefault="00011DE9">
            <w:pPr>
              <w:pStyle w:val="P68B1DB1-Normal78"/>
              <w:spacing w:after="0" w:line="240" w:lineRule="auto"/>
              <w:jc w:val="center"/>
              <w:rPr>
                <w:rFonts w:eastAsia="Times New Roman" w:cs="Times New Roman"/>
                <w:noProof/>
                <w:szCs w:val="20"/>
              </w:rPr>
            </w:pPr>
            <w:r>
              <w:rPr>
                <w:noProof/>
              </w:rPr>
              <w:t>C22.R5</w:t>
            </w:r>
          </w:p>
        </w:tc>
        <w:tc>
          <w:tcPr>
            <w:tcW w:w="1139" w:type="dxa"/>
            <w:shd w:val="clear" w:color="auto" w:fill="C6EFCE"/>
            <w:noWrap/>
            <w:vAlign w:val="center"/>
          </w:tcPr>
          <w:p w14:paraId="23109A41"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EFA6CAE" w14:textId="77777777" w:rsidR="00011DE9" w:rsidRDefault="00011DE9">
            <w:pPr>
              <w:pStyle w:val="P68B1DB1-Normal78"/>
              <w:spacing w:after="0" w:line="240" w:lineRule="auto"/>
              <w:rPr>
                <w:rFonts w:eastAsia="Times New Roman" w:cs="Times New Roman"/>
                <w:noProof/>
                <w:szCs w:val="20"/>
              </w:rPr>
            </w:pPr>
            <w:r>
              <w:rPr>
                <w:noProof/>
              </w:rPr>
              <w:t>Intrarea în vigoare a Decretului-lege regal nr. 20/2020 din 29 mai de aprobare a venitului minim vital</w:t>
            </w:r>
          </w:p>
        </w:tc>
      </w:tr>
      <w:tr w:rsidR="00011DE9" w14:paraId="2F68C977" w14:textId="77777777">
        <w:trPr>
          <w:trHeight w:val="268"/>
        </w:trPr>
        <w:tc>
          <w:tcPr>
            <w:tcW w:w="1260" w:type="dxa"/>
            <w:shd w:val="clear" w:color="auto" w:fill="C6EFCE"/>
            <w:noWrap/>
            <w:vAlign w:val="center"/>
          </w:tcPr>
          <w:p w14:paraId="37F246F0" w14:textId="77777777" w:rsidR="00011DE9" w:rsidRDefault="00011DE9">
            <w:pPr>
              <w:pStyle w:val="P68B1DB1-Normal78"/>
              <w:spacing w:after="0" w:line="240" w:lineRule="auto"/>
              <w:jc w:val="center"/>
              <w:rPr>
                <w:rFonts w:eastAsia="Times New Roman" w:cs="Times New Roman"/>
                <w:noProof/>
                <w:szCs w:val="20"/>
              </w:rPr>
            </w:pPr>
            <w:r>
              <w:rPr>
                <w:noProof/>
              </w:rPr>
              <w:t>329</w:t>
            </w:r>
          </w:p>
        </w:tc>
        <w:tc>
          <w:tcPr>
            <w:tcW w:w="1403" w:type="dxa"/>
            <w:shd w:val="clear" w:color="auto" w:fill="C6EFCE"/>
            <w:noWrap/>
            <w:vAlign w:val="center"/>
          </w:tcPr>
          <w:p w14:paraId="64983D14" w14:textId="77777777" w:rsidR="00011DE9" w:rsidRDefault="00011DE9">
            <w:pPr>
              <w:pStyle w:val="P68B1DB1-Normal78"/>
              <w:spacing w:after="0" w:line="240" w:lineRule="auto"/>
              <w:jc w:val="center"/>
              <w:rPr>
                <w:rFonts w:eastAsia="Times New Roman" w:cs="Times New Roman"/>
                <w:noProof/>
                <w:szCs w:val="20"/>
              </w:rPr>
            </w:pPr>
            <w:r>
              <w:rPr>
                <w:noProof/>
              </w:rPr>
              <w:t>C23.R1</w:t>
            </w:r>
          </w:p>
        </w:tc>
        <w:tc>
          <w:tcPr>
            <w:tcW w:w="1139" w:type="dxa"/>
            <w:shd w:val="clear" w:color="auto" w:fill="C6EFCE"/>
            <w:noWrap/>
            <w:vAlign w:val="center"/>
          </w:tcPr>
          <w:p w14:paraId="3F6C0494"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2DF87337" w14:textId="77777777" w:rsidR="00011DE9" w:rsidRDefault="00011DE9">
            <w:pPr>
              <w:pStyle w:val="P68B1DB1-Normal78"/>
              <w:spacing w:after="0" w:line="240" w:lineRule="auto"/>
              <w:rPr>
                <w:rFonts w:eastAsia="Times New Roman" w:cs="Times New Roman"/>
                <w:noProof/>
                <w:szCs w:val="20"/>
              </w:rPr>
            </w:pPr>
            <w:r>
              <w:rPr>
                <w:noProof/>
              </w:rPr>
              <w:t>Intrarea în vigoare a două decrete-lege regale care reglementează munca la distanță în sectorul privat și în administrațiile publice</w:t>
            </w:r>
          </w:p>
        </w:tc>
      </w:tr>
      <w:tr w:rsidR="00011DE9" w14:paraId="6FF7F915" w14:textId="77777777">
        <w:trPr>
          <w:trHeight w:val="268"/>
        </w:trPr>
        <w:tc>
          <w:tcPr>
            <w:tcW w:w="1260" w:type="dxa"/>
            <w:shd w:val="clear" w:color="auto" w:fill="C6EFCE"/>
            <w:noWrap/>
            <w:vAlign w:val="center"/>
          </w:tcPr>
          <w:p w14:paraId="6205B4D1" w14:textId="77777777" w:rsidR="00011DE9" w:rsidRDefault="00011DE9">
            <w:pPr>
              <w:pStyle w:val="P68B1DB1-Normal78"/>
              <w:spacing w:after="0" w:line="240" w:lineRule="auto"/>
              <w:jc w:val="center"/>
              <w:rPr>
                <w:rFonts w:eastAsia="Times New Roman" w:cs="Times New Roman"/>
                <w:noProof/>
                <w:szCs w:val="20"/>
              </w:rPr>
            </w:pPr>
            <w:r>
              <w:rPr>
                <w:noProof/>
              </w:rPr>
              <w:t>330</w:t>
            </w:r>
          </w:p>
        </w:tc>
        <w:tc>
          <w:tcPr>
            <w:tcW w:w="1403" w:type="dxa"/>
            <w:shd w:val="clear" w:color="auto" w:fill="C6EFCE"/>
            <w:noWrap/>
            <w:vAlign w:val="center"/>
          </w:tcPr>
          <w:p w14:paraId="0FF6A6EC" w14:textId="77777777" w:rsidR="00011DE9" w:rsidRDefault="00011DE9">
            <w:pPr>
              <w:pStyle w:val="P68B1DB1-Normal78"/>
              <w:spacing w:after="0" w:line="240" w:lineRule="auto"/>
              <w:jc w:val="center"/>
              <w:rPr>
                <w:rFonts w:eastAsia="Times New Roman" w:cs="Times New Roman"/>
                <w:noProof/>
                <w:szCs w:val="20"/>
              </w:rPr>
            </w:pPr>
            <w:r>
              <w:rPr>
                <w:noProof/>
              </w:rPr>
              <w:t>C23.R2</w:t>
            </w:r>
          </w:p>
        </w:tc>
        <w:tc>
          <w:tcPr>
            <w:tcW w:w="1139" w:type="dxa"/>
            <w:shd w:val="clear" w:color="auto" w:fill="C6EFCE"/>
            <w:noWrap/>
            <w:vAlign w:val="center"/>
          </w:tcPr>
          <w:p w14:paraId="046E5BEB"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18C8F1FB" w14:textId="77777777" w:rsidR="00011DE9" w:rsidRDefault="00011DE9">
            <w:pPr>
              <w:pStyle w:val="P68B1DB1-Normal78"/>
              <w:spacing w:after="0" w:line="240" w:lineRule="auto"/>
              <w:rPr>
                <w:rFonts w:eastAsia="Times New Roman" w:cs="Times New Roman"/>
                <w:noProof/>
                <w:szCs w:val="20"/>
              </w:rPr>
            </w:pPr>
            <w:r>
              <w:rPr>
                <w:noProof/>
              </w:rPr>
              <w:t>Intrarea în vigoare a două regulamente privind egalitatea de remunerare între femei și bărbați și privind planurile de promovare a egalității și înregistrarea acestora</w:t>
            </w:r>
          </w:p>
        </w:tc>
      </w:tr>
      <w:tr w:rsidR="00011DE9" w14:paraId="20ADEE39" w14:textId="77777777">
        <w:trPr>
          <w:trHeight w:val="268"/>
        </w:trPr>
        <w:tc>
          <w:tcPr>
            <w:tcW w:w="1260" w:type="dxa"/>
            <w:shd w:val="clear" w:color="auto" w:fill="C6EFCE"/>
            <w:noWrap/>
            <w:vAlign w:val="center"/>
          </w:tcPr>
          <w:p w14:paraId="171B7EBC" w14:textId="77777777" w:rsidR="00011DE9" w:rsidRDefault="00011DE9">
            <w:pPr>
              <w:pStyle w:val="P68B1DB1-Normal78"/>
              <w:spacing w:after="0" w:line="240" w:lineRule="auto"/>
              <w:jc w:val="center"/>
              <w:rPr>
                <w:rFonts w:eastAsia="Times New Roman" w:cs="Times New Roman"/>
                <w:noProof/>
                <w:szCs w:val="20"/>
              </w:rPr>
            </w:pPr>
            <w:r>
              <w:rPr>
                <w:noProof/>
              </w:rPr>
              <w:t>333</w:t>
            </w:r>
          </w:p>
        </w:tc>
        <w:tc>
          <w:tcPr>
            <w:tcW w:w="1403" w:type="dxa"/>
            <w:shd w:val="clear" w:color="auto" w:fill="C6EFCE"/>
            <w:noWrap/>
            <w:vAlign w:val="center"/>
          </w:tcPr>
          <w:p w14:paraId="14D9BF8D" w14:textId="77777777" w:rsidR="00011DE9" w:rsidRDefault="00011DE9">
            <w:pPr>
              <w:pStyle w:val="P68B1DB1-Normal78"/>
              <w:spacing w:after="0" w:line="240" w:lineRule="auto"/>
              <w:jc w:val="center"/>
              <w:rPr>
                <w:rFonts w:eastAsia="Times New Roman" w:cs="Times New Roman"/>
                <w:noProof/>
                <w:szCs w:val="20"/>
              </w:rPr>
            </w:pPr>
            <w:r>
              <w:rPr>
                <w:noProof/>
              </w:rPr>
              <w:t>C23.R5</w:t>
            </w:r>
          </w:p>
        </w:tc>
        <w:tc>
          <w:tcPr>
            <w:tcW w:w="1139" w:type="dxa"/>
            <w:shd w:val="clear" w:color="auto" w:fill="C6EFCE"/>
            <w:noWrap/>
            <w:vAlign w:val="center"/>
          </w:tcPr>
          <w:p w14:paraId="0096421E"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1F732DBA"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Planului de acțiune pentru combaterea șomajului în rândul tinerilor </w:t>
            </w:r>
          </w:p>
        </w:tc>
      </w:tr>
      <w:tr w:rsidR="00011DE9" w14:paraId="49C3CEAC" w14:textId="77777777">
        <w:trPr>
          <w:trHeight w:val="268"/>
        </w:trPr>
        <w:tc>
          <w:tcPr>
            <w:tcW w:w="1260" w:type="dxa"/>
            <w:shd w:val="clear" w:color="auto" w:fill="C6EFCE"/>
            <w:noWrap/>
            <w:vAlign w:val="center"/>
          </w:tcPr>
          <w:p w14:paraId="4B98C1C8" w14:textId="77777777" w:rsidR="00011DE9" w:rsidRDefault="00011DE9">
            <w:pPr>
              <w:pStyle w:val="P68B1DB1-Normal78"/>
              <w:spacing w:after="0" w:line="240" w:lineRule="auto"/>
              <w:jc w:val="center"/>
              <w:rPr>
                <w:rFonts w:eastAsia="Times New Roman" w:cs="Times New Roman"/>
                <w:noProof/>
                <w:szCs w:val="20"/>
              </w:rPr>
            </w:pPr>
            <w:r>
              <w:rPr>
                <w:noProof/>
              </w:rPr>
              <w:t>363</w:t>
            </w:r>
          </w:p>
        </w:tc>
        <w:tc>
          <w:tcPr>
            <w:tcW w:w="1403" w:type="dxa"/>
            <w:shd w:val="clear" w:color="auto" w:fill="C6EFCE"/>
            <w:noWrap/>
            <w:vAlign w:val="center"/>
          </w:tcPr>
          <w:p w14:paraId="3E4EF946" w14:textId="77777777" w:rsidR="00011DE9" w:rsidRDefault="00011DE9">
            <w:pPr>
              <w:pStyle w:val="P68B1DB1-Normal78"/>
              <w:spacing w:after="0" w:line="240" w:lineRule="auto"/>
              <w:jc w:val="center"/>
              <w:rPr>
                <w:rFonts w:eastAsia="Times New Roman" w:cs="Times New Roman"/>
                <w:noProof/>
                <w:szCs w:val="20"/>
              </w:rPr>
            </w:pPr>
            <w:r>
              <w:rPr>
                <w:noProof/>
              </w:rPr>
              <w:t>C25.R1</w:t>
            </w:r>
          </w:p>
        </w:tc>
        <w:tc>
          <w:tcPr>
            <w:tcW w:w="1139" w:type="dxa"/>
            <w:shd w:val="clear" w:color="auto" w:fill="C6EFCE"/>
            <w:noWrap/>
            <w:vAlign w:val="center"/>
          </w:tcPr>
          <w:p w14:paraId="76BDCBE4"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6A43E562" w14:textId="77777777" w:rsidR="00011DE9" w:rsidRDefault="00011DE9">
            <w:pPr>
              <w:pStyle w:val="P68B1DB1-Normal78"/>
              <w:spacing w:after="0" w:line="240" w:lineRule="auto"/>
              <w:rPr>
                <w:rFonts w:eastAsia="Times New Roman" w:cs="Times New Roman"/>
                <w:noProof/>
                <w:szCs w:val="20"/>
              </w:rPr>
            </w:pPr>
            <w:r>
              <w:rPr>
                <w:noProof/>
              </w:rPr>
              <w:t>Planul „Spania, Centrul audiovizual al Europei”.</w:t>
            </w:r>
          </w:p>
        </w:tc>
      </w:tr>
      <w:tr w:rsidR="00011DE9" w14:paraId="18698640" w14:textId="77777777">
        <w:trPr>
          <w:trHeight w:val="268"/>
        </w:trPr>
        <w:tc>
          <w:tcPr>
            <w:tcW w:w="1260" w:type="dxa"/>
            <w:shd w:val="clear" w:color="auto" w:fill="C6EFCE"/>
            <w:noWrap/>
            <w:vAlign w:val="center"/>
          </w:tcPr>
          <w:p w14:paraId="77DC6FCD" w14:textId="77777777" w:rsidR="00011DE9" w:rsidRDefault="00011DE9">
            <w:pPr>
              <w:pStyle w:val="P68B1DB1-Normal78"/>
              <w:spacing w:after="0" w:line="240" w:lineRule="auto"/>
              <w:jc w:val="center"/>
              <w:rPr>
                <w:rFonts w:eastAsia="Times New Roman" w:cs="Times New Roman"/>
                <w:noProof/>
                <w:szCs w:val="20"/>
              </w:rPr>
            </w:pPr>
            <w:r>
              <w:rPr>
                <w:noProof/>
              </w:rPr>
              <w:t>385</w:t>
            </w:r>
          </w:p>
        </w:tc>
        <w:tc>
          <w:tcPr>
            <w:tcW w:w="1403" w:type="dxa"/>
            <w:shd w:val="clear" w:color="auto" w:fill="C6EFCE"/>
            <w:noWrap/>
            <w:vAlign w:val="center"/>
          </w:tcPr>
          <w:p w14:paraId="5EBA0B13" w14:textId="77777777" w:rsidR="00011DE9" w:rsidRDefault="00011DE9">
            <w:pPr>
              <w:pStyle w:val="P68B1DB1-Normal78"/>
              <w:spacing w:after="0" w:line="240" w:lineRule="auto"/>
              <w:jc w:val="center"/>
              <w:rPr>
                <w:rFonts w:eastAsia="Times New Roman" w:cs="Times New Roman"/>
                <w:noProof/>
                <w:szCs w:val="20"/>
              </w:rPr>
            </w:pPr>
            <w:r>
              <w:rPr>
                <w:noProof/>
              </w:rPr>
              <w:t>C28.R1</w:t>
            </w:r>
          </w:p>
        </w:tc>
        <w:tc>
          <w:tcPr>
            <w:tcW w:w="1139" w:type="dxa"/>
            <w:shd w:val="clear" w:color="auto" w:fill="C6EFCE"/>
            <w:noWrap/>
            <w:vAlign w:val="center"/>
          </w:tcPr>
          <w:p w14:paraId="2247BEA2"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35690174" w14:textId="77777777" w:rsidR="00011DE9" w:rsidRDefault="00011DE9">
            <w:pPr>
              <w:pStyle w:val="P68B1DB1-Normal78"/>
              <w:spacing w:after="0" w:line="240" w:lineRule="auto"/>
              <w:rPr>
                <w:rFonts w:eastAsia="Times New Roman" w:cs="Times New Roman"/>
                <w:noProof/>
                <w:szCs w:val="20"/>
              </w:rPr>
            </w:pPr>
            <w:r>
              <w:rPr>
                <w:noProof/>
              </w:rPr>
              <w:t>Măsurile fiscal-bugetare adoptate în 2020 și 2021 pentru a atenua efectele pandemiei de COVID-19.</w:t>
            </w:r>
          </w:p>
        </w:tc>
      </w:tr>
      <w:tr w:rsidR="00011DE9" w14:paraId="053392D8" w14:textId="77777777">
        <w:trPr>
          <w:trHeight w:val="268"/>
        </w:trPr>
        <w:tc>
          <w:tcPr>
            <w:tcW w:w="1260" w:type="dxa"/>
            <w:shd w:val="clear" w:color="auto" w:fill="C6EFCE"/>
            <w:noWrap/>
            <w:vAlign w:val="center"/>
          </w:tcPr>
          <w:p w14:paraId="23500730" w14:textId="77777777" w:rsidR="00011DE9" w:rsidRDefault="00011DE9">
            <w:pPr>
              <w:pStyle w:val="P68B1DB1-Normal78"/>
              <w:spacing w:after="0" w:line="240" w:lineRule="auto"/>
              <w:jc w:val="center"/>
              <w:rPr>
                <w:rFonts w:eastAsia="Times New Roman" w:cs="Times New Roman"/>
                <w:noProof/>
                <w:szCs w:val="20"/>
              </w:rPr>
            </w:pPr>
            <w:r>
              <w:rPr>
                <w:noProof/>
              </w:rPr>
              <w:t>387</w:t>
            </w:r>
          </w:p>
        </w:tc>
        <w:tc>
          <w:tcPr>
            <w:tcW w:w="1403" w:type="dxa"/>
            <w:shd w:val="clear" w:color="auto" w:fill="C6EFCE"/>
            <w:noWrap/>
            <w:vAlign w:val="center"/>
          </w:tcPr>
          <w:p w14:paraId="50309048" w14:textId="77777777" w:rsidR="00011DE9" w:rsidRDefault="00011DE9">
            <w:pPr>
              <w:pStyle w:val="P68B1DB1-Normal78"/>
              <w:spacing w:after="0" w:line="240" w:lineRule="auto"/>
              <w:jc w:val="center"/>
              <w:rPr>
                <w:rFonts w:eastAsia="Times New Roman" w:cs="Times New Roman"/>
                <w:noProof/>
                <w:szCs w:val="20"/>
              </w:rPr>
            </w:pPr>
            <w:r>
              <w:rPr>
                <w:noProof/>
              </w:rPr>
              <w:t>C28.R3</w:t>
            </w:r>
          </w:p>
        </w:tc>
        <w:tc>
          <w:tcPr>
            <w:tcW w:w="1139" w:type="dxa"/>
            <w:shd w:val="clear" w:color="auto" w:fill="C6EFCE"/>
            <w:noWrap/>
            <w:vAlign w:val="center"/>
          </w:tcPr>
          <w:p w14:paraId="721BFDCF"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36E4DE5E" w14:textId="77777777" w:rsidR="00011DE9" w:rsidRDefault="00011DE9">
            <w:pPr>
              <w:pStyle w:val="P68B1DB1-Normal78"/>
              <w:spacing w:after="0" w:line="240" w:lineRule="auto"/>
              <w:rPr>
                <w:rFonts w:eastAsia="Times New Roman" w:cs="Times New Roman"/>
                <w:noProof/>
                <w:szCs w:val="20"/>
              </w:rPr>
            </w:pPr>
            <w:r>
              <w:rPr>
                <w:noProof/>
              </w:rPr>
              <w:t>Numirea Comitetului de experți de către secretarul de stat pentru finanțe.</w:t>
            </w:r>
          </w:p>
        </w:tc>
      </w:tr>
      <w:tr w:rsidR="00011DE9" w14:paraId="5E72A228" w14:textId="77777777">
        <w:trPr>
          <w:trHeight w:val="268"/>
        </w:trPr>
        <w:tc>
          <w:tcPr>
            <w:tcW w:w="1260" w:type="dxa"/>
            <w:shd w:val="clear" w:color="auto" w:fill="C6EFCE"/>
            <w:noWrap/>
            <w:vAlign w:val="center"/>
          </w:tcPr>
          <w:p w14:paraId="26952204" w14:textId="77777777" w:rsidR="00011DE9" w:rsidRDefault="00011DE9">
            <w:pPr>
              <w:pStyle w:val="P68B1DB1-Normal78"/>
              <w:spacing w:after="0" w:line="240" w:lineRule="auto"/>
              <w:jc w:val="center"/>
              <w:rPr>
                <w:rFonts w:eastAsia="Times New Roman" w:cs="Times New Roman"/>
                <w:noProof/>
                <w:szCs w:val="20"/>
              </w:rPr>
            </w:pPr>
            <w:r>
              <w:rPr>
                <w:noProof/>
              </w:rPr>
              <w:t>392</w:t>
            </w:r>
          </w:p>
        </w:tc>
        <w:tc>
          <w:tcPr>
            <w:tcW w:w="1403" w:type="dxa"/>
            <w:shd w:val="clear" w:color="auto" w:fill="C6EFCE"/>
            <w:noWrap/>
            <w:vAlign w:val="center"/>
          </w:tcPr>
          <w:p w14:paraId="4246BA1C" w14:textId="77777777" w:rsidR="00011DE9" w:rsidRDefault="00011DE9">
            <w:pPr>
              <w:pStyle w:val="P68B1DB1-Normal78"/>
              <w:spacing w:after="0" w:line="240" w:lineRule="auto"/>
              <w:jc w:val="center"/>
              <w:rPr>
                <w:rFonts w:eastAsia="Times New Roman" w:cs="Times New Roman"/>
                <w:noProof/>
                <w:szCs w:val="20"/>
              </w:rPr>
            </w:pPr>
            <w:r>
              <w:rPr>
                <w:noProof/>
              </w:rPr>
              <w:t>C28.R5</w:t>
            </w:r>
          </w:p>
        </w:tc>
        <w:tc>
          <w:tcPr>
            <w:tcW w:w="1139" w:type="dxa"/>
            <w:shd w:val="clear" w:color="auto" w:fill="C6EFCE"/>
            <w:noWrap/>
            <w:vAlign w:val="center"/>
          </w:tcPr>
          <w:p w14:paraId="2E5EA907"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008737C1" w14:textId="77777777" w:rsidR="00011DE9" w:rsidRDefault="00011DE9">
            <w:pPr>
              <w:pStyle w:val="P68B1DB1-Normal78"/>
              <w:spacing w:after="0" w:line="240" w:lineRule="auto"/>
              <w:rPr>
                <w:rFonts w:eastAsia="Times New Roman" w:cs="Times New Roman"/>
                <w:noProof/>
                <w:szCs w:val="20"/>
              </w:rPr>
            </w:pPr>
            <w:r>
              <w:rPr>
                <w:noProof/>
              </w:rPr>
              <w:t>Impozitarea serviciilor digitale</w:t>
            </w:r>
          </w:p>
        </w:tc>
      </w:tr>
      <w:tr w:rsidR="00011DE9" w14:paraId="57D8B543" w14:textId="77777777">
        <w:trPr>
          <w:trHeight w:val="268"/>
        </w:trPr>
        <w:tc>
          <w:tcPr>
            <w:tcW w:w="1260" w:type="dxa"/>
            <w:shd w:val="clear" w:color="auto" w:fill="C6EFCE"/>
            <w:noWrap/>
            <w:vAlign w:val="center"/>
          </w:tcPr>
          <w:p w14:paraId="6EC3B777" w14:textId="77777777" w:rsidR="00011DE9" w:rsidRDefault="00011DE9">
            <w:pPr>
              <w:pStyle w:val="P68B1DB1-Normal78"/>
              <w:spacing w:after="0" w:line="240" w:lineRule="auto"/>
              <w:jc w:val="center"/>
              <w:rPr>
                <w:rFonts w:eastAsia="Times New Roman" w:cs="Times New Roman"/>
                <w:noProof/>
                <w:szCs w:val="20"/>
              </w:rPr>
            </w:pPr>
            <w:r>
              <w:rPr>
                <w:noProof/>
              </w:rPr>
              <w:t>393</w:t>
            </w:r>
          </w:p>
        </w:tc>
        <w:tc>
          <w:tcPr>
            <w:tcW w:w="1403" w:type="dxa"/>
            <w:shd w:val="clear" w:color="auto" w:fill="C6EFCE"/>
            <w:noWrap/>
            <w:vAlign w:val="center"/>
          </w:tcPr>
          <w:p w14:paraId="65623ADA" w14:textId="77777777" w:rsidR="00011DE9" w:rsidRDefault="00011DE9">
            <w:pPr>
              <w:pStyle w:val="P68B1DB1-Normal78"/>
              <w:spacing w:after="0" w:line="240" w:lineRule="auto"/>
              <w:jc w:val="center"/>
              <w:rPr>
                <w:rFonts w:eastAsia="Times New Roman" w:cs="Times New Roman"/>
                <w:noProof/>
                <w:szCs w:val="20"/>
              </w:rPr>
            </w:pPr>
            <w:r>
              <w:rPr>
                <w:noProof/>
              </w:rPr>
              <w:t>C28.R6</w:t>
            </w:r>
          </w:p>
        </w:tc>
        <w:tc>
          <w:tcPr>
            <w:tcW w:w="1139" w:type="dxa"/>
            <w:shd w:val="clear" w:color="auto" w:fill="C6EFCE"/>
            <w:noWrap/>
            <w:vAlign w:val="center"/>
          </w:tcPr>
          <w:p w14:paraId="0478A952"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24046663" w14:textId="77777777" w:rsidR="00011DE9" w:rsidRDefault="00011DE9">
            <w:pPr>
              <w:pStyle w:val="P68B1DB1-Normal78"/>
              <w:spacing w:after="0" w:line="240" w:lineRule="auto"/>
              <w:rPr>
                <w:rFonts w:eastAsia="Times New Roman" w:cs="Times New Roman"/>
                <w:noProof/>
                <w:szCs w:val="20"/>
              </w:rPr>
            </w:pPr>
            <w:r>
              <w:rPr>
                <w:noProof/>
              </w:rPr>
              <w:t>Taxa pe tranzacțiile financiare</w:t>
            </w:r>
          </w:p>
        </w:tc>
      </w:tr>
      <w:tr w:rsidR="00011DE9" w14:paraId="6EE12962" w14:textId="77777777">
        <w:trPr>
          <w:trHeight w:val="268"/>
        </w:trPr>
        <w:tc>
          <w:tcPr>
            <w:tcW w:w="1260" w:type="dxa"/>
            <w:shd w:val="clear" w:color="auto" w:fill="C6EFCE"/>
            <w:noWrap/>
            <w:vAlign w:val="center"/>
          </w:tcPr>
          <w:p w14:paraId="2FAEA841" w14:textId="77777777" w:rsidR="00011DE9" w:rsidRDefault="00011DE9">
            <w:pPr>
              <w:pStyle w:val="P68B1DB1-Normal78"/>
              <w:spacing w:after="0" w:line="240" w:lineRule="auto"/>
              <w:jc w:val="center"/>
              <w:rPr>
                <w:rFonts w:eastAsia="Times New Roman" w:cs="Times New Roman"/>
                <w:noProof/>
                <w:szCs w:val="20"/>
              </w:rPr>
            </w:pPr>
            <w:r>
              <w:rPr>
                <w:noProof/>
              </w:rPr>
              <w:t>394</w:t>
            </w:r>
          </w:p>
        </w:tc>
        <w:tc>
          <w:tcPr>
            <w:tcW w:w="1403" w:type="dxa"/>
            <w:shd w:val="clear" w:color="auto" w:fill="C6EFCE"/>
            <w:noWrap/>
            <w:vAlign w:val="center"/>
          </w:tcPr>
          <w:p w14:paraId="5A798214" w14:textId="77777777" w:rsidR="00011DE9" w:rsidRDefault="00011DE9">
            <w:pPr>
              <w:pStyle w:val="P68B1DB1-Normal78"/>
              <w:spacing w:after="0" w:line="240" w:lineRule="auto"/>
              <w:jc w:val="center"/>
              <w:rPr>
                <w:rFonts w:eastAsia="Times New Roman" w:cs="Times New Roman"/>
                <w:noProof/>
                <w:szCs w:val="20"/>
              </w:rPr>
            </w:pPr>
            <w:r>
              <w:rPr>
                <w:noProof/>
              </w:rPr>
              <w:t>C28.R7</w:t>
            </w:r>
          </w:p>
        </w:tc>
        <w:tc>
          <w:tcPr>
            <w:tcW w:w="1139" w:type="dxa"/>
            <w:shd w:val="clear" w:color="auto" w:fill="C6EFCE"/>
            <w:noWrap/>
            <w:vAlign w:val="center"/>
          </w:tcPr>
          <w:p w14:paraId="02802983"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09C53DD1" w14:textId="77777777" w:rsidR="00011DE9" w:rsidRDefault="00011DE9">
            <w:pPr>
              <w:pStyle w:val="P68B1DB1-Normal78"/>
              <w:spacing w:after="0" w:line="240" w:lineRule="auto"/>
              <w:rPr>
                <w:rFonts w:eastAsia="Times New Roman" w:cs="Times New Roman"/>
                <w:noProof/>
                <w:szCs w:val="20"/>
              </w:rPr>
            </w:pPr>
            <w:r>
              <w:rPr>
                <w:noProof/>
              </w:rPr>
              <w:t>Modificări ale impozitului pe venitul persoanelor fizice și ale impozitului pe avere în 2021</w:t>
            </w:r>
          </w:p>
        </w:tc>
      </w:tr>
      <w:tr w:rsidR="00011DE9" w14:paraId="4795F90F" w14:textId="77777777">
        <w:trPr>
          <w:trHeight w:val="268"/>
        </w:trPr>
        <w:tc>
          <w:tcPr>
            <w:tcW w:w="1260" w:type="dxa"/>
            <w:shd w:val="clear" w:color="auto" w:fill="C6EFCE"/>
            <w:noWrap/>
            <w:vAlign w:val="center"/>
          </w:tcPr>
          <w:p w14:paraId="4EFD76BF" w14:textId="77777777" w:rsidR="00011DE9" w:rsidRDefault="00011DE9">
            <w:pPr>
              <w:pStyle w:val="P68B1DB1-Normal78"/>
              <w:spacing w:after="0" w:line="240" w:lineRule="auto"/>
              <w:jc w:val="center"/>
              <w:rPr>
                <w:rFonts w:eastAsia="Times New Roman" w:cs="Times New Roman"/>
                <w:noProof/>
                <w:szCs w:val="20"/>
              </w:rPr>
            </w:pPr>
            <w:r>
              <w:rPr>
                <w:noProof/>
              </w:rPr>
              <w:t>395</w:t>
            </w:r>
          </w:p>
        </w:tc>
        <w:tc>
          <w:tcPr>
            <w:tcW w:w="1403" w:type="dxa"/>
            <w:shd w:val="clear" w:color="auto" w:fill="C6EFCE"/>
            <w:noWrap/>
            <w:vAlign w:val="center"/>
          </w:tcPr>
          <w:p w14:paraId="6CC16C81" w14:textId="77777777" w:rsidR="00011DE9" w:rsidRDefault="00011DE9">
            <w:pPr>
              <w:pStyle w:val="P68B1DB1-Normal78"/>
              <w:spacing w:after="0" w:line="240" w:lineRule="auto"/>
              <w:jc w:val="center"/>
              <w:rPr>
                <w:rFonts w:eastAsia="Times New Roman" w:cs="Times New Roman"/>
                <w:noProof/>
                <w:szCs w:val="20"/>
              </w:rPr>
            </w:pPr>
            <w:r>
              <w:rPr>
                <w:noProof/>
              </w:rPr>
              <w:t>C28.R8</w:t>
            </w:r>
          </w:p>
        </w:tc>
        <w:tc>
          <w:tcPr>
            <w:tcW w:w="1139" w:type="dxa"/>
            <w:shd w:val="clear" w:color="auto" w:fill="C6EFCE"/>
            <w:noWrap/>
            <w:vAlign w:val="center"/>
          </w:tcPr>
          <w:p w14:paraId="536C7903"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036B5484" w14:textId="77777777" w:rsidR="00011DE9" w:rsidRDefault="00011DE9">
            <w:pPr>
              <w:pStyle w:val="P68B1DB1-Normal78"/>
              <w:spacing w:after="0" w:line="240" w:lineRule="auto"/>
              <w:rPr>
                <w:rFonts w:eastAsia="Times New Roman" w:cs="Times New Roman"/>
                <w:noProof/>
                <w:szCs w:val="20"/>
              </w:rPr>
            </w:pPr>
            <w:r>
              <w:rPr>
                <w:noProof/>
              </w:rPr>
              <w:t>Modificări ale impozitului pe profit în 2021</w:t>
            </w:r>
          </w:p>
        </w:tc>
      </w:tr>
      <w:tr w:rsidR="00011DE9" w14:paraId="4B9DFECC" w14:textId="77777777">
        <w:trPr>
          <w:trHeight w:val="268"/>
        </w:trPr>
        <w:tc>
          <w:tcPr>
            <w:tcW w:w="1260" w:type="dxa"/>
            <w:shd w:val="clear" w:color="auto" w:fill="C6EFCE"/>
            <w:noWrap/>
            <w:vAlign w:val="center"/>
          </w:tcPr>
          <w:p w14:paraId="5F809BA0" w14:textId="77777777" w:rsidR="00011DE9" w:rsidRDefault="00011DE9">
            <w:pPr>
              <w:pStyle w:val="P68B1DB1-Normal78"/>
              <w:spacing w:after="0" w:line="240" w:lineRule="auto"/>
              <w:jc w:val="center"/>
              <w:rPr>
                <w:rFonts w:eastAsia="Times New Roman" w:cs="Times New Roman"/>
                <w:noProof/>
                <w:szCs w:val="20"/>
              </w:rPr>
            </w:pPr>
            <w:r>
              <w:rPr>
                <w:noProof/>
              </w:rPr>
              <w:t>396</w:t>
            </w:r>
          </w:p>
        </w:tc>
        <w:tc>
          <w:tcPr>
            <w:tcW w:w="1403" w:type="dxa"/>
            <w:shd w:val="clear" w:color="auto" w:fill="C6EFCE"/>
            <w:noWrap/>
            <w:vAlign w:val="center"/>
          </w:tcPr>
          <w:p w14:paraId="63DF2788" w14:textId="77777777" w:rsidR="00011DE9" w:rsidRDefault="00011DE9">
            <w:pPr>
              <w:pStyle w:val="P68B1DB1-Normal78"/>
              <w:spacing w:after="0" w:line="240" w:lineRule="auto"/>
              <w:jc w:val="center"/>
              <w:rPr>
                <w:rFonts w:eastAsia="Times New Roman" w:cs="Times New Roman"/>
                <w:noProof/>
                <w:szCs w:val="20"/>
              </w:rPr>
            </w:pPr>
            <w:r>
              <w:rPr>
                <w:noProof/>
              </w:rPr>
              <w:t>C28.R9</w:t>
            </w:r>
          </w:p>
        </w:tc>
        <w:tc>
          <w:tcPr>
            <w:tcW w:w="1139" w:type="dxa"/>
            <w:shd w:val="clear" w:color="auto" w:fill="C6EFCE"/>
            <w:noWrap/>
            <w:vAlign w:val="center"/>
          </w:tcPr>
          <w:p w14:paraId="02FC8784"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2CE79724" w14:textId="77777777" w:rsidR="00011DE9" w:rsidRDefault="00011DE9">
            <w:pPr>
              <w:pStyle w:val="P68B1DB1-Normal78"/>
              <w:spacing w:after="0" w:line="240" w:lineRule="auto"/>
              <w:rPr>
                <w:rFonts w:eastAsia="Times New Roman" w:cs="Times New Roman"/>
                <w:noProof/>
                <w:szCs w:val="20"/>
              </w:rPr>
            </w:pPr>
            <w:r>
              <w:rPr>
                <w:noProof/>
              </w:rPr>
              <w:t>Modificări ale impozitelor indirecte în 2021</w:t>
            </w:r>
          </w:p>
        </w:tc>
      </w:tr>
      <w:tr w:rsidR="00011DE9" w14:paraId="54C71195" w14:textId="77777777">
        <w:trPr>
          <w:trHeight w:val="268"/>
        </w:trPr>
        <w:tc>
          <w:tcPr>
            <w:tcW w:w="1260" w:type="dxa"/>
            <w:shd w:val="clear" w:color="auto" w:fill="C6EFCE"/>
            <w:noWrap/>
            <w:vAlign w:val="center"/>
          </w:tcPr>
          <w:p w14:paraId="0744A3DE" w14:textId="77777777" w:rsidR="00011DE9" w:rsidRDefault="00011DE9">
            <w:pPr>
              <w:pStyle w:val="P68B1DB1-Normal78"/>
              <w:spacing w:after="0" w:line="240" w:lineRule="auto"/>
              <w:jc w:val="center"/>
              <w:rPr>
                <w:rFonts w:eastAsia="Times New Roman" w:cs="Times New Roman"/>
                <w:noProof/>
                <w:szCs w:val="20"/>
              </w:rPr>
            </w:pPr>
            <w:r>
              <w:rPr>
                <w:noProof/>
              </w:rPr>
              <w:t>397</w:t>
            </w:r>
          </w:p>
        </w:tc>
        <w:tc>
          <w:tcPr>
            <w:tcW w:w="1403" w:type="dxa"/>
            <w:shd w:val="clear" w:color="auto" w:fill="C6EFCE"/>
            <w:noWrap/>
            <w:vAlign w:val="center"/>
          </w:tcPr>
          <w:p w14:paraId="6F4F2143" w14:textId="77777777" w:rsidR="00011DE9" w:rsidRDefault="00011DE9">
            <w:pPr>
              <w:pStyle w:val="P68B1DB1-Normal78"/>
              <w:spacing w:after="0" w:line="240" w:lineRule="auto"/>
              <w:jc w:val="center"/>
              <w:rPr>
                <w:rFonts w:eastAsia="Times New Roman" w:cs="Times New Roman"/>
                <w:noProof/>
                <w:szCs w:val="20"/>
              </w:rPr>
            </w:pPr>
            <w:r>
              <w:rPr>
                <w:noProof/>
              </w:rPr>
              <w:t>C29.R1</w:t>
            </w:r>
          </w:p>
        </w:tc>
        <w:tc>
          <w:tcPr>
            <w:tcW w:w="1139" w:type="dxa"/>
            <w:shd w:val="clear" w:color="auto" w:fill="C6EFCE"/>
            <w:noWrap/>
            <w:vAlign w:val="center"/>
          </w:tcPr>
          <w:p w14:paraId="49BBE839"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8C8A74D" w14:textId="77777777" w:rsidR="00011DE9" w:rsidRDefault="00011DE9">
            <w:pPr>
              <w:pStyle w:val="P68B1DB1-Normal78"/>
              <w:spacing w:after="0" w:line="240" w:lineRule="auto"/>
              <w:rPr>
                <w:rFonts w:eastAsia="Times New Roman" w:cs="Times New Roman"/>
                <w:noProof/>
                <w:szCs w:val="20"/>
              </w:rPr>
            </w:pPr>
            <w:r>
              <w:rPr>
                <w:noProof/>
              </w:rPr>
              <w:t xml:space="preserve">Înființarea unei echipe permanente în cadrul </w:t>
            </w:r>
            <w:r>
              <w:rPr>
                <w:noProof/>
                <w:szCs w:val="20"/>
              </w:rPr>
              <w:t>Ministerului</w:t>
            </w:r>
            <w:r>
              <w:rPr>
                <w:noProof/>
              </w:rPr>
              <w:t xml:space="preserve"> Finanțelor pentru monitorizarea activă a punerii în aplicare a rezultatelor analizelor cheltuielilor și aprobarea Ordinului de elaborare a legii bugetare anuale</w:t>
            </w:r>
          </w:p>
        </w:tc>
      </w:tr>
      <w:tr w:rsidR="00011DE9" w14:paraId="3D39EB0A" w14:textId="77777777">
        <w:trPr>
          <w:trHeight w:val="268"/>
        </w:trPr>
        <w:tc>
          <w:tcPr>
            <w:tcW w:w="1260" w:type="dxa"/>
            <w:shd w:val="clear" w:color="auto" w:fill="C6EFCE"/>
            <w:noWrap/>
            <w:vAlign w:val="center"/>
          </w:tcPr>
          <w:p w14:paraId="73FA6E72" w14:textId="77777777" w:rsidR="00011DE9" w:rsidRDefault="00011DE9">
            <w:pPr>
              <w:pStyle w:val="P68B1DB1-Normal78"/>
              <w:spacing w:after="0" w:line="240" w:lineRule="auto"/>
              <w:jc w:val="center"/>
              <w:rPr>
                <w:rFonts w:eastAsia="Times New Roman" w:cs="Times New Roman"/>
                <w:noProof/>
                <w:szCs w:val="20"/>
              </w:rPr>
            </w:pPr>
            <w:r>
              <w:rPr>
                <w:noProof/>
              </w:rPr>
              <w:t>398</w:t>
            </w:r>
          </w:p>
        </w:tc>
        <w:tc>
          <w:tcPr>
            <w:tcW w:w="1403" w:type="dxa"/>
            <w:shd w:val="clear" w:color="auto" w:fill="C6EFCE"/>
            <w:noWrap/>
            <w:vAlign w:val="center"/>
          </w:tcPr>
          <w:p w14:paraId="696C0C24" w14:textId="77777777" w:rsidR="00011DE9" w:rsidRDefault="00011DE9">
            <w:pPr>
              <w:pStyle w:val="P68B1DB1-Normal78"/>
              <w:spacing w:after="0" w:line="240" w:lineRule="auto"/>
              <w:jc w:val="center"/>
              <w:rPr>
                <w:rFonts w:eastAsia="Times New Roman" w:cs="Times New Roman"/>
                <w:noProof/>
                <w:szCs w:val="20"/>
              </w:rPr>
            </w:pPr>
            <w:r>
              <w:rPr>
                <w:noProof/>
              </w:rPr>
              <w:t>C29.R1</w:t>
            </w:r>
          </w:p>
        </w:tc>
        <w:tc>
          <w:tcPr>
            <w:tcW w:w="1139" w:type="dxa"/>
            <w:shd w:val="clear" w:color="auto" w:fill="C6EFCE"/>
            <w:noWrap/>
            <w:vAlign w:val="center"/>
          </w:tcPr>
          <w:p w14:paraId="711A9D50"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2511F6E8" w14:textId="77777777" w:rsidR="00011DE9" w:rsidRDefault="00011DE9">
            <w:pPr>
              <w:pStyle w:val="P68B1DB1-Normal78"/>
              <w:spacing w:after="0" w:line="240" w:lineRule="auto"/>
              <w:rPr>
                <w:rFonts w:eastAsia="Times New Roman" w:cs="Times New Roman"/>
                <w:noProof/>
                <w:szCs w:val="20"/>
              </w:rPr>
            </w:pPr>
            <w:r>
              <w:rPr>
                <w:noProof/>
              </w:rPr>
              <w:t>Faza III a analizei cheltuielilor</w:t>
            </w:r>
          </w:p>
        </w:tc>
      </w:tr>
      <w:tr w:rsidR="00011DE9" w14:paraId="5075F4ED" w14:textId="77777777">
        <w:trPr>
          <w:trHeight w:val="268"/>
        </w:trPr>
        <w:tc>
          <w:tcPr>
            <w:tcW w:w="1260" w:type="dxa"/>
            <w:shd w:val="clear" w:color="auto" w:fill="C6EFCE"/>
            <w:noWrap/>
            <w:vAlign w:val="center"/>
          </w:tcPr>
          <w:p w14:paraId="71FAA06B" w14:textId="77777777" w:rsidR="00011DE9" w:rsidRDefault="00011DE9">
            <w:pPr>
              <w:pStyle w:val="P68B1DB1-Normal78"/>
              <w:spacing w:after="0" w:line="240" w:lineRule="auto"/>
              <w:jc w:val="center"/>
              <w:rPr>
                <w:rFonts w:eastAsia="Times New Roman" w:cs="Times New Roman"/>
                <w:noProof/>
                <w:szCs w:val="20"/>
              </w:rPr>
            </w:pPr>
            <w:r>
              <w:rPr>
                <w:noProof/>
              </w:rPr>
              <w:t>399</w:t>
            </w:r>
          </w:p>
        </w:tc>
        <w:tc>
          <w:tcPr>
            <w:tcW w:w="1403" w:type="dxa"/>
            <w:shd w:val="clear" w:color="auto" w:fill="C6EFCE"/>
            <w:noWrap/>
            <w:vAlign w:val="center"/>
          </w:tcPr>
          <w:p w14:paraId="36E91525" w14:textId="77777777" w:rsidR="00011DE9" w:rsidRDefault="00011DE9">
            <w:pPr>
              <w:pStyle w:val="P68B1DB1-Normal78"/>
              <w:spacing w:after="0" w:line="240" w:lineRule="auto"/>
              <w:jc w:val="center"/>
              <w:rPr>
                <w:rFonts w:eastAsia="Times New Roman" w:cs="Times New Roman"/>
                <w:noProof/>
                <w:szCs w:val="20"/>
              </w:rPr>
            </w:pPr>
            <w:r>
              <w:rPr>
                <w:noProof/>
              </w:rPr>
              <w:t>C29.R1</w:t>
            </w:r>
          </w:p>
        </w:tc>
        <w:tc>
          <w:tcPr>
            <w:tcW w:w="1139" w:type="dxa"/>
            <w:shd w:val="clear" w:color="auto" w:fill="C6EFCE"/>
            <w:noWrap/>
            <w:vAlign w:val="center"/>
          </w:tcPr>
          <w:p w14:paraId="26DCF20D"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053EACC0" w14:textId="77777777" w:rsidR="00011DE9" w:rsidRDefault="00011DE9">
            <w:pPr>
              <w:pStyle w:val="P68B1DB1-Normal78"/>
              <w:spacing w:after="0" w:line="240" w:lineRule="auto"/>
              <w:rPr>
                <w:rFonts w:eastAsia="Times New Roman" w:cs="Times New Roman"/>
                <w:noProof/>
                <w:szCs w:val="20"/>
              </w:rPr>
            </w:pPr>
            <w:r>
              <w:rPr>
                <w:noProof/>
              </w:rPr>
              <w:t>Crearea unei unități permanente în cadrul AIReF, responsabilă cu efectuarea analizelor cheltuielilor mandatate de guvern.</w:t>
            </w:r>
          </w:p>
        </w:tc>
      </w:tr>
      <w:tr w:rsidR="00011DE9" w14:paraId="40798813" w14:textId="77777777">
        <w:trPr>
          <w:trHeight w:val="268"/>
        </w:trPr>
        <w:tc>
          <w:tcPr>
            <w:tcW w:w="1260" w:type="dxa"/>
            <w:shd w:val="clear" w:color="auto" w:fill="C6EFCE"/>
            <w:noWrap/>
            <w:vAlign w:val="center"/>
          </w:tcPr>
          <w:p w14:paraId="58420442" w14:textId="77777777" w:rsidR="00011DE9" w:rsidRDefault="00011DE9">
            <w:pPr>
              <w:pStyle w:val="P68B1DB1-Normal78"/>
              <w:spacing w:after="0" w:line="240" w:lineRule="auto"/>
              <w:jc w:val="center"/>
              <w:rPr>
                <w:rFonts w:eastAsia="Times New Roman" w:cs="Times New Roman"/>
                <w:noProof/>
                <w:szCs w:val="20"/>
              </w:rPr>
            </w:pPr>
            <w:r>
              <w:rPr>
                <w:noProof/>
              </w:rPr>
              <w:t>406</w:t>
            </w:r>
          </w:p>
        </w:tc>
        <w:tc>
          <w:tcPr>
            <w:tcW w:w="1403" w:type="dxa"/>
            <w:shd w:val="clear" w:color="auto" w:fill="C6EFCE"/>
            <w:noWrap/>
            <w:vAlign w:val="center"/>
          </w:tcPr>
          <w:p w14:paraId="77AA41D9" w14:textId="77777777" w:rsidR="00011DE9" w:rsidRDefault="00011DE9">
            <w:pPr>
              <w:pStyle w:val="P68B1DB1-Normal78"/>
              <w:spacing w:after="0" w:line="240" w:lineRule="auto"/>
              <w:jc w:val="center"/>
              <w:rPr>
                <w:rFonts w:eastAsia="Times New Roman" w:cs="Times New Roman"/>
                <w:noProof/>
                <w:szCs w:val="20"/>
              </w:rPr>
            </w:pPr>
            <w:r>
              <w:rPr>
                <w:noProof/>
              </w:rPr>
              <w:t>C30.R1</w:t>
            </w:r>
          </w:p>
        </w:tc>
        <w:tc>
          <w:tcPr>
            <w:tcW w:w="1139" w:type="dxa"/>
            <w:shd w:val="clear" w:color="auto" w:fill="C6EFCE"/>
            <w:noWrap/>
            <w:vAlign w:val="center"/>
          </w:tcPr>
          <w:p w14:paraId="59AD14EC"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60087B92" w14:textId="77777777" w:rsidR="00011DE9" w:rsidRDefault="00011DE9">
            <w:pPr>
              <w:pStyle w:val="P68B1DB1-Normal78"/>
              <w:spacing w:after="0" w:line="240" w:lineRule="auto"/>
              <w:rPr>
                <w:rFonts w:eastAsia="Times New Roman" w:cs="Times New Roman"/>
                <w:noProof/>
                <w:szCs w:val="20"/>
              </w:rPr>
            </w:pPr>
            <w:r>
              <w:rPr>
                <w:noProof/>
              </w:rPr>
              <w:t>Separarea finanțării pentru securitatea socială</w:t>
            </w:r>
          </w:p>
        </w:tc>
      </w:tr>
      <w:tr w:rsidR="00011DE9" w14:paraId="486D89C0" w14:textId="77777777">
        <w:trPr>
          <w:trHeight w:val="268"/>
        </w:trPr>
        <w:tc>
          <w:tcPr>
            <w:tcW w:w="1260" w:type="dxa"/>
            <w:shd w:val="clear" w:color="auto" w:fill="C6EFCE"/>
            <w:noWrap/>
            <w:vAlign w:val="center"/>
          </w:tcPr>
          <w:p w14:paraId="11661A4C" w14:textId="77777777" w:rsidR="00011DE9" w:rsidRDefault="00011DE9">
            <w:pPr>
              <w:pStyle w:val="P68B1DB1-Normal78"/>
              <w:spacing w:after="0" w:line="240" w:lineRule="auto"/>
              <w:jc w:val="center"/>
              <w:rPr>
                <w:rFonts w:eastAsia="Times New Roman" w:cs="Times New Roman"/>
                <w:noProof/>
                <w:szCs w:val="20"/>
              </w:rPr>
            </w:pPr>
            <w:r>
              <w:rPr>
                <w:noProof/>
              </w:rPr>
              <w:t>413</w:t>
            </w:r>
          </w:p>
        </w:tc>
        <w:tc>
          <w:tcPr>
            <w:tcW w:w="1403" w:type="dxa"/>
            <w:shd w:val="clear" w:color="auto" w:fill="C6EFCE"/>
            <w:noWrap/>
            <w:vAlign w:val="center"/>
          </w:tcPr>
          <w:p w14:paraId="150B7D79" w14:textId="77777777" w:rsidR="00011DE9" w:rsidRDefault="00011DE9">
            <w:pPr>
              <w:pStyle w:val="P68B1DB1-Normal78"/>
              <w:spacing w:after="0" w:line="240" w:lineRule="auto"/>
              <w:jc w:val="center"/>
              <w:rPr>
                <w:rFonts w:eastAsia="Times New Roman" w:cs="Times New Roman"/>
                <w:noProof/>
                <w:szCs w:val="20"/>
              </w:rPr>
            </w:pPr>
            <w:r>
              <w:rPr>
                <w:noProof/>
              </w:rPr>
              <w:t>C30.R5</w:t>
            </w:r>
          </w:p>
        </w:tc>
        <w:tc>
          <w:tcPr>
            <w:tcW w:w="1139" w:type="dxa"/>
            <w:shd w:val="clear" w:color="auto" w:fill="C6EFCE"/>
            <w:noWrap/>
            <w:vAlign w:val="center"/>
          </w:tcPr>
          <w:p w14:paraId="74D956B5"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50E05018" w14:textId="77777777" w:rsidR="00011DE9" w:rsidRDefault="00011DE9">
            <w:pPr>
              <w:pStyle w:val="P68B1DB1-Normal78"/>
              <w:spacing w:after="0" w:line="240" w:lineRule="auto"/>
              <w:rPr>
                <w:rFonts w:eastAsia="Times New Roman" w:cs="Times New Roman"/>
                <w:noProof/>
                <w:szCs w:val="20"/>
              </w:rPr>
            </w:pPr>
            <w:r>
              <w:rPr>
                <w:noProof/>
              </w:rPr>
              <w:t>Revizuirea facilităților fiscale legate de actualul sistem de pensii suplimentare</w:t>
            </w:r>
          </w:p>
        </w:tc>
      </w:tr>
      <w:tr w:rsidR="00011DE9" w14:paraId="0929EE6A" w14:textId="77777777">
        <w:trPr>
          <w:trHeight w:val="268"/>
        </w:trPr>
        <w:tc>
          <w:tcPr>
            <w:tcW w:w="1260" w:type="dxa"/>
            <w:shd w:val="clear" w:color="auto" w:fill="C6EFCE"/>
            <w:noWrap/>
            <w:vAlign w:val="center"/>
          </w:tcPr>
          <w:p w14:paraId="2D4A6D35" w14:textId="77777777" w:rsidR="00011DE9" w:rsidRDefault="00011DE9">
            <w:pPr>
              <w:spacing w:after="0" w:line="240" w:lineRule="auto"/>
              <w:jc w:val="center"/>
              <w:rPr>
                <w:rFonts w:ascii="Times New Roman" w:eastAsia="Times New Roman" w:hAnsi="Times New Roman" w:cs="Times New Roman"/>
                <w:noProof/>
                <w:sz w:val="20"/>
                <w:szCs w:val="20"/>
              </w:rPr>
            </w:pPr>
          </w:p>
        </w:tc>
        <w:tc>
          <w:tcPr>
            <w:tcW w:w="1403" w:type="dxa"/>
            <w:shd w:val="clear" w:color="auto" w:fill="C6EFCE"/>
            <w:noWrap/>
            <w:vAlign w:val="center"/>
          </w:tcPr>
          <w:p w14:paraId="1B4C57A8" w14:textId="77777777" w:rsidR="00011DE9" w:rsidRDefault="00011DE9">
            <w:pPr>
              <w:spacing w:after="0" w:line="240" w:lineRule="auto"/>
              <w:rPr>
                <w:rFonts w:ascii="Times New Roman" w:eastAsia="Times New Roman" w:hAnsi="Times New Roman" w:cs="Times New Roman"/>
                <w:noProof/>
                <w:sz w:val="20"/>
                <w:szCs w:val="20"/>
              </w:rPr>
            </w:pPr>
          </w:p>
        </w:tc>
        <w:tc>
          <w:tcPr>
            <w:tcW w:w="1139" w:type="dxa"/>
            <w:shd w:val="clear" w:color="auto" w:fill="C6EFCE"/>
            <w:noWrap/>
            <w:vAlign w:val="center"/>
          </w:tcPr>
          <w:p w14:paraId="5ACB93DB" w14:textId="77777777" w:rsidR="00011DE9" w:rsidRDefault="00011DE9">
            <w:pPr>
              <w:pStyle w:val="P68B1DB1-Normal77"/>
              <w:spacing w:after="0" w:line="240" w:lineRule="auto"/>
              <w:rPr>
                <w:rFonts w:eastAsia="Times New Roman" w:cs="Times New Roman"/>
                <w:noProof/>
                <w:szCs w:val="20"/>
              </w:rPr>
            </w:pPr>
            <w:r>
              <w:rPr>
                <w:noProof/>
              </w:rPr>
              <w:t>Cuantumul tranșei</w:t>
            </w:r>
          </w:p>
        </w:tc>
        <w:tc>
          <w:tcPr>
            <w:tcW w:w="6087" w:type="dxa"/>
            <w:gridSpan w:val="2"/>
            <w:shd w:val="clear" w:color="auto" w:fill="C6EFCE"/>
            <w:noWrap/>
            <w:vAlign w:val="center"/>
          </w:tcPr>
          <w:p w14:paraId="4EF431DE" w14:textId="1919B30E" w:rsidR="00011DE9" w:rsidRDefault="00011DE9">
            <w:pPr>
              <w:pStyle w:val="P68B1DB1-Normal78"/>
              <w:spacing w:after="0" w:line="240" w:lineRule="auto"/>
              <w:rPr>
                <w:rFonts w:eastAsia="Times New Roman" w:cs="Times New Roman"/>
                <w:b/>
                <w:noProof/>
                <w:szCs w:val="20"/>
              </w:rPr>
            </w:pPr>
            <w:r>
              <w:rPr>
                <w:b/>
                <w:noProof/>
              </w:rPr>
              <w:t>11</w:t>
            </w:r>
            <w:r w:rsidR="00971820">
              <w:rPr>
                <w:noProof/>
              </w:rPr>
              <w:t xml:space="preserve"> </w:t>
            </w:r>
            <w:r>
              <w:rPr>
                <w:b/>
                <w:noProof/>
              </w:rPr>
              <w:t>494</w:t>
            </w:r>
            <w:r>
              <w:rPr>
                <w:noProof/>
              </w:rPr>
              <w:t xml:space="preserve"> </w:t>
            </w:r>
            <w:r>
              <w:rPr>
                <w:b/>
                <w:noProof/>
              </w:rPr>
              <w:t>252</w:t>
            </w:r>
            <w:r>
              <w:rPr>
                <w:noProof/>
              </w:rPr>
              <w:t xml:space="preserve"> </w:t>
            </w:r>
            <w:r>
              <w:rPr>
                <w:b/>
                <w:noProof/>
              </w:rPr>
              <w:t>874 MIL.</w:t>
            </w:r>
          </w:p>
        </w:tc>
      </w:tr>
    </w:tbl>
    <w:p w14:paraId="28AC070A" w14:textId="77777777" w:rsidR="00011DE9" w:rsidRDefault="00011DE9">
      <w:pPr>
        <w:rPr>
          <w:rFonts w:ascii="Times New Roman" w:hAnsi="Times New Roman"/>
          <w:noProof/>
        </w:rPr>
      </w:pPr>
    </w:p>
    <w:p w14:paraId="6A96DCC0" w14:textId="77777777" w:rsidR="00011DE9" w:rsidRDefault="00011DE9">
      <w:pPr>
        <w:pStyle w:val="P68B1DB1-Normal16"/>
        <w:numPr>
          <w:ilvl w:val="1"/>
          <w:numId w:val="18"/>
        </w:numPr>
        <w:tabs>
          <w:tab w:val="clear" w:pos="6236"/>
          <w:tab w:val="num" w:pos="850"/>
        </w:tabs>
        <w:spacing w:before="120" w:after="120" w:line="240" w:lineRule="auto"/>
        <w:ind w:left="850"/>
        <w:jc w:val="both"/>
        <w:rPr>
          <w:noProof/>
        </w:rPr>
      </w:pPr>
      <w:r>
        <w:rPr>
          <w:noProof/>
        </w:rPr>
        <w:t xml:space="preserve">A doua tranșă (sprijin nerambursabil): </w:t>
      </w:r>
    </w:p>
    <w:tbl>
      <w:tblPr>
        <w:tblW w:w="9889" w:type="dxa"/>
        <w:tblInd w:w="-34" w:type="dxa"/>
        <w:tblLook w:val="04A0" w:firstRow="1" w:lastRow="0" w:firstColumn="1" w:lastColumn="0" w:noHBand="0" w:noVBand="1"/>
      </w:tblPr>
      <w:tblGrid>
        <w:gridCol w:w="1263"/>
        <w:gridCol w:w="1405"/>
        <w:gridCol w:w="1296"/>
        <w:gridCol w:w="6082"/>
      </w:tblGrid>
      <w:tr w:rsidR="00011DE9" w14:paraId="3CEF69A9" w14:textId="77777777">
        <w:trPr>
          <w:trHeight w:val="906"/>
          <w:tblHeader/>
        </w:trPr>
        <w:tc>
          <w:tcPr>
            <w:tcW w:w="12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9FB4F3" w14:textId="77777777" w:rsidR="00011DE9" w:rsidRDefault="00011DE9">
            <w:pPr>
              <w:pStyle w:val="P68B1DB1-Normal77"/>
              <w:spacing w:after="0" w:line="240" w:lineRule="auto"/>
              <w:jc w:val="center"/>
              <w:rPr>
                <w:rFonts w:eastAsia="Times New Roman" w:cs="Times New Roman"/>
                <w:noProof/>
                <w:szCs w:val="20"/>
              </w:rPr>
            </w:pPr>
            <w:r>
              <w:rPr>
                <w:noProof/>
              </w:rPr>
              <w:t>Număr secvențial</w:t>
            </w:r>
          </w:p>
        </w:tc>
        <w:tc>
          <w:tcPr>
            <w:tcW w:w="14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EDAA23" w14:textId="77777777" w:rsidR="00011DE9" w:rsidRDefault="00011DE9">
            <w:pPr>
              <w:pStyle w:val="P68B1DB1-Normal77"/>
              <w:spacing w:after="0" w:line="240" w:lineRule="auto"/>
              <w:jc w:val="center"/>
              <w:rPr>
                <w:rFonts w:eastAsia="Times New Roman" w:cs="Times New Roman"/>
                <w:noProof/>
                <w:szCs w:val="20"/>
              </w:rPr>
            </w:pPr>
            <w:r>
              <w:rPr>
                <w:noProof/>
              </w:rPr>
              <w:t>Măsură conexă (reformă sau investiții)</w:t>
            </w:r>
          </w:p>
        </w:tc>
        <w:tc>
          <w:tcPr>
            <w:tcW w:w="113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5A4F513" w14:textId="77777777" w:rsidR="00011DE9" w:rsidRDefault="00011DE9">
            <w:pPr>
              <w:pStyle w:val="P68B1DB1-Normal77"/>
              <w:spacing w:after="0" w:line="240" w:lineRule="auto"/>
              <w:jc w:val="center"/>
              <w:rPr>
                <w:rFonts w:eastAsia="Times New Roman" w:cs="Times New Roman"/>
                <w:noProof/>
                <w:szCs w:val="20"/>
              </w:rPr>
            </w:pPr>
            <w:r>
              <w:rPr>
                <w:noProof/>
              </w:rPr>
              <w:t>Etapă/Obiectiv</w:t>
            </w:r>
          </w:p>
        </w:tc>
        <w:tc>
          <w:tcPr>
            <w:tcW w:w="60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5ADD7A" w14:textId="77777777" w:rsidR="00011DE9" w:rsidRDefault="00011DE9">
            <w:pPr>
              <w:pStyle w:val="P68B1DB1-Normal77"/>
              <w:spacing w:after="0" w:line="240" w:lineRule="auto"/>
              <w:jc w:val="center"/>
              <w:rPr>
                <w:rFonts w:eastAsia="Times New Roman" w:cs="Times New Roman"/>
                <w:noProof/>
                <w:szCs w:val="20"/>
              </w:rPr>
            </w:pPr>
            <w:r>
              <w:rPr>
                <w:noProof/>
              </w:rPr>
              <w:t>Nume</w:t>
            </w:r>
          </w:p>
        </w:tc>
      </w:tr>
      <w:tr w:rsidR="00011DE9" w14:paraId="30950BD6" w14:textId="77777777">
        <w:trPr>
          <w:trHeight w:val="509"/>
        </w:trPr>
        <w:tc>
          <w:tcPr>
            <w:tcW w:w="1263" w:type="dxa"/>
            <w:vMerge/>
            <w:tcBorders>
              <w:top w:val="single" w:sz="4" w:space="0" w:color="auto"/>
              <w:left w:val="single" w:sz="4" w:space="0" w:color="auto"/>
              <w:bottom w:val="single" w:sz="4" w:space="0" w:color="auto"/>
              <w:right w:val="single" w:sz="4" w:space="0" w:color="auto"/>
            </w:tcBorders>
            <w:vAlign w:val="center"/>
            <w:hideMark/>
          </w:tcPr>
          <w:p w14:paraId="47B55827" w14:textId="77777777" w:rsidR="00011DE9" w:rsidRDefault="00011DE9">
            <w:pPr>
              <w:spacing w:after="0" w:line="240" w:lineRule="auto"/>
              <w:rPr>
                <w:rFonts w:ascii="Times New Roman" w:eastAsia="Times New Roman" w:hAnsi="Times New Roman" w:cs="Times New Roman"/>
                <w:b/>
                <w:noProof/>
                <w:sz w:val="20"/>
                <w:szCs w:val="20"/>
              </w:rPr>
            </w:pPr>
          </w:p>
        </w:tc>
        <w:tc>
          <w:tcPr>
            <w:tcW w:w="1405" w:type="dxa"/>
            <w:vMerge/>
            <w:tcBorders>
              <w:top w:val="single" w:sz="4" w:space="0" w:color="auto"/>
              <w:left w:val="single" w:sz="4" w:space="0" w:color="auto"/>
              <w:bottom w:val="single" w:sz="4" w:space="0" w:color="auto"/>
              <w:right w:val="single" w:sz="4" w:space="0" w:color="auto"/>
            </w:tcBorders>
            <w:vAlign w:val="center"/>
            <w:hideMark/>
          </w:tcPr>
          <w:p w14:paraId="1303AF41" w14:textId="77777777" w:rsidR="00011DE9" w:rsidRDefault="00011DE9">
            <w:pPr>
              <w:spacing w:after="0" w:line="240" w:lineRule="auto"/>
              <w:rPr>
                <w:rFonts w:ascii="Times New Roman" w:eastAsia="Times New Roman" w:hAnsi="Times New Roman" w:cs="Times New Roman"/>
                <w:b/>
                <w:noProof/>
                <w:sz w:val="20"/>
                <w:szCs w:val="2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14:paraId="0F671759" w14:textId="77777777" w:rsidR="00011DE9" w:rsidRDefault="00011DE9">
            <w:pPr>
              <w:spacing w:after="0" w:line="240" w:lineRule="auto"/>
              <w:rPr>
                <w:rFonts w:ascii="Times New Roman" w:eastAsia="Times New Roman" w:hAnsi="Times New Roman" w:cs="Times New Roman"/>
                <w:b/>
                <w:noProof/>
                <w:sz w:val="20"/>
                <w:szCs w:val="20"/>
              </w:rPr>
            </w:pPr>
          </w:p>
        </w:tc>
        <w:tc>
          <w:tcPr>
            <w:tcW w:w="6082" w:type="dxa"/>
            <w:vMerge/>
            <w:tcBorders>
              <w:top w:val="single" w:sz="4" w:space="0" w:color="auto"/>
              <w:left w:val="single" w:sz="4" w:space="0" w:color="auto"/>
              <w:bottom w:val="single" w:sz="4" w:space="0" w:color="auto"/>
              <w:right w:val="single" w:sz="4" w:space="0" w:color="auto"/>
            </w:tcBorders>
            <w:vAlign w:val="center"/>
            <w:hideMark/>
          </w:tcPr>
          <w:p w14:paraId="00F776CB" w14:textId="77777777" w:rsidR="00011DE9" w:rsidRDefault="00011DE9">
            <w:pPr>
              <w:spacing w:after="0" w:line="240" w:lineRule="auto"/>
              <w:rPr>
                <w:rFonts w:ascii="Times New Roman" w:eastAsia="Times New Roman" w:hAnsi="Times New Roman" w:cs="Times New Roman"/>
                <w:b/>
                <w:noProof/>
                <w:sz w:val="20"/>
                <w:szCs w:val="20"/>
              </w:rPr>
            </w:pPr>
          </w:p>
        </w:tc>
      </w:tr>
      <w:tr w:rsidR="00011DE9" w14:paraId="000217B7" w14:textId="77777777">
        <w:trPr>
          <w:trHeight w:val="302"/>
        </w:trPr>
        <w:tc>
          <w:tcPr>
            <w:tcW w:w="126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60F3CC29" w14:textId="77777777" w:rsidR="00011DE9" w:rsidRDefault="00011DE9">
            <w:pPr>
              <w:pStyle w:val="P68B1DB1-Normal78"/>
              <w:spacing w:after="0" w:line="240" w:lineRule="auto"/>
              <w:jc w:val="center"/>
              <w:rPr>
                <w:rFonts w:eastAsia="Times New Roman" w:cs="Times New Roman"/>
                <w:noProof/>
                <w:szCs w:val="20"/>
              </w:rPr>
            </w:pPr>
            <w:r>
              <w:rPr>
                <w:noProof/>
              </w:rPr>
              <w:t>24</w:t>
            </w:r>
          </w:p>
        </w:tc>
        <w:tc>
          <w:tcPr>
            <w:tcW w:w="140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03EC27D0" w14:textId="77777777" w:rsidR="00011DE9" w:rsidRDefault="00011DE9">
            <w:pPr>
              <w:pStyle w:val="P68B1DB1-Normal78"/>
              <w:spacing w:after="0" w:line="240" w:lineRule="auto"/>
              <w:jc w:val="center"/>
              <w:rPr>
                <w:rFonts w:eastAsia="Times New Roman" w:cs="Times New Roman"/>
                <w:noProof/>
                <w:szCs w:val="20"/>
              </w:rPr>
            </w:pPr>
            <w:r>
              <w:rPr>
                <w:noProof/>
              </w:rPr>
              <w:t>C2.R5</w:t>
            </w:r>
          </w:p>
        </w:tc>
        <w:tc>
          <w:tcPr>
            <w:tcW w:w="113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15C0095E"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03341479"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Decretului regal privind birourile de renovare („ghișee unice”) </w:t>
            </w:r>
          </w:p>
        </w:tc>
      </w:tr>
      <w:tr w:rsidR="00011DE9" w14:paraId="39972A88" w14:textId="77777777">
        <w:trPr>
          <w:trHeight w:val="302"/>
        </w:trPr>
        <w:tc>
          <w:tcPr>
            <w:tcW w:w="1263" w:type="dxa"/>
            <w:tcBorders>
              <w:top w:val="single" w:sz="4" w:space="0" w:color="000000" w:themeColor="text1"/>
              <w:left w:val="single" w:sz="4" w:space="0" w:color="auto"/>
              <w:bottom w:val="single" w:sz="4" w:space="0" w:color="auto"/>
              <w:right w:val="single" w:sz="4" w:space="0" w:color="auto"/>
            </w:tcBorders>
            <w:shd w:val="clear" w:color="auto" w:fill="C6EFCE"/>
            <w:noWrap/>
            <w:vAlign w:val="bottom"/>
          </w:tcPr>
          <w:p w14:paraId="6B546BF8" w14:textId="77777777" w:rsidR="00011DE9" w:rsidRDefault="00011DE9">
            <w:pPr>
              <w:pStyle w:val="P68B1DB1-Normal78"/>
              <w:spacing w:after="0" w:line="240" w:lineRule="auto"/>
              <w:jc w:val="center"/>
              <w:rPr>
                <w:rFonts w:eastAsia="Times New Roman" w:cs="Times New Roman"/>
                <w:noProof/>
                <w:szCs w:val="20"/>
              </w:rPr>
            </w:pPr>
            <w:r>
              <w:rPr>
                <w:noProof/>
              </w:rPr>
              <w:t>26</w:t>
            </w:r>
          </w:p>
        </w:tc>
        <w:tc>
          <w:tcPr>
            <w:tcW w:w="1405" w:type="dxa"/>
            <w:tcBorders>
              <w:top w:val="single" w:sz="4" w:space="0" w:color="000000" w:themeColor="text1"/>
              <w:left w:val="nil"/>
              <w:bottom w:val="single" w:sz="4" w:space="0" w:color="auto"/>
              <w:right w:val="single" w:sz="4" w:space="0" w:color="auto"/>
            </w:tcBorders>
            <w:shd w:val="clear" w:color="auto" w:fill="C6EFCE"/>
            <w:noWrap/>
            <w:vAlign w:val="bottom"/>
          </w:tcPr>
          <w:p w14:paraId="20BF0B8A" w14:textId="77777777" w:rsidR="00011DE9" w:rsidRDefault="00011DE9">
            <w:pPr>
              <w:pStyle w:val="P68B1DB1-Normal78"/>
              <w:spacing w:after="0" w:line="240" w:lineRule="auto"/>
              <w:jc w:val="center"/>
              <w:rPr>
                <w:rFonts w:eastAsia="Times New Roman" w:cs="Times New Roman"/>
                <w:noProof/>
                <w:szCs w:val="20"/>
              </w:rPr>
            </w:pPr>
            <w:r>
              <w:rPr>
                <w:noProof/>
              </w:rPr>
              <w:t>C2.I1</w:t>
            </w:r>
          </w:p>
        </w:tc>
        <w:tc>
          <w:tcPr>
            <w:tcW w:w="1139" w:type="dxa"/>
            <w:tcBorders>
              <w:top w:val="single" w:sz="4" w:space="0" w:color="000000" w:themeColor="text1"/>
              <w:left w:val="nil"/>
              <w:bottom w:val="single" w:sz="4" w:space="0" w:color="auto"/>
              <w:right w:val="single" w:sz="4" w:space="0" w:color="auto"/>
            </w:tcBorders>
            <w:shd w:val="clear" w:color="auto" w:fill="C6EFCE"/>
            <w:noWrap/>
            <w:vAlign w:val="bottom"/>
          </w:tcPr>
          <w:p w14:paraId="5C2A7F54"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000000" w:themeColor="text1"/>
              <w:left w:val="nil"/>
              <w:bottom w:val="single" w:sz="4" w:space="0" w:color="auto"/>
              <w:right w:val="single" w:sz="4" w:space="0" w:color="auto"/>
            </w:tcBorders>
            <w:shd w:val="clear" w:color="auto" w:fill="C6EFCE"/>
            <w:noWrap/>
            <w:vAlign w:val="bottom"/>
          </w:tcPr>
          <w:p w14:paraId="65639D51"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Decretului regal privind cadrul de reglementare pentru punerea în aplicare a programului de reînnoire; și Decretul-lege regal de reglementare a stimulentelor pentru impozitul pe venitul persoanelor fizice în vederea sprijinirii programului </w:t>
            </w:r>
          </w:p>
        </w:tc>
      </w:tr>
      <w:tr w:rsidR="00011DE9" w14:paraId="6C9B9A90"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74771C7" w14:textId="77777777" w:rsidR="00011DE9" w:rsidRDefault="00011DE9">
            <w:pPr>
              <w:pStyle w:val="P68B1DB1-Normal78"/>
              <w:spacing w:after="0" w:line="240" w:lineRule="auto"/>
              <w:jc w:val="center"/>
              <w:rPr>
                <w:rFonts w:eastAsia="Times New Roman" w:cs="Times New Roman"/>
                <w:noProof/>
                <w:szCs w:val="20"/>
              </w:rPr>
            </w:pPr>
            <w:r>
              <w:rPr>
                <w:noProof/>
              </w:rPr>
              <w:t>30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0AE4DF59" w14:textId="77777777" w:rsidR="00011DE9" w:rsidRDefault="00011DE9">
            <w:pPr>
              <w:pStyle w:val="P68B1DB1-Normal78"/>
              <w:spacing w:after="0" w:line="240" w:lineRule="auto"/>
              <w:jc w:val="center"/>
              <w:rPr>
                <w:rFonts w:eastAsia="Times New Roman" w:cs="Times New Roman"/>
                <w:noProof/>
                <w:szCs w:val="20"/>
              </w:rPr>
            </w:pPr>
            <w:r>
              <w:rPr>
                <w:noProof/>
              </w:rPr>
              <w:t>C2.I2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9591D25"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3ABFD6AE"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Decretului regal privind definirea cadrului de reglementare pentru punerea în aplicare a programului privind locuințele sociale de închiriat eficiente din punct de vedere energetic care respectă criteriile de eficiență energetică </w:t>
            </w:r>
          </w:p>
        </w:tc>
      </w:tr>
      <w:tr w:rsidR="00011DE9" w14:paraId="19A3FD08"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8857FD9" w14:textId="77777777" w:rsidR="00011DE9" w:rsidRDefault="00011DE9">
            <w:pPr>
              <w:pStyle w:val="P68B1DB1-Normal78"/>
              <w:spacing w:after="0" w:line="240" w:lineRule="auto"/>
              <w:jc w:val="center"/>
              <w:rPr>
                <w:rFonts w:eastAsia="Times New Roman" w:cs="Times New Roman"/>
                <w:noProof/>
                <w:szCs w:val="20"/>
              </w:rPr>
            </w:pPr>
            <w:r>
              <w:rPr>
                <w:noProof/>
              </w:rPr>
              <w:t>40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4867349" w14:textId="77777777" w:rsidR="00011DE9" w:rsidRDefault="00011DE9">
            <w:pPr>
              <w:pStyle w:val="P68B1DB1-Normal78"/>
              <w:spacing w:after="0" w:line="240" w:lineRule="auto"/>
              <w:jc w:val="center"/>
              <w:rPr>
                <w:rFonts w:eastAsia="Times New Roman" w:cs="Times New Roman"/>
                <w:noProof/>
                <w:szCs w:val="20"/>
              </w:rPr>
            </w:pPr>
            <w:r>
              <w:rPr>
                <w:noProof/>
              </w:rPr>
              <w:t>C3.R1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5018DFC"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37B0EDEA"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celei de a doua modificări a Legii nr. 12/2013 privind măsurile de îmbunătățire a funcționării lanțului alimentar </w:t>
            </w:r>
          </w:p>
        </w:tc>
      </w:tr>
      <w:tr w:rsidR="00011DE9" w14:paraId="072DF84A"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32ED946" w14:textId="77777777" w:rsidR="00011DE9" w:rsidRDefault="00011DE9">
            <w:pPr>
              <w:pStyle w:val="P68B1DB1-Normal78"/>
              <w:spacing w:after="0" w:line="240" w:lineRule="auto"/>
              <w:jc w:val="center"/>
              <w:rPr>
                <w:rFonts w:eastAsia="Times New Roman" w:cs="Times New Roman"/>
                <w:noProof/>
                <w:szCs w:val="20"/>
              </w:rPr>
            </w:pPr>
            <w:r>
              <w:rPr>
                <w:noProof/>
              </w:rPr>
              <w:t>46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77522333" w14:textId="77777777" w:rsidR="00011DE9" w:rsidRDefault="00011DE9">
            <w:pPr>
              <w:pStyle w:val="P68B1DB1-Normal79"/>
              <w:spacing w:after="0" w:line="240" w:lineRule="auto"/>
              <w:jc w:val="center"/>
              <w:rPr>
                <w:rFonts w:eastAsia="Times New Roman" w:cs="Times New Roman"/>
                <w:noProof/>
              </w:rPr>
            </w:pPr>
            <w:r>
              <w:rPr>
                <w:noProof/>
              </w:rPr>
              <w:t>C3.I1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251D5463" w14:textId="77777777" w:rsidR="00011DE9" w:rsidRDefault="00011DE9">
            <w:pPr>
              <w:pStyle w:val="P68B1DB1-Normal78"/>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713B335A" w14:textId="77777777" w:rsidR="00011DE9" w:rsidRDefault="00011DE9">
            <w:pPr>
              <w:pStyle w:val="P68B1DB1-Normal78"/>
              <w:spacing w:after="0" w:line="240" w:lineRule="auto"/>
              <w:rPr>
                <w:rFonts w:eastAsia="Times New Roman" w:cs="Times New Roman"/>
                <w:noProof/>
                <w:szCs w:val="20"/>
              </w:rPr>
            </w:pPr>
            <w:r>
              <w:rPr>
                <w:noProof/>
              </w:rPr>
              <w:t>Intrarea în vigoare a acordului contractual dintre Ministerul Agriculturii, Pescuitului și Alimentației (MAPA) și SEIASA pentru sprijinirea îmbunătățirii și sustenabilității suprafețelor irigate (faza I)</w:t>
            </w:r>
          </w:p>
        </w:tc>
      </w:tr>
      <w:tr w:rsidR="00011DE9" w14:paraId="043BF671"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99AD447" w14:textId="77777777" w:rsidR="00011DE9" w:rsidRDefault="00011DE9">
            <w:pPr>
              <w:pStyle w:val="P68B1DB1-Normal78"/>
              <w:spacing w:after="0" w:line="240" w:lineRule="auto"/>
              <w:jc w:val="center"/>
              <w:rPr>
                <w:rFonts w:eastAsia="Times New Roman" w:cs="Times New Roman"/>
                <w:noProof/>
                <w:szCs w:val="20"/>
              </w:rPr>
            </w:pPr>
            <w:r>
              <w:rPr>
                <w:noProof/>
              </w:rPr>
              <w:t>56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3CE4D69" w14:textId="77777777" w:rsidR="00011DE9" w:rsidRDefault="00011DE9">
            <w:pPr>
              <w:pStyle w:val="P68B1DB1-Normal78"/>
              <w:spacing w:after="0" w:line="240" w:lineRule="auto"/>
              <w:jc w:val="center"/>
              <w:rPr>
                <w:rFonts w:eastAsia="Times New Roman" w:cs="Times New Roman"/>
                <w:noProof/>
                <w:szCs w:val="20"/>
              </w:rPr>
            </w:pPr>
            <w:r>
              <w:rPr>
                <w:noProof/>
              </w:rPr>
              <w:t>C3.I7</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6C7C6FA9"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7CD4A146" w14:textId="77777777" w:rsidR="00011DE9" w:rsidRDefault="00011DE9">
            <w:pPr>
              <w:pStyle w:val="P68B1DB1-Normal78"/>
              <w:spacing w:after="0" w:line="240" w:lineRule="auto"/>
              <w:rPr>
                <w:rFonts w:eastAsia="Times New Roman" w:cs="Times New Roman"/>
                <w:noProof/>
                <w:szCs w:val="20"/>
              </w:rPr>
            </w:pPr>
            <w:r>
              <w:rPr>
                <w:noProof/>
              </w:rPr>
              <w:t>Acorduri cu organismele publice de cercetare</w:t>
            </w:r>
          </w:p>
        </w:tc>
      </w:tr>
      <w:tr w:rsidR="00011DE9" w14:paraId="01530977"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B69F1D8" w14:textId="77777777" w:rsidR="00011DE9" w:rsidRDefault="00011DE9">
            <w:pPr>
              <w:pStyle w:val="P68B1DB1-Normal78"/>
              <w:spacing w:after="0" w:line="240" w:lineRule="auto"/>
              <w:jc w:val="center"/>
              <w:rPr>
                <w:rFonts w:eastAsia="Times New Roman" w:cs="Times New Roman"/>
                <w:noProof/>
                <w:szCs w:val="20"/>
              </w:rPr>
            </w:pPr>
            <w:r>
              <w:rPr>
                <w:noProof/>
              </w:rPr>
              <w:t>74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7A6FA60F" w14:textId="77777777" w:rsidR="00011DE9" w:rsidRDefault="00011DE9">
            <w:pPr>
              <w:pStyle w:val="P68B1DB1-Normal78"/>
              <w:spacing w:after="0" w:line="240" w:lineRule="auto"/>
              <w:jc w:val="center"/>
              <w:rPr>
                <w:rFonts w:eastAsia="Times New Roman" w:cs="Times New Roman"/>
                <w:noProof/>
                <w:szCs w:val="20"/>
              </w:rPr>
            </w:pPr>
            <w:r>
              <w:rPr>
                <w:noProof/>
              </w:rPr>
              <w:t>C5.R1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28428F4D"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C804E92"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modificărilor Regulamentului privind planificarea hidrologică </w:t>
            </w:r>
          </w:p>
        </w:tc>
      </w:tr>
      <w:tr w:rsidR="00011DE9" w14:paraId="1A1F3AEB"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99EC636" w14:textId="77777777" w:rsidR="00011DE9" w:rsidRDefault="00011DE9">
            <w:pPr>
              <w:pStyle w:val="P68B1DB1-Normal78"/>
              <w:spacing w:after="0" w:line="240" w:lineRule="auto"/>
              <w:jc w:val="center"/>
              <w:rPr>
                <w:rFonts w:eastAsia="Times New Roman" w:cs="Times New Roman"/>
                <w:noProof/>
                <w:szCs w:val="20"/>
              </w:rPr>
            </w:pPr>
            <w:r>
              <w:rPr>
                <w:noProof/>
              </w:rPr>
              <w:t>83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0B26F75D" w14:textId="77777777" w:rsidR="00011DE9" w:rsidRDefault="00011DE9">
            <w:pPr>
              <w:pStyle w:val="P68B1DB1-Normal78"/>
              <w:spacing w:after="0" w:line="240" w:lineRule="auto"/>
              <w:jc w:val="center"/>
              <w:rPr>
                <w:rFonts w:eastAsia="Times New Roman" w:cs="Times New Roman"/>
                <w:noProof/>
                <w:szCs w:val="20"/>
              </w:rPr>
            </w:pPr>
            <w:r>
              <w:rPr>
                <w:noProof/>
              </w:rPr>
              <w:t>C6.R1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70EC5F62"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37142013" w14:textId="77777777" w:rsidR="00011DE9" w:rsidRDefault="00011DE9">
            <w:pPr>
              <w:pStyle w:val="P68B1DB1-Normal78"/>
              <w:spacing w:after="0" w:line="240" w:lineRule="auto"/>
              <w:rPr>
                <w:rFonts w:eastAsia="Times New Roman" w:cs="Times New Roman"/>
                <w:noProof/>
                <w:szCs w:val="20"/>
              </w:rPr>
            </w:pPr>
            <w:r>
              <w:rPr>
                <w:noProof/>
              </w:rPr>
              <w:t xml:space="preserve">Strategia privind mobilitatea durabilă, sigură și conectată (aprobare) </w:t>
            </w:r>
          </w:p>
        </w:tc>
      </w:tr>
      <w:tr w:rsidR="00011DE9" w14:paraId="1941BA66"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B23FDD2" w14:textId="77777777" w:rsidR="00011DE9" w:rsidRDefault="00011DE9">
            <w:pPr>
              <w:pStyle w:val="P68B1DB1-Normal78"/>
              <w:spacing w:after="0" w:line="240" w:lineRule="auto"/>
              <w:jc w:val="center"/>
              <w:rPr>
                <w:rFonts w:eastAsia="Times New Roman" w:cs="Times New Roman"/>
                <w:noProof/>
                <w:szCs w:val="20"/>
              </w:rPr>
            </w:pPr>
            <w:r>
              <w:rPr>
                <w:noProof/>
              </w:rPr>
              <w:t>108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6ECD40D2" w14:textId="77777777" w:rsidR="00011DE9" w:rsidRDefault="00011DE9">
            <w:pPr>
              <w:pStyle w:val="P68B1DB1-Normal78"/>
              <w:spacing w:after="0" w:line="240" w:lineRule="auto"/>
              <w:jc w:val="center"/>
              <w:rPr>
                <w:rFonts w:eastAsia="Times New Roman" w:cs="Times New Roman"/>
                <w:noProof/>
                <w:szCs w:val="20"/>
              </w:rPr>
            </w:pPr>
            <w:r>
              <w:rPr>
                <w:noProof/>
              </w:rPr>
              <w:t>C7.R2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33CA8D5"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925C69F" w14:textId="77777777" w:rsidR="00011DE9" w:rsidRDefault="00011DE9">
            <w:pPr>
              <w:pStyle w:val="P68B1DB1-Normal78"/>
              <w:spacing w:after="0" w:line="240" w:lineRule="auto"/>
              <w:rPr>
                <w:rFonts w:eastAsia="Times New Roman" w:cs="Times New Roman"/>
                <w:noProof/>
                <w:szCs w:val="20"/>
              </w:rPr>
            </w:pPr>
            <w:r>
              <w:rPr>
                <w:noProof/>
              </w:rPr>
              <w:t>Strategia națională privind autoconsumul</w:t>
            </w:r>
          </w:p>
        </w:tc>
      </w:tr>
      <w:tr w:rsidR="00011DE9" w14:paraId="06378520"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9989F78" w14:textId="77777777" w:rsidR="00011DE9" w:rsidRDefault="00011DE9">
            <w:pPr>
              <w:pStyle w:val="P68B1DB1-Normal78"/>
              <w:spacing w:after="0" w:line="240" w:lineRule="auto"/>
              <w:jc w:val="center"/>
              <w:rPr>
                <w:rFonts w:eastAsia="Times New Roman" w:cs="Times New Roman"/>
                <w:noProof/>
                <w:szCs w:val="20"/>
              </w:rPr>
            </w:pPr>
            <w:r>
              <w:rPr>
                <w:noProof/>
              </w:rPr>
              <w:t>112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3F2A6BDA" w14:textId="77777777" w:rsidR="00011DE9" w:rsidRDefault="00011DE9">
            <w:pPr>
              <w:pStyle w:val="P68B1DB1-Normal78"/>
              <w:spacing w:after="0" w:line="240" w:lineRule="auto"/>
              <w:jc w:val="center"/>
              <w:rPr>
                <w:rFonts w:eastAsia="Times New Roman" w:cs="Times New Roman"/>
                <w:noProof/>
                <w:szCs w:val="20"/>
              </w:rPr>
            </w:pPr>
            <w:r>
              <w:rPr>
                <w:noProof/>
              </w:rPr>
              <w:t>C7.R4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97858F2"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78F91214" w14:textId="77777777" w:rsidR="00011DE9" w:rsidRDefault="00011DE9">
            <w:pPr>
              <w:pStyle w:val="P68B1DB1-Normal78"/>
              <w:spacing w:after="0" w:line="240" w:lineRule="auto"/>
              <w:rPr>
                <w:rFonts w:eastAsia="Times New Roman" w:cs="Times New Roman"/>
                <w:noProof/>
                <w:szCs w:val="20"/>
              </w:rPr>
            </w:pPr>
            <w:r>
              <w:rPr>
                <w:noProof/>
              </w:rPr>
              <w:t>Foaie de parcurs pentru energia eoliană offshore și alte tipuri de energie marină</w:t>
            </w:r>
          </w:p>
        </w:tc>
      </w:tr>
      <w:tr w:rsidR="00011DE9" w14:paraId="6EC0080B"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AFAD9D8" w14:textId="77777777" w:rsidR="00011DE9" w:rsidRDefault="00011DE9">
            <w:pPr>
              <w:pStyle w:val="P68B1DB1-Normal78"/>
              <w:spacing w:after="0" w:line="240" w:lineRule="auto"/>
              <w:jc w:val="center"/>
              <w:rPr>
                <w:rFonts w:eastAsia="Times New Roman" w:cs="Times New Roman"/>
                <w:noProof/>
                <w:szCs w:val="20"/>
              </w:rPr>
            </w:pPr>
            <w:r>
              <w:rPr>
                <w:noProof/>
              </w:rPr>
              <w:t>139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483F64F" w14:textId="77777777" w:rsidR="00011DE9" w:rsidRDefault="00011DE9">
            <w:pPr>
              <w:pStyle w:val="P68B1DB1-Normal78"/>
              <w:spacing w:after="0" w:line="240" w:lineRule="auto"/>
              <w:jc w:val="center"/>
              <w:rPr>
                <w:rFonts w:eastAsia="Times New Roman" w:cs="Times New Roman"/>
                <w:noProof/>
                <w:szCs w:val="20"/>
              </w:rPr>
            </w:pPr>
            <w:r>
              <w:rPr>
                <w:noProof/>
              </w:rPr>
              <w:t>C10.I1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758CE912"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39D65678" w14:textId="77777777" w:rsidR="00011DE9" w:rsidRDefault="00011DE9">
            <w:pPr>
              <w:pStyle w:val="P68B1DB1-Normal78"/>
              <w:spacing w:after="0" w:line="240" w:lineRule="auto"/>
              <w:rPr>
                <w:rFonts w:eastAsia="Times New Roman" w:cs="Times New Roman"/>
                <w:noProof/>
                <w:szCs w:val="20"/>
              </w:rPr>
            </w:pPr>
            <w:r>
              <w:rPr>
                <w:noProof/>
              </w:rPr>
              <w:t>Programul de ajutoare pentru formare „Tranziția justă” și acordarea de ajutoare pentru dezvoltarea economică a zonelor vizate de tranziția justă</w:t>
            </w:r>
          </w:p>
        </w:tc>
      </w:tr>
      <w:tr w:rsidR="00011DE9" w14:paraId="61C65D64"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8016EA7" w14:textId="77777777" w:rsidR="00011DE9" w:rsidRDefault="00011DE9">
            <w:pPr>
              <w:pStyle w:val="P68B1DB1-Normal78"/>
              <w:spacing w:after="0" w:line="240" w:lineRule="auto"/>
              <w:jc w:val="center"/>
              <w:rPr>
                <w:rFonts w:eastAsia="Times New Roman" w:cs="Times New Roman"/>
                <w:noProof/>
                <w:szCs w:val="20"/>
              </w:rPr>
            </w:pPr>
            <w:r>
              <w:rPr>
                <w:noProof/>
              </w:rPr>
              <w:t>155</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9FEE2CC" w14:textId="77777777" w:rsidR="00011DE9" w:rsidRDefault="00011DE9">
            <w:pPr>
              <w:pStyle w:val="P68B1DB1-Normal78"/>
              <w:spacing w:after="0" w:line="240" w:lineRule="auto"/>
              <w:jc w:val="center"/>
              <w:rPr>
                <w:rFonts w:eastAsia="Times New Roman" w:cs="Times New Roman"/>
                <w:noProof/>
                <w:szCs w:val="20"/>
              </w:rPr>
            </w:pPr>
            <w:r>
              <w:rPr>
                <w:noProof/>
              </w:rPr>
              <w:t>C11.R4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24F75B0"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D62C903"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ordinului ministerial de înființare a Oficiului Național de Evaluare </w:t>
            </w:r>
          </w:p>
        </w:tc>
      </w:tr>
      <w:tr w:rsidR="00011DE9" w14:paraId="69029306"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1F9B559" w14:textId="77777777" w:rsidR="00011DE9" w:rsidRDefault="00011DE9">
            <w:pPr>
              <w:pStyle w:val="P68B1DB1-Normal78"/>
              <w:spacing w:after="0" w:line="240" w:lineRule="auto"/>
              <w:jc w:val="center"/>
              <w:rPr>
                <w:rFonts w:eastAsia="Times New Roman" w:cs="Times New Roman"/>
                <w:noProof/>
                <w:szCs w:val="20"/>
              </w:rPr>
            </w:pPr>
            <w:r>
              <w:rPr>
                <w:noProof/>
              </w:rPr>
              <w:t>189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33AEE003" w14:textId="77777777" w:rsidR="00011DE9" w:rsidRDefault="00011DE9">
            <w:pPr>
              <w:pStyle w:val="P68B1DB1-Normal78"/>
              <w:spacing w:after="0" w:line="240" w:lineRule="auto"/>
              <w:jc w:val="center"/>
              <w:rPr>
                <w:rFonts w:eastAsia="Times New Roman" w:cs="Times New Roman"/>
                <w:noProof/>
                <w:szCs w:val="20"/>
              </w:rPr>
            </w:pPr>
            <w:r>
              <w:rPr>
                <w:noProof/>
              </w:rPr>
              <w:t>C13.R1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6D4B445"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3914AB76" w14:textId="5D9AA76C" w:rsidR="00011DE9" w:rsidRDefault="00011DE9">
            <w:pPr>
              <w:pStyle w:val="P68B1DB1-Normal78"/>
              <w:spacing w:after="0" w:line="240" w:lineRule="auto"/>
              <w:rPr>
                <w:rFonts w:eastAsia="Times New Roman" w:cs="Times New Roman"/>
                <w:noProof/>
                <w:szCs w:val="20"/>
              </w:rPr>
            </w:pPr>
            <w:r>
              <w:rPr>
                <w:noProof/>
              </w:rPr>
              <w:t>Intrarea în vigoare a Legii de modificare a Legii nr. 34/2006 privind accesul la profesiile de avocat și procuradores</w:t>
            </w:r>
            <w:r w:rsidR="00971820">
              <w:rPr>
                <w:noProof/>
              </w:rPr>
              <w:t xml:space="preserve"> </w:t>
            </w:r>
          </w:p>
        </w:tc>
      </w:tr>
      <w:tr w:rsidR="00011DE9" w14:paraId="6BC00164"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2CF401F" w14:textId="77777777" w:rsidR="00011DE9" w:rsidRDefault="00011DE9">
            <w:pPr>
              <w:pStyle w:val="P68B1DB1-Normal78"/>
              <w:spacing w:after="0" w:line="240" w:lineRule="auto"/>
              <w:jc w:val="center"/>
              <w:rPr>
                <w:rFonts w:eastAsia="Times New Roman" w:cs="Times New Roman"/>
                <w:noProof/>
                <w:szCs w:val="20"/>
              </w:rPr>
            </w:pPr>
            <w:r>
              <w:rPr>
                <w:noProof/>
              </w:rPr>
              <w:t>216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03DBB12B" w14:textId="77777777" w:rsidR="00011DE9" w:rsidRDefault="00011DE9">
            <w:pPr>
              <w:pStyle w:val="P68B1DB1-Normal78"/>
              <w:spacing w:after="0" w:line="240" w:lineRule="auto"/>
              <w:jc w:val="center"/>
              <w:rPr>
                <w:rFonts w:eastAsia="Times New Roman" w:cs="Times New Roman"/>
                <w:noProof/>
                <w:szCs w:val="20"/>
              </w:rPr>
            </w:pPr>
            <w:r>
              <w:rPr>
                <w:noProof/>
              </w:rPr>
              <w:t>C14.R1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1E28722D"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0B0DAA1"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Decretului regal de punere în aplicare a Fondului financiar de stat pentru competitivitatea turismului </w:t>
            </w:r>
          </w:p>
        </w:tc>
      </w:tr>
      <w:tr w:rsidR="00011DE9" w14:paraId="2A533D96"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0024E4B" w14:textId="77777777" w:rsidR="00011DE9" w:rsidRDefault="00011DE9">
            <w:pPr>
              <w:pStyle w:val="P68B1DB1-Normal78"/>
              <w:spacing w:after="0" w:line="240" w:lineRule="auto"/>
              <w:jc w:val="center"/>
              <w:rPr>
                <w:rFonts w:eastAsia="Times New Roman" w:cs="Times New Roman"/>
                <w:noProof/>
                <w:szCs w:val="20"/>
              </w:rPr>
            </w:pPr>
            <w:r>
              <w:rPr>
                <w:noProof/>
              </w:rPr>
              <w:t>217</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33825B8E" w14:textId="77777777" w:rsidR="00011DE9" w:rsidRDefault="00011DE9">
            <w:pPr>
              <w:pStyle w:val="P68B1DB1-Normal78"/>
              <w:spacing w:after="0" w:line="240" w:lineRule="auto"/>
              <w:jc w:val="center"/>
              <w:rPr>
                <w:rFonts w:eastAsia="Times New Roman" w:cs="Times New Roman"/>
                <w:noProof/>
                <w:szCs w:val="20"/>
              </w:rPr>
            </w:pPr>
            <w:r>
              <w:rPr>
                <w:noProof/>
              </w:rPr>
              <w:t>C14.I1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2AFF14EE" w14:textId="77777777" w:rsidR="00011DE9" w:rsidRDefault="00011DE9">
            <w:pPr>
              <w:pStyle w:val="P68B1DB1-Normal78"/>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6D2A6BC" w14:textId="77777777" w:rsidR="00011DE9" w:rsidRDefault="00011DE9">
            <w:pPr>
              <w:pStyle w:val="P68B1DB1-Normal78"/>
              <w:spacing w:after="0" w:line="240" w:lineRule="auto"/>
              <w:rPr>
                <w:rFonts w:eastAsia="Times New Roman" w:cs="Times New Roman"/>
                <w:noProof/>
                <w:szCs w:val="20"/>
              </w:rPr>
            </w:pPr>
            <w:r>
              <w:rPr>
                <w:noProof/>
              </w:rPr>
              <w:t>Atribuirea bugetară a planurilor de promovare a sustenabilității turismului la destinație</w:t>
            </w:r>
          </w:p>
        </w:tc>
      </w:tr>
      <w:tr w:rsidR="00011DE9" w14:paraId="30D7E292"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66E5B50" w14:textId="77777777" w:rsidR="00011DE9" w:rsidRDefault="00011DE9">
            <w:pPr>
              <w:pStyle w:val="P68B1DB1-Normal78"/>
              <w:spacing w:after="0" w:line="240" w:lineRule="auto"/>
              <w:jc w:val="center"/>
              <w:rPr>
                <w:rFonts w:eastAsia="Times New Roman" w:cs="Times New Roman"/>
                <w:noProof/>
                <w:szCs w:val="20"/>
              </w:rPr>
            </w:pPr>
            <w:r>
              <w:rPr>
                <w:noProof/>
              </w:rPr>
              <w:t>232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62B1F243" w14:textId="77777777" w:rsidR="00011DE9" w:rsidRDefault="00011DE9">
            <w:pPr>
              <w:pStyle w:val="P68B1DB1-Normal78"/>
              <w:spacing w:after="0" w:line="240" w:lineRule="auto"/>
              <w:jc w:val="center"/>
              <w:rPr>
                <w:rFonts w:eastAsia="Times New Roman" w:cs="Times New Roman"/>
                <w:noProof/>
                <w:szCs w:val="20"/>
              </w:rPr>
            </w:pPr>
            <w:r>
              <w:rPr>
                <w:noProof/>
              </w:rPr>
              <w:t>C15.R2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FA7EB40"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F8DA34" w14:textId="77777777" w:rsidR="00011DE9" w:rsidRDefault="00011DE9">
            <w:pPr>
              <w:pStyle w:val="P68B1DB1-Normal78"/>
              <w:spacing w:after="0" w:line="240" w:lineRule="auto"/>
              <w:rPr>
                <w:rFonts w:eastAsia="Times New Roman" w:cs="Times New Roman"/>
                <w:noProof/>
                <w:szCs w:val="20"/>
              </w:rPr>
            </w:pPr>
            <w:r>
              <w:rPr>
                <w:noProof/>
              </w:rPr>
              <w:t>Asignarea benzii de frecvențe de 700 MHz</w:t>
            </w:r>
          </w:p>
        </w:tc>
      </w:tr>
      <w:tr w:rsidR="00011DE9" w14:paraId="341C1F16"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51BC12C" w14:textId="77777777" w:rsidR="00011DE9" w:rsidRDefault="00011DE9">
            <w:pPr>
              <w:pStyle w:val="P68B1DB1-Normal78"/>
              <w:spacing w:after="0" w:line="240" w:lineRule="auto"/>
              <w:jc w:val="center"/>
              <w:rPr>
                <w:rFonts w:eastAsia="Times New Roman" w:cs="Times New Roman"/>
                <w:noProof/>
                <w:szCs w:val="20"/>
              </w:rPr>
            </w:pPr>
            <w:r>
              <w:rPr>
                <w:noProof/>
              </w:rPr>
              <w:t>233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74CE8F6C" w14:textId="77777777" w:rsidR="00011DE9" w:rsidRDefault="00011DE9">
            <w:pPr>
              <w:pStyle w:val="P68B1DB1-Normal78"/>
              <w:spacing w:after="0" w:line="240" w:lineRule="auto"/>
              <w:jc w:val="center"/>
              <w:rPr>
                <w:rFonts w:eastAsia="Times New Roman" w:cs="Times New Roman"/>
                <w:noProof/>
                <w:szCs w:val="20"/>
              </w:rPr>
            </w:pPr>
            <w:r>
              <w:rPr>
                <w:noProof/>
              </w:rPr>
              <w:t>C15.R2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3361054A"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2C14C6D2" w14:textId="77777777" w:rsidR="00011DE9" w:rsidRDefault="00011DE9">
            <w:pPr>
              <w:pStyle w:val="P68B1DB1-Normal78"/>
              <w:spacing w:after="0" w:line="240" w:lineRule="auto"/>
              <w:rPr>
                <w:rFonts w:eastAsia="Times New Roman" w:cs="Times New Roman"/>
                <w:noProof/>
                <w:szCs w:val="20"/>
              </w:rPr>
            </w:pPr>
            <w:r>
              <w:rPr>
                <w:noProof/>
              </w:rPr>
              <w:t>Intrarea în vigoare a actului juridic privind reducerea impozitării spectrului 5G</w:t>
            </w:r>
          </w:p>
        </w:tc>
      </w:tr>
      <w:tr w:rsidR="00011DE9" w14:paraId="19E04DD1"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5E15CB2" w14:textId="77777777" w:rsidR="00011DE9" w:rsidRDefault="00011DE9">
            <w:pPr>
              <w:pStyle w:val="P68B1DB1-Normal78"/>
              <w:spacing w:after="0" w:line="240" w:lineRule="auto"/>
              <w:jc w:val="center"/>
              <w:rPr>
                <w:rFonts w:eastAsia="Times New Roman" w:cs="Times New Roman"/>
                <w:noProof/>
                <w:szCs w:val="20"/>
              </w:rPr>
            </w:pPr>
            <w:r>
              <w:rPr>
                <w:noProof/>
              </w:rPr>
              <w:t>250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1ADDA01" w14:textId="77777777" w:rsidR="00011DE9" w:rsidRDefault="00011DE9">
            <w:pPr>
              <w:pStyle w:val="P68B1DB1-Normal78"/>
              <w:spacing w:after="0" w:line="240" w:lineRule="auto"/>
              <w:jc w:val="center"/>
              <w:rPr>
                <w:rFonts w:eastAsia="Times New Roman" w:cs="Times New Roman"/>
                <w:noProof/>
                <w:szCs w:val="20"/>
              </w:rPr>
            </w:pPr>
            <w:r>
              <w:rPr>
                <w:noProof/>
              </w:rPr>
              <w:t>C16.R1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25911AD4"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ABEEEE9" w14:textId="77777777" w:rsidR="00011DE9" w:rsidRDefault="00011DE9">
            <w:pPr>
              <w:pStyle w:val="P68B1DB1-Normal78"/>
              <w:spacing w:after="0" w:line="240" w:lineRule="auto"/>
              <w:rPr>
                <w:rFonts w:eastAsia="Times New Roman" w:cs="Times New Roman"/>
                <w:noProof/>
                <w:szCs w:val="20"/>
              </w:rPr>
            </w:pPr>
            <w:r>
              <w:rPr>
                <w:noProof/>
              </w:rPr>
              <w:t>Carta drepturilor digitale</w:t>
            </w:r>
          </w:p>
        </w:tc>
      </w:tr>
      <w:tr w:rsidR="00011DE9" w14:paraId="303C97AA"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D16175A" w14:textId="77777777" w:rsidR="00011DE9" w:rsidRDefault="00011DE9">
            <w:pPr>
              <w:pStyle w:val="P68B1DB1-Normal78"/>
              <w:spacing w:after="0" w:line="240" w:lineRule="auto"/>
              <w:jc w:val="center"/>
              <w:rPr>
                <w:rFonts w:eastAsia="Times New Roman" w:cs="Times New Roman"/>
                <w:noProof/>
                <w:szCs w:val="20"/>
              </w:rPr>
            </w:pPr>
            <w:r>
              <w:rPr>
                <w:noProof/>
              </w:rPr>
              <w:t>258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638ABC06" w14:textId="77777777" w:rsidR="00011DE9" w:rsidRDefault="00011DE9">
            <w:pPr>
              <w:pStyle w:val="P68B1DB1-Normal78"/>
              <w:spacing w:after="0" w:line="240" w:lineRule="auto"/>
              <w:jc w:val="center"/>
              <w:rPr>
                <w:rFonts w:eastAsia="Times New Roman" w:cs="Times New Roman"/>
                <w:noProof/>
                <w:szCs w:val="20"/>
              </w:rPr>
            </w:pPr>
            <w:r>
              <w:rPr>
                <w:noProof/>
              </w:rPr>
              <w:t>C17.I1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C5C1456" w14:textId="77777777" w:rsidR="00011DE9" w:rsidRDefault="00011DE9">
            <w:pPr>
              <w:pStyle w:val="P68B1DB1-Normal78"/>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384FF22" w14:textId="77777777" w:rsidR="00011DE9" w:rsidRDefault="00011DE9">
            <w:pPr>
              <w:pStyle w:val="P68B1DB1-Normal78"/>
              <w:spacing w:after="0" w:line="240" w:lineRule="auto"/>
              <w:rPr>
                <w:rFonts w:eastAsia="Times New Roman" w:cs="Times New Roman"/>
                <w:noProof/>
                <w:szCs w:val="20"/>
              </w:rPr>
            </w:pPr>
            <w:r>
              <w:rPr>
                <w:noProof/>
              </w:rPr>
              <w:t xml:space="preserve">Acorduri semnate </w:t>
            </w:r>
            <w:r>
              <w:rPr>
                <w:noProof/>
                <w:szCs w:val="20"/>
              </w:rPr>
              <w:t>de</w:t>
            </w:r>
            <w:r>
              <w:rPr>
                <w:noProof/>
              </w:rPr>
              <w:t xml:space="preserve"> Ministerul Științei și Inovării cu comunitățile autonome pentru punerea în aplicare a „planurilor complementare de C &amp; D”. </w:t>
            </w:r>
          </w:p>
        </w:tc>
      </w:tr>
      <w:tr w:rsidR="00011DE9" w14:paraId="30818F27"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F932635" w14:textId="77777777" w:rsidR="00011DE9" w:rsidRDefault="00011DE9">
            <w:pPr>
              <w:pStyle w:val="P68B1DB1-Normal78"/>
              <w:spacing w:after="0" w:line="240" w:lineRule="auto"/>
              <w:jc w:val="center"/>
              <w:rPr>
                <w:rFonts w:eastAsia="Times New Roman" w:cs="Times New Roman"/>
                <w:noProof/>
                <w:szCs w:val="20"/>
              </w:rPr>
            </w:pPr>
            <w:r>
              <w:rPr>
                <w:noProof/>
              </w:rPr>
              <w:t>273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6B2D83BC" w14:textId="77777777" w:rsidR="00011DE9" w:rsidRDefault="00011DE9">
            <w:pPr>
              <w:pStyle w:val="P68B1DB1-Normal78"/>
              <w:spacing w:after="0" w:line="240" w:lineRule="auto"/>
              <w:jc w:val="center"/>
              <w:rPr>
                <w:rFonts w:eastAsia="Times New Roman" w:cs="Times New Roman"/>
                <w:noProof/>
                <w:szCs w:val="20"/>
              </w:rPr>
            </w:pPr>
            <w:r>
              <w:rPr>
                <w:noProof/>
              </w:rPr>
              <w:t>C18.R1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C23C440"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32C95F5" w14:textId="77777777" w:rsidR="00011DE9" w:rsidRDefault="00011DE9">
            <w:pPr>
              <w:pStyle w:val="P68B1DB1-Normal78"/>
              <w:spacing w:after="0" w:line="240" w:lineRule="auto"/>
              <w:rPr>
                <w:rFonts w:eastAsia="Times New Roman" w:cs="Times New Roman"/>
                <w:noProof/>
                <w:szCs w:val="20"/>
              </w:rPr>
            </w:pPr>
            <w:r>
              <w:rPr>
                <w:noProof/>
              </w:rPr>
              <w:t>Plan de acțiune pentru asistența medicală primară și comunitară</w:t>
            </w:r>
          </w:p>
        </w:tc>
      </w:tr>
      <w:tr w:rsidR="00011DE9" w14:paraId="28720C13"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55D9904" w14:textId="77777777" w:rsidR="00011DE9" w:rsidRDefault="00011DE9">
            <w:pPr>
              <w:pStyle w:val="P68B1DB1-Normal78"/>
              <w:spacing w:after="0" w:line="240" w:lineRule="auto"/>
              <w:jc w:val="center"/>
              <w:rPr>
                <w:rFonts w:eastAsia="Times New Roman" w:cs="Times New Roman"/>
                <w:noProof/>
                <w:szCs w:val="20"/>
              </w:rPr>
            </w:pPr>
            <w:r>
              <w:rPr>
                <w:noProof/>
              </w:rPr>
              <w:t>278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2C42418" w14:textId="77777777" w:rsidR="00011DE9" w:rsidRDefault="00011DE9">
            <w:pPr>
              <w:pStyle w:val="P68B1DB1-Normal78"/>
              <w:spacing w:after="0" w:line="240" w:lineRule="auto"/>
              <w:jc w:val="center"/>
              <w:rPr>
                <w:rFonts w:eastAsia="Times New Roman" w:cs="Times New Roman"/>
                <w:noProof/>
                <w:szCs w:val="20"/>
              </w:rPr>
            </w:pPr>
            <w:r>
              <w:rPr>
                <w:noProof/>
              </w:rPr>
              <w:t>C18.I1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9A96716"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2E4A3F0" w14:textId="77777777" w:rsidR="00011DE9" w:rsidRDefault="00011DE9">
            <w:pPr>
              <w:pStyle w:val="P68B1DB1-Normal78"/>
              <w:spacing w:after="0" w:line="240" w:lineRule="auto"/>
              <w:rPr>
                <w:rFonts w:eastAsia="Times New Roman" w:cs="Times New Roman"/>
                <w:noProof/>
                <w:szCs w:val="20"/>
              </w:rPr>
            </w:pPr>
            <w:r>
              <w:rPr>
                <w:noProof/>
              </w:rPr>
              <w:t xml:space="preserve">Aprobarea planului de investiții în </w:t>
            </w:r>
            <w:r>
              <w:rPr>
                <w:noProof/>
                <w:szCs w:val="20"/>
              </w:rPr>
              <w:t>echipamente</w:t>
            </w:r>
            <w:r>
              <w:rPr>
                <w:noProof/>
              </w:rPr>
              <w:t xml:space="preserve"> și distribuirea fondurilor </w:t>
            </w:r>
          </w:p>
        </w:tc>
      </w:tr>
      <w:tr w:rsidR="00011DE9" w14:paraId="0E26A470"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A45FF3B" w14:textId="77777777" w:rsidR="00011DE9" w:rsidRDefault="00011DE9">
            <w:pPr>
              <w:pStyle w:val="P68B1DB1-Normal78"/>
              <w:spacing w:after="0" w:line="240" w:lineRule="auto"/>
              <w:jc w:val="center"/>
              <w:rPr>
                <w:rFonts w:eastAsia="Times New Roman" w:cs="Times New Roman"/>
                <w:noProof/>
                <w:szCs w:val="20"/>
              </w:rPr>
            </w:pPr>
            <w:r>
              <w:rPr>
                <w:noProof/>
              </w:rPr>
              <w:t>289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A5D5B78" w14:textId="77777777" w:rsidR="00011DE9" w:rsidRDefault="00011DE9">
            <w:pPr>
              <w:pStyle w:val="P68B1DB1-Normal78"/>
              <w:spacing w:after="0" w:line="240" w:lineRule="auto"/>
              <w:jc w:val="center"/>
              <w:rPr>
                <w:rFonts w:eastAsia="Times New Roman" w:cs="Times New Roman"/>
                <w:noProof/>
                <w:szCs w:val="20"/>
              </w:rPr>
            </w:pPr>
            <w:r>
              <w:rPr>
                <w:noProof/>
              </w:rPr>
              <w:t>C19.I2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A8AC6AF"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8F51B57" w14:textId="77777777" w:rsidR="00011DE9" w:rsidRDefault="00011DE9">
            <w:pPr>
              <w:pStyle w:val="P68B1DB1-Normal78"/>
              <w:spacing w:after="0" w:line="240" w:lineRule="auto"/>
              <w:rPr>
                <w:rFonts w:eastAsia="Times New Roman" w:cs="Times New Roman"/>
                <w:noProof/>
                <w:szCs w:val="20"/>
              </w:rPr>
            </w:pPr>
            <w:r>
              <w:rPr>
                <w:noProof/>
              </w:rPr>
              <w:t>Program de dotare a școlilor publice și subvenționate din fonduri publice cu instrumente digitale</w:t>
            </w:r>
          </w:p>
        </w:tc>
      </w:tr>
      <w:tr w:rsidR="00011DE9" w14:paraId="1790D4D3"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B7F0944" w14:textId="77777777" w:rsidR="00011DE9" w:rsidRDefault="00011DE9">
            <w:pPr>
              <w:pStyle w:val="P68B1DB1-Normal78"/>
              <w:spacing w:after="0" w:line="240" w:lineRule="auto"/>
              <w:jc w:val="center"/>
              <w:rPr>
                <w:rFonts w:eastAsia="Times New Roman" w:cs="Times New Roman"/>
                <w:noProof/>
                <w:szCs w:val="20"/>
              </w:rPr>
            </w:pPr>
            <w:r>
              <w:rPr>
                <w:noProof/>
              </w:rPr>
              <w:t>306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39378D4" w14:textId="77777777" w:rsidR="00011DE9" w:rsidRDefault="00011DE9">
            <w:pPr>
              <w:pStyle w:val="P68B1DB1-Normal78"/>
              <w:spacing w:after="0" w:line="240" w:lineRule="auto"/>
              <w:jc w:val="center"/>
              <w:rPr>
                <w:rFonts w:eastAsia="Times New Roman" w:cs="Times New Roman"/>
                <w:noProof/>
                <w:szCs w:val="20"/>
              </w:rPr>
            </w:pPr>
            <w:r>
              <w:rPr>
                <w:noProof/>
              </w:rPr>
              <w:t>C21.R3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B8F320F"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F804982"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decretelor regale de </w:t>
            </w:r>
            <w:r>
              <w:rPr>
                <w:noProof/>
                <w:szCs w:val="20"/>
              </w:rPr>
              <w:t>organizare</w:t>
            </w:r>
            <w:r>
              <w:rPr>
                <w:noProof/>
              </w:rPr>
              <w:t xml:space="preserve"> a universităților</w:t>
            </w:r>
          </w:p>
        </w:tc>
      </w:tr>
      <w:tr w:rsidR="00011DE9" w14:paraId="4B32074B"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A4158E7" w14:textId="77777777" w:rsidR="00011DE9" w:rsidRDefault="00011DE9">
            <w:pPr>
              <w:pStyle w:val="P68B1DB1-Normal78"/>
              <w:spacing w:after="0" w:line="240" w:lineRule="auto"/>
              <w:jc w:val="center"/>
              <w:rPr>
                <w:rFonts w:eastAsia="Times New Roman" w:cs="Times New Roman"/>
                <w:noProof/>
                <w:szCs w:val="20"/>
              </w:rPr>
            </w:pPr>
            <w:r>
              <w:rPr>
                <w:noProof/>
              </w:rPr>
              <w:t>331</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7FC5CE0" w14:textId="77777777" w:rsidR="00011DE9" w:rsidRDefault="00011DE9">
            <w:pPr>
              <w:pStyle w:val="P68B1DB1-Normal78"/>
              <w:spacing w:after="0" w:line="240" w:lineRule="auto"/>
              <w:jc w:val="center"/>
              <w:rPr>
                <w:rFonts w:eastAsia="Times New Roman" w:cs="Times New Roman"/>
                <w:noProof/>
                <w:szCs w:val="20"/>
              </w:rPr>
            </w:pPr>
            <w:r>
              <w:rPr>
                <w:noProof/>
              </w:rPr>
              <w:t>C23.R3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1783D7BE"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37F849BF" w14:textId="77777777" w:rsidR="00011DE9" w:rsidRDefault="00011DE9">
            <w:pPr>
              <w:pStyle w:val="P68B1DB1-Normal78"/>
              <w:spacing w:after="0" w:line="240" w:lineRule="auto"/>
              <w:rPr>
                <w:rFonts w:eastAsia="Times New Roman" w:cs="Times New Roman"/>
                <w:noProof/>
                <w:szCs w:val="20"/>
              </w:rPr>
            </w:pPr>
            <w:r>
              <w:rPr>
                <w:noProof/>
              </w:rPr>
              <w:t>Intrarea în vigoare a Decretului-lege regal privind protecția lucrătorilor care desfășoară activități de distribuție către terți prin mijloace tehnologice</w:t>
            </w:r>
          </w:p>
        </w:tc>
      </w:tr>
      <w:tr w:rsidR="00011DE9" w14:paraId="6F188860"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94E9918" w14:textId="77777777" w:rsidR="00011DE9" w:rsidRDefault="00011DE9">
            <w:pPr>
              <w:pStyle w:val="P68B1DB1-Normal78"/>
              <w:spacing w:after="0" w:line="240" w:lineRule="auto"/>
              <w:jc w:val="center"/>
              <w:rPr>
                <w:rFonts w:eastAsia="Times New Roman" w:cs="Times New Roman"/>
                <w:noProof/>
                <w:szCs w:val="20"/>
              </w:rPr>
            </w:pPr>
            <w:r>
              <w:rPr>
                <w:noProof/>
              </w:rPr>
              <w:t>332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3754072F" w14:textId="77777777" w:rsidR="00011DE9" w:rsidRDefault="00011DE9">
            <w:pPr>
              <w:pStyle w:val="P68B1DB1-Normal78"/>
              <w:spacing w:after="0" w:line="240" w:lineRule="auto"/>
              <w:jc w:val="center"/>
              <w:rPr>
                <w:rFonts w:eastAsia="Times New Roman" w:cs="Times New Roman"/>
                <w:noProof/>
                <w:szCs w:val="20"/>
              </w:rPr>
            </w:pPr>
            <w:r>
              <w:rPr>
                <w:noProof/>
              </w:rPr>
              <w:t>C23.R4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2DA46B45"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7B3FDB3" w14:textId="77777777" w:rsidR="00011DE9" w:rsidRDefault="00011DE9">
            <w:pPr>
              <w:pStyle w:val="P68B1DB1-Normal78"/>
              <w:spacing w:after="0" w:line="240" w:lineRule="auto"/>
              <w:rPr>
                <w:rFonts w:eastAsia="Times New Roman" w:cs="Times New Roman"/>
                <w:noProof/>
                <w:szCs w:val="20"/>
              </w:rPr>
            </w:pPr>
            <w:r>
              <w:rPr>
                <w:noProof/>
              </w:rPr>
              <w:t>Modificarea Statutului lucrătorilor pentru a sprijini reducerea locurilor de muncă temporare prin raționalizarea numărului de tipuri de contracte</w:t>
            </w:r>
          </w:p>
        </w:tc>
      </w:tr>
      <w:tr w:rsidR="00011DE9" w14:paraId="1EC350C7"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B34CE9A" w14:textId="77777777" w:rsidR="00011DE9" w:rsidRDefault="00011DE9">
            <w:pPr>
              <w:pStyle w:val="P68B1DB1-Normal78"/>
              <w:spacing w:after="0" w:line="240" w:lineRule="auto"/>
              <w:jc w:val="center"/>
              <w:rPr>
                <w:rFonts w:eastAsia="Times New Roman" w:cs="Times New Roman"/>
                <w:noProof/>
                <w:szCs w:val="20"/>
              </w:rPr>
            </w:pPr>
            <w:r>
              <w:rPr>
                <w:noProof/>
              </w:rPr>
              <w:t>334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3E6AA02" w14:textId="77777777" w:rsidR="00011DE9" w:rsidRDefault="00011DE9">
            <w:pPr>
              <w:pStyle w:val="P68B1DB1-Normal78"/>
              <w:spacing w:after="0" w:line="240" w:lineRule="auto"/>
              <w:jc w:val="center"/>
              <w:rPr>
                <w:rFonts w:eastAsia="Times New Roman" w:cs="Times New Roman"/>
                <w:noProof/>
                <w:szCs w:val="20"/>
              </w:rPr>
            </w:pPr>
            <w:r>
              <w:rPr>
                <w:noProof/>
              </w:rPr>
              <w:t>C23.R5</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314F42E"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65E8604D" w14:textId="77777777" w:rsidR="00011DE9" w:rsidRDefault="00011DE9">
            <w:pPr>
              <w:pStyle w:val="P68B1DB1-Normal78"/>
              <w:spacing w:after="0" w:line="240" w:lineRule="auto"/>
              <w:rPr>
                <w:rFonts w:eastAsia="Times New Roman" w:cs="Times New Roman"/>
                <w:noProof/>
                <w:szCs w:val="20"/>
              </w:rPr>
            </w:pPr>
            <w:r>
              <w:rPr>
                <w:noProof/>
              </w:rPr>
              <w:t xml:space="preserve">Decretul regal pentru o nouă strategie spaniolă de ocupare a forței </w:t>
            </w:r>
            <w:r>
              <w:rPr>
                <w:noProof/>
                <w:szCs w:val="20"/>
              </w:rPr>
              <w:t>de</w:t>
            </w:r>
            <w:r>
              <w:rPr>
                <w:noProof/>
              </w:rPr>
              <w:t xml:space="preserve"> muncă 2021-2024</w:t>
            </w:r>
          </w:p>
        </w:tc>
      </w:tr>
      <w:tr w:rsidR="00011DE9" w14:paraId="1269B362"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5FE9DDC" w14:textId="77777777" w:rsidR="00011DE9" w:rsidRDefault="00011DE9">
            <w:pPr>
              <w:pStyle w:val="P68B1DB1-Normal78"/>
              <w:spacing w:after="0" w:line="240" w:lineRule="auto"/>
              <w:jc w:val="center"/>
              <w:rPr>
                <w:rFonts w:eastAsia="Times New Roman" w:cs="Times New Roman"/>
                <w:noProof/>
                <w:szCs w:val="20"/>
              </w:rPr>
            </w:pPr>
            <w:r>
              <w:rPr>
                <w:noProof/>
              </w:rPr>
              <w:t>336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3FAEA45" w14:textId="77777777" w:rsidR="00011DE9" w:rsidRDefault="00011DE9">
            <w:pPr>
              <w:pStyle w:val="P68B1DB1-Normal78"/>
              <w:spacing w:after="0" w:line="240" w:lineRule="auto"/>
              <w:jc w:val="center"/>
              <w:rPr>
                <w:rFonts w:eastAsia="Times New Roman" w:cs="Times New Roman"/>
                <w:noProof/>
                <w:szCs w:val="20"/>
              </w:rPr>
            </w:pPr>
            <w:r>
              <w:rPr>
                <w:noProof/>
              </w:rPr>
              <w:t>C23.R6</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BFA41BD"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2AB8E659" w14:textId="77777777" w:rsidR="00011DE9" w:rsidRDefault="00011DE9">
            <w:pPr>
              <w:pStyle w:val="P68B1DB1-Normal78"/>
              <w:spacing w:after="0" w:line="240" w:lineRule="auto"/>
              <w:rPr>
                <w:rFonts w:eastAsia="Times New Roman" w:cs="Times New Roman"/>
                <w:noProof/>
                <w:szCs w:val="20"/>
              </w:rPr>
            </w:pPr>
            <w:r>
              <w:rPr>
                <w:noProof/>
              </w:rPr>
              <w:t xml:space="preserve">Modificarea statutului lucrătorilor pentru a institui un sistem de adaptare la șocurile ciclice și structurale, inclusiv un sistem care să </w:t>
            </w:r>
            <w:r>
              <w:rPr>
                <w:noProof/>
                <w:szCs w:val="20"/>
              </w:rPr>
              <w:t>ofere flexibilitate internă</w:t>
            </w:r>
            <w:r>
              <w:rPr>
                <w:noProof/>
              </w:rPr>
              <w:t xml:space="preserve"> întreprinderilor și stabilitate lucrătorilor</w:t>
            </w:r>
          </w:p>
        </w:tc>
      </w:tr>
      <w:tr w:rsidR="00011DE9" w14:paraId="33921B1A"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C138247" w14:textId="77777777" w:rsidR="00011DE9" w:rsidRDefault="00011DE9">
            <w:pPr>
              <w:pStyle w:val="P68B1DB1-Normal78"/>
              <w:spacing w:after="0" w:line="240" w:lineRule="auto"/>
              <w:jc w:val="center"/>
              <w:rPr>
                <w:rFonts w:eastAsia="Times New Roman" w:cs="Times New Roman"/>
                <w:noProof/>
                <w:szCs w:val="20"/>
              </w:rPr>
            </w:pPr>
            <w:r>
              <w:rPr>
                <w:noProof/>
              </w:rPr>
              <w:t>338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379C92B" w14:textId="77777777" w:rsidR="00011DE9" w:rsidRDefault="00011DE9">
            <w:pPr>
              <w:pStyle w:val="P68B1DB1-Normal78"/>
              <w:spacing w:after="0" w:line="240" w:lineRule="auto"/>
              <w:jc w:val="center"/>
              <w:rPr>
                <w:rFonts w:eastAsia="Times New Roman" w:cs="Times New Roman"/>
                <w:noProof/>
                <w:szCs w:val="20"/>
              </w:rPr>
            </w:pPr>
            <w:r>
              <w:rPr>
                <w:noProof/>
              </w:rPr>
              <w:t>C23.R8</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2273556"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7535FF5A" w14:textId="77777777" w:rsidR="00011DE9" w:rsidRDefault="00011DE9">
            <w:pPr>
              <w:pStyle w:val="P68B1DB1-Normal78"/>
              <w:spacing w:after="0" w:line="240" w:lineRule="auto"/>
              <w:rPr>
                <w:rFonts w:eastAsia="Times New Roman" w:cs="Times New Roman"/>
                <w:noProof/>
                <w:szCs w:val="20"/>
              </w:rPr>
            </w:pPr>
            <w:r>
              <w:rPr>
                <w:noProof/>
              </w:rPr>
              <w:t xml:space="preserve">Modificarea statutului lucrătorilor pentru a îmbunătăți normele juridice </w:t>
            </w:r>
            <w:r>
              <w:rPr>
                <w:noProof/>
                <w:szCs w:val="20"/>
              </w:rPr>
              <w:t>care reglementează</w:t>
            </w:r>
            <w:r>
              <w:rPr>
                <w:noProof/>
              </w:rPr>
              <w:t xml:space="preserve"> negocierile colective </w:t>
            </w:r>
          </w:p>
        </w:tc>
      </w:tr>
      <w:tr w:rsidR="00011DE9" w14:paraId="6C776229"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7269495" w14:textId="77777777" w:rsidR="00011DE9" w:rsidRDefault="00011DE9">
            <w:pPr>
              <w:pStyle w:val="P68B1DB1-Normal78"/>
              <w:spacing w:after="0" w:line="240" w:lineRule="auto"/>
              <w:jc w:val="center"/>
              <w:rPr>
                <w:rFonts w:eastAsia="Times New Roman" w:cs="Times New Roman"/>
                <w:noProof/>
                <w:szCs w:val="20"/>
              </w:rPr>
            </w:pPr>
            <w:r>
              <w:rPr>
                <w:noProof/>
              </w:rPr>
              <w:t>339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6E1ECD53" w14:textId="77777777" w:rsidR="00011DE9" w:rsidRDefault="00011DE9">
            <w:pPr>
              <w:pStyle w:val="P68B1DB1-Normal78"/>
              <w:spacing w:after="0" w:line="240" w:lineRule="auto"/>
              <w:jc w:val="center"/>
              <w:rPr>
                <w:rFonts w:eastAsia="Times New Roman" w:cs="Times New Roman"/>
                <w:noProof/>
                <w:szCs w:val="20"/>
              </w:rPr>
            </w:pPr>
            <w:r>
              <w:rPr>
                <w:noProof/>
              </w:rPr>
              <w:t>C23.R9</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2EB7E802"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604C5C22" w14:textId="77777777" w:rsidR="00011DE9" w:rsidRDefault="00011DE9">
            <w:pPr>
              <w:pStyle w:val="P68B1DB1-Normal78"/>
              <w:spacing w:after="0" w:line="240" w:lineRule="auto"/>
              <w:rPr>
                <w:rFonts w:eastAsia="Times New Roman" w:cs="Times New Roman"/>
                <w:noProof/>
                <w:szCs w:val="20"/>
              </w:rPr>
            </w:pPr>
            <w:r>
              <w:rPr>
                <w:noProof/>
              </w:rPr>
              <w:t xml:space="preserve">Modificarea statutului lucrătorilor pentru a îmbunătăți drepturile </w:t>
            </w:r>
            <w:r>
              <w:rPr>
                <w:noProof/>
                <w:szCs w:val="20"/>
              </w:rPr>
              <w:t>persoanelor</w:t>
            </w:r>
            <w:r>
              <w:rPr>
                <w:noProof/>
              </w:rPr>
              <w:t xml:space="preserve"> care lucrează în întreprinderile subcontractate</w:t>
            </w:r>
          </w:p>
        </w:tc>
      </w:tr>
      <w:tr w:rsidR="00011DE9" w14:paraId="67D04E9C"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AFDA89E" w14:textId="77777777" w:rsidR="00011DE9" w:rsidRDefault="00011DE9">
            <w:pPr>
              <w:pStyle w:val="P68B1DB1-Normal78"/>
              <w:spacing w:after="0" w:line="240" w:lineRule="auto"/>
              <w:jc w:val="center"/>
              <w:rPr>
                <w:rFonts w:eastAsia="Times New Roman" w:cs="Times New Roman"/>
                <w:noProof/>
                <w:szCs w:val="20"/>
              </w:rPr>
            </w:pPr>
            <w:r>
              <w:rPr>
                <w:noProof/>
              </w:rPr>
              <w:t>345</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303A9AA1" w14:textId="77777777" w:rsidR="00011DE9" w:rsidRDefault="00011DE9">
            <w:pPr>
              <w:pStyle w:val="P68B1DB1-Normal78"/>
              <w:spacing w:after="0" w:line="240" w:lineRule="auto"/>
              <w:jc w:val="center"/>
              <w:rPr>
                <w:rFonts w:eastAsia="Times New Roman" w:cs="Times New Roman"/>
                <w:noProof/>
                <w:szCs w:val="20"/>
              </w:rPr>
            </w:pPr>
            <w:r>
              <w:rPr>
                <w:noProof/>
              </w:rPr>
              <w:t>C23.I4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34AD52C"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78E0EC25" w14:textId="77777777" w:rsidR="00011DE9" w:rsidRDefault="00011DE9">
            <w:pPr>
              <w:pStyle w:val="P68B1DB1-Normal78"/>
              <w:spacing w:after="0" w:line="240" w:lineRule="auto"/>
              <w:rPr>
                <w:rFonts w:eastAsia="Times New Roman" w:cs="Times New Roman"/>
                <w:noProof/>
                <w:szCs w:val="20"/>
              </w:rPr>
            </w:pPr>
            <w:r>
              <w:rPr>
                <w:noProof/>
              </w:rPr>
              <w:t xml:space="preserve">Aprobarea alocării regionale de fonduri pentru proiecte teritoriale destinate grupurilor vulnerabile, antreprenoriatului și microîntreprinderilor. </w:t>
            </w:r>
          </w:p>
        </w:tc>
      </w:tr>
      <w:tr w:rsidR="00011DE9" w14:paraId="5217C30F"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D64AA96" w14:textId="77777777" w:rsidR="00011DE9" w:rsidRDefault="00011DE9">
            <w:pPr>
              <w:pStyle w:val="P68B1DB1-Normal78"/>
              <w:spacing w:after="0" w:line="240" w:lineRule="auto"/>
              <w:jc w:val="center"/>
              <w:rPr>
                <w:rFonts w:eastAsia="Times New Roman" w:cs="Times New Roman"/>
                <w:noProof/>
                <w:szCs w:val="20"/>
              </w:rPr>
            </w:pPr>
            <w:r>
              <w:rPr>
                <w:noProof/>
              </w:rPr>
              <w:t>378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9F11641" w14:textId="77777777" w:rsidR="00011DE9" w:rsidRDefault="00011DE9">
            <w:pPr>
              <w:pStyle w:val="P68B1DB1-Normal78"/>
              <w:spacing w:after="0" w:line="240" w:lineRule="auto"/>
              <w:jc w:val="center"/>
              <w:rPr>
                <w:rFonts w:eastAsia="Times New Roman" w:cs="Times New Roman"/>
                <w:noProof/>
                <w:szCs w:val="20"/>
              </w:rPr>
            </w:pPr>
            <w:r>
              <w:rPr>
                <w:noProof/>
              </w:rPr>
              <w:t>C27.R2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10EFACAF" w14:textId="77777777" w:rsidR="00011DE9" w:rsidRDefault="00011DE9">
            <w:pPr>
              <w:pStyle w:val="P68B1DB1-Normal78"/>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5C06CB8" w14:textId="77777777" w:rsidR="00011DE9" w:rsidRDefault="00011DE9">
            <w:pPr>
              <w:pStyle w:val="P68B1DB1-Normal78"/>
              <w:spacing w:after="0" w:line="240" w:lineRule="auto"/>
              <w:rPr>
                <w:rFonts w:eastAsia="Times New Roman" w:cs="Times New Roman"/>
                <w:noProof/>
                <w:szCs w:val="20"/>
              </w:rPr>
            </w:pPr>
            <w:r>
              <w:rPr>
                <w:noProof/>
              </w:rPr>
              <w:t>Modernizarea Agenției Fiscale – Numărul de angajați ai Autorității Fiscale</w:t>
            </w:r>
          </w:p>
        </w:tc>
      </w:tr>
      <w:tr w:rsidR="00011DE9" w14:paraId="4DF80BF9"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4A2E5B8" w14:textId="77777777" w:rsidR="00011DE9" w:rsidRDefault="00011DE9">
            <w:pPr>
              <w:pStyle w:val="P68B1DB1-Normal78"/>
              <w:spacing w:after="0" w:line="240" w:lineRule="auto"/>
              <w:jc w:val="center"/>
              <w:rPr>
                <w:rFonts w:eastAsia="Times New Roman" w:cs="Times New Roman"/>
                <w:noProof/>
                <w:szCs w:val="20"/>
              </w:rPr>
            </w:pPr>
            <w:r>
              <w:rPr>
                <w:noProof/>
              </w:rPr>
              <w:t>379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853CACB" w14:textId="77777777" w:rsidR="00011DE9" w:rsidRDefault="00011DE9">
            <w:pPr>
              <w:pStyle w:val="P68B1DB1-Normal78"/>
              <w:spacing w:after="0" w:line="240" w:lineRule="auto"/>
              <w:jc w:val="center"/>
              <w:rPr>
                <w:rFonts w:eastAsia="Times New Roman" w:cs="Times New Roman"/>
                <w:noProof/>
                <w:szCs w:val="20"/>
              </w:rPr>
            </w:pPr>
            <w:r>
              <w:rPr>
                <w:noProof/>
              </w:rPr>
              <w:t>C27.R2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31978678" w14:textId="77777777" w:rsidR="00011DE9" w:rsidRDefault="00011DE9">
            <w:pPr>
              <w:pStyle w:val="P68B1DB1-Normal78"/>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D0E7054" w14:textId="77777777" w:rsidR="00011DE9" w:rsidRDefault="00011DE9">
            <w:pPr>
              <w:pStyle w:val="P68B1DB1-Normal78"/>
              <w:spacing w:after="0" w:line="240" w:lineRule="auto"/>
              <w:rPr>
                <w:rFonts w:eastAsia="Times New Roman" w:cs="Times New Roman"/>
                <w:noProof/>
                <w:szCs w:val="20"/>
              </w:rPr>
            </w:pPr>
            <w:r>
              <w:rPr>
                <w:noProof/>
              </w:rPr>
              <w:t>Modernizarea Agenției Fiscale – Investigații fiscale</w:t>
            </w:r>
          </w:p>
        </w:tc>
      </w:tr>
      <w:tr w:rsidR="00011DE9" w14:paraId="7007A6B2"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FF037E8" w14:textId="77777777" w:rsidR="00011DE9" w:rsidRDefault="00011DE9">
            <w:pPr>
              <w:pStyle w:val="P68B1DB1-Normal78"/>
              <w:spacing w:after="0" w:line="240" w:lineRule="auto"/>
              <w:jc w:val="center"/>
              <w:rPr>
                <w:rFonts w:eastAsia="Times New Roman" w:cs="Times New Roman"/>
                <w:noProof/>
                <w:szCs w:val="20"/>
              </w:rPr>
            </w:pPr>
            <w:r>
              <w:rPr>
                <w:noProof/>
              </w:rPr>
              <w:t>380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7D9DA10F" w14:textId="77777777" w:rsidR="00011DE9" w:rsidRDefault="00011DE9">
            <w:pPr>
              <w:pStyle w:val="P68B1DB1-Normal78"/>
              <w:spacing w:after="0" w:line="240" w:lineRule="auto"/>
              <w:jc w:val="center"/>
              <w:rPr>
                <w:rFonts w:eastAsia="Times New Roman" w:cs="Times New Roman"/>
                <w:noProof/>
                <w:szCs w:val="20"/>
              </w:rPr>
            </w:pPr>
            <w:r>
              <w:rPr>
                <w:noProof/>
              </w:rPr>
              <w:t>C27.R3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2338BE3A" w14:textId="77777777" w:rsidR="00011DE9" w:rsidRDefault="00011DE9">
            <w:pPr>
              <w:pStyle w:val="P68B1DB1-Normal78"/>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2E681A0" w14:textId="77777777" w:rsidR="00011DE9" w:rsidRDefault="00011DE9">
            <w:pPr>
              <w:pStyle w:val="P68B1DB1-Normal78"/>
              <w:spacing w:after="0" w:line="240" w:lineRule="auto"/>
              <w:rPr>
                <w:rFonts w:eastAsia="Times New Roman" w:cs="Times New Roman"/>
                <w:noProof/>
                <w:szCs w:val="20"/>
              </w:rPr>
            </w:pPr>
            <w:r>
              <w:rPr>
                <w:noProof/>
              </w:rPr>
              <w:t>Furnizarea de asistență sporită contribuabililor – Sociedades Web modernizat și disponibil pentru cel puțin 1 666 123 de contribuabili.</w:t>
            </w:r>
          </w:p>
        </w:tc>
      </w:tr>
      <w:tr w:rsidR="00011DE9" w14:paraId="6C2B1995"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092F71E" w14:textId="77777777" w:rsidR="00011DE9" w:rsidRDefault="00011DE9">
            <w:pPr>
              <w:pStyle w:val="P68B1DB1-Normal78"/>
              <w:spacing w:after="0" w:line="240" w:lineRule="auto"/>
              <w:jc w:val="center"/>
              <w:rPr>
                <w:rFonts w:eastAsia="Times New Roman" w:cs="Times New Roman"/>
                <w:noProof/>
                <w:szCs w:val="20"/>
              </w:rPr>
            </w:pPr>
            <w:r>
              <w:rPr>
                <w:noProof/>
              </w:rPr>
              <w:t>381</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11F2EDC" w14:textId="77777777" w:rsidR="00011DE9" w:rsidRDefault="00011DE9">
            <w:pPr>
              <w:pStyle w:val="P68B1DB1-Normal78"/>
              <w:spacing w:after="0" w:line="240" w:lineRule="auto"/>
              <w:jc w:val="center"/>
              <w:rPr>
                <w:rFonts w:eastAsia="Times New Roman" w:cs="Times New Roman"/>
                <w:noProof/>
                <w:szCs w:val="20"/>
              </w:rPr>
            </w:pPr>
            <w:r>
              <w:rPr>
                <w:noProof/>
              </w:rPr>
              <w:t>C27.R3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34559C98" w14:textId="77777777" w:rsidR="00011DE9" w:rsidRDefault="00011DE9">
            <w:pPr>
              <w:pStyle w:val="P68B1DB1-Normal78"/>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365318F" w14:textId="77777777" w:rsidR="00011DE9" w:rsidRDefault="00011DE9">
            <w:pPr>
              <w:pStyle w:val="P68B1DB1-Normal78"/>
              <w:spacing w:after="0" w:line="240" w:lineRule="auto"/>
              <w:rPr>
                <w:rFonts w:eastAsia="Times New Roman" w:cs="Times New Roman"/>
                <w:noProof/>
                <w:szCs w:val="20"/>
              </w:rPr>
            </w:pPr>
            <w:r>
              <w:rPr>
                <w:noProof/>
              </w:rPr>
              <w:t>Furnizarea de asistență sporită contribuabililor – Renta Web modernizat și disponibil pentru cel puțin 1 779 505 de contribuabili</w:t>
            </w:r>
          </w:p>
        </w:tc>
      </w:tr>
      <w:tr w:rsidR="00011DE9" w14:paraId="2FF7E66E"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C8152C7" w14:textId="77777777" w:rsidR="00011DE9" w:rsidRDefault="00011DE9">
            <w:pPr>
              <w:pStyle w:val="P68B1DB1-Normal78"/>
              <w:spacing w:after="0" w:line="240" w:lineRule="auto"/>
              <w:jc w:val="center"/>
              <w:rPr>
                <w:rFonts w:eastAsia="Times New Roman" w:cs="Times New Roman"/>
                <w:noProof/>
                <w:szCs w:val="20"/>
              </w:rPr>
            </w:pPr>
            <w:r>
              <w:rPr>
                <w:noProof/>
              </w:rPr>
              <w:t>383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8517AA1" w14:textId="77777777" w:rsidR="00011DE9" w:rsidRDefault="00011DE9">
            <w:pPr>
              <w:pStyle w:val="P68B1DB1-Normal78"/>
              <w:spacing w:after="0" w:line="240" w:lineRule="auto"/>
              <w:jc w:val="center"/>
              <w:rPr>
                <w:rFonts w:eastAsia="Times New Roman" w:cs="Times New Roman"/>
                <w:noProof/>
                <w:szCs w:val="20"/>
              </w:rPr>
            </w:pPr>
            <w:r>
              <w:rPr>
                <w:noProof/>
              </w:rPr>
              <w:t>C27.R4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8DA4044" w14:textId="77777777" w:rsidR="00011DE9" w:rsidRDefault="00011DE9">
            <w:pPr>
              <w:pStyle w:val="P68B1DB1-Normal78"/>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37E03902" w14:textId="77777777" w:rsidR="00011DE9" w:rsidRDefault="00011DE9">
            <w:pPr>
              <w:pStyle w:val="P68B1DB1-Normal78"/>
              <w:spacing w:after="0" w:line="240" w:lineRule="auto"/>
              <w:rPr>
                <w:rFonts w:eastAsia="Times New Roman" w:cs="Times New Roman"/>
                <w:noProof/>
                <w:szCs w:val="20"/>
              </w:rPr>
            </w:pPr>
            <w:r>
              <w:rPr>
                <w:noProof/>
              </w:rPr>
              <w:t xml:space="preserve">Dimensiunea internațională – Contribuabili străini înregistrați identificați </w:t>
            </w:r>
          </w:p>
        </w:tc>
      </w:tr>
      <w:tr w:rsidR="00011DE9" w14:paraId="5A8A9BAD"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44FE898" w14:textId="77777777" w:rsidR="00011DE9" w:rsidRDefault="00011DE9">
            <w:pPr>
              <w:pStyle w:val="P68B1DB1-Normal78"/>
              <w:spacing w:after="0" w:line="240" w:lineRule="auto"/>
              <w:jc w:val="center"/>
              <w:rPr>
                <w:rFonts w:eastAsia="Times New Roman" w:cs="Times New Roman"/>
                <w:noProof/>
                <w:szCs w:val="20"/>
              </w:rPr>
            </w:pPr>
            <w:r>
              <w:rPr>
                <w:noProof/>
              </w:rPr>
              <w:t>384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89AF8DF" w14:textId="77777777" w:rsidR="00011DE9" w:rsidRDefault="00011DE9">
            <w:pPr>
              <w:pStyle w:val="P68B1DB1-Normal78"/>
              <w:spacing w:after="0" w:line="240" w:lineRule="auto"/>
              <w:jc w:val="center"/>
              <w:rPr>
                <w:rFonts w:eastAsia="Times New Roman" w:cs="Times New Roman"/>
                <w:noProof/>
                <w:szCs w:val="20"/>
              </w:rPr>
            </w:pPr>
            <w:r>
              <w:rPr>
                <w:noProof/>
              </w:rPr>
              <w:t>C27.R5</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C4A3AD6" w14:textId="77777777" w:rsidR="00011DE9" w:rsidRDefault="00011DE9">
            <w:pPr>
              <w:pStyle w:val="P68B1DB1-Normal78"/>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6BFE395" w14:textId="77777777" w:rsidR="00011DE9" w:rsidRDefault="00011DE9">
            <w:pPr>
              <w:pStyle w:val="P68B1DB1-Normal78"/>
              <w:spacing w:after="0" w:line="240" w:lineRule="auto"/>
              <w:rPr>
                <w:rFonts w:eastAsia="Times New Roman" w:cs="Times New Roman"/>
                <w:noProof/>
                <w:szCs w:val="20"/>
              </w:rPr>
            </w:pPr>
            <w:r>
              <w:rPr>
                <w:noProof/>
              </w:rPr>
              <w:t>Modelul cooperatist – Rapoarte privind transparența</w:t>
            </w:r>
          </w:p>
        </w:tc>
      </w:tr>
      <w:tr w:rsidR="00011DE9" w14:paraId="07E46647"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2831FCE" w14:textId="77777777" w:rsidR="00011DE9" w:rsidRDefault="00011DE9">
            <w:pPr>
              <w:pStyle w:val="P68B1DB1-Normal78"/>
              <w:spacing w:after="0" w:line="240" w:lineRule="auto"/>
              <w:jc w:val="center"/>
              <w:rPr>
                <w:rFonts w:eastAsia="Times New Roman" w:cs="Times New Roman"/>
                <w:noProof/>
                <w:szCs w:val="20"/>
              </w:rPr>
            </w:pPr>
            <w:r>
              <w:rPr>
                <w:noProof/>
              </w:rPr>
              <w:t>389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B67E126" w14:textId="77777777" w:rsidR="00011DE9" w:rsidRDefault="00011DE9">
            <w:pPr>
              <w:pStyle w:val="P68B1DB1-Normal78"/>
              <w:spacing w:after="0" w:line="240" w:lineRule="auto"/>
              <w:jc w:val="center"/>
              <w:rPr>
                <w:rFonts w:eastAsia="Times New Roman" w:cs="Times New Roman"/>
                <w:noProof/>
                <w:szCs w:val="20"/>
              </w:rPr>
            </w:pPr>
            <w:r>
              <w:rPr>
                <w:noProof/>
              </w:rPr>
              <w:t>C28.R4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6B355B4C"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78FC7368" w14:textId="77777777" w:rsidR="00011DE9" w:rsidRDefault="00011DE9">
            <w:pPr>
              <w:pStyle w:val="P68B1DB1-Normal78"/>
              <w:spacing w:after="0" w:line="240" w:lineRule="auto"/>
              <w:rPr>
                <w:rFonts w:eastAsia="Times New Roman" w:cs="Times New Roman"/>
                <w:noProof/>
                <w:szCs w:val="20"/>
              </w:rPr>
            </w:pPr>
            <w:r>
              <w:rPr>
                <w:noProof/>
              </w:rPr>
              <w:t>Impozite pe materialele plastice de unică folosință și pe deșeuri</w:t>
            </w:r>
          </w:p>
        </w:tc>
      </w:tr>
      <w:tr w:rsidR="00011DE9" w14:paraId="27805A12"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0347141" w14:textId="77777777" w:rsidR="00011DE9" w:rsidRDefault="00011DE9">
            <w:pPr>
              <w:pStyle w:val="P68B1DB1-Normal78"/>
              <w:spacing w:after="0" w:line="240" w:lineRule="auto"/>
              <w:jc w:val="center"/>
              <w:rPr>
                <w:rFonts w:eastAsia="Times New Roman" w:cs="Times New Roman"/>
                <w:noProof/>
                <w:szCs w:val="20"/>
              </w:rPr>
            </w:pPr>
            <w:r>
              <w:rPr>
                <w:noProof/>
              </w:rPr>
              <w:t>400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6E9C50C" w14:textId="77777777" w:rsidR="00011DE9" w:rsidRDefault="00011DE9">
            <w:pPr>
              <w:pStyle w:val="P68B1DB1-Normal78"/>
              <w:spacing w:after="0" w:line="240" w:lineRule="auto"/>
              <w:jc w:val="center"/>
              <w:rPr>
                <w:rFonts w:eastAsia="Times New Roman" w:cs="Times New Roman"/>
                <w:noProof/>
                <w:szCs w:val="20"/>
              </w:rPr>
            </w:pPr>
            <w:r>
              <w:rPr>
                <w:noProof/>
              </w:rPr>
              <w:t>C29.R1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61392F8E"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69E23E63" w14:textId="77777777" w:rsidR="00011DE9" w:rsidRDefault="00011DE9">
            <w:pPr>
              <w:pStyle w:val="P68B1DB1-Normal78"/>
              <w:spacing w:after="0" w:line="240" w:lineRule="auto"/>
              <w:rPr>
                <w:rFonts w:eastAsia="Times New Roman" w:cs="Times New Roman"/>
                <w:noProof/>
                <w:szCs w:val="20"/>
              </w:rPr>
            </w:pPr>
            <w:r>
              <w:rPr>
                <w:noProof/>
              </w:rPr>
              <w:t>Aprobarea de către Consiliul de Miniștri a noului ciclu (2022-26) de analize ale cheltuielilor care urmează să fie încredințate AIReF.</w:t>
            </w:r>
          </w:p>
        </w:tc>
      </w:tr>
      <w:tr w:rsidR="00011DE9" w14:paraId="5B5E03BB"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20C32EB" w14:textId="77777777" w:rsidR="00011DE9" w:rsidRDefault="00011DE9">
            <w:pPr>
              <w:pStyle w:val="P68B1DB1-Normal78"/>
              <w:spacing w:after="0" w:line="240" w:lineRule="auto"/>
              <w:jc w:val="center"/>
              <w:rPr>
                <w:rFonts w:eastAsia="Times New Roman" w:cs="Times New Roman"/>
                <w:noProof/>
                <w:szCs w:val="20"/>
              </w:rPr>
            </w:pPr>
            <w:r>
              <w:rPr>
                <w:noProof/>
              </w:rPr>
              <w:t>403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90A14B3" w14:textId="77777777" w:rsidR="00011DE9" w:rsidRDefault="00011DE9">
            <w:pPr>
              <w:pStyle w:val="P68B1DB1-Normal78"/>
              <w:spacing w:after="0" w:line="240" w:lineRule="auto"/>
              <w:jc w:val="center"/>
              <w:rPr>
                <w:rFonts w:eastAsia="Times New Roman" w:cs="Times New Roman"/>
                <w:noProof/>
                <w:szCs w:val="20"/>
              </w:rPr>
            </w:pPr>
            <w:r>
              <w:rPr>
                <w:noProof/>
              </w:rPr>
              <w:t>C29.R2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2C8DAC5"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6E7D6379" w14:textId="77777777" w:rsidR="00011DE9" w:rsidRDefault="00011DE9">
            <w:pPr>
              <w:pStyle w:val="P68B1DB1-Normal78"/>
              <w:spacing w:after="0" w:line="240" w:lineRule="auto"/>
              <w:rPr>
                <w:rFonts w:eastAsia="Times New Roman" w:cs="Times New Roman"/>
                <w:noProof/>
                <w:szCs w:val="20"/>
              </w:rPr>
            </w:pPr>
            <w:r>
              <w:rPr>
                <w:noProof/>
              </w:rPr>
              <w:t>Raport privind alinierea bugetului la obiectivele de dezvoltare durabilă (ODD)</w:t>
            </w:r>
          </w:p>
        </w:tc>
      </w:tr>
      <w:tr w:rsidR="00011DE9" w14:paraId="2177C2E0"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0C2078F" w14:textId="77777777" w:rsidR="00011DE9" w:rsidRDefault="00011DE9">
            <w:pPr>
              <w:pStyle w:val="P68B1DB1-Normal78"/>
              <w:spacing w:after="0" w:line="240" w:lineRule="auto"/>
              <w:jc w:val="center"/>
              <w:rPr>
                <w:rFonts w:eastAsia="Times New Roman" w:cs="Times New Roman"/>
                <w:noProof/>
                <w:szCs w:val="20"/>
              </w:rPr>
            </w:pPr>
            <w:r>
              <w:rPr>
                <w:noProof/>
              </w:rPr>
              <w:t>407</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6EA8BEA1" w14:textId="77777777" w:rsidR="00011DE9" w:rsidRDefault="00011DE9">
            <w:pPr>
              <w:pStyle w:val="P68B1DB1-Normal78"/>
              <w:spacing w:after="0" w:line="240" w:lineRule="auto"/>
              <w:jc w:val="center"/>
              <w:rPr>
                <w:rFonts w:eastAsia="Times New Roman" w:cs="Times New Roman"/>
                <w:noProof/>
                <w:szCs w:val="20"/>
              </w:rPr>
            </w:pPr>
            <w:r>
              <w:rPr>
                <w:noProof/>
              </w:rPr>
              <w:t>C30.R2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AA623D8" w14:textId="77777777" w:rsidR="00011DE9" w:rsidRDefault="00011DE9">
            <w:pPr>
              <w:pStyle w:val="P68B1DB1-Normal78"/>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32B9EAF7" w14:textId="77777777" w:rsidR="00011DE9" w:rsidRDefault="00011DE9">
            <w:pPr>
              <w:pStyle w:val="P68B1DB1-Normal78"/>
              <w:spacing w:after="0" w:line="240" w:lineRule="auto"/>
              <w:rPr>
                <w:rFonts w:eastAsia="Times New Roman" w:cs="Times New Roman"/>
                <w:noProof/>
                <w:szCs w:val="20"/>
              </w:rPr>
            </w:pPr>
            <w:r>
              <w:rPr>
                <w:noProof/>
              </w:rPr>
              <w:t>Menținerea puterii de cumpărare a pensiilor și alinierea vârstei efective de pensionare la vârsta legală de pensionare</w:t>
            </w:r>
          </w:p>
        </w:tc>
      </w:tr>
      <w:tr w:rsidR="00011DE9" w14:paraId="17C30E01"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A7BC73F" w14:textId="77777777" w:rsidR="00011DE9" w:rsidRDefault="00011DE9">
            <w:pPr>
              <w:spacing w:after="0" w:line="240" w:lineRule="auto"/>
              <w:jc w:val="center"/>
              <w:rPr>
                <w:rFonts w:ascii="Times New Roman" w:eastAsia="Times New Roman" w:hAnsi="Times New Roman" w:cs="Times New Roman"/>
                <w:noProof/>
                <w:sz w:val="20"/>
                <w:szCs w:val="20"/>
              </w:rPr>
            </w:pP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9977462" w14:textId="77777777" w:rsidR="00011DE9" w:rsidRDefault="00011DE9">
            <w:pPr>
              <w:spacing w:after="0" w:line="240" w:lineRule="auto"/>
              <w:jc w:val="center"/>
              <w:rPr>
                <w:rFonts w:ascii="Times New Roman" w:eastAsia="Times New Roman" w:hAnsi="Times New Roman" w:cs="Times New Roman"/>
                <w:noProof/>
                <w:sz w:val="20"/>
                <w:szCs w:val="20"/>
              </w:rPr>
            </w:pPr>
          </w:p>
        </w:tc>
        <w:tc>
          <w:tcPr>
            <w:tcW w:w="1139" w:type="dxa"/>
            <w:tcBorders>
              <w:top w:val="single" w:sz="4" w:space="0" w:color="auto"/>
              <w:left w:val="nil"/>
              <w:bottom w:val="single" w:sz="4" w:space="0" w:color="auto"/>
              <w:right w:val="single" w:sz="4" w:space="0" w:color="auto"/>
            </w:tcBorders>
            <w:shd w:val="clear" w:color="auto" w:fill="C6EFCE"/>
            <w:noWrap/>
            <w:vAlign w:val="center"/>
          </w:tcPr>
          <w:p w14:paraId="5258ABCB" w14:textId="77777777" w:rsidR="00011DE9" w:rsidRDefault="00011DE9">
            <w:pPr>
              <w:pStyle w:val="P68B1DB1-Normal77"/>
              <w:spacing w:after="0" w:line="240" w:lineRule="auto"/>
              <w:jc w:val="center"/>
              <w:rPr>
                <w:rFonts w:eastAsia="Times New Roman" w:cs="Times New Roman"/>
                <w:noProof/>
                <w:szCs w:val="20"/>
              </w:rPr>
            </w:pPr>
            <w:r>
              <w:rPr>
                <w:noProof/>
              </w:rPr>
              <w:t>Cuantumul tranșei</w:t>
            </w:r>
          </w:p>
        </w:tc>
        <w:tc>
          <w:tcPr>
            <w:tcW w:w="6082" w:type="dxa"/>
            <w:tcBorders>
              <w:top w:val="single" w:sz="4" w:space="0" w:color="auto"/>
              <w:left w:val="nil"/>
              <w:bottom w:val="single" w:sz="4" w:space="0" w:color="auto"/>
              <w:right w:val="single" w:sz="4" w:space="0" w:color="auto"/>
            </w:tcBorders>
            <w:shd w:val="clear" w:color="auto" w:fill="C6EFCE"/>
            <w:noWrap/>
            <w:vAlign w:val="center"/>
          </w:tcPr>
          <w:p w14:paraId="2EC35C92" w14:textId="0AC95623" w:rsidR="00011DE9" w:rsidRDefault="00011DE9">
            <w:pPr>
              <w:pStyle w:val="P68B1DB1-Normal78"/>
              <w:spacing w:after="0" w:line="240" w:lineRule="auto"/>
              <w:rPr>
                <w:rFonts w:eastAsia="Times New Roman" w:cs="Times New Roman"/>
                <w:b/>
                <w:noProof/>
                <w:szCs w:val="20"/>
              </w:rPr>
            </w:pPr>
            <w:r>
              <w:rPr>
                <w:b/>
                <w:noProof/>
              </w:rPr>
              <w:t>13</w:t>
            </w:r>
            <w:r w:rsidR="00971820">
              <w:rPr>
                <w:noProof/>
              </w:rPr>
              <w:t xml:space="preserve"> </w:t>
            </w:r>
            <w:r>
              <w:rPr>
                <w:b/>
                <w:noProof/>
              </w:rPr>
              <w:t>793</w:t>
            </w:r>
            <w:r>
              <w:rPr>
                <w:noProof/>
              </w:rPr>
              <w:t xml:space="preserve"> </w:t>
            </w:r>
            <w:r>
              <w:rPr>
                <w:b/>
                <w:noProof/>
              </w:rPr>
              <w:t>103</w:t>
            </w:r>
            <w:r>
              <w:rPr>
                <w:noProof/>
              </w:rPr>
              <w:t xml:space="preserve"> </w:t>
            </w:r>
            <w:r>
              <w:rPr>
                <w:b/>
                <w:noProof/>
              </w:rPr>
              <w:t>448 MIL.</w:t>
            </w:r>
          </w:p>
        </w:tc>
      </w:tr>
    </w:tbl>
    <w:p w14:paraId="30FD0259" w14:textId="77777777" w:rsidR="00011DE9" w:rsidRDefault="00011DE9">
      <w:pPr>
        <w:spacing w:before="120" w:after="120" w:line="240" w:lineRule="auto"/>
        <w:jc w:val="both"/>
        <w:rPr>
          <w:rFonts w:ascii="Times New Roman" w:eastAsia="Calibri" w:hAnsi="Times New Roman" w:cs="Times New Roman"/>
          <w:noProof/>
        </w:rPr>
      </w:pPr>
    </w:p>
    <w:p w14:paraId="754FDCD5" w14:textId="77777777" w:rsidR="00011DE9" w:rsidRDefault="00011DE9">
      <w:pPr>
        <w:pStyle w:val="P68B1DB1-Normal16"/>
        <w:numPr>
          <w:ilvl w:val="1"/>
          <w:numId w:val="18"/>
        </w:numPr>
        <w:tabs>
          <w:tab w:val="clear" w:pos="6236"/>
          <w:tab w:val="num" w:pos="850"/>
        </w:tabs>
        <w:spacing w:before="120" w:after="120" w:line="240" w:lineRule="auto"/>
        <w:ind w:left="850"/>
        <w:jc w:val="both"/>
        <w:rPr>
          <w:rFonts w:cs="Times New Roman"/>
          <w:noProof/>
        </w:rPr>
      </w:pPr>
      <w:r>
        <w:rPr>
          <w:noProof/>
        </w:rPr>
        <w:t xml:space="preserve">A treia tranșă (sprijin nerambursabil): </w:t>
      </w:r>
    </w:p>
    <w:tbl>
      <w:tblPr>
        <w:tblW w:w="9663" w:type="dxa"/>
        <w:tblInd w:w="113" w:type="dxa"/>
        <w:tblLook w:val="04A0" w:firstRow="1" w:lastRow="0" w:firstColumn="1" w:lastColumn="0" w:noHBand="0" w:noVBand="1"/>
      </w:tblPr>
      <w:tblGrid>
        <w:gridCol w:w="1300"/>
        <w:gridCol w:w="1443"/>
        <w:gridCol w:w="1296"/>
        <w:gridCol w:w="5670"/>
      </w:tblGrid>
      <w:tr w:rsidR="00011DE9" w14:paraId="271D8A65" w14:textId="77777777">
        <w:trPr>
          <w:trHeight w:val="906"/>
          <w:tblHeader/>
        </w:trPr>
        <w:tc>
          <w:tcPr>
            <w:tcW w:w="130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3D7C2AE" w14:textId="77777777" w:rsidR="00011DE9" w:rsidRDefault="00011DE9">
            <w:pPr>
              <w:pStyle w:val="P68B1DB1-Normal77"/>
              <w:spacing w:after="0" w:line="240" w:lineRule="auto"/>
              <w:jc w:val="center"/>
              <w:rPr>
                <w:rFonts w:eastAsia="Times New Roman" w:cs="Times New Roman"/>
                <w:noProof/>
                <w:szCs w:val="20"/>
              </w:rPr>
            </w:pPr>
            <w:r>
              <w:rPr>
                <w:noProof/>
              </w:rPr>
              <w:t>Număr secvențial</w:t>
            </w:r>
          </w:p>
        </w:tc>
        <w:tc>
          <w:tcPr>
            <w:tcW w:w="144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75444E2" w14:textId="77777777" w:rsidR="00011DE9" w:rsidRDefault="00011DE9">
            <w:pPr>
              <w:pStyle w:val="P68B1DB1-Normal77"/>
              <w:spacing w:after="0" w:line="240" w:lineRule="auto"/>
              <w:jc w:val="center"/>
              <w:rPr>
                <w:rFonts w:eastAsia="Times New Roman" w:cs="Times New Roman"/>
                <w:noProof/>
                <w:szCs w:val="20"/>
              </w:rPr>
            </w:pPr>
            <w:r>
              <w:rPr>
                <w:noProof/>
              </w:rPr>
              <w:t>Măsură conexă (reformă sau investiții)</w:t>
            </w:r>
          </w:p>
        </w:tc>
        <w:tc>
          <w:tcPr>
            <w:tcW w:w="125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6E36A5E" w14:textId="77777777" w:rsidR="00011DE9" w:rsidRDefault="00011DE9">
            <w:pPr>
              <w:pStyle w:val="P68B1DB1-Normal77"/>
              <w:spacing w:after="0" w:line="240" w:lineRule="auto"/>
              <w:jc w:val="center"/>
              <w:rPr>
                <w:rFonts w:eastAsia="Times New Roman" w:cs="Times New Roman"/>
                <w:noProof/>
                <w:szCs w:val="20"/>
              </w:rPr>
            </w:pPr>
            <w:r>
              <w:rPr>
                <w:noProof/>
              </w:rPr>
              <w:t>Etapă/Obiectiv</w:t>
            </w:r>
          </w:p>
        </w:tc>
        <w:tc>
          <w:tcPr>
            <w:tcW w:w="5670" w:type="dxa"/>
            <w:vMerge w:val="restart"/>
            <w:tcBorders>
              <w:top w:val="single" w:sz="4" w:space="0" w:color="auto"/>
              <w:left w:val="nil"/>
              <w:bottom w:val="single" w:sz="4" w:space="0" w:color="000000"/>
              <w:right w:val="single" w:sz="4" w:space="0" w:color="auto"/>
            </w:tcBorders>
            <w:shd w:val="clear" w:color="auto" w:fill="BDD7EE"/>
            <w:vAlign w:val="center"/>
            <w:hideMark/>
          </w:tcPr>
          <w:p w14:paraId="6D7470F0" w14:textId="77777777" w:rsidR="00011DE9" w:rsidRDefault="00011DE9">
            <w:pPr>
              <w:pStyle w:val="P68B1DB1-Normal77"/>
              <w:spacing w:after="0" w:line="240" w:lineRule="auto"/>
              <w:jc w:val="center"/>
              <w:rPr>
                <w:rFonts w:eastAsia="Times New Roman" w:cs="Times New Roman"/>
                <w:noProof/>
                <w:szCs w:val="20"/>
              </w:rPr>
            </w:pPr>
            <w:r>
              <w:rPr>
                <w:noProof/>
              </w:rPr>
              <w:t>Nume</w:t>
            </w:r>
          </w:p>
        </w:tc>
      </w:tr>
      <w:tr w:rsidR="00011DE9" w14:paraId="121E37CB" w14:textId="77777777">
        <w:trPr>
          <w:trHeight w:val="509"/>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33530B0D" w14:textId="77777777" w:rsidR="00011DE9" w:rsidRDefault="00011DE9">
            <w:pPr>
              <w:spacing w:after="0" w:line="240" w:lineRule="auto"/>
              <w:rPr>
                <w:rFonts w:ascii="Times New Roman" w:eastAsia="Times New Roman" w:hAnsi="Times New Roman" w:cs="Times New Roman"/>
                <w:b/>
                <w:noProof/>
                <w:sz w:val="20"/>
                <w:szCs w:val="20"/>
              </w:rPr>
            </w:pPr>
          </w:p>
        </w:tc>
        <w:tc>
          <w:tcPr>
            <w:tcW w:w="1443" w:type="dxa"/>
            <w:vMerge/>
            <w:tcBorders>
              <w:top w:val="single" w:sz="4" w:space="0" w:color="auto"/>
              <w:left w:val="single" w:sz="4" w:space="0" w:color="auto"/>
              <w:bottom w:val="single" w:sz="4" w:space="0" w:color="000000"/>
              <w:right w:val="single" w:sz="4" w:space="0" w:color="auto"/>
            </w:tcBorders>
            <w:vAlign w:val="center"/>
            <w:hideMark/>
          </w:tcPr>
          <w:p w14:paraId="13DBBAB5" w14:textId="77777777" w:rsidR="00011DE9" w:rsidRDefault="00011DE9">
            <w:pPr>
              <w:spacing w:after="0" w:line="240" w:lineRule="auto"/>
              <w:rPr>
                <w:rFonts w:ascii="Times New Roman" w:eastAsia="Times New Roman" w:hAnsi="Times New Roman" w:cs="Times New Roman"/>
                <w:b/>
                <w:noProof/>
                <w:sz w:val="20"/>
                <w:szCs w:val="20"/>
              </w:rPr>
            </w:pPr>
          </w:p>
        </w:tc>
        <w:tc>
          <w:tcPr>
            <w:tcW w:w="1250" w:type="dxa"/>
            <w:vMerge/>
            <w:tcBorders>
              <w:top w:val="single" w:sz="4" w:space="0" w:color="auto"/>
              <w:left w:val="single" w:sz="4" w:space="0" w:color="auto"/>
              <w:bottom w:val="single" w:sz="4" w:space="0" w:color="000000"/>
              <w:right w:val="single" w:sz="4" w:space="0" w:color="auto"/>
            </w:tcBorders>
            <w:vAlign w:val="center"/>
            <w:hideMark/>
          </w:tcPr>
          <w:p w14:paraId="6F966215" w14:textId="77777777" w:rsidR="00011DE9" w:rsidRDefault="00011DE9">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nil"/>
              <w:bottom w:val="single" w:sz="4" w:space="0" w:color="000000"/>
              <w:right w:val="single" w:sz="4" w:space="0" w:color="auto"/>
            </w:tcBorders>
            <w:vAlign w:val="center"/>
            <w:hideMark/>
          </w:tcPr>
          <w:p w14:paraId="773D9F89" w14:textId="77777777" w:rsidR="00011DE9" w:rsidRDefault="00011DE9">
            <w:pPr>
              <w:spacing w:after="0" w:line="240" w:lineRule="auto"/>
              <w:rPr>
                <w:rFonts w:ascii="Times New Roman" w:eastAsia="Times New Roman" w:hAnsi="Times New Roman" w:cs="Times New Roman"/>
                <w:b/>
                <w:noProof/>
                <w:sz w:val="20"/>
                <w:szCs w:val="20"/>
              </w:rPr>
            </w:pPr>
          </w:p>
        </w:tc>
      </w:tr>
      <w:tr w:rsidR="00011DE9" w14:paraId="311508CB"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C4F2550" w14:textId="77777777" w:rsidR="00011DE9" w:rsidRDefault="00011DE9">
            <w:pPr>
              <w:pStyle w:val="P68B1DB1-Normal78"/>
              <w:spacing w:after="0" w:line="240" w:lineRule="auto"/>
              <w:jc w:val="center"/>
              <w:rPr>
                <w:rFonts w:eastAsia="Times New Roman" w:cs="Times New Roman"/>
                <w:noProof/>
                <w:szCs w:val="20"/>
              </w:rPr>
            </w:pPr>
            <w:r>
              <w:rPr>
                <w:noProof/>
              </w:rPr>
              <w:t>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3573B3C" w14:textId="77777777" w:rsidR="00011DE9" w:rsidRDefault="00011DE9">
            <w:pPr>
              <w:pStyle w:val="P68B1DB1-Normal78"/>
              <w:spacing w:after="0" w:line="240" w:lineRule="auto"/>
              <w:rPr>
                <w:rFonts w:eastAsia="Times New Roman" w:cs="Times New Roman"/>
                <w:noProof/>
                <w:szCs w:val="20"/>
              </w:rPr>
            </w:pPr>
            <w:r>
              <w:rPr>
                <w:noProof/>
              </w:rPr>
              <w:t>C1.R1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4887071"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14EA4CD" w14:textId="77777777" w:rsidR="00011DE9" w:rsidRDefault="00011DE9">
            <w:pPr>
              <w:pStyle w:val="P68B1DB1-Normal78"/>
              <w:spacing w:after="0" w:line="240" w:lineRule="auto"/>
              <w:rPr>
                <w:rFonts w:eastAsia="Times New Roman" w:cs="Times New Roman"/>
                <w:noProof/>
                <w:szCs w:val="20"/>
              </w:rPr>
            </w:pPr>
            <w:r>
              <w:rPr>
                <w:noProof/>
              </w:rPr>
              <w:t>Modificări ale Codului tehnic al clădirilor (de confirmat), ale Regulamentului electrotehnic de joasă tensiune (LVER) și aprobarea unui decret regal de reglementare a serviciilor publice de reîncărcare</w:t>
            </w:r>
          </w:p>
        </w:tc>
      </w:tr>
      <w:tr w:rsidR="00011DE9" w14:paraId="431033E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EFF0FB1" w14:textId="77777777" w:rsidR="00011DE9" w:rsidRDefault="00011DE9">
            <w:pPr>
              <w:pStyle w:val="P68B1DB1-Normal78"/>
              <w:spacing w:after="0" w:line="240" w:lineRule="auto"/>
              <w:jc w:val="center"/>
              <w:rPr>
                <w:rFonts w:eastAsia="Times New Roman" w:cs="Times New Roman"/>
                <w:noProof/>
                <w:szCs w:val="20"/>
              </w:rPr>
            </w:pPr>
            <w:r>
              <w:rPr>
                <w:noProof/>
              </w:rPr>
              <w:t>45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A09B8C3" w14:textId="77777777" w:rsidR="00011DE9" w:rsidRDefault="00011DE9">
            <w:pPr>
              <w:pStyle w:val="P68B1DB1-Normal78"/>
              <w:spacing w:after="0" w:line="240" w:lineRule="auto"/>
              <w:rPr>
                <w:rFonts w:eastAsia="Times New Roman" w:cs="Times New Roman"/>
                <w:noProof/>
                <w:szCs w:val="20"/>
              </w:rPr>
            </w:pPr>
            <w:r>
              <w:rPr>
                <w:noProof/>
              </w:rPr>
              <w:t>C3.R6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2020B47"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3774EA0"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Decretului regal privind gestionarea zonelor naționale de pescuit </w:t>
            </w:r>
          </w:p>
        </w:tc>
      </w:tr>
      <w:tr w:rsidR="00011DE9" w14:paraId="2C26F53B"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FA50933" w14:textId="77777777" w:rsidR="00011DE9" w:rsidRDefault="00011DE9">
            <w:pPr>
              <w:pStyle w:val="P68B1DB1-Normal78"/>
              <w:spacing w:after="0" w:line="240" w:lineRule="auto"/>
              <w:jc w:val="center"/>
              <w:rPr>
                <w:rFonts w:eastAsia="Times New Roman" w:cs="Times New Roman"/>
                <w:noProof/>
                <w:szCs w:val="20"/>
              </w:rPr>
            </w:pPr>
            <w:r>
              <w:rPr>
                <w:noProof/>
              </w:rPr>
              <w:t>51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95EDE44" w14:textId="77777777" w:rsidR="00011DE9" w:rsidRDefault="00011DE9">
            <w:pPr>
              <w:pStyle w:val="P68B1DB1-Normal78"/>
              <w:spacing w:after="0" w:line="240" w:lineRule="auto"/>
              <w:rPr>
                <w:rFonts w:eastAsia="Times New Roman" w:cs="Times New Roman"/>
                <w:noProof/>
                <w:szCs w:val="20"/>
              </w:rPr>
            </w:pPr>
            <w:r>
              <w:rPr>
                <w:noProof/>
              </w:rPr>
              <w:t>C3.I4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781B065"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558D66D" w14:textId="77777777" w:rsidR="00011DE9" w:rsidRDefault="00011DE9">
            <w:pPr>
              <w:pStyle w:val="P68B1DB1-Normal78"/>
              <w:spacing w:after="0" w:line="240" w:lineRule="auto"/>
              <w:rPr>
                <w:rFonts w:eastAsia="Times New Roman" w:cs="Times New Roman"/>
                <w:noProof/>
                <w:szCs w:val="20"/>
              </w:rPr>
            </w:pPr>
            <w:r>
              <w:rPr>
                <w:noProof/>
              </w:rPr>
              <w:t xml:space="preserve">Plan de investiții pentru promovarea sustenabilității și competitivității agriculturii și a creșterii animalelor </w:t>
            </w:r>
          </w:p>
        </w:tc>
      </w:tr>
      <w:tr w:rsidR="00011DE9" w14:paraId="7DB59DD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D9AA5E8" w14:textId="77777777" w:rsidR="00011DE9" w:rsidRDefault="00011DE9">
            <w:pPr>
              <w:pStyle w:val="P68B1DB1-Normal78"/>
              <w:spacing w:after="0" w:line="240" w:lineRule="auto"/>
              <w:jc w:val="center"/>
              <w:rPr>
                <w:rFonts w:eastAsia="Times New Roman" w:cs="Times New Roman"/>
                <w:noProof/>
                <w:szCs w:val="20"/>
              </w:rPr>
            </w:pPr>
            <w:r>
              <w:rPr>
                <w:noProof/>
              </w:rPr>
              <w:t>57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0DBAE70" w14:textId="77777777" w:rsidR="00011DE9" w:rsidRDefault="00011DE9">
            <w:pPr>
              <w:pStyle w:val="P68B1DB1-Normal78"/>
              <w:spacing w:after="0" w:line="240" w:lineRule="auto"/>
              <w:rPr>
                <w:rFonts w:eastAsia="Times New Roman" w:cs="Times New Roman"/>
                <w:noProof/>
                <w:szCs w:val="20"/>
              </w:rPr>
            </w:pPr>
            <w:r>
              <w:rPr>
                <w:noProof/>
              </w:rPr>
              <w:t>C3.I7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6BFF3F3"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CFE9561" w14:textId="77777777" w:rsidR="00011DE9" w:rsidRDefault="00011DE9">
            <w:pPr>
              <w:pStyle w:val="P68B1DB1-Normal78"/>
              <w:spacing w:after="0" w:line="240" w:lineRule="auto"/>
              <w:rPr>
                <w:rFonts w:eastAsia="Times New Roman" w:cs="Times New Roman"/>
                <w:noProof/>
                <w:szCs w:val="20"/>
              </w:rPr>
            </w:pPr>
            <w:r>
              <w:rPr>
                <w:noProof/>
              </w:rPr>
              <w:t>Achiziționarea de sonde acustice pentru cercetarea în domeniul pescuitului</w:t>
            </w:r>
          </w:p>
        </w:tc>
      </w:tr>
      <w:tr w:rsidR="00011DE9" w14:paraId="3854FAE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B759886" w14:textId="77777777" w:rsidR="00011DE9" w:rsidRDefault="00011DE9">
            <w:pPr>
              <w:pStyle w:val="P68B1DB1-Normal78"/>
              <w:spacing w:after="0" w:line="240" w:lineRule="auto"/>
              <w:jc w:val="center"/>
              <w:rPr>
                <w:rFonts w:eastAsia="Times New Roman" w:cs="Times New Roman"/>
                <w:noProof/>
                <w:szCs w:val="20"/>
              </w:rPr>
            </w:pPr>
            <w:r>
              <w:rPr>
                <w:noProof/>
              </w:rPr>
              <w:t>61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9692EEA" w14:textId="77777777" w:rsidR="00011DE9" w:rsidRDefault="00011DE9">
            <w:pPr>
              <w:pStyle w:val="P68B1DB1-Normal78"/>
              <w:spacing w:after="0" w:line="240" w:lineRule="auto"/>
              <w:rPr>
                <w:rFonts w:eastAsia="Times New Roman" w:cs="Times New Roman"/>
                <w:noProof/>
                <w:szCs w:val="20"/>
              </w:rPr>
            </w:pPr>
            <w:r>
              <w:rPr>
                <w:noProof/>
              </w:rPr>
              <w:t>C3.I11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3397F81"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FDD500F" w14:textId="77777777" w:rsidR="00011DE9" w:rsidRDefault="00011DE9">
            <w:pPr>
              <w:pStyle w:val="P68B1DB1-Normal78"/>
              <w:spacing w:after="0" w:line="240" w:lineRule="auto"/>
              <w:rPr>
                <w:rFonts w:eastAsia="Times New Roman" w:cs="Times New Roman"/>
                <w:noProof/>
                <w:szCs w:val="20"/>
              </w:rPr>
            </w:pPr>
            <w:r>
              <w:rPr>
                <w:noProof/>
              </w:rPr>
              <w:t>Finanțarea de proiecte de investiții în sectorul pescuitului</w:t>
            </w:r>
          </w:p>
        </w:tc>
      </w:tr>
      <w:tr w:rsidR="00011DE9" w14:paraId="598DBF6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F2A7D9C" w14:textId="77777777" w:rsidR="00011DE9" w:rsidRDefault="00011DE9">
            <w:pPr>
              <w:pStyle w:val="P68B1DB1-Normal78"/>
              <w:spacing w:after="0" w:line="240" w:lineRule="auto"/>
              <w:jc w:val="center"/>
              <w:rPr>
                <w:rFonts w:eastAsia="Times New Roman" w:cs="Times New Roman"/>
                <w:noProof/>
                <w:szCs w:val="20"/>
              </w:rPr>
            </w:pPr>
            <w:r>
              <w:rPr>
                <w:noProof/>
              </w:rPr>
              <w:t>65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C218FA9" w14:textId="77777777" w:rsidR="00011DE9" w:rsidRDefault="00011DE9">
            <w:pPr>
              <w:pStyle w:val="P68B1DB1-Normal78"/>
              <w:spacing w:after="0" w:line="240" w:lineRule="auto"/>
              <w:rPr>
                <w:rFonts w:eastAsia="Times New Roman" w:cs="Times New Roman"/>
                <w:noProof/>
                <w:szCs w:val="20"/>
              </w:rPr>
            </w:pPr>
            <w:r>
              <w:rPr>
                <w:noProof/>
              </w:rPr>
              <w:t>C4.I1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E90EC88"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8CF08B5" w14:textId="77777777" w:rsidR="00011DE9" w:rsidRDefault="00011DE9">
            <w:pPr>
              <w:pStyle w:val="P68B1DB1-Normal78"/>
              <w:spacing w:after="0" w:line="240" w:lineRule="auto"/>
              <w:rPr>
                <w:rFonts w:eastAsia="Times New Roman" w:cs="Times New Roman"/>
                <w:noProof/>
                <w:szCs w:val="20"/>
              </w:rPr>
            </w:pPr>
            <w:r>
              <w:rPr>
                <w:noProof/>
              </w:rPr>
              <w:t>Atribuirea de contracte pentru aeronave cu destinație specială pentru stingerea incendiilor și instituirea sistemului de monitorizare și gestionare a cunoștințelor privind biodiversitatea</w:t>
            </w:r>
          </w:p>
        </w:tc>
      </w:tr>
      <w:tr w:rsidR="00011DE9" w14:paraId="6E8A416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DF590DD" w14:textId="77777777" w:rsidR="00011DE9" w:rsidRDefault="00011DE9">
            <w:pPr>
              <w:pStyle w:val="P68B1DB1-Normal78"/>
              <w:spacing w:after="0" w:line="240" w:lineRule="auto"/>
              <w:jc w:val="center"/>
              <w:rPr>
                <w:rFonts w:eastAsia="Times New Roman" w:cs="Times New Roman"/>
                <w:noProof/>
                <w:szCs w:val="20"/>
              </w:rPr>
            </w:pPr>
            <w:r>
              <w:rPr>
                <w:noProof/>
              </w:rPr>
              <w:t>110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0C34713" w14:textId="77777777" w:rsidR="00011DE9" w:rsidRDefault="00011DE9">
            <w:pPr>
              <w:pStyle w:val="P68B1DB1-Normal78"/>
              <w:spacing w:after="0" w:line="240" w:lineRule="auto"/>
              <w:rPr>
                <w:rFonts w:eastAsia="Times New Roman" w:cs="Times New Roman"/>
                <w:noProof/>
                <w:szCs w:val="20"/>
              </w:rPr>
            </w:pPr>
            <w:r>
              <w:rPr>
                <w:noProof/>
              </w:rPr>
              <w:t>C7.R3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E8A871C"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36E0388" w14:textId="77777777" w:rsidR="00011DE9" w:rsidRDefault="00011DE9">
            <w:pPr>
              <w:pStyle w:val="P68B1DB1-Normal78"/>
              <w:spacing w:after="0" w:line="240" w:lineRule="auto"/>
              <w:rPr>
                <w:rFonts w:eastAsia="Times New Roman" w:cs="Times New Roman"/>
                <w:noProof/>
                <w:szCs w:val="20"/>
              </w:rPr>
            </w:pPr>
            <w:r>
              <w:rPr>
                <w:noProof/>
              </w:rPr>
              <w:t xml:space="preserve">Proiect-pilot pentru comunitățile energetice </w:t>
            </w:r>
          </w:p>
        </w:tc>
      </w:tr>
      <w:tr w:rsidR="00011DE9" w14:paraId="0F0DDF9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8FB49A8" w14:textId="77777777" w:rsidR="00011DE9" w:rsidRDefault="00011DE9">
            <w:pPr>
              <w:pStyle w:val="P68B1DB1-Normal78"/>
              <w:spacing w:after="0" w:line="240" w:lineRule="auto"/>
              <w:jc w:val="center"/>
              <w:rPr>
                <w:rFonts w:eastAsia="Times New Roman" w:cs="Times New Roman"/>
                <w:noProof/>
                <w:szCs w:val="20"/>
              </w:rPr>
            </w:pPr>
            <w:r>
              <w:rPr>
                <w:noProof/>
              </w:rPr>
              <w:t>115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B459203" w14:textId="77777777" w:rsidR="00011DE9" w:rsidRDefault="00011DE9">
            <w:pPr>
              <w:pStyle w:val="P68B1DB1-Normal78"/>
              <w:spacing w:after="0" w:line="240" w:lineRule="auto"/>
              <w:rPr>
                <w:rFonts w:eastAsia="Times New Roman" w:cs="Times New Roman"/>
                <w:noProof/>
                <w:szCs w:val="20"/>
              </w:rPr>
            </w:pPr>
            <w:r>
              <w:rPr>
                <w:noProof/>
              </w:rPr>
              <w:t>C7.I1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6FF7114"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0A1ECFF" w14:textId="77777777" w:rsidR="00011DE9" w:rsidRDefault="00011DE9">
            <w:pPr>
              <w:pStyle w:val="P68B1DB1-Normal78"/>
              <w:spacing w:after="0" w:line="240" w:lineRule="auto"/>
              <w:rPr>
                <w:rFonts w:eastAsia="Times New Roman" w:cs="Times New Roman"/>
                <w:noProof/>
                <w:szCs w:val="20"/>
              </w:rPr>
            </w:pPr>
            <w:r>
              <w:rPr>
                <w:noProof/>
              </w:rPr>
              <w:t>Licitație pentru sprijin pentru investiții în capacitatea inovatoare sau cu valoare adăugată de energie din surse regenerabile</w:t>
            </w:r>
          </w:p>
        </w:tc>
      </w:tr>
      <w:tr w:rsidR="00011DE9" w14:paraId="0F562DD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247352B" w14:textId="77777777" w:rsidR="00011DE9" w:rsidRDefault="00011DE9">
            <w:pPr>
              <w:pStyle w:val="P68B1DB1-Normal78"/>
              <w:spacing w:after="0" w:line="240" w:lineRule="auto"/>
              <w:jc w:val="center"/>
              <w:rPr>
                <w:rFonts w:eastAsia="Times New Roman" w:cs="Times New Roman"/>
                <w:noProof/>
                <w:szCs w:val="20"/>
              </w:rPr>
            </w:pPr>
            <w:r>
              <w:rPr>
                <w:noProof/>
              </w:rPr>
              <w:t>124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0CF6487" w14:textId="77777777" w:rsidR="00011DE9" w:rsidRDefault="00011DE9">
            <w:pPr>
              <w:pStyle w:val="P68B1DB1-Normal78"/>
              <w:spacing w:after="0" w:line="240" w:lineRule="auto"/>
              <w:rPr>
                <w:rFonts w:eastAsia="Times New Roman" w:cs="Times New Roman"/>
                <w:noProof/>
                <w:szCs w:val="20"/>
              </w:rPr>
            </w:pPr>
            <w:r>
              <w:rPr>
                <w:noProof/>
              </w:rPr>
              <w:t>C8.R4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F504178"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4EC7BCC" w14:textId="77777777" w:rsidR="00011DE9" w:rsidRDefault="00011DE9">
            <w:pPr>
              <w:pStyle w:val="P68B1DB1-Normal78"/>
              <w:spacing w:after="0" w:line="240" w:lineRule="auto"/>
              <w:rPr>
                <w:rFonts w:eastAsia="Times New Roman" w:cs="Times New Roman"/>
                <w:noProof/>
                <w:szCs w:val="20"/>
              </w:rPr>
            </w:pPr>
            <w:r>
              <w:rPr>
                <w:noProof/>
              </w:rPr>
              <w:t>Intrarea în vigoare a măsurilor de promovare a spațiilor de testare în materie de reglementare pentru a stimula cercetarea și inovarea în sectorul energiei electrice.</w:t>
            </w:r>
          </w:p>
        </w:tc>
      </w:tr>
      <w:tr w:rsidR="00011DE9" w14:paraId="02F7A24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8290D5B" w14:textId="77777777" w:rsidR="00011DE9" w:rsidRDefault="00011DE9">
            <w:pPr>
              <w:pStyle w:val="P68B1DB1-Normal78"/>
              <w:spacing w:after="0" w:line="240" w:lineRule="auto"/>
              <w:jc w:val="center"/>
              <w:rPr>
                <w:rFonts w:eastAsia="Times New Roman" w:cs="Times New Roman"/>
                <w:noProof/>
                <w:szCs w:val="20"/>
              </w:rPr>
            </w:pPr>
            <w:r>
              <w:rPr>
                <w:noProof/>
              </w:rPr>
              <w:t>130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9F2591D" w14:textId="77777777" w:rsidR="00011DE9" w:rsidRDefault="00011DE9">
            <w:pPr>
              <w:pStyle w:val="P68B1DB1-Normal78"/>
              <w:spacing w:after="0" w:line="240" w:lineRule="auto"/>
              <w:rPr>
                <w:rFonts w:eastAsia="Times New Roman" w:cs="Times New Roman"/>
                <w:noProof/>
                <w:szCs w:val="20"/>
              </w:rPr>
            </w:pPr>
            <w:r>
              <w:rPr>
                <w:noProof/>
              </w:rPr>
              <w:t>C9.R1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1518D85"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0AEF4F1" w14:textId="77777777" w:rsidR="00011DE9" w:rsidRDefault="00011DE9">
            <w:pPr>
              <w:pStyle w:val="P68B1DB1-Normal78"/>
              <w:spacing w:after="0" w:line="240" w:lineRule="auto"/>
              <w:rPr>
                <w:rFonts w:eastAsia="Times New Roman" w:cs="Times New Roman"/>
                <w:noProof/>
                <w:szCs w:val="20"/>
              </w:rPr>
            </w:pPr>
            <w:r>
              <w:rPr>
                <w:noProof/>
              </w:rPr>
              <w:t>Intrarea în vigoare a regulamentului de stabilire a garanțiilor de origine pentru gazele din surse regenerabile</w:t>
            </w:r>
          </w:p>
        </w:tc>
      </w:tr>
      <w:tr w:rsidR="00011DE9" w14:paraId="2CC7698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119912D" w14:textId="77777777" w:rsidR="00011DE9" w:rsidRDefault="00011DE9">
            <w:pPr>
              <w:pStyle w:val="P68B1DB1-Normal78"/>
              <w:spacing w:after="0" w:line="240" w:lineRule="auto"/>
              <w:jc w:val="center"/>
              <w:rPr>
                <w:rFonts w:eastAsia="Times New Roman" w:cs="Times New Roman"/>
                <w:noProof/>
                <w:szCs w:val="20"/>
              </w:rPr>
            </w:pPr>
            <w:r>
              <w:rPr>
                <w:noProof/>
              </w:rPr>
              <w:t>190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CE35033" w14:textId="77777777" w:rsidR="00011DE9" w:rsidRDefault="00011DE9">
            <w:pPr>
              <w:pStyle w:val="P68B1DB1-Normal78"/>
              <w:spacing w:after="0" w:line="240" w:lineRule="auto"/>
              <w:rPr>
                <w:rFonts w:eastAsia="Times New Roman" w:cs="Times New Roman"/>
                <w:noProof/>
                <w:szCs w:val="20"/>
              </w:rPr>
            </w:pPr>
            <w:r>
              <w:rPr>
                <w:noProof/>
              </w:rPr>
              <w:t>C13.R1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788B82D"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30E75BC" w14:textId="77777777" w:rsidR="00011DE9" w:rsidRDefault="00011DE9">
            <w:pPr>
              <w:pStyle w:val="P68B1DB1-Normal78"/>
              <w:spacing w:after="0" w:line="240" w:lineRule="auto"/>
              <w:rPr>
                <w:rFonts w:eastAsia="Times New Roman" w:cs="Times New Roman"/>
                <w:noProof/>
                <w:szCs w:val="20"/>
              </w:rPr>
            </w:pPr>
            <w:r>
              <w:rPr>
                <w:noProof/>
              </w:rPr>
              <w:t>Intrarea în vigoare a Legii de reformare a Legii privind insolvența</w:t>
            </w:r>
          </w:p>
        </w:tc>
      </w:tr>
      <w:tr w:rsidR="00011DE9" w14:paraId="3CDF5C2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928AE78" w14:textId="77777777" w:rsidR="00011DE9" w:rsidRDefault="00011DE9">
            <w:pPr>
              <w:pStyle w:val="P68B1DB1-Normal78"/>
              <w:spacing w:after="0" w:line="240" w:lineRule="auto"/>
              <w:jc w:val="center"/>
              <w:rPr>
                <w:rFonts w:eastAsia="Times New Roman" w:cs="Times New Roman"/>
                <w:noProof/>
                <w:szCs w:val="20"/>
              </w:rPr>
            </w:pPr>
            <w:r>
              <w:rPr>
                <w:noProof/>
              </w:rPr>
              <w:t>229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8BA1B8B" w14:textId="77777777" w:rsidR="00011DE9" w:rsidRDefault="00011DE9">
            <w:pPr>
              <w:pStyle w:val="P68B1DB1-Normal78"/>
              <w:spacing w:after="0" w:line="240" w:lineRule="auto"/>
              <w:rPr>
                <w:rFonts w:eastAsia="Times New Roman" w:cs="Times New Roman"/>
                <w:noProof/>
                <w:szCs w:val="20"/>
              </w:rPr>
            </w:pPr>
            <w:r>
              <w:rPr>
                <w:noProof/>
              </w:rPr>
              <w:t>C15.R1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6BF7758"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A522842" w14:textId="77777777" w:rsidR="00011DE9" w:rsidRDefault="00011DE9">
            <w:pPr>
              <w:pStyle w:val="P68B1DB1-Normal78"/>
              <w:spacing w:after="0" w:line="240" w:lineRule="auto"/>
              <w:rPr>
                <w:rFonts w:eastAsia="Times New Roman" w:cs="Times New Roman"/>
                <w:noProof/>
                <w:szCs w:val="20"/>
              </w:rPr>
            </w:pPr>
            <w:r>
              <w:rPr>
                <w:noProof/>
              </w:rPr>
              <w:t>Intrarea în vigoare a Legii privind telecomunicațiile</w:t>
            </w:r>
          </w:p>
        </w:tc>
      </w:tr>
      <w:tr w:rsidR="00011DE9" w14:paraId="020DD87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FDECE22" w14:textId="77777777" w:rsidR="00011DE9" w:rsidRDefault="00011DE9">
            <w:pPr>
              <w:pStyle w:val="P68B1DB1-Normal78"/>
              <w:spacing w:after="0" w:line="240" w:lineRule="auto"/>
              <w:jc w:val="center"/>
              <w:rPr>
                <w:rFonts w:eastAsia="Times New Roman" w:cs="Times New Roman"/>
                <w:noProof/>
                <w:szCs w:val="20"/>
              </w:rPr>
            </w:pPr>
            <w:r>
              <w:rPr>
                <w:noProof/>
              </w:rPr>
              <w:t>254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196CE44" w14:textId="77777777" w:rsidR="00011DE9" w:rsidRDefault="00011DE9">
            <w:pPr>
              <w:pStyle w:val="P68B1DB1-Normal78"/>
              <w:spacing w:after="0" w:line="240" w:lineRule="auto"/>
              <w:rPr>
                <w:rFonts w:eastAsia="Times New Roman" w:cs="Times New Roman"/>
                <w:noProof/>
                <w:szCs w:val="20"/>
              </w:rPr>
            </w:pPr>
            <w:r>
              <w:rPr>
                <w:noProof/>
              </w:rPr>
              <w:t>C17.R1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173A700"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CDA697E" w14:textId="77777777" w:rsidR="00011DE9" w:rsidRDefault="00011DE9">
            <w:pPr>
              <w:pStyle w:val="P68B1DB1-Normal78"/>
              <w:spacing w:after="0" w:line="240" w:lineRule="auto"/>
              <w:rPr>
                <w:rFonts w:eastAsia="Times New Roman" w:cs="Times New Roman"/>
                <w:noProof/>
                <w:szCs w:val="20"/>
              </w:rPr>
            </w:pPr>
            <w:r>
              <w:rPr>
                <w:noProof/>
              </w:rPr>
              <w:t>Intrarea în vigoare a modificării Legii nr. 14/2011 din 1 iunie privind știința, tehnologia și inovarea.</w:t>
            </w:r>
          </w:p>
        </w:tc>
      </w:tr>
      <w:tr w:rsidR="00011DE9" w14:paraId="54D49E7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836D6BD" w14:textId="77777777" w:rsidR="00011DE9" w:rsidRDefault="00011DE9">
            <w:pPr>
              <w:pStyle w:val="P68B1DB1-Normal78"/>
              <w:spacing w:after="0" w:line="240" w:lineRule="auto"/>
              <w:jc w:val="center"/>
              <w:rPr>
                <w:rFonts w:eastAsia="Times New Roman" w:cs="Times New Roman"/>
                <w:noProof/>
                <w:szCs w:val="20"/>
              </w:rPr>
            </w:pPr>
            <w:r>
              <w:rPr>
                <w:noProof/>
              </w:rPr>
              <w:t>270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AD8F003" w14:textId="77777777" w:rsidR="00011DE9" w:rsidRDefault="00011DE9">
            <w:pPr>
              <w:pStyle w:val="P68B1DB1-Normal78"/>
              <w:spacing w:after="0" w:line="240" w:lineRule="auto"/>
              <w:rPr>
                <w:rFonts w:eastAsia="Times New Roman" w:cs="Times New Roman"/>
                <w:noProof/>
                <w:szCs w:val="20"/>
              </w:rPr>
            </w:pPr>
            <w:r>
              <w:rPr>
                <w:noProof/>
              </w:rPr>
              <w:t>C17.I8</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F7C5FA3"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16D9AB3" w14:textId="77777777" w:rsidR="00011DE9" w:rsidRDefault="00011DE9">
            <w:pPr>
              <w:pStyle w:val="P68B1DB1-Normal78"/>
              <w:spacing w:after="0" w:line="240" w:lineRule="auto"/>
              <w:rPr>
                <w:rFonts w:eastAsia="Times New Roman" w:cs="Times New Roman"/>
                <w:noProof/>
                <w:szCs w:val="20"/>
              </w:rPr>
            </w:pPr>
            <w:r>
              <w:rPr>
                <w:noProof/>
              </w:rPr>
              <w:t xml:space="preserve">Sprijin pentru proiecte de C &amp; D &amp; I în sectorul autovehiculelor durabile </w:t>
            </w:r>
          </w:p>
        </w:tc>
      </w:tr>
      <w:tr w:rsidR="00011DE9" w14:paraId="79C2C1F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BD11CF7" w14:textId="77777777" w:rsidR="00011DE9" w:rsidRDefault="00011DE9">
            <w:pPr>
              <w:pStyle w:val="P68B1DB1-Normal78"/>
              <w:spacing w:after="0" w:line="240" w:lineRule="auto"/>
              <w:jc w:val="center"/>
              <w:rPr>
                <w:rFonts w:eastAsia="Times New Roman" w:cs="Times New Roman"/>
                <w:noProof/>
                <w:szCs w:val="20"/>
              </w:rPr>
            </w:pPr>
            <w:r>
              <w:rPr>
                <w:noProof/>
              </w:rPr>
              <w:t>274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0511DBA" w14:textId="77777777" w:rsidR="00011DE9" w:rsidRDefault="00011DE9">
            <w:pPr>
              <w:pStyle w:val="P68B1DB1-Normal78"/>
              <w:spacing w:after="0" w:line="240" w:lineRule="auto"/>
              <w:rPr>
                <w:rFonts w:eastAsia="Times New Roman" w:cs="Times New Roman"/>
                <w:noProof/>
                <w:szCs w:val="20"/>
              </w:rPr>
            </w:pPr>
            <w:r>
              <w:rPr>
                <w:noProof/>
              </w:rPr>
              <w:t>C18.R2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2EE34EC"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7711F18" w14:textId="77777777" w:rsidR="00011DE9" w:rsidRDefault="00011DE9">
            <w:pPr>
              <w:pStyle w:val="P68B1DB1-Normal78"/>
              <w:spacing w:after="0" w:line="240" w:lineRule="auto"/>
              <w:rPr>
                <w:rFonts w:eastAsia="Times New Roman" w:cs="Times New Roman"/>
                <w:noProof/>
                <w:szCs w:val="20"/>
              </w:rPr>
            </w:pPr>
            <w:r>
              <w:rPr>
                <w:noProof/>
              </w:rPr>
              <w:t xml:space="preserve">Aprobarea Strategiei spaniole în domeniul sănătății publice </w:t>
            </w:r>
          </w:p>
        </w:tc>
      </w:tr>
      <w:tr w:rsidR="00011DE9" w14:paraId="3C7A309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F992B27" w14:textId="77777777" w:rsidR="00011DE9" w:rsidRDefault="00011DE9">
            <w:pPr>
              <w:pStyle w:val="P68B1DB1-Normal78"/>
              <w:spacing w:after="0" w:line="240" w:lineRule="auto"/>
              <w:jc w:val="center"/>
              <w:rPr>
                <w:rFonts w:eastAsia="Times New Roman" w:cs="Times New Roman"/>
                <w:noProof/>
                <w:szCs w:val="20"/>
              </w:rPr>
            </w:pPr>
            <w:r>
              <w:rPr>
                <w:noProof/>
              </w:rPr>
              <w:t>296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2195700" w14:textId="77777777" w:rsidR="00011DE9" w:rsidRDefault="00011DE9">
            <w:pPr>
              <w:pStyle w:val="P68B1DB1-Normal78"/>
              <w:spacing w:after="0" w:line="240" w:lineRule="auto"/>
              <w:rPr>
                <w:rFonts w:eastAsia="Times New Roman" w:cs="Times New Roman"/>
                <w:noProof/>
                <w:szCs w:val="20"/>
              </w:rPr>
            </w:pPr>
            <w:r>
              <w:rPr>
                <w:noProof/>
              </w:rPr>
              <w:t>C20.R2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12B810D"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D02B8DA" w14:textId="77777777" w:rsidR="00011DE9" w:rsidRDefault="00011DE9">
            <w:pPr>
              <w:pStyle w:val="P68B1DB1-Normal78"/>
              <w:spacing w:after="0" w:line="240" w:lineRule="auto"/>
              <w:rPr>
                <w:rFonts w:eastAsia="Times New Roman" w:cs="Times New Roman"/>
                <w:noProof/>
                <w:szCs w:val="20"/>
              </w:rPr>
            </w:pPr>
            <w:r>
              <w:rPr>
                <w:noProof/>
              </w:rPr>
              <w:t>Intrarea în vigoare a Legii privind sistemul unic integrat de formare profesională, în scopul modernizării sistemului</w:t>
            </w:r>
          </w:p>
        </w:tc>
      </w:tr>
      <w:tr w:rsidR="00011DE9" w14:paraId="0733B6D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6A760A2" w14:textId="77777777" w:rsidR="00011DE9" w:rsidRDefault="00011DE9">
            <w:pPr>
              <w:pStyle w:val="P68B1DB1-Normal78"/>
              <w:spacing w:after="0" w:line="240" w:lineRule="auto"/>
              <w:jc w:val="center"/>
              <w:rPr>
                <w:rFonts w:eastAsia="Times New Roman" w:cs="Times New Roman"/>
                <w:noProof/>
                <w:szCs w:val="20"/>
              </w:rPr>
            </w:pPr>
            <w:r>
              <w:rPr>
                <w:noProof/>
              </w:rPr>
              <w:t>304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E32F4C7" w14:textId="77777777" w:rsidR="00011DE9" w:rsidRDefault="00011DE9">
            <w:pPr>
              <w:pStyle w:val="P68B1DB1-Normal78"/>
              <w:spacing w:after="0" w:line="240" w:lineRule="auto"/>
              <w:rPr>
                <w:rFonts w:eastAsia="Times New Roman" w:cs="Times New Roman"/>
                <w:noProof/>
                <w:szCs w:val="20"/>
              </w:rPr>
            </w:pPr>
            <w:r>
              <w:rPr>
                <w:noProof/>
              </w:rPr>
              <w:t>C21.R2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3E54C8A"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EB6003B"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Decretului regal privind cerințele minime de predare pentru educație </w:t>
            </w:r>
          </w:p>
        </w:tc>
      </w:tr>
      <w:tr w:rsidR="00011DE9" w14:paraId="2F89D1E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5F95288" w14:textId="77777777" w:rsidR="00011DE9" w:rsidRDefault="00011DE9">
            <w:pPr>
              <w:pStyle w:val="P68B1DB1-Normal78"/>
              <w:spacing w:after="0" w:line="240" w:lineRule="auto"/>
              <w:jc w:val="center"/>
              <w:rPr>
                <w:rFonts w:eastAsia="Times New Roman" w:cs="Times New Roman"/>
                <w:noProof/>
                <w:szCs w:val="20"/>
              </w:rPr>
            </w:pPr>
            <w:r>
              <w:rPr>
                <w:noProof/>
              </w:rPr>
              <w:t>314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8E006BF" w14:textId="77777777" w:rsidR="00011DE9" w:rsidRDefault="00011DE9">
            <w:pPr>
              <w:pStyle w:val="P68B1DB1-Normal78"/>
              <w:spacing w:after="0" w:line="240" w:lineRule="auto"/>
              <w:rPr>
                <w:rFonts w:eastAsia="Times New Roman" w:cs="Times New Roman"/>
                <w:noProof/>
                <w:szCs w:val="20"/>
              </w:rPr>
            </w:pPr>
            <w:r>
              <w:rPr>
                <w:noProof/>
              </w:rPr>
              <w:t>C22.R1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56F90F9"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4197428" w14:textId="77777777" w:rsidR="00011DE9" w:rsidRDefault="00011DE9">
            <w:pPr>
              <w:pStyle w:val="P68B1DB1-Normal78"/>
              <w:spacing w:after="0" w:line="240" w:lineRule="auto"/>
              <w:rPr>
                <w:rFonts w:eastAsia="Times New Roman" w:cs="Times New Roman"/>
                <w:noProof/>
                <w:szCs w:val="20"/>
              </w:rPr>
            </w:pPr>
            <w:r>
              <w:rPr>
                <w:noProof/>
              </w:rPr>
              <w:t xml:space="preserve">Aprobarea de către Consiliul teritorial a evaluării Sistemului de autonomie și îngrijire a dependenței (SAAD). </w:t>
            </w:r>
          </w:p>
        </w:tc>
      </w:tr>
      <w:tr w:rsidR="00011DE9" w14:paraId="02870CE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545C383" w14:textId="77777777" w:rsidR="00011DE9" w:rsidRDefault="00011DE9">
            <w:pPr>
              <w:pStyle w:val="P68B1DB1-Normal78"/>
              <w:spacing w:after="0" w:line="240" w:lineRule="auto"/>
              <w:jc w:val="center"/>
              <w:rPr>
                <w:rFonts w:eastAsia="Times New Roman" w:cs="Times New Roman"/>
                <w:noProof/>
                <w:szCs w:val="20"/>
              </w:rPr>
            </w:pPr>
            <w:r>
              <w:rPr>
                <w:noProof/>
              </w:rPr>
              <w:t>317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06A4E74" w14:textId="77777777" w:rsidR="00011DE9" w:rsidRDefault="00011DE9">
            <w:pPr>
              <w:pStyle w:val="P68B1DB1-Normal78"/>
              <w:spacing w:after="0" w:line="240" w:lineRule="auto"/>
              <w:rPr>
                <w:rFonts w:eastAsia="Times New Roman" w:cs="Times New Roman"/>
                <w:noProof/>
                <w:szCs w:val="20"/>
              </w:rPr>
            </w:pPr>
            <w:r>
              <w:rPr>
                <w:noProof/>
              </w:rPr>
              <w:t>C22.R4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950BE7D"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9A88F1C"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reformei legislative a sistemului de primire a migranților și a solicitanților de protecție internațională în Spania </w:t>
            </w:r>
          </w:p>
        </w:tc>
      </w:tr>
      <w:tr w:rsidR="00011DE9" w14:paraId="7EFD94E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205AFD7" w14:textId="77777777" w:rsidR="00011DE9" w:rsidRDefault="00011DE9">
            <w:pPr>
              <w:pStyle w:val="P68B1DB1-Normal78"/>
              <w:spacing w:after="0" w:line="240" w:lineRule="auto"/>
              <w:jc w:val="center"/>
              <w:rPr>
                <w:rFonts w:eastAsia="Times New Roman" w:cs="Times New Roman"/>
                <w:noProof/>
                <w:szCs w:val="20"/>
              </w:rPr>
            </w:pPr>
            <w:r>
              <w:rPr>
                <w:noProof/>
              </w:rPr>
              <w:t>350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F378300" w14:textId="77777777" w:rsidR="00011DE9" w:rsidRDefault="00011DE9">
            <w:pPr>
              <w:pStyle w:val="P68B1DB1-Normal78"/>
              <w:spacing w:after="0" w:line="240" w:lineRule="auto"/>
              <w:rPr>
                <w:rFonts w:eastAsia="Times New Roman" w:cs="Times New Roman"/>
                <w:noProof/>
                <w:szCs w:val="20"/>
              </w:rPr>
            </w:pPr>
            <w:r>
              <w:rPr>
                <w:noProof/>
              </w:rPr>
              <w:t>C23.I7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FA99B2D"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8B2D0B4" w14:textId="77777777" w:rsidR="00011DE9" w:rsidRDefault="00011DE9">
            <w:pPr>
              <w:pStyle w:val="P68B1DB1-Normal78"/>
              <w:spacing w:after="0" w:line="240" w:lineRule="auto"/>
              <w:rPr>
                <w:rFonts w:eastAsia="Times New Roman" w:cs="Times New Roman"/>
                <w:noProof/>
                <w:szCs w:val="20"/>
              </w:rPr>
            </w:pPr>
            <w:r>
              <w:rPr>
                <w:noProof/>
              </w:rPr>
              <w:t>Îmbunătățirea ratei de adoptare a venitului minim de subzistență (IMV) și creșterea eficacității acestuia prin politici de incluziune</w:t>
            </w:r>
          </w:p>
        </w:tc>
      </w:tr>
      <w:tr w:rsidR="00011DE9" w14:paraId="014F6C8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1466A83" w14:textId="77777777" w:rsidR="00011DE9" w:rsidRDefault="00011DE9">
            <w:pPr>
              <w:pStyle w:val="P68B1DB1-Normal78"/>
              <w:spacing w:after="0" w:line="240" w:lineRule="auto"/>
              <w:jc w:val="center"/>
              <w:rPr>
                <w:rFonts w:eastAsia="Times New Roman" w:cs="Times New Roman"/>
                <w:noProof/>
                <w:szCs w:val="20"/>
              </w:rPr>
            </w:pPr>
            <w:r>
              <w:rPr>
                <w:noProof/>
              </w:rPr>
              <w:t>360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5710286" w14:textId="77777777" w:rsidR="00011DE9" w:rsidRDefault="00011DE9">
            <w:pPr>
              <w:pStyle w:val="P68B1DB1-Normal78"/>
              <w:spacing w:after="0" w:line="240" w:lineRule="auto"/>
              <w:rPr>
                <w:rFonts w:eastAsia="Times New Roman" w:cs="Times New Roman"/>
                <w:noProof/>
                <w:szCs w:val="20"/>
              </w:rPr>
            </w:pPr>
            <w:r>
              <w:rPr>
                <w:noProof/>
              </w:rPr>
              <w:t>C24.I3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B7AADD7"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C6BDECE" w14:textId="77777777" w:rsidR="00011DE9" w:rsidRDefault="00011DE9">
            <w:pPr>
              <w:pStyle w:val="P68B1DB1-Normal78"/>
              <w:spacing w:after="0" w:line="240" w:lineRule="auto"/>
              <w:rPr>
                <w:rFonts w:eastAsia="Times New Roman" w:cs="Times New Roman"/>
                <w:noProof/>
                <w:szCs w:val="20"/>
              </w:rPr>
            </w:pPr>
            <w:r>
              <w:rPr>
                <w:noProof/>
              </w:rPr>
              <w:t xml:space="preserve">Digitalizarea și promovarea principalelor servicii culturale </w:t>
            </w:r>
          </w:p>
        </w:tc>
      </w:tr>
      <w:tr w:rsidR="00011DE9" w14:paraId="5DEF4A2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F03AC98" w14:textId="77777777" w:rsidR="00011DE9" w:rsidRDefault="00011DE9">
            <w:pPr>
              <w:pStyle w:val="P68B1DB1-Normal78"/>
              <w:spacing w:after="0" w:line="240" w:lineRule="auto"/>
              <w:jc w:val="center"/>
              <w:rPr>
                <w:rFonts w:eastAsia="Times New Roman" w:cs="Times New Roman"/>
                <w:noProof/>
                <w:szCs w:val="20"/>
              </w:rPr>
            </w:pPr>
            <w:r>
              <w:rPr>
                <w:noProof/>
              </w:rPr>
              <w:t>364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B01217B" w14:textId="77777777" w:rsidR="00011DE9" w:rsidRDefault="00011DE9">
            <w:pPr>
              <w:pStyle w:val="P68B1DB1-Normal78"/>
              <w:spacing w:after="0" w:line="240" w:lineRule="auto"/>
              <w:rPr>
                <w:rFonts w:eastAsia="Times New Roman" w:cs="Times New Roman"/>
                <w:noProof/>
                <w:szCs w:val="20"/>
              </w:rPr>
            </w:pPr>
            <w:r>
              <w:rPr>
                <w:noProof/>
              </w:rPr>
              <w:t>C25.R1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56E3DF4"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14BA46A" w14:textId="77777777" w:rsidR="00011DE9" w:rsidRDefault="00011DE9">
            <w:pPr>
              <w:pStyle w:val="P68B1DB1-Normal78"/>
              <w:spacing w:after="0" w:line="240" w:lineRule="auto"/>
              <w:rPr>
                <w:rFonts w:eastAsia="Times New Roman" w:cs="Times New Roman"/>
                <w:noProof/>
                <w:szCs w:val="20"/>
              </w:rPr>
            </w:pPr>
            <w:r>
              <w:rPr>
                <w:noProof/>
              </w:rPr>
              <w:t>Intrarea în vigoare a legii generale privind comunicarea audiovizuală.</w:t>
            </w:r>
          </w:p>
        </w:tc>
      </w:tr>
      <w:tr w:rsidR="00011DE9" w14:paraId="4F41022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FFBA2BD" w14:textId="77777777" w:rsidR="00011DE9" w:rsidRDefault="00011DE9">
            <w:pPr>
              <w:pStyle w:val="P68B1DB1-Normal78"/>
              <w:spacing w:after="0" w:line="240" w:lineRule="auto"/>
              <w:jc w:val="center"/>
              <w:rPr>
                <w:rFonts w:eastAsia="Times New Roman" w:cs="Times New Roman"/>
                <w:noProof/>
                <w:szCs w:val="20"/>
              </w:rPr>
            </w:pPr>
            <w:r>
              <w:rPr>
                <w:noProof/>
              </w:rPr>
              <w:t>374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39F02D4" w14:textId="77777777" w:rsidR="00011DE9" w:rsidRDefault="00011DE9">
            <w:pPr>
              <w:pStyle w:val="P68B1DB1-Normal78"/>
              <w:spacing w:after="0" w:line="240" w:lineRule="auto"/>
              <w:rPr>
                <w:rFonts w:eastAsia="Times New Roman" w:cs="Times New Roman"/>
                <w:noProof/>
                <w:szCs w:val="20"/>
              </w:rPr>
            </w:pPr>
            <w:r>
              <w:rPr>
                <w:noProof/>
              </w:rPr>
              <w:t>C26.I3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63C5481"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382E2BC" w14:textId="77777777" w:rsidR="00011DE9" w:rsidRDefault="00011DE9">
            <w:pPr>
              <w:pStyle w:val="P68B1DB1-Normal78"/>
              <w:spacing w:after="0" w:line="240" w:lineRule="auto"/>
              <w:rPr>
                <w:rFonts w:eastAsia="Times New Roman" w:cs="Times New Roman"/>
                <w:noProof/>
                <w:szCs w:val="20"/>
              </w:rPr>
            </w:pPr>
            <w:r>
              <w:rPr>
                <w:noProof/>
              </w:rPr>
              <w:t xml:space="preserve">Proiecte de promovare a egalității în sport </w:t>
            </w:r>
          </w:p>
        </w:tc>
      </w:tr>
      <w:tr w:rsidR="00011DE9" w14:paraId="2B41DED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BFCE41F" w14:textId="77777777" w:rsidR="00011DE9" w:rsidRDefault="00011DE9">
            <w:pPr>
              <w:pStyle w:val="P68B1DB1-Normal78"/>
              <w:spacing w:after="0" w:line="240" w:lineRule="auto"/>
              <w:jc w:val="center"/>
              <w:rPr>
                <w:rFonts w:eastAsia="Times New Roman" w:cs="Times New Roman"/>
                <w:noProof/>
                <w:szCs w:val="20"/>
              </w:rPr>
            </w:pPr>
            <w:r>
              <w:rPr>
                <w:noProof/>
              </w:rPr>
              <w:t>376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FC82B16" w14:textId="77777777" w:rsidR="00011DE9" w:rsidRDefault="00011DE9">
            <w:pPr>
              <w:pStyle w:val="P68B1DB1-Normal78"/>
              <w:spacing w:after="0" w:line="240" w:lineRule="auto"/>
              <w:rPr>
                <w:rFonts w:eastAsia="Times New Roman" w:cs="Times New Roman"/>
                <w:noProof/>
                <w:szCs w:val="20"/>
              </w:rPr>
            </w:pPr>
            <w:r>
              <w:rPr>
                <w:noProof/>
              </w:rPr>
              <w:t>C27.R1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D29E32D"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AFD1CAD" w14:textId="77777777" w:rsidR="00011DE9" w:rsidRDefault="00011DE9">
            <w:pPr>
              <w:pStyle w:val="P68B1DB1-Normal78"/>
              <w:spacing w:after="0" w:line="240" w:lineRule="auto"/>
              <w:rPr>
                <w:rFonts w:eastAsia="Times New Roman" w:cs="Times New Roman"/>
                <w:noProof/>
                <w:szCs w:val="20"/>
              </w:rPr>
            </w:pPr>
            <w:r>
              <w:rPr>
                <w:noProof/>
              </w:rPr>
              <w:t>Intrarea în vigoare a Legii împotriva evaziunii fiscale și a fraudei</w:t>
            </w:r>
          </w:p>
        </w:tc>
      </w:tr>
      <w:tr w:rsidR="00011DE9" w14:paraId="09679FB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90E5DE2" w14:textId="77777777" w:rsidR="00011DE9" w:rsidRDefault="00011DE9">
            <w:pPr>
              <w:pStyle w:val="P68B1DB1-Normal78"/>
              <w:spacing w:after="0" w:line="240" w:lineRule="auto"/>
              <w:jc w:val="center"/>
              <w:rPr>
                <w:rFonts w:eastAsia="Times New Roman" w:cs="Times New Roman"/>
                <w:noProof/>
                <w:szCs w:val="20"/>
              </w:rPr>
            </w:pPr>
            <w:r>
              <w:rPr>
                <w:noProof/>
              </w:rPr>
              <w:t>390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7346C09" w14:textId="77777777" w:rsidR="00011DE9" w:rsidRDefault="00011DE9">
            <w:pPr>
              <w:pStyle w:val="P68B1DB1-Normal78"/>
              <w:spacing w:after="0" w:line="240" w:lineRule="auto"/>
              <w:rPr>
                <w:rFonts w:eastAsia="Times New Roman" w:cs="Times New Roman"/>
                <w:noProof/>
                <w:szCs w:val="20"/>
              </w:rPr>
            </w:pPr>
            <w:r>
              <w:rPr>
                <w:noProof/>
              </w:rPr>
              <w:t>C28.R4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121734F"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B514F9A" w14:textId="77777777" w:rsidR="00011DE9" w:rsidRDefault="00011DE9">
            <w:pPr>
              <w:pStyle w:val="P68B1DB1-Normal78"/>
              <w:spacing w:after="0" w:line="240" w:lineRule="auto"/>
              <w:rPr>
                <w:rFonts w:eastAsia="Times New Roman" w:cs="Times New Roman"/>
                <w:noProof/>
                <w:szCs w:val="20"/>
              </w:rPr>
            </w:pPr>
            <w:r>
              <w:rPr>
                <w:noProof/>
              </w:rPr>
              <w:t>Analiza taxei de înmatriculare a vehiculelor și a taxei de trafic</w:t>
            </w:r>
          </w:p>
        </w:tc>
      </w:tr>
      <w:tr w:rsidR="00011DE9" w14:paraId="0865C26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767D280" w14:textId="77777777" w:rsidR="00011DE9" w:rsidRDefault="00011DE9">
            <w:pPr>
              <w:pStyle w:val="P68B1DB1-Normal78"/>
              <w:spacing w:after="0" w:line="240" w:lineRule="auto"/>
              <w:jc w:val="center"/>
              <w:rPr>
                <w:rFonts w:eastAsia="Times New Roman" w:cs="Times New Roman"/>
                <w:noProof/>
                <w:szCs w:val="20"/>
              </w:rPr>
            </w:pPr>
            <w:r>
              <w:rPr>
                <w:noProof/>
              </w:rPr>
              <w:t>391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5036539" w14:textId="77777777" w:rsidR="00011DE9" w:rsidRDefault="00011DE9">
            <w:pPr>
              <w:pStyle w:val="P68B1DB1-Normal78"/>
              <w:spacing w:after="0" w:line="240" w:lineRule="auto"/>
              <w:rPr>
                <w:rFonts w:eastAsia="Times New Roman" w:cs="Times New Roman"/>
                <w:noProof/>
                <w:szCs w:val="20"/>
              </w:rPr>
            </w:pPr>
            <w:r>
              <w:rPr>
                <w:noProof/>
              </w:rPr>
              <w:t>C28.R4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E4F04B0"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873AAA0"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reformei taxei pe gazele fluorurate </w:t>
            </w:r>
          </w:p>
        </w:tc>
      </w:tr>
      <w:tr w:rsidR="00011DE9" w14:paraId="174C2A3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2DF89B6" w14:textId="77777777" w:rsidR="00011DE9" w:rsidRDefault="00011DE9">
            <w:pPr>
              <w:pStyle w:val="P68B1DB1-Normal78"/>
              <w:spacing w:after="0" w:line="240" w:lineRule="auto"/>
              <w:jc w:val="center"/>
              <w:rPr>
                <w:rFonts w:eastAsia="Times New Roman" w:cs="Times New Roman"/>
                <w:noProof/>
                <w:szCs w:val="20"/>
              </w:rPr>
            </w:pPr>
            <w:r>
              <w:rPr>
                <w:noProof/>
              </w:rPr>
              <w:t>401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4B2EFF9" w14:textId="77777777" w:rsidR="00011DE9" w:rsidRDefault="00011DE9">
            <w:pPr>
              <w:pStyle w:val="P68B1DB1-Normal78"/>
              <w:spacing w:after="0" w:line="240" w:lineRule="auto"/>
              <w:rPr>
                <w:rFonts w:eastAsia="Times New Roman" w:cs="Times New Roman"/>
                <w:noProof/>
                <w:szCs w:val="20"/>
              </w:rPr>
            </w:pPr>
            <w:r>
              <w:rPr>
                <w:noProof/>
              </w:rPr>
              <w:t>C29.R1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FACE9AB"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78D002B" w14:textId="77777777" w:rsidR="00011DE9" w:rsidRDefault="00011DE9">
            <w:pPr>
              <w:pStyle w:val="P68B1DB1-Normal78"/>
              <w:spacing w:after="0" w:line="240" w:lineRule="auto"/>
              <w:rPr>
                <w:rFonts w:eastAsia="Times New Roman" w:cs="Times New Roman"/>
                <w:noProof/>
                <w:szCs w:val="20"/>
              </w:rPr>
            </w:pPr>
            <w:r>
              <w:rPr>
                <w:noProof/>
              </w:rPr>
              <w:t>Publicarea unui raport de monitorizare</w:t>
            </w:r>
          </w:p>
        </w:tc>
      </w:tr>
      <w:tr w:rsidR="00011DE9" w14:paraId="25406EC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FFB78F5" w14:textId="77777777" w:rsidR="00011DE9" w:rsidRDefault="00011DE9">
            <w:pPr>
              <w:pStyle w:val="P68B1DB1-Normal78"/>
              <w:spacing w:after="0" w:line="240" w:lineRule="auto"/>
              <w:jc w:val="center"/>
              <w:rPr>
                <w:rFonts w:eastAsia="Times New Roman" w:cs="Times New Roman"/>
                <w:noProof/>
                <w:szCs w:val="20"/>
              </w:rPr>
            </w:pPr>
            <w:r>
              <w:rPr>
                <w:noProof/>
              </w:rPr>
              <w:t>411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D5C4311" w14:textId="77777777" w:rsidR="00011DE9" w:rsidRDefault="00011DE9">
            <w:pPr>
              <w:pStyle w:val="P68B1DB1-Normal78"/>
              <w:spacing w:after="0" w:line="240" w:lineRule="auto"/>
              <w:rPr>
                <w:rFonts w:eastAsia="Times New Roman" w:cs="Times New Roman"/>
                <w:noProof/>
                <w:szCs w:val="20"/>
              </w:rPr>
            </w:pPr>
            <w:r>
              <w:rPr>
                <w:noProof/>
              </w:rPr>
              <w:t>C30.R3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785CAE0"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2C4DC34" w14:textId="77777777" w:rsidR="00011DE9" w:rsidRDefault="00011DE9">
            <w:pPr>
              <w:pStyle w:val="P68B1DB1-Normal78"/>
              <w:spacing w:after="0" w:line="240" w:lineRule="auto"/>
              <w:rPr>
                <w:rFonts w:eastAsia="Times New Roman" w:cs="Times New Roman"/>
                <w:noProof/>
                <w:szCs w:val="20"/>
              </w:rPr>
            </w:pPr>
            <w:r>
              <w:rPr>
                <w:noProof/>
              </w:rPr>
              <w:t>Reforma sistemului de contribuții la asigurările sociale pentru persoanele care desfășoară o activitate independentă</w:t>
            </w:r>
          </w:p>
        </w:tc>
      </w:tr>
      <w:tr w:rsidR="00011DE9" w14:paraId="0190E18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3E70231" w14:textId="77777777" w:rsidR="00011DE9" w:rsidRDefault="00011DE9">
            <w:pPr>
              <w:pStyle w:val="P68B1DB1-Normal78"/>
              <w:spacing w:after="0" w:line="240" w:lineRule="auto"/>
              <w:jc w:val="center"/>
              <w:rPr>
                <w:rFonts w:eastAsia="Times New Roman" w:cs="Times New Roman"/>
                <w:noProof/>
                <w:szCs w:val="20"/>
              </w:rPr>
            </w:pPr>
            <w:r>
              <w:rPr>
                <w:noProof/>
              </w:rPr>
              <w:t>414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04BDE3A" w14:textId="77777777" w:rsidR="00011DE9" w:rsidRDefault="00011DE9">
            <w:pPr>
              <w:pStyle w:val="P68B1DB1-Normal78"/>
              <w:spacing w:after="0" w:line="240" w:lineRule="auto"/>
              <w:rPr>
                <w:rFonts w:eastAsia="Times New Roman" w:cs="Times New Roman"/>
                <w:noProof/>
                <w:szCs w:val="20"/>
              </w:rPr>
            </w:pPr>
            <w:r>
              <w:rPr>
                <w:noProof/>
              </w:rPr>
              <w:t>C30.R5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9993B66"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6889A36" w14:textId="77777777" w:rsidR="00011DE9" w:rsidRDefault="00011DE9">
            <w:pPr>
              <w:pStyle w:val="P68B1DB1-Normal78"/>
              <w:spacing w:after="0" w:line="240" w:lineRule="auto"/>
              <w:rPr>
                <w:rFonts w:eastAsia="Times New Roman" w:cs="Times New Roman"/>
                <w:noProof/>
                <w:szCs w:val="20"/>
              </w:rPr>
            </w:pPr>
            <w:r>
              <w:rPr>
                <w:noProof/>
              </w:rPr>
              <w:t>Revizuirea actualului sistem de pensii suplimentare</w:t>
            </w:r>
          </w:p>
        </w:tc>
      </w:tr>
      <w:tr w:rsidR="00011DE9" w14:paraId="4AE2B70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E28148A" w14:textId="77777777" w:rsidR="00011DE9" w:rsidRDefault="00011DE9">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2A8C395" w14:textId="77777777" w:rsidR="00011DE9" w:rsidRDefault="00011DE9">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F63FB1E" w14:textId="77777777" w:rsidR="00011DE9" w:rsidRDefault="00011DE9">
            <w:pPr>
              <w:pStyle w:val="P68B1DB1-Normal77"/>
              <w:spacing w:after="0" w:line="240" w:lineRule="auto"/>
              <w:rPr>
                <w:rFonts w:eastAsia="Times New Roman" w:cs="Times New Roman"/>
                <w:noProof/>
                <w:szCs w:val="20"/>
              </w:rPr>
            </w:pPr>
            <w:r>
              <w:rPr>
                <w:noProof/>
              </w:rPr>
              <w:t>Cuantumul tranșei</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9A570BC" w14:textId="5F48CE4B" w:rsidR="00011DE9" w:rsidRDefault="00011DE9">
            <w:pPr>
              <w:pStyle w:val="P68B1DB1-Normal78"/>
              <w:spacing w:after="0" w:line="240" w:lineRule="auto"/>
              <w:rPr>
                <w:rFonts w:eastAsia="Times New Roman" w:cs="Times New Roman"/>
                <w:b/>
                <w:noProof/>
                <w:szCs w:val="20"/>
              </w:rPr>
            </w:pPr>
            <w:r>
              <w:rPr>
                <w:b/>
                <w:noProof/>
              </w:rPr>
              <w:t>6</w:t>
            </w:r>
            <w:r w:rsidR="00971820">
              <w:rPr>
                <w:noProof/>
              </w:rPr>
              <w:t xml:space="preserve"> </w:t>
            </w:r>
            <w:r>
              <w:rPr>
                <w:b/>
                <w:noProof/>
              </w:rPr>
              <w:t>896</w:t>
            </w:r>
            <w:r>
              <w:rPr>
                <w:noProof/>
              </w:rPr>
              <w:t xml:space="preserve"> </w:t>
            </w:r>
            <w:r>
              <w:rPr>
                <w:b/>
                <w:noProof/>
              </w:rPr>
              <w:t>551</w:t>
            </w:r>
            <w:r>
              <w:rPr>
                <w:noProof/>
              </w:rPr>
              <w:t xml:space="preserve"> </w:t>
            </w:r>
            <w:r>
              <w:rPr>
                <w:b/>
                <w:noProof/>
              </w:rPr>
              <w:t>724 MIL.</w:t>
            </w:r>
          </w:p>
        </w:tc>
      </w:tr>
    </w:tbl>
    <w:p w14:paraId="7694ACD5" w14:textId="77777777" w:rsidR="00011DE9" w:rsidRDefault="00011DE9">
      <w:pPr>
        <w:spacing w:before="120" w:after="120" w:line="240" w:lineRule="auto"/>
        <w:jc w:val="both"/>
        <w:rPr>
          <w:rFonts w:ascii="Times New Roman" w:eastAsia="Calibri" w:hAnsi="Times New Roman" w:cs="Times New Roman"/>
          <w:noProof/>
        </w:rPr>
        <w:sectPr w:rsidR="00011DE9" w:rsidSect="00011DE9">
          <w:headerReference w:type="even" r:id="rId436"/>
          <w:headerReference w:type="default" r:id="rId437"/>
          <w:footerReference w:type="even" r:id="rId438"/>
          <w:footerReference w:type="default" r:id="rId439"/>
          <w:headerReference w:type="first" r:id="rId440"/>
          <w:footerReference w:type="first" r:id="rId441"/>
          <w:pgSz w:w="11907" w:h="16839"/>
          <w:pgMar w:top="1134" w:right="1134" w:bottom="1134" w:left="1134" w:header="567" w:footer="567" w:gutter="0"/>
          <w:cols w:space="720"/>
          <w:docGrid w:linePitch="360"/>
        </w:sectPr>
      </w:pPr>
    </w:p>
    <w:p w14:paraId="40B75C0B" w14:textId="77777777" w:rsidR="00011DE9" w:rsidRDefault="00011DE9">
      <w:pPr>
        <w:pStyle w:val="P68B1DB1-Normal16"/>
        <w:numPr>
          <w:ilvl w:val="1"/>
          <w:numId w:val="18"/>
        </w:numPr>
        <w:tabs>
          <w:tab w:val="clear" w:pos="6236"/>
          <w:tab w:val="num" w:pos="850"/>
        </w:tabs>
        <w:spacing w:before="120" w:after="120" w:line="240" w:lineRule="auto"/>
        <w:ind w:left="850"/>
        <w:jc w:val="both"/>
        <w:rPr>
          <w:rFonts w:cs="Times New Roman"/>
          <w:noProof/>
        </w:rPr>
      </w:pPr>
      <w:r>
        <w:rPr>
          <w:noProof/>
        </w:rPr>
        <w:t xml:space="preserve">A patra tranșă (sprijin nerambursabil): </w:t>
      </w:r>
    </w:p>
    <w:tbl>
      <w:tblPr>
        <w:tblW w:w="9663" w:type="dxa"/>
        <w:tblInd w:w="113" w:type="dxa"/>
        <w:tblLook w:val="04A0" w:firstRow="1" w:lastRow="0" w:firstColumn="1" w:lastColumn="0" w:noHBand="0" w:noVBand="1"/>
      </w:tblPr>
      <w:tblGrid>
        <w:gridCol w:w="1300"/>
        <w:gridCol w:w="1443"/>
        <w:gridCol w:w="1296"/>
        <w:gridCol w:w="5670"/>
      </w:tblGrid>
      <w:tr w:rsidR="00011DE9" w14:paraId="2C9ADDBA" w14:textId="77777777">
        <w:trPr>
          <w:trHeight w:val="906"/>
          <w:tblHeader/>
        </w:trPr>
        <w:tc>
          <w:tcPr>
            <w:tcW w:w="130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552E4CA" w14:textId="77777777" w:rsidR="00011DE9" w:rsidRDefault="00011DE9">
            <w:pPr>
              <w:pStyle w:val="P68B1DB1-Normal77"/>
              <w:spacing w:after="0" w:line="240" w:lineRule="auto"/>
              <w:jc w:val="center"/>
              <w:rPr>
                <w:rFonts w:eastAsia="Times New Roman" w:cs="Times New Roman"/>
                <w:noProof/>
                <w:szCs w:val="20"/>
              </w:rPr>
            </w:pPr>
            <w:r>
              <w:rPr>
                <w:noProof/>
              </w:rPr>
              <w:t>Număr secvențial</w:t>
            </w:r>
          </w:p>
        </w:tc>
        <w:tc>
          <w:tcPr>
            <w:tcW w:w="144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8200E92" w14:textId="77777777" w:rsidR="00011DE9" w:rsidRDefault="00011DE9">
            <w:pPr>
              <w:pStyle w:val="P68B1DB1-Normal77"/>
              <w:spacing w:after="0" w:line="240" w:lineRule="auto"/>
              <w:jc w:val="center"/>
              <w:rPr>
                <w:rFonts w:eastAsia="Times New Roman" w:cs="Times New Roman"/>
                <w:noProof/>
                <w:szCs w:val="20"/>
              </w:rPr>
            </w:pPr>
            <w:r>
              <w:rPr>
                <w:noProof/>
              </w:rPr>
              <w:t>Măsură conexă (reformă sau investiții)</w:t>
            </w:r>
          </w:p>
        </w:tc>
        <w:tc>
          <w:tcPr>
            <w:tcW w:w="125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30DBD42D" w14:textId="77777777" w:rsidR="00011DE9" w:rsidRDefault="00011DE9">
            <w:pPr>
              <w:pStyle w:val="P68B1DB1-Normal77"/>
              <w:spacing w:after="0" w:line="240" w:lineRule="auto"/>
              <w:jc w:val="center"/>
              <w:rPr>
                <w:rFonts w:eastAsia="Times New Roman" w:cs="Times New Roman"/>
                <w:noProof/>
                <w:szCs w:val="20"/>
              </w:rPr>
            </w:pPr>
            <w:r>
              <w:rPr>
                <w:noProof/>
              </w:rPr>
              <w:t>Etapă/Obiectiv</w:t>
            </w:r>
          </w:p>
        </w:tc>
        <w:tc>
          <w:tcPr>
            <w:tcW w:w="5670" w:type="dxa"/>
            <w:vMerge w:val="restart"/>
            <w:tcBorders>
              <w:top w:val="single" w:sz="4" w:space="0" w:color="auto"/>
              <w:left w:val="nil"/>
              <w:bottom w:val="single" w:sz="4" w:space="0" w:color="000000"/>
              <w:right w:val="single" w:sz="4" w:space="0" w:color="auto"/>
            </w:tcBorders>
            <w:shd w:val="clear" w:color="auto" w:fill="BDD7EE"/>
            <w:vAlign w:val="center"/>
            <w:hideMark/>
          </w:tcPr>
          <w:p w14:paraId="7C6793B7" w14:textId="77777777" w:rsidR="00011DE9" w:rsidRDefault="00011DE9">
            <w:pPr>
              <w:pStyle w:val="P68B1DB1-Normal77"/>
              <w:spacing w:after="0" w:line="240" w:lineRule="auto"/>
              <w:jc w:val="center"/>
              <w:rPr>
                <w:rFonts w:eastAsia="Times New Roman" w:cs="Times New Roman"/>
                <w:noProof/>
                <w:szCs w:val="20"/>
              </w:rPr>
            </w:pPr>
            <w:r>
              <w:rPr>
                <w:noProof/>
              </w:rPr>
              <w:t>Nume</w:t>
            </w:r>
          </w:p>
        </w:tc>
      </w:tr>
      <w:tr w:rsidR="00011DE9" w14:paraId="18404EDA" w14:textId="77777777">
        <w:trPr>
          <w:trHeight w:val="509"/>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4C38E0FE" w14:textId="77777777" w:rsidR="00011DE9" w:rsidRDefault="00011DE9">
            <w:pPr>
              <w:spacing w:after="0" w:line="240" w:lineRule="auto"/>
              <w:rPr>
                <w:rFonts w:ascii="Times New Roman" w:eastAsia="Times New Roman" w:hAnsi="Times New Roman" w:cs="Times New Roman"/>
                <w:b/>
                <w:noProof/>
                <w:sz w:val="20"/>
                <w:szCs w:val="20"/>
              </w:rPr>
            </w:pPr>
          </w:p>
        </w:tc>
        <w:tc>
          <w:tcPr>
            <w:tcW w:w="1443" w:type="dxa"/>
            <w:vMerge/>
            <w:tcBorders>
              <w:top w:val="single" w:sz="4" w:space="0" w:color="auto"/>
              <w:left w:val="single" w:sz="4" w:space="0" w:color="auto"/>
              <w:bottom w:val="single" w:sz="4" w:space="0" w:color="000000"/>
              <w:right w:val="single" w:sz="4" w:space="0" w:color="auto"/>
            </w:tcBorders>
            <w:vAlign w:val="center"/>
            <w:hideMark/>
          </w:tcPr>
          <w:p w14:paraId="3D1C417F" w14:textId="77777777" w:rsidR="00011DE9" w:rsidRDefault="00011DE9">
            <w:pPr>
              <w:spacing w:after="0" w:line="240" w:lineRule="auto"/>
              <w:rPr>
                <w:rFonts w:ascii="Times New Roman" w:eastAsia="Times New Roman" w:hAnsi="Times New Roman" w:cs="Times New Roman"/>
                <w:b/>
                <w:noProof/>
                <w:sz w:val="20"/>
                <w:szCs w:val="20"/>
              </w:rPr>
            </w:pPr>
          </w:p>
        </w:tc>
        <w:tc>
          <w:tcPr>
            <w:tcW w:w="1250" w:type="dxa"/>
            <w:vMerge/>
            <w:tcBorders>
              <w:top w:val="single" w:sz="4" w:space="0" w:color="auto"/>
              <w:left w:val="single" w:sz="4" w:space="0" w:color="auto"/>
              <w:bottom w:val="single" w:sz="4" w:space="0" w:color="000000"/>
              <w:right w:val="single" w:sz="4" w:space="0" w:color="auto"/>
            </w:tcBorders>
            <w:vAlign w:val="center"/>
            <w:hideMark/>
          </w:tcPr>
          <w:p w14:paraId="00097B15" w14:textId="77777777" w:rsidR="00011DE9" w:rsidRDefault="00011DE9">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nil"/>
              <w:bottom w:val="single" w:sz="4" w:space="0" w:color="000000"/>
              <w:right w:val="single" w:sz="4" w:space="0" w:color="auto"/>
            </w:tcBorders>
            <w:vAlign w:val="center"/>
            <w:hideMark/>
          </w:tcPr>
          <w:p w14:paraId="06C39539" w14:textId="77777777" w:rsidR="00011DE9" w:rsidRDefault="00011DE9">
            <w:pPr>
              <w:spacing w:after="0" w:line="240" w:lineRule="auto"/>
              <w:rPr>
                <w:rFonts w:ascii="Times New Roman" w:eastAsia="Times New Roman" w:hAnsi="Times New Roman" w:cs="Times New Roman"/>
                <w:b/>
                <w:noProof/>
                <w:sz w:val="20"/>
                <w:szCs w:val="20"/>
              </w:rPr>
            </w:pPr>
          </w:p>
        </w:tc>
      </w:tr>
      <w:tr w:rsidR="00011DE9" w14:paraId="5B70A04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61DC998" w14:textId="77777777" w:rsidR="00011DE9" w:rsidRDefault="00011DE9">
            <w:pPr>
              <w:pStyle w:val="P68B1DB1-Normal78"/>
              <w:spacing w:after="0" w:line="240" w:lineRule="auto"/>
              <w:jc w:val="center"/>
              <w:rPr>
                <w:rFonts w:eastAsia="Times New Roman" w:cs="Times New Roman"/>
                <w:noProof/>
                <w:szCs w:val="20"/>
              </w:rPr>
            </w:pPr>
            <w:r>
              <w:rPr>
                <w:noProof/>
              </w:rPr>
              <w:t>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FCBB00A" w14:textId="77777777" w:rsidR="00011DE9" w:rsidRDefault="00011DE9">
            <w:pPr>
              <w:pStyle w:val="P68B1DB1-Normal78"/>
              <w:spacing w:after="0" w:line="240" w:lineRule="auto"/>
              <w:rPr>
                <w:rFonts w:eastAsia="Times New Roman" w:cs="Times New Roman"/>
                <w:noProof/>
                <w:szCs w:val="20"/>
              </w:rPr>
            </w:pPr>
            <w:r>
              <w:rPr>
                <w:noProof/>
              </w:rPr>
              <w:t>C1.I1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42D65F1"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CACC790" w14:textId="77777777" w:rsidR="00011DE9" w:rsidRDefault="00011DE9">
            <w:pPr>
              <w:pStyle w:val="P68B1DB1-Normal78"/>
              <w:spacing w:after="0" w:line="240" w:lineRule="auto"/>
              <w:rPr>
                <w:rFonts w:eastAsia="Times New Roman" w:cs="Times New Roman"/>
                <w:noProof/>
                <w:szCs w:val="20"/>
              </w:rPr>
            </w:pPr>
            <w:r>
              <w:rPr>
                <w:noProof/>
              </w:rPr>
              <w:t>Bugetul cheltuit pentru achiziții sau acordat de municipalități cu scopul de a promova mobilitatea durabilă</w:t>
            </w:r>
          </w:p>
        </w:tc>
      </w:tr>
      <w:tr w:rsidR="00011DE9" w14:paraId="27933D2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AC189C8" w14:textId="77777777" w:rsidR="00011DE9" w:rsidRDefault="00011DE9">
            <w:pPr>
              <w:pStyle w:val="P68B1DB1-Normal78"/>
              <w:spacing w:after="0" w:line="240" w:lineRule="auto"/>
              <w:jc w:val="center"/>
              <w:rPr>
                <w:rFonts w:eastAsia="Times New Roman" w:cs="Times New Roman"/>
                <w:noProof/>
                <w:szCs w:val="20"/>
              </w:rPr>
            </w:pPr>
            <w:r>
              <w:rPr>
                <w:noProof/>
              </w:rPr>
              <w:t>22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DCF63CC" w14:textId="77777777" w:rsidR="00011DE9" w:rsidRDefault="00011DE9">
            <w:pPr>
              <w:pStyle w:val="P68B1DB1-Normal78"/>
              <w:spacing w:after="0" w:line="240" w:lineRule="auto"/>
              <w:rPr>
                <w:rFonts w:eastAsia="Times New Roman" w:cs="Times New Roman"/>
                <w:noProof/>
                <w:szCs w:val="20"/>
              </w:rPr>
            </w:pPr>
            <w:r>
              <w:rPr>
                <w:noProof/>
              </w:rPr>
              <w:t>C2.R3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8344E0B"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9A2DA07"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Legii privind locuințele, inclusiv acțiuni de sprijinire a creșterii ofertei de locuințe în conformitate cu clădirile al căror consum de energie este aproape egal cu zero </w:t>
            </w:r>
          </w:p>
        </w:tc>
      </w:tr>
      <w:tr w:rsidR="00011DE9" w14:paraId="572FD2CB"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69E99C6" w14:textId="77777777" w:rsidR="00011DE9" w:rsidRDefault="00011DE9">
            <w:pPr>
              <w:pStyle w:val="P68B1DB1-Normal78"/>
              <w:spacing w:after="0" w:line="240" w:lineRule="auto"/>
              <w:jc w:val="center"/>
              <w:rPr>
                <w:rFonts w:eastAsia="Times New Roman" w:cs="Times New Roman"/>
                <w:noProof/>
                <w:szCs w:val="20"/>
              </w:rPr>
            </w:pPr>
            <w:r>
              <w:rPr>
                <w:noProof/>
              </w:rPr>
              <w:t>23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D7E2423" w14:textId="77777777" w:rsidR="00011DE9" w:rsidRDefault="00011DE9">
            <w:pPr>
              <w:pStyle w:val="P68B1DB1-Normal78"/>
              <w:spacing w:after="0" w:line="240" w:lineRule="auto"/>
              <w:rPr>
                <w:rFonts w:eastAsia="Times New Roman" w:cs="Times New Roman"/>
                <w:noProof/>
                <w:szCs w:val="20"/>
              </w:rPr>
            </w:pPr>
            <w:r>
              <w:rPr>
                <w:noProof/>
              </w:rPr>
              <w:t>C2.R4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B3D1913"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1F7B6E2"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Legii privind calitatea arhitecturii și a mediului construit </w:t>
            </w:r>
          </w:p>
        </w:tc>
      </w:tr>
      <w:tr w:rsidR="00011DE9" w14:paraId="6FC9070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0B695A7" w14:textId="77777777" w:rsidR="00011DE9" w:rsidRDefault="00011DE9">
            <w:pPr>
              <w:pStyle w:val="P68B1DB1-Normal78"/>
              <w:spacing w:after="0" w:line="240" w:lineRule="auto"/>
              <w:jc w:val="center"/>
              <w:rPr>
                <w:rFonts w:eastAsia="Times New Roman" w:cs="Times New Roman"/>
                <w:noProof/>
                <w:szCs w:val="20"/>
              </w:rPr>
            </w:pPr>
            <w:r>
              <w:rPr>
                <w:noProof/>
              </w:rPr>
              <w:t>25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79814B0" w14:textId="77777777" w:rsidR="00011DE9" w:rsidRDefault="00011DE9">
            <w:pPr>
              <w:pStyle w:val="P68B1DB1-Normal78"/>
              <w:spacing w:after="0" w:line="240" w:lineRule="auto"/>
              <w:rPr>
                <w:rFonts w:eastAsia="Times New Roman" w:cs="Times New Roman"/>
                <w:noProof/>
                <w:szCs w:val="20"/>
              </w:rPr>
            </w:pPr>
            <w:r>
              <w:rPr>
                <w:noProof/>
              </w:rPr>
              <w:t>C2.R6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05E88CC"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5B299F4"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modificărilor aduse Legii orizontale privind proprietatea pentru a facilita finanțarea reabilitării </w:t>
            </w:r>
          </w:p>
        </w:tc>
      </w:tr>
      <w:tr w:rsidR="00011DE9" w14:paraId="62EF0A7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E2044AF" w14:textId="77777777" w:rsidR="00011DE9" w:rsidRDefault="00011DE9">
            <w:pPr>
              <w:pStyle w:val="P68B1DB1-Normal78"/>
              <w:spacing w:after="0" w:line="240" w:lineRule="auto"/>
              <w:jc w:val="center"/>
              <w:rPr>
                <w:rFonts w:eastAsia="Times New Roman" w:cs="Times New Roman"/>
                <w:noProof/>
                <w:szCs w:val="20"/>
              </w:rPr>
            </w:pPr>
            <w:r>
              <w:rPr>
                <w:noProof/>
              </w:rPr>
              <w:t>38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6F7A1A7" w14:textId="77777777" w:rsidR="00011DE9" w:rsidRDefault="00011DE9">
            <w:pPr>
              <w:pStyle w:val="P68B1DB1-Normal78"/>
              <w:spacing w:after="0" w:line="240" w:lineRule="auto"/>
              <w:rPr>
                <w:rFonts w:eastAsia="Times New Roman" w:cs="Times New Roman"/>
                <w:noProof/>
                <w:szCs w:val="20"/>
              </w:rPr>
            </w:pPr>
            <w:r>
              <w:rPr>
                <w:noProof/>
              </w:rPr>
              <w:t>C2.I6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501405C"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C0EE834" w14:textId="77777777" w:rsidR="00011DE9" w:rsidRDefault="00011DE9">
            <w:pPr>
              <w:pStyle w:val="P68B1DB1-Normal78"/>
              <w:spacing w:after="0" w:line="240" w:lineRule="auto"/>
              <w:rPr>
                <w:rFonts w:eastAsia="Times New Roman" w:cs="Times New Roman"/>
                <w:noProof/>
                <w:szCs w:val="20"/>
              </w:rPr>
            </w:pPr>
            <w:r>
              <w:rPr>
                <w:noProof/>
              </w:rPr>
              <w:t xml:space="preserve">Planuri de acțiune în cadrul Agendei urbane a Spaniei </w:t>
            </w:r>
          </w:p>
        </w:tc>
      </w:tr>
      <w:tr w:rsidR="00011DE9" w14:paraId="131633F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771C044" w14:textId="77777777" w:rsidR="00011DE9" w:rsidRDefault="00011DE9">
            <w:pPr>
              <w:pStyle w:val="P68B1DB1-Normal78"/>
              <w:spacing w:after="0" w:line="240" w:lineRule="auto"/>
              <w:jc w:val="center"/>
              <w:rPr>
                <w:rFonts w:eastAsia="Times New Roman" w:cs="Times New Roman"/>
                <w:noProof/>
                <w:szCs w:val="20"/>
              </w:rPr>
            </w:pPr>
            <w:r>
              <w:rPr>
                <w:noProof/>
              </w:rPr>
              <w:t>41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1E9B14B" w14:textId="77777777" w:rsidR="00011DE9" w:rsidRDefault="00011DE9">
            <w:pPr>
              <w:pStyle w:val="P68B1DB1-Normal78"/>
              <w:spacing w:after="0" w:line="240" w:lineRule="auto"/>
              <w:rPr>
                <w:rFonts w:eastAsia="Times New Roman" w:cs="Times New Roman"/>
                <w:noProof/>
                <w:szCs w:val="20"/>
              </w:rPr>
            </w:pPr>
            <w:r>
              <w:rPr>
                <w:noProof/>
              </w:rPr>
              <w:t>C3.R2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D4353C0"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AF0CDDB" w14:textId="77777777" w:rsidR="00011DE9" w:rsidRDefault="00011DE9">
            <w:pPr>
              <w:pStyle w:val="P68B1DB1-Normal78"/>
              <w:spacing w:after="0" w:line="240" w:lineRule="auto"/>
              <w:rPr>
                <w:rFonts w:eastAsia="Times New Roman" w:cs="Times New Roman"/>
                <w:noProof/>
                <w:szCs w:val="20"/>
              </w:rPr>
            </w:pPr>
            <w:r>
              <w:rPr>
                <w:noProof/>
              </w:rPr>
              <w:t>Intrarea în vigoare a cadrului de reglementare pentru dezvoltarea unui registru general al celor mai bune tehnici disponibile în ferme pentru a informa cu privire la emisiile de poluanți și de GES și reformarea legislației în materie de planificare cu criterii privind fermele din toate sectoarele</w:t>
            </w:r>
          </w:p>
        </w:tc>
      </w:tr>
      <w:tr w:rsidR="00011DE9" w14:paraId="4200EC0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5D513D3" w14:textId="77777777" w:rsidR="00011DE9" w:rsidRDefault="00011DE9">
            <w:pPr>
              <w:pStyle w:val="P68B1DB1-Normal78"/>
              <w:spacing w:after="0" w:line="240" w:lineRule="auto"/>
              <w:jc w:val="center"/>
              <w:rPr>
                <w:rFonts w:eastAsia="Times New Roman" w:cs="Times New Roman"/>
                <w:noProof/>
                <w:szCs w:val="20"/>
              </w:rPr>
            </w:pPr>
            <w:r>
              <w:rPr>
                <w:noProof/>
              </w:rPr>
              <w:t>43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A667837" w14:textId="77777777" w:rsidR="00011DE9" w:rsidRDefault="00011DE9">
            <w:pPr>
              <w:pStyle w:val="P68B1DB1-Normal78"/>
              <w:spacing w:after="0" w:line="240" w:lineRule="auto"/>
              <w:rPr>
                <w:rFonts w:eastAsia="Times New Roman" w:cs="Times New Roman"/>
                <w:noProof/>
                <w:szCs w:val="20"/>
              </w:rPr>
            </w:pPr>
            <w:r>
              <w:rPr>
                <w:noProof/>
              </w:rPr>
              <w:t>C3.R4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81ECBC4"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07C0CB9" w14:textId="77777777" w:rsidR="00011DE9" w:rsidRDefault="00011DE9">
            <w:pPr>
              <w:pStyle w:val="P68B1DB1-Normal78"/>
              <w:spacing w:after="0" w:line="240" w:lineRule="auto"/>
              <w:rPr>
                <w:rFonts w:eastAsia="Times New Roman" w:cs="Times New Roman"/>
                <w:noProof/>
                <w:szCs w:val="20"/>
              </w:rPr>
            </w:pPr>
            <w:r>
              <w:rPr>
                <w:noProof/>
              </w:rPr>
              <w:t>Intrarea în vigoare a Decretului regal privind un mecanism de guvernanță pentru îmbunătățirea sistemului spaniol de irigații.</w:t>
            </w:r>
          </w:p>
        </w:tc>
      </w:tr>
      <w:tr w:rsidR="00011DE9" w14:paraId="5DF39EE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86C7634" w14:textId="77777777" w:rsidR="00011DE9" w:rsidRDefault="00011DE9">
            <w:pPr>
              <w:pStyle w:val="P68B1DB1-Normal78"/>
              <w:spacing w:after="0" w:line="240" w:lineRule="auto"/>
              <w:jc w:val="center"/>
              <w:rPr>
                <w:rFonts w:eastAsia="Times New Roman" w:cs="Times New Roman"/>
                <w:noProof/>
                <w:szCs w:val="20"/>
              </w:rPr>
            </w:pPr>
            <w:r>
              <w:rPr>
                <w:noProof/>
              </w:rPr>
              <w:t>44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3FF8DAC" w14:textId="77777777" w:rsidR="00011DE9" w:rsidRDefault="00011DE9">
            <w:pPr>
              <w:pStyle w:val="P68B1DB1-Normal78"/>
              <w:spacing w:after="0" w:line="240" w:lineRule="auto"/>
              <w:rPr>
                <w:rFonts w:eastAsia="Times New Roman" w:cs="Times New Roman"/>
                <w:noProof/>
                <w:szCs w:val="20"/>
              </w:rPr>
            </w:pPr>
            <w:r>
              <w:rPr>
                <w:noProof/>
              </w:rPr>
              <w:t>C3.R5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DEABEB9"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1A3A4BC" w14:textId="77777777" w:rsidR="00011DE9" w:rsidRDefault="00011DE9">
            <w:pPr>
              <w:pStyle w:val="P68B1DB1-Normal78"/>
              <w:spacing w:after="0" w:line="240" w:lineRule="auto"/>
              <w:rPr>
                <w:rFonts w:eastAsia="Times New Roman" w:cs="Times New Roman"/>
                <w:noProof/>
                <w:szCs w:val="20"/>
              </w:rPr>
            </w:pPr>
            <w:r>
              <w:rPr>
                <w:noProof/>
              </w:rPr>
              <w:t>Adoptarea celui de al doilea plan de acțiune al Strategiei de digitalizare a sectorului agroalimentar și a zonelor rurale.</w:t>
            </w:r>
          </w:p>
        </w:tc>
      </w:tr>
      <w:tr w:rsidR="00011DE9" w14:paraId="7D6E157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624FA1C" w14:textId="77777777" w:rsidR="00011DE9" w:rsidRDefault="00011DE9">
            <w:pPr>
              <w:pStyle w:val="P68B1DB1-Normal78"/>
              <w:spacing w:after="0" w:line="240" w:lineRule="auto"/>
              <w:jc w:val="center"/>
              <w:rPr>
                <w:rFonts w:eastAsia="Times New Roman" w:cs="Times New Roman"/>
                <w:noProof/>
                <w:szCs w:val="20"/>
              </w:rPr>
            </w:pPr>
            <w:r>
              <w:rPr>
                <w:noProof/>
              </w:rPr>
              <w:t>47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39BE25C" w14:textId="77777777" w:rsidR="00011DE9" w:rsidRDefault="00011DE9">
            <w:pPr>
              <w:pStyle w:val="P68B1DB1-Normal78"/>
              <w:spacing w:after="0" w:line="240" w:lineRule="auto"/>
              <w:rPr>
                <w:rFonts w:eastAsia="Times New Roman" w:cs="Times New Roman"/>
                <w:noProof/>
                <w:szCs w:val="20"/>
              </w:rPr>
            </w:pPr>
            <w:r>
              <w:rPr>
                <w:noProof/>
              </w:rPr>
              <w:t>C3.I1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E47A342"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D4F11E4" w14:textId="77777777" w:rsidR="00011DE9" w:rsidRDefault="00011DE9">
            <w:pPr>
              <w:pStyle w:val="P68B1DB1-Normal78"/>
              <w:spacing w:after="0" w:line="240" w:lineRule="auto"/>
              <w:rPr>
                <w:rFonts w:eastAsia="Times New Roman" w:cs="Times New Roman"/>
                <w:noProof/>
                <w:szCs w:val="20"/>
              </w:rPr>
            </w:pPr>
            <w:r>
              <w:rPr>
                <w:noProof/>
              </w:rPr>
              <w:t>Punerea în aplicare a acordului dintre Ministerul Agriculturii, Pescuitului și Alimentației (MAPA) și SEIASA pentru a sprijini îmbunătățirea și sustenabilitatea suprafețelor irigate (faza II)</w:t>
            </w:r>
          </w:p>
        </w:tc>
      </w:tr>
      <w:tr w:rsidR="00011DE9" w14:paraId="49EC583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33B6F6C" w14:textId="77777777" w:rsidR="00011DE9" w:rsidRDefault="00011DE9">
            <w:pPr>
              <w:pStyle w:val="P68B1DB1-Normal78"/>
              <w:spacing w:after="0" w:line="240" w:lineRule="auto"/>
              <w:jc w:val="center"/>
              <w:rPr>
                <w:rFonts w:eastAsia="Times New Roman" w:cs="Times New Roman"/>
                <w:noProof/>
                <w:szCs w:val="20"/>
              </w:rPr>
            </w:pPr>
            <w:r>
              <w:rPr>
                <w:noProof/>
              </w:rPr>
              <w:t>55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A2E4466" w14:textId="77777777" w:rsidR="00011DE9" w:rsidRDefault="00011DE9">
            <w:pPr>
              <w:pStyle w:val="P68B1DB1-Normal78"/>
              <w:spacing w:after="0" w:line="240" w:lineRule="auto"/>
              <w:rPr>
                <w:rFonts w:eastAsia="Times New Roman" w:cs="Times New Roman"/>
                <w:noProof/>
                <w:szCs w:val="20"/>
              </w:rPr>
            </w:pPr>
            <w:r>
              <w:rPr>
                <w:noProof/>
              </w:rPr>
              <w:t>C3.I6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C02BF71"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0774059" w14:textId="77777777" w:rsidR="00011DE9" w:rsidRDefault="00011DE9">
            <w:pPr>
              <w:pStyle w:val="P68B1DB1-Normal78"/>
              <w:spacing w:after="0" w:line="240" w:lineRule="auto"/>
              <w:rPr>
                <w:rFonts w:eastAsia="Times New Roman" w:cs="Times New Roman"/>
                <w:noProof/>
                <w:szCs w:val="20"/>
              </w:rPr>
            </w:pPr>
            <w:r>
              <w:rPr>
                <w:noProof/>
              </w:rPr>
              <w:t>Achiziționarea de echipamente TIC pentru rezervele marine de interes pentru pescuit și contracte pentru achiziționarea de nave cu destinație specială pentru rezervele maritime</w:t>
            </w:r>
          </w:p>
        </w:tc>
      </w:tr>
      <w:tr w:rsidR="00011DE9" w14:paraId="59B47BA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B00430B" w14:textId="77777777" w:rsidR="00011DE9" w:rsidRDefault="00011DE9">
            <w:pPr>
              <w:pStyle w:val="P68B1DB1-Normal78"/>
              <w:spacing w:after="0" w:line="240" w:lineRule="auto"/>
              <w:jc w:val="center"/>
              <w:rPr>
                <w:rFonts w:eastAsia="Times New Roman" w:cs="Times New Roman"/>
                <w:noProof/>
                <w:szCs w:val="20"/>
              </w:rPr>
            </w:pPr>
            <w:r>
              <w:rPr>
                <w:noProof/>
              </w:rPr>
              <w:t>60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418BE69" w14:textId="77777777" w:rsidR="00011DE9" w:rsidRDefault="00011DE9">
            <w:pPr>
              <w:pStyle w:val="P68B1DB1-Normal78"/>
              <w:spacing w:after="0" w:line="240" w:lineRule="auto"/>
              <w:rPr>
                <w:rFonts w:eastAsia="Times New Roman" w:cs="Times New Roman"/>
                <w:noProof/>
                <w:szCs w:val="20"/>
              </w:rPr>
            </w:pPr>
            <w:r>
              <w:rPr>
                <w:noProof/>
              </w:rPr>
              <w:t>C3.I10</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44D8B93"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DF0608B" w14:textId="77777777" w:rsidR="00011DE9" w:rsidRDefault="00011DE9">
            <w:pPr>
              <w:pStyle w:val="P68B1DB1-Normal78"/>
              <w:spacing w:after="0" w:line="240" w:lineRule="auto"/>
              <w:rPr>
                <w:rFonts w:eastAsia="Times New Roman" w:cs="Times New Roman"/>
                <w:noProof/>
                <w:szCs w:val="20"/>
              </w:rPr>
            </w:pPr>
            <w:r>
              <w:rPr>
                <w:noProof/>
              </w:rPr>
              <w:t xml:space="preserve">Achiziționarea de nave ușoare de patrulare și de nave de patrulare în marea liberă pentru a combate pescuitul ilegal, nedeclarat și nereglementat </w:t>
            </w:r>
          </w:p>
        </w:tc>
      </w:tr>
      <w:tr w:rsidR="00011DE9" w14:paraId="2B07CEEB"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BF98B1D" w14:textId="77777777" w:rsidR="00011DE9" w:rsidRDefault="00011DE9">
            <w:pPr>
              <w:pStyle w:val="P68B1DB1-Normal78"/>
              <w:spacing w:after="0" w:line="240" w:lineRule="auto"/>
              <w:jc w:val="center"/>
              <w:rPr>
                <w:rFonts w:eastAsia="Times New Roman" w:cs="Times New Roman"/>
                <w:noProof/>
                <w:szCs w:val="20"/>
              </w:rPr>
            </w:pPr>
            <w:r>
              <w:rPr>
                <w:noProof/>
              </w:rPr>
              <w:t>62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F5ACDA0" w14:textId="77777777" w:rsidR="00011DE9" w:rsidRDefault="00011DE9">
            <w:pPr>
              <w:pStyle w:val="P68B1DB1-Normal78"/>
              <w:spacing w:after="0" w:line="240" w:lineRule="auto"/>
              <w:rPr>
                <w:rFonts w:eastAsia="Times New Roman" w:cs="Times New Roman"/>
                <w:noProof/>
                <w:szCs w:val="20"/>
              </w:rPr>
            </w:pPr>
            <w:r>
              <w:rPr>
                <w:noProof/>
              </w:rPr>
              <w:t>C4.R1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98F30CA"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54FA208" w14:textId="77777777" w:rsidR="00011DE9" w:rsidRDefault="00011DE9">
            <w:pPr>
              <w:pStyle w:val="P68B1DB1-Normal78"/>
              <w:spacing w:after="0" w:line="240" w:lineRule="auto"/>
              <w:rPr>
                <w:rFonts w:eastAsia="Times New Roman" w:cs="Times New Roman"/>
                <w:noProof/>
                <w:szCs w:val="20"/>
              </w:rPr>
            </w:pPr>
            <w:r>
              <w:rPr>
                <w:noProof/>
              </w:rPr>
              <w:t xml:space="preserve">Planul strategic pentru patrimoniul natural și biodiversitate și Planul privind rețeaua de zone marine protejate </w:t>
            </w:r>
          </w:p>
        </w:tc>
      </w:tr>
      <w:tr w:rsidR="00011DE9" w14:paraId="66EBBB94"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599E82F" w14:textId="77777777" w:rsidR="00011DE9" w:rsidRDefault="00011DE9">
            <w:pPr>
              <w:pStyle w:val="P68B1DB1-Normal78"/>
              <w:spacing w:after="0" w:line="240" w:lineRule="auto"/>
              <w:jc w:val="center"/>
              <w:rPr>
                <w:rFonts w:eastAsia="Times New Roman" w:cs="Times New Roman"/>
                <w:noProof/>
                <w:szCs w:val="20"/>
              </w:rPr>
            </w:pPr>
            <w:r>
              <w:rPr>
                <w:noProof/>
              </w:rPr>
              <w:t>64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C6D329B" w14:textId="77777777" w:rsidR="00011DE9" w:rsidRDefault="00011DE9">
            <w:pPr>
              <w:pStyle w:val="P68B1DB1-Normal78"/>
              <w:spacing w:after="0" w:line="240" w:lineRule="auto"/>
              <w:rPr>
                <w:rFonts w:eastAsia="Times New Roman" w:cs="Times New Roman"/>
                <w:noProof/>
                <w:szCs w:val="20"/>
              </w:rPr>
            </w:pPr>
            <w:r>
              <w:rPr>
                <w:noProof/>
              </w:rPr>
              <w:t>C4.R3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43B54D9"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333024A" w14:textId="77777777" w:rsidR="00011DE9" w:rsidRDefault="00011DE9">
            <w:pPr>
              <w:pStyle w:val="P68B1DB1-Normal78"/>
              <w:spacing w:after="0" w:line="240" w:lineRule="auto"/>
              <w:rPr>
                <w:rFonts w:eastAsia="Times New Roman" w:cs="Times New Roman"/>
                <w:noProof/>
                <w:szCs w:val="20"/>
              </w:rPr>
            </w:pPr>
            <w:r>
              <w:rPr>
                <w:noProof/>
              </w:rPr>
              <w:t>Aprobarea strategiei și a planului de sprijin pentru păduri ale Spaniei</w:t>
            </w:r>
          </w:p>
        </w:tc>
      </w:tr>
      <w:tr w:rsidR="00011DE9" w14:paraId="3814800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C880FC7" w14:textId="77777777" w:rsidR="00011DE9" w:rsidRDefault="00011DE9">
            <w:pPr>
              <w:pStyle w:val="P68B1DB1-Normal78"/>
              <w:spacing w:after="0" w:line="240" w:lineRule="auto"/>
              <w:jc w:val="center"/>
              <w:rPr>
                <w:rFonts w:eastAsia="Times New Roman" w:cs="Times New Roman"/>
                <w:noProof/>
                <w:szCs w:val="20"/>
              </w:rPr>
            </w:pPr>
            <w:r>
              <w:rPr>
                <w:noProof/>
              </w:rPr>
              <w:t>77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AD23E88" w14:textId="77777777" w:rsidR="00011DE9" w:rsidRDefault="00011DE9">
            <w:pPr>
              <w:pStyle w:val="P68B1DB1-Normal78"/>
              <w:spacing w:after="0" w:line="240" w:lineRule="auto"/>
              <w:rPr>
                <w:rFonts w:eastAsia="Times New Roman" w:cs="Times New Roman"/>
                <w:noProof/>
                <w:szCs w:val="20"/>
              </w:rPr>
            </w:pPr>
            <w:r>
              <w:rPr>
                <w:noProof/>
              </w:rPr>
              <w:t>C5.I2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EB596FC"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76E287F" w14:textId="77777777" w:rsidR="00011DE9" w:rsidRDefault="00011DE9">
            <w:pPr>
              <w:pStyle w:val="P68B1DB1-Normal78"/>
              <w:spacing w:after="0" w:line="240" w:lineRule="auto"/>
              <w:rPr>
                <w:rFonts w:eastAsia="Times New Roman" w:cs="Times New Roman"/>
                <w:noProof/>
                <w:szCs w:val="20"/>
              </w:rPr>
            </w:pPr>
            <w:r>
              <w:rPr>
                <w:noProof/>
              </w:rPr>
              <w:t>Refacerea protecției malurilor râurilor împotriva riscurilor de inundații</w:t>
            </w:r>
          </w:p>
        </w:tc>
      </w:tr>
      <w:tr w:rsidR="00011DE9" w14:paraId="6D727FF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57F8779" w14:textId="77777777" w:rsidR="00011DE9" w:rsidRDefault="00011DE9">
            <w:pPr>
              <w:pStyle w:val="P68B1DB1-Normal78"/>
              <w:spacing w:after="0" w:line="240" w:lineRule="auto"/>
              <w:jc w:val="center"/>
              <w:rPr>
                <w:rFonts w:eastAsia="Times New Roman" w:cs="Times New Roman"/>
                <w:noProof/>
                <w:szCs w:val="20"/>
              </w:rPr>
            </w:pPr>
            <w:r>
              <w:rPr>
                <w:noProof/>
              </w:rPr>
              <w:t>80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87CF006" w14:textId="77777777" w:rsidR="00011DE9" w:rsidRDefault="00011DE9">
            <w:pPr>
              <w:pStyle w:val="P68B1DB1-Normal78"/>
              <w:spacing w:after="0" w:line="240" w:lineRule="auto"/>
              <w:rPr>
                <w:rFonts w:eastAsia="Times New Roman" w:cs="Times New Roman"/>
                <w:noProof/>
                <w:szCs w:val="20"/>
              </w:rPr>
            </w:pPr>
            <w:r>
              <w:rPr>
                <w:noProof/>
              </w:rPr>
              <w:t>C5.I4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C10B919"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899C048" w14:textId="77777777" w:rsidR="00011DE9" w:rsidRDefault="00011DE9">
            <w:pPr>
              <w:pStyle w:val="P68B1DB1-Normal78"/>
              <w:spacing w:after="0" w:line="240" w:lineRule="auto"/>
              <w:rPr>
                <w:rFonts w:eastAsia="Times New Roman" w:cs="Times New Roman"/>
                <w:noProof/>
                <w:szCs w:val="20"/>
              </w:rPr>
            </w:pPr>
            <w:r>
              <w:rPr>
                <w:noProof/>
              </w:rPr>
              <w:t xml:space="preserve">Refacerea zonelor și a ecosistemelor degradate pe o rază de cel puțin 50 de kilometri de coastă </w:t>
            </w:r>
          </w:p>
        </w:tc>
      </w:tr>
      <w:tr w:rsidR="00011DE9" w14:paraId="6855582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CA32F12" w14:textId="77777777" w:rsidR="00011DE9" w:rsidRDefault="00011DE9">
            <w:pPr>
              <w:pStyle w:val="P68B1DB1-Normal78"/>
              <w:spacing w:after="0" w:line="240" w:lineRule="auto"/>
              <w:jc w:val="center"/>
              <w:rPr>
                <w:rFonts w:eastAsia="Times New Roman" w:cs="Times New Roman"/>
                <w:noProof/>
                <w:szCs w:val="20"/>
              </w:rPr>
            </w:pPr>
            <w:r>
              <w:rPr>
                <w:noProof/>
              </w:rPr>
              <w:t>84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B519C61" w14:textId="77777777" w:rsidR="00011DE9" w:rsidRDefault="00011DE9">
            <w:pPr>
              <w:pStyle w:val="P68B1DB1-Normal78"/>
              <w:spacing w:after="0" w:line="240" w:lineRule="auto"/>
              <w:rPr>
                <w:rFonts w:eastAsia="Times New Roman" w:cs="Times New Roman"/>
                <w:noProof/>
                <w:szCs w:val="20"/>
              </w:rPr>
            </w:pPr>
            <w:r>
              <w:rPr>
                <w:noProof/>
              </w:rPr>
              <w:t>C6.R2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4E92316"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EF3C18E" w14:textId="77777777" w:rsidR="00011DE9" w:rsidRDefault="00011DE9">
            <w:pPr>
              <w:pStyle w:val="P68B1DB1-Normal78"/>
              <w:spacing w:after="0" w:line="240" w:lineRule="auto"/>
              <w:rPr>
                <w:rFonts w:eastAsia="Times New Roman" w:cs="Times New Roman"/>
                <w:noProof/>
                <w:szCs w:val="20"/>
              </w:rPr>
            </w:pPr>
            <w:r>
              <w:rPr>
                <w:noProof/>
              </w:rPr>
              <w:t>Strategia indicativă pentru sectorul feroviar</w:t>
            </w:r>
          </w:p>
        </w:tc>
      </w:tr>
      <w:tr w:rsidR="00011DE9" w14:paraId="377A1F9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D22A110" w14:textId="77777777" w:rsidR="00011DE9" w:rsidRDefault="00011DE9">
            <w:pPr>
              <w:pStyle w:val="P68B1DB1-Normal78"/>
              <w:spacing w:after="0" w:line="240" w:lineRule="auto"/>
              <w:jc w:val="center"/>
              <w:rPr>
                <w:rFonts w:eastAsia="Times New Roman" w:cs="Times New Roman"/>
                <w:noProof/>
                <w:szCs w:val="20"/>
              </w:rPr>
            </w:pPr>
            <w:r>
              <w:rPr>
                <w:noProof/>
              </w:rPr>
              <w:t>85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489A9B2" w14:textId="77777777" w:rsidR="00011DE9" w:rsidRDefault="00011DE9">
            <w:pPr>
              <w:pStyle w:val="P68B1DB1-Normal78"/>
              <w:spacing w:after="0" w:line="240" w:lineRule="auto"/>
              <w:rPr>
                <w:rFonts w:eastAsia="Times New Roman" w:cs="Times New Roman"/>
                <w:noProof/>
                <w:szCs w:val="20"/>
              </w:rPr>
            </w:pPr>
            <w:r>
              <w:rPr>
                <w:noProof/>
              </w:rPr>
              <w:t>C6.I1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03FE50F"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E4350A8" w14:textId="77777777" w:rsidR="00011DE9" w:rsidRDefault="00011DE9">
            <w:pPr>
              <w:pStyle w:val="P68B1DB1-Normal78"/>
              <w:spacing w:after="0" w:line="240" w:lineRule="auto"/>
              <w:rPr>
                <w:rFonts w:eastAsia="Times New Roman" w:cs="Times New Roman"/>
                <w:noProof/>
                <w:szCs w:val="20"/>
              </w:rPr>
            </w:pPr>
            <w:r>
              <w:rPr>
                <w:noProof/>
              </w:rPr>
              <w:t>Rețeaua TEN-T centrală: atribuirea proiectelor</w:t>
            </w:r>
          </w:p>
        </w:tc>
      </w:tr>
      <w:tr w:rsidR="00011DE9" w14:paraId="5B17369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319ABAE" w14:textId="77777777" w:rsidR="00011DE9" w:rsidRDefault="00011DE9">
            <w:pPr>
              <w:pStyle w:val="P68B1DB1-Normal78"/>
              <w:spacing w:after="0" w:line="240" w:lineRule="auto"/>
              <w:jc w:val="center"/>
              <w:rPr>
                <w:rFonts w:eastAsia="Times New Roman" w:cs="Times New Roman"/>
                <w:noProof/>
                <w:szCs w:val="20"/>
              </w:rPr>
            </w:pPr>
            <w:r>
              <w:rPr>
                <w:noProof/>
              </w:rPr>
              <w:t>88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ADC2047" w14:textId="77777777" w:rsidR="00011DE9" w:rsidRDefault="00011DE9">
            <w:pPr>
              <w:pStyle w:val="P68B1DB1-Normal78"/>
              <w:spacing w:after="0" w:line="240" w:lineRule="auto"/>
              <w:rPr>
                <w:rFonts w:eastAsia="Times New Roman" w:cs="Times New Roman"/>
                <w:noProof/>
                <w:szCs w:val="20"/>
              </w:rPr>
            </w:pPr>
            <w:r>
              <w:rPr>
                <w:noProof/>
              </w:rPr>
              <w:t>C6.I2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9CF3D7B"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E764A8F" w14:textId="77777777" w:rsidR="00011DE9" w:rsidRDefault="00011DE9">
            <w:pPr>
              <w:pStyle w:val="P68B1DB1-Normal78"/>
              <w:spacing w:after="0" w:line="240" w:lineRule="auto"/>
              <w:rPr>
                <w:rFonts w:eastAsia="Times New Roman" w:cs="Times New Roman"/>
                <w:noProof/>
                <w:szCs w:val="20"/>
              </w:rPr>
            </w:pPr>
            <w:r>
              <w:rPr>
                <w:noProof/>
              </w:rPr>
              <w:t>Rețeaua TEN-T – diferite moduri de transport (feroviar și rutier): alocare bugetară parțială</w:t>
            </w:r>
          </w:p>
        </w:tc>
      </w:tr>
      <w:tr w:rsidR="00011DE9" w14:paraId="4218AE04"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49685F1" w14:textId="77777777" w:rsidR="00011DE9" w:rsidRDefault="00011DE9">
            <w:pPr>
              <w:pStyle w:val="P68B1DB1-Normal78"/>
              <w:spacing w:after="0" w:line="240" w:lineRule="auto"/>
              <w:jc w:val="center"/>
              <w:rPr>
                <w:rFonts w:eastAsia="Times New Roman" w:cs="Times New Roman"/>
                <w:noProof/>
                <w:szCs w:val="20"/>
              </w:rPr>
            </w:pPr>
            <w:r>
              <w:rPr>
                <w:noProof/>
              </w:rPr>
              <w:t>95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D9D39C7" w14:textId="77777777" w:rsidR="00011DE9" w:rsidRDefault="00011DE9">
            <w:pPr>
              <w:pStyle w:val="P68B1DB1-Normal78"/>
              <w:spacing w:after="0" w:line="240" w:lineRule="auto"/>
              <w:rPr>
                <w:rFonts w:eastAsia="Times New Roman" w:cs="Times New Roman"/>
                <w:noProof/>
                <w:szCs w:val="20"/>
              </w:rPr>
            </w:pPr>
            <w:r>
              <w:rPr>
                <w:noProof/>
              </w:rPr>
              <w:t>C6.I3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3BE6F38"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BBD8EB6" w14:textId="77777777" w:rsidR="00011DE9" w:rsidRDefault="00011DE9">
            <w:pPr>
              <w:pStyle w:val="P68B1DB1-Normal78"/>
              <w:spacing w:after="0" w:line="240" w:lineRule="auto"/>
              <w:rPr>
                <w:rFonts w:eastAsia="Times New Roman" w:cs="Times New Roman"/>
                <w:noProof/>
                <w:szCs w:val="20"/>
              </w:rPr>
            </w:pPr>
            <w:r>
              <w:rPr>
                <w:noProof/>
              </w:rPr>
              <w:t xml:space="preserve">Infrastructuri intermodale și logistice: alocare bugetară parțială </w:t>
            </w:r>
          </w:p>
        </w:tc>
      </w:tr>
      <w:tr w:rsidR="00011DE9" w14:paraId="1B0AA0B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D89762" w14:textId="77777777" w:rsidR="00011DE9" w:rsidRDefault="00011DE9">
            <w:pPr>
              <w:pStyle w:val="P68B1DB1-Normal78"/>
              <w:spacing w:after="0" w:line="240" w:lineRule="auto"/>
              <w:jc w:val="center"/>
              <w:rPr>
                <w:rFonts w:eastAsia="Times New Roman" w:cs="Times New Roman"/>
                <w:noProof/>
                <w:szCs w:val="20"/>
              </w:rPr>
            </w:pPr>
            <w:r>
              <w:rPr>
                <w:noProof/>
              </w:rPr>
              <w:t>99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B3472D3" w14:textId="77777777" w:rsidR="00011DE9" w:rsidRDefault="00011DE9">
            <w:pPr>
              <w:pStyle w:val="P68B1DB1-Normal78"/>
              <w:spacing w:after="0" w:line="240" w:lineRule="auto"/>
              <w:rPr>
                <w:rFonts w:eastAsia="Times New Roman" w:cs="Times New Roman"/>
                <w:noProof/>
                <w:szCs w:val="20"/>
              </w:rPr>
            </w:pPr>
            <w:r>
              <w:rPr>
                <w:noProof/>
              </w:rPr>
              <w:t>C6.I4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625FBE5"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A3D419A" w14:textId="77777777" w:rsidR="00011DE9" w:rsidRDefault="00011DE9">
            <w:pPr>
              <w:pStyle w:val="P68B1DB1-Normal78"/>
              <w:spacing w:after="0" w:line="240" w:lineRule="auto"/>
              <w:rPr>
                <w:rFonts w:eastAsia="Times New Roman" w:cs="Times New Roman"/>
                <w:noProof/>
                <w:szCs w:val="20"/>
              </w:rPr>
            </w:pPr>
            <w:r>
              <w:rPr>
                <w:noProof/>
              </w:rPr>
              <w:t xml:space="preserve">Sprijin pentru programul de transport durabil și digital. </w:t>
            </w:r>
          </w:p>
        </w:tc>
      </w:tr>
      <w:tr w:rsidR="00011DE9" w14:paraId="6224BCF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1C54CCE" w14:textId="77777777" w:rsidR="00011DE9" w:rsidRDefault="00011DE9">
            <w:pPr>
              <w:pStyle w:val="P68B1DB1-Normal78"/>
              <w:spacing w:after="0" w:line="240" w:lineRule="auto"/>
              <w:jc w:val="center"/>
              <w:rPr>
                <w:rFonts w:eastAsia="Times New Roman" w:cs="Times New Roman"/>
                <w:noProof/>
                <w:szCs w:val="20"/>
              </w:rPr>
            </w:pPr>
            <w:r>
              <w:rPr>
                <w:noProof/>
              </w:rPr>
              <w:t>140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9201BA9" w14:textId="77777777" w:rsidR="00011DE9" w:rsidRDefault="00011DE9">
            <w:pPr>
              <w:pStyle w:val="P68B1DB1-Normal78"/>
              <w:spacing w:after="0" w:line="240" w:lineRule="auto"/>
              <w:rPr>
                <w:rFonts w:eastAsia="Times New Roman" w:cs="Times New Roman"/>
                <w:noProof/>
                <w:szCs w:val="20"/>
              </w:rPr>
            </w:pPr>
            <w:r>
              <w:rPr>
                <w:noProof/>
              </w:rPr>
              <w:t>C10.I1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FD1C4F1"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D7D11E8" w14:textId="77777777" w:rsidR="00011DE9" w:rsidRDefault="00011DE9">
            <w:pPr>
              <w:pStyle w:val="P68B1DB1-Normal78"/>
              <w:spacing w:after="0" w:line="240" w:lineRule="auto"/>
              <w:rPr>
                <w:rFonts w:eastAsia="Times New Roman" w:cs="Times New Roman"/>
                <w:noProof/>
                <w:szCs w:val="20"/>
              </w:rPr>
            </w:pPr>
            <w:r>
              <w:rPr>
                <w:noProof/>
              </w:rPr>
              <w:t>Sprijin pentru proiectele de infrastructură de mediu, digitală și socială.</w:t>
            </w:r>
          </w:p>
        </w:tc>
      </w:tr>
      <w:tr w:rsidR="00011DE9" w14:paraId="1BB66FB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6735E50" w14:textId="77777777" w:rsidR="00011DE9" w:rsidRDefault="00011DE9">
            <w:pPr>
              <w:pStyle w:val="P68B1DB1-Normal78"/>
              <w:spacing w:after="0" w:line="240" w:lineRule="auto"/>
              <w:jc w:val="center"/>
              <w:rPr>
                <w:rFonts w:eastAsia="Times New Roman" w:cs="Times New Roman"/>
                <w:noProof/>
                <w:szCs w:val="20"/>
              </w:rPr>
            </w:pPr>
            <w:r>
              <w:rPr>
                <w:noProof/>
              </w:rPr>
              <w:t>145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2F5F2CA" w14:textId="77777777" w:rsidR="00011DE9" w:rsidRDefault="00011DE9">
            <w:pPr>
              <w:pStyle w:val="P68B1DB1-Normal78"/>
              <w:spacing w:after="0" w:line="240" w:lineRule="auto"/>
              <w:rPr>
                <w:rFonts w:eastAsia="Times New Roman" w:cs="Times New Roman"/>
                <w:noProof/>
                <w:szCs w:val="20"/>
              </w:rPr>
            </w:pPr>
            <w:r>
              <w:rPr>
                <w:noProof/>
              </w:rPr>
              <w:t>C11.R1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06FED0D"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0E5D202" w14:textId="77777777" w:rsidR="00011DE9" w:rsidRDefault="00011DE9">
            <w:pPr>
              <w:pStyle w:val="P68B1DB1-Normal78"/>
              <w:spacing w:after="0" w:line="240" w:lineRule="auto"/>
              <w:rPr>
                <w:rFonts w:eastAsia="Times New Roman" w:cs="Times New Roman"/>
                <w:noProof/>
                <w:szCs w:val="20"/>
              </w:rPr>
            </w:pPr>
            <w:r>
              <w:rPr>
                <w:noProof/>
              </w:rPr>
              <w:t>Intrarea în vigoare a modificării Legii nr. 40/2015 și a ordinelor ministeriale de consolidare a cooperării interteritoriale</w:t>
            </w:r>
          </w:p>
        </w:tc>
      </w:tr>
      <w:tr w:rsidR="00011DE9" w14:paraId="3715C74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0E99DC5" w14:textId="77777777" w:rsidR="00011DE9" w:rsidRDefault="00011DE9">
            <w:pPr>
              <w:pStyle w:val="P68B1DB1-Normal78"/>
              <w:spacing w:after="0" w:line="240" w:lineRule="auto"/>
              <w:jc w:val="center"/>
              <w:rPr>
                <w:rFonts w:eastAsia="Times New Roman" w:cs="Times New Roman"/>
                <w:noProof/>
                <w:szCs w:val="20"/>
              </w:rPr>
            </w:pPr>
            <w:r>
              <w:rPr>
                <w:noProof/>
              </w:rPr>
              <w:t>146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D566EEC" w14:textId="77777777" w:rsidR="00011DE9" w:rsidRDefault="00011DE9">
            <w:pPr>
              <w:pStyle w:val="P68B1DB1-Normal78"/>
              <w:spacing w:after="0" w:line="240" w:lineRule="auto"/>
              <w:rPr>
                <w:rFonts w:eastAsia="Times New Roman" w:cs="Times New Roman"/>
                <w:noProof/>
                <w:szCs w:val="20"/>
              </w:rPr>
            </w:pPr>
            <w:r>
              <w:rPr>
                <w:noProof/>
              </w:rPr>
              <w:t>C11.R1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7EA4433"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1474B04" w14:textId="77777777" w:rsidR="00011DE9" w:rsidRDefault="00011DE9">
            <w:pPr>
              <w:pStyle w:val="P68B1DB1-Normal78"/>
              <w:spacing w:after="0" w:line="240" w:lineRule="auto"/>
              <w:rPr>
                <w:rFonts w:eastAsia="Times New Roman" w:cs="Times New Roman"/>
                <w:noProof/>
                <w:szCs w:val="20"/>
              </w:rPr>
            </w:pPr>
            <w:r>
              <w:rPr>
                <w:noProof/>
              </w:rPr>
              <w:t>Intrarea în vigoare a legii de consolidare a evaluării politicilor publice</w:t>
            </w:r>
          </w:p>
        </w:tc>
      </w:tr>
      <w:tr w:rsidR="00011DE9" w14:paraId="3534465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98A94B5" w14:textId="77777777" w:rsidR="00011DE9" w:rsidRDefault="00011DE9">
            <w:pPr>
              <w:pStyle w:val="P68B1DB1-Normal78"/>
              <w:spacing w:after="0" w:line="240" w:lineRule="auto"/>
              <w:jc w:val="center"/>
              <w:rPr>
                <w:rFonts w:eastAsia="Times New Roman" w:cs="Times New Roman"/>
                <w:noProof/>
                <w:szCs w:val="20"/>
              </w:rPr>
            </w:pPr>
            <w:r>
              <w:rPr>
                <w:noProof/>
              </w:rPr>
              <w:t>147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477BA26" w14:textId="77777777" w:rsidR="00011DE9" w:rsidRDefault="00011DE9">
            <w:pPr>
              <w:pStyle w:val="P68B1DB1-Normal78"/>
              <w:spacing w:after="0" w:line="240" w:lineRule="auto"/>
              <w:rPr>
                <w:rFonts w:eastAsia="Times New Roman" w:cs="Times New Roman"/>
                <w:noProof/>
                <w:szCs w:val="20"/>
              </w:rPr>
            </w:pPr>
            <w:r>
              <w:rPr>
                <w:noProof/>
              </w:rPr>
              <w:t>C11.R1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02D07D6"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A929A40" w14:textId="77777777" w:rsidR="00011DE9" w:rsidRDefault="00011DE9">
            <w:pPr>
              <w:pStyle w:val="P68B1DB1-Normal78"/>
              <w:spacing w:after="0" w:line="240" w:lineRule="auto"/>
              <w:rPr>
                <w:rFonts w:eastAsia="Times New Roman" w:cs="Times New Roman"/>
                <w:noProof/>
                <w:szCs w:val="20"/>
              </w:rPr>
            </w:pPr>
            <w:r>
              <w:rPr>
                <w:noProof/>
              </w:rPr>
              <w:t>Intrarea în vigoare a reformei Legii nr. 7/1985 privind regimurile administrative locale și modificarea Decretului regal nr. 1690/1986 din 11 iulie de aprobare a Regulamentului privind populația și delimitarea teritorială a entităților locale</w:t>
            </w:r>
          </w:p>
        </w:tc>
      </w:tr>
      <w:tr w:rsidR="00011DE9" w14:paraId="2EDE393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17A6CB1" w14:textId="77777777" w:rsidR="00011DE9" w:rsidRDefault="00011DE9">
            <w:pPr>
              <w:pStyle w:val="P68B1DB1-Normal78"/>
              <w:spacing w:after="0" w:line="240" w:lineRule="auto"/>
              <w:jc w:val="center"/>
              <w:rPr>
                <w:rFonts w:eastAsia="Times New Roman" w:cs="Times New Roman"/>
                <w:noProof/>
                <w:szCs w:val="20"/>
              </w:rPr>
            </w:pPr>
            <w:r>
              <w:rPr>
                <w:noProof/>
              </w:rPr>
              <w:t>148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0A87EEB" w14:textId="77777777" w:rsidR="00011DE9" w:rsidRDefault="00011DE9">
            <w:pPr>
              <w:pStyle w:val="P68B1DB1-Normal78"/>
              <w:spacing w:after="0" w:line="240" w:lineRule="auto"/>
              <w:rPr>
                <w:rFonts w:eastAsia="Times New Roman" w:cs="Times New Roman"/>
                <w:noProof/>
                <w:szCs w:val="20"/>
              </w:rPr>
            </w:pPr>
            <w:r>
              <w:rPr>
                <w:noProof/>
              </w:rPr>
              <w:t>C11.R1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B19D531"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91467C8" w14:textId="77777777" w:rsidR="00011DE9" w:rsidRDefault="00011DE9">
            <w:pPr>
              <w:pStyle w:val="P68B1DB1-Normal78"/>
              <w:spacing w:after="0" w:line="240" w:lineRule="auto"/>
              <w:rPr>
                <w:rFonts w:eastAsia="Times New Roman" w:cs="Times New Roman"/>
                <w:noProof/>
                <w:szCs w:val="20"/>
              </w:rPr>
            </w:pPr>
            <w:r>
              <w:rPr>
                <w:noProof/>
              </w:rPr>
              <w:t>Intrarea în vigoare a măsurilor de reglementare privind funcția publică a administrației de stat</w:t>
            </w:r>
          </w:p>
        </w:tc>
      </w:tr>
      <w:tr w:rsidR="00011DE9" w14:paraId="62D141E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E462A2F" w14:textId="77777777" w:rsidR="00011DE9" w:rsidRDefault="00011DE9">
            <w:pPr>
              <w:pStyle w:val="P68B1DB1-Normal78"/>
              <w:spacing w:after="0" w:line="240" w:lineRule="auto"/>
              <w:jc w:val="center"/>
              <w:rPr>
                <w:rFonts w:eastAsia="Times New Roman" w:cs="Times New Roman"/>
                <w:noProof/>
                <w:szCs w:val="20"/>
              </w:rPr>
            </w:pPr>
            <w:r>
              <w:rPr>
                <w:noProof/>
              </w:rPr>
              <w:t>152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4CD04D3" w14:textId="77777777" w:rsidR="00011DE9" w:rsidRDefault="00011DE9">
            <w:pPr>
              <w:pStyle w:val="P68B1DB1-Normal78"/>
              <w:spacing w:after="0" w:line="240" w:lineRule="auto"/>
              <w:rPr>
                <w:rFonts w:eastAsia="Times New Roman" w:cs="Times New Roman"/>
                <w:noProof/>
                <w:szCs w:val="20"/>
              </w:rPr>
            </w:pPr>
            <w:r>
              <w:rPr>
                <w:noProof/>
              </w:rPr>
              <w:t>C11.R2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83ECB86"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C12A85A" w14:textId="77777777" w:rsidR="00011DE9" w:rsidRDefault="00011DE9">
            <w:pPr>
              <w:pStyle w:val="P68B1DB1-Normal78"/>
              <w:spacing w:after="0" w:line="240" w:lineRule="auto"/>
              <w:rPr>
                <w:rFonts w:eastAsia="Times New Roman" w:cs="Times New Roman"/>
                <w:noProof/>
                <w:szCs w:val="20"/>
              </w:rPr>
            </w:pPr>
            <w:r>
              <w:rPr>
                <w:noProof/>
              </w:rPr>
              <w:t>Intrarea în vigoare a Decretului-lege regal privind îmbunătățirea eficienței procedurilor judiciare și a Decretului-lege regal privind eficiența digitală</w:t>
            </w:r>
          </w:p>
        </w:tc>
      </w:tr>
      <w:tr w:rsidR="00011DE9" w14:paraId="1C233F94"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0DA70D9" w14:textId="77777777" w:rsidR="00011DE9" w:rsidRDefault="00011DE9">
            <w:pPr>
              <w:pStyle w:val="P68B1DB1-Normal78"/>
              <w:spacing w:after="0" w:line="240" w:lineRule="auto"/>
              <w:jc w:val="center"/>
              <w:rPr>
                <w:rFonts w:eastAsia="Times New Roman" w:cs="Times New Roman"/>
                <w:noProof/>
                <w:szCs w:val="20"/>
              </w:rPr>
            </w:pPr>
            <w:r>
              <w:rPr>
                <w:noProof/>
              </w:rPr>
              <w:t>156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727E935" w14:textId="77777777" w:rsidR="00011DE9" w:rsidRDefault="00011DE9">
            <w:pPr>
              <w:pStyle w:val="P68B1DB1-Normal78"/>
              <w:spacing w:after="0" w:line="240" w:lineRule="auto"/>
              <w:rPr>
                <w:rFonts w:eastAsia="Times New Roman" w:cs="Times New Roman"/>
                <w:noProof/>
                <w:szCs w:val="20"/>
              </w:rPr>
            </w:pPr>
            <w:r>
              <w:rPr>
                <w:noProof/>
              </w:rPr>
              <w:t>C11.R4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12A6ED2"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3EA3C98" w14:textId="77777777" w:rsidR="00011DE9" w:rsidRDefault="00011DE9">
            <w:pPr>
              <w:pStyle w:val="P68B1DB1-Normal78"/>
              <w:spacing w:after="0" w:line="240" w:lineRule="auto"/>
              <w:rPr>
                <w:rFonts w:eastAsia="Times New Roman" w:cs="Times New Roman"/>
                <w:noProof/>
                <w:szCs w:val="20"/>
              </w:rPr>
            </w:pPr>
            <w:r>
              <w:rPr>
                <w:noProof/>
              </w:rPr>
              <w:t>Strategia națională privind achizițiile publice</w:t>
            </w:r>
          </w:p>
        </w:tc>
      </w:tr>
      <w:tr w:rsidR="00011DE9" w14:paraId="32F84BA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F4AD8A0" w14:textId="77777777" w:rsidR="00011DE9" w:rsidRDefault="00011DE9">
            <w:pPr>
              <w:pStyle w:val="P68B1DB1-Normal78"/>
              <w:spacing w:after="0" w:line="240" w:lineRule="auto"/>
              <w:jc w:val="center"/>
              <w:rPr>
                <w:rFonts w:eastAsia="Times New Roman" w:cs="Times New Roman"/>
                <w:noProof/>
                <w:szCs w:val="20"/>
              </w:rPr>
            </w:pPr>
            <w:r>
              <w:rPr>
                <w:noProof/>
              </w:rPr>
              <w:t>164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5652D05" w14:textId="77777777" w:rsidR="00011DE9" w:rsidRDefault="00011DE9">
            <w:pPr>
              <w:pStyle w:val="P68B1DB1-Normal78"/>
              <w:spacing w:after="0" w:line="240" w:lineRule="auto"/>
              <w:rPr>
                <w:rFonts w:eastAsia="Times New Roman" w:cs="Times New Roman"/>
                <w:noProof/>
                <w:szCs w:val="20"/>
              </w:rPr>
            </w:pPr>
            <w:r>
              <w:rPr>
                <w:noProof/>
              </w:rPr>
              <w:t>C11.I2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57CE9D0"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422B7F7" w14:textId="77777777" w:rsidR="00011DE9" w:rsidRDefault="00011DE9">
            <w:pPr>
              <w:pStyle w:val="P68B1DB1-Normal78"/>
              <w:spacing w:after="0" w:line="240" w:lineRule="auto"/>
              <w:rPr>
                <w:rFonts w:eastAsia="Times New Roman" w:cs="Times New Roman"/>
                <w:noProof/>
                <w:szCs w:val="20"/>
              </w:rPr>
            </w:pPr>
            <w:r>
              <w:rPr>
                <w:noProof/>
              </w:rPr>
              <w:t>Procedura judiciară trebuie să se desfășoare pe cale electronică</w:t>
            </w:r>
          </w:p>
        </w:tc>
      </w:tr>
      <w:tr w:rsidR="00011DE9" w14:paraId="7D1EA22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A7C40F4" w14:textId="77777777" w:rsidR="00011DE9" w:rsidRDefault="00011DE9">
            <w:pPr>
              <w:pStyle w:val="P68B1DB1-Normal78"/>
              <w:spacing w:after="0" w:line="240" w:lineRule="auto"/>
              <w:jc w:val="center"/>
              <w:rPr>
                <w:rFonts w:eastAsia="Times New Roman" w:cs="Times New Roman"/>
                <w:noProof/>
                <w:szCs w:val="20"/>
              </w:rPr>
            </w:pPr>
            <w:r>
              <w:rPr>
                <w:noProof/>
              </w:rPr>
              <w:t>174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BD4BC51" w14:textId="77777777" w:rsidR="00011DE9" w:rsidRDefault="00011DE9">
            <w:pPr>
              <w:pStyle w:val="P68B1DB1-Normal78"/>
              <w:spacing w:after="0" w:line="240" w:lineRule="auto"/>
              <w:rPr>
                <w:rFonts w:eastAsia="Times New Roman" w:cs="Times New Roman"/>
                <w:noProof/>
                <w:szCs w:val="20"/>
              </w:rPr>
            </w:pPr>
            <w:r>
              <w:rPr>
                <w:noProof/>
              </w:rPr>
              <w:t>C11.I5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B4923A6"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FE9884C" w14:textId="77777777" w:rsidR="00011DE9" w:rsidRDefault="00011DE9">
            <w:pPr>
              <w:pStyle w:val="P68B1DB1-Normal78"/>
              <w:spacing w:after="0" w:line="240" w:lineRule="auto"/>
              <w:rPr>
                <w:rFonts w:eastAsia="Times New Roman" w:cs="Times New Roman"/>
                <w:noProof/>
                <w:szCs w:val="20"/>
              </w:rPr>
            </w:pPr>
            <w:r>
              <w:rPr>
                <w:noProof/>
              </w:rPr>
              <w:t>Noi instrumente și activități de comunicare</w:t>
            </w:r>
          </w:p>
        </w:tc>
      </w:tr>
      <w:tr w:rsidR="00011DE9" w14:paraId="707074BB"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B3F8424" w14:textId="77777777" w:rsidR="00011DE9" w:rsidRDefault="00011DE9">
            <w:pPr>
              <w:pStyle w:val="P68B1DB1-Normal78"/>
              <w:spacing w:after="0" w:line="240" w:lineRule="auto"/>
              <w:jc w:val="center"/>
              <w:rPr>
                <w:rFonts w:eastAsia="Times New Roman" w:cs="Times New Roman"/>
                <w:noProof/>
                <w:szCs w:val="20"/>
              </w:rPr>
            </w:pPr>
            <w:r>
              <w:rPr>
                <w:noProof/>
              </w:rPr>
              <w:t>178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EBD2820" w14:textId="77777777" w:rsidR="00011DE9" w:rsidRDefault="00011DE9">
            <w:pPr>
              <w:pStyle w:val="P68B1DB1-Normal78"/>
              <w:spacing w:after="0" w:line="240" w:lineRule="auto"/>
              <w:rPr>
                <w:rFonts w:eastAsia="Times New Roman" w:cs="Times New Roman"/>
                <w:noProof/>
                <w:szCs w:val="20"/>
              </w:rPr>
            </w:pPr>
            <w:r>
              <w:rPr>
                <w:noProof/>
              </w:rPr>
              <w:t>C12.R2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9B945AA"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3B27649" w14:textId="77777777" w:rsidR="00011DE9" w:rsidRDefault="00011DE9">
            <w:pPr>
              <w:pStyle w:val="P68B1DB1-Normal78"/>
              <w:spacing w:after="0" w:line="240" w:lineRule="auto"/>
              <w:rPr>
                <w:rFonts w:eastAsia="Times New Roman" w:cs="Times New Roman"/>
                <w:noProof/>
                <w:szCs w:val="20"/>
              </w:rPr>
            </w:pPr>
            <w:r>
              <w:rPr>
                <w:noProof/>
              </w:rPr>
              <w:t>Intrarea în vigoare a actelor care fac parte din pachetul de politici privind economia circulară</w:t>
            </w:r>
          </w:p>
        </w:tc>
      </w:tr>
      <w:tr w:rsidR="00011DE9" w14:paraId="23E59FD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53B1C34" w14:textId="77777777" w:rsidR="00011DE9" w:rsidRDefault="00011DE9">
            <w:pPr>
              <w:pStyle w:val="P68B1DB1-Normal78"/>
              <w:spacing w:after="0" w:line="240" w:lineRule="auto"/>
              <w:jc w:val="center"/>
              <w:rPr>
                <w:rFonts w:eastAsia="Times New Roman" w:cs="Times New Roman"/>
                <w:noProof/>
                <w:szCs w:val="20"/>
              </w:rPr>
            </w:pPr>
            <w:r>
              <w:rPr>
                <w:noProof/>
              </w:rPr>
              <w:t>179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7B5AA84" w14:textId="77777777" w:rsidR="00011DE9" w:rsidRDefault="00011DE9">
            <w:pPr>
              <w:pStyle w:val="P68B1DB1-Normal78"/>
              <w:spacing w:after="0" w:line="240" w:lineRule="auto"/>
              <w:rPr>
                <w:rFonts w:eastAsia="Times New Roman" w:cs="Times New Roman"/>
                <w:noProof/>
                <w:szCs w:val="20"/>
              </w:rPr>
            </w:pPr>
            <w:r>
              <w:rPr>
                <w:noProof/>
              </w:rPr>
              <w:t>C12.R2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F5B6990"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0ED8A76"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Legii privind deșeurile și solul contaminat </w:t>
            </w:r>
          </w:p>
        </w:tc>
      </w:tr>
      <w:tr w:rsidR="00011DE9" w14:paraId="3C72052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B31E62E" w14:textId="77777777" w:rsidR="00011DE9" w:rsidRDefault="00011DE9">
            <w:pPr>
              <w:pStyle w:val="P68B1DB1-Normal78"/>
              <w:spacing w:after="0" w:line="240" w:lineRule="auto"/>
              <w:jc w:val="center"/>
              <w:rPr>
                <w:rFonts w:eastAsia="Times New Roman" w:cs="Times New Roman"/>
                <w:noProof/>
                <w:szCs w:val="20"/>
              </w:rPr>
            </w:pPr>
            <w:r>
              <w:rPr>
                <w:noProof/>
              </w:rPr>
              <w:t>182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4583BD8" w14:textId="77777777" w:rsidR="00011DE9" w:rsidRDefault="00011DE9">
            <w:pPr>
              <w:pStyle w:val="P68B1DB1-Normal78"/>
              <w:spacing w:after="0" w:line="240" w:lineRule="auto"/>
              <w:rPr>
                <w:rFonts w:eastAsia="Times New Roman" w:cs="Times New Roman"/>
                <w:noProof/>
                <w:szCs w:val="20"/>
              </w:rPr>
            </w:pPr>
            <w:r>
              <w:rPr>
                <w:noProof/>
              </w:rPr>
              <w:t>C12.I2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FC8BBC"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E8982F7" w14:textId="77777777" w:rsidR="00011DE9" w:rsidRDefault="00011DE9">
            <w:pPr>
              <w:pStyle w:val="P68B1DB1-Normal78"/>
              <w:spacing w:after="0" w:line="240" w:lineRule="auto"/>
              <w:rPr>
                <w:rFonts w:eastAsia="Times New Roman" w:cs="Times New Roman"/>
                <w:noProof/>
                <w:szCs w:val="20"/>
              </w:rPr>
            </w:pPr>
            <w:r>
              <w:rPr>
                <w:noProof/>
              </w:rPr>
              <w:t>PERTE în domeniul vehiculelor electrice</w:t>
            </w:r>
          </w:p>
        </w:tc>
      </w:tr>
      <w:tr w:rsidR="00011DE9" w14:paraId="0F8BFDF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D3BED86" w14:textId="77777777" w:rsidR="00011DE9" w:rsidRDefault="00011DE9">
            <w:pPr>
              <w:pStyle w:val="P68B1DB1-Normal78"/>
              <w:spacing w:after="0" w:line="240" w:lineRule="auto"/>
              <w:jc w:val="center"/>
              <w:rPr>
                <w:rFonts w:eastAsia="Times New Roman" w:cs="Times New Roman"/>
                <w:noProof/>
                <w:szCs w:val="20"/>
              </w:rPr>
            </w:pPr>
            <w:r>
              <w:rPr>
                <w:noProof/>
              </w:rPr>
              <w:t>183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F141766" w14:textId="77777777" w:rsidR="00011DE9" w:rsidRDefault="00011DE9">
            <w:pPr>
              <w:pStyle w:val="P68B1DB1-Normal78"/>
              <w:spacing w:after="0" w:line="240" w:lineRule="auto"/>
              <w:rPr>
                <w:rFonts w:eastAsia="Times New Roman" w:cs="Times New Roman"/>
                <w:noProof/>
                <w:szCs w:val="20"/>
              </w:rPr>
            </w:pPr>
            <w:r>
              <w:rPr>
                <w:noProof/>
              </w:rPr>
              <w:t>C12.I2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0D2AFA5"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DA93610" w14:textId="77777777" w:rsidR="00011DE9" w:rsidRDefault="00011DE9">
            <w:pPr>
              <w:pStyle w:val="P68B1DB1-Normal78"/>
              <w:spacing w:after="0" w:line="240" w:lineRule="auto"/>
              <w:rPr>
                <w:rFonts w:eastAsia="Times New Roman" w:cs="Times New Roman"/>
                <w:noProof/>
                <w:szCs w:val="20"/>
              </w:rPr>
            </w:pPr>
            <w:r>
              <w:rPr>
                <w:noProof/>
              </w:rPr>
              <w:t xml:space="preserve">PERTE-uri în domenii strategice definite în plan </w:t>
            </w:r>
          </w:p>
        </w:tc>
      </w:tr>
      <w:tr w:rsidR="00011DE9" w14:paraId="788D200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89A09C1" w14:textId="77777777" w:rsidR="00011DE9" w:rsidRDefault="00011DE9">
            <w:pPr>
              <w:pStyle w:val="P68B1DB1-Normal78"/>
              <w:spacing w:after="0" w:line="240" w:lineRule="auto"/>
              <w:jc w:val="center"/>
              <w:rPr>
                <w:rFonts w:eastAsia="Times New Roman" w:cs="Times New Roman"/>
                <w:noProof/>
                <w:szCs w:val="20"/>
              </w:rPr>
            </w:pPr>
            <w:r>
              <w:rPr>
                <w:noProof/>
              </w:rPr>
              <w:t>184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874E69D" w14:textId="77777777" w:rsidR="00011DE9" w:rsidRDefault="00011DE9">
            <w:pPr>
              <w:pStyle w:val="P68B1DB1-Normal78"/>
              <w:spacing w:after="0" w:line="240" w:lineRule="auto"/>
              <w:rPr>
                <w:rFonts w:eastAsia="Times New Roman" w:cs="Times New Roman"/>
                <w:noProof/>
                <w:szCs w:val="20"/>
              </w:rPr>
            </w:pPr>
            <w:r>
              <w:rPr>
                <w:noProof/>
              </w:rPr>
              <w:t>C12.I2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7BFE309"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775AD7A" w14:textId="77777777" w:rsidR="00011DE9" w:rsidRDefault="00011DE9">
            <w:pPr>
              <w:pStyle w:val="P68B1DB1-Normal78"/>
              <w:spacing w:after="0" w:line="240" w:lineRule="auto"/>
              <w:rPr>
                <w:rFonts w:eastAsia="Times New Roman" w:cs="Times New Roman"/>
                <w:noProof/>
                <w:szCs w:val="20"/>
              </w:rPr>
            </w:pPr>
            <w:r>
              <w:rPr>
                <w:noProof/>
              </w:rPr>
              <w:t xml:space="preserve">Proiecte inovatoare pentru transformarea industriei în ceea ce privește eficiența energetică, durabilitatea și digitalizarea </w:t>
            </w:r>
          </w:p>
        </w:tc>
      </w:tr>
      <w:tr w:rsidR="00011DE9" w14:paraId="4DA6538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9126603" w14:textId="77777777" w:rsidR="00011DE9" w:rsidRDefault="00011DE9">
            <w:pPr>
              <w:pStyle w:val="P68B1DB1-Normal78"/>
              <w:spacing w:after="0" w:line="240" w:lineRule="auto"/>
              <w:jc w:val="center"/>
              <w:rPr>
                <w:rFonts w:eastAsia="Times New Roman" w:cs="Times New Roman"/>
                <w:noProof/>
                <w:szCs w:val="20"/>
              </w:rPr>
            </w:pPr>
            <w:r>
              <w:rPr>
                <w:noProof/>
              </w:rPr>
              <w:t>191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1E06738" w14:textId="77777777" w:rsidR="00011DE9" w:rsidRDefault="00011DE9">
            <w:pPr>
              <w:pStyle w:val="P68B1DB1-Normal78"/>
              <w:spacing w:after="0" w:line="240" w:lineRule="auto"/>
              <w:rPr>
                <w:rFonts w:eastAsia="Times New Roman" w:cs="Times New Roman"/>
                <w:noProof/>
                <w:szCs w:val="20"/>
              </w:rPr>
            </w:pPr>
            <w:r>
              <w:rPr>
                <w:noProof/>
              </w:rPr>
              <w:t>C13.R1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8E498ED"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4CB7DCF" w14:textId="77777777" w:rsidR="00011DE9" w:rsidRDefault="00011DE9">
            <w:pPr>
              <w:pStyle w:val="P68B1DB1-Normal78"/>
              <w:spacing w:after="0" w:line="240" w:lineRule="auto"/>
              <w:rPr>
                <w:rFonts w:eastAsia="Times New Roman" w:cs="Times New Roman"/>
                <w:noProof/>
                <w:szCs w:val="20"/>
              </w:rPr>
            </w:pPr>
            <w:r>
              <w:rPr>
                <w:noProof/>
              </w:rPr>
              <w:t>Intrarea în vigoare a Legii privind crearea și creșterea întreprinderilor</w:t>
            </w:r>
          </w:p>
        </w:tc>
      </w:tr>
      <w:tr w:rsidR="00011DE9" w14:paraId="24D5C72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0DE4586" w14:textId="77777777" w:rsidR="00011DE9" w:rsidRDefault="00011DE9">
            <w:pPr>
              <w:pStyle w:val="P68B1DB1-Normal78"/>
              <w:spacing w:after="0" w:line="240" w:lineRule="auto"/>
              <w:jc w:val="center"/>
              <w:rPr>
                <w:rFonts w:eastAsia="Times New Roman" w:cs="Times New Roman"/>
                <w:noProof/>
                <w:szCs w:val="20"/>
              </w:rPr>
            </w:pPr>
            <w:r>
              <w:rPr>
                <w:noProof/>
              </w:rPr>
              <w:t>192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A1DC7FF" w14:textId="77777777" w:rsidR="00011DE9" w:rsidRDefault="00011DE9">
            <w:pPr>
              <w:pStyle w:val="P68B1DB1-Normal78"/>
              <w:spacing w:after="0" w:line="240" w:lineRule="auto"/>
              <w:rPr>
                <w:rFonts w:eastAsia="Times New Roman" w:cs="Times New Roman"/>
                <w:noProof/>
                <w:szCs w:val="20"/>
              </w:rPr>
            </w:pPr>
            <w:r>
              <w:rPr>
                <w:noProof/>
              </w:rPr>
              <w:t>C13.R2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38E62D3"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871E7C8" w14:textId="77777777" w:rsidR="00011DE9" w:rsidRDefault="00011DE9">
            <w:pPr>
              <w:pStyle w:val="P68B1DB1-Normal78"/>
              <w:spacing w:after="0" w:line="240" w:lineRule="auto"/>
              <w:rPr>
                <w:rFonts w:eastAsia="Times New Roman" w:cs="Times New Roman"/>
                <w:noProof/>
                <w:szCs w:val="20"/>
              </w:rPr>
            </w:pPr>
            <w:r>
              <w:rPr>
                <w:noProof/>
              </w:rPr>
              <w:t>Intrarea în vigoare a Legii privind întreprinderile nou-înființate</w:t>
            </w:r>
          </w:p>
        </w:tc>
      </w:tr>
      <w:tr w:rsidR="00011DE9" w14:paraId="75423E6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8465220" w14:textId="77777777" w:rsidR="00011DE9" w:rsidRDefault="00011DE9">
            <w:pPr>
              <w:pStyle w:val="P68B1DB1-Normal78"/>
              <w:spacing w:after="0" w:line="240" w:lineRule="auto"/>
              <w:jc w:val="center"/>
              <w:rPr>
                <w:rFonts w:eastAsia="Times New Roman" w:cs="Times New Roman"/>
                <w:noProof/>
                <w:szCs w:val="20"/>
              </w:rPr>
            </w:pPr>
            <w:r>
              <w:rPr>
                <w:noProof/>
              </w:rPr>
              <w:t>450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CC9747B" w14:textId="77777777" w:rsidR="00011DE9" w:rsidRDefault="00011DE9">
            <w:pPr>
              <w:pStyle w:val="P68B1DB1-Normal78"/>
              <w:spacing w:after="0" w:line="240" w:lineRule="auto"/>
              <w:rPr>
                <w:rFonts w:eastAsia="Times New Roman" w:cs="Times New Roman"/>
                <w:noProof/>
                <w:szCs w:val="20"/>
              </w:rPr>
            </w:pPr>
            <w:r>
              <w:rPr>
                <w:noProof/>
              </w:rPr>
              <w:t>C13.R2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786913D"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07EA30E" w14:textId="77777777" w:rsidR="00011DE9" w:rsidRDefault="00011DE9">
            <w:pPr>
              <w:pStyle w:val="P68B1DB1-Normal78"/>
              <w:spacing w:after="0" w:line="240" w:lineRule="auto"/>
              <w:rPr>
                <w:rFonts w:eastAsia="Times New Roman" w:cs="Times New Roman"/>
                <w:noProof/>
                <w:szCs w:val="20"/>
              </w:rPr>
            </w:pPr>
            <w:r>
              <w:rPr>
                <w:noProof/>
              </w:rPr>
              <w:t>Intrarea în vigoare a Decretului regal 629/2022 din 26 iulie de modificare a Regulamentului Legii organice 4/2000 privind drepturile și libertățile străinilor în Spania și integrarea lor socială</w:t>
            </w:r>
          </w:p>
        </w:tc>
      </w:tr>
      <w:tr w:rsidR="00011DE9" w14:paraId="66D67B2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95FF778" w14:textId="77777777" w:rsidR="00011DE9" w:rsidRDefault="00011DE9">
            <w:pPr>
              <w:pStyle w:val="P68B1DB1-Normal78"/>
              <w:spacing w:after="0" w:line="240" w:lineRule="auto"/>
              <w:jc w:val="center"/>
              <w:rPr>
                <w:rFonts w:eastAsia="Times New Roman" w:cs="Times New Roman"/>
                <w:noProof/>
                <w:szCs w:val="20"/>
              </w:rPr>
            </w:pPr>
            <w:r>
              <w:rPr>
                <w:noProof/>
              </w:rPr>
              <w:t>200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1A55D2F" w14:textId="77777777" w:rsidR="00011DE9" w:rsidRDefault="00011DE9">
            <w:pPr>
              <w:pStyle w:val="P68B1DB1-Normal78"/>
              <w:spacing w:after="0" w:line="240" w:lineRule="auto"/>
              <w:rPr>
                <w:rFonts w:eastAsia="Times New Roman" w:cs="Times New Roman"/>
                <w:noProof/>
                <w:szCs w:val="20"/>
              </w:rPr>
            </w:pPr>
            <w:r>
              <w:rPr>
                <w:noProof/>
              </w:rPr>
              <w:t>C13.I3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FF49C74"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622F9D0" w14:textId="77777777" w:rsidR="00011DE9" w:rsidRDefault="00011DE9">
            <w:pPr>
              <w:pStyle w:val="P68B1DB1-Normal78"/>
              <w:spacing w:after="0" w:line="240" w:lineRule="auto"/>
              <w:rPr>
                <w:rFonts w:eastAsia="Times New Roman" w:cs="Times New Roman"/>
                <w:noProof/>
                <w:szCs w:val="20"/>
              </w:rPr>
            </w:pPr>
            <w:r>
              <w:rPr>
                <w:noProof/>
              </w:rPr>
              <w:t>Buget angajat pentru programul privind setul de instrumente digitale</w:t>
            </w:r>
          </w:p>
        </w:tc>
      </w:tr>
      <w:tr w:rsidR="00011DE9" w14:paraId="40CF876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D3F51CC" w14:textId="77777777" w:rsidR="00011DE9" w:rsidRDefault="00011DE9">
            <w:pPr>
              <w:pStyle w:val="P68B1DB1-Normal78"/>
              <w:spacing w:after="0" w:line="240" w:lineRule="auto"/>
              <w:jc w:val="center"/>
              <w:rPr>
                <w:rFonts w:eastAsia="Times New Roman" w:cs="Times New Roman"/>
                <w:noProof/>
                <w:szCs w:val="20"/>
              </w:rPr>
            </w:pPr>
            <w:r>
              <w:rPr>
                <w:noProof/>
              </w:rPr>
              <w:t>201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131D5A8" w14:textId="77777777" w:rsidR="00011DE9" w:rsidRDefault="00011DE9">
            <w:pPr>
              <w:pStyle w:val="P68B1DB1-Normal78"/>
              <w:spacing w:after="0" w:line="240" w:lineRule="auto"/>
              <w:rPr>
                <w:rFonts w:eastAsia="Times New Roman" w:cs="Times New Roman"/>
                <w:noProof/>
                <w:szCs w:val="20"/>
              </w:rPr>
            </w:pPr>
            <w:r>
              <w:rPr>
                <w:noProof/>
              </w:rPr>
              <w:t>C13.I3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FDE39A4"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B56177A" w14:textId="77777777" w:rsidR="00011DE9" w:rsidRDefault="00011DE9">
            <w:pPr>
              <w:pStyle w:val="P68B1DB1-Normal78"/>
              <w:spacing w:after="0" w:line="240" w:lineRule="auto"/>
              <w:rPr>
                <w:rFonts w:eastAsia="Times New Roman" w:cs="Times New Roman"/>
                <w:noProof/>
                <w:szCs w:val="20"/>
              </w:rPr>
            </w:pPr>
            <w:r>
              <w:rPr>
                <w:noProof/>
              </w:rPr>
              <w:t>Buget angajat pentru programul „Agenți ai schimbării”</w:t>
            </w:r>
          </w:p>
        </w:tc>
      </w:tr>
      <w:tr w:rsidR="00011DE9" w14:paraId="538191E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48B2DD9" w14:textId="77777777" w:rsidR="00011DE9" w:rsidRDefault="00011DE9">
            <w:pPr>
              <w:pStyle w:val="P68B1DB1-Normal78"/>
              <w:spacing w:after="0" w:line="240" w:lineRule="auto"/>
              <w:jc w:val="center"/>
              <w:rPr>
                <w:rFonts w:eastAsia="Times New Roman" w:cs="Times New Roman"/>
                <w:noProof/>
                <w:szCs w:val="20"/>
              </w:rPr>
            </w:pPr>
            <w:r>
              <w:rPr>
                <w:noProof/>
              </w:rPr>
              <w:t>202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A6AC217" w14:textId="77777777" w:rsidR="00011DE9" w:rsidRDefault="00011DE9">
            <w:pPr>
              <w:pStyle w:val="P68B1DB1-Normal78"/>
              <w:spacing w:after="0" w:line="240" w:lineRule="auto"/>
              <w:rPr>
                <w:rFonts w:eastAsia="Times New Roman" w:cs="Times New Roman"/>
                <w:noProof/>
                <w:szCs w:val="20"/>
              </w:rPr>
            </w:pPr>
            <w:r>
              <w:rPr>
                <w:noProof/>
              </w:rPr>
              <w:t>C13.I3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CA4A155"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2CDFD77" w14:textId="77777777" w:rsidR="00011DE9" w:rsidRDefault="00011DE9">
            <w:pPr>
              <w:pStyle w:val="P68B1DB1-Normal78"/>
              <w:spacing w:after="0" w:line="240" w:lineRule="auto"/>
              <w:rPr>
                <w:rFonts w:eastAsia="Times New Roman" w:cs="Times New Roman"/>
                <w:noProof/>
                <w:szCs w:val="20"/>
              </w:rPr>
            </w:pPr>
            <w:r>
              <w:rPr>
                <w:noProof/>
              </w:rPr>
              <w:t>Buget angajat pentru Programul de sprijin pentru clusterele de întreprinderi inovatoare</w:t>
            </w:r>
          </w:p>
        </w:tc>
      </w:tr>
      <w:tr w:rsidR="00011DE9" w14:paraId="157D875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CC806D1" w14:textId="77777777" w:rsidR="00011DE9" w:rsidRDefault="00011DE9">
            <w:pPr>
              <w:pStyle w:val="P68B1DB1-Normal78"/>
              <w:spacing w:after="0" w:line="240" w:lineRule="auto"/>
              <w:jc w:val="center"/>
              <w:rPr>
                <w:rFonts w:eastAsia="Times New Roman" w:cs="Times New Roman"/>
                <w:noProof/>
                <w:szCs w:val="20"/>
              </w:rPr>
            </w:pPr>
            <w:r>
              <w:rPr>
                <w:noProof/>
              </w:rPr>
              <w:t>203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0BA51FA" w14:textId="77777777" w:rsidR="00011DE9" w:rsidRDefault="00011DE9">
            <w:pPr>
              <w:pStyle w:val="P68B1DB1-Normal78"/>
              <w:spacing w:after="0" w:line="240" w:lineRule="auto"/>
              <w:rPr>
                <w:rFonts w:eastAsia="Times New Roman" w:cs="Times New Roman"/>
                <w:noProof/>
                <w:szCs w:val="20"/>
              </w:rPr>
            </w:pPr>
            <w:r>
              <w:rPr>
                <w:noProof/>
              </w:rPr>
              <w:t>C13.I3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6E79353"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D0BB724" w14:textId="77777777" w:rsidR="00011DE9" w:rsidRDefault="00011DE9">
            <w:pPr>
              <w:pStyle w:val="P68B1DB1-Normal78"/>
              <w:spacing w:after="0" w:line="240" w:lineRule="auto"/>
              <w:rPr>
                <w:rFonts w:eastAsia="Times New Roman" w:cs="Times New Roman"/>
                <w:noProof/>
                <w:szCs w:val="20"/>
              </w:rPr>
            </w:pPr>
            <w:r>
              <w:rPr>
                <w:noProof/>
              </w:rPr>
              <w:t>Buget angajat pentru programul privind centrele de inovare digitală</w:t>
            </w:r>
          </w:p>
        </w:tc>
      </w:tr>
      <w:tr w:rsidR="00011DE9" w14:paraId="3A613DB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BBDF557" w14:textId="77777777" w:rsidR="00011DE9" w:rsidRDefault="00011DE9">
            <w:pPr>
              <w:pStyle w:val="P68B1DB1-Normal78"/>
              <w:spacing w:after="0" w:line="240" w:lineRule="auto"/>
              <w:jc w:val="center"/>
              <w:rPr>
                <w:rFonts w:eastAsia="Times New Roman" w:cs="Times New Roman"/>
                <w:noProof/>
                <w:szCs w:val="20"/>
              </w:rPr>
            </w:pPr>
            <w:r>
              <w:rPr>
                <w:noProof/>
              </w:rPr>
              <w:t>218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179D131" w14:textId="77777777" w:rsidR="00011DE9" w:rsidRDefault="00011DE9">
            <w:pPr>
              <w:pStyle w:val="P68B1DB1-Normal78"/>
              <w:spacing w:after="0" w:line="240" w:lineRule="auto"/>
              <w:rPr>
                <w:rFonts w:eastAsia="Times New Roman" w:cs="Times New Roman"/>
                <w:noProof/>
                <w:szCs w:val="20"/>
              </w:rPr>
            </w:pPr>
            <w:r>
              <w:rPr>
                <w:noProof/>
              </w:rPr>
              <w:t>C14.I1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95AFC54"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28EC67C" w14:textId="77777777" w:rsidR="00011DE9" w:rsidRDefault="00011DE9">
            <w:pPr>
              <w:pStyle w:val="P68B1DB1-Normal78"/>
              <w:spacing w:after="0" w:line="240" w:lineRule="auto"/>
              <w:rPr>
                <w:rFonts w:eastAsia="Times New Roman" w:cs="Times New Roman"/>
                <w:noProof/>
                <w:szCs w:val="20"/>
              </w:rPr>
            </w:pPr>
            <w:r>
              <w:rPr>
                <w:noProof/>
              </w:rPr>
              <w:t>Atribuirea bugetară a planurilor de promovare a sustenabilității turismului la destinație</w:t>
            </w:r>
          </w:p>
        </w:tc>
      </w:tr>
      <w:tr w:rsidR="00011DE9" w14:paraId="7D571C5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F8977F0" w14:textId="77777777" w:rsidR="00011DE9" w:rsidRDefault="00011DE9">
            <w:pPr>
              <w:pStyle w:val="P68B1DB1-Normal78"/>
              <w:spacing w:after="0" w:line="240" w:lineRule="auto"/>
              <w:jc w:val="center"/>
              <w:rPr>
                <w:rFonts w:eastAsia="Times New Roman" w:cs="Times New Roman"/>
                <w:noProof/>
                <w:szCs w:val="20"/>
              </w:rPr>
            </w:pPr>
            <w:r>
              <w:rPr>
                <w:noProof/>
              </w:rPr>
              <w:t>234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7CB1698" w14:textId="77777777" w:rsidR="00011DE9" w:rsidRDefault="00011DE9">
            <w:pPr>
              <w:pStyle w:val="P68B1DB1-Normal78"/>
              <w:spacing w:after="0" w:line="240" w:lineRule="auto"/>
              <w:rPr>
                <w:rFonts w:eastAsia="Times New Roman" w:cs="Times New Roman"/>
                <w:noProof/>
                <w:szCs w:val="20"/>
              </w:rPr>
            </w:pPr>
            <w:r>
              <w:rPr>
                <w:noProof/>
              </w:rPr>
              <w:t>C15.R2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52E87FA"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5237BF4" w14:textId="77777777" w:rsidR="00011DE9" w:rsidRDefault="00011DE9">
            <w:pPr>
              <w:pStyle w:val="P68B1DB1-Normal78"/>
              <w:spacing w:after="0" w:line="240" w:lineRule="auto"/>
              <w:rPr>
                <w:rFonts w:eastAsia="Times New Roman" w:cs="Times New Roman"/>
                <w:noProof/>
                <w:szCs w:val="20"/>
              </w:rPr>
            </w:pPr>
            <w:r>
              <w:rPr>
                <w:noProof/>
              </w:rPr>
              <w:t>Asignarea benzii de frecvențe de 26 GHz</w:t>
            </w:r>
          </w:p>
        </w:tc>
      </w:tr>
      <w:tr w:rsidR="00011DE9" w14:paraId="297CCE5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1E69072" w14:textId="77777777" w:rsidR="00011DE9" w:rsidRDefault="00011DE9">
            <w:pPr>
              <w:pStyle w:val="P68B1DB1-Normal78"/>
              <w:spacing w:after="0" w:line="240" w:lineRule="auto"/>
              <w:jc w:val="center"/>
              <w:rPr>
                <w:rFonts w:eastAsia="Times New Roman" w:cs="Times New Roman"/>
                <w:noProof/>
                <w:szCs w:val="20"/>
              </w:rPr>
            </w:pPr>
            <w:r>
              <w:rPr>
                <w:noProof/>
              </w:rPr>
              <w:t>235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540154B" w14:textId="77777777" w:rsidR="00011DE9" w:rsidRDefault="00011DE9">
            <w:pPr>
              <w:pStyle w:val="P68B1DB1-Normal78"/>
              <w:spacing w:after="0" w:line="240" w:lineRule="auto"/>
              <w:rPr>
                <w:rFonts w:eastAsia="Times New Roman" w:cs="Times New Roman"/>
                <w:noProof/>
                <w:szCs w:val="20"/>
              </w:rPr>
            </w:pPr>
            <w:r>
              <w:rPr>
                <w:noProof/>
              </w:rPr>
              <w:t>C15.R2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67DBAB6"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0709123"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Legii privind securitatea cibernetică a rețelelor 5G </w:t>
            </w:r>
          </w:p>
        </w:tc>
      </w:tr>
      <w:tr w:rsidR="00011DE9" w14:paraId="5233B58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403FB21" w14:textId="77777777" w:rsidR="00011DE9" w:rsidRDefault="00011DE9">
            <w:pPr>
              <w:pStyle w:val="P68B1DB1-Normal78"/>
              <w:spacing w:after="0" w:line="240" w:lineRule="auto"/>
              <w:jc w:val="center"/>
              <w:rPr>
                <w:rFonts w:eastAsia="Times New Roman" w:cs="Times New Roman"/>
                <w:noProof/>
                <w:szCs w:val="20"/>
              </w:rPr>
            </w:pPr>
            <w:r>
              <w:rPr>
                <w:noProof/>
              </w:rPr>
              <w:t>245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7C5E494" w14:textId="77777777" w:rsidR="00011DE9" w:rsidRDefault="00011DE9">
            <w:pPr>
              <w:pStyle w:val="P68B1DB1-Normal78"/>
              <w:spacing w:after="0" w:line="240" w:lineRule="auto"/>
              <w:rPr>
                <w:rFonts w:eastAsia="Times New Roman" w:cs="Times New Roman"/>
                <w:noProof/>
                <w:szCs w:val="20"/>
              </w:rPr>
            </w:pPr>
            <w:r>
              <w:rPr>
                <w:noProof/>
              </w:rPr>
              <w:t>C15.I7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DDEAF1A"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2F027CE" w14:textId="77777777" w:rsidR="00011DE9" w:rsidRDefault="00011DE9">
            <w:pPr>
              <w:pStyle w:val="P68B1DB1-Normal78"/>
              <w:spacing w:after="0" w:line="240" w:lineRule="auto"/>
              <w:rPr>
                <w:rFonts w:eastAsia="Times New Roman" w:cs="Times New Roman"/>
                <w:noProof/>
                <w:szCs w:val="20"/>
              </w:rPr>
            </w:pPr>
            <w:r>
              <w:rPr>
                <w:noProof/>
              </w:rPr>
              <w:t>Lansarea programului național de sprijin pentru industria securității cibernetice, a Programului de inovare în domeniul securității globale și a acțiunilor conexe.</w:t>
            </w:r>
          </w:p>
        </w:tc>
      </w:tr>
      <w:tr w:rsidR="00011DE9" w14:paraId="7DA1F80B"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4C78530" w14:textId="77777777" w:rsidR="00011DE9" w:rsidRDefault="00011DE9">
            <w:pPr>
              <w:pStyle w:val="P68B1DB1-Normal78"/>
              <w:spacing w:after="0" w:line="240" w:lineRule="auto"/>
              <w:jc w:val="center"/>
              <w:rPr>
                <w:rFonts w:eastAsia="Times New Roman" w:cs="Times New Roman"/>
                <w:noProof/>
                <w:szCs w:val="20"/>
              </w:rPr>
            </w:pPr>
            <w:r>
              <w:rPr>
                <w:noProof/>
              </w:rPr>
              <w:t>247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54D5310" w14:textId="77777777" w:rsidR="00011DE9" w:rsidRDefault="00011DE9">
            <w:pPr>
              <w:pStyle w:val="P68B1DB1-Normal78"/>
              <w:spacing w:after="0" w:line="240" w:lineRule="auto"/>
              <w:rPr>
                <w:rFonts w:eastAsia="Times New Roman" w:cs="Times New Roman"/>
                <w:noProof/>
                <w:szCs w:val="20"/>
              </w:rPr>
            </w:pPr>
            <w:r>
              <w:rPr>
                <w:noProof/>
              </w:rPr>
              <w:t>C15.I7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278515F"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CD68B11" w14:textId="77777777" w:rsidR="00011DE9" w:rsidRDefault="00011DE9">
            <w:pPr>
              <w:pStyle w:val="P68B1DB1-Normal78"/>
              <w:spacing w:after="0" w:line="240" w:lineRule="auto"/>
              <w:rPr>
                <w:rFonts w:eastAsia="Times New Roman" w:cs="Times New Roman"/>
                <w:noProof/>
                <w:szCs w:val="20"/>
              </w:rPr>
            </w:pPr>
            <w:r>
              <w:rPr>
                <w:noProof/>
              </w:rPr>
              <w:t>Consolidarea și îmbunătățirea capacităților în materie de securitate cibernetică: Linia de asistență în materie de securitate cibernetică</w:t>
            </w:r>
          </w:p>
        </w:tc>
      </w:tr>
      <w:tr w:rsidR="00011DE9" w14:paraId="1C87739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9B5BB5A" w14:textId="77777777" w:rsidR="00011DE9" w:rsidRDefault="00011DE9">
            <w:pPr>
              <w:pStyle w:val="P68B1DB1-Normal78"/>
              <w:spacing w:after="0" w:line="240" w:lineRule="auto"/>
              <w:jc w:val="center"/>
              <w:rPr>
                <w:rFonts w:eastAsia="Times New Roman" w:cs="Times New Roman"/>
                <w:noProof/>
                <w:szCs w:val="20"/>
              </w:rPr>
            </w:pPr>
            <w:r>
              <w:rPr>
                <w:noProof/>
              </w:rPr>
              <w:t>259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BE14130" w14:textId="77777777" w:rsidR="00011DE9" w:rsidRDefault="00011DE9">
            <w:pPr>
              <w:pStyle w:val="P68B1DB1-Normal78"/>
              <w:spacing w:after="0" w:line="240" w:lineRule="auto"/>
              <w:rPr>
                <w:rFonts w:eastAsia="Times New Roman" w:cs="Times New Roman"/>
                <w:noProof/>
                <w:szCs w:val="20"/>
              </w:rPr>
            </w:pPr>
            <w:r>
              <w:rPr>
                <w:noProof/>
              </w:rPr>
              <w:t>C17.I2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B8EB1F1"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C4D4CC8" w14:textId="77777777" w:rsidR="00011DE9" w:rsidRDefault="00011DE9">
            <w:pPr>
              <w:pStyle w:val="P68B1DB1-Normal78"/>
              <w:spacing w:after="0" w:line="240" w:lineRule="auto"/>
              <w:rPr>
                <w:rFonts w:eastAsia="Times New Roman" w:cs="Times New Roman"/>
                <w:noProof/>
                <w:szCs w:val="20"/>
              </w:rPr>
            </w:pPr>
            <w:r>
              <w:rPr>
                <w:noProof/>
              </w:rPr>
              <w:t xml:space="preserve">Premii pentru proiecte de consolidare a infrastructurilor științifice naționale și a capacității sistemului spaniol de tehnologie și inovare științifică, precum și acorduri bilaterale semnate cu entități internaționale și alte instrumente de finanțare a proiectelor de infrastructură europeană și internațională. </w:t>
            </w:r>
          </w:p>
        </w:tc>
      </w:tr>
      <w:tr w:rsidR="00011DE9" w14:paraId="505E4A3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36A4704" w14:textId="77777777" w:rsidR="00011DE9" w:rsidRDefault="00011DE9">
            <w:pPr>
              <w:pStyle w:val="P68B1DB1-Normal78"/>
              <w:spacing w:after="0" w:line="240" w:lineRule="auto"/>
              <w:jc w:val="center"/>
              <w:rPr>
                <w:rFonts w:eastAsia="Times New Roman" w:cs="Times New Roman"/>
                <w:noProof/>
                <w:szCs w:val="20"/>
              </w:rPr>
            </w:pPr>
            <w:r>
              <w:rPr>
                <w:noProof/>
              </w:rPr>
              <w:t>261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F333227" w14:textId="77777777" w:rsidR="00011DE9" w:rsidRDefault="00011DE9">
            <w:pPr>
              <w:pStyle w:val="P68B1DB1-Normal78"/>
              <w:spacing w:after="0" w:line="240" w:lineRule="auto"/>
              <w:rPr>
                <w:rFonts w:eastAsia="Times New Roman" w:cs="Times New Roman"/>
                <w:noProof/>
                <w:szCs w:val="20"/>
              </w:rPr>
            </w:pPr>
            <w:r>
              <w:rPr>
                <w:noProof/>
              </w:rPr>
              <w:t>C17.I3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A17E9DF"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273D27A" w14:textId="77777777" w:rsidR="00011DE9" w:rsidRDefault="00011DE9">
            <w:pPr>
              <w:pStyle w:val="P68B1DB1-Normal78"/>
              <w:spacing w:after="0" w:line="240" w:lineRule="auto"/>
              <w:rPr>
                <w:rFonts w:eastAsia="Times New Roman" w:cs="Times New Roman"/>
                <w:noProof/>
                <w:szCs w:val="20"/>
              </w:rPr>
            </w:pPr>
            <w:r>
              <w:rPr>
                <w:noProof/>
              </w:rPr>
              <w:t xml:space="preserve">Atribuirea de noi proiecte de C &amp; D &amp; I private, interdisciplinare și publice, teste de concept, cereri competitive internaționale și C &amp; D de vârf orientate către provocările sociale </w:t>
            </w:r>
          </w:p>
        </w:tc>
      </w:tr>
      <w:tr w:rsidR="00011DE9" w14:paraId="6C1DE55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C520D27" w14:textId="77777777" w:rsidR="00011DE9" w:rsidRDefault="00011DE9">
            <w:pPr>
              <w:pStyle w:val="P68B1DB1-Normal78"/>
              <w:spacing w:after="0" w:line="240" w:lineRule="auto"/>
              <w:jc w:val="center"/>
              <w:rPr>
                <w:rFonts w:eastAsia="Times New Roman" w:cs="Times New Roman"/>
                <w:noProof/>
                <w:szCs w:val="20"/>
              </w:rPr>
            </w:pPr>
            <w:r>
              <w:rPr>
                <w:noProof/>
              </w:rPr>
              <w:t>300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2CF5D99" w14:textId="77777777" w:rsidR="00011DE9" w:rsidRDefault="00011DE9">
            <w:pPr>
              <w:pStyle w:val="P68B1DB1-Normal78"/>
              <w:spacing w:after="0" w:line="240" w:lineRule="auto"/>
              <w:rPr>
                <w:rFonts w:eastAsia="Times New Roman" w:cs="Times New Roman"/>
                <w:noProof/>
                <w:szCs w:val="20"/>
              </w:rPr>
            </w:pPr>
            <w:r>
              <w:rPr>
                <w:noProof/>
              </w:rPr>
              <w:t>C20.I3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846748C"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1F20104" w14:textId="77777777" w:rsidR="00011DE9" w:rsidRDefault="00011DE9">
            <w:pPr>
              <w:pStyle w:val="P68B1DB1-Normal78"/>
              <w:spacing w:after="0" w:line="240" w:lineRule="auto"/>
              <w:rPr>
                <w:rFonts w:eastAsia="Times New Roman" w:cs="Times New Roman"/>
                <w:noProof/>
                <w:szCs w:val="20"/>
              </w:rPr>
            </w:pPr>
            <w:r>
              <w:rPr>
                <w:noProof/>
              </w:rPr>
              <w:t>Cel puțin 50 000 de noi locuri în EFP comparativ cu sfârșitul anului 2020.</w:t>
            </w:r>
          </w:p>
        </w:tc>
      </w:tr>
      <w:tr w:rsidR="00011DE9" w14:paraId="73729F5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1F45A94" w14:textId="77777777" w:rsidR="00011DE9" w:rsidRDefault="00011DE9">
            <w:pPr>
              <w:pStyle w:val="P68B1DB1-Normal78"/>
              <w:spacing w:after="0" w:line="240" w:lineRule="auto"/>
              <w:jc w:val="center"/>
              <w:rPr>
                <w:rFonts w:eastAsia="Times New Roman" w:cs="Times New Roman"/>
                <w:noProof/>
                <w:szCs w:val="20"/>
              </w:rPr>
            </w:pPr>
            <w:r>
              <w:rPr>
                <w:noProof/>
              </w:rPr>
              <w:t>319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643B21D" w14:textId="77777777" w:rsidR="00011DE9" w:rsidRDefault="00011DE9">
            <w:pPr>
              <w:pStyle w:val="P68B1DB1-Normal78"/>
              <w:spacing w:after="0" w:line="240" w:lineRule="auto"/>
              <w:rPr>
                <w:rFonts w:eastAsia="Times New Roman" w:cs="Times New Roman"/>
                <w:noProof/>
                <w:szCs w:val="20"/>
              </w:rPr>
            </w:pPr>
            <w:r>
              <w:rPr>
                <w:noProof/>
              </w:rPr>
              <w:t>C22.R5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E14CDEB"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F2C5982" w14:textId="77777777" w:rsidR="00011DE9" w:rsidRDefault="00011DE9">
            <w:pPr>
              <w:pStyle w:val="P68B1DB1-Normal78"/>
              <w:spacing w:after="0" w:line="240" w:lineRule="auto"/>
              <w:rPr>
                <w:rFonts w:eastAsia="Times New Roman" w:cs="Times New Roman"/>
                <w:noProof/>
                <w:szCs w:val="20"/>
              </w:rPr>
            </w:pPr>
            <w:r>
              <w:rPr>
                <w:noProof/>
              </w:rPr>
              <w:t>Publicarea „Planului de reorganizare și simplificare a sistemului de beneficii financiare necontributive ale Administrației Generale de Stat”.</w:t>
            </w:r>
          </w:p>
        </w:tc>
      </w:tr>
      <w:tr w:rsidR="00011DE9" w14:paraId="6E22D35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F581258" w14:textId="77777777" w:rsidR="00011DE9" w:rsidRDefault="00011DE9">
            <w:pPr>
              <w:pStyle w:val="P68B1DB1-Normal78"/>
              <w:spacing w:after="0" w:line="240" w:lineRule="auto"/>
              <w:jc w:val="center"/>
              <w:rPr>
                <w:rFonts w:eastAsia="Times New Roman" w:cs="Times New Roman"/>
                <w:noProof/>
                <w:szCs w:val="20"/>
              </w:rPr>
            </w:pPr>
            <w:r>
              <w:rPr>
                <w:noProof/>
              </w:rPr>
              <w:t>335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0C47AEF" w14:textId="77777777" w:rsidR="00011DE9" w:rsidRDefault="00011DE9">
            <w:pPr>
              <w:pStyle w:val="P68B1DB1-Normal78"/>
              <w:spacing w:after="0" w:line="240" w:lineRule="auto"/>
              <w:rPr>
                <w:rFonts w:eastAsia="Times New Roman" w:cs="Times New Roman"/>
                <w:noProof/>
                <w:szCs w:val="20"/>
              </w:rPr>
            </w:pPr>
            <w:r>
              <w:rPr>
                <w:noProof/>
              </w:rPr>
              <w:t>C23.R5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CACE8CF"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06C19B4" w14:textId="77777777" w:rsidR="00011DE9" w:rsidRDefault="00011DE9">
            <w:pPr>
              <w:pStyle w:val="P68B1DB1-Normal78"/>
              <w:spacing w:after="0" w:line="240" w:lineRule="auto"/>
              <w:rPr>
                <w:rFonts w:eastAsia="Times New Roman" w:cs="Times New Roman"/>
                <w:noProof/>
                <w:szCs w:val="20"/>
              </w:rPr>
            </w:pPr>
            <w:r>
              <w:rPr>
                <w:noProof/>
              </w:rPr>
              <w:t>Intrarea în vigoare a modificării Legii privind ocuparea forței de muncă (Decretul legislativ regal 3/2015)</w:t>
            </w:r>
          </w:p>
        </w:tc>
      </w:tr>
      <w:tr w:rsidR="00011DE9" w14:paraId="652BACE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911F530" w14:textId="77777777" w:rsidR="00011DE9" w:rsidRDefault="00011DE9">
            <w:pPr>
              <w:pStyle w:val="P68B1DB1-Normal78"/>
              <w:spacing w:after="0" w:line="240" w:lineRule="auto"/>
              <w:jc w:val="center"/>
              <w:rPr>
                <w:rFonts w:eastAsia="Times New Roman" w:cs="Times New Roman"/>
                <w:noProof/>
                <w:szCs w:val="20"/>
              </w:rPr>
            </w:pPr>
            <w:r>
              <w:rPr>
                <w:noProof/>
              </w:rPr>
              <w:t>337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0F80AC7" w14:textId="77777777" w:rsidR="00011DE9" w:rsidRDefault="00011DE9">
            <w:pPr>
              <w:pStyle w:val="P68B1DB1-Normal78"/>
              <w:spacing w:after="0" w:line="240" w:lineRule="auto"/>
              <w:rPr>
                <w:rFonts w:eastAsia="Times New Roman" w:cs="Times New Roman"/>
                <w:noProof/>
                <w:szCs w:val="20"/>
              </w:rPr>
            </w:pPr>
            <w:r>
              <w:rPr>
                <w:noProof/>
              </w:rPr>
              <w:t>C23.R7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6C2540D"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81F55CE" w14:textId="77777777" w:rsidR="00011DE9" w:rsidRDefault="00011DE9">
            <w:pPr>
              <w:pStyle w:val="P68B1DB1-Normal78"/>
              <w:spacing w:after="0" w:line="240" w:lineRule="auto"/>
              <w:rPr>
                <w:rFonts w:eastAsia="Times New Roman" w:cs="Times New Roman"/>
                <w:noProof/>
                <w:szCs w:val="20"/>
              </w:rPr>
            </w:pPr>
            <w:r>
              <w:rPr>
                <w:noProof/>
              </w:rPr>
              <w:t>Intrarea în vigoare a reformei Legii nr. 43/2006 pentru a simplifica și a spori eficacitatea sistemului de stimulente pentru recrutare, ținând seama de recomandările emise de AIReF</w:t>
            </w:r>
          </w:p>
        </w:tc>
      </w:tr>
      <w:tr w:rsidR="00011DE9" w14:paraId="1AD3711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7961248" w14:textId="77777777" w:rsidR="00011DE9" w:rsidRDefault="00011DE9">
            <w:pPr>
              <w:pStyle w:val="P68B1DB1-Normal78"/>
              <w:spacing w:after="0" w:line="240" w:lineRule="auto"/>
              <w:jc w:val="center"/>
              <w:rPr>
                <w:rFonts w:eastAsia="Times New Roman" w:cs="Times New Roman"/>
                <w:noProof/>
                <w:szCs w:val="20"/>
              </w:rPr>
            </w:pPr>
            <w:r>
              <w:rPr>
                <w:noProof/>
              </w:rPr>
              <w:t>340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3483C9B" w14:textId="77777777" w:rsidR="00011DE9" w:rsidRDefault="00011DE9">
            <w:pPr>
              <w:pStyle w:val="P68B1DB1-Normal78"/>
              <w:spacing w:after="0" w:line="240" w:lineRule="auto"/>
              <w:rPr>
                <w:rFonts w:eastAsia="Times New Roman" w:cs="Times New Roman"/>
                <w:noProof/>
                <w:szCs w:val="20"/>
              </w:rPr>
            </w:pPr>
            <w:r>
              <w:rPr>
                <w:noProof/>
              </w:rPr>
              <w:t>C23.R10</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549E816"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F5995C5" w14:textId="77777777" w:rsidR="00011DE9" w:rsidRDefault="00011DE9">
            <w:pPr>
              <w:pStyle w:val="P68B1DB1-Normal78"/>
              <w:spacing w:after="0" w:line="240" w:lineRule="auto"/>
              <w:rPr>
                <w:rFonts w:eastAsia="Times New Roman" w:cs="Times New Roman"/>
                <w:noProof/>
                <w:szCs w:val="20"/>
              </w:rPr>
            </w:pPr>
            <w:r>
              <w:rPr>
                <w:noProof/>
              </w:rPr>
              <w:t>Intrarea în vigoare a modificării Decretului regal legislativ nr. 8/2015 de reformare a reglementării ajutorului de șomaj de tip necontributiv</w:t>
            </w:r>
          </w:p>
        </w:tc>
      </w:tr>
      <w:tr w:rsidR="00011DE9" w14:paraId="02A8EFE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CA781D6" w14:textId="77777777" w:rsidR="00011DE9" w:rsidRDefault="00011DE9">
            <w:pPr>
              <w:pStyle w:val="P68B1DB1-Normal78"/>
              <w:spacing w:after="0" w:line="240" w:lineRule="auto"/>
              <w:jc w:val="center"/>
              <w:rPr>
                <w:rFonts w:eastAsia="Times New Roman" w:cs="Times New Roman"/>
                <w:noProof/>
                <w:szCs w:val="20"/>
              </w:rPr>
            </w:pPr>
            <w:r>
              <w:rPr>
                <w:noProof/>
              </w:rPr>
              <w:t>352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12CC4D7" w14:textId="77777777" w:rsidR="00011DE9" w:rsidRDefault="00011DE9">
            <w:pPr>
              <w:pStyle w:val="P68B1DB1-Normal78"/>
              <w:spacing w:after="0" w:line="240" w:lineRule="auto"/>
              <w:rPr>
                <w:rFonts w:eastAsia="Times New Roman" w:cs="Times New Roman"/>
                <w:noProof/>
                <w:szCs w:val="20"/>
              </w:rPr>
            </w:pPr>
            <w:r>
              <w:rPr>
                <w:noProof/>
              </w:rPr>
              <w:t>C24.R1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D881445"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87E5C54" w14:textId="77777777" w:rsidR="00011DE9" w:rsidRDefault="00011DE9">
            <w:pPr>
              <w:pStyle w:val="P68B1DB1-Normal78"/>
              <w:spacing w:after="0" w:line="240" w:lineRule="auto"/>
              <w:rPr>
                <w:rFonts w:eastAsia="Times New Roman" w:cs="Times New Roman"/>
                <w:noProof/>
                <w:szCs w:val="20"/>
              </w:rPr>
            </w:pPr>
            <w:r>
              <w:rPr>
                <w:noProof/>
              </w:rPr>
              <w:t>Intrarea în vigoare a statutului artistului, sponsorizarea și regimul stimulentelor fiscale.</w:t>
            </w:r>
          </w:p>
        </w:tc>
      </w:tr>
      <w:tr w:rsidR="00011DE9" w14:paraId="1D8F4F0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6072F01" w14:textId="77777777" w:rsidR="00011DE9" w:rsidRDefault="00011DE9">
            <w:pPr>
              <w:pStyle w:val="P68B1DB1-Normal78"/>
              <w:spacing w:after="0" w:line="240" w:lineRule="auto"/>
              <w:jc w:val="center"/>
              <w:rPr>
                <w:rFonts w:eastAsia="Times New Roman" w:cs="Times New Roman"/>
                <w:noProof/>
                <w:szCs w:val="20"/>
              </w:rPr>
            </w:pPr>
            <w:r>
              <w:rPr>
                <w:noProof/>
              </w:rPr>
              <w:t>367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CA30FE8" w14:textId="77777777" w:rsidR="00011DE9" w:rsidRDefault="00011DE9">
            <w:pPr>
              <w:pStyle w:val="P68B1DB1-Normal78"/>
              <w:spacing w:after="0" w:line="240" w:lineRule="auto"/>
              <w:rPr>
                <w:rFonts w:eastAsia="Times New Roman" w:cs="Times New Roman"/>
                <w:noProof/>
                <w:szCs w:val="20"/>
              </w:rPr>
            </w:pPr>
            <w:r>
              <w:rPr>
                <w:noProof/>
              </w:rPr>
              <w:t>C26.R1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6A62042"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E3049E2"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a legii sportului </w:t>
            </w:r>
          </w:p>
        </w:tc>
      </w:tr>
      <w:tr w:rsidR="00011DE9" w14:paraId="30CB589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DD67C0F" w14:textId="77777777" w:rsidR="00011DE9" w:rsidRDefault="00011DE9">
            <w:pPr>
              <w:pStyle w:val="P68B1DB1-Normal78"/>
              <w:spacing w:after="0" w:line="240" w:lineRule="auto"/>
              <w:jc w:val="center"/>
              <w:rPr>
                <w:rFonts w:eastAsia="Times New Roman" w:cs="Times New Roman"/>
                <w:noProof/>
                <w:szCs w:val="20"/>
              </w:rPr>
            </w:pPr>
            <w:r>
              <w:rPr>
                <w:noProof/>
              </w:rPr>
              <w:t>377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86202BF" w14:textId="77777777" w:rsidR="00011DE9" w:rsidRDefault="00011DE9">
            <w:pPr>
              <w:pStyle w:val="P68B1DB1-Normal78"/>
              <w:spacing w:after="0" w:line="240" w:lineRule="auto"/>
              <w:rPr>
                <w:rFonts w:eastAsia="Times New Roman" w:cs="Times New Roman"/>
                <w:noProof/>
                <w:szCs w:val="20"/>
              </w:rPr>
            </w:pPr>
            <w:r>
              <w:rPr>
                <w:noProof/>
              </w:rPr>
              <w:t>C27.R1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310352C"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FD4C661" w14:textId="77777777" w:rsidR="00011DE9" w:rsidRDefault="00011DE9">
            <w:pPr>
              <w:pStyle w:val="P68B1DB1-Normal78"/>
              <w:spacing w:after="0" w:line="240" w:lineRule="auto"/>
              <w:rPr>
                <w:rFonts w:eastAsia="Times New Roman" w:cs="Times New Roman"/>
                <w:noProof/>
                <w:szCs w:val="20"/>
              </w:rPr>
            </w:pPr>
            <w:r>
              <w:rPr>
                <w:noProof/>
              </w:rPr>
              <w:t>Evaluarea intermediară a efectelor Legii împotriva evaziunii fiscale și a fraudei.</w:t>
            </w:r>
          </w:p>
        </w:tc>
      </w:tr>
      <w:tr w:rsidR="00011DE9" w14:paraId="50AAD72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411B102" w14:textId="77777777" w:rsidR="00011DE9" w:rsidRDefault="00011DE9">
            <w:pPr>
              <w:pStyle w:val="P68B1DB1-Normal78"/>
              <w:spacing w:after="0" w:line="240" w:lineRule="auto"/>
              <w:jc w:val="center"/>
              <w:rPr>
                <w:rFonts w:eastAsia="Times New Roman" w:cs="Times New Roman"/>
                <w:noProof/>
                <w:szCs w:val="20"/>
              </w:rPr>
            </w:pPr>
            <w:r>
              <w:rPr>
                <w:noProof/>
              </w:rPr>
              <w:t>404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5C056A5" w14:textId="77777777" w:rsidR="00011DE9" w:rsidRDefault="00011DE9">
            <w:pPr>
              <w:pStyle w:val="P68B1DB1-Normal78"/>
              <w:spacing w:after="0" w:line="240" w:lineRule="auto"/>
              <w:rPr>
                <w:rFonts w:eastAsia="Times New Roman" w:cs="Times New Roman"/>
                <w:noProof/>
                <w:szCs w:val="20"/>
              </w:rPr>
            </w:pPr>
            <w:r>
              <w:rPr>
                <w:noProof/>
              </w:rPr>
              <w:t>C29.R3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EC8C545"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744ACEC" w14:textId="77777777" w:rsidR="00011DE9" w:rsidRDefault="00011DE9">
            <w:pPr>
              <w:pStyle w:val="P68B1DB1-Normal78"/>
              <w:spacing w:after="0" w:line="240" w:lineRule="auto"/>
              <w:rPr>
                <w:rFonts w:eastAsia="Times New Roman" w:cs="Times New Roman"/>
                <w:noProof/>
                <w:szCs w:val="20"/>
              </w:rPr>
            </w:pPr>
            <w:r>
              <w:rPr>
                <w:noProof/>
              </w:rPr>
              <w:t>Raportul privind alinierea la înverzirea bugetelor</w:t>
            </w:r>
          </w:p>
        </w:tc>
      </w:tr>
      <w:tr w:rsidR="00011DE9" w14:paraId="1DEC4CA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50D42A5" w14:textId="77777777" w:rsidR="00011DE9" w:rsidRDefault="00011DE9">
            <w:pPr>
              <w:pStyle w:val="P68B1DB1-Normal78"/>
              <w:spacing w:after="0" w:line="240" w:lineRule="auto"/>
              <w:jc w:val="center"/>
              <w:rPr>
                <w:rFonts w:eastAsia="Times New Roman" w:cs="Times New Roman"/>
                <w:noProof/>
                <w:szCs w:val="20"/>
              </w:rPr>
            </w:pPr>
            <w:r>
              <w:rPr>
                <w:noProof/>
              </w:rPr>
              <w:t>408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8C28C5C" w14:textId="77777777" w:rsidR="00011DE9" w:rsidRDefault="00011DE9">
            <w:pPr>
              <w:pStyle w:val="P68B1DB1-Normal78"/>
              <w:spacing w:after="0" w:line="240" w:lineRule="auto"/>
              <w:rPr>
                <w:rFonts w:eastAsia="Times New Roman" w:cs="Times New Roman"/>
                <w:noProof/>
                <w:szCs w:val="20"/>
              </w:rPr>
            </w:pPr>
            <w:r>
              <w:rPr>
                <w:noProof/>
              </w:rPr>
              <w:t>C30.R2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A8F65C9"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A40AAFB" w14:textId="77777777" w:rsidR="00011DE9" w:rsidRDefault="00011DE9">
            <w:pPr>
              <w:pStyle w:val="P68B1DB1-Normal78"/>
              <w:spacing w:after="0" w:line="240" w:lineRule="auto"/>
              <w:rPr>
                <w:rFonts w:eastAsia="Times New Roman" w:cs="Times New Roman"/>
                <w:noProof/>
                <w:szCs w:val="20"/>
              </w:rPr>
            </w:pPr>
            <w:r>
              <w:rPr>
                <w:noProof/>
              </w:rPr>
              <w:t xml:space="preserve">Ajustarea perioadei de calcul pentru calcularea pensiei pentru limită de vârstă </w:t>
            </w:r>
          </w:p>
        </w:tc>
      </w:tr>
      <w:tr w:rsidR="00011DE9" w14:paraId="724A786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D458B0C" w14:textId="77777777" w:rsidR="00011DE9" w:rsidRDefault="00011DE9">
            <w:pPr>
              <w:pStyle w:val="P68B1DB1-Normal78"/>
              <w:spacing w:after="0" w:line="240" w:lineRule="auto"/>
              <w:jc w:val="center"/>
              <w:rPr>
                <w:rFonts w:eastAsia="Times New Roman" w:cs="Times New Roman"/>
                <w:noProof/>
                <w:szCs w:val="20"/>
              </w:rPr>
            </w:pPr>
            <w:r>
              <w:rPr>
                <w:noProof/>
              </w:rPr>
              <w:t>409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FF3FFCF" w14:textId="77777777" w:rsidR="00011DE9" w:rsidRDefault="00011DE9">
            <w:pPr>
              <w:pStyle w:val="P68B1DB1-Normal78"/>
              <w:spacing w:after="0" w:line="240" w:lineRule="auto"/>
              <w:rPr>
                <w:rFonts w:eastAsia="Times New Roman" w:cs="Times New Roman"/>
                <w:noProof/>
                <w:szCs w:val="20"/>
              </w:rPr>
            </w:pPr>
            <w:r>
              <w:rPr>
                <w:noProof/>
              </w:rPr>
              <w:t>C30.R2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EA987BC"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8C9017B" w14:textId="77777777" w:rsidR="00011DE9" w:rsidRDefault="00011DE9">
            <w:pPr>
              <w:pStyle w:val="P68B1DB1-Normal78"/>
              <w:spacing w:after="0" w:line="240" w:lineRule="auto"/>
              <w:rPr>
                <w:rFonts w:eastAsia="Times New Roman" w:cs="Times New Roman"/>
                <w:noProof/>
                <w:szCs w:val="20"/>
              </w:rPr>
            </w:pPr>
            <w:r>
              <w:rPr>
                <w:noProof/>
              </w:rPr>
              <w:t>Înlocuirea factorului de durabilitate cu un mecanism de echitate între generații</w:t>
            </w:r>
          </w:p>
        </w:tc>
      </w:tr>
      <w:tr w:rsidR="00011DE9" w14:paraId="44A6042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DFA6535" w14:textId="77777777" w:rsidR="00011DE9" w:rsidRDefault="00011DE9">
            <w:pPr>
              <w:pStyle w:val="P68B1DB1-Normal78"/>
              <w:spacing w:after="0" w:line="240" w:lineRule="auto"/>
              <w:jc w:val="center"/>
              <w:rPr>
                <w:rFonts w:eastAsia="Times New Roman" w:cs="Times New Roman"/>
                <w:noProof/>
                <w:szCs w:val="20"/>
              </w:rPr>
            </w:pPr>
            <w:r>
              <w:rPr>
                <w:noProof/>
              </w:rPr>
              <w:t>410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A096EE7" w14:textId="77777777" w:rsidR="00011DE9" w:rsidRDefault="00011DE9">
            <w:pPr>
              <w:pStyle w:val="P68B1DB1-Normal78"/>
              <w:spacing w:after="0" w:line="240" w:lineRule="auto"/>
              <w:rPr>
                <w:rFonts w:eastAsia="Times New Roman" w:cs="Times New Roman"/>
                <w:noProof/>
                <w:szCs w:val="20"/>
              </w:rPr>
            </w:pPr>
            <w:r>
              <w:rPr>
                <w:noProof/>
              </w:rPr>
              <w:t>C30.R2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6F08D27"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563E71C" w14:textId="77777777" w:rsidR="00011DE9" w:rsidRDefault="00011DE9">
            <w:pPr>
              <w:pStyle w:val="P68B1DB1-Normal78"/>
              <w:spacing w:after="0" w:line="240" w:lineRule="auto"/>
              <w:rPr>
                <w:rFonts w:eastAsia="Times New Roman" w:cs="Times New Roman"/>
                <w:noProof/>
                <w:szCs w:val="20"/>
              </w:rPr>
            </w:pPr>
            <w:r>
              <w:rPr>
                <w:noProof/>
              </w:rPr>
              <w:t>Proiecții actualizate care arată modul în care reformele pensiilor întreprinse în 2021 și 2022 asigură sustenabilitatea finanțelor publice pe termen lung</w:t>
            </w:r>
          </w:p>
        </w:tc>
      </w:tr>
      <w:tr w:rsidR="00011DE9" w14:paraId="715C734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FF90922" w14:textId="77777777" w:rsidR="00011DE9" w:rsidRDefault="00011DE9">
            <w:pPr>
              <w:pStyle w:val="P68B1DB1-Normal78"/>
              <w:spacing w:after="0" w:line="240" w:lineRule="auto"/>
              <w:jc w:val="center"/>
              <w:rPr>
                <w:rFonts w:eastAsia="Times New Roman" w:cs="Times New Roman"/>
                <w:noProof/>
                <w:szCs w:val="20"/>
              </w:rPr>
            </w:pPr>
            <w:r>
              <w:rPr>
                <w:noProof/>
              </w:rPr>
              <w:t>415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FE01817" w14:textId="77777777" w:rsidR="00011DE9" w:rsidRDefault="00011DE9">
            <w:pPr>
              <w:pStyle w:val="P68B1DB1-Normal78"/>
              <w:spacing w:after="0" w:line="240" w:lineRule="auto"/>
              <w:rPr>
                <w:rFonts w:eastAsia="Times New Roman" w:cs="Times New Roman"/>
                <w:noProof/>
                <w:szCs w:val="20"/>
              </w:rPr>
            </w:pPr>
            <w:r>
              <w:rPr>
                <w:noProof/>
              </w:rPr>
              <w:t>C30.R6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3093A24"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40866CC" w14:textId="77777777" w:rsidR="00011DE9" w:rsidRDefault="00011DE9">
            <w:pPr>
              <w:pStyle w:val="P68B1DB1-Normal78"/>
              <w:spacing w:after="0" w:line="240" w:lineRule="auto"/>
              <w:rPr>
                <w:rFonts w:eastAsia="Times New Roman" w:cs="Times New Roman"/>
                <w:noProof/>
                <w:szCs w:val="20"/>
              </w:rPr>
            </w:pPr>
            <w:r>
              <w:rPr>
                <w:noProof/>
              </w:rPr>
              <w:t>Ajustarea bazei de contribuție maximă</w:t>
            </w:r>
          </w:p>
        </w:tc>
      </w:tr>
      <w:tr w:rsidR="00011DE9" w14:paraId="2AE2A6C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2BF5C77" w14:textId="77777777" w:rsidR="00011DE9" w:rsidRDefault="00011DE9">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24AE37A" w14:textId="77777777" w:rsidR="00011DE9" w:rsidRDefault="00011DE9">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E05732D" w14:textId="77777777" w:rsidR="00011DE9" w:rsidRDefault="00011DE9">
            <w:pPr>
              <w:pStyle w:val="P68B1DB1-Normal77"/>
              <w:spacing w:after="0" w:line="240" w:lineRule="auto"/>
              <w:rPr>
                <w:rFonts w:eastAsia="Times New Roman" w:cs="Times New Roman"/>
                <w:noProof/>
                <w:szCs w:val="20"/>
              </w:rPr>
            </w:pPr>
            <w:r>
              <w:rPr>
                <w:noProof/>
              </w:rPr>
              <w:t>Cuantumul tranșei</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2204423" w14:textId="4A1B03E9" w:rsidR="00011DE9" w:rsidRDefault="00011DE9">
            <w:pPr>
              <w:pStyle w:val="P68B1DB1-Normal78"/>
              <w:spacing w:after="0" w:line="240" w:lineRule="auto"/>
              <w:rPr>
                <w:rFonts w:eastAsia="Times New Roman" w:cs="Times New Roman"/>
                <w:b/>
                <w:noProof/>
                <w:szCs w:val="20"/>
              </w:rPr>
            </w:pPr>
            <w:r>
              <w:rPr>
                <w:b/>
                <w:noProof/>
              </w:rPr>
              <w:t>11</w:t>
            </w:r>
            <w:r w:rsidR="00971820">
              <w:rPr>
                <w:noProof/>
              </w:rPr>
              <w:t xml:space="preserve"> </w:t>
            </w:r>
            <w:r>
              <w:rPr>
                <w:b/>
                <w:noProof/>
              </w:rPr>
              <w:t>435</w:t>
            </w:r>
            <w:r>
              <w:rPr>
                <w:noProof/>
              </w:rPr>
              <w:t xml:space="preserve"> </w:t>
            </w:r>
            <w:r>
              <w:rPr>
                <w:b/>
                <w:noProof/>
              </w:rPr>
              <w:t>531</w:t>
            </w:r>
            <w:r>
              <w:rPr>
                <w:noProof/>
              </w:rPr>
              <w:t xml:space="preserve"> </w:t>
            </w:r>
            <w:r>
              <w:rPr>
                <w:b/>
                <w:noProof/>
              </w:rPr>
              <w:t>581 MIL.</w:t>
            </w:r>
          </w:p>
        </w:tc>
      </w:tr>
    </w:tbl>
    <w:p w14:paraId="54262E68" w14:textId="77777777" w:rsidR="00011DE9" w:rsidRDefault="00011DE9">
      <w:pPr>
        <w:spacing w:before="120" w:after="120" w:line="240" w:lineRule="auto"/>
        <w:jc w:val="both"/>
        <w:rPr>
          <w:rFonts w:ascii="Times New Roman" w:eastAsia="Calibri" w:hAnsi="Times New Roman" w:cs="Times New Roman"/>
          <w:noProof/>
        </w:rPr>
      </w:pPr>
    </w:p>
    <w:p w14:paraId="57CF36ED" w14:textId="77777777" w:rsidR="00011DE9" w:rsidRDefault="00011DE9">
      <w:pPr>
        <w:pStyle w:val="P68B1DB1-Normal16"/>
        <w:numPr>
          <w:ilvl w:val="1"/>
          <w:numId w:val="18"/>
        </w:numPr>
        <w:tabs>
          <w:tab w:val="clear" w:pos="6236"/>
          <w:tab w:val="num" w:pos="850"/>
        </w:tabs>
        <w:spacing w:before="120" w:after="120" w:line="240" w:lineRule="auto"/>
        <w:ind w:left="850"/>
        <w:jc w:val="both"/>
        <w:rPr>
          <w:rFonts w:cs="Times New Roman"/>
          <w:noProof/>
        </w:rPr>
      </w:pPr>
      <w:r>
        <w:rPr>
          <w:noProof/>
        </w:rPr>
        <w:t xml:space="preserve">A cincea tranșă (sprijin nerambursabil): </w:t>
      </w:r>
    </w:p>
    <w:tbl>
      <w:tblPr>
        <w:tblW w:w="9663" w:type="dxa"/>
        <w:tblInd w:w="113" w:type="dxa"/>
        <w:tblLook w:val="04A0" w:firstRow="1" w:lastRow="0" w:firstColumn="1" w:lastColumn="0" w:noHBand="0" w:noVBand="1"/>
      </w:tblPr>
      <w:tblGrid>
        <w:gridCol w:w="1271"/>
        <w:gridCol w:w="1410"/>
        <w:gridCol w:w="1296"/>
        <w:gridCol w:w="5760"/>
      </w:tblGrid>
      <w:tr w:rsidR="00011DE9" w14:paraId="0D1AEC98" w14:textId="77777777">
        <w:trPr>
          <w:trHeight w:val="600"/>
          <w:tblHeader/>
        </w:trPr>
        <w:tc>
          <w:tcPr>
            <w:tcW w:w="1271"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37B188F" w14:textId="77777777" w:rsidR="00011DE9" w:rsidRDefault="00011DE9">
            <w:pPr>
              <w:pStyle w:val="P68B1DB1-Normal77"/>
              <w:spacing w:after="0" w:line="240" w:lineRule="auto"/>
              <w:jc w:val="center"/>
              <w:rPr>
                <w:rFonts w:eastAsia="Times New Roman" w:cs="Times New Roman"/>
                <w:noProof/>
                <w:szCs w:val="20"/>
              </w:rPr>
            </w:pPr>
            <w:r>
              <w:rPr>
                <w:noProof/>
              </w:rPr>
              <w:t>Număr secvențial</w:t>
            </w:r>
          </w:p>
        </w:tc>
        <w:tc>
          <w:tcPr>
            <w:tcW w:w="141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46A0674" w14:textId="77777777" w:rsidR="00011DE9" w:rsidRDefault="00011DE9">
            <w:pPr>
              <w:pStyle w:val="P68B1DB1-Normal77"/>
              <w:spacing w:after="0" w:line="240" w:lineRule="auto"/>
              <w:jc w:val="center"/>
              <w:rPr>
                <w:rFonts w:eastAsia="Times New Roman" w:cs="Times New Roman"/>
                <w:noProof/>
                <w:szCs w:val="20"/>
              </w:rPr>
            </w:pPr>
            <w:r>
              <w:rPr>
                <w:noProof/>
              </w:rPr>
              <w:t>Măsură conexă (reformă sau investiții)</w:t>
            </w:r>
          </w:p>
        </w:tc>
        <w:tc>
          <w:tcPr>
            <w:tcW w:w="1222"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52868E8B" w14:textId="77777777" w:rsidR="00011DE9" w:rsidRDefault="00011DE9">
            <w:pPr>
              <w:pStyle w:val="P68B1DB1-Normal77"/>
              <w:spacing w:after="0" w:line="240" w:lineRule="auto"/>
              <w:jc w:val="center"/>
              <w:rPr>
                <w:rFonts w:eastAsia="Times New Roman" w:cs="Times New Roman"/>
                <w:noProof/>
                <w:szCs w:val="20"/>
              </w:rPr>
            </w:pPr>
            <w:r>
              <w:rPr>
                <w:noProof/>
              </w:rPr>
              <w:t>Etapă/Obiectiv</w:t>
            </w:r>
          </w:p>
        </w:tc>
        <w:tc>
          <w:tcPr>
            <w:tcW w:w="5760" w:type="dxa"/>
            <w:tcBorders>
              <w:top w:val="single" w:sz="4" w:space="0" w:color="auto"/>
              <w:left w:val="nil"/>
              <w:bottom w:val="single" w:sz="4" w:space="0" w:color="000000" w:themeColor="text1"/>
              <w:right w:val="single" w:sz="4" w:space="0" w:color="auto"/>
            </w:tcBorders>
            <w:shd w:val="clear" w:color="auto" w:fill="BDD7EE"/>
            <w:vAlign w:val="center"/>
            <w:hideMark/>
          </w:tcPr>
          <w:p w14:paraId="0F1754BF" w14:textId="77777777" w:rsidR="00011DE9" w:rsidRDefault="00011DE9">
            <w:pPr>
              <w:pStyle w:val="P68B1DB1-Normal77"/>
              <w:spacing w:after="0" w:line="240" w:lineRule="auto"/>
              <w:jc w:val="center"/>
              <w:rPr>
                <w:rFonts w:eastAsia="Times New Roman" w:cs="Times New Roman"/>
                <w:noProof/>
                <w:szCs w:val="20"/>
              </w:rPr>
            </w:pPr>
            <w:r>
              <w:rPr>
                <w:noProof/>
              </w:rPr>
              <w:t>Nume</w:t>
            </w:r>
          </w:p>
        </w:tc>
      </w:tr>
      <w:tr w:rsidR="00011DE9" w14:paraId="6012B636"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CF34873" w14:textId="77777777" w:rsidR="00011DE9" w:rsidRDefault="00011DE9">
            <w:pPr>
              <w:pStyle w:val="P68B1DB1-Normal78"/>
              <w:spacing w:after="0" w:line="240" w:lineRule="auto"/>
              <w:jc w:val="center"/>
              <w:rPr>
                <w:noProof/>
                <w:szCs w:val="20"/>
              </w:rPr>
            </w:pPr>
            <w:r>
              <w:rPr>
                <w:noProof/>
              </w:rPr>
              <w:t>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7C2F5DAF" w14:textId="77777777" w:rsidR="00011DE9" w:rsidRDefault="00011DE9">
            <w:pPr>
              <w:pStyle w:val="P68B1DB1-Normal78"/>
              <w:spacing w:after="0" w:line="240" w:lineRule="auto"/>
              <w:rPr>
                <w:noProof/>
                <w:szCs w:val="20"/>
              </w:rPr>
            </w:pPr>
            <w:r>
              <w:rPr>
                <w:noProof/>
              </w:rPr>
              <w:t>C1.I1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029F0B8"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24049D49" w14:textId="77777777" w:rsidR="00011DE9" w:rsidRDefault="00011DE9">
            <w:pPr>
              <w:pStyle w:val="P68B1DB1-Normal78"/>
              <w:spacing w:after="0" w:line="240" w:lineRule="auto"/>
              <w:rPr>
                <w:noProof/>
                <w:szCs w:val="20"/>
              </w:rPr>
            </w:pPr>
            <w:r>
              <w:rPr>
                <w:noProof/>
              </w:rPr>
              <w:t>Premiu pentru proiecte de îmbunătățire a noilor forme de mobilitate pe drumurile publice</w:t>
            </w:r>
          </w:p>
        </w:tc>
      </w:tr>
      <w:tr w:rsidR="00011DE9" w14:paraId="232586B9"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8E51467" w14:textId="77777777" w:rsidR="00011DE9" w:rsidRDefault="00011DE9">
            <w:pPr>
              <w:pStyle w:val="P68B1DB1-Normal78"/>
              <w:spacing w:after="0" w:line="240" w:lineRule="auto"/>
              <w:jc w:val="center"/>
              <w:rPr>
                <w:noProof/>
              </w:rPr>
            </w:pPr>
            <w:r>
              <w:rPr>
                <w:noProof/>
              </w:rPr>
              <w:t>11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174C84A5" w14:textId="77777777" w:rsidR="00011DE9" w:rsidRDefault="00011DE9">
            <w:pPr>
              <w:pStyle w:val="P68B1DB1-Normal78"/>
              <w:spacing w:after="0" w:line="240" w:lineRule="auto"/>
              <w:rPr>
                <w:noProof/>
              </w:rPr>
            </w:pPr>
            <w:r>
              <w:rPr>
                <w:noProof/>
              </w:rPr>
              <w:t>C1.I2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6D895D85" w14:textId="77777777" w:rsidR="00011DE9" w:rsidRDefault="00011DE9">
            <w:pPr>
              <w:pStyle w:val="P68B1DB1-Normal78"/>
              <w:spacing w:after="0" w:line="240" w:lineRule="auto"/>
              <w:rPr>
                <w:noProof/>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9D59E45" w14:textId="77777777" w:rsidR="00011DE9" w:rsidRDefault="00011DE9">
            <w:pPr>
              <w:pStyle w:val="P68B1DB1-Normal78"/>
              <w:spacing w:after="0" w:line="240" w:lineRule="auto"/>
              <w:rPr>
                <w:noProof/>
              </w:rPr>
            </w:pPr>
            <w:r>
              <w:rPr>
                <w:noProof/>
              </w:rPr>
              <w:t xml:space="preserve">Atribuirea proiectelor inovatoare de promovare a electromobilității </w:t>
            </w:r>
          </w:p>
        </w:tc>
      </w:tr>
      <w:tr w:rsidR="00011DE9" w14:paraId="53A8FFE2"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E2FE3" w14:textId="77777777" w:rsidR="00011DE9" w:rsidRDefault="00011DE9">
            <w:pPr>
              <w:pStyle w:val="P68B1DB1-Normal78"/>
              <w:spacing w:after="0" w:line="240" w:lineRule="auto"/>
              <w:jc w:val="center"/>
              <w:rPr>
                <w:noProof/>
                <w:szCs w:val="20"/>
              </w:rPr>
            </w:pPr>
            <w:r>
              <w:rPr>
                <w:noProof/>
              </w:rPr>
              <w:t>14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26FF8A6" w14:textId="77777777" w:rsidR="00011DE9" w:rsidRDefault="00011DE9">
            <w:pPr>
              <w:pStyle w:val="P68B1DB1-Normal78"/>
              <w:spacing w:after="0" w:line="240" w:lineRule="auto"/>
              <w:rPr>
                <w:noProof/>
                <w:szCs w:val="20"/>
              </w:rPr>
            </w:pPr>
            <w:r>
              <w:rPr>
                <w:noProof/>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5CA2C268"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6B090245" w14:textId="77777777" w:rsidR="00011DE9" w:rsidRDefault="00011DE9">
            <w:pPr>
              <w:pStyle w:val="P68B1DB1-Normal78"/>
              <w:spacing w:after="0" w:line="240" w:lineRule="auto"/>
              <w:rPr>
                <w:noProof/>
                <w:szCs w:val="20"/>
              </w:rPr>
            </w:pPr>
            <w:r>
              <w:rPr>
                <w:noProof/>
              </w:rPr>
              <w:t xml:space="preserve">Linii feroviare pe distanțe scurte (Cercanías) </w:t>
            </w:r>
          </w:p>
        </w:tc>
      </w:tr>
      <w:tr w:rsidR="00011DE9" w14:paraId="2569D2F6"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6D73D2" w14:textId="77777777" w:rsidR="00011DE9" w:rsidRDefault="00011DE9">
            <w:pPr>
              <w:pStyle w:val="P68B1DB1-Normal78"/>
              <w:spacing w:after="0" w:line="240" w:lineRule="auto"/>
              <w:jc w:val="center"/>
              <w:rPr>
                <w:noProof/>
                <w:szCs w:val="20"/>
              </w:rPr>
            </w:pPr>
            <w:r>
              <w:rPr>
                <w:noProof/>
              </w:rPr>
              <w:t>15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2300F64A" w14:textId="77777777" w:rsidR="00011DE9" w:rsidRDefault="00011DE9">
            <w:pPr>
              <w:pStyle w:val="P68B1DB1-Normal78"/>
              <w:spacing w:after="0" w:line="240" w:lineRule="auto"/>
              <w:rPr>
                <w:noProof/>
                <w:szCs w:val="20"/>
              </w:rPr>
            </w:pPr>
            <w:r>
              <w:rPr>
                <w:noProof/>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76F534CB"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37F74DA0" w14:textId="77777777" w:rsidR="00011DE9" w:rsidRDefault="00011DE9">
            <w:pPr>
              <w:pStyle w:val="P68B1DB1-Normal78"/>
              <w:spacing w:after="0" w:line="240" w:lineRule="auto"/>
              <w:rPr>
                <w:noProof/>
                <w:szCs w:val="20"/>
              </w:rPr>
            </w:pPr>
            <w:r>
              <w:rPr>
                <w:noProof/>
              </w:rPr>
              <w:t xml:space="preserve">Stații îmbunătățite odată cu digitalizarea </w:t>
            </w:r>
          </w:p>
        </w:tc>
      </w:tr>
      <w:tr w:rsidR="00011DE9" w14:paraId="59AB0230"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CEE70E" w14:textId="77777777" w:rsidR="00011DE9" w:rsidRDefault="00011DE9">
            <w:pPr>
              <w:pStyle w:val="P68B1DB1-Normal78"/>
              <w:spacing w:after="0" w:line="240" w:lineRule="auto"/>
              <w:jc w:val="center"/>
              <w:rPr>
                <w:noProof/>
                <w:szCs w:val="20"/>
              </w:rPr>
            </w:pPr>
            <w:r>
              <w:rPr>
                <w:noProof/>
              </w:rPr>
              <w:t>16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0782ED10" w14:textId="77777777" w:rsidR="00011DE9" w:rsidRDefault="00011DE9">
            <w:pPr>
              <w:pStyle w:val="P68B1DB1-Normal78"/>
              <w:spacing w:after="0" w:line="240" w:lineRule="auto"/>
              <w:rPr>
                <w:noProof/>
                <w:szCs w:val="20"/>
              </w:rPr>
            </w:pPr>
            <w:r>
              <w:rPr>
                <w:noProof/>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4CD44A5"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11CF52DF" w14:textId="77777777" w:rsidR="00011DE9" w:rsidRDefault="00011DE9">
            <w:pPr>
              <w:pStyle w:val="P68B1DB1-Normal78"/>
              <w:spacing w:after="0" w:line="240" w:lineRule="auto"/>
              <w:rPr>
                <w:noProof/>
                <w:szCs w:val="20"/>
              </w:rPr>
            </w:pPr>
            <w:r>
              <w:rPr>
                <w:noProof/>
              </w:rPr>
              <w:t xml:space="preserve">Stații „Cercanías” îmbunătățite </w:t>
            </w:r>
          </w:p>
        </w:tc>
      </w:tr>
      <w:tr w:rsidR="00011DE9" w14:paraId="264AA1A4"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07FC8BA" w14:textId="77777777" w:rsidR="00011DE9" w:rsidRDefault="00011DE9">
            <w:pPr>
              <w:pStyle w:val="P68B1DB1-Normal78"/>
              <w:spacing w:after="0" w:line="240" w:lineRule="auto"/>
              <w:jc w:val="center"/>
              <w:rPr>
                <w:noProof/>
                <w:szCs w:val="20"/>
              </w:rPr>
            </w:pPr>
            <w:r>
              <w:rPr>
                <w:noProof/>
              </w:rPr>
              <w:t>17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11444085" w14:textId="77777777" w:rsidR="00011DE9" w:rsidRDefault="00011DE9">
            <w:pPr>
              <w:pStyle w:val="P68B1DB1-Normal78"/>
              <w:spacing w:after="0" w:line="240" w:lineRule="auto"/>
              <w:rPr>
                <w:noProof/>
                <w:szCs w:val="20"/>
              </w:rPr>
            </w:pPr>
            <w:r>
              <w:rPr>
                <w:noProof/>
              </w:rPr>
              <w:t>C1.I3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026BE398"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0006F751" w14:textId="77777777" w:rsidR="00011DE9" w:rsidRDefault="00011DE9">
            <w:pPr>
              <w:pStyle w:val="P68B1DB1-Normal78"/>
              <w:spacing w:after="0" w:line="240" w:lineRule="auto"/>
              <w:rPr>
                <w:noProof/>
                <w:szCs w:val="20"/>
              </w:rPr>
            </w:pPr>
            <w:r>
              <w:rPr>
                <w:noProof/>
              </w:rPr>
              <w:t xml:space="preserve">Bugetul cumulat acordat pentru investiții în linii de cale ferată pe distanțe scurte </w:t>
            </w:r>
          </w:p>
        </w:tc>
      </w:tr>
      <w:tr w:rsidR="00011DE9" w14:paraId="78ADE6AF"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827D86E" w14:textId="77777777" w:rsidR="00011DE9" w:rsidRDefault="00011DE9">
            <w:pPr>
              <w:pStyle w:val="P68B1DB1-Normal78"/>
              <w:spacing w:after="0" w:line="240" w:lineRule="auto"/>
              <w:jc w:val="center"/>
              <w:rPr>
                <w:rFonts w:eastAsia="Times New Roman" w:cs="Times New Roman"/>
                <w:noProof/>
                <w:szCs w:val="20"/>
              </w:rPr>
            </w:pPr>
            <w:r>
              <w:rPr>
                <w:noProof/>
              </w:rPr>
              <w:t>21bis</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BA6C43F" w14:textId="77777777" w:rsidR="00011DE9" w:rsidRDefault="00011DE9">
            <w:pPr>
              <w:pStyle w:val="P68B1DB1-Normal78"/>
              <w:spacing w:after="0" w:line="240" w:lineRule="auto"/>
              <w:rPr>
                <w:rFonts w:eastAsia="Times New Roman" w:cs="Times New Roman"/>
                <w:noProof/>
                <w:szCs w:val="20"/>
              </w:rPr>
            </w:pPr>
            <w:r>
              <w:rPr>
                <w:noProof/>
              </w:rPr>
              <w:t>C2.R2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7C383A2" w14:textId="77777777" w:rsidR="00011DE9" w:rsidRDefault="00011DE9">
            <w:pPr>
              <w:pStyle w:val="P68B1DB1-Normal78"/>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029DBED0" w14:textId="77777777" w:rsidR="00011DE9" w:rsidRDefault="00011DE9">
            <w:pPr>
              <w:pStyle w:val="P68B1DB1-Normal78"/>
              <w:spacing w:after="0" w:line="240" w:lineRule="auto"/>
              <w:rPr>
                <w:rFonts w:eastAsia="Times New Roman" w:cs="Times New Roman"/>
                <w:noProof/>
                <w:szCs w:val="20"/>
              </w:rPr>
            </w:pPr>
            <w:r>
              <w:rPr>
                <w:noProof/>
              </w:rPr>
              <w:t>Publicarea recomandărilor grupurilor de lucru pentru punerea în aplicare a strategiei de renovare pe termen lung în Spania</w:t>
            </w:r>
          </w:p>
        </w:tc>
      </w:tr>
      <w:tr w:rsidR="00011DE9" w14:paraId="31F295A8"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277BF76" w14:textId="77777777" w:rsidR="00011DE9" w:rsidRDefault="00011DE9">
            <w:pPr>
              <w:pStyle w:val="P68B1DB1-Normal78"/>
              <w:spacing w:after="0"/>
              <w:jc w:val="center"/>
              <w:rPr>
                <w:rFonts w:eastAsia="Times New Roman" w:cs="Times New Roman"/>
                <w:noProof/>
                <w:szCs w:val="20"/>
              </w:rPr>
            </w:pPr>
            <w:r>
              <w:rPr>
                <w:noProof/>
              </w:rPr>
              <w:t xml:space="preserve">422 </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06F8F467" w14:textId="77777777" w:rsidR="00011DE9" w:rsidRDefault="00011DE9">
            <w:pPr>
              <w:pStyle w:val="P68B1DB1-Normal78"/>
              <w:spacing w:after="0"/>
              <w:rPr>
                <w:rFonts w:eastAsia="Times New Roman" w:cs="Times New Roman"/>
                <w:noProof/>
                <w:szCs w:val="20"/>
              </w:rPr>
            </w:pPr>
            <w:r>
              <w:rPr>
                <w:noProof/>
              </w:rPr>
              <w:t xml:space="preserve">C3.R2 </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17C4C16D" w14:textId="77777777" w:rsidR="00011DE9" w:rsidRDefault="00011DE9">
            <w:pPr>
              <w:pStyle w:val="P68B1DB1-Normal78"/>
              <w:spacing w:after="0"/>
              <w:rPr>
                <w:rFonts w:eastAsia="Times New Roman" w:cs="Times New Roman"/>
                <w:noProof/>
                <w:szCs w:val="20"/>
              </w:rPr>
            </w:pPr>
            <w:r>
              <w:rPr>
                <w:noProof/>
              </w:rPr>
              <w:t xml:space="preserve">M </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723D3A4D" w14:textId="77777777" w:rsidR="00011DE9" w:rsidRDefault="00011DE9">
            <w:pPr>
              <w:pStyle w:val="P68B1DB1-Normal78"/>
              <w:spacing w:after="0"/>
              <w:rPr>
                <w:rFonts w:eastAsia="Times New Roman" w:cs="Times New Roman"/>
                <w:noProof/>
                <w:szCs w:val="20"/>
              </w:rPr>
            </w:pPr>
            <w:r>
              <w:rPr>
                <w:noProof/>
              </w:rPr>
              <w:t>Intrarea în vigoare a regulamentului privind îmbunătățirea biosecurității transportului de animale și a regulamentului privind utilizarea durabilă a antibioticelor la speciile de animale</w:t>
            </w:r>
          </w:p>
        </w:tc>
      </w:tr>
      <w:tr w:rsidR="00011DE9" w14:paraId="3E7CD9CE"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2642745" w14:textId="77777777" w:rsidR="00011DE9" w:rsidRDefault="00011DE9">
            <w:pPr>
              <w:pStyle w:val="P68B1DB1-Normal78"/>
              <w:spacing w:after="0" w:line="240" w:lineRule="auto"/>
              <w:jc w:val="center"/>
              <w:rPr>
                <w:rFonts w:eastAsia="Times New Roman" w:cs="Times New Roman"/>
                <w:noProof/>
                <w:szCs w:val="20"/>
              </w:rPr>
            </w:pPr>
            <w:r>
              <w:rPr>
                <w:noProof/>
              </w:rPr>
              <w:t>42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174368B9" w14:textId="77777777" w:rsidR="00011DE9" w:rsidRDefault="00011DE9">
            <w:pPr>
              <w:pStyle w:val="P68B1DB1-Normal78"/>
              <w:spacing w:after="0" w:line="240" w:lineRule="auto"/>
              <w:rPr>
                <w:rFonts w:eastAsia="Times New Roman" w:cs="Times New Roman"/>
                <w:noProof/>
                <w:szCs w:val="20"/>
              </w:rPr>
            </w:pPr>
            <w:r>
              <w:rPr>
                <w:noProof/>
              </w:rPr>
              <w:t>C3.R3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10152ED7" w14:textId="77777777" w:rsidR="00011DE9" w:rsidRDefault="00011DE9">
            <w:pPr>
              <w:pStyle w:val="P68B1DB1-Normal78"/>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17B2B956" w14:textId="77777777" w:rsidR="00011DE9" w:rsidRDefault="00011DE9">
            <w:pPr>
              <w:pStyle w:val="P68B1DB1-Normal78"/>
              <w:spacing w:after="0" w:line="240" w:lineRule="auto"/>
              <w:rPr>
                <w:rFonts w:eastAsia="Times New Roman" w:cs="Times New Roman"/>
                <w:noProof/>
                <w:szCs w:val="20"/>
              </w:rPr>
            </w:pPr>
            <w:r>
              <w:rPr>
                <w:noProof/>
              </w:rPr>
              <w:t>Intrarea în vigoare a cadrului normativ privind alimentația durabilă în solurile agricole.</w:t>
            </w:r>
          </w:p>
        </w:tc>
      </w:tr>
      <w:tr w:rsidR="00011DE9" w14:paraId="36A8D0C3"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6BC8B34" w14:textId="77777777" w:rsidR="00011DE9" w:rsidRDefault="00011DE9">
            <w:pPr>
              <w:pStyle w:val="P68B1DB1-Normal78"/>
              <w:spacing w:after="0" w:line="240" w:lineRule="auto"/>
              <w:jc w:val="center"/>
              <w:rPr>
                <w:rFonts w:eastAsia="Times New Roman" w:cs="Times New Roman"/>
                <w:noProof/>
                <w:szCs w:val="20"/>
              </w:rPr>
            </w:pPr>
            <w:r>
              <w:rPr>
                <w:noProof/>
              </w:rPr>
              <w:t>424</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1A351BCA" w14:textId="77777777" w:rsidR="00011DE9" w:rsidRDefault="00011DE9">
            <w:pPr>
              <w:pStyle w:val="P68B1DB1-Normal78"/>
              <w:spacing w:after="0" w:line="240" w:lineRule="auto"/>
              <w:rPr>
                <w:rFonts w:eastAsia="Times New Roman" w:cs="Times New Roman"/>
                <w:noProof/>
                <w:szCs w:val="20"/>
              </w:rPr>
            </w:pPr>
            <w:r>
              <w:rPr>
                <w:noProof/>
              </w:rPr>
              <w:t>C3.I1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0277DC51" w14:textId="77777777" w:rsidR="00011DE9" w:rsidRDefault="00011DE9">
            <w:pPr>
              <w:pStyle w:val="P68B1DB1-Normal78"/>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B4BD14A" w14:textId="77777777" w:rsidR="00011DE9" w:rsidRDefault="00011DE9">
            <w:pPr>
              <w:pStyle w:val="P68B1DB1-Normal78"/>
              <w:spacing w:after="0" w:line="240" w:lineRule="auto"/>
              <w:rPr>
                <w:rFonts w:eastAsia="Times New Roman" w:cs="Times New Roman"/>
                <w:noProof/>
                <w:szCs w:val="20"/>
              </w:rPr>
            </w:pPr>
            <w:r>
              <w:rPr>
                <w:noProof/>
              </w:rPr>
              <w:t>Intrarea în vigoare a addendumului la acordul dintre Ministerul Agriculturii, Pescuitului și Alimentației (MAPA) și SEIASA de sprijinire a îmbunătățirii și sustenabilității suprafețelor irigate (faza II)</w:t>
            </w:r>
          </w:p>
        </w:tc>
      </w:tr>
      <w:tr w:rsidR="00011DE9" w14:paraId="2D0FE47C"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55DA142" w14:textId="77777777" w:rsidR="00011DE9" w:rsidRDefault="00011DE9">
            <w:pPr>
              <w:pStyle w:val="P68B1DB1-Normal78"/>
              <w:spacing w:after="0" w:line="240" w:lineRule="auto"/>
              <w:jc w:val="center"/>
              <w:rPr>
                <w:rFonts w:eastAsia="Times New Roman" w:cs="Times New Roman"/>
                <w:noProof/>
                <w:szCs w:val="20"/>
              </w:rPr>
            </w:pPr>
            <w:r>
              <w:rPr>
                <w:noProof/>
              </w:rPr>
              <w:t>53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74002156" w14:textId="77777777" w:rsidR="00011DE9" w:rsidRDefault="00011DE9">
            <w:pPr>
              <w:pStyle w:val="P68B1DB1-Normal78"/>
              <w:spacing w:after="0" w:line="240" w:lineRule="auto"/>
              <w:rPr>
                <w:rFonts w:eastAsia="Times New Roman" w:cs="Times New Roman"/>
                <w:noProof/>
                <w:szCs w:val="20"/>
              </w:rPr>
            </w:pPr>
            <w:r>
              <w:rPr>
                <w:noProof/>
              </w:rPr>
              <w:t>C3.I5</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40BE192" w14:textId="77777777" w:rsidR="00011DE9" w:rsidRDefault="00011DE9">
            <w:pPr>
              <w:pStyle w:val="P68B1DB1-Normal78"/>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16D9654C" w14:textId="77777777" w:rsidR="00011DE9" w:rsidRDefault="00011DE9">
            <w:pPr>
              <w:pStyle w:val="P68B1DB1-Normal78"/>
              <w:spacing w:after="0" w:line="240" w:lineRule="auto"/>
              <w:rPr>
                <w:rFonts w:eastAsia="Times New Roman" w:cs="Times New Roman"/>
                <w:noProof/>
                <w:szCs w:val="20"/>
              </w:rPr>
            </w:pPr>
            <w:r>
              <w:rPr>
                <w:noProof/>
              </w:rPr>
              <w:t>Semnarea acordurilor contractuale între Ministerul Agriculturii, Pescuitului și Alimentației (MAPA) și ENISA</w:t>
            </w:r>
          </w:p>
        </w:tc>
      </w:tr>
      <w:tr w:rsidR="00011DE9" w14:paraId="704166E9"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D34A6" w14:textId="77777777" w:rsidR="00011DE9" w:rsidRDefault="00011DE9">
            <w:pPr>
              <w:pStyle w:val="P68B1DB1-Normal78"/>
              <w:spacing w:after="0" w:line="240" w:lineRule="auto"/>
              <w:jc w:val="center"/>
              <w:rPr>
                <w:noProof/>
                <w:szCs w:val="20"/>
              </w:rPr>
            </w:pPr>
            <w:r>
              <w:rPr>
                <w:noProof/>
              </w:rPr>
              <w:t>54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5699A8B5" w14:textId="77777777" w:rsidR="00011DE9" w:rsidRDefault="00011DE9">
            <w:pPr>
              <w:pStyle w:val="P68B1DB1-Normal78"/>
              <w:spacing w:after="0" w:line="240" w:lineRule="auto"/>
              <w:rPr>
                <w:noProof/>
                <w:szCs w:val="20"/>
              </w:rPr>
            </w:pPr>
            <w:r>
              <w:rPr>
                <w:noProof/>
              </w:rPr>
              <w:t>C3.I5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5FEA10E0"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31965B82" w14:textId="77777777" w:rsidR="00011DE9" w:rsidRDefault="00011DE9">
            <w:pPr>
              <w:pStyle w:val="P68B1DB1-Normal78"/>
              <w:spacing w:after="0" w:line="240" w:lineRule="auto"/>
              <w:rPr>
                <w:noProof/>
                <w:szCs w:val="20"/>
              </w:rPr>
            </w:pPr>
            <w:r>
              <w:rPr>
                <w:noProof/>
              </w:rPr>
              <w:t>IMM-uri din sectorul agroalimentar care beneficiază de sprijin pentru a pune în aplicare proiecte de afaceri inovatoare și digitale</w:t>
            </w:r>
          </w:p>
        </w:tc>
      </w:tr>
      <w:tr w:rsidR="00011DE9" w14:paraId="631E0330"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15ECF0" w14:textId="77777777" w:rsidR="00011DE9" w:rsidRDefault="00011DE9">
            <w:pPr>
              <w:pStyle w:val="P68B1DB1-Normal78"/>
              <w:spacing w:after="0" w:line="240" w:lineRule="auto"/>
              <w:jc w:val="center"/>
              <w:rPr>
                <w:noProof/>
                <w:szCs w:val="20"/>
              </w:rPr>
            </w:pPr>
            <w:r>
              <w:rPr>
                <w:noProof/>
              </w:rPr>
              <w:t>58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C2F6312" w14:textId="77777777" w:rsidR="00011DE9" w:rsidRDefault="00011DE9">
            <w:pPr>
              <w:pStyle w:val="P68B1DB1-Normal78"/>
              <w:spacing w:after="0" w:line="240" w:lineRule="auto"/>
              <w:rPr>
                <w:noProof/>
                <w:szCs w:val="20"/>
              </w:rPr>
            </w:pPr>
            <w:r>
              <w:rPr>
                <w:noProof/>
              </w:rPr>
              <w:t>C3.I8</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60F85FA3"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3379CF9A" w14:textId="77777777" w:rsidR="00011DE9" w:rsidRDefault="00011DE9">
            <w:pPr>
              <w:pStyle w:val="P68B1DB1-Normal78"/>
              <w:spacing w:after="0" w:line="240" w:lineRule="auto"/>
              <w:rPr>
                <w:noProof/>
                <w:szCs w:val="20"/>
              </w:rPr>
            </w:pPr>
            <w:r>
              <w:rPr>
                <w:noProof/>
              </w:rPr>
              <w:t>Proiecte de cercetare, dezvoltare și inovare pentru a sprijini reziliența și sustenabilitatea sectorului pescuitului și acvaculturii</w:t>
            </w:r>
          </w:p>
        </w:tc>
      </w:tr>
      <w:tr w:rsidR="00011DE9" w14:paraId="5C28AF0B"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6D23C7" w14:textId="77777777" w:rsidR="00011DE9" w:rsidRDefault="00011DE9">
            <w:pPr>
              <w:pStyle w:val="P68B1DB1-Normal78"/>
              <w:spacing w:after="0" w:line="240" w:lineRule="auto"/>
              <w:jc w:val="center"/>
              <w:rPr>
                <w:noProof/>
                <w:szCs w:val="20"/>
              </w:rPr>
            </w:pPr>
            <w:r>
              <w:rPr>
                <w:noProof/>
              </w:rPr>
              <w:t>59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23024CE1" w14:textId="77777777" w:rsidR="00011DE9" w:rsidRDefault="00011DE9">
            <w:pPr>
              <w:pStyle w:val="P68B1DB1-Normal78"/>
              <w:spacing w:after="0" w:line="240" w:lineRule="auto"/>
              <w:rPr>
                <w:noProof/>
                <w:szCs w:val="20"/>
              </w:rPr>
            </w:pPr>
            <w:r>
              <w:rPr>
                <w:noProof/>
              </w:rPr>
              <w:t>C3.I9</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2A4C276F" w14:textId="77777777" w:rsidR="00011DE9" w:rsidRDefault="00011DE9">
            <w:pPr>
              <w:pStyle w:val="P68B1DB1-Normal78"/>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691A30B" w14:textId="77777777" w:rsidR="00011DE9" w:rsidRDefault="00011DE9">
            <w:pPr>
              <w:pStyle w:val="P68B1DB1-Normal78"/>
              <w:spacing w:after="0" w:line="240" w:lineRule="auto"/>
              <w:rPr>
                <w:noProof/>
                <w:szCs w:val="20"/>
              </w:rPr>
            </w:pPr>
            <w:r>
              <w:rPr>
                <w:noProof/>
              </w:rPr>
              <w:t xml:space="preserve">Consolidarea digitală a Sistemului spaniol de informații privind pescuitul (SIPE) și a sistemului de supraveghere a pescuitului </w:t>
            </w:r>
          </w:p>
        </w:tc>
      </w:tr>
      <w:tr w:rsidR="00011DE9" w14:paraId="473B32DA"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D00EDE" w14:textId="77777777" w:rsidR="00011DE9" w:rsidRDefault="00011DE9">
            <w:pPr>
              <w:pStyle w:val="P68B1DB1-Normal78"/>
              <w:spacing w:after="0" w:line="240" w:lineRule="auto"/>
              <w:jc w:val="center"/>
              <w:rPr>
                <w:noProof/>
                <w:szCs w:val="20"/>
              </w:rPr>
            </w:pPr>
            <w:r>
              <w:rPr>
                <w:noProof/>
              </w:rPr>
              <w:t>67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0BD71446" w14:textId="77777777" w:rsidR="00011DE9" w:rsidRDefault="00011DE9">
            <w:pPr>
              <w:pStyle w:val="P68B1DB1-Normal78"/>
              <w:spacing w:after="0" w:line="240" w:lineRule="auto"/>
              <w:rPr>
                <w:noProof/>
                <w:szCs w:val="20"/>
              </w:rPr>
            </w:pPr>
            <w:r>
              <w:rPr>
                <w:noProof/>
              </w:rPr>
              <w:t>C4.I2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553168B1"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638A2F08" w14:textId="77777777" w:rsidR="00011DE9" w:rsidRDefault="00011DE9">
            <w:pPr>
              <w:pStyle w:val="P68B1DB1-Normal78"/>
              <w:spacing w:after="0" w:line="240" w:lineRule="auto"/>
              <w:rPr>
                <w:noProof/>
                <w:szCs w:val="20"/>
              </w:rPr>
            </w:pPr>
            <w:r>
              <w:rPr>
                <w:noProof/>
              </w:rPr>
              <w:t xml:space="preserve">Zone marine protejate </w:t>
            </w:r>
          </w:p>
        </w:tc>
      </w:tr>
      <w:tr w:rsidR="00011DE9" w14:paraId="6B1741F8"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51AB315" w14:textId="77777777" w:rsidR="00011DE9" w:rsidRDefault="00011DE9">
            <w:pPr>
              <w:pStyle w:val="P68B1DB1-Normal78"/>
              <w:spacing w:after="0" w:line="240" w:lineRule="auto"/>
              <w:jc w:val="center"/>
              <w:rPr>
                <w:rFonts w:eastAsia="Times New Roman" w:cs="Times New Roman"/>
                <w:noProof/>
                <w:szCs w:val="20"/>
              </w:rPr>
            </w:pPr>
            <w:r>
              <w:rPr>
                <w:noProof/>
              </w:rPr>
              <w:t>70</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2C54F6F6" w14:textId="77777777" w:rsidR="00011DE9" w:rsidRDefault="00011DE9">
            <w:pPr>
              <w:pStyle w:val="P68B1DB1-Normal78"/>
              <w:spacing w:after="0" w:line="240" w:lineRule="auto"/>
              <w:rPr>
                <w:rFonts w:eastAsia="Times New Roman" w:cs="Times New Roman"/>
                <w:noProof/>
                <w:szCs w:val="20"/>
              </w:rPr>
            </w:pPr>
            <w:r>
              <w:rPr>
                <w:noProof/>
              </w:rPr>
              <w:t>C4.I3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292F609" w14:textId="77777777" w:rsidR="00011DE9" w:rsidRDefault="00011DE9">
            <w:pPr>
              <w:pStyle w:val="P68B1DB1-Normal78"/>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6AF599B9" w14:textId="77777777" w:rsidR="00011DE9" w:rsidRDefault="00011DE9">
            <w:pPr>
              <w:pStyle w:val="P68B1DB1-Normal78"/>
              <w:spacing w:after="0" w:line="240" w:lineRule="auto"/>
              <w:rPr>
                <w:rFonts w:eastAsia="Times New Roman" w:cs="Times New Roman"/>
                <w:noProof/>
                <w:szCs w:val="20"/>
              </w:rPr>
            </w:pPr>
            <w:r>
              <w:rPr>
                <w:noProof/>
              </w:rPr>
              <w:t>Reabilitarea fostelor situri miniere (cel puțin 20 foste situri miniere)</w:t>
            </w:r>
          </w:p>
        </w:tc>
      </w:tr>
      <w:tr w:rsidR="00011DE9" w14:paraId="19C6D735"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64AB95B" w14:textId="77777777" w:rsidR="00011DE9" w:rsidRDefault="00011DE9">
            <w:pPr>
              <w:pStyle w:val="P68B1DB1-Normal78"/>
              <w:spacing w:after="0" w:line="240" w:lineRule="auto"/>
              <w:jc w:val="center"/>
              <w:rPr>
                <w:rFonts w:eastAsia="Times New Roman" w:cs="Times New Roman"/>
                <w:noProof/>
                <w:szCs w:val="20"/>
              </w:rPr>
            </w:pPr>
            <w:r>
              <w:rPr>
                <w:noProof/>
              </w:rPr>
              <w:t>73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2BB5D86A" w14:textId="77777777" w:rsidR="00011DE9" w:rsidRDefault="00011DE9">
            <w:pPr>
              <w:pStyle w:val="P68B1DB1-Normal78"/>
              <w:spacing w:after="0" w:line="240" w:lineRule="auto"/>
              <w:rPr>
                <w:rFonts w:eastAsia="Times New Roman" w:cs="Times New Roman"/>
                <w:noProof/>
                <w:szCs w:val="20"/>
              </w:rPr>
            </w:pPr>
            <w:r>
              <w:rPr>
                <w:noProof/>
              </w:rPr>
              <w:t>C4.I4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7A3C13D3" w14:textId="77777777" w:rsidR="00011DE9" w:rsidRDefault="00011DE9">
            <w:pPr>
              <w:pStyle w:val="P68B1DB1-Normal78"/>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6DD18421" w14:textId="77777777" w:rsidR="00011DE9" w:rsidRDefault="00011DE9">
            <w:pPr>
              <w:pStyle w:val="P68B1DB1-Normal78"/>
              <w:spacing w:after="0" w:line="240" w:lineRule="auto"/>
              <w:rPr>
                <w:rFonts w:eastAsia="Times New Roman" w:cs="Times New Roman"/>
                <w:noProof/>
                <w:szCs w:val="20"/>
              </w:rPr>
            </w:pPr>
            <w:r>
              <w:rPr>
                <w:noProof/>
              </w:rPr>
              <w:t xml:space="preserve">Acțiuni privind gestionarea durabilă a pădurilor </w:t>
            </w:r>
          </w:p>
        </w:tc>
      </w:tr>
      <w:tr w:rsidR="00011DE9" w14:paraId="0525521B"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C3AD169" w14:textId="77777777" w:rsidR="00011DE9" w:rsidRDefault="00011DE9">
            <w:pPr>
              <w:pStyle w:val="P68B1DB1-Normal78"/>
              <w:spacing w:after="0" w:line="240" w:lineRule="auto"/>
              <w:jc w:val="center"/>
              <w:rPr>
                <w:rFonts w:eastAsia="Times New Roman" w:cs="Times New Roman"/>
                <w:noProof/>
                <w:szCs w:val="20"/>
              </w:rPr>
            </w:pPr>
            <w:r>
              <w:rPr>
                <w:noProof/>
              </w:rPr>
              <w:t>75</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77809C15" w14:textId="77777777" w:rsidR="00011DE9" w:rsidRDefault="00011DE9">
            <w:pPr>
              <w:pStyle w:val="P68B1DB1-Normal78"/>
              <w:spacing w:after="0" w:line="240" w:lineRule="auto"/>
              <w:rPr>
                <w:rFonts w:eastAsia="Times New Roman" w:cs="Times New Roman"/>
                <w:noProof/>
                <w:szCs w:val="20"/>
              </w:rPr>
            </w:pPr>
            <w:r>
              <w:rPr>
                <w:noProof/>
              </w:rPr>
              <w:t>C5.R1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1BF0C40C" w14:textId="77777777" w:rsidR="00011DE9" w:rsidRDefault="00011DE9">
            <w:pPr>
              <w:pStyle w:val="P68B1DB1-Normal78"/>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7E9DC1EB" w14:textId="77777777" w:rsidR="00011DE9" w:rsidRDefault="00011DE9">
            <w:pPr>
              <w:pStyle w:val="P68B1DB1-Normal78"/>
              <w:spacing w:after="0" w:line="240" w:lineRule="auto"/>
              <w:rPr>
                <w:rFonts w:eastAsia="Times New Roman" w:cs="Times New Roman"/>
                <w:noProof/>
                <w:szCs w:val="20"/>
              </w:rPr>
            </w:pPr>
            <w:r>
              <w:rPr>
                <w:noProof/>
              </w:rPr>
              <w:t>Intrarea în vigoare a modificării Legii apei și a noului regulament de înlocuire a Decretului regal 1620/2007</w:t>
            </w:r>
          </w:p>
        </w:tc>
      </w:tr>
      <w:tr w:rsidR="00011DE9" w14:paraId="120443EC"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3CB817F" w14:textId="77777777" w:rsidR="00011DE9" w:rsidRDefault="00011DE9">
            <w:pPr>
              <w:pStyle w:val="P68B1DB1-Normal78"/>
              <w:spacing w:after="0" w:line="240" w:lineRule="auto"/>
              <w:jc w:val="center"/>
              <w:rPr>
                <w:rFonts w:eastAsia="Times New Roman" w:cs="Times New Roman"/>
                <w:noProof/>
                <w:szCs w:val="20"/>
              </w:rPr>
            </w:pPr>
            <w:r>
              <w:rPr>
                <w:noProof/>
              </w:rPr>
              <w:t>76</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313394A4" w14:textId="77777777" w:rsidR="00011DE9" w:rsidRDefault="00011DE9">
            <w:pPr>
              <w:pStyle w:val="P68B1DB1-Normal78"/>
              <w:spacing w:after="0" w:line="240" w:lineRule="auto"/>
              <w:rPr>
                <w:rFonts w:eastAsia="Times New Roman" w:cs="Times New Roman"/>
                <w:noProof/>
                <w:szCs w:val="20"/>
              </w:rPr>
            </w:pPr>
            <w:r>
              <w:rPr>
                <w:noProof/>
              </w:rPr>
              <w:t>C5.I1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22DA3790" w14:textId="77777777" w:rsidR="00011DE9" w:rsidRDefault="00011DE9">
            <w:pPr>
              <w:pStyle w:val="P68B1DB1-Normal78"/>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28925CF1" w14:textId="77777777" w:rsidR="00011DE9" w:rsidRDefault="00011DE9">
            <w:pPr>
              <w:pStyle w:val="P68B1DB1-Normal78"/>
              <w:spacing w:after="0" w:line="240" w:lineRule="auto"/>
              <w:rPr>
                <w:rFonts w:eastAsia="Times New Roman" w:cs="Times New Roman"/>
                <w:noProof/>
                <w:szCs w:val="20"/>
              </w:rPr>
            </w:pPr>
            <w:r>
              <w:rPr>
                <w:noProof/>
              </w:rPr>
              <w:t xml:space="preserve">Infrastructuri îmbunătățite de tratare a apei și a apelor uzate </w:t>
            </w:r>
          </w:p>
        </w:tc>
      </w:tr>
      <w:tr w:rsidR="00011DE9" w14:paraId="6E9BA3E0"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8AE7B51" w14:textId="77777777" w:rsidR="00011DE9" w:rsidRDefault="00011DE9">
            <w:pPr>
              <w:pStyle w:val="P68B1DB1-Normal78"/>
              <w:spacing w:after="0" w:line="240" w:lineRule="auto"/>
              <w:jc w:val="center"/>
              <w:rPr>
                <w:noProof/>
                <w:szCs w:val="20"/>
              </w:rPr>
            </w:pPr>
            <w:r>
              <w:rPr>
                <w:noProof/>
              </w:rPr>
              <w:t>81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68BDB04F" w14:textId="77777777" w:rsidR="00011DE9" w:rsidRDefault="00011DE9">
            <w:pPr>
              <w:pStyle w:val="P68B1DB1-Normal78"/>
              <w:spacing w:after="0" w:line="240" w:lineRule="auto"/>
              <w:rPr>
                <w:noProof/>
                <w:szCs w:val="20"/>
              </w:rPr>
            </w:pPr>
            <w:r>
              <w:rPr>
                <w:noProof/>
              </w:rPr>
              <w:t>C5.I4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021B764"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3885585C" w14:textId="77777777" w:rsidR="00011DE9" w:rsidRDefault="00011DE9">
            <w:pPr>
              <w:pStyle w:val="P68B1DB1-Normal78"/>
              <w:spacing w:after="0" w:line="240" w:lineRule="auto"/>
              <w:rPr>
                <w:noProof/>
                <w:szCs w:val="20"/>
              </w:rPr>
            </w:pPr>
            <w:r>
              <w:rPr>
                <w:noProof/>
              </w:rPr>
              <w:t>Refacerea zonelor și a ecosistemelor degradate pe o rază de cel puțin 100 de kilometri de coastă</w:t>
            </w:r>
          </w:p>
        </w:tc>
      </w:tr>
      <w:tr w:rsidR="00011DE9" w14:paraId="1D36447A"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EABC23" w14:textId="77777777" w:rsidR="00011DE9" w:rsidRDefault="00011DE9">
            <w:pPr>
              <w:pStyle w:val="P68B1DB1-Normal78"/>
              <w:spacing w:after="0" w:line="240" w:lineRule="auto"/>
              <w:jc w:val="center"/>
              <w:rPr>
                <w:noProof/>
                <w:szCs w:val="20"/>
              </w:rPr>
            </w:pPr>
            <w:r>
              <w:rPr>
                <w:noProof/>
              </w:rPr>
              <w:t>106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F407CFB" w14:textId="77777777" w:rsidR="00011DE9" w:rsidRDefault="00011DE9">
            <w:pPr>
              <w:pStyle w:val="P68B1DB1-Normal78"/>
              <w:spacing w:after="0" w:line="240" w:lineRule="auto"/>
              <w:rPr>
                <w:noProof/>
                <w:szCs w:val="20"/>
              </w:rPr>
            </w:pPr>
            <w:r>
              <w:rPr>
                <w:noProof/>
              </w:rPr>
              <w:t>C7.R1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28078319"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33D2EB9" w14:textId="77777777" w:rsidR="00011DE9" w:rsidRDefault="00011DE9">
            <w:pPr>
              <w:pStyle w:val="P68B1DB1-Normal78"/>
              <w:spacing w:after="0" w:line="240" w:lineRule="auto"/>
              <w:rPr>
                <w:noProof/>
                <w:szCs w:val="20"/>
              </w:rPr>
            </w:pPr>
            <w:r>
              <w:rPr>
                <w:noProof/>
              </w:rPr>
              <w:t xml:space="preserve">Capacitate de producție suplimentară pentru energia din surse regenerabile </w:t>
            </w:r>
          </w:p>
        </w:tc>
      </w:tr>
      <w:tr w:rsidR="00011DE9" w14:paraId="380C73D2"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EDCAEC" w14:textId="77777777" w:rsidR="00011DE9" w:rsidRDefault="00011DE9">
            <w:pPr>
              <w:pStyle w:val="P68B1DB1-Normal78"/>
              <w:spacing w:after="0" w:line="240" w:lineRule="auto"/>
              <w:jc w:val="center"/>
              <w:rPr>
                <w:noProof/>
                <w:szCs w:val="20"/>
              </w:rPr>
            </w:pPr>
            <w:r>
              <w:rPr>
                <w:noProof/>
              </w:rPr>
              <w:t>107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E8E87F7" w14:textId="77777777" w:rsidR="00011DE9" w:rsidRDefault="00011DE9">
            <w:pPr>
              <w:pStyle w:val="P68B1DB1-Normal78"/>
              <w:spacing w:after="0" w:line="240" w:lineRule="auto"/>
              <w:rPr>
                <w:noProof/>
                <w:szCs w:val="20"/>
              </w:rPr>
            </w:pPr>
            <w:r>
              <w:rPr>
                <w:noProof/>
              </w:rPr>
              <w:t>C7.R1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D02EC77"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43673FD" w14:textId="77777777" w:rsidR="00011DE9" w:rsidRDefault="00011DE9">
            <w:pPr>
              <w:pStyle w:val="P68B1DB1-Normal78"/>
              <w:spacing w:after="0" w:line="240" w:lineRule="auto"/>
              <w:rPr>
                <w:noProof/>
                <w:szCs w:val="20"/>
              </w:rPr>
            </w:pPr>
            <w:r>
              <w:rPr>
                <w:noProof/>
              </w:rPr>
              <w:t xml:space="preserve">Capacitatea suplimentară cumulată de energie din surse regenerabile instalată în Spania </w:t>
            </w:r>
          </w:p>
        </w:tc>
      </w:tr>
      <w:tr w:rsidR="00011DE9" w14:paraId="7B216F61"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0C420FF" w14:textId="77777777" w:rsidR="00011DE9" w:rsidRDefault="00011DE9">
            <w:pPr>
              <w:pStyle w:val="P68B1DB1-Normal78"/>
              <w:spacing w:after="0" w:line="240" w:lineRule="auto"/>
              <w:jc w:val="center"/>
              <w:rPr>
                <w:rFonts w:eastAsia="Times New Roman" w:cs="Times New Roman"/>
                <w:noProof/>
                <w:szCs w:val="20"/>
              </w:rPr>
            </w:pPr>
            <w:r>
              <w:rPr>
                <w:noProof/>
              </w:rPr>
              <w:t>109</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0F32AB16" w14:textId="77777777" w:rsidR="00011DE9" w:rsidRDefault="00011DE9">
            <w:pPr>
              <w:pStyle w:val="P68B1DB1-Normal78"/>
              <w:spacing w:after="0" w:line="240" w:lineRule="auto"/>
              <w:rPr>
                <w:rFonts w:eastAsia="Times New Roman" w:cs="Times New Roman"/>
                <w:noProof/>
                <w:szCs w:val="20"/>
              </w:rPr>
            </w:pPr>
            <w:r>
              <w:rPr>
                <w:noProof/>
              </w:rPr>
              <w:t>C7.R2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25DA134E" w14:textId="77777777" w:rsidR="00011DE9" w:rsidRDefault="00011DE9">
            <w:pPr>
              <w:pStyle w:val="P68B1DB1-Normal78"/>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3A236689" w14:textId="77777777" w:rsidR="00011DE9" w:rsidRDefault="00011DE9">
            <w:pPr>
              <w:pStyle w:val="P68B1DB1-Normal78"/>
              <w:spacing w:after="0" w:line="240" w:lineRule="auto"/>
              <w:rPr>
                <w:rFonts w:eastAsia="Times New Roman" w:cs="Times New Roman"/>
                <w:noProof/>
                <w:szCs w:val="20"/>
              </w:rPr>
            </w:pPr>
            <w:r>
              <w:rPr>
                <w:noProof/>
              </w:rPr>
              <w:t>Finalizarea măsurilor din cadrul Strategiei naționale privind autoconsumul</w:t>
            </w:r>
          </w:p>
        </w:tc>
      </w:tr>
      <w:tr w:rsidR="00011DE9" w14:paraId="0B685FEA"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CBAE5BB" w14:textId="77777777" w:rsidR="00011DE9" w:rsidRDefault="00011DE9">
            <w:pPr>
              <w:pStyle w:val="P68B1DB1-Normal78"/>
              <w:spacing w:after="0" w:line="240" w:lineRule="auto"/>
              <w:jc w:val="center"/>
              <w:rPr>
                <w:rFonts w:eastAsia="Times New Roman" w:cs="Times New Roman"/>
                <w:noProof/>
                <w:szCs w:val="20"/>
              </w:rPr>
            </w:pPr>
            <w:r>
              <w:rPr>
                <w:noProof/>
              </w:rPr>
              <w:t>113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390C1CC3" w14:textId="77777777" w:rsidR="00011DE9" w:rsidRDefault="00011DE9">
            <w:pPr>
              <w:pStyle w:val="P68B1DB1-Normal78"/>
              <w:spacing w:after="0" w:line="240" w:lineRule="auto"/>
              <w:rPr>
                <w:rFonts w:eastAsia="Times New Roman" w:cs="Times New Roman"/>
                <w:noProof/>
                <w:szCs w:val="20"/>
              </w:rPr>
            </w:pPr>
            <w:r>
              <w:rPr>
                <w:noProof/>
              </w:rPr>
              <w:t>C7.R4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20B838E9" w14:textId="77777777" w:rsidR="00011DE9" w:rsidRDefault="00011DE9">
            <w:pPr>
              <w:pStyle w:val="P68B1DB1-Normal78"/>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566C14D7" w14:textId="77777777" w:rsidR="00011DE9" w:rsidRDefault="00011DE9">
            <w:pPr>
              <w:pStyle w:val="P68B1DB1-Normal78"/>
              <w:spacing w:after="0" w:line="240" w:lineRule="auto"/>
              <w:rPr>
                <w:rFonts w:eastAsia="Times New Roman" w:cs="Times New Roman"/>
                <w:noProof/>
                <w:szCs w:val="20"/>
              </w:rPr>
            </w:pPr>
            <w:r>
              <w:rPr>
                <w:noProof/>
              </w:rPr>
              <w:t>Intrarea în vigoare a măsurilor de reglementare identificate în harta energiei eoliene offshore și a altor tipuri de energie marină</w:t>
            </w:r>
          </w:p>
        </w:tc>
      </w:tr>
      <w:tr w:rsidR="00011DE9" w14:paraId="05B0E08D"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344563" w14:textId="77777777" w:rsidR="00011DE9" w:rsidRDefault="00011DE9">
            <w:pPr>
              <w:pStyle w:val="P68B1DB1-Normal78"/>
              <w:spacing w:after="0" w:line="240" w:lineRule="auto"/>
              <w:jc w:val="center"/>
              <w:rPr>
                <w:noProof/>
                <w:szCs w:val="20"/>
              </w:rPr>
            </w:pPr>
            <w:r>
              <w:rPr>
                <w:noProof/>
              </w:rPr>
              <w:t>114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7656B556" w14:textId="77777777" w:rsidR="00011DE9" w:rsidRDefault="00011DE9">
            <w:pPr>
              <w:pStyle w:val="P68B1DB1-Normal78"/>
              <w:spacing w:after="0" w:line="240" w:lineRule="auto"/>
              <w:rPr>
                <w:noProof/>
                <w:szCs w:val="20"/>
              </w:rPr>
            </w:pPr>
            <w:r>
              <w:rPr>
                <w:noProof/>
              </w:rPr>
              <w:t>C7.R4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7777A44B" w14:textId="77777777" w:rsidR="00011DE9" w:rsidRDefault="00011DE9">
            <w:pPr>
              <w:pStyle w:val="P68B1DB1-Normal78"/>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3E6BB6B" w14:textId="77777777" w:rsidR="00011DE9" w:rsidRDefault="00011DE9">
            <w:pPr>
              <w:pStyle w:val="P68B1DB1-Normal78"/>
              <w:spacing w:after="0" w:line="240" w:lineRule="auto"/>
              <w:rPr>
                <w:noProof/>
                <w:szCs w:val="20"/>
              </w:rPr>
            </w:pPr>
            <w:r>
              <w:rPr>
                <w:noProof/>
              </w:rPr>
              <w:t>Finalizarea măsurilor identificate în foaia de parcurs privind biogazul</w:t>
            </w:r>
          </w:p>
        </w:tc>
      </w:tr>
      <w:tr w:rsidR="00011DE9" w14:paraId="2921EBDD"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A32B2E" w14:textId="77777777" w:rsidR="00011DE9" w:rsidRDefault="00011DE9">
            <w:pPr>
              <w:pStyle w:val="P68B1DB1-Normal78"/>
              <w:spacing w:after="0" w:line="240" w:lineRule="auto"/>
              <w:jc w:val="center"/>
              <w:rPr>
                <w:noProof/>
                <w:szCs w:val="20"/>
              </w:rPr>
            </w:pPr>
            <w:r>
              <w:rPr>
                <w:noProof/>
              </w:rPr>
              <w:t>116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27BC7920" w14:textId="77777777" w:rsidR="00011DE9" w:rsidRDefault="00011DE9">
            <w:pPr>
              <w:pStyle w:val="P68B1DB1-Normal78"/>
              <w:spacing w:after="0" w:line="240" w:lineRule="auto"/>
              <w:rPr>
                <w:noProof/>
                <w:szCs w:val="20"/>
              </w:rPr>
            </w:pPr>
            <w:r>
              <w:rPr>
                <w:noProof/>
              </w:rPr>
              <w:t>C7.I1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047F8C62" w14:textId="77777777" w:rsidR="00011DE9" w:rsidRDefault="00011DE9">
            <w:pPr>
              <w:pStyle w:val="P68B1DB1-Normal78"/>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C393138" w14:textId="77777777" w:rsidR="00011DE9" w:rsidRDefault="00011DE9">
            <w:pPr>
              <w:pStyle w:val="P68B1DB1-Normal78"/>
              <w:spacing w:after="0" w:line="240" w:lineRule="auto"/>
              <w:rPr>
                <w:noProof/>
                <w:szCs w:val="20"/>
              </w:rPr>
            </w:pPr>
            <w:r>
              <w:rPr>
                <w:noProof/>
              </w:rPr>
              <w:t>Noi proiecte, tehnologii sau instalații de infrastructură pentru energia din surse regenerabile marine</w:t>
            </w:r>
          </w:p>
        </w:tc>
      </w:tr>
      <w:tr w:rsidR="00011DE9" w14:paraId="4415545E"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6251CF" w14:textId="77777777" w:rsidR="00011DE9" w:rsidRDefault="00011DE9">
            <w:pPr>
              <w:pStyle w:val="P68B1DB1-Normal78"/>
              <w:spacing w:after="0" w:line="240" w:lineRule="auto"/>
              <w:jc w:val="center"/>
              <w:rPr>
                <w:noProof/>
                <w:szCs w:val="20"/>
              </w:rPr>
            </w:pPr>
            <w:r>
              <w:rPr>
                <w:noProof/>
              </w:rPr>
              <w:t>118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77E9217A" w14:textId="77777777" w:rsidR="00011DE9" w:rsidRDefault="00011DE9">
            <w:pPr>
              <w:pStyle w:val="P68B1DB1-Normal78"/>
              <w:spacing w:after="0" w:line="240" w:lineRule="auto"/>
              <w:rPr>
                <w:noProof/>
                <w:szCs w:val="20"/>
              </w:rPr>
            </w:pPr>
            <w:r>
              <w:rPr>
                <w:noProof/>
              </w:rPr>
              <w:t>C7.I2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5B636C3" w14:textId="77777777" w:rsidR="00011DE9" w:rsidRDefault="00011DE9">
            <w:pPr>
              <w:pStyle w:val="P68B1DB1-Normal78"/>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7A5FB0FA" w14:textId="77777777" w:rsidR="00011DE9" w:rsidRDefault="00011DE9">
            <w:pPr>
              <w:pStyle w:val="P68B1DB1-Normal78"/>
              <w:spacing w:after="0" w:line="240" w:lineRule="auto"/>
              <w:rPr>
                <w:noProof/>
                <w:szCs w:val="20"/>
              </w:rPr>
            </w:pPr>
            <w:r>
              <w:rPr>
                <w:noProof/>
              </w:rPr>
              <w:t xml:space="preserve">Biroul pentru energie curată și proiecte inteligente pentru insule </w:t>
            </w:r>
          </w:p>
        </w:tc>
      </w:tr>
      <w:tr w:rsidR="00011DE9" w14:paraId="4C6B24CE"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1526335" w14:textId="77777777" w:rsidR="00011DE9" w:rsidRDefault="00011DE9">
            <w:pPr>
              <w:pStyle w:val="P68B1DB1-Normal78"/>
              <w:spacing w:after="0" w:line="240" w:lineRule="auto"/>
              <w:jc w:val="center"/>
              <w:rPr>
                <w:rFonts w:eastAsia="Times New Roman" w:cs="Times New Roman"/>
                <w:noProof/>
                <w:szCs w:val="20"/>
              </w:rPr>
            </w:pPr>
            <w:r>
              <w:rPr>
                <w:noProof/>
              </w:rPr>
              <w:t>131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50B49F8D" w14:textId="77777777" w:rsidR="00011DE9" w:rsidRDefault="00011DE9">
            <w:pPr>
              <w:pStyle w:val="P68B1DB1-Normal78"/>
              <w:spacing w:after="0" w:line="240" w:lineRule="auto"/>
              <w:rPr>
                <w:rFonts w:eastAsia="Times New Roman" w:cs="Times New Roman"/>
                <w:noProof/>
                <w:szCs w:val="20"/>
              </w:rPr>
            </w:pPr>
            <w:r>
              <w:rPr>
                <w:noProof/>
              </w:rPr>
              <w:t>C9.I1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C59C003" w14:textId="77777777" w:rsidR="00011DE9" w:rsidRDefault="00011DE9">
            <w:pPr>
              <w:pStyle w:val="P68B1DB1-Normal78"/>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5A280596" w14:textId="77777777" w:rsidR="00011DE9" w:rsidRDefault="00011DE9">
            <w:pPr>
              <w:pStyle w:val="P68B1DB1-Normal78"/>
              <w:spacing w:after="0" w:line="240" w:lineRule="auto"/>
              <w:rPr>
                <w:rFonts w:eastAsia="Times New Roman" w:cs="Times New Roman"/>
                <w:noProof/>
                <w:szCs w:val="20"/>
              </w:rPr>
            </w:pPr>
            <w:r>
              <w:rPr>
                <w:noProof/>
              </w:rPr>
              <w:t>Schemă de sprijinire a hidrogenului din surse regenerabile: Instituirea sistemului</w:t>
            </w:r>
          </w:p>
        </w:tc>
      </w:tr>
      <w:tr w:rsidR="00011DE9" w14:paraId="45F4FC39"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56FE075" w14:textId="77777777" w:rsidR="00011DE9" w:rsidRDefault="00011DE9">
            <w:pPr>
              <w:pStyle w:val="P68B1DB1-Normal78"/>
              <w:spacing w:after="0" w:line="240" w:lineRule="auto"/>
              <w:jc w:val="center"/>
              <w:rPr>
                <w:noProof/>
                <w:szCs w:val="20"/>
              </w:rPr>
            </w:pPr>
            <w:r>
              <w:rPr>
                <w:noProof/>
              </w:rPr>
              <w:t>132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7002B860" w14:textId="77777777" w:rsidR="00011DE9" w:rsidRDefault="00011DE9">
            <w:pPr>
              <w:pStyle w:val="P68B1DB1-Normal78"/>
              <w:spacing w:after="0" w:line="240" w:lineRule="auto"/>
              <w:rPr>
                <w:noProof/>
                <w:szCs w:val="20"/>
              </w:rPr>
            </w:pPr>
            <w:r>
              <w:rPr>
                <w:noProof/>
              </w:rPr>
              <w:t>C9.I1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3682CD8"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3E8D1896" w14:textId="77777777" w:rsidR="00011DE9" w:rsidRDefault="00011DE9">
            <w:pPr>
              <w:pStyle w:val="P68B1DB1-Normal78"/>
              <w:spacing w:after="0" w:line="240" w:lineRule="auto"/>
              <w:rPr>
                <w:noProof/>
                <w:szCs w:val="20"/>
              </w:rPr>
            </w:pPr>
            <w:r>
              <w:rPr>
                <w:noProof/>
              </w:rPr>
              <w:t>Schemă de sprijinire a hidrogenului din surse regenerabile: Acorduri juridice semnate cu beneficiarii finali sau rezoluții privind atribuirea finală publicate (I)</w:t>
            </w:r>
          </w:p>
        </w:tc>
      </w:tr>
      <w:tr w:rsidR="00011DE9" w14:paraId="3F2D7AAF"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27CE65B" w14:textId="77777777" w:rsidR="00011DE9" w:rsidRDefault="00011DE9">
            <w:pPr>
              <w:pStyle w:val="P68B1DB1-Normal78"/>
              <w:spacing w:after="0" w:line="240" w:lineRule="auto"/>
              <w:jc w:val="center"/>
              <w:rPr>
                <w:rFonts w:eastAsia="Times New Roman" w:cs="Times New Roman"/>
                <w:noProof/>
                <w:szCs w:val="20"/>
              </w:rPr>
            </w:pPr>
            <w:r>
              <w:rPr>
                <w:noProof/>
              </w:rPr>
              <w:t>138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6C9E0E1E" w14:textId="77777777" w:rsidR="00011DE9" w:rsidRDefault="00011DE9">
            <w:pPr>
              <w:pStyle w:val="P68B1DB1-Normal78"/>
              <w:spacing w:after="0" w:line="240" w:lineRule="auto"/>
              <w:rPr>
                <w:rFonts w:eastAsia="Times New Roman" w:cs="Times New Roman"/>
                <w:noProof/>
                <w:szCs w:val="20"/>
              </w:rPr>
            </w:pPr>
            <w:r>
              <w:rPr>
                <w:noProof/>
              </w:rPr>
              <w:t>C10.R1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069085AB" w14:textId="77777777" w:rsidR="00011DE9" w:rsidRDefault="00011DE9">
            <w:pPr>
              <w:pStyle w:val="P68B1DB1-Normal78"/>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7164B2D5" w14:textId="77777777" w:rsidR="00011DE9" w:rsidRDefault="00011DE9">
            <w:pPr>
              <w:pStyle w:val="P68B1DB1-Normal78"/>
              <w:spacing w:after="0" w:line="240" w:lineRule="auto"/>
              <w:rPr>
                <w:rFonts w:eastAsia="Times New Roman" w:cs="Times New Roman"/>
                <w:noProof/>
                <w:szCs w:val="20"/>
              </w:rPr>
            </w:pPr>
            <w:r>
              <w:rPr>
                <w:noProof/>
              </w:rPr>
              <w:t xml:space="preserve">Protocoalele pentru o tranziție justă și Consiliul consultativ </w:t>
            </w:r>
          </w:p>
        </w:tc>
      </w:tr>
      <w:tr w:rsidR="00011DE9" w14:paraId="4D49E867"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EC8553A" w14:textId="77777777" w:rsidR="00011DE9" w:rsidRDefault="00011DE9">
            <w:pPr>
              <w:pStyle w:val="P68B1DB1-Normal78"/>
              <w:spacing w:after="0" w:line="240" w:lineRule="auto"/>
              <w:jc w:val="center"/>
              <w:rPr>
                <w:rFonts w:eastAsia="Times New Roman" w:cs="Times New Roman"/>
                <w:noProof/>
                <w:szCs w:val="20"/>
              </w:rPr>
            </w:pPr>
            <w:r>
              <w:rPr>
                <w:noProof/>
              </w:rPr>
              <w:t>433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767A811C" w14:textId="77777777" w:rsidR="00011DE9" w:rsidRDefault="00011DE9">
            <w:pPr>
              <w:pStyle w:val="P68B1DB1-Normal78"/>
              <w:spacing w:after="0" w:line="240" w:lineRule="auto"/>
              <w:rPr>
                <w:rFonts w:eastAsia="Times New Roman" w:cs="Times New Roman"/>
                <w:noProof/>
                <w:szCs w:val="20"/>
              </w:rPr>
            </w:pPr>
            <w:r>
              <w:rPr>
                <w:noProof/>
              </w:rPr>
              <w:t>C11.R1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4B816B7" w14:textId="77777777" w:rsidR="00011DE9" w:rsidRDefault="00011DE9">
            <w:pPr>
              <w:pStyle w:val="P68B1DB1-Normal78"/>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354C5AF3" w14:textId="77777777" w:rsidR="00011DE9" w:rsidRDefault="00011DE9">
            <w:pPr>
              <w:pStyle w:val="P68B1DB1-Normal78"/>
              <w:spacing w:after="0" w:line="240" w:lineRule="auto"/>
              <w:rPr>
                <w:rFonts w:eastAsia="Times New Roman" w:cs="Times New Roman"/>
                <w:noProof/>
                <w:szCs w:val="20"/>
              </w:rPr>
            </w:pPr>
            <w:r>
              <w:rPr>
                <w:noProof/>
              </w:rPr>
              <w:t>Actualizarea cadrului național de securitate</w:t>
            </w:r>
          </w:p>
        </w:tc>
      </w:tr>
      <w:tr w:rsidR="00011DE9" w14:paraId="60DD0E66"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765A63D" w14:textId="77777777" w:rsidR="00011DE9" w:rsidRDefault="00011DE9">
            <w:pPr>
              <w:pStyle w:val="P68B1DB1-Normal78"/>
              <w:spacing w:after="0" w:line="240" w:lineRule="auto"/>
              <w:jc w:val="center"/>
              <w:rPr>
                <w:rFonts w:eastAsia="Times New Roman" w:cs="Times New Roman"/>
                <w:noProof/>
                <w:szCs w:val="20"/>
              </w:rPr>
            </w:pPr>
            <w:r>
              <w:rPr>
                <w:noProof/>
              </w:rPr>
              <w:t>434</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01A73E71" w14:textId="77777777" w:rsidR="00011DE9" w:rsidRDefault="00011DE9">
            <w:pPr>
              <w:pStyle w:val="P68B1DB1-Normal78"/>
              <w:spacing w:after="0" w:line="240" w:lineRule="auto"/>
              <w:rPr>
                <w:rFonts w:eastAsia="Times New Roman" w:cs="Times New Roman"/>
                <w:noProof/>
                <w:szCs w:val="20"/>
              </w:rPr>
            </w:pPr>
            <w:r>
              <w:rPr>
                <w:noProof/>
              </w:rPr>
              <w:t>C11.R2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08132515" w14:textId="77777777" w:rsidR="00011DE9" w:rsidRDefault="00011DE9">
            <w:pPr>
              <w:pStyle w:val="P68B1DB1-Normal78"/>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61825AAA" w14:textId="77777777" w:rsidR="00011DE9" w:rsidRDefault="00011DE9">
            <w:pPr>
              <w:pStyle w:val="P68B1DB1-Normal78"/>
              <w:spacing w:after="0" w:line="240" w:lineRule="auto"/>
              <w:rPr>
                <w:rFonts w:eastAsia="Times New Roman" w:cs="Times New Roman"/>
                <w:noProof/>
                <w:szCs w:val="20"/>
              </w:rPr>
            </w:pPr>
            <w:r>
              <w:rPr>
                <w:noProof/>
              </w:rPr>
              <w:t>Intrarea în vigoare a Legii privind eficiența organizațională și procedurală</w:t>
            </w:r>
          </w:p>
        </w:tc>
      </w:tr>
      <w:tr w:rsidR="00011DE9" w14:paraId="3F54A0D7"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B7E5119" w14:textId="77777777" w:rsidR="00011DE9" w:rsidRDefault="00011DE9">
            <w:pPr>
              <w:pStyle w:val="P68B1DB1-Normal78"/>
              <w:spacing w:after="0" w:line="240" w:lineRule="auto"/>
              <w:jc w:val="center"/>
              <w:rPr>
                <w:rFonts w:eastAsia="Times New Roman" w:cs="Times New Roman"/>
                <w:noProof/>
                <w:szCs w:val="20"/>
              </w:rPr>
            </w:pPr>
            <w:r>
              <w:rPr>
                <w:noProof/>
              </w:rPr>
              <w:t>435</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57F9F117" w14:textId="77777777" w:rsidR="00011DE9" w:rsidRDefault="00011DE9">
            <w:pPr>
              <w:pStyle w:val="P68B1DB1-Normal78"/>
              <w:spacing w:after="0" w:line="240" w:lineRule="auto"/>
              <w:rPr>
                <w:rFonts w:eastAsia="Times New Roman" w:cs="Times New Roman"/>
                <w:noProof/>
                <w:szCs w:val="20"/>
              </w:rPr>
            </w:pPr>
            <w:r>
              <w:rPr>
                <w:noProof/>
              </w:rPr>
              <w:t>C11.R2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2AA2E45C" w14:textId="77777777" w:rsidR="00011DE9" w:rsidRDefault="00011DE9">
            <w:pPr>
              <w:pStyle w:val="P68B1DB1-Normal78"/>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61F7191" w14:textId="77777777" w:rsidR="00011DE9" w:rsidRDefault="00011DE9">
            <w:pPr>
              <w:pStyle w:val="P68B1DB1-Normal78"/>
              <w:spacing w:after="0" w:line="240" w:lineRule="auto"/>
              <w:rPr>
                <w:rFonts w:eastAsia="Times New Roman" w:cs="Times New Roman"/>
                <w:noProof/>
                <w:szCs w:val="20"/>
              </w:rPr>
            </w:pPr>
            <w:r>
              <w:rPr>
                <w:noProof/>
              </w:rPr>
              <w:t>Intrarea în vigoare a Legii privind dreptul la apărare</w:t>
            </w:r>
          </w:p>
        </w:tc>
      </w:tr>
      <w:tr w:rsidR="00011DE9" w14:paraId="6572120C"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CAB37CA" w14:textId="77777777" w:rsidR="00011DE9" w:rsidRDefault="00011DE9">
            <w:pPr>
              <w:pStyle w:val="P68B1DB1-Normal78"/>
              <w:spacing w:after="0" w:line="240" w:lineRule="auto"/>
              <w:jc w:val="center"/>
              <w:rPr>
                <w:rFonts w:eastAsia="Times New Roman" w:cs="Times New Roman"/>
                <w:noProof/>
                <w:szCs w:val="20"/>
              </w:rPr>
            </w:pPr>
            <w:r>
              <w:rPr>
                <w:noProof/>
              </w:rPr>
              <w:t>437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3F881880" w14:textId="77777777" w:rsidR="00011DE9" w:rsidRDefault="00011DE9">
            <w:pPr>
              <w:pStyle w:val="P68B1DB1-Normal78"/>
              <w:spacing w:after="0" w:line="240" w:lineRule="auto"/>
              <w:rPr>
                <w:rFonts w:eastAsia="Times New Roman" w:cs="Times New Roman"/>
                <w:noProof/>
                <w:szCs w:val="20"/>
              </w:rPr>
            </w:pPr>
            <w:r>
              <w:rPr>
                <w:noProof/>
              </w:rPr>
              <w:t>C11.R3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6320B15A" w14:textId="77777777" w:rsidR="00011DE9" w:rsidRDefault="00011DE9">
            <w:pPr>
              <w:pStyle w:val="P68B1DB1-Normal78"/>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7840B524" w14:textId="77777777" w:rsidR="00011DE9" w:rsidRDefault="00011DE9">
            <w:pPr>
              <w:pStyle w:val="P68B1DB1-Normal78"/>
              <w:spacing w:after="0" w:line="240" w:lineRule="auto"/>
              <w:rPr>
                <w:rFonts w:eastAsia="Times New Roman" w:cs="Times New Roman"/>
                <w:noProof/>
                <w:szCs w:val="20"/>
              </w:rPr>
            </w:pPr>
            <w:r>
              <w:rPr>
                <w:noProof/>
              </w:rPr>
              <w:t xml:space="preserve">Publicarea raportului bienal privind riscurile legate de schimbările climatice </w:t>
            </w:r>
          </w:p>
        </w:tc>
      </w:tr>
      <w:tr w:rsidR="00011DE9" w14:paraId="13DF6C2A"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2B4CD2" w14:textId="77777777" w:rsidR="00011DE9" w:rsidRDefault="00011DE9">
            <w:pPr>
              <w:pStyle w:val="P68B1DB1-Normal78"/>
              <w:spacing w:after="0" w:line="240" w:lineRule="auto"/>
              <w:jc w:val="center"/>
              <w:rPr>
                <w:noProof/>
                <w:szCs w:val="20"/>
              </w:rPr>
            </w:pPr>
            <w:r>
              <w:rPr>
                <w:noProof/>
              </w:rPr>
              <w:t>160</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6C2EF4CB" w14:textId="77777777" w:rsidR="00011DE9" w:rsidRDefault="00011DE9">
            <w:pPr>
              <w:pStyle w:val="P68B1DB1-Normal78"/>
              <w:spacing w:after="0" w:line="240" w:lineRule="auto"/>
              <w:rPr>
                <w:noProof/>
                <w:szCs w:val="20"/>
              </w:rPr>
            </w:pPr>
            <w:r>
              <w:rPr>
                <w:noProof/>
              </w:rPr>
              <w:t>C11.I1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60720E26" w14:textId="77777777" w:rsidR="00011DE9" w:rsidRDefault="00011DE9">
            <w:pPr>
              <w:pStyle w:val="P68B1DB1-Normal78"/>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1295B222" w14:textId="77777777" w:rsidR="00011DE9" w:rsidRDefault="00011DE9">
            <w:pPr>
              <w:pStyle w:val="P68B1DB1-Normal78"/>
              <w:spacing w:after="0" w:line="240" w:lineRule="auto"/>
              <w:rPr>
                <w:noProof/>
                <w:szCs w:val="20"/>
              </w:rPr>
            </w:pPr>
            <w:r>
              <w:rPr>
                <w:noProof/>
              </w:rPr>
              <w:t>Interconectarea platformelor naționale de achiziții publice</w:t>
            </w:r>
          </w:p>
        </w:tc>
      </w:tr>
      <w:tr w:rsidR="00011DE9" w14:paraId="4C540357"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45485E" w14:textId="77777777" w:rsidR="00011DE9" w:rsidRDefault="00011DE9">
            <w:pPr>
              <w:pStyle w:val="P68B1DB1-Normal78"/>
              <w:spacing w:after="0" w:line="240" w:lineRule="auto"/>
              <w:jc w:val="center"/>
              <w:rPr>
                <w:noProof/>
                <w:szCs w:val="20"/>
              </w:rPr>
            </w:pPr>
            <w:r>
              <w:rPr>
                <w:noProof/>
              </w:rPr>
              <w:t>163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65F6386E" w14:textId="77777777" w:rsidR="00011DE9" w:rsidRDefault="00011DE9">
            <w:pPr>
              <w:pStyle w:val="P68B1DB1-Normal78"/>
              <w:spacing w:after="0" w:line="240" w:lineRule="auto"/>
              <w:rPr>
                <w:noProof/>
                <w:szCs w:val="20"/>
              </w:rPr>
            </w:pPr>
            <w:r>
              <w:rPr>
                <w:noProof/>
              </w:rPr>
              <w:t>C11.I2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31DFBE96" w14:textId="77777777" w:rsidR="00011DE9" w:rsidRDefault="00011DE9">
            <w:pPr>
              <w:pStyle w:val="P68B1DB1-Normal78"/>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6F9F462C" w14:textId="77777777" w:rsidR="00011DE9" w:rsidRDefault="00011DE9">
            <w:pPr>
              <w:pStyle w:val="P68B1DB1-Normal78"/>
              <w:spacing w:after="0" w:line="240" w:lineRule="auto"/>
              <w:rPr>
                <w:noProof/>
                <w:szCs w:val="20"/>
              </w:rPr>
            </w:pPr>
            <w:r>
              <w:rPr>
                <w:noProof/>
              </w:rPr>
              <w:t>Platforme interoperabile pentru schimbul de date privind securitatea socială și sănătatea</w:t>
            </w:r>
          </w:p>
        </w:tc>
      </w:tr>
      <w:tr w:rsidR="00011DE9" w14:paraId="67C6B83C"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10F619" w14:textId="77777777" w:rsidR="00011DE9" w:rsidRDefault="00011DE9">
            <w:pPr>
              <w:pStyle w:val="P68B1DB1-Normal78"/>
              <w:spacing w:after="0" w:line="240" w:lineRule="auto"/>
              <w:jc w:val="center"/>
              <w:rPr>
                <w:noProof/>
                <w:szCs w:val="20"/>
              </w:rPr>
            </w:pPr>
            <w:r>
              <w:rPr>
                <w:noProof/>
              </w:rPr>
              <w:t>167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7BBE0095" w14:textId="77777777" w:rsidR="00011DE9" w:rsidRDefault="00011DE9">
            <w:pPr>
              <w:pStyle w:val="P68B1DB1-Normal78"/>
              <w:spacing w:after="0" w:line="240" w:lineRule="auto"/>
              <w:rPr>
                <w:noProof/>
                <w:szCs w:val="20"/>
              </w:rPr>
            </w:pPr>
            <w:r>
              <w:rPr>
                <w:noProof/>
              </w:rPr>
              <w:t>C11.I3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3295CB9" w14:textId="77777777" w:rsidR="00011DE9" w:rsidRDefault="00011DE9">
            <w:pPr>
              <w:pStyle w:val="P68B1DB1-Normal78"/>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4D70425" w14:textId="77777777" w:rsidR="00011DE9" w:rsidRDefault="00011DE9">
            <w:pPr>
              <w:pStyle w:val="P68B1DB1-Normal78"/>
              <w:spacing w:after="0" w:line="240" w:lineRule="auto"/>
              <w:rPr>
                <w:noProof/>
                <w:szCs w:val="20"/>
              </w:rPr>
            </w:pPr>
            <w:r>
              <w:rPr>
                <w:noProof/>
              </w:rPr>
              <w:t>Digitalizarea entităților regionale și locale</w:t>
            </w:r>
          </w:p>
        </w:tc>
      </w:tr>
      <w:tr w:rsidR="00011DE9" w14:paraId="36CABB12"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96C9DC" w14:textId="77777777" w:rsidR="00011DE9" w:rsidRDefault="00011DE9">
            <w:pPr>
              <w:pStyle w:val="P68B1DB1-Normal78"/>
              <w:spacing w:after="0" w:line="240" w:lineRule="auto"/>
              <w:jc w:val="center"/>
              <w:rPr>
                <w:rFonts w:eastAsia="Times New Roman" w:cs="Times New Roman"/>
                <w:noProof/>
                <w:szCs w:val="20"/>
              </w:rPr>
            </w:pPr>
            <w:r>
              <w:rPr>
                <w:noProof/>
              </w:rPr>
              <w:t>442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2CCAE4A0" w14:textId="77777777" w:rsidR="00011DE9" w:rsidRDefault="00011DE9">
            <w:pPr>
              <w:pStyle w:val="P68B1DB1-Normal78"/>
              <w:spacing w:after="0" w:line="240" w:lineRule="auto"/>
              <w:rPr>
                <w:rFonts w:eastAsia="Times New Roman" w:cs="Times New Roman"/>
                <w:noProof/>
                <w:szCs w:val="20"/>
              </w:rPr>
            </w:pPr>
            <w:r>
              <w:rPr>
                <w:noProof/>
              </w:rPr>
              <w:t>C12.I3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7EB19095" w14:textId="77777777" w:rsidR="00011DE9" w:rsidRDefault="00011DE9">
            <w:pPr>
              <w:pStyle w:val="P68B1DB1-Normal78"/>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7D04A8C0" w14:textId="77777777" w:rsidR="00011DE9" w:rsidRDefault="00011DE9">
            <w:pPr>
              <w:pStyle w:val="P68B1DB1-Normal78"/>
              <w:spacing w:after="0" w:line="240" w:lineRule="auto"/>
              <w:rPr>
                <w:rFonts w:eastAsia="Times New Roman" w:cs="Times New Roman"/>
                <w:noProof/>
                <w:szCs w:val="20"/>
              </w:rPr>
            </w:pPr>
            <w:r>
              <w:rPr>
                <w:noProof/>
              </w:rPr>
              <w:t>Distribuirea granturilor pentru punerea în aplicare a proiectelor de implementare a deșeurilor.</w:t>
            </w:r>
          </w:p>
        </w:tc>
      </w:tr>
      <w:tr w:rsidR="00011DE9" w14:paraId="382DAAB6"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777BFB" w14:textId="77777777" w:rsidR="00011DE9" w:rsidRDefault="00011DE9">
            <w:pPr>
              <w:pStyle w:val="P68B1DB1-Normal78"/>
              <w:spacing w:after="0" w:line="240" w:lineRule="auto"/>
              <w:jc w:val="center"/>
              <w:rPr>
                <w:rFonts w:eastAsia="Times New Roman" w:cs="Times New Roman"/>
                <w:noProof/>
                <w:szCs w:val="20"/>
              </w:rPr>
            </w:pPr>
            <w:r>
              <w:rPr>
                <w:noProof/>
              </w:rPr>
              <w:t>451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74DC08DF" w14:textId="77777777" w:rsidR="00011DE9" w:rsidRDefault="00011DE9">
            <w:pPr>
              <w:pStyle w:val="P68B1DB1-Normal78"/>
              <w:spacing w:after="0" w:line="240" w:lineRule="auto"/>
              <w:rPr>
                <w:rFonts w:eastAsia="Times New Roman" w:cs="Times New Roman"/>
                <w:noProof/>
                <w:szCs w:val="20"/>
              </w:rPr>
            </w:pPr>
            <w:r>
              <w:rPr>
                <w:noProof/>
              </w:rPr>
              <w:t>C13.R2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384D5829" w14:textId="77777777" w:rsidR="00011DE9" w:rsidRDefault="00011DE9">
            <w:pPr>
              <w:pStyle w:val="P68B1DB1-Normal78"/>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A3BEE32" w14:textId="77777777" w:rsidR="00011DE9" w:rsidRDefault="00011DE9">
            <w:pPr>
              <w:pStyle w:val="P68B1DB1-Normal78"/>
              <w:spacing w:after="0" w:line="240" w:lineRule="auto"/>
              <w:rPr>
                <w:rFonts w:eastAsia="Times New Roman" w:cs="Times New Roman"/>
                <w:noProof/>
                <w:szCs w:val="20"/>
              </w:rPr>
            </w:pPr>
            <w:r>
              <w:rPr>
                <w:noProof/>
              </w:rPr>
              <w:t>Intrarea în vigoare a modificării Legii nr. 14/2013 din 27 septembrie privind sprijinirea antreprenorilor și internaționalizarea acesteia</w:t>
            </w:r>
          </w:p>
        </w:tc>
      </w:tr>
      <w:tr w:rsidR="00011DE9" w14:paraId="14954F00"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FAEAF2" w14:textId="77777777" w:rsidR="00011DE9" w:rsidRDefault="00011DE9">
            <w:pPr>
              <w:pStyle w:val="P68B1DB1-Normal78"/>
              <w:spacing w:after="0" w:line="240" w:lineRule="auto"/>
              <w:jc w:val="center"/>
              <w:rPr>
                <w:noProof/>
                <w:szCs w:val="20"/>
              </w:rPr>
            </w:pPr>
            <w:r>
              <w:rPr>
                <w:noProof/>
              </w:rPr>
              <w:t>196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7143629" w14:textId="77777777" w:rsidR="00011DE9" w:rsidRDefault="00011DE9">
            <w:pPr>
              <w:pStyle w:val="P68B1DB1-Normal78"/>
              <w:spacing w:after="0" w:line="240" w:lineRule="auto"/>
              <w:rPr>
                <w:noProof/>
                <w:szCs w:val="20"/>
              </w:rPr>
            </w:pPr>
            <w:r>
              <w:rPr>
                <w:noProof/>
              </w:rPr>
              <w:t>C13.I2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7D6E7A1D"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124FA5B8" w14:textId="77777777" w:rsidR="00011DE9" w:rsidRDefault="00011DE9">
            <w:pPr>
              <w:pStyle w:val="P68B1DB1-Normal78"/>
              <w:spacing w:after="0" w:line="240" w:lineRule="auto"/>
              <w:rPr>
                <w:noProof/>
                <w:szCs w:val="20"/>
              </w:rPr>
            </w:pPr>
            <w:r>
              <w:rPr>
                <w:noProof/>
              </w:rPr>
              <w:t>Garanția CERSA</w:t>
            </w:r>
          </w:p>
        </w:tc>
      </w:tr>
      <w:tr w:rsidR="00011DE9" w14:paraId="4A16FA5B"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046D98" w14:textId="77777777" w:rsidR="00011DE9" w:rsidRDefault="00011DE9">
            <w:pPr>
              <w:pStyle w:val="P68B1DB1-Normal78"/>
              <w:spacing w:after="0" w:line="240" w:lineRule="auto"/>
              <w:jc w:val="center"/>
              <w:rPr>
                <w:noProof/>
                <w:szCs w:val="20"/>
              </w:rPr>
            </w:pPr>
            <w:r>
              <w:rPr>
                <w:noProof/>
              </w:rPr>
              <w:t>198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27ED3BB5" w14:textId="77777777" w:rsidR="00011DE9" w:rsidRDefault="00011DE9">
            <w:pPr>
              <w:pStyle w:val="P68B1DB1-Normal78"/>
              <w:spacing w:after="0" w:line="240" w:lineRule="auto"/>
              <w:rPr>
                <w:noProof/>
                <w:szCs w:val="20"/>
              </w:rPr>
            </w:pPr>
            <w:r>
              <w:rPr>
                <w:noProof/>
              </w:rPr>
              <w:t>C13.I2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53186046"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69324F3E" w14:textId="77777777" w:rsidR="00011DE9" w:rsidRDefault="00011DE9">
            <w:pPr>
              <w:pStyle w:val="P68B1DB1-Normal78"/>
              <w:spacing w:after="0" w:line="240" w:lineRule="auto"/>
              <w:rPr>
                <w:noProof/>
                <w:szCs w:val="20"/>
              </w:rPr>
            </w:pPr>
            <w:r>
              <w:rPr>
                <w:noProof/>
              </w:rPr>
              <w:t>IMM-uri sprijinite prin Programul de sprijin pentru antreprenoriatul industrial</w:t>
            </w:r>
          </w:p>
        </w:tc>
      </w:tr>
      <w:tr w:rsidR="00011DE9" w14:paraId="4B6BAF69"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8F400F" w14:textId="77777777" w:rsidR="00011DE9" w:rsidRDefault="00011DE9">
            <w:pPr>
              <w:pStyle w:val="P68B1DB1-Normal78"/>
              <w:spacing w:after="0" w:line="240" w:lineRule="auto"/>
              <w:jc w:val="center"/>
              <w:rPr>
                <w:noProof/>
                <w:szCs w:val="20"/>
              </w:rPr>
            </w:pPr>
            <w:r>
              <w:rPr>
                <w:noProof/>
              </w:rPr>
              <w:t>210</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089978D6" w14:textId="77777777" w:rsidR="00011DE9" w:rsidRDefault="00011DE9">
            <w:pPr>
              <w:pStyle w:val="P68B1DB1-Normal78"/>
              <w:spacing w:after="0" w:line="240" w:lineRule="auto"/>
              <w:rPr>
                <w:noProof/>
                <w:szCs w:val="20"/>
              </w:rPr>
            </w:pPr>
            <w:r>
              <w:rPr>
                <w:noProof/>
              </w:rPr>
              <w:t>C13.I4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02BD671D"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37296DF2" w14:textId="77777777" w:rsidR="00011DE9" w:rsidRDefault="00011DE9">
            <w:pPr>
              <w:pStyle w:val="P68B1DB1-Normal78"/>
              <w:spacing w:after="0" w:line="240" w:lineRule="auto"/>
              <w:rPr>
                <w:noProof/>
                <w:szCs w:val="20"/>
              </w:rPr>
            </w:pPr>
            <w:r>
              <w:rPr>
                <w:noProof/>
              </w:rPr>
              <w:t>IMM-uri și asociații de întreprinderi care au primit sprijin din partea Fondului tehnologic</w:t>
            </w:r>
          </w:p>
        </w:tc>
      </w:tr>
      <w:tr w:rsidR="00011DE9" w14:paraId="1AC43EC9"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353F75" w14:textId="77777777" w:rsidR="00011DE9" w:rsidRDefault="00011DE9">
            <w:pPr>
              <w:pStyle w:val="P68B1DB1-Normal78"/>
              <w:spacing w:after="0" w:line="240" w:lineRule="auto"/>
              <w:jc w:val="center"/>
              <w:rPr>
                <w:noProof/>
                <w:szCs w:val="20"/>
              </w:rPr>
            </w:pPr>
            <w:r>
              <w:rPr>
                <w:noProof/>
              </w:rPr>
              <w:t>219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7ED0766B" w14:textId="77777777" w:rsidR="00011DE9" w:rsidRDefault="00011DE9">
            <w:pPr>
              <w:pStyle w:val="P68B1DB1-Normal78"/>
              <w:spacing w:after="0" w:line="240" w:lineRule="auto"/>
              <w:rPr>
                <w:noProof/>
                <w:szCs w:val="20"/>
              </w:rPr>
            </w:pPr>
            <w:r>
              <w:rPr>
                <w:noProof/>
              </w:rPr>
              <w:t>C14.I1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E5BDE16"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563A52B" w14:textId="77777777" w:rsidR="00011DE9" w:rsidRDefault="00011DE9">
            <w:pPr>
              <w:pStyle w:val="P68B1DB1-Normal78"/>
              <w:spacing w:after="0" w:line="240" w:lineRule="auto"/>
              <w:rPr>
                <w:noProof/>
                <w:szCs w:val="20"/>
              </w:rPr>
            </w:pPr>
            <w:r>
              <w:rPr>
                <w:noProof/>
              </w:rPr>
              <w:t>Atribuirea bugetară a planurilor de promovare a sustenabilității turismului la destinație</w:t>
            </w:r>
          </w:p>
        </w:tc>
      </w:tr>
      <w:tr w:rsidR="00011DE9" w14:paraId="1407904C"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A96887" w14:textId="77777777" w:rsidR="00011DE9" w:rsidRDefault="00011DE9">
            <w:pPr>
              <w:pStyle w:val="P68B1DB1-Normal78"/>
              <w:spacing w:after="0" w:line="240" w:lineRule="auto"/>
              <w:jc w:val="center"/>
              <w:rPr>
                <w:noProof/>
                <w:szCs w:val="20"/>
              </w:rPr>
            </w:pPr>
            <w:r>
              <w:rPr>
                <w:noProof/>
              </w:rPr>
              <w:t>246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7F1BF621" w14:textId="77777777" w:rsidR="00011DE9" w:rsidRDefault="00011DE9">
            <w:pPr>
              <w:pStyle w:val="P68B1DB1-Normal78"/>
              <w:spacing w:after="0" w:line="240" w:lineRule="auto"/>
              <w:rPr>
                <w:noProof/>
                <w:szCs w:val="20"/>
              </w:rPr>
            </w:pPr>
            <w:r>
              <w:rPr>
                <w:noProof/>
              </w:rPr>
              <w:t>C15.I7</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6EBE5030"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1617398D" w14:textId="77777777" w:rsidR="00011DE9" w:rsidRDefault="00011DE9">
            <w:pPr>
              <w:pStyle w:val="P68B1DB1-Normal78"/>
              <w:spacing w:after="0" w:line="240" w:lineRule="auto"/>
              <w:rPr>
                <w:noProof/>
                <w:szCs w:val="20"/>
              </w:rPr>
            </w:pPr>
            <w:r>
              <w:rPr>
                <w:noProof/>
              </w:rPr>
              <w:t>Consolidarea și îmbunătățirea capacităților în materie de securitate cibernetică: Resurse</w:t>
            </w:r>
          </w:p>
        </w:tc>
      </w:tr>
      <w:tr w:rsidR="00011DE9" w14:paraId="60FEAFB3"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375E53" w14:textId="77777777" w:rsidR="00011DE9" w:rsidRDefault="00011DE9">
            <w:pPr>
              <w:pStyle w:val="P68B1DB1-Normal78"/>
              <w:spacing w:after="0" w:line="240" w:lineRule="auto"/>
              <w:jc w:val="center"/>
              <w:rPr>
                <w:rFonts w:eastAsia="Times New Roman" w:cs="Times New Roman"/>
                <w:noProof/>
                <w:szCs w:val="20"/>
              </w:rPr>
            </w:pPr>
            <w:r>
              <w:rPr>
                <w:noProof/>
              </w:rPr>
              <w:t>453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42A37CC" w14:textId="77777777" w:rsidR="00011DE9" w:rsidRDefault="00011DE9">
            <w:pPr>
              <w:pStyle w:val="P68B1DB1-Normal78"/>
              <w:spacing w:after="0" w:line="240" w:lineRule="auto"/>
              <w:rPr>
                <w:rFonts w:eastAsia="Times New Roman" w:cs="Times New Roman"/>
                <w:noProof/>
                <w:szCs w:val="20"/>
              </w:rPr>
            </w:pPr>
            <w:r>
              <w:rPr>
                <w:noProof/>
              </w:rPr>
              <w:t>C15.I7</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22AB55F1" w14:textId="77777777" w:rsidR="00011DE9" w:rsidRDefault="00011DE9">
            <w:pPr>
              <w:pStyle w:val="P68B1DB1-Normal78"/>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20CD2C6" w14:textId="77777777" w:rsidR="00011DE9" w:rsidRDefault="00011DE9">
            <w:pPr>
              <w:pStyle w:val="P68B1DB1-Normal78"/>
              <w:spacing w:after="0" w:line="240" w:lineRule="auto"/>
              <w:rPr>
                <w:rFonts w:eastAsia="Times New Roman" w:cs="Times New Roman"/>
                <w:noProof/>
                <w:szCs w:val="20"/>
              </w:rPr>
            </w:pPr>
            <w:r>
              <w:rPr>
                <w:noProof/>
              </w:rPr>
              <w:t>Lansarea programului național de sprijin pentru industria securității cibernetice, a Programului de inovare în domeniul securității globale și a acțiunilor conexe.</w:t>
            </w:r>
          </w:p>
        </w:tc>
      </w:tr>
      <w:tr w:rsidR="00011DE9" w14:paraId="7BC51E6C"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74197" w14:textId="77777777" w:rsidR="00011DE9" w:rsidRDefault="00011DE9">
            <w:pPr>
              <w:pStyle w:val="P68B1DB1-Normal78"/>
              <w:spacing w:after="0" w:line="240" w:lineRule="auto"/>
              <w:jc w:val="center"/>
              <w:rPr>
                <w:noProof/>
                <w:szCs w:val="20"/>
              </w:rPr>
            </w:pPr>
            <w:r>
              <w:rPr>
                <w:noProof/>
              </w:rPr>
              <w:t>256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C8C1659" w14:textId="77777777" w:rsidR="00011DE9" w:rsidRDefault="00011DE9">
            <w:pPr>
              <w:pStyle w:val="P68B1DB1-Normal78"/>
              <w:spacing w:after="0" w:line="240" w:lineRule="auto"/>
              <w:rPr>
                <w:noProof/>
                <w:szCs w:val="20"/>
              </w:rPr>
            </w:pPr>
            <w:r>
              <w:rPr>
                <w:noProof/>
              </w:rPr>
              <w:t>C17.R2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5421BAA" w14:textId="77777777" w:rsidR="00011DE9" w:rsidRDefault="00011DE9">
            <w:pPr>
              <w:pStyle w:val="P68B1DB1-Normal78"/>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142C1F9A" w14:textId="77777777" w:rsidR="00011DE9" w:rsidRDefault="00011DE9">
            <w:pPr>
              <w:pStyle w:val="P68B1DB1-Normal78"/>
              <w:spacing w:after="0" w:line="240" w:lineRule="auto"/>
              <w:rPr>
                <w:noProof/>
                <w:szCs w:val="20"/>
              </w:rPr>
            </w:pPr>
            <w:r>
              <w:rPr>
                <w:noProof/>
              </w:rPr>
              <w:t xml:space="preserve">Evaluarea la jumătatea perioadei a Strategiei spaniole pentru știință, tehnologie și inovare 2021-2027 </w:t>
            </w:r>
          </w:p>
        </w:tc>
      </w:tr>
      <w:tr w:rsidR="00011DE9" w14:paraId="2DCA0337"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2D2060" w14:textId="77777777" w:rsidR="00011DE9" w:rsidRDefault="00011DE9">
            <w:pPr>
              <w:pStyle w:val="P68B1DB1-Normal78"/>
              <w:spacing w:after="0" w:line="240" w:lineRule="auto"/>
              <w:jc w:val="center"/>
              <w:rPr>
                <w:rFonts w:eastAsia="Times New Roman" w:cs="Times New Roman"/>
                <w:noProof/>
                <w:szCs w:val="20"/>
              </w:rPr>
            </w:pPr>
            <w:r>
              <w:rPr>
                <w:noProof/>
              </w:rPr>
              <w:t>262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623FE88D" w14:textId="77777777" w:rsidR="00011DE9" w:rsidRDefault="00011DE9">
            <w:pPr>
              <w:pStyle w:val="P68B1DB1-Normal78"/>
              <w:spacing w:after="0" w:line="240" w:lineRule="auto"/>
              <w:rPr>
                <w:rFonts w:eastAsia="Times New Roman" w:cs="Times New Roman"/>
                <w:noProof/>
                <w:szCs w:val="20"/>
              </w:rPr>
            </w:pPr>
            <w:r>
              <w:rPr>
                <w:noProof/>
              </w:rPr>
              <w:t>C17.I3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8C955B8" w14:textId="77777777" w:rsidR="00011DE9" w:rsidRDefault="00011DE9">
            <w:pPr>
              <w:pStyle w:val="P68B1DB1-Normal78"/>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6EEA4E48" w14:textId="77777777" w:rsidR="00011DE9" w:rsidRDefault="00011DE9">
            <w:pPr>
              <w:pStyle w:val="P68B1DB1-Normal78"/>
              <w:spacing w:after="0" w:line="240" w:lineRule="auto"/>
              <w:rPr>
                <w:rFonts w:eastAsia="Times New Roman" w:cs="Times New Roman"/>
                <w:noProof/>
                <w:szCs w:val="20"/>
              </w:rPr>
            </w:pPr>
            <w:r>
              <w:rPr>
                <w:noProof/>
              </w:rPr>
              <w:t>Aprobarea proiectelor de C &amp; I cu cel puțin 35 % legate de tranziția verde și digitală</w:t>
            </w:r>
          </w:p>
        </w:tc>
      </w:tr>
      <w:tr w:rsidR="00011DE9" w14:paraId="15A57E50"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EA0D8D" w14:textId="77777777" w:rsidR="00011DE9" w:rsidRDefault="00011DE9">
            <w:pPr>
              <w:pStyle w:val="P68B1DB1-Normal78"/>
              <w:spacing w:after="0" w:line="240" w:lineRule="auto"/>
              <w:jc w:val="center"/>
              <w:rPr>
                <w:rFonts w:eastAsia="Times New Roman" w:cs="Times New Roman"/>
                <w:noProof/>
                <w:szCs w:val="20"/>
              </w:rPr>
            </w:pPr>
            <w:r>
              <w:rPr>
                <w:noProof/>
              </w:rPr>
              <w:t>263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6316B961" w14:textId="77777777" w:rsidR="00011DE9" w:rsidRDefault="00011DE9">
            <w:pPr>
              <w:pStyle w:val="P68B1DB1-Normal78"/>
              <w:spacing w:after="0" w:line="240" w:lineRule="auto"/>
              <w:rPr>
                <w:rFonts w:eastAsia="Times New Roman" w:cs="Times New Roman"/>
                <w:noProof/>
                <w:szCs w:val="20"/>
              </w:rPr>
            </w:pPr>
            <w:r>
              <w:rPr>
                <w:noProof/>
              </w:rPr>
              <w:t>C17.I4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79D2B24D" w14:textId="77777777" w:rsidR="00011DE9" w:rsidRDefault="00011DE9">
            <w:pPr>
              <w:pStyle w:val="P68B1DB1-Normal78"/>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30F1BAD" w14:textId="77777777" w:rsidR="00011DE9" w:rsidRDefault="00011DE9">
            <w:pPr>
              <w:pStyle w:val="P68B1DB1-Normal78"/>
              <w:spacing w:after="0" w:line="240" w:lineRule="auto"/>
              <w:rPr>
                <w:rFonts w:eastAsia="Times New Roman" w:cs="Times New Roman"/>
                <w:noProof/>
                <w:szCs w:val="20"/>
              </w:rPr>
            </w:pPr>
            <w:r>
              <w:rPr>
                <w:noProof/>
              </w:rPr>
              <w:t>Sprijin pentru cariera în domeniul cercetării științifice prin burse și granturi</w:t>
            </w:r>
          </w:p>
        </w:tc>
      </w:tr>
      <w:tr w:rsidR="00011DE9" w14:paraId="32933E22"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EB7AF6" w14:textId="77777777" w:rsidR="00011DE9" w:rsidRDefault="00011DE9">
            <w:pPr>
              <w:pStyle w:val="P68B1DB1-Normal78"/>
              <w:spacing w:after="0" w:line="240" w:lineRule="auto"/>
              <w:jc w:val="center"/>
              <w:rPr>
                <w:noProof/>
                <w:szCs w:val="20"/>
              </w:rPr>
            </w:pPr>
            <w:r>
              <w:rPr>
                <w:noProof/>
              </w:rPr>
              <w:t>265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CD8F62D" w14:textId="77777777" w:rsidR="00011DE9" w:rsidRDefault="00011DE9">
            <w:pPr>
              <w:pStyle w:val="P68B1DB1-Normal78"/>
              <w:spacing w:after="0" w:line="240" w:lineRule="auto"/>
              <w:rPr>
                <w:noProof/>
                <w:szCs w:val="20"/>
              </w:rPr>
            </w:pPr>
            <w:r>
              <w:rPr>
                <w:noProof/>
              </w:rPr>
              <w:t>C17.I5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3A68E8C6"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65B6D842" w14:textId="77777777" w:rsidR="00011DE9" w:rsidRDefault="00011DE9">
            <w:pPr>
              <w:pStyle w:val="P68B1DB1-Normal78"/>
              <w:spacing w:after="0" w:line="240" w:lineRule="auto"/>
              <w:rPr>
                <w:noProof/>
                <w:szCs w:val="20"/>
              </w:rPr>
            </w:pPr>
            <w:r>
              <w:rPr>
                <w:noProof/>
              </w:rPr>
              <w:t xml:space="preserve">Întreprinderile inovatoare și bazate pe tehnologie au primit capital în cadrul programului INNVIERTE pentru a-și consolida activitățile de cercetare într-un stadiu incipient </w:t>
            </w:r>
          </w:p>
        </w:tc>
      </w:tr>
      <w:tr w:rsidR="00011DE9" w14:paraId="548F461B"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3763E" w14:textId="77777777" w:rsidR="00011DE9" w:rsidRDefault="00011DE9">
            <w:pPr>
              <w:pStyle w:val="P68B1DB1-Normal78"/>
              <w:spacing w:after="0" w:line="240" w:lineRule="auto"/>
              <w:jc w:val="center"/>
              <w:rPr>
                <w:noProof/>
                <w:szCs w:val="20"/>
              </w:rPr>
            </w:pPr>
            <w:r>
              <w:rPr>
                <w:noProof/>
              </w:rPr>
              <w:t>266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69C04D6" w14:textId="77777777" w:rsidR="00011DE9" w:rsidRDefault="00011DE9">
            <w:pPr>
              <w:pStyle w:val="P68B1DB1-Normal78"/>
              <w:spacing w:after="0" w:line="240" w:lineRule="auto"/>
              <w:rPr>
                <w:noProof/>
                <w:szCs w:val="20"/>
              </w:rPr>
            </w:pPr>
            <w:r>
              <w:rPr>
                <w:noProof/>
              </w:rPr>
              <w:t>C17.I5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6A725730"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3F87B749" w14:textId="77777777" w:rsidR="00011DE9" w:rsidRDefault="00011DE9">
            <w:pPr>
              <w:pStyle w:val="P68B1DB1-Normal78"/>
              <w:spacing w:after="0" w:line="240" w:lineRule="auto"/>
              <w:rPr>
                <w:noProof/>
                <w:szCs w:val="20"/>
              </w:rPr>
            </w:pPr>
            <w:r>
              <w:rPr>
                <w:noProof/>
              </w:rPr>
              <w:t>Sprijinirea tinerelor întreprinderi bazate pe tehnologie să își continue planul de afaceri.</w:t>
            </w:r>
          </w:p>
        </w:tc>
      </w:tr>
      <w:tr w:rsidR="00011DE9" w14:paraId="3175583E"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816ACE" w14:textId="77777777" w:rsidR="00011DE9" w:rsidRDefault="00011DE9">
            <w:pPr>
              <w:pStyle w:val="P68B1DB1-Normal78"/>
              <w:spacing w:after="0" w:line="240" w:lineRule="auto"/>
              <w:jc w:val="center"/>
              <w:rPr>
                <w:noProof/>
                <w:szCs w:val="20"/>
              </w:rPr>
            </w:pPr>
            <w:r>
              <w:rPr>
                <w:noProof/>
              </w:rPr>
              <w:t>271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5AEB1103" w14:textId="77777777" w:rsidR="00011DE9" w:rsidRDefault="00011DE9">
            <w:pPr>
              <w:pStyle w:val="P68B1DB1-Normal78"/>
              <w:spacing w:after="0" w:line="240" w:lineRule="auto"/>
              <w:rPr>
                <w:noProof/>
                <w:szCs w:val="20"/>
              </w:rPr>
            </w:pPr>
            <w:r>
              <w:rPr>
                <w:noProof/>
              </w:rPr>
              <w:t>C17.I9</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06F8986E"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9FC5C80" w14:textId="725C7A6E" w:rsidR="00011DE9" w:rsidRDefault="00011DE9">
            <w:pPr>
              <w:pStyle w:val="P68B1DB1-Normal78"/>
              <w:spacing w:after="0" w:line="240" w:lineRule="auto"/>
              <w:rPr>
                <w:noProof/>
                <w:szCs w:val="20"/>
              </w:rPr>
            </w:pPr>
            <w:r>
              <w:rPr>
                <w:noProof/>
              </w:rPr>
              <w:t>Sprijin pentru proiectele de C &amp; D &amp; inovare în domeniul aerospațial, cu accent pe emisii scăzute și zero</w:t>
            </w:r>
            <w:r w:rsidR="00971820">
              <w:rPr>
                <w:noProof/>
              </w:rPr>
              <w:t xml:space="preserve"> </w:t>
            </w:r>
          </w:p>
        </w:tc>
      </w:tr>
      <w:tr w:rsidR="00011DE9" w14:paraId="616B5F69"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C70FC5" w14:textId="77777777" w:rsidR="00011DE9" w:rsidRDefault="00011DE9">
            <w:pPr>
              <w:pStyle w:val="P68B1DB1-Normal78"/>
              <w:spacing w:after="0" w:line="240" w:lineRule="auto"/>
              <w:jc w:val="center"/>
              <w:rPr>
                <w:noProof/>
                <w:szCs w:val="20"/>
              </w:rPr>
            </w:pPr>
            <w:r>
              <w:rPr>
                <w:noProof/>
              </w:rPr>
              <w:t>279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58B5032F" w14:textId="77777777" w:rsidR="00011DE9" w:rsidRDefault="00011DE9">
            <w:pPr>
              <w:pStyle w:val="P68B1DB1-Normal78"/>
              <w:spacing w:after="0" w:line="240" w:lineRule="auto"/>
              <w:rPr>
                <w:noProof/>
                <w:szCs w:val="20"/>
              </w:rPr>
            </w:pPr>
            <w:r>
              <w:rPr>
                <w:noProof/>
              </w:rPr>
              <w:t>C18.I1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3347FD6A"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6BD18F17" w14:textId="77777777" w:rsidR="00011DE9" w:rsidRDefault="00011DE9">
            <w:pPr>
              <w:pStyle w:val="P68B1DB1-Normal78"/>
              <w:spacing w:after="0" w:line="240" w:lineRule="auto"/>
              <w:rPr>
                <w:noProof/>
                <w:szCs w:val="20"/>
              </w:rPr>
            </w:pPr>
            <w:r>
              <w:rPr>
                <w:noProof/>
              </w:rPr>
              <w:t xml:space="preserve">Instalarea/reînnoirea/extinderea echipamentelor </w:t>
            </w:r>
          </w:p>
        </w:tc>
      </w:tr>
      <w:tr w:rsidR="00011DE9" w14:paraId="186F6796"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383B4C" w14:textId="77777777" w:rsidR="00011DE9" w:rsidRDefault="00011DE9">
            <w:pPr>
              <w:pStyle w:val="P68B1DB1-Normal78"/>
              <w:spacing w:after="0" w:line="240" w:lineRule="auto"/>
              <w:jc w:val="center"/>
              <w:rPr>
                <w:noProof/>
                <w:szCs w:val="20"/>
              </w:rPr>
            </w:pPr>
            <w:r>
              <w:rPr>
                <w:noProof/>
              </w:rPr>
              <w:t>282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5B47D1FC" w14:textId="77777777" w:rsidR="00011DE9" w:rsidRDefault="00011DE9">
            <w:pPr>
              <w:pStyle w:val="P68B1DB1-Normal78"/>
              <w:spacing w:after="0" w:line="240" w:lineRule="auto"/>
              <w:rPr>
                <w:noProof/>
                <w:szCs w:val="20"/>
              </w:rPr>
            </w:pPr>
            <w:r>
              <w:rPr>
                <w:noProof/>
              </w:rPr>
              <w:t>C18.I4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6D4FA8A8"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4061564" w14:textId="77777777" w:rsidR="00011DE9" w:rsidRDefault="00011DE9">
            <w:pPr>
              <w:pStyle w:val="P68B1DB1-Normal78"/>
              <w:spacing w:after="0" w:line="240" w:lineRule="auto"/>
              <w:rPr>
                <w:noProof/>
                <w:szCs w:val="20"/>
              </w:rPr>
            </w:pPr>
            <w:r>
              <w:rPr>
                <w:noProof/>
              </w:rPr>
              <w:t xml:space="preserve">Profesioniștii din domeniul sănătății formați în cadrul planurilor de educație continuă </w:t>
            </w:r>
          </w:p>
        </w:tc>
      </w:tr>
      <w:tr w:rsidR="00011DE9" w14:paraId="6F347F59"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4E59932" w14:textId="77777777" w:rsidR="00011DE9" w:rsidRDefault="00011DE9">
            <w:pPr>
              <w:pStyle w:val="P68B1DB1-Normal78"/>
              <w:spacing w:after="0" w:line="240" w:lineRule="auto"/>
              <w:jc w:val="center"/>
              <w:rPr>
                <w:rFonts w:eastAsia="Times New Roman" w:cs="Times New Roman"/>
                <w:noProof/>
                <w:szCs w:val="20"/>
              </w:rPr>
            </w:pPr>
            <w:r>
              <w:rPr>
                <w:noProof/>
              </w:rPr>
              <w:t>299</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7732D360" w14:textId="77777777" w:rsidR="00011DE9" w:rsidRDefault="00011DE9">
            <w:pPr>
              <w:pStyle w:val="P68B1DB1-Normal78"/>
              <w:spacing w:after="0" w:line="240" w:lineRule="auto"/>
              <w:rPr>
                <w:rFonts w:eastAsia="Times New Roman" w:cs="Times New Roman"/>
                <w:noProof/>
                <w:szCs w:val="20"/>
              </w:rPr>
            </w:pPr>
            <w:r>
              <w:rPr>
                <w:noProof/>
              </w:rPr>
              <w:t>C20.I2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73E3FD43" w14:textId="77777777" w:rsidR="00011DE9" w:rsidRDefault="00011DE9">
            <w:pPr>
              <w:pStyle w:val="P68B1DB1-Normal78"/>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0C77E90E" w14:textId="77777777" w:rsidR="00011DE9" w:rsidRDefault="00011DE9">
            <w:pPr>
              <w:pStyle w:val="P68B1DB1-Normal78"/>
              <w:spacing w:after="0" w:line="240" w:lineRule="auto"/>
              <w:rPr>
                <w:rFonts w:eastAsia="Times New Roman" w:cs="Times New Roman"/>
                <w:noProof/>
                <w:szCs w:val="20"/>
              </w:rPr>
            </w:pPr>
            <w:r>
              <w:rPr>
                <w:noProof/>
              </w:rPr>
              <w:t>Centre de excelență și inovare în formarea profesională</w:t>
            </w:r>
          </w:p>
        </w:tc>
      </w:tr>
      <w:tr w:rsidR="00011DE9" w14:paraId="24478E83"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C065B30" w14:textId="77777777" w:rsidR="00011DE9" w:rsidRDefault="00011DE9">
            <w:pPr>
              <w:pStyle w:val="P68B1DB1-Normal78"/>
              <w:spacing w:after="0" w:line="240" w:lineRule="auto"/>
              <w:jc w:val="center"/>
              <w:rPr>
                <w:rFonts w:eastAsia="Times New Roman" w:cs="Times New Roman"/>
                <w:noProof/>
                <w:szCs w:val="20"/>
              </w:rPr>
            </w:pPr>
            <w:r>
              <w:rPr>
                <w:noProof/>
              </w:rPr>
              <w:t>467b</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2AE522F8" w14:textId="77777777" w:rsidR="00011DE9" w:rsidRDefault="00011DE9">
            <w:pPr>
              <w:pStyle w:val="P68B1DB1-Normal78"/>
              <w:spacing w:after="0" w:line="240" w:lineRule="auto"/>
              <w:rPr>
                <w:rFonts w:eastAsia="Times New Roman" w:cs="Times New Roman"/>
                <w:noProof/>
                <w:szCs w:val="20"/>
              </w:rPr>
            </w:pPr>
            <w:r>
              <w:rPr>
                <w:noProof/>
              </w:rPr>
              <w:t>C20.I2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37B5877" w14:textId="77777777" w:rsidR="00011DE9" w:rsidRDefault="00011DE9">
            <w:pPr>
              <w:pStyle w:val="P68B1DB1-Normal78"/>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1DFD94F0" w14:textId="77777777" w:rsidR="00011DE9" w:rsidRDefault="00011DE9">
            <w:pPr>
              <w:pStyle w:val="P68B1DB1-Normal78"/>
              <w:spacing w:after="0" w:line="240" w:lineRule="auto"/>
              <w:rPr>
                <w:rFonts w:eastAsia="Times New Roman" w:cs="Times New Roman"/>
                <w:noProof/>
                <w:szCs w:val="20"/>
              </w:rPr>
            </w:pPr>
            <w:r>
              <w:rPr>
                <w:noProof/>
              </w:rPr>
              <w:t>Finalizarea cursurilor de formare ecologică pentru cadrele didactice din domeniul EFP</w:t>
            </w:r>
          </w:p>
        </w:tc>
      </w:tr>
      <w:tr w:rsidR="00011DE9" w14:paraId="7C1353A0"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832EA77" w14:textId="77777777" w:rsidR="00011DE9" w:rsidRDefault="00011DE9">
            <w:pPr>
              <w:pStyle w:val="P68B1DB1-Normal78"/>
              <w:spacing w:after="0" w:line="240" w:lineRule="auto"/>
              <w:jc w:val="center"/>
              <w:rPr>
                <w:rFonts w:eastAsia="Times New Roman" w:cs="Times New Roman"/>
                <w:noProof/>
                <w:szCs w:val="20"/>
              </w:rPr>
            </w:pPr>
            <w:r>
              <w:rPr>
                <w:noProof/>
              </w:rPr>
              <w:t>307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0459BDE3" w14:textId="77777777" w:rsidR="00011DE9" w:rsidRDefault="00011DE9">
            <w:pPr>
              <w:pStyle w:val="P68B1DB1-Normal78"/>
              <w:spacing w:after="0" w:line="240" w:lineRule="auto"/>
              <w:rPr>
                <w:rFonts w:eastAsia="Times New Roman" w:cs="Times New Roman"/>
                <w:noProof/>
                <w:szCs w:val="20"/>
              </w:rPr>
            </w:pPr>
            <w:r>
              <w:rPr>
                <w:noProof/>
              </w:rPr>
              <w:t>C21.R3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01D65B1A" w14:textId="77777777" w:rsidR="00011DE9" w:rsidRDefault="00011DE9">
            <w:pPr>
              <w:pStyle w:val="P68B1DB1-Normal78"/>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17719950" w14:textId="77777777" w:rsidR="00011DE9" w:rsidRDefault="00011DE9">
            <w:pPr>
              <w:pStyle w:val="P68B1DB1-Normal78"/>
              <w:spacing w:after="0" w:line="240" w:lineRule="auto"/>
              <w:rPr>
                <w:rFonts w:eastAsia="Times New Roman" w:cs="Times New Roman"/>
                <w:noProof/>
                <w:szCs w:val="20"/>
              </w:rPr>
            </w:pPr>
            <w:r>
              <w:rPr>
                <w:noProof/>
              </w:rPr>
              <w:t>Intrarea în vigoare a Legii organice privind sistemul universitar</w:t>
            </w:r>
          </w:p>
        </w:tc>
      </w:tr>
      <w:tr w:rsidR="00011DE9" w14:paraId="515866A8"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C7C0F7F" w14:textId="77777777" w:rsidR="00011DE9" w:rsidRDefault="00011DE9">
            <w:pPr>
              <w:pStyle w:val="P68B1DB1-Normal78"/>
              <w:spacing w:after="0" w:line="240" w:lineRule="auto"/>
              <w:jc w:val="center"/>
              <w:rPr>
                <w:noProof/>
                <w:szCs w:val="20"/>
              </w:rPr>
            </w:pPr>
            <w:r>
              <w:rPr>
                <w:noProof/>
              </w:rPr>
              <w:t>312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0E6B440C" w14:textId="77777777" w:rsidR="00011DE9" w:rsidRDefault="00011DE9">
            <w:pPr>
              <w:pStyle w:val="P68B1DB1-Normal78"/>
              <w:spacing w:after="0" w:line="240" w:lineRule="auto"/>
              <w:rPr>
                <w:noProof/>
                <w:szCs w:val="20"/>
              </w:rPr>
            </w:pPr>
            <w:r>
              <w:rPr>
                <w:noProof/>
              </w:rPr>
              <w:t>C21.I4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41E29B8"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54335BDF" w14:textId="77777777" w:rsidR="00011DE9" w:rsidRDefault="00011DE9">
            <w:pPr>
              <w:pStyle w:val="P68B1DB1-Normal78"/>
              <w:spacing w:after="0" w:line="240" w:lineRule="auto"/>
              <w:rPr>
                <w:noProof/>
                <w:szCs w:val="20"/>
              </w:rPr>
            </w:pPr>
            <w:r>
              <w:rPr>
                <w:noProof/>
              </w:rPr>
              <w:t>Burse și subvenții pentru studenți postdoctorali, profesori asistenți și cercetători</w:t>
            </w:r>
          </w:p>
        </w:tc>
      </w:tr>
      <w:tr w:rsidR="00011DE9" w14:paraId="5E25477D"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672368" w14:textId="77777777" w:rsidR="00011DE9" w:rsidRDefault="00011DE9">
            <w:pPr>
              <w:pStyle w:val="P68B1DB1-Normal78"/>
              <w:spacing w:after="0" w:line="240" w:lineRule="auto"/>
              <w:jc w:val="center"/>
              <w:rPr>
                <w:rFonts w:eastAsia="Times New Roman" w:cs="Times New Roman"/>
                <w:noProof/>
                <w:szCs w:val="20"/>
              </w:rPr>
            </w:pPr>
            <w:r>
              <w:rPr>
                <w:noProof/>
              </w:rPr>
              <w:t>468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5AC62798" w14:textId="77777777" w:rsidR="00011DE9" w:rsidRDefault="00011DE9">
            <w:pPr>
              <w:pStyle w:val="P68B1DB1-Normal78"/>
              <w:spacing w:after="0" w:line="240" w:lineRule="auto"/>
              <w:rPr>
                <w:rFonts w:eastAsia="Times New Roman" w:cs="Times New Roman"/>
                <w:noProof/>
                <w:szCs w:val="20"/>
              </w:rPr>
            </w:pPr>
            <w:r>
              <w:rPr>
                <w:noProof/>
              </w:rPr>
              <w:t>C21.I6</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7EE9D1C0" w14:textId="77777777" w:rsidR="00011DE9" w:rsidRDefault="00011DE9">
            <w:pPr>
              <w:pStyle w:val="P68B1DB1-Normal78"/>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6B20A34A" w14:textId="77777777" w:rsidR="00011DE9" w:rsidRDefault="00011DE9">
            <w:pPr>
              <w:pStyle w:val="P68B1DB1-Normal78"/>
              <w:spacing w:after="0" w:line="240" w:lineRule="auto"/>
              <w:rPr>
                <w:rFonts w:eastAsia="Times New Roman" w:cs="Times New Roman"/>
                <w:noProof/>
                <w:szCs w:val="20"/>
              </w:rPr>
            </w:pPr>
            <w:r>
              <w:rPr>
                <w:noProof/>
              </w:rPr>
              <w:t xml:space="preserve">Adoptarea Planului de acțiune pentru dezvoltarea micro-certificatelor </w:t>
            </w:r>
            <w:r>
              <w:rPr>
                <w:noProof/>
                <w:szCs w:val="20"/>
              </w:rPr>
              <w:t>universitare</w:t>
            </w:r>
          </w:p>
        </w:tc>
      </w:tr>
      <w:tr w:rsidR="00011DE9" w14:paraId="37AB3EFA"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7347F1E" w14:textId="77777777" w:rsidR="00011DE9" w:rsidRDefault="00011DE9">
            <w:pPr>
              <w:pStyle w:val="P68B1DB1-Normal78"/>
              <w:spacing w:after="0" w:line="240" w:lineRule="auto"/>
              <w:jc w:val="center"/>
              <w:rPr>
                <w:rFonts w:eastAsia="Times New Roman" w:cs="Times New Roman"/>
                <w:noProof/>
                <w:szCs w:val="20"/>
              </w:rPr>
            </w:pPr>
            <w:r>
              <w:rPr>
                <w:noProof/>
              </w:rPr>
              <w:t>321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13FD93A5" w14:textId="77777777" w:rsidR="00011DE9" w:rsidRDefault="00011DE9">
            <w:pPr>
              <w:pStyle w:val="P68B1DB1-Normal78"/>
              <w:spacing w:after="0" w:line="240" w:lineRule="auto"/>
              <w:rPr>
                <w:rFonts w:eastAsia="Times New Roman" w:cs="Times New Roman"/>
                <w:noProof/>
                <w:szCs w:val="20"/>
              </w:rPr>
            </w:pPr>
            <w:r>
              <w:rPr>
                <w:noProof/>
              </w:rPr>
              <w:t>C22.I1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0215CA15" w14:textId="77777777" w:rsidR="00011DE9" w:rsidRDefault="00011DE9">
            <w:pPr>
              <w:pStyle w:val="P68B1DB1-Normal78"/>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18F63065" w14:textId="77777777" w:rsidR="00011DE9" w:rsidRDefault="00011DE9">
            <w:pPr>
              <w:pStyle w:val="P68B1DB1-Normal78"/>
              <w:spacing w:after="0" w:line="240" w:lineRule="auto"/>
              <w:rPr>
                <w:rFonts w:eastAsia="Times New Roman" w:cs="Times New Roman"/>
                <w:noProof/>
                <w:szCs w:val="20"/>
              </w:rPr>
            </w:pPr>
            <w:r>
              <w:rPr>
                <w:noProof/>
              </w:rPr>
              <w:t>Proiecte executate de Ministerul Drepturilor Sociale și Agenda 2030</w:t>
            </w:r>
          </w:p>
        </w:tc>
      </w:tr>
      <w:tr w:rsidR="00011DE9" w14:paraId="1736AE14"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9BD4B6" w14:textId="77777777" w:rsidR="00011DE9" w:rsidRDefault="00011DE9">
            <w:pPr>
              <w:pStyle w:val="P68B1DB1-Normal78"/>
              <w:spacing w:after="0" w:line="240" w:lineRule="auto"/>
              <w:jc w:val="center"/>
              <w:rPr>
                <w:noProof/>
                <w:szCs w:val="20"/>
              </w:rPr>
            </w:pPr>
            <w:r>
              <w:rPr>
                <w:noProof/>
              </w:rPr>
              <w:t>473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583C266D" w14:textId="77777777" w:rsidR="00011DE9" w:rsidRDefault="00011DE9">
            <w:pPr>
              <w:pStyle w:val="P68B1DB1-Normal78"/>
              <w:spacing w:after="0" w:line="240" w:lineRule="auto"/>
              <w:rPr>
                <w:noProof/>
                <w:szCs w:val="20"/>
              </w:rPr>
            </w:pPr>
            <w:r>
              <w:rPr>
                <w:noProof/>
              </w:rPr>
              <w:t>C22.I4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69B1B69" w14:textId="77777777" w:rsidR="00011DE9" w:rsidRDefault="00011DE9">
            <w:pPr>
              <w:pStyle w:val="P68B1DB1-Normal78"/>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57774FA1" w14:textId="77777777" w:rsidR="00011DE9" w:rsidRDefault="00011DE9">
            <w:pPr>
              <w:pStyle w:val="P68B1DB1-Normal78"/>
              <w:spacing w:after="0" w:line="240" w:lineRule="auto"/>
              <w:rPr>
                <w:noProof/>
                <w:szCs w:val="20"/>
              </w:rPr>
            </w:pPr>
            <w:r>
              <w:rPr>
                <w:noProof/>
              </w:rPr>
              <w:t>Instituirea diferitelor tipuri de servicii pentru victimele violenței sexuale</w:t>
            </w:r>
          </w:p>
        </w:tc>
      </w:tr>
      <w:tr w:rsidR="00011DE9" w14:paraId="795AB8E8"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C0FFE5" w14:textId="77777777" w:rsidR="00011DE9" w:rsidRDefault="00011DE9">
            <w:pPr>
              <w:pStyle w:val="P68B1DB1-Normal78"/>
              <w:spacing w:after="0" w:line="240" w:lineRule="auto"/>
              <w:jc w:val="center"/>
              <w:rPr>
                <w:noProof/>
                <w:szCs w:val="20"/>
              </w:rPr>
            </w:pPr>
            <w:r>
              <w:rPr>
                <w:noProof/>
              </w:rPr>
              <w:t>348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225CABC" w14:textId="77777777" w:rsidR="00011DE9" w:rsidRDefault="00011DE9">
            <w:pPr>
              <w:pStyle w:val="P68B1DB1-Normal78"/>
              <w:spacing w:after="0" w:line="240" w:lineRule="auto"/>
              <w:rPr>
                <w:noProof/>
                <w:szCs w:val="20"/>
              </w:rPr>
            </w:pPr>
            <w:r>
              <w:rPr>
                <w:noProof/>
              </w:rPr>
              <w:t>C23.I5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6EDF6044"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A7D05F8" w14:textId="77777777" w:rsidR="00011DE9" w:rsidRDefault="00011DE9">
            <w:pPr>
              <w:pStyle w:val="P68B1DB1-Normal78"/>
              <w:spacing w:after="0" w:line="240" w:lineRule="auto"/>
              <w:rPr>
                <w:noProof/>
                <w:szCs w:val="20"/>
              </w:rPr>
            </w:pPr>
            <w:r>
              <w:rPr>
                <w:noProof/>
              </w:rPr>
              <w:t>Acțiuni de formare pentru personalul SPOFM</w:t>
            </w:r>
          </w:p>
        </w:tc>
      </w:tr>
      <w:tr w:rsidR="00011DE9" w14:paraId="0EDEDB43"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7496DE" w14:textId="77777777" w:rsidR="00011DE9" w:rsidRDefault="00011DE9">
            <w:pPr>
              <w:pStyle w:val="P68B1DB1-Normal78"/>
              <w:spacing w:after="0" w:line="240" w:lineRule="auto"/>
              <w:jc w:val="center"/>
              <w:rPr>
                <w:noProof/>
                <w:szCs w:val="20"/>
              </w:rPr>
            </w:pPr>
            <w:r>
              <w:rPr>
                <w:noProof/>
              </w:rPr>
              <w:t>354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BCC7C6C" w14:textId="77777777" w:rsidR="00011DE9" w:rsidRDefault="00011DE9">
            <w:pPr>
              <w:pStyle w:val="P68B1DB1-Normal78"/>
              <w:spacing w:after="0" w:line="240" w:lineRule="auto"/>
              <w:rPr>
                <w:noProof/>
                <w:szCs w:val="20"/>
              </w:rPr>
            </w:pPr>
            <w:r>
              <w:rPr>
                <w:noProof/>
              </w:rPr>
              <w:t>C24.I1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0ECDF070"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D8DAAD1" w14:textId="77777777" w:rsidR="00011DE9" w:rsidRDefault="00011DE9">
            <w:pPr>
              <w:pStyle w:val="P68B1DB1-Normal78"/>
              <w:spacing w:after="0" w:line="240" w:lineRule="auto"/>
              <w:rPr>
                <w:noProof/>
                <w:szCs w:val="20"/>
              </w:rPr>
            </w:pPr>
            <w:r>
              <w:rPr>
                <w:noProof/>
              </w:rPr>
              <w:t xml:space="preserve">Consolidarea competitivității industriilor culturale </w:t>
            </w:r>
          </w:p>
        </w:tc>
      </w:tr>
      <w:tr w:rsidR="00011DE9" w14:paraId="5CEA5570"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8E49D2" w14:textId="77777777" w:rsidR="00011DE9" w:rsidRDefault="00011DE9">
            <w:pPr>
              <w:pStyle w:val="P68B1DB1-Normal78"/>
              <w:spacing w:after="0" w:line="240" w:lineRule="auto"/>
              <w:jc w:val="center"/>
              <w:rPr>
                <w:noProof/>
                <w:szCs w:val="20"/>
              </w:rPr>
            </w:pPr>
            <w:r>
              <w:rPr>
                <w:noProof/>
              </w:rPr>
              <w:t>357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6BB2C4C5" w14:textId="77777777" w:rsidR="00011DE9" w:rsidRDefault="00011DE9">
            <w:pPr>
              <w:pStyle w:val="P68B1DB1-Normal78"/>
              <w:spacing w:after="0" w:line="240" w:lineRule="auto"/>
              <w:rPr>
                <w:noProof/>
                <w:szCs w:val="20"/>
              </w:rPr>
            </w:pPr>
            <w:r>
              <w:rPr>
                <w:noProof/>
              </w:rPr>
              <w:t>C24.I2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4339E58"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B4E7BA6" w14:textId="77777777" w:rsidR="00011DE9" w:rsidRDefault="00011DE9">
            <w:pPr>
              <w:pStyle w:val="P68B1DB1-Normal78"/>
              <w:spacing w:after="0" w:line="240" w:lineRule="auto"/>
              <w:rPr>
                <w:noProof/>
                <w:szCs w:val="20"/>
              </w:rPr>
            </w:pPr>
            <w:r>
              <w:rPr>
                <w:noProof/>
              </w:rPr>
              <w:t>Licențe de cărți electronice pentru biblioteci</w:t>
            </w:r>
          </w:p>
        </w:tc>
      </w:tr>
      <w:tr w:rsidR="00011DE9" w14:paraId="02ADBBDE"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DC8421" w14:textId="77777777" w:rsidR="00011DE9" w:rsidRDefault="00011DE9">
            <w:pPr>
              <w:pStyle w:val="P68B1DB1-Normal78"/>
              <w:spacing w:after="0" w:line="240" w:lineRule="auto"/>
              <w:jc w:val="center"/>
              <w:rPr>
                <w:noProof/>
                <w:szCs w:val="20"/>
              </w:rPr>
            </w:pPr>
            <w:r>
              <w:rPr>
                <w:noProof/>
              </w:rPr>
              <w:t>361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AC5A2AE" w14:textId="77777777" w:rsidR="00011DE9" w:rsidRDefault="00011DE9">
            <w:pPr>
              <w:pStyle w:val="P68B1DB1-Normal78"/>
              <w:spacing w:after="0" w:line="240" w:lineRule="auto"/>
              <w:rPr>
                <w:noProof/>
                <w:szCs w:val="20"/>
              </w:rPr>
            </w:pPr>
            <w:r>
              <w:rPr>
                <w:noProof/>
              </w:rPr>
              <w:t>C24.I3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AFECBFF"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BE4C6DC" w14:textId="77777777" w:rsidR="00011DE9" w:rsidRDefault="00011DE9">
            <w:pPr>
              <w:pStyle w:val="P68B1DB1-Normal78"/>
              <w:spacing w:after="0" w:line="240" w:lineRule="auto"/>
              <w:rPr>
                <w:noProof/>
                <w:szCs w:val="20"/>
              </w:rPr>
            </w:pPr>
            <w:r>
              <w:rPr>
                <w:noProof/>
              </w:rPr>
              <w:t xml:space="preserve">Finalizarea digitalizării și promovarea principalelor servicii culturale </w:t>
            </w:r>
          </w:p>
        </w:tc>
      </w:tr>
      <w:tr w:rsidR="00011DE9" w14:paraId="543F15D4"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0CF43C" w14:textId="77777777" w:rsidR="00011DE9" w:rsidRDefault="00011DE9">
            <w:pPr>
              <w:pStyle w:val="P68B1DB1-Normal78"/>
              <w:spacing w:after="0" w:line="240" w:lineRule="auto"/>
              <w:jc w:val="center"/>
              <w:rPr>
                <w:noProof/>
                <w:szCs w:val="20"/>
              </w:rPr>
            </w:pPr>
            <w:r>
              <w:rPr>
                <w:noProof/>
              </w:rPr>
              <w:t>362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20291AB" w14:textId="77777777" w:rsidR="00011DE9" w:rsidRDefault="00011DE9">
            <w:pPr>
              <w:pStyle w:val="P68B1DB1-Normal78"/>
              <w:spacing w:after="0" w:line="240" w:lineRule="auto"/>
              <w:rPr>
                <w:noProof/>
                <w:szCs w:val="20"/>
              </w:rPr>
            </w:pPr>
            <w:r>
              <w:rPr>
                <w:noProof/>
              </w:rPr>
              <w:t>C24.I3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279B1EDF" w14:textId="77777777" w:rsidR="00011DE9" w:rsidRDefault="00011DE9">
            <w:pPr>
              <w:pStyle w:val="P68B1DB1-Normal78"/>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4FC0B03" w14:textId="77777777" w:rsidR="00011DE9" w:rsidRDefault="00011DE9">
            <w:pPr>
              <w:pStyle w:val="P68B1DB1-Normal78"/>
              <w:spacing w:after="0" w:line="240" w:lineRule="auto"/>
              <w:rPr>
                <w:noProof/>
                <w:szCs w:val="20"/>
              </w:rPr>
            </w:pPr>
            <w:r>
              <w:rPr>
                <w:noProof/>
              </w:rPr>
              <w:t xml:space="preserve">Finalizarea digitalizării patrimoniului bibliografic </w:t>
            </w:r>
          </w:p>
        </w:tc>
      </w:tr>
      <w:tr w:rsidR="00011DE9" w14:paraId="3113615B"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355882" w14:textId="77777777" w:rsidR="00011DE9" w:rsidRDefault="00011DE9">
            <w:pPr>
              <w:pStyle w:val="P68B1DB1-Normal78"/>
              <w:spacing w:after="0" w:line="240" w:lineRule="auto"/>
              <w:jc w:val="center"/>
              <w:rPr>
                <w:noProof/>
                <w:szCs w:val="20"/>
              </w:rPr>
            </w:pPr>
            <w:r>
              <w:rPr>
                <w:noProof/>
              </w:rPr>
              <w:t>382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00913BB0" w14:textId="77777777" w:rsidR="00011DE9" w:rsidRDefault="00011DE9">
            <w:pPr>
              <w:pStyle w:val="P68B1DB1-Normal78"/>
              <w:spacing w:after="0" w:line="240" w:lineRule="auto"/>
              <w:rPr>
                <w:noProof/>
                <w:szCs w:val="20"/>
              </w:rPr>
            </w:pPr>
            <w:r>
              <w:rPr>
                <w:noProof/>
              </w:rPr>
              <w:t>C27.R3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5EAB74DA" w14:textId="77777777" w:rsidR="00011DE9" w:rsidRDefault="00011DE9">
            <w:pPr>
              <w:pStyle w:val="P68B1DB1-Normal78"/>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72AEA596" w14:textId="77777777" w:rsidR="00011DE9" w:rsidRDefault="00011DE9">
            <w:pPr>
              <w:pStyle w:val="P68B1DB1-Normal78"/>
              <w:spacing w:after="0" w:line="240" w:lineRule="auto"/>
              <w:rPr>
                <w:noProof/>
                <w:szCs w:val="20"/>
              </w:rPr>
            </w:pPr>
            <w:r>
              <w:rPr>
                <w:noProof/>
              </w:rPr>
              <w:t>Furnizarea a patru platforme de sprijin digital</w:t>
            </w:r>
          </w:p>
        </w:tc>
      </w:tr>
      <w:tr w:rsidR="00011DE9" w14:paraId="73EA2712"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F8AAF42" w14:textId="77777777" w:rsidR="00011DE9" w:rsidRDefault="00011DE9">
            <w:pPr>
              <w:pStyle w:val="P68B1DB1-Normal78"/>
              <w:spacing w:after="0" w:line="240" w:lineRule="auto"/>
              <w:jc w:val="center"/>
              <w:rPr>
                <w:rFonts w:eastAsia="Times New Roman" w:cs="Times New Roman"/>
                <w:noProof/>
                <w:szCs w:val="20"/>
              </w:rPr>
            </w:pPr>
            <w:r>
              <w:rPr>
                <w:noProof/>
              </w:rPr>
              <w:t>388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16725098" w14:textId="77777777" w:rsidR="00011DE9" w:rsidRDefault="00011DE9">
            <w:pPr>
              <w:pStyle w:val="P68B1DB1-Normal78"/>
              <w:spacing w:after="0" w:line="240" w:lineRule="auto"/>
              <w:rPr>
                <w:rFonts w:eastAsia="Times New Roman" w:cs="Times New Roman"/>
                <w:noProof/>
                <w:szCs w:val="20"/>
              </w:rPr>
            </w:pPr>
            <w:r>
              <w:rPr>
                <w:noProof/>
              </w:rPr>
              <w:t>C28.R3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A8A93FC" w14:textId="77777777" w:rsidR="00011DE9" w:rsidRDefault="00011DE9">
            <w:pPr>
              <w:pStyle w:val="P68B1DB1-Normal78"/>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715C104C" w14:textId="77777777" w:rsidR="00011DE9" w:rsidRDefault="00011DE9">
            <w:pPr>
              <w:pStyle w:val="P68B1DB1-Normal78"/>
              <w:spacing w:after="0" w:line="240" w:lineRule="auto"/>
              <w:rPr>
                <w:rFonts w:eastAsia="Times New Roman" w:cs="Times New Roman"/>
                <w:noProof/>
                <w:szCs w:val="20"/>
              </w:rPr>
            </w:pPr>
            <w:r>
              <w:rPr>
                <w:noProof/>
              </w:rPr>
              <w:t xml:space="preserve">Intrarea în vigoare </w:t>
            </w:r>
            <w:r>
              <w:rPr>
                <w:noProof/>
                <w:szCs w:val="20"/>
              </w:rPr>
              <w:t>a</w:t>
            </w:r>
            <w:r>
              <w:rPr>
                <w:noProof/>
              </w:rPr>
              <w:t xml:space="preserve"> reformelor care decurg din recomandările comisiei sau din alte analize ale Ministerului Finanțelor</w:t>
            </w:r>
          </w:p>
        </w:tc>
      </w:tr>
      <w:tr w:rsidR="00011DE9" w14:paraId="16E5CFF0"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8E9DA4B" w14:textId="77777777" w:rsidR="00011DE9" w:rsidRDefault="00011DE9">
            <w:pPr>
              <w:pStyle w:val="P68B1DB1-Normal78"/>
              <w:spacing w:after="0" w:line="240" w:lineRule="auto"/>
              <w:jc w:val="center"/>
              <w:rPr>
                <w:rFonts w:eastAsia="Times New Roman" w:cs="Times New Roman"/>
                <w:noProof/>
                <w:szCs w:val="20"/>
              </w:rPr>
            </w:pPr>
            <w:r>
              <w:rPr>
                <w:noProof/>
              </w:rPr>
              <w:t>402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3E6859B8" w14:textId="77777777" w:rsidR="00011DE9" w:rsidRDefault="00011DE9">
            <w:pPr>
              <w:pStyle w:val="P68B1DB1-Normal78"/>
              <w:spacing w:after="0" w:line="240" w:lineRule="auto"/>
              <w:rPr>
                <w:rFonts w:eastAsia="Times New Roman" w:cs="Times New Roman"/>
                <w:noProof/>
                <w:szCs w:val="20"/>
              </w:rPr>
            </w:pPr>
            <w:r>
              <w:rPr>
                <w:noProof/>
              </w:rPr>
              <w:t>C29.R1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446C607" w14:textId="77777777" w:rsidR="00011DE9" w:rsidRDefault="00011DE9">
            <w:pPr>
              <w:pStyle w:val="P68B1DB1-Normal78"/>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6A27E0BE" w14:textId="77777777" w:rsidR="00011DE9" w:rsidRDefault="00011DE9">
            <w:pPr>
              <w:pStyle w:val="P68B1DB1-Normal78"/>
              <w:spacing w:after="0" w:line="240" w:lineRule="auto"/>
              <w:rPr>
                <w:rFonts w:eastAsia="Times New Roman" w:cs="Times New Roman"/>
                <w:noProof/>
                <w:szCs w:val="20"/>
              </w:rPr>
            </w:pPr>
            <w:r>
              <w:rPr>
                <w:noProof/>
              </w:rPr>
              <w:t>Faza III a analizei cheltuielilor</w:t>
            </w:r>
          </w:p>
        </w:tc>
      </w:tr>
      <w:tr w:rsidR="00011DE9" w14:paraId="29903F4E"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66E7C8" w14:textId="77777777" w:rsidR="00011DE9" w:rsidRDefault="00011DE9">
            <w:pPr>
              <w:pStyle w:val="P68B1DB1-Normal78"/>
              <w:spacing w:after="0" w:line="240" w:lineRule="auto"/>
              <w:jc w:val="center"/>
              <w:rPr>
                <w:noProof/>
                <w:szCs w:val="20"/>
              </w:rPr>
            </w:pPr>
            <w:r>
              <w:rPr>
                <w:noProof/>
              </w:rPr>
              <w:t>405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BD6A2F8" w14:textId="77777777" w:rsidR="00011DE9" w:rsidRDefault="00011DE9">
            <w:pPr>
              <w:pStyle w:val="P68B1DB1-Normal78"/>
              <w:spacing w:after="0" w:line="240" w:lineRule="auto"/>
              <w:rPr>
                <w:noProof/>
                <w:szCs w:val="20"/>
              </w:rPr>
            </w:pPr>
            <w:r>
              <w:rPr>
                <w:noProof/>
              </w:rPr>
              <w:t>C29.R3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0436F098" w14:textId="77777777" w:rsidR="00011DE9" w:rsidRDefault="00011DE9">
            <w:pPr>
              <w:pStyle w:val="P68B1DB1-Normal78"/>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AB8AB4B" w14:textId="77777777" w:rsidR="00011DE9" w:rsidRDefault="00011DE9">
            <w:pPr>
              <w:pStyle w:val="P68B1DB1-Normal78"/>
              <w:spacing w:after="0" w:line="240" w:lineRule="auto"/>
              <w:rPr>
                <w:noProof/>
                <w:szCs w:val="20"/>
              </w:rPr>
            </w:pPr>
            <w:r>
              <w:rPr>
                <w:noProof/>
              </w:rPr>
              <w:t>Raportul privind alinierea la înverzirea bugetelor</w:t>
            </w:r>
          </w:p>
        </w:tc>
      </w:tr>
      <w:tr w:rsidR="00011DE9" w14:paraId="61AC54DD"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D94BC2" w14:textId="77777777" w:rsidR="00011DE9" w:rsidRDefault="00011DE9">
            <w:pPr>
              <w:pStyle w:val="P68B1DB1-Normal78"/>
              <w:spacing w:after="0" w:line="240" w:lineRule="auto"/>
              <w:jc w:val="center"/>
              <w:rPr>
                <w:rFonts w:eastAsia="Times New Roman" w:cs="Times New Roman"/>
                <w:noProof/>
                <w:szCs w:val="20"/>
              </w:rPr>
            </w:pPr>
            <w:r>
              <w:rPr>
                <w:noProof/>
              </w:rPr>
              <w:t>477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43C22B3" w14:textId="77777777" w:rsidR="00011DE9" w:rsidRDefault="00011DE9">
            <w:pPr>
              <w:pStyle w:val="P68B1DB1-Normal78"/>
              <w:spacing w:after="0" w:line="240" w:lineRule="auto"/>
              <w:rPr>
                <w:rFonts w:eastAsia="Times New Roman" w:cs="Times New Roman"/>
                <w:noProof/>
                <w:szCs w:val="20"/>
              </w:rPr>
            </w:pPr>
            <w:r>
              <w:rPr>
                <w:noProof/>
              </w:rPr>
              <w:t>C31.R1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020C02F9" w14:textId="77777777" w:rsidR="00011DE9" w:rsidRDefault="00011DE9">
            <w:pPr>
              <w:pStyle w:val="P68B1DB1-Normal78"/>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1DACB0C" w14:textId="77777777" w:rsidR="00011DE9" w:rsidRDefault="00011DE9">
            <w:pPr>
              <w:pStyle w:val="P68B1DB1-Normal78"/>
              <w:spacing w:after="0" w:line="240" w:lineRule="auto"/>
              <w:rPr>
                <w:rFonts w:eastAsia="Times New Roman" w:cs="Times New Roman"/>
                <w:noProof/>
                <w:szCs w:val="20"/>
              </w:rPr>
            </w:pPr>
            <w:r>
              <w:rPr>
                <w:noProof/>
              </w:rPr>
              <w:t>Reforma privind îmbunătățirea autorizării producției de energie din surse regenerabile și a infrastructurii rețelei de energie electrică</w:t>
            </w:r>
          </w:p>
        </w:tc>
      </w:tr>
      <w:tr w:rsidR="00011DE9" w14:paraId="6BBE65E5"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409A66" w14:textId="77777777" w:rsidR="00011DE9" w:rsidRDefault="00011DE9">
            <w:pPr>
              <w:pStyle w:val="P68B1DB1-Normal78"/>
              <w:spacing w:after="0" w:line="240" w:lineRule="auto"/>
              <w:jc w:val="center"/>
              <w:rPr>
                <w:rFonts w:eastAsia="Times New Roman" w:cs="Times New Roman"/>
                <w:noProof/>
                <w:szCs w:val="20"/>
              </w:rPr>
            </w:pPr>
            <w:r>
              <w:rPr>
                <w:noProof/>
              </w:rPr>
              <w:t>491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686FF50C" w14:textId="77777777" w:rsidR="00011DE9" w:rsidRDefault="00011DE9">
            <w:pPr>
              <w:pStyle w:val="P68B1DB1-Normal78"/>
              <w:spacing w:after="0" w:line="240" w:lineRule="auto"/>
              <w:rPr>
                <w:rFonts w:eastAsia="Times New Roman" w:cs="Times New Roman"/>
                <w:noProof/>
                <w:szCs w:val="20"/>
              </w:rPr>
            </w:pPr>
            <w:r>
              <w:rPr>
                <w:noProof/>
              </w:rPr>
              <w:t>C31.I5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2A18BDD4" w14:textId="77777777" w:rsidR="00011DE9" w:rsidRDefault="00011DE9">
            <w:pPr>
              <w:pStyle w:val="P68B1DB1-Normal78"/>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12373A25" w14:textId="77777777" w:rsidR="00011DE9" w:rsidRDefault="00011DE9">
            <w:pPr>
              <w:pStyle w:val="P68B1DB1-Normal78"/>
              <w:spacing w:after="0" w:line="240" w:lineRule="auto"/>
              <w:rPr>
                <w:rFonts w:eastAsia="Times New Roman" w:cs="Times New Roman"/>
                <w:noProof/>
                <w:szCs w:val="20"/>
              </w:rPr>
            </w:pPr>
            <w:r>
              <w:rPr>
                <w:noProof/>
              </w:rPr>
              <w:t>Publicarea cererilor de propuneri și a normelor care reglementează acordarea de sprijin pentru decarbonizarea industriei și finalizarea unui studiu privind punerea în aplicare a unui fond pentru a stimula întreprinderile să decarbonizeze (contract pentru diferență în materie de carbon)</w:t>
            </w:r>
          </w:p>
        </w:tc>
      </w:tr>
      <w:tr w:rsidR="00011DE9" w14:paraId="44975D35"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257F4D6" w14:textId="77777777" w:rsidR="00011DE9" w:rsidRDefault="00011DE9">
            <w:pPr>
              <w:spacing w:after="0" w:line="240" w:lineRule="auto"/>
              <w:jc w:val="center"/>
              <w:rPr>
                <w:rFonts w:ascii="Times New Roman" w:eastAsia="Times New Roman" w:hAnsi="Times New Roman" w:cs="Times New Roman"/>
                <w:noProof/>
                <w:sz w:val="20"/>
                <w:szCs w:val="20"/>
              </w:rPr>
            </w:pP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035865ED" w14:textId="77777777" w:rsidR="00011DE9" w:rsidRDefault="00011DE9">
            <w:pPr>
              <w:spacing w:after="0" w:line="240" w:lineRule="auto"/>
              <w:rPr>
                <w:rFonts w:ascii="Times New Roman" w:eastAsia="Times New Roman" w:hAnsi="Times New Roman" w:cs="Times New Roman"/>
                <w:noProof/>
                <w:sz w:val="20"/>
                <w:szCs w:val="20"/>
              </w:rPr>
            </w:pP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714AE0B5" w14:textId="77777777" w:rsidR="00011DE9" w:rsidRDefault="00011DE9">
            <w:pPr>
              <w:pStyle w:val="P68B1DB1-Normal77"/>
              <w:spacing w:after="0" w:line="240" w:lineRule="auto"/>
              <w:rPr>
                <w:rFonts w:eastAsia="Times New Roman" w:cs="Times New Roman"/>
                <w:noProof/>
                <w:szCs w:val="20"/>
              </w:rPr>
            </w:pPr>
            <w:r>
              <w:rPr>
                <w:noProof/>
              </w:rPr>
              <w:t>Cuantumul tranșei</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609B65A5" w14:textId="67F97FCE" w:rsidR="00011DE9" w:rsidRDefault="00011DE9">
            <w:pPr>
              <w:pStyle w:val="P68B1DB1-Normal78"/>
              <w:spacing w:after="0" w:line="240" w:lineRule="auto"/>
              <w:rPr>
                <w:rFonts w:eastAsia="Times New Roman" w:cs="Times New Roman"/>
                <w:b/>
                <w:bCs/>
                <w:noProof/>
                <w:szCs w:val="20"/>
              </w:rPr>
            </w:pPr>
            <w:r>
              <w:rPr>
                <w:b/>
                <w:noProof/>
              </w:rPr>
              <w:t>9</w:t>
            </w:r>
            <w:r w:rsidR="00971820">
              <w:rPr>
                <w:noProof/>
              </w:rPr>
              <w:t xml:space="preserve"> </w:t>
            </w:r>
            <w:r>
              <w:rPr>
                <w:b/>
                <w:noProof/>
              </w:rPr>
              <w:t>104</w:t>
            </w:r>
            <w:r>
              <w:rPr>
                <w:noProof/>
              </w:rPr>
              <w:t xml:space="preserve"> </w:t>
            </w:r>
            <w:r>
              <w:rPr>
                <w:b/>
                <w:noProof/>
              </w:rPr>
              <w:t>589</w:t>
            </w:r>
            <w:r>
              <w:rPr>
                <w:noProof/>
              </w:rPr>
              <w:t xml:space="preserve"> </w:t>
            </w:r>
            <w:r>
              <w:rPr>
                <w:b/>
                <w:noProof/>
              </w:rPr>
              <w:t>366 MIL.</w:t>
            </w:r>
          </w:p>
        </w:tc>
      </w:tr>
    </w:tbl>
    <w:p w14:paraId="7DDF942A" w14:textId="77777777" w:rsidR="00011DE9" w:rsidRDefault="00011DE9">
      <w:pPr>
        <w:spacing w:before="120" w:after="120" w:line="240" w:lineRule="auto"/>
        <w:ind w:left="850"/>
        <w:jc w:val="both"/>
        <w:rPr>
          <w:rFonts w:ascii="Times New Roman" w:eastAsia="Calibri" w:hAnsi="Times New Roman" w:cs="Times New Roman"/>
          <w:noProof/>
        </w:rPr>
      </w:pPr>
    </w:p>
    <w:p w14:paraId="05440E44" w14:textId="77777777" w:rsidR="00011DE9" w:rsidRDefault="00011DE9">
      <w:pPr>
        <w:pStyle w:val="P68B1DB1-Normal16"/>
        <w:numPr>
          <w:ilvl w:val="1"/>
          <w:numId w:val="18"/>
        </w:numPr>
        <w:tabs>
          <w:tab w:val="clear" w:pos="6236"/>
          <w:tab w:val="num" w:pos="850"/>
        </w:tabs>
        <w:spacing w:before="120" w:after="120" w:line="240" w:lineRule="auto"/>
        <w:ind w:left="850"/>
        <w:jc w:val="both"/>
        <w:rPr>
          <w:rFonts w:cs="Times New Roman"/>
          <w:noProof/>
        </w:rPr>
      </w:pPr>
      <w:r>
        <w:rPr>
          <w:noProof/>
        </w:rPr>
        <w:t xml:space="preserve">A șasea tranșă (sprijin nerambursabil): </w:t>
      </w:r>
    </w:p>
    <w:tbl>
      <w:tblPr>
        <w:tblW w:w="9663" w:type="dxa"/>
        <w:tblInd w:w="113" w:type="dxa"/>
        <w:tblLook w:val="04A0" w:firstRow="1" w:lastRow="0" w:firstColumn="1" w:lastColumn="0" w:noHBand="0" w:noVBand="1"/>
      </w:tblPr>
      <w:tblGrid>
        <w:gridCol w:w="1300"/>
        <w:gridCol w:w="2057"/>
        <w:gridCol w:w="1427"/>
        <w:gridCol w:w="4879"/>
      </w:tblGrid>
      <w:tr w:rsidR="00011DE9" w14:paraId="3129961D" w14:textId="77777777">
        <w:trPr>
          <w:trHeight w:val="600"/>
          <w:tblHeader/>
        </w:trPr>
        <w:tc>
          <w:tcPr>
            <w:tcW w:w="130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EE3F5AF" w14:textId="77777777" w:rsidR="00011DE9" w:rsidRDefault="00011DE9">
            <w:pPr>
              <w:pStyle w:val="P68B1DB1-Normal77"/>
              <w:spacing w:after="0" w:line="240" w:lineRule="auto"/>
              <w:jc w:val="center"/>
              <w:rPr>
                <w:rFonts w:eastAsia="Times New Roman" w:cs="Times New Roman"/>
                <w:noProof/>
                <w:szCs w:val="20"/>
              </w:rPr>
            </w:pPr>
            <w:r>
              <w:rPr>
                <w:noProof/>
              </w:rPr>
              <w:t>Număr secvențial</w:t>
            </w:r>
          </w:p>
        </w:tc>
        <w:tc>
          <w:tcPr>
            <w:tcW w:w="205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A551025" w14:textId="77777777" w:rsidR="00011DE9" w:rsidRDefault="00011DE9">
            <w:pPr>
              <w:pStyle w:val="P68B1DB1-Normal77"/>
              <w:spacing w:after="0" w:line="240" w:lineRule="auto"/>
              <w:jc w:val="center"/>
              <w:rPr>
                <w:rFonts w:eastAsia="Times New Roman" w:cs="Times New Roman"/>
                <w:noProof/>
                <w:szCs w:val="20"/>
              </w:rPr>
            </w:pPr>
            <w:r>
              <w:rPr>
                <w:noProof/>
              </w:rPr>
              <w:t>Măsură conexă (reformă sau investiții)</w:t>
            </w:r>
          </w:p>
        </w:tc>
        <w:tc>
          <w:tcPr>
            <w:tcW w:w="142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C591F8E" w14:textId="77777777" w:rsidR="00011DE9" w:rsidRDefault="00011DE9">
            <w:pPr>
              <w:pStyle w:val="P68B1DB1-Normal77"/>
              <w:spacing w:after="0" w:line="240" w:lineRule="auto"/>
              <w:jc w:val="center"/>
              <w:rPr>
                <w:rFonts w:eastAsia="Times New Roman" w:cs="Times New Roman"/>
                <w:noProof/>
                <w:szCs w:val="20"/>
              </w:rPr>
            </w:pPr>
            <w:r>
              <w:rPr>
                <w:noProof/>
              </w:rPr>
              <w:t>Etapă/Obiectiv</w:t>
            </w:r>
          </w:p>
        </w:tc>
        <w:tc>
          <w:tcPr>
            <w:tcW w:w="4879" w:type="dxa"/>
            <w:tcBorders>
              <w:top w:val="single" w:sz="4" w:space="0" w:color="auto"/>
              <w:left w:val="nil"/>
              <w:bottom w:val="single" w:sz="4" w:space="0" w:color="000000" w:themeColor="text1"/>
              <w:right w:val="single" w:sz="4" w:space="0" w:color="auto"/>
            </w:tcBorders>
            <w:shd w:val="clear" w:color="auto" w:fill="BDD7EE"/>
            <w:vAlign w:val="center"/>
            <w:hideMark/>
          </w:tcPr>
          <w:p w14:paraId="221C4256" w14:textId="77777777" w:rsidR="00011DE9" w:rsidRDefault="00011DE9">
            <w:pPr>
              <w:pStyle w:val="P68B1DB1-Normal77"/>
              <w:spacing w:after="0" w:line="240" w:lineRule="auto"/>
              <w:jc w:val="center"/>
              <w:rPr>
                <w:rFonts w:eastAsia="Times New Roman" w:cs="Times New Roman"/>
                <w:noProof/>
                <w:szCs w:val="20"/>
              </w:rPr>
            </w:pPr>
            <w:r>
              <w:rPr>
                <w:noProof/>
              </w:rPr>
              <w:t>Nume</w:t>
            </w:r>
          </w:p>
        </w:tc>
      </w:tr>
      <w:tr w:rsidR="00011DE9" w14:paraId="58F0E09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370AB35" w14:textId="77777777" w:rsidR="00011DE9" w:rsidRDefault="00011DE9">
            <w:pPr>
              <w:pStyle w:val="P68B1DB1-Normal45"/>
              <w:spacing w:after="0" w:line="240" w:lineRule="auto"/>
              <w:rPr>
                <w:noProof/>
              </w:rPr>
            </w:pPr>
            <w:r>
              <w:rPr>
                <w:noProof/>
              </w:rPr>
              <w:t>3</w:t>
            </w:r>
          </w:p>
        </w:tc>
        <w:tc>
          <w:tcPr>
            <w:tcW w:w="2057" w:type="dxa"/>
            <w:tcBorders>
              <w:top w:val="single" w:sz="4" w:space="0" w:color="auto"/>
              <w:left w:val="nil"/>
              <w:bottom w:val="single" w:sz="4" w:space="0" w:color="auto"/>
              <w:right w:val="single" w:sz="4" w:space="0" w:color="auto"/>
            </w:tcBorders>
            <w:shd w:val="clear" w:color="auto" w:fill="C6EFCE"/>
            <w:noWrap/>
          </w:tcPr>
          <w:p w14:paraId="3464CD79" w14:textId="77777777" w:rsidR="00011DE9" w:rsidRDefault="00011DE9">
            <w:pPr>
              <w:pStyle w:val="P68B1DB1-Normal45"/>
              <w:spacing w:after="0" w:line="240" w:lineRule="auto"/>
              <w:rPr>
                <w:noProof/>
              </w:rPr>
            </w:pPr>
            <w:r>
              <w:rPr>
                <w:noProof/>
              </w:rPr>
              <w:t>C1.R2</w:t>
            </w:r>
          </w:p>
        </w:tc>
        <w:tc>
          <w:tcPr>
            <w:tcW w:w="1427" w:type="dxa"/>
            <w:tcBorders>
              <w:top w:val="single" w:sz="4" w:space="0" w:color="auto"/>
              <w:left w:val="nil"/>
              <w:bottom w:val="single" w:sz="4" w:space="0" w:color="auto"/>
              <w:right w:val="single" w:sz="4" w:space="0" w:color="auto"/>
            </w:tcBorders>
            <w:shd w:val="clear" w:color="auto" w:fill="C6EFCE"/>
            <w:noWrap/>
          </w:tcPr>
          <w:p w14:paraId="1A2B5DCC"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0CBA0F7D" w14:textId="77777777" w:rsidR="00011DE9" w:rsidRDefault="00011DE9">
            <w:pPr>
              <w:pStyle w:val="P68B1DB1-Normal45"/>
              <w:spacing w:after="0" w:line="240" w:lineRule="auto"/>
              <w:rPr>
                <w:noProof/>
              </w:rPr>
            </w:pPr>
            <w:r>
              <w:rPr>
                <w:noProof/>
              </w:rPr>
              <w:t>Intrarea în vigoare a unei legi privind mobilitatea durabilă</w:t>
            </w:r>
          </w:p>
        </w:tc>
      </w:tr>
      <w:tr w:rsidR="00011DE9" w14:paraId="76BF56B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BE5B556" w14:textId="77777777" w:rsidR="00011DE9" w:rsidRDefault="00011DE9">
            <w:pPr>
              <w:pStyle w:val="P68B1DB1-Normal45"/>
              <w:spacing w:after="0" w:line="240" w:lineRule="auto"/>
              <w:rPr>
                <w:rFonts w:eastAsia="Times New Roman"/>
                <w:noProof/>
              </w:rPr>
            </w:pPr>
            <w:r>
              <w:rPr>
                <w:noProof/>
              </w:rPr>
              <w:t>10</w:t>
            </w:r>
          </w:p>
        </w:tc>
        <w:tc>
          <w:tcPr>
            <w:tcW w:w="2057" w:type="dxa"/>
            <w:tcBorders>
              <w:top w:val="single" w:sz="4" w:space="0" w:color="auto"/>
              <w:left w:val="nil"/>
              <w:bottom w:val="single" w:sz="4" w:space="0" w:color="auto"/>
              <w:right w:val="single" w:sz="4" w:space="0" w:color="auto"/>
            </w:tcBorders>
            <w:shd w:val="clear" w:color="auto" w:fill="C6EFCE"/>
            <w:noWrap/>
          </w:tcPr>
          <w:p w14:paraId="266A76F7" w14:textId="77777777" w:rsidR="00011DE9" w:rsidRDefault="00011DE9">
            <w:pPr>
              <w:pStyle w:val="P68B1DB1-Normal45"/>
              <w:spacing w:after="0" w:line="240" w:lineRule="auto"/>
              <w:rPr>
                <w:rFonts w:eastAsia="Times New Roman"/>
                <w:noProof/>
              </w:rPr>
            </w:pPr>
            <w:r>
              <w:rPr>
                <w:noProof/>
              </w:rPr>
              <w:t>C1.I1</w:t>
            </w:r>
          </w:p>
        </w:tc>
        <w:tc>
          <w:tcPr>
            <w:tcW w:w="1427" w:type="dxa"/>
            <w:tcBorders>
              <w:top w:val="single" w:sz="4" w:space="0" w:color="auto"/>
              <w:left w:val="nil"/>
              <w:bottom w:val="single" w:sz="4" w:space="0" w:color="auto"/>
              <w:right w:val="single" w:sz="4" w:space="0" w:color="auto"/>
            </w:tcBorders>
            <w:shd w:val="clear" w:color="auto" w:fill="C6EFCE"/>
            <w:noWrap/>
          </w:tcPr>
          <w:p w14:paraId="5D62A996" w14:textId="77777777" w:rsidR="00011DE9" w:rsidRDefault="00011DE9">
            <w:pPr>
              <w:pStyle w:val="P68B1DB1-Normal45"/>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2D10C0C0" w14:textId="77777777" w:rsidR="00011DE9" w:rsidRDefault="00011DE9">
            <w:pPr>
              <w:pStyle w:val="P68B1DB1-Normal45"/>
              <w:spacing w:after="0" w:line="240" w:lineRule="auto"/>
              <w:rPr>
                <w:rFonts w:eastAsia="Times New Roman"/>
                <w:noProof/>
              </w:rPr>
            </w:pPr>
            <w:r>
              <w:rPr>
                <w:noProof/>
              </w:rPr>
              <w:t>Lucrări privind siguranța și mobilitatea durabilă pe șosele</w:t>
            </w:r>
          </w:p>
        </w:tc>
      </w:tr>
      <w:tr w:rsidR="00011DE9" w14:paraId="473980D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56FC4CA" w14:textId="77777777" w:rsidR="00011DE9" w:rsidRDefault="00011DE9">
            <w:pPr>
              <w:pStyle w:val="P68B1DB1-Normal45"/>
              <w:spacing w:after="0" w:line="240" w:lineRule="auto"/>
              <w:rPr>
                <w:rFonts w:eastAsia="Times New Roman"/>
                <w:noProof/>
              </w:rPr>
            </w:pPr>
            <w:r>
              <w:rPr>
                <w:noProof/>
              </w:rPr>
              <w:t>13</w:t>
            </w:r>
          </w:p>
        </w:tc>
        <w:tc>
          <w:tcPr>
            <w:tcW w:w="2057" w:type="dxa"/>
            <w:tcBorders>
              <w:top w:val="single" w:sz="4" w:space="0" w:color="auto"/>
              <w:left w:val="nil"/>
              <w:bottom w:val="single" w:sz="4" w:space="0" w:color="auto"/>
              <w:right w:val="single" w:sz="4" w:space="0" w:color="auto"/>
            </w:tcBorders>
            <w:shd w:val="clear" w:color="auto" w:fill="C6EFCE"/>
            <w:noWrap/>
          </w:tcPr>
          <w:p w14:paraId="4BDD4655" w14:textId="77777777" w:rsidR="00011DE9" w:rsidRDefault="00011DE9">
            <w:pPr>
              <w:pStyle w:val="P68B1DB1-Normal45"/>
              <w:spacing w:after="0" w:line="240" w:lineRule="auto"/>
              <w:rPr>
                <w:rFonts w:eastAsia="Times New Roman"/>
                <w:noProof/>
              </w:rPr>
            </w:pPr>
            <w:r>
              <w:rPr>
                <w:noProof/>
              </w:rPr>
              <w:t>C1.I2</w:t>
            </w:r>
          </w:p>
        </w:tc>
        <w:tc>
          <w:tcPr>
            <w:tcW w:w="1427" w:type="dxa"/>
            <w:tcBorders>
              <w:top w:val="single" w:sz="4" w:space="0" w:color="auto"/>
              <w:left w:val="nil"/>
              <w:bottom w:val="single" w:sz="4" w:space="0" w:color="auto"/>
              <w:right w:val="single" w:sz="4" w:space="0" w:color="auto"/>
            </w:tcBorders>
            <w:shd w:val="clear" w:color="auto" w:fill="C6EFCE"/>
            <w:noWrap/>
          </w:tcPr>
          <w:p w14:paraId="02E019A1" w14:textId="77777777" w:rsidR="00011DE9" w:rsidRDefault="00011DE9">
            <w:pPr>
              <w:pStyle w:val="P68B1DB1-Normal45"/>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6A43D46E" w14:textId="77777777" w:rsidR="00011DE9" w:rsidRDefault="00011DE9">
            <w:pPr>
              <w:pStyle w:val="P68B1DB1-Normal45"/>
              <w:spacing w:after="0" w:line="240" w:lineRule="auto"/>
              <w:rPr>
                <w:rFonts w:eastAsia="Times New Roman"/>
                <w:noProof/>
              </w:rPr>
            </w:pPr>
            <w:r>
              <w:rPr>
                <w:noProof/>
              </w:rPr>
              <w:t>Proiecte inovatoare de promovare a electromobilității</w:t>
            </w:r>
          </w:p>
        </w:tc>
      </w:tr>
      <w:tr w:rsidR="00011DE9" w14:paraId="4CBD1454"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41092C6" w14:textId="77777777" w:rsidR="00011DE9" w:rsidRDefault="00011DE9">
            <w:pPr>
              <w:pStyle w:val="P68B1DB1-Normal45"/>
              <w:spacing w:after="0" w:line="240" w:lineRule="auto"/>
              <w:rPr>
                <w:noProof/>
              </w:rPr>
            </w:pPr>
            <w:r>
              <w:rPr>
                <w:noProof/>
              </w:rPr>
              <w:t>421</w:t>
            </w:r>
          </w:p>
        </w:tc>
        <w:tc>
          <w:tcPr>
            <w:tcW w:w="2057" w:type="dxa"/>
            <w:tcBorders>
              <w:top w:val="single" w:sz="4" w:space="0" w:color="auto"/>
              <w:left w:val="nil"/>
              <w:bottom w:val="single" w:sz="4" w:space="0" w:color="auto"/>
              <w:right w:val="single" w:sz="4" w:space="0" w:color="auto"/>
            </w:tcBorders>
            <w:shd w:val="clear" w:color="auto" w:fill="C6EFCE"/>
            <w:noWrap/>
          </w:tcPr>
          <w:p w14:paraId="0ADB612B" w14:textId="77777777" w:rsidR="00011DE9" w:rsidRDefault="00011DE9">
            <w:pPr>
              <w:pStyle w:val="P68B1DB1-Normal45"/>
              <w:spacing w:after="0" w:line="240" w:lineRule="auto"/>
              <w:rPr>
                <w:noProof/>
              </w:rPr>
            </w:pPr>
            <w:r>
              <w:rPr>
                <w:noProof/>
              </w:rPr>
              <w:t>C3.I2</w:t>
            </w:r>
          </w:p>
        </w:tc>
        <w:tc>
          <w:tcPr>
            <w:tcW w:w="1427" w:type="dxa"/>
            <w:tcBorders>
              <w:top w:val="single" w:sz="4" w:space="0" w:color="auto"/>
              <w:left w:val="nil"/>
              <w:bottom w:val="single" w:sz="4" w:space="0" w:color="auto"/>
              <w:right w:val="single" w:sz="4" w:space="0" w:color="auto"/>
            </w:tcBorders>
            <w:shd w:val="clear" w:color="auto" w:fill="C6EFCE"/>
            <w:noWrap/>
          </w:tcPr>
          <w:p w14:paraId="1D2B5AAE"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2342978F" w14:textId="77777777" w:rsidR="00011DE9" w:rsidRDefault="00011DE9">
            <w:pPr>
              <w:pStyle w:val="P68B1DB1-Normal45"/>
              <w:spacing w:after="0" w:line="240" w:lineRule="auto"/>
              <w:rPr>
                <w:noProof/>
              </w:rPr>
            </w:pPr>
            <w:r>
              <w:rPr>
                <w:noProof/>
              </w:rPr>
              <w:t>Construirea unui laborator de biosecuritate de nivel înalt și acreditarea unui laborator național fitosanitar</w:t>
            </w:r>
          </w:p>
        </w:tc>
      </w:tr>
      <w:tr w:rsidR="00011DE9" w14:paraId="2837F0F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CC1AA05" w14:textId="77777777" w:rsidR="00011DE9" w:rsidRDefault="00011DE9">
            <w:pPr>
              <w:pStyle w:val="P68B1DB1-Normal45"/>
              <w:spacing w:after="0" w:line="240" w:lineRule="auto"/>
              <w:rPr>
                <w:noProof/>
              </w:rPr>
            </w:pPr>
            <w:r>
              <w:rPr>
                <w:noProof/>
              </w:rPr>
              <w:t>50</w:t>
            </w:r>
          </w:p>
        </w:tc>
        <w:tc>
          <w:tcPr>
            <w:tcW w:w="2057" w:type="dxa"/>
            <w:tcBorders>
              <w:top w:val="single" w:sz="4" w:space="0" w:color="auto"/>
              <w:left w:val="nil"/>
              <w:bottom w:val="single" w:sz="4" w:space="0" w:color="auto"/>
              <w:right w:val="single" w:sz="4" w:space="0" w:color="auto"/>
            </w:tcBorders>
            <w:shd w:val="clear" w:color="auto" w:fill="C6EFCE"/>
            <w:noWrap/>
          </w:tcPr>
          <w:p w14:paraId="7CA42A93" w14:textId="77777777" w:rsidR="00011DE9" w:rsidRDefault="00011DE9">
            <w:pPr>
              <w:pStyle w:val="P68B1DB1-Normal45"/>
              <w:spacing w:after="0" w:line="240" w:lineRule="auto"/>
              <w:rPr>
                <w:noProof/>
              </w:rPr>
            </w:pPr>
            <w:r>
              <w:rPr>
                <w:noProof/>
              </w:rPr>
              <w:t>C3.I3</w:t>
            </w:r>
          </w:p>
        </w:tc>
        <w:tc>
          <w:tcPr>
            <w:tcW w:w="1427" w:type="dxa"/>
            <w:tcBorders>
              <w:top w:val="single" w:sz="4" w:space="0" w:color="auto"/>
              <w:left w:val="nil"/>
              <w:bottom w:val="single" w:sz="4" w:space="0" w:color="auto"/>
              <w:right w:val="single" w:sz="4" w:space="0" w:color="auto"/>
            </w:tcBorders>
            <w:shd w:val="clear" w:color="auto" w:fill="C6EFCE"/>
            <w:noWrap/>
          </w:tcPr>
          <w:p w14:paraId="41024269"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0EBA9D79" w14:textId="77777777" w:rsidR="00011DE9" w:rsidRDefault="00011DE9">
            <w:pPr>
              <w:pStyle w:val="P68B1DB1-Normal45"/>
              <w:spacing w:after="0" w:line="240" w:lineRule="auto"/>
              <w:rPr>
                <w:noProof/>
              </w:rPr>
            </w:pPr>
            <w:r>
              <w:rPr>
                <w:noProof/>
              </w:rPr>
              <w:t>Construirea, renovarea sau achiziționarea de echipamente pentru centrele de curățare și dezinfectare și centrele de producție a materialelor de reproducere a plantelor</w:t>
            </w:r>
          </w:p>
        </w:tc>
      </w:tr>
      <w:tr w:rsidR="00011DE9" w14:paraId="598AF3C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5231A0E" w14:textId="77777777" w:rsidR="00011DE9" w:rsidRDefault="00011DE9">
            <w:pPr>
              <w:pStyle w:val="P68B1DB1-Normal45"/>
              <w:spacing w:after="0" w:line="240" w:lineRule="auto"/>
              <w:rPr>
                <w:noProof/>
              </w:rPr>
            </w:pPr>
            <w:r>
              <w:rPr>
                <w:noProof/>
              </w:rPr>
              <w:t>91</w:t>
            </w:r>
          </w:p>
        </w:tc>
        <w:tc>
          <w:tcPr>
            <w:tcW w:w="2057" w:type="dxa"/>
            <w:tcBorders>
              <w:top w:val="single" w:sz="4" w:space="0" w:color="auto"/>
              <w:left w:val="nil"/>
              <w:bottom w:val="single" w:sz="4" w:space="0" w:color="auto"/>
              <w:right w:val="single" w:sz="4" w:space="0" w:color="auto"/>
            </w:tcBorders>
            <w:shd w:val="clear" w:color="auto" w:fill="C6EFCE"/>
            <w:noWrap/>
          </w:tcPr>
          <w:p w14:paraId="2EAB5005" w14:textId="77777777" w:rsidR="00011DE9" w:rsidRDefault="00011DE9">
            <w:pPr>
              <w:pStyle w:val="P68B1DB1-Normal45"/>
              <w:spacing w:after="0" w:line="240" w:lineRule="auto"/>
              <w:rPr>
                <w:noProof/>
              </w:rPr>
            </w:pPr>
            <w:r>
              <w:rPr>
                <w:noProof/>
              </w:rPr>
              <w:t>C6.I2</w:t>
            </w:r>
          </w:p>
        </w:tc>
        <w:tc>
          <w:tcPr>
            <w:tcW w:w="1427" w:type="dxa"/>
            <w:tcBorders>
              <w:top w:val="single" w:sz="4" w:space="0" w:color="auto"/>
              <w:left w:val="nil"/>
              <w:bottom w:val="single" w:sz="4" w:space="0" w:color="auto"/>
              <w:right w:val="single" w:sz="4" w:space="0" w:color="auto"/>
            </w:tcBorders>
            <w:shd w:val="clear" w:color="auto" w:fill="C6EFCE"/>
            <w:noWrap/>
          </w:tcPr>
          <w:p w14:paraId="7D29ADD9"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42FF5C76" w14:textId="77777777" w:rsidR="00011DE9" w:rsidRDefault="00011DE9">
            <w:pPr>
              <w:pStyle w:val="P68B1DB1-Normal45"/>
              <w:spacing w:after="0" w:line="240" w:lineRule="auto"/>
              <w:rPr>
                <w:noProof/>
              </w:rPr>
            </w:pPr>
            <w:r>
              <w:rPr>
                <w:noProof/>
              </w:rPr>
              <w:t>Acțiuni de digitalizare: contracte executate</w:t>
            </w:r>
          </w:p>
        </w:tc>
      </w:tr>
      <w:tr w:rsidR="00011DE9" w14:paraId="31F049B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2B816FA" w14:textId="77777777" w:rsidR="00011DE9" w:rsidRDefault="00011DE9">
            <w:pPr>
              <w:pStyle w:val="P68B1DB1-Normal45"/>
              <w:spacing w:after="0" w:line="240" w:lineRule="auto"/>
              <w:rPr>
                <w:noProof/>
              </w:rPr>
            </w:pPr>
            <w:r>
              <w:rPr>
                <w:noProof/>
              </w:rPr>
              <w:t>123</w:t>
            </w:r>
          </w:p>
        </w:tc>
        <w:tc>
          <w:tcPr>
            <w:tcW w:w="2057" w:type="dxa"/>
            <w:tcBorders>
              <w:top w:val="single" w:sz="4" w:space="0" w:color="auto"/>
              <w:left w:val="nil"/>
              <w:bottom w:val="single" w:sz="4" w:space="0" w:color="auto"/>
              <w:right w:val="single" w:sz="4" w:space="0" w:color="auto"/>
            </w:tcBorders>
            <w:shd w:val="clear" w:color="auto" w:fill="C6EFCE"/>
            <w:noWrap/>
          </w:tcPr>
          <w:p w14:paraId="2B56594D" w14:textId="77777777" w:rsidR="00011DE9" w:rsidRDefault="00011DE9">
            <w:pPr>
              <w:pStyle w:val="P68B1DB1-Normal45"/>
              <w:spacing w:after="0" w:line="240" w:lineRule="auto"/>
              <w:rPr>
                <w:noProof/>
              </w:rPr>
            </w:pPr>
            <w:r>
              <w:rPr>
                <w:noProof/>
              </w:rPr>
              <w:t>C8.R3</w:t>
            </w:r>
          </w:p>
        </w:tc>
        <w:tc>
          <w:tcPr>
            <w:tcW w:w="1427" w:type="dxa"/>
            <w:tcBorders>
              <w:top w:val="single" w:sz="4" w:space="0" w:color="auto"/>
              <w:left w:val="nil"/>
              <w:bottom w:val="single" w:sz="4" w:space="0" w:color="auto"/>
              <w:right w:val="single" w:sz="4" w:space="0" w:color="auto"/>
            </w:tcBorders>
            <w:shd w:val="clear" w:color="auto" w:fill="C6EFCE"/>
            <w:noWrap/>
          </w:tcPr>
          <w:p w14:paraId="2AACA8B4"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3CD0D10A" w14:textId="77777777" w:rsidR="00011DE9" w:rsidRDefault="00011DE9">
            <w:pPr>
              <w:pStyle w:val="P68B1DB1-Normal45"/>
              <w:spacing w:after="0" w:line="240" w:lineRule="auto"/>
              <w:rPr>
                <w:noProof/>
              </w:rPr>
            </w:pPr>
            <w:r>
              <w:rPr>
                <w:noProof/>
              </w:rPr>
              <w:t>Intrarea în vigoare a măsurilor de reglementare</w:t>
            </w:r>
          </w:p>
        </w:tc>
      </w:tr>
      <w:tr w:rsidR="00011DE9" w14:paraId="54F94C0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A47FC11" w14:textId="77777777" w:rsidR="00011DE9" w:rsidRDefault="00011DE9">
            <w:pPr>
              <w:pStyle w:val="P68B1DB1-Normal45"/>
              <w:spacing w:after="0" w:line="240" w:lineRule="auto"/>
              <w:rPr>
                <w:rFonts w:eastAsia="Times New Roman"/>
                <w:noProof/>
              </w:rPr>
            </w:pPr>
            <w:r>
              <w:rPr>
                <w:noProof/>
              </w:rPr>
              <w:t>142</w:t>
            </w:r>
          </w:p>
        </w:tc>
        <w:tc>
          <w:tcPr>
            <w:tcW w:w="2057" w:type="dxa"/>
            <w:tcBorders>
              <w:top w:val="single" w:sz="4" w:space="0" w:color="auto"/>
              <w:left w:val="nil"/>
              <w:bottom w:val="single" w:sz="4" w:space="0" w:color="auto"/>
              <w:right w:val="single" w:sz="4" w:space="0" w:color="auto"/>
            </w:tcBorders>
            <w:shd w:val="clear" w:color="auto" w:fill="C6EFCE"/>
            <w:noWrap/>
          </w:tcPr>
          <w:p w14:paraId="669E002D" w14:textId="77777777" w:rsidR="00011DE9" w:rsidRDefault="00011DE9">
            <w:pPr>
              <w:pStyle w:val="P68B1DB1-Normal45"/>
              <w:spacing w:after="0" w:line="240" w:lineRule="auto"/>
              <w:rPr>
                <w:rFonts w:eastAsia="Times New Roman"/>
                <w:noProof/>
              </w:rPr>
            </w:pPr>
            <w:r>
              <w:rPr>
                <w:noProof/>
              </w:rPr>
              <w:t>C10.I1</w:t>
            </w:r>
          </w:p>
        </w:tc>
        <w:tc>
          <w:tcPr>
            <w:tcW w:w="1427" w:type="dxa"/>
            <w:tcBorders>
              <w:top w:val="single" w:sz="4" w:space="0" w:color="auto"/>
              <w:left w:val="nil"/>
              <w:bottom w:val="single" w:sz="4" w:space="0" w:color="auto"/>
              <w:right w:val="single" w:sz="4" w:space="0" w:color="auto"/>
            </w:tcBorders>
            <w:shd w:val="clear" w:color="auto" w:fill="C6EFCE"/>
            <w:noWrap/>
          </w:tcPr>
          <w:p w14:paraId="56799CAE" w14:textId="77777777" w:rsidR="00011DE9" w:rsidRDefault="00011DE9">
            <w:pPr>
              <w:pStyle w:val="P68B1DB1-Normal45"/>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127CB35A" w14:textId="77777777" w:rsidR="00011DE9" w:rsidRDefault="00011DE9">
            <w:pPr>
              <w:pStyle w:val="P68B1DB1-Normal45"/>
              <w:spacing w:after="0" w:line="240" w:lineRule="auto"/>
              <w:rPr>
                <w:rFonts w:eastAsia="Times New Roman"/>
                <w:noProof/>
              </w:rPr>
            </w:pPr>
            <w:r>
              <w:rPr>
                <w:noProof/>
              </w:rPr>
              <w:t>Proiecte de investiții pentru adaptarea instalațiilor industriale pentru hidrogenul verde și stocarea energiei.</w:t>
            </w:r>
          </w:p>
        </w:tc>
      </w:tr>
      <w:tr w:rsidR="00011DE9" w14:paraId="45D36A9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7AE580B3" w14:textId="77777777" w:rsidR="00011DE9" w:rsidRDefault="00011DE9">
            <w:pPr>
              <w:pStyle w:val="P68B1DB1-Normal45"/>
              <w:spacing w:after="0" w:line="240" w:lineRule="auto"/>
              <w:rPr>
                <w:rFonts w:eastAsia="Times New Roman"/>
                <w:noProof/>
              </w:rPr>
            </w:pPr>
            <w:r>
              <w:rPr>
                <w:noProof/>
              </w:rPr>
              <w:softHyphen/>
              <w:t>431</w:t>
            </w:r>
          </w:p>
        </w:tc>
        <w:tc>
          <w:tcPr>
            <w:tcW w:w="2057" w:type="dxa"/>
            <w:tcBorders>
              <w:top w:val="single" w:sz="4" w:space="0" w:color="auto"/>
              <w:left w:val="nil"/>
              <w:bottom w:val="single" w:sz="4" w:space="0" w:color="auto"/>
              <w:right w:val="single" w:sz="4" w:space="0" w:color="auto"/>
            </w:tcBorders>
            <w:shd w:val="clear" w:color="auto" w:fill="C6EFCE"/>
            <w:noWrap/>
          </w:tcPr>
          <w:p w14:paraId="51875806" w14:textId="77777777" w:rsidR="00011DE9" w:rsidRDefault="00011DE9">
            <w:pPr>
              <w:pStyle w:val="P68B1DB1-Normal45"/>
              <w:spacing w:after="0" w:line="240" w:lineRule="auto"/>
              <w:rPr>
                <w:rFonts w:eastAsia="Times New Roman"/>
                <w:noProof/>
              </w:rPr>
            </w:pPr>
            <w:r>
              <w:rPr>
                <w:noProof/>
              </w:rPr>
              <w:t>C10.I1</w:t>
            </w:r>
          </w:p>
        </w:tc>
        <w:tc>
          <w:tcPr>
            <w:tcW w:w="1427" w:type="dxa"/>
            <w:tcBorders>
              <w:top w:val="single" w:sz="4" w:space="0" w:color="auto"/>
              <w:left w:val="nil"/>
              <w:bottom w:val="single" w:sz="4" w:space="0" w:color="auto"/>
              <w:right w:val="single" w:sz="4" w:space="0" w:color="auto"/>
            </w:tcBorders>
            <w:shd w:val="clear" w:color="auto" w:fill="C6EFCE"/>
            <w:noWrap/>
          </w:tcPr>
          <w:p w14:paraId="5048C7E7" w14:textId="77777777" w:rsidR="00011DE9" w:rsidRDefault="00011DE9">
            <w:pPr>
              <w:pStyle w:val="P68B1DB1-Normal45"/>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1329CE13" w14:textId="77777777" w:rsidR="00011DE9" w:rsidRDefault="00011DE9">
            <w:pPr>
              <w:pStyle w:val="P68B1DB1-Normal45"/>
              <w:spacing w:after="0" w:line="240" w:lineRule="auto"/>
              <w:rPr>
                <w:rFonts w:eastAsia="Times New Roman"/>
                <w:noProof/>
              </w:rPr>
            </w:pPr>
            <w:r>
              <w:rPr>
                <w:noProof/>
              </w:rPr>
              <w:t>Sprijin pentru proiectele de infrastructură de mediu, digitală și socială</w:t>
            </w:r>
          </w:p>
        </w:tc>
      </w:tr>
      <w:tr w:rsidR="00011DE9" w14:paraId="592C048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AAE26AF" w14:textId="77777777" w:rsidR="00011DE9" w:rsidRDefault="00011DE9">
            <w:pPr>
              <w:pStyle w:val="P68B1DB1-Normal45"/>
              <w:spacing w:after="0" w:line="240" w:lineRule="auto"/>
              <w:rPr>
                <w:noProof/>
              </w:rPr>
            </w:pPr>
            <w:r>
              <w:rPr>
                <w:noProof/>
              </w:rPr>
              <w:t>149</w:t>
            </w:r>
          </w:p>
        </w:tc>
        <w:tc>
          <w:tcPr>
            <w:tcW w:w="2057" w:type="dxa"/>
            <w:tcBorders>
              <w:top w:val="single" w:sz="4" w:space="0" w:color="auto"/>
              <w:left w:val="nil"/>
              <w:bottom w:val="single" w:sz="4" w:space="0" w:color="auto"/>
              <w:right w:val="single" w:sz="4" w:space="0" w:color="auto"/>
            </w:tcBorders>
            <w:shd w:val="clear" w:color="auto" w:fill="C6EFCE"/>
            <w:noWrap/>
          </w:tcPr>
          <w:p w14:paraId="660EE801" w14:textId="77777777" w:rsidR="00011DE9" w:rsidRDefault="00011DE9">
            <w:pPr>
              <w:pStyle w:val="P68B1DB1-Normal45"/>
              <w:spacing w:after="0" w:line="240" w:lineRule="auto"/>
              <w:rPr>
                <w:noProof/>
              </w:rPr>
            </w:pPr>
            <w:r>
              <w:rPr>
                <w:noProof/>
              </w:rPr>
              <w:t>C11.R1</w:t>
            </w:r>
          </w:p>
        </w:tc>
        <w:tc>
          <w:tcPr>
            <w:tcW w:w="1427" w:type="dxa"/>
            <w:tcBorders>
              <w:top w:val="single" w:sz="4" w:space="0" w:color="auto"/>
              <w:left w:val="nil"/>
              <w:bottom w:val="single" w:sz="4" w:space="0" w:color="auto"/>
              <w:right w:val="single" w:sz="4" w:space="0" w:color="auto"/>
            </w:tcBorders>
            <w:shd w:val="clear" w:color="auto" w:fill="C6EFCE"/>
            <w:noWrap/>
          </w:tcPr>
          <w:p w14:paraId="64E765CC"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1C39317B" w14:textId="77777777" w:rsidR="00011DE9" w:rsidRDefault="00011DE9">
            <w:pPr>
              <w:pStyle w:val="P68B1DB1-Normal45"/>
              <w:spacing w:after="0" w:line="240" w:lineRule="auto"/>
              <w:rPr>
                <w:noProof/>
              </w:rPr>
            </w:pPr>
            <w:r>
              <w:rPr>
                <w:noProof/>
              </w:rPr>
              <w:t>Statutul noului organism public de evaluare</w:t>
            </w:r>
          </w:p>
        </w:tc>
      </w:tr>
      <w:tr w:rsidR="00011DE9" w14:paraId="3F60F64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8B604B6" w14:textId="77777777" w:rsidR="00011DE9" w:rsidRDefault="00011DE9">
            <w:pPr>
              <w:pStyle w:val="P68B1DB1-Normal45"/>
              <w:spacing w:after="0" w:line="240" w:lineRule="auto"/>
              <w:rPr>
                <w:noProof/>
              </w:rPr>
            </w:pPr>
            <w:r>
              <w:rPr>
                <w:noProof/>
              </w:rPr>
              <w:t>150</w:t>
            </w:r>
          </w:p>
        </w:tc>
        <w:tc>
          <w:tcPr>
            <w:tcW w:w="2057" w:type="dxa"/>
            <w:tcBorders>
              <w:top w:val="single" w:sz="4" w:space="0" w:color="auto"/>
              <w:left w:val="nil"/>
              <w:bottom w:val="single" w:sz="4" w:space="0" w:color="auto"/>
              <w:right w:val="single" w:sz="4" w:space="0" w:color="auto"/>
            </w:tcBorders>
            <w:shd w:val="clear" w:color="auto" w:fill="C6EFCE"/>
            <w:noWrap/>
          </w:tcPr>
          <w:p w14:paraId="49DF7BE7" w14:textId="77777777" w:rsidR="00011DE9" w:rsidRDefault="00011DE9">
            <w:pPr>
              <w:pStyle w:val="P68B1DB1-Normal45"/>
              <w:spacing w:after="0" w:line="240" w:lineRule="auto"/>
              <w:rPr>
                <w:noProof/>
              </w:rPr>
            </w:pPr>
            <w:r>
              <w:rPr>
                <w:noProof/>
              </w:rPr>
              <w:t>C11.R1</w:t>
            </w:r>
          </w:p>
        </w:tc>
        <w:tc>
          <w:tcPr>
            <w:tcW w:w="1427" w:type="dxa"/>
            <w:tcBorders>
              <w:top w:val="single" w:sz="4" w:space="0" w:color="auto"/>
              <w:left w:val="nil"/>
              <w:bottom w:val="single" w:sz="4" w:space="0" w:color="auto"/>
              <w:right w:val="single" w:sz="4" w:space="0" w:color="auto"/>
            </w:tcBorders>
            <w:shd w:val="clear" w:color="auto" w:fill="C6EFCE"/>
            <w:noWrap/>
          </w:tcPr>
          <w:p w14:paraId="1DA13931" w14:textId="77777777" w:rsidR="00011DE9" w:rsidRDefault="00011DE9">
            <w:pPr>
              <w:pStyle w:val="P68B1DB1-Normal45"/>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4D1BD255" w14:textId="77777777" w:rsidR="00011DE9" w:rsidRDefault="00011DE9">
            <w:pPr>
              <w:pStyle w:val="P68B1DB1-Normal45"/>
              <w:spacing w:after="0" w:line="240" w:lineRule="auto"/>
              <w:rPr>
                <w:noProof/>
              </w:rPr>
            </w:pPr>
            <w:r>
              <w:rPr>
                <w:noProof/>
              </w:rPr>
              <w:t>Stabilizarea ocupării forței de muncă în sectorul public</w:t>
            </w:r>
          </w:p>
        </w:tc>
      </w:tr>
      <w:tr w:rsidR="00011DE9" w14:paraId="172E646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5D59F46" w14:textId="77777777" w:rsidR="00011DE9" w:rsidRDefault="00011DE9">
            <w:pPr>
              <w:pStyle w:val="P68B1DB1-Normal45"/>
              <w:spacing w:after="0" w:line="240" w:lineRule="auto"/>
              <w:rPr>
                <w:rFonts w:eastAsia="Times New Roman"/>
                <w:noProof/>
              </w:rPr>
            </w:pPr>
            <w:r>
              <w:rPr>
                <w:noProof/>
              </w:rPr>
              <w:t>162</w:t>
            </w:r>
          </w:p>
        </w:tc>
        <w:tc>
          <w:tcPr>
            <w:tcW w:w="2057" w:type="dxa"/>
            <w:tcBorders>
              <w:top w:val="single" w:sz="4" w:space="0" w:color="auto"/>
              <w:left w:val="nil"/>
              <w:bottom w:val="single" w:sz="4" w:space="0" w:color="auto"/>
              <w:right w:val="single" w:sz="4" w:space="0" w:color="auto"/>
            </w:tcBorders>
            <w:shd w:val="clear" w:color="auto" w:fill="C6EFCE"/>
            <w:noWrap/>
          </w:tcPr>
          <w:p w14:paraId="6F4BF5DA" w14:textId="77777777" w:rsidR="00011DE9" w:rsidRDefault="00011DE9">
            <w:pPr>
              <w:pStyle w:val="P68B1DB1-Normal45"/>
              <w:spacing w:after="0" w:line="240" w:lineRule="auto"/>
              <w:rPr>
                <w:rFonts w:eastAsia="Times New Roman"/>
                <w:noProof/>
              </w:rPr>
            </w:pPr>
            <w:r>
              <w:rPr>
                <w:noProof/>
              </w:rPr>
              <w:t>C11.I1</w:t>
            </w:r>
          </w:p>
        </w:tc>
        <w:tc>
          <w:tcPr>
            <w:tcW w:w="1427" w:type="dxa"/>
            <w:tcBorders>
              <w:top w:val="single" w:sz="4" w:space="0" w:color="auto"/>
              <w:left w:val="nil"/>
              <w:bottom w:val="single" w:sz="4" w:space="0" w:color="auto"/>
              <w:right w:val="single" w:sz="4" w:space="0" w:color="auto"/>
            </w:tcBorders>
            <w:shd w:val="clear" w:color="auto" w:fill="C6EFCE"/>
            <w:noWrap/>
          </w:tcPr>
          <w:p w14:paraId="50239997" w14:textId="77777777" w:rsidR="00011DE9" w:rsidRDefault="00011DE9">
            <w:pPr>
              <w:pStyle w:val="P68B1DB1-Normal45"/>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00C81731" w14:textId="77777777" w:rsidR="00011DE9" w:rsidRDefault="00011DE9">
            <w:pPr>
              <w:pStyle w:val="P68B1DB1-Normal45"/>
              <w:spacing w:after="0" w:line="240" w:lineRule="auto"/>
              <w:rPr>
                <w:rFonts w:eastAsia="Times New Roman"/>
                <w:noProof/>
              </w:rPr>
            </w:pPr>
            <w:r>
              <w:rPr>
                <w:noProof/>
              </w:rPr>
              <w:t>Transformarea digitală a administrației publice centrale</w:t>
            </w:r>
          </w:p>
        </w:tc>
      </w:tr>
      <w:tr w:rsidR="00011DE9" w14:paraId="62D1224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9CEA6B2" w14:textId="77777777" w:rsidR="00011DE9" w:rsidRDefault="00011DE9">
            <w:pPr>
              <w:pStyle w:val="P68B1DB1-Normal45"/>
              <w:spacing w:after="0" w:line="240" w:lineRule="auto"/>
              <w:rPr>
                <w:rFonts w:eastAsia="Times New Roman"/>
                <w:noProof/>
              </w:rPr>
            </w:pPr>
            <w:r>
              <w:rPr>
                <w:noProof/>
              </w:rPr>
              <w:t>166</w:t>
            </w:r>
          </w:p>
        </w:tc>
        <w:tc>
          <w:tcPr>
            <w:tcW w:w="2057" w:type="dxa"/>
            <w:tcBorders>
              <w:top w:val="single" w:sz="4" w:space="0" w:color="auto"/>
              <w:left w:val="nil"/>
              <w:bottom w:val="single" w:sz="4" w:space="0" w:color="auto"/>
              <w:right w:val="single" w:sz="4" w:space="0" w:color="auto"/>
            </w:tcBorders>
            <w:shd w:val="clear" w:color="auto" w:fill="C6EFCE"/>
            <w:noWrap/>
          </w:tcPr>
          <w:p w14:paraId="37DDF9DB" w14:textId="77777777" w:rsidR="00011DE9" w:rsidRDefault="00011DE9">
            <w:pPr>
              <w:pStyle w:val="P68B1DB1-Normal45"/>
              <w:spacing w:after="0" w:line="240" w:lineRule="auto"/>
              <w:rPr>
                <w:rFonts w:eastAsia="Times New Roman"/>
                <w:noProof/>
              </w:rPr>
            </w:pPr>
            <w:r>
              <w:rPr>
                <w:noProof/>
              </w:rPr>
              <w:t>C11.I2</w:t>
            </w:r>
          </w:p>
        </w:tc>
        <w:tc>
          <w:tcPr>
            <w:tcW w:w="1427" w:type="dxa"/>
            <w:tcBorders>
              <w:top w:val="single" w:sz="4" w:space="0" w:color="auto"/>
              <w:left w:val="nil"/>
              <w:bottom w:val="single" w:sz="4" w:space="0" w:color="auto"/>
              <w:right w:val="single" w:sz="4" w:space="0" w:color="auto"/>
            </w:tcBorders>
            <w:shd w:val="clear" w:color="auto" w:fill="C6EFCE"/>
            <w:noWrap/>
          </w:tcPr>
          <w:p w14:paraId="59C71A07" w14:textId="77777777" w:rsidR="00011DE9" w:rsidRDefault="00011DE9">
            <w:pPr>
              <w:pStyle w:val="P68B1DB1-Normal45"/>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463E65B8" w14:textId="77777777" w:rsidR="00011DE9" w:rsidRDefault="00011DE9">
            <w:pPr>
              <w:pStyle w:val="P68B1DB1-Normal45"/>
              <w:spacing w:after="0" w:line="240" w:lineRule="auto"/>
              <w:rPr>
                <w:rFonts w:eastAsia="Times New Roman"/>
                <w:noProof/>
              </w:rPr>
            </w:pPr>
            <w:r>
              <w:rPr>
                <w:noProof/>
              </w:rPr>
              <w:t>Digitalizarea administrației publice centrale (cu excepția celor vizate de jalonul #163, ținta #164)</w:t>
            </w:r>
          </w:p>
        </w:tc>
      </w:tr>
      <w:tr w:rsidR="00011DE9" w14:paraId="4710E54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C1BEC5C" w14:textId="77777777" w:rsidR="00011DE9" w:rsidRDefault="00011DE9">
            <w:pPr>
              <w:pStyle w:val="P68B1DB1-Normal45"/>
              <w:spacing w:after="0" w:line="240" w:lineRule="auto"/>
              <w:rPr>
                <w:rFonts w:eastAsia="Times New Roman"/>
                <w:noProof/>
              </w:rPr>
            </w:pPr>
            <w:r>
              <w:rPr>
                <w:noProof/>
              </w:rPr>
              <w:t>170</w:t>
            </w:r>
          </w:p>
        </w:tc>
        <w:tc>
          <w:tcPr>
            <w:tcW w:w="2057" w:type="dxa"/>
            <w:tcBorders>
              <w:top w:val="single" w:sz="4" w:space="0" w:color="auto"/>
              <w:left w:val="nil"/>
              <w:bottom w:val="single" w:sz="4" w:space="0" w:color="auto"/>
              <w:right w:val="single" w:sz="4" w:space="0" w:color="auto"/>
            </w:tcBorders>
            <w:shd w:val="clear" w:color="auto" w:fill="C6EFCE"/>
            <w:noWrap/>
          </w:tcPr>
          <w:p w14:paraId="2647499C" w14:textId="77777777" w:rsidR="00011DE9" w:rsidRDefault="00011DE9">
            <w:pPr>
              <w:pStyle w:val="P68B1DB1-Normal45"/>
              <w:spacing w:after="0" w:line="240" w:lineRule="auto"/>
              <w:rPr>
                <w:rFonts w:eastAsia="Times New Roman"/>
                <w:noProof/>
              </w:rPr>
            </w:pPr>
            <w:r>
              <w:rPr>
                <w:noProof/>
              </w:rPr>
              <w:t>C11.I4</w:t>
            </w:r>
          </w:p>
        </w:tc>
        <w:tc>
          <w:tcPr>
            <w:tcW w:w="1427" w:type="dxa"/>
            <w:tcBorders>
              <w:top w:val="single" w:sz="4" w:space="0" w:color="auto"/>
              <w:left w:val="nil"/>
              <w:bottom w:val="single" w:sz="4" w:space="0" w:color="auto"/>
              <w:right w:val="single" w:sz="4" w:space="0" w:color="auto"/>
            </w:tcBorders>
            <w:shd w:val="clear" w:color="auto" w:fill="C6EFCE"/>
            <w:noWrap/>
          </w:tcPr>
          <w:p w14:paraId="17DFA464" w14:textId="77777777" w:rsidR="00011DE9" w:rsidRDefault="00011DE9">
            <w:pPr>
              <w:pStyle w:val="P68B1DB1-Normal45"/>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79B24513" w14:textId="77777777" w:rsidR="00011DE9" w:rsidRDefault="00011DE9">
            <w:pPr>
              <w:pStyle w:val="P68B1DB1-Normal45"/>
              <w:spacing w:after="0" w:line="240" w:lineRule="auto"/>
              <w:rPr>
                <w:rFonts w:eastAsia="Times New Roman"/>
                <w:noProof/>
              </w:rPr>
            </w:pPr>
            <w:r>
              <w:rPr>
                <w:noProof/>
              </w:rPr>
              <w:t>Casarea și achiziționarea de vehicule</w:t>
            </w:r>
          </w:p>
        </w:tc>
      </w:tr>
      <w:tr w:rsidR="00011DE9" w14:paraId="56E7752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E39E7D4" w14:textId="77777777" w:rsidR="00011DE9" w:rsidRDefault="00011DE9">
            <w:pPr>
              <w:pStyle w:val="P68B1DB1-Normal45"/>
              <w:spacing w:after="0" w:line="240" w:lineRule="auto"/>
              <w:rPr>
                <w:noProof/>
              </w:rPr>
            </w:pPr>
            <w:r>
              <w:rPr>
                <w:noProof/>
              </w:rPr>
              <w:t>175</w:t>
            </w:r>
          </w:p>
        </w:tc>
        <w:tc>
          <w:tcPr>
            <w:tcW w:w="2057" w:type="dxa"/>
            <w:tcBorders>
              <w:top w:val="single" w:sz="4" w:space="0" w:color="auto"/>
              <w:left w:val="nil"/>
              <w:bottom w:val="single" w:sz="4" w:space="0" w:color="auto"/>
              <w:right w:val="single" w:sz="4" w:space="0" w:color="auto"/>
            </w:tcBorders>
            <w:shd w:val="clear" w:color="auto" w:fill="C6EFCE"/>
            <w:noWrap/>
          </w:tcPr>
          <w:p w14:paraId="3E7FB1F1" w14:textId="77777777" w:rsidR="00011DE9" w:rsidRDefault="00011DE9">
            <w:pPr>
              <w:pStyle w:val="P68B1DB1-Normal45"/>
              <w:spacing w:after="0" w:line="240" w:lineRule="auto"/>
              <w:rPr>
                <w:noProof/>
              </w:rPr>
            </w:pPr>
            <w:r>
              <w:rPr>
                <w:noProof/>
              </w:rPr>
              <w:t>C11.I5</w:t>
            </w:r>
          </w:p>
        </w:tc>
        <w:tc>
          <w:tcPr>
            <w:tcW w:w="1427" w:type="dxa"/>
            <w:tcBorders>
              <w:top w:val="single" w:sz="4" w:space="0" w:color="auto"/>
              <w:left w:val="nil"/>
              <w:bottom w:val="single" w:sz="4" w:space="0" w:color="auto"/>
              <w:right w:val="single" w:sz="4" w:space="0" w:color="auto"/>
            </w:tcBorders>
            <w:shd w:val="clear" w:color="auto" w:fill="C6EFCE"/>
            <w:noWrap/>
          </w:tcPr>
          <w:p w14:paraId="43DA4331" w14:textId="77777777" w:rsidR="00011DE9" w:rsidRDefault="00011DE9">
            <w:pPr>
              <w:pStyle w:val="P68B1DB1-Normal45"/>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27508412" w14:textId="77777777" w:rsidR="00011DE9" w:rsidRDefault="00011DE9">
            <w:pPr>
              <w:pStyle w:val="P68B1DB1-Normal45"/>
              <w:spacing w:after="0" w:line="240" w:lineRule="auto"/>
              <w:rPr>
                <w:noProof/>
              </w:rPr>
            </w:pPr>
            <w:r>
              <w:rPr>
                <w:noProof/>
              </w:rPr>
              <w:t>Cursuri de formare privind planul de redresare și reziliență</w:t>
            </w:r>
          </w:p>
        </w:tc>
      </w:tr>
      <w:tr w:rsidR="00011DE9" w14:paraId="4AF7D6D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885AE50" w14:textId="77777777" w:rsidR="00011DE9" w:rsidRDefault="00011DE9">
            <w:pPr>
              <w:pStyle w:val="P68B1DB1-Normal45"/>
              <w:spacing w:after="0" w:line="240" w:lineRule="auto"/>
              <w:rPr>
                <w:noProof/>
              </w:rPr>
            </w:pPr>
            <w:r>
              <w:rPr>
                <w:noProof/>
              </w:rPr>
              <w:t>175b</w:t>
            </w:r>
          </w:p>
        </w:tc>
        <w:tc>
          <w:tcPr>
            <w:tcW w:w="2057" w:type="dxa"/>
            <w:tcBorders>
              <w:top w:val="single" w:sz="4" w:space="0" w:color="auto"/>
              <w:left w:val="nil"/>
              <w:bottom w:val="single" w:sz="4" w:space="0" w:color="auto"/>
              <w:right w:val="single" w:sz="4" w:space="0" w:color="auto"/>
            </w:tcBorders>
            <w:shd w:val="clear" w:color="auto" w:fill="C6EFCE"/>
            <w:noWrap/>
          </w:tcPr>
          <w:p w14:paraId="0B7CEA70" w14:textId="77777777" w:rsidR="00011DE9" w:rsidRDefault="00011DE9">
            <w:pPr>
              <w:pStyle w:val="P68B1DB1-Normal45"/>
              <w:spacing w:after="0" w:line="240" w:lineRule="auto"/>
              <w:rPr>
                <w:noProof/>
              </w:rPr>
            </w:pPr>
            <w:r>
              <w:rPr>
                <w:noProof/>
              </w:rPr>
              <w:t>C11.I6</w:t>
            </w:r>
          </w:p>
        </w:tc>
        <w:tc>
          <w:tcPr>
            <w:tcW w:w="1427" w:type="dxa"/>
            <w:tcBorders>
              <w:top w:val="single" w:sz="4" w:space="0" w:color="auto"/>
              <w:left w:val="nil"/>
              <w:bottom w:val="single" w:sz="4" w:space="0" w:color="auto"/>
              <w:right w:val="single" w:sz="4" w:space="0" w:color="auto"/>
            </w:tcBorders>
            <w:shd w:val="clear" w:color="auto" w:fill="C6EFCE"/>
            <w:noWrap/>
          </w:tcPr>
          <w:p w14:paraId="523A8714"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2A5CF38B" w14:textId="77777777" w:rsidR="00011DE9" w:rsidRDefault="00011DE9">
            <w:pPr>
              <w:pStyle w:val="P68B1DB1-Normal45"/>
              <w:spacing w:after="0" w:line="240" w:lineRule="auto"/>
              <w:rPr>
                <w:noProof/>
              </w:rPr>
            </w:pPr>
            <w:r>
              <w:rPr>
                <w:noProof/>
              </w:rPr>
              <w:t xml:space="preserve">Capacitățile în materie de securitate cibernetică ale administrației publice </w:t>
            </w:r>
          </w:p>
        </w:tc>
      </w:tr>
      <w:tr w:rsidR="00011DE9" w14:paraId="58F4DEB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0F9CA8D" w14:textId="77777777" w:rsidR="00011DE9" w:rsidRDefault="00011DE9">
            <w:pPr>
              <w:pStyle w:val="P68B1DB1-Normal45"/>
              <w:spacing w:after="0" w:line="240" w:lineRule="auto"/>
              <w:rPr>
                <w:noProof/>
              </w:rPr>
            </w:pPr>
            <w:r>
              <w:rPr>
                <w:noProof/>
              </w:rPr>
              <w:t>440</w:t>
            </w:r>
          </w:p>
        </w:tc>
        <w:tc>
          <w:tcPr>
            <w:tcW w:w="2057" w:type="dxa"/>
            <w:tcBorders>
              <w:top w:val="single" w:sz="4" w:space="0" w:color="auto"/>
              <w:left w:val="nil"/>
              <w:bottom w:val="single" w:sz="4" w:space="0" w:color="auto"/>
              <w:right w:val="single" w:sz="4" w:space="0" w:color="auto"/>
            </w:tcBorders>
            <w:shd w:val="clear" w:color="auto" w:fill="C6EFCE"/>
            <w:noWrap/>
          </w:tcPr>
          <w:p w14:paraId="29DC51E6" w14:textId="77777777" w:rsidR="00011DE9" w:rsidRDefault="00011DE9">
            <w:pPr>
              <w:pStyle w:val="P68B1DB1-Normal45"/>
              <w:spacing w:after="0" w:line="240" w:lineRule="auto"/>
              <w:rPr>
                <w:noProof/>
              </w:rPr>
            </w:pPr>
            <w:r>
              <w:rPr>
                <w:noProof/>
              </w:rPr>
              <w:t>C12.R2</w:t>
            </w:r>
          </w:p>
        </w:tc>
        <w:tc>
          <w:tcPr>
            <w:tcW w:w="1427" w:type="dxa"/>
            <w:tcBorders>
              <w:top w:val="single" w:sz="4" w:space="0" w:color="auto"/>
              <w:left w:val="nil"/>
              <w:bottom w:val="single" w:sz="4" w:space="0" w:color="auto"/>
              <w:right w:val="single" w:sz="4" w:space="0" w:color="auto"/>
            </w:tcBorders>
            <w:shd w:val="clear" w:color="auto" w:fill="C6EFCE"/>
            <w:noWrap/>
          </w:tcPr>
          <w:p w14:paraId="043EB3C2" w14:textId="77777777" w:rsidR="00011DE9" w:rsidRDefault="00011DE9">
            <w:pPr>
              <w:pStyle w:val="P68B1DB1-Normal45"/>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7482CCBA" w14:textId="77777777" w:rsidR="00011DE9" w:rsidRDefault="00011DE9">
            <w:pPr>
              <w:pStyle w:val="P68B1DB1-Normal45"/>
              <w:spacing w:after="0" w:line="240" w:lineRule="auto"/>
              <w:rPr>
                <w:noProof/>
              </w:rPr>
            </w:pPr>
            <w:r>
              <w:rPr>
                <w:noProof/>
              </w:rPr>
              <w:t>Grupul de lucru al Comisiei de coordonare a deșeurilor pentru monitorizarea conformității cu legislația privind deșeurile</w:t>
            </w:r>
          </w:p>
        </w:tc>
      </w:tr>
      <w:tr w:rsidR="00011DE9" w14:paraId="5345E2F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5105EDB" w14:textId="77777777" w:rsidR="00011DE9" w:rsidRDefault="00011DE9">
            <w:pPr>
              <w:pStyle w:val="P68B1DB1-Normal45"/>
              <w:spacing w:after="0" w:line="240" w:lineRule="auto"/>
              <w:rPr>
                <w:noProof/>
              </w:rPr>
            </w:pPr>
            <w:r>
              <w:rPr>
                <w:noProof/>
              </w:rPr>
              <w:t>441</w:t>
            </w:r>
          </w:p>
        </w:tc>
        <w:tc>
          <w:tcPr>
            <w:tcW w:w="2057" w:type="dxa"/>
            <w:tcBorders>
              <w:top w:val="single" w:sz="4" w:space="0" w:color="auto"/>
              <w:left w:val="nil"/>
              <w:bottom w:val="single" w:sz="4" w:space="0" w:color="auto"/>
              <w:right w:val="single" w:sz="4" w:space="0" w:color="auto"/>
            </w:tcBorders>
            <w:shd w:val="clear" w:color="auto" w:fill="C6EFCE"/>
            <w:noWrap/>
          </w:tcPr>
          <w:p w14:paraId="2013CBA1" w14:textId="77777777" w:rsidR="00011DE9" w:rsidRDefault="00011DE9">
            <w:pPr>
              <w:pStyle w:val="P68B1DB1-Normal45"/>
              <w:spacing w:after="0" w:line="240" w:lineRule="auto"/>
              <w:rPr>
                <w:noProof/>
              </w:rPr>
            </w:pPr>
            <w:r>
              <w:rPr>
                <w:noProof/>
              </w:rPr>
              <w:t>C12.R2</w:t>
            </w:r>
          </w:p>
        </w:tc>
        <w:tc>
          <w:tcPr>
            <w:tcW w:w="1427" w:type="dxa"/>
            <w:tcBorders>
              <w:top w:val="single" w:sz="4" w:space="0" w:color="auto"/>
              <w:left w:val="nil"/>
              <w:bottom w:val="single" w:sz="4" w:space="0" w:color="auto"/>
              <w:right w:val="single" w:sz="4" w:space="0" w:color="auto"/>
            </w:tcBorders>
            <w:shd w:val="clear" w:color="auto" w:fill="C6EFCE"/>
            <w:noWrap/>
          </w:tcPr>
          <w:p w14:paraId="3277B1B0" w14:textId="77777777" w:rsidR="00011DE9" w:rsidRDefault="00011DE9">
            <w:pPr>
              <w:pStyle w:val="P68B1DB1-Normal45"/>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34E86A61" w14:textId="77777777" w:rsidR="00011DE9" w:rsidRDefault="00011DE9">
            <w:pPr>
              <w:pStyle w:val="P68B1DB1-Normal45"/>
              <w:spacing w:after="0" w:line="240" w:lineRule="auto"/>
              <w:rPr>
                <w:noProof/>
              </w:rPr>
            </w:pPr>
            <w:r>
              <w:rPr>
                <w:noProof/>
              </w:rPr>
              <w:t>Intrarea în vigoare a actelor juridice care formează domeniul economiei circulare</w:t>
            </w:r>
          </w:p>
        </w:tc>
      </w:tr>
      <w:tr w:rsidR="00011DE9" w14:paraId="25B4673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B21858F" w14:textId="77777777" w:rsidR="00011DE9" w:rsidRDefault="00011DE9">
            <w:pPr>
              <w:pStyle w:val="P68B1DB1-Normal45"/>
              <w:spacing w:after="0" w:line="240" w:lineRule="auto"/>
              <w:rPr>
                <w:rFonts w:eastAsia="Times New Roman"/>
                <w:noProof/>
              </w:rPr>
            </w:pPr>
            <w:r>
              <w:rPr>
                <w:noProof/>
              </w:rPr>
              <w:t>185</w:t>
            </w:r>
          </w:p>
        </w:tc>
        <w:tc>
          <w:tcPr>
            <w:tcW w:w="2057" w:type="dxa"/>
            <w:tcBorders>
              <w:top w:val="single" w:sz="4" w:space="0" w:color="auto"/>
              <w:left w:val="nil"/>
              <w:bottom w:val="single" w:sz="4" w:space="0" w:color="auto"/>
              <w:right w:val="single" w:sz="4" w:space="0" w:color="auto"/>
            </w:tcBorders>
            <w:shd w:val="clear" w:color="auto" w:fill="C6EFCE"/>
            <w:noWrap/>
          </w:tcPr>
          <w:p w14:paraId="100D98A4" w14:textId="77777777" w:rsidR="00011DE9" w:rsidRDefault="00011DE9">
            <w:pPr>
              <w:pStyle w:val="P68B1DB1-Normal45"/>
              <w:spacing w:after="0" w:line="240" w:lineRule="auto"/>
              <w:rPr>
                <w:rFonts w:eastAsia="Times New Roman"/>
                <w:noProof/>
              </w:rPr>
            </w:pPr>
            <w:r>
              <w:rPr>
                <w:noProof/>
              </w:rPr>
              <w:t>C12.I2</w:t>
            </w:r>
          </w:p>
        </w:tc>
        <w:tc>
          <w:tcPr>
            <w:tcW w:w="1427" w:type="dxa"/>
            <w:tcBorders>
              <w:top w:val="single" w:sz="4" w:space="0" w:color="auto"/>
              <w:left w:val="nil"/>
              <w:bottom w:val="single" w:sz="4" w:space="0" w:color="auto"/>
              <w:right w:val="single" w:sz="4" w:space="0" w:color="auto"/>
            </w:tcBorders>
            <w:shd w:val="clear" w:color="auto" w:fill="C6EFCE"/>
            <w:noWrap/>
          </w:tcPr>
          <w:p w14:paraId="74A58F4F" w14:textId="77777777" w:rsidR="00011DE9" w:rsidRDefault="00011DE9">
            <w:pPr>
              <w:pStyle w:val="P68B1DB1-Normal45"/>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0E77D1B3" w14:textId="77777777" w:rsidR="00011DE9" w:rsidRDefault="00011DE9">
            <w:pPr>
              <w:pStyle w:val="P68B1DB1-Normal45"/>
              <w:spacing w:after="0" w:line="240" w:lineRule="auto"/>
              <w:rPr>
                <w:rFonts w:eastAsia="Times New Roman"/>
                <w:noProof/>
              </w:rPr>
            </w:pPr>
            <w:r>
              <w:rPr>
                <w:noProof/>
              </w:rPr>
              <w:t xml:space="preserve">PERTE-uri și alte proiecte: plata fondurilor </w:t>
            </w:r>
          </w:p>
        </w:tc>
      </w:tr>
      <w:tr w:rsidR="00011DE9" w14:paraId="2B68C2C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4E882BF" w14:textId="77777777" w:rsidR="00011DE9" w:rsidRDefault="00011DE9">
            <w:pPr>
              <w:pStyle w:val="P68B1DB1-Normal45"/>
              <w:spacing w:after="0" w:line="240" w:lineRule="auto"/>
              <w:rPr>
                <w:rFonts w:eastAsia="Times New Roman"/>
                <w:noProof/>
              </w:rPr>
            </w:pPr>
            <w:r>
              <w:rPr>
                <w:noProof/>
              </w:rPr>
              <w:t>446</w:t>
            </w:r>
          </w:p>
        </w:tc>
        <w:tc>
          <w:tcPr>
            <w:tcW w:w="2057" w:type="dxa"/>
            <w:tcBorders>
              <w:top w:val="single" w:sz="4" w:space="0" w:color="auto"/>
              <w:left w:val="nil"/>
              <w:bottom w:val="single" w:sz="4" w:space="0" w:color="auto"/>
              <w:right w:val="single" w:sz="4" w:space="0" w:color="auto"/>
            </w:tcBorders>
            <w:shd w:val="clear" w:color="auto" w:fill="C6EFCE"/>
            <w:noWrap/>
          </w:tcPr>
          <w:p w14:paraId="36ECA417" w14:textId="77777777" w:rsidR="00011DE9" w:rsidRDefault="00011DE9">
            <w:pPr>
              <w:pStyle w:val="P68B1DB1-Normal45"/>
              <w:spacing w:after="0" w:line="240" w:lineRule="auto"/>
              <w:rPr>
                <w:rFonts w:eastAsia="Times New Roman"/>
                <w:noProof/>
              </w:rPr>
            </w:pPr>
            <w:r>
              <w:rPr>
                <w:noProof/>
              </w:rPr>
              <w:t>C12.I5</w:t>
            </w:r>
          </w:p>
        </w:tc>
        <w:tc>
          <w:tcPr>
            <w:tcW w:w="1427" w:type="dxa"/>
            <w:tcBorders>
              <w:top w:val="single" w:sz="4" w:space="0" w:color="auto"/>
              <w:left w:val="nil"/>
              <w:bottom w:val="single" w:sz="4" w:space="0" w:color="auto"/>
              <w:right w:val="single" w:sz="4" w:space="0" w:color="auto"/>
            </w:tcBorders>
            <w:shd w:val="clear" w:color="auto" w:fill="C6EFCE"/>
            <w:noWrap/>
          </w:tcPr>
          <w:p w14:paraId="2F5FE3DE" w14:textId="77777777" w:rsidR="00011DE9" w:rsidRDefault="00011DE9">
            <w:pPr>
              <w:pStyle w:val="P68B1DB1-Normal45"/>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0CB58981" w14:textId="77777777" w:rsidR="00011DE9" w:rsidRDefault="00011DE9">
            <w:pPr>
              <w:pStyle w:val="P68B1DB1-Normal45"/>
              <w:spacing w:after="0" w:line="240" w:lineRule="auto"/>
              <w:rPr>
                <w:rFonts w:eastAsia="Times New Roman"/>
                <w:noProof/>
              </w:rPr>
            </w:pPr>
            <w:r>
              <w:rPr>
                <w:noProof/>
              </w:rPr>
              <w:t>Schemă de subvenții pentru sprijinirea economiei circulare: Instituirea sistemului de subvenții</w:t>
            </w:r>
          </w:p>
        </w:tc>
      </w:tr>
      <w:tr w:rsidR="00011DE9" w14:paraId="4BFFF89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D050683" w14:textId="77777777" w:rsidR="00011DE9" w:rsidRDefault="00011DE9">
            <w:pPr>
              <w:pStyle w:val="P68B1DB1-Normal45"/>
              <w:spacing w:after="0" w:line="240" w:lineRule="auto"/>
              <w:rPr>
                <w:rFonts w:eastAsia="Times New Roman"/>
                <w:noProof/>
              </w:rPr>
            </w:pPr>
            <w:r>
              <w:rPr>
                <w:noProof/>
              </w:rPr>
              <w:t>447</w:t>
            </w:r>
          </w:p>
        </w:tc>
        <w:tc>
          <w:tcPr>
            <w:tcW w:w="2057" w:type="dxa"/>
            <w:tcBorders>
              <w:top w:val="single" w:sz="4" w:space="0" w:color="auto"/>
              <w:left w:val="nil"/>
              <w:bottom w:val="single" w:sz="4" w:space="0" w:color="auto"/>
              <w:right w:val="single" w:sz="4" w:space="0" w:color="auto"/>
            </w:tcBorders>
            <w:shd w:val="clear" w:color="auto" w:fill="C6EFCE"/>
            <w:noWrap/>
          </w:tcPr>
          <w:p w14:paraId="74D7AE99" w14:textId="77777777" w:rsidR="00011DE9" w:rsidRDefault="00011DE9">
            <w:pPr>
              <w:pStyle w:val="P68B1DB1-Normal45"/>
              <w:spacing w:after="0" w:line="240" w:lineRule="auto"/>
              <w:rPr>
                <w:rFonts w:eastAsia="Times New Roman"/>
                <w:noProof/>
              </w:rPr>
            </w:pPr>
            <w:r>
              <w:rPr>
                <w:noProof/>
              </w:rPr>
              <w:t>C12.I5</w:t>
            </w:r>
          </w:p>
        </w:tc>
        <w:tc>
          <w:tcPr>
            <w:tcW w:w="1427" w:type="dxa"/>
            <w:tcBorders>
              <w:top w:val="single" w:sz="4" w:space="0" w:color="auto"/>
              <w:left w:val="nil"/>
              <w:bottom w:val="single" w:sz="4" w:space="0" w:color="auto"/>
              <w:right w:val="single" w:sz="4" w:space="0" w:color="auto"/>
            </w:tcBorders>
            <w:shd w:val="clear" w:color="auto" w:fill="C6EFCE"/>
            <w:noWrap/>
          </w:tcPr>
          <w:p w14:paraId="115209B6" w14:textId="77777777" w:rsidR="00011DE9" w:rsidRDefault="00011DE9">
            <w:pPr>
              <w:pStyle w:val="P68B1DB1-Normal45"/>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134B54C6" w14:textId="77777777" w:rsidR="00011DE9" w:rsidRDefault="00011DE9">
            <w:pPr>
              <w:pStyle w:val="P68B1DB1-Normal45"/>
              <w:spacing w:after="0" w:line="240" w:lineRule="auto"/>
              <w:rPr>
                <w:rFonts w:eastAsia="Times New Roman"/>
                <w:noProof/>
              </w:rPr>
            </w:pPr>
            <w:r>
              <w:rPr>
                <w:noProof/>
              </w:rPr>
              <w:t>Schemă de subvenții pentru sprijinirea economiei circulare: Acorduri juridice semnate cu beneficiarii finali sau rezoluții finale de atribuire publicate</w:t>
            </w:r>
          </w:p>
        </w:tc>
      </w:tr>
      <w:tr w:rsidR="00011DE9" w14:paraId="25FDD2C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5F159DB" w14:textId="77777777" w:rsidR="00011DE9" w:rsidRDefault="00011DE9">
            <w:pPr>
              <w:pStyle w:val="P68B1DB1-Normal45"/>
              <w:spacing w:after="0" w:line="240" w:lineRule="auto"/>
              <w:rPr>
                <w:rFonts w:eastAsia="Times New Roman"/>
                <w:noProof/>
              </w:rPr>
            </w:pPr>
            <w:r>
              <w:rPr>
                <w:noProof/>
              </w:rPr>
              <w:t>448b</w:t>
            </w:r>
          </w:p>
        </w:tc>
        <w:tc>
          <w:tcPr>
            <w:tcW w:w="2057" w:type="dxa"/>
            <w:tcBorders>
              <w:top w:val="single" w:sz="4" w:space="0" w:color="auto"/>
              <w:left w:val="nil"/>
              <w:bottom w:val="single" w:sz="4" w:space="0" w:color="auto"/>
              <w:right w:val="single" w:sz="4" w:space="0" w:color="auto"/>
            </w:tcBorders>
            <w:shd w:val="clear" w:color="auto" w:fill="C6EFCE"/>
            <w:noWrap/>
          </w:tcPr>
          <w:p w14:paraId="0710F097" w14:textId="77777777" w:rsidR="00011DE9" w:rsidRDefault="00011DE9">
            <w:pPr>
              <w:pStyle w:val="P68B1DB1-Normal45"/>
              <w:spacing w:after="0" w:line="240" w:lineRule="auto"/>
              <w:rPr>
                <w:rFonts w:eastAsia="Times New Roman"/>
                <w:noProof/>
              </w:rPr>
            </w:pPr>
            <w:r>
              <w:rPr>
                <w:noProof/>
              </w:rPr>
              <w:t>C12.I6</w:t>
            </w:r>
          </w:p>
        </w:tc>
        <w:tc>
          <w:tcPr>
            <w:tcW w:w="1427" w:type="dxa"/>
            <w:tcBorders>
              <w:top w:val="single" w:sz="4" w:space="0" w:color="auto"/>
              <w:left w:val="nil"/>
              <w:bottom w:val="single" w:sz="4" w:space="0" w:color="auto"/>
              <w:right w:val="single" w:sz="4" w:space="0" w:color="auto"/>
            </w:tcBorders>
            <w:shd w:val="clear" w:color="auto" w:fill="C6EFCE"/>
            <w:noWrap/>
          </w:tcPr>
          <w:p w14:paraId="2FEA9604" w14:textId="77777777" w:rsidR="00011DE9" w:rsidRDefault="00011DE9">
            <w:pPr>
              <w:pStyle w:val="P68B1DB1-Normal45"/>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5589E407" w14:textId="77777777" w:rsidR="00011DE9" w:rsidRDefault="00011DE9">
            <w:pPr>
              <w:pStyle w:val="P68B1DB1-Normal45"/>
              <w:spacing w:after="0" w:line="240" w:lineRule="auto"/>
              <w:rPr>
                <w:rFonts w:eastAsia="Times New Roman"/>
                <w:noProof/>
              </w:rPr>
            </w:pPr>
            <w:r>
              <w:rPr>
                <w:noProof/>
              </w:rPr>
              <w:t>Schema de subvenții pentru sectorul vehiculelor electrice și pentru alte sectoare industriale (granturi); Instituirea sistemului de subvenții</w:t>
            </w:r>
          </w:p>
        </w:tc>
      </w:tr>
      <w:tr w:rsidR="00011DE9" w14:paraId="20F6AD3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58D291E" w14:textId="77777777" w:rsidR="00011DE9" w:rsidRDefault="00011DE9">
            <w:pPr>
              <w:pStyle w:val="P68B1DB1-Normal45"/>
              <w:spacing w:after="0" w:line="240" w:lineRule="auto"/>
              <w:rPr>
                <w:noProof/>
              </w:rPr>
            </w:pPr>
            <w:r>
              <w:rPr>
                <w:noProof/>
              </w:rPr>
              <w:t>452</w:t>
            </w:r>
          </w:p>
        </w:tc>
        <w:tc>
          <w:tcPr>
            <w:tcW w:w="2057" w:type="dxa"/>
            <w:tcBorders>
              <w:top w:val="single" w:sz="4" w:space="0" w:color="auto"/>
              <w:left w:val="nil"/>
              <w:bottom w:val="single" w:sz="4" w:space="0" w:color="auto"/>
              <w:right w:val="single" w:sz="4" w:space="0" w:color="auto"/>
            </w:tcBorders>
            <w:shd w:val="clear" w:color="auto" w:fill="C6EFCE"/>
            <w:noWrap/>
          </w:tcPr>
          <w:p w14:paraId="636F162C" w14:textId="77777777" w:rsidR="00011DE9" w:rsidRDefault="00011DE9">
            <w:pPr>
              <w:pStyle w:val="P68B1DB1-Normal45"/>
              <w:spacing w:after="0" w:line="240" w:lineRule="auto"/>
              <w:rPr>
                <w:noProof/>
              </w:rPr>
            </w:pPr>
            <w:r>
              <w:rPr>
                <w:noProof/>
              </w:rPr>
              <w:t>C13.R3</w:t>
            </w:r>
          </w:p>
        </w:tc>
        <w:tc>
          <w:tcPr>
            <w:tcW w:w="1427" w:type="dxa"/>
            <w:tcBorders>
              <w:top w:val="single" w:sz="4" w:space="0" w:color="auto"/>
              <w:left w:val="nil"/>
              <w:bottom w:val="single" w:sz="4" w:space="0" w:color="auto"/>
              <w:right w:val="single" w:sz="4" w:space="0" w:color="auto"/>
            </w:tcBorders>
            <w:shd w:val="clear" w:color="auto" w:fill="C6EFCE"/>
            <w:noWrap/>
          </w:tcPr>
          <w:p w14:paraId="37B2919E" w14:textId="77777777" w:rsidR="00011DE9" w:rsidRDefault="00011DE9">
            <w:pPr>
              <w:pStyle w:val="P68B1DB1-Normal45"/>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588928FF" w14:textId="77777777" w:rsidR="00011DE9" w:rsidRDefault="00011DE9">
            <w:pPr>
              <w:pStyle w:val="P68B1DB1-Normal45"/>
              <w:spacing w:after="0" w:line="240" w:lineRule="auto"/>
              <w:rPr>
                <w:noProof/>
              </w:rPr>
            </w:pPr>
            <w:r>
              <w:rPr>
                <w:noProof/>
              </w:rPr>
              <w:t>Intrarea în vigoare a legislației privind piețele valorilor mobiliare și serviciile de investiții</w:t>
            </w:r>
          </w:p>
        </w:tc>
      </w:tr>
      <w:tr w:rsidR="00011DE9" w14:paraId="6D331B0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2608E2C" w14:textId="77777777" w:rsidR="00011DE9" w:rsidRDefault="00011DE9">
            <w:pPr>
              <w:pStyle w:val="P68B1DB1-Normal45"/>
              <w:spacing w:after="0" w:line="240" w:lineRule="auto"/>
              <w:rPr>
                <w:rFonts w:eastAsia="Times New Roman"/>
                <w:noProof/>
              </w:rPr>
            </w:pPr>
            <w:r>
              <w:rPr>
                <w:noProof/>
              </w:rPr>
              <w:t>194</w:t>
            </w:r>
          </w:p>
        </w:tc>
        <w:tc>
          <w:tcPr>
            <w:tcW w:w="2057" w:type="dxa"/>
            <w:tcBorders>
              <w:top w:val="single" w:sz="4" w:space="0" w:color="auto"/>
              <w:left w:val="nil"/>
              <w:bottom w:val="single" w:sz="4" w:space="0" w:color="auto"/>
              <w:right w:val="single" w:sz="4" w:space="0" w:color="auto"/>
            </w:tcBorders>
            <w:shd w:val="clear" w:color="auto" w:fill="C6EFCE"/>
            <w:noWrap/>
          </w:tcPr>
          <w:p w14:paraId="3D3AEA61" w14:textId="77777777" w:rsidR="00011DE9" w:rsidRDefault="00011DE9">
            <w:pPr>
              <w:pStyle w:val="P68B1DB1-Normal45"/>
              <w:spacing w:after="0" w:line="240" w:lineRule="auto"/>
              <w:rPr>
                <w:rFonts w:eastAsia="Times New Roman"/>
                <w:noProof/>
              </w:rPr>
            </w:pPr>
            <w:r>
              <w:rPr>
                <w:noProof/>
              </w:rPr>
              <w:t>C13.I1</w:t>
            </w:r>
          </w:p>
        </w:tc>
        <w:tc>
          <w:tcPr>
            <w:tcW w:w="1427" w:type="dxa"/>
            <w:tcBorders>
              <w:top w:val="single" w:sz="4" w:space="0" w:color="auto"/>
              <w:left w:val="nil"/>
              <w:bottom w:val="single" w:sz="4" w:space="0" w:color="auto"/>
              <w:right w:val="single" w:sz="4" w:space="0" w:color="auto"/>
            </w:tcBorders>
            <w:shd w:val="clear" w:color="auto" w:fill="C6EFCE"/>
            <w:noWrap/>
          </w:tcPr>
          <w:p w14:paraId="183E4E27" w14:textId="77777777" w:rsidR="00011DE9" w:rsidRDefault="00011DE9">
            <w:pPr>
              <w:pStyle w:val="P68B1DB1-Normal45"/>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2948E983" w14:textId="77777777" w:rsidR="00011DE9" w:rsidRDefault="00011DE9">
            <w:pPr>
              <w:pStyle w:val="P68B1DB1-Normal45"/>
              <w:spacing w:after="0" w:line="240" w:lineRule="auto"/>
              <w:rPr>
                <w:rFonts w:eastAsia="Times New Roman"/>
                <w:noProof/>
              </w:rPr>
            </w:pPr>
            <w:r>
              <w:rPr>
                <w:noProof/>
              </w:rPr>
              <w:t>Platforma online a Oficiului Național de Antreprenoriat (ONE)</w:t>
            </w:r>
          </w:p>
        </w:tc>
      </w:tr>
      <w:tr w:rsidR="00011DE9" w14:paraId="241B91F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CA0F6F1" w14:textId="77777777" w:rsidR="00011DE9" w:rsidRDefault="00011DE9">
            <w:pPr>
              <w:pStyle w:val="P68B1DB1-Normal45"/>
              <w:spacing w:after="0" w:line="240" w:lineRule="auto"/>
              <w:rPr>
                <w:rFonts w:eastAsia="Times New Roman"/>
                <w:noProof/>
              </w:rPr>
            </w:pPr>
            <w:r>
              <w:rPr>
                <w:noProof/>
              </w:rPr>
              <w:t>195a</w:t>
            </w:r>
          </w:p>
        </w:tc>
        <w:tc>
          <w:tcPr>
            <w:tcW w:w="2057" w:type="dxa"/>
            <w:tcBorders>
              <w:top w:val="single" w:sz="4" w:space="0" w:color="auto"/>
              <w:left w:val="nil"/>
              <w:bottom w:val="single" w:sz="4" w:space="0" w:color="auto"/>
              <w:right w:val="single" w:sz="4" w:space="0" w:color="auto"/>
            </w:tcBorders>
            <w:shd w:val="clear" w:color="auto" w:fill="C6EFCE"/>
            <w:noWrap/>
          </w:tcPr>
          <w:p w14:paraId="262E7144" w14:textId="77777777" w:rsidR="00011DE9" w:rsidRDefault="00011DE9">
            <w:pPr>
              <w:pStyle w:val="P68B1DB1-Normal45"/>
              <w:spacing w:after="0" w:line="240" w:lineRule="auto"/>
              <w:rPr>
                <w:rFonts w:eastAsia="Times New Roman"/>
                <w:noProof/>
              </w:rPr>
            </w:pPr>
            <w:r>
              <w:rPr>
                <w:noProof/>
              </w:rPr>
              <w:t>C13.I1</w:t>
            </w:r>
          </w:p>
        </w:tc>
        <w:tc>
          <w:tcPr>
            <w:tcW w:w="1427" w:type="dxa"/>
            <w:tcBorders>
              <w:top w:val="single" w:sz="4" w:space="0" w:color="auto"/>
              <w:left w:val="nil"/>
              <w:bottom w:val="single" w:sz="4" w:space="0" w:color="auto"/>
              <w:right w:val="single" w:sz="4" w:space="0" w:color="auto"/>
            </w:tcBorders>
            <w:shd w:val="clear" w:color="auto" w:fill="C6EFCE"/>
            <w:noWrap/>
          </w:tcPr>
          <w:p w14:paraId="5EBBFEE4" w14:textId="77777777" w:rsidR="00011DE9" w:rsidRDefault="00011DE9">
            <w:pPr>
              <w:pStyle w:val="P68B1DB1-Normal45"/>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6D2E4BB7" w14:textId="77777777" w:rsidR="00011DE9" w:rsidRDefault="00011DE9">
            <w:pPr>
              <w:pStyle w:val="P68B1DB1-Normal45"/>
              <w:spacing w:after="0" w:line="240" w:lineRule="auto"/>
              <w:rPr>
                <w:rFonts w:eastAsia="Times New Roman"/>
                <w:noProof/>
              </w:rPr>
            </w:pPr>
            <w:r>
              <w:rPr>
                <w:noProof/>
              </w:rPr>
              <w:t xml:space="preserve">Semnarea acordurilor de împrumut participativ </w:t>
            </w:r>
          </w:p>
        </w:tc>
      </w:tr>
      <w:tr w:rsidR="00011DE9" w14:paraId="3BFCC51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0BC369B" w14:textId="77777777" w:rsidR="00011DE9" w:rsidRDefault="00011DE9">
            <w:pPr>
              <w:pStyle w:val="P68B1DB1-Normal45"/>
              <w:spacing w:after="0" w:line="240" w:lineRule="auto"/>
              <w:rPr>
                <w:noProof/>
              </w:rPr>
            </w:pPr>
            <w:r>
              <w:rPr>
                <w:noProof/>
              </w:rPr>
              <w:t>195b</w:t>
            </w:r>
          </w:p>
        </w:tc>
        <w:tc>
          <w:tcPr>
            <w:tcW w:w="2057" w:type="dxa"/>
            <w:tcBorders>
              <w:top w:val="single" w:sz="4" w:space="0" w:color="auto"/>
              <w:left w:val="nil"/>
              <w:bottom w:val="single" w:sz="4" w:space="0" w:color="auto"/>
              <w:right w:val="single" w:sz="4" w:space="0" w:color="auto"/>
            </w:tcBorders>
            <w:shd w:val="clear" w:color="auto" w:fill="C6EFCE"/>
            <w:noWrap/>
          </w:tcPr>
          <w:p w14:paraId="5F87ABC7" w14:textId="77777777" w:rsidR="00011DE9" w:rsidRDefault="00011DE9">
            <w:pPr>
              <w:pStyle w:val="P68B1DB1-Normal45"/>
              <w:spacing w:after="0" w:line="240" w:lineRule="auto"/>
              <w:rPr>
                <w:noProof/>
              </w:rPr>
            </w:pPr>
            <w:r>
              <w:rPr>
                <w:noProof/>
              </w:rPr>
              <w:t>C13.I1</w:t>
            </w:r>
          </w:p>
        </w:tc>
        <w:tc>
          <w:tcPr>
            <w:tcW w:w="1427" w:type="dxa"/>
            <w:tcBorders>
              <w:top w:val="single" w:sz="4" w:space="0" w:color="auto"/>
              <w:left w:val="nil"/>
              <w:bottom w:val="single" w:sz="4" w:space="0" w:color="auto"/>
              <w:right w:val="single" w:sz="4" w:space="0" w:color="auto"/>
            </w:tcBorders>
            <w:shd w:val="clear" w:color="auto" w:fill="C6EFCE"/>
            <w:noWrap/>
          </w:tcPr>
          <w:p w14:paraId="72D5D877" w14:textId="77777777" w:rsidR="00011DE9" w:rsidRDefault="00011DE9">
            <w:pPr>
              <w:pStyle w:val="P68B1DB1-Normal45"/>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10DE5202" w14:textId="77777777" w:rsidR="00011DE9" w:rsidRDefault="00011DE9">
            <w:pPr>
              <w:pStyle w:val="P68B1DB1-Normal45"/>
              <w:spacing w:after="0" w:line="240" w:lineRule="auto"/>
              <w:rPr>
                <w:noProof/>
              </w:rPr>
            </w:pPr>
            <w:r>
              <w:rPr>
                <w:noProof/>
              </w:rPr>
              <w:t>Program pentru promovarea ecosistemului antreprenorial inovator</w:t>
            </w:r>
          </w:p>
        </w:tc>
      </w:tr>
      <w:tr w:rsidR="00011DE9" w14:paraId="6155FB6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B22875B" w14:textId="77777777" w:rsidR="00011DE9" w:rsidRDefault="00011DE9">
            <w:pPr>
              <w:pStyle w:val="P68B1DB1-Normal45"/>
              <w:spacing w:after="0" w:line="240" w:lineRule="auto"/>
              <w:rPr>
                <w:noProof/>
              </w:rPr>
            </w:pPr>
            <w:r>
              <w:rPr>
                <w:noProof/>
              </w:rPr>
              <w:t>208</w:t>
            </w:r>
          </w:p>
        </w:tc>
        <w:tc>
          <w:tcPr>
            <w:tcW w:w="2057" w:type="dxa"/>
            <w:tcBorders>
              <w:top w:val="single" w:sz="4" w:space="0" w:color="auto"/>
              <w:left w:val="nil"/>
              <w:bottom w:val="single" w:sz="4" w:space="0" w:color="auto"/>
              <w:right w:val="single" w:sz="4" w:space="0" w:color="auto"/>
            </w:tcBorders>
            <w:shd w:val="clear" w:color="auto" w:fill="C6EFCE"/>
            <w:noWrap/>
          </w:tcPr>
          <w:p w14:paraId="26AF9324" w14:textId="77777777" w:rsidR="00011DE9" w:rsidRDefault="00011DE9">
            <w:pPr>
              <w:pStyle w:val="P68B1DB1-Normal45"/>
              <w:spacing w:after="0" w:line="240" w:lineRule="auto"/>
              <w:rPr>
                <w:noProof/>
              </w:rPr>
            </w:pPr>
            <w:r>
              <w:rPr>
                <w:noProof/>
              </w:rPr>
              <w:t>C13.I3</w:t>
            </w:r>
          </w:p>
        </w:tc>
        <w:tc>
          <w:tcPr>
            <w:tcW w:w="1427" w:type="dxa"/>
            <w:tcBorders>
              <w:top w:val="single" w:sz="4" w:space="0" w:color="auto"/>
              <w:left w:val="nil"/>
              <w:bottom w:val="single" w:sz="4" w:space="0" w:color="auto"/>
              <w:right w:val="single" w:sz="4" w:space="0" w:color="auto"/>
            </w:tcBorders>
            <w:shd w:val="clear" w:color="auto" w:fill="C6EFCE"/>
            <w:noWrap/>
          </w:tcPr>
          <w:p w14:paraId="38AC80E7" w14:textId="77777777" w:rsidR="00011DE9" w:rsidRDefault="00011DE9">
            <w:pPr>
              <w:pStyle w:val="P68B1DB1-Normal45"/>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4CD9F9EE" w14:textId="77777777" w:rsidR="00011DE9" w:rsidRDefault="00011DE9">
            <w:pPr>
              <w:pStyle w:val="P68B1DB1-Normal15"/>
              <w:spacing w:after="0" w:line="240" w:lineRule="auto"/>
              <w:rPr>
                <w:noProof/>
                <w:sz w:val="20"/>
                <w:szCs w:val="20"/>
              </w:rPr>
            </w:pPr>
            <w:r>
              <w:rPr>
                <w:noProof/>
              </w:rPr>
              <w:t>Sistemul de subvenții</w:t>
            </w:r>
          </w:p>
        </w:tc>
      </w:tr>
      <w:tr w:rsidR="00011DE9" w14:paraId="078D9EA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A9A4D06" w14:textId="77777777" w:rsidR="00011DE9" w:rsidRDefault="00011DE9">
            <w:pPr>
              <w:pStyle w:val="P68B1DB1-Normal45"/>
              <w:spacing w:after="0" w:line="240" w:lineRule="auto"/>
              <w:rPr>
                <w:noProof/>
              </w:rPr>
            </w:pPr>
            <w:r>
              <w:rPr>
                <w:noProof/>
              </w:rPr>
              <w:t>208a</w:t>
            </w:r>
          </w:p>
        </w:tc>
        <w:tc>
          <w:tcPr>
            <w:tcW w:w="2057" w:type="dxa"/>
            <w:tcBorders>
              <w:top w:val="single" w:sz="4" w:space="0" w:color="auto"/>
              <w:left w:val="nil"/>
              <w:bottom w:val="single" w:sz="4" w:space="0" w:color="auto"/>
              <w:right w:val="single" w:sz="4" w:space="0" w:color="auto"/>
            </w:tcBorders>
            <w:shd w:val="clear" w:color="auto" w:fill="C6EFCE"/>
            <w:noWrap/>
          </w:tcPr>
          <w:p w14:paraId="4C89B845" w14:textId="77777777" w:rsidR="00011DE9" w:rsidRDefault="00011DE9">
            <w:pPr>
              <w:pStyle w:val="P68B1DB1-Normal45"/>
              <w:spacing w:after="0" w:line="240" w:lineRule="auto"/>
              <w:rPr>
                <w:noProof/>
              </w:rPr>
            </w:pPr>
            <w:r>
              <w:rPr>
                <w:noProof/>
              </w:rPr>
              <w:t>C13.I3</w:t>
            </w:r>
          </w:p>
        </w:tc>
        <w:tc>
          <w:tcPr>
            <w:tcW w:w="1427" w:type="dxa"/>
            <w:tcBorders>
              <w:top w:val="single" w:sz="4" w:space="0" w:color="auto"/>
              <w:left w:val="nil"/>
              <w:bottom w:val="single" w:sz="4" w:space="0" w:color="auto"/>
              <w:right w:val="single" w:sz="4" w:space="0" w:color="auto"/>
            </w:tcBorders>
            <w:shd w:val="clear" w:color="auto" w:fill="C6EFCE"/>
            <w:noWrap/>
          </w:tcPr>
          <w:p w14:paraId="5A6F07C8"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708A5FE4" w14:textId="77777777" w:rsidR="00011DE9" w:rsidRDefault="00011DE9">
            <w:pPr>
              <w:pStyle w:val="P68B1DB1-Normal45"/>
              <w:spacing w:after="0" w:line="240" w:lineRule="auto"/>
              <w:rPr>
                <w:noProof/>
              </w:rPr>
            </w:pPr>
            <w:r>
              <w:rPr>
                <w:noProof/>
              </w:rPr>
              <w:t>Sistemul de subvenții</w:t>
            </w:r>
          </w:p>
        </w:tc>
      </w:tr>
      <w:tr w:rsidR="00011DE9" w14:paraId="4C220D54"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F0CF53D" w14:textId="77777777" w:rsidR="00011DE9" w:rsidRDefault="00011DE9">
            <w:pPr>
              <w:pStyle w:val="P68B1DB1-Normal45"/>
              <w:spacing w:after="0" w:line="240" w:lineRule="auto"/>
              <w:rPr>
                <w:rFonts w:eastAsia="Times New Roman"/>
                <w:noProof/>
              </w:rPr>
            </w:pPr>
            <w:r>
              <w:rPr>
                <w:noProof/>
              </w:rPr>
              <w:t>209a</w:t>
            </w:r>
          </w:p>
        </w:tc>
        <w:tc>
          <w:tcPr>
            <w:tcW w:w="2057" w:type="dxa"/>
            <w:tcBorders>
              <w:top w:val="single" w:sz="4" w:space="0" w:color="auto"/>
              <w:left w:val="nil"/>
              <w:bottom w:val="single" w:sz="4" w:space="0" w:color="auto"/>
              <w:right w:val="single" w:sz="4" w:space="0" w:color="auto"/>
            </w:tcBorders>
            <w:shd w:val="clear" w:color="auto" w:fill="C6EFCE"/>
            <w:noWrap/>
          </w:tcPr>
          <w:p w14:paraId="0F290D50" w14:textId="77777777" w:rsidR="00011DE9" w:rsidRDefault="00011DE9">
            <w:pPr>
              <w:pStyle w:val="P68B1DB1-Normal45"/>
              <w:spacing w:after="0" w:line="240" w:lineRule="auto"/>
              <w:rPr>
                <w:rFonts w:eastAsia="Times New Roman"/>
                <w:noProof/>
              </w:rPr>
            </w:pPr>
            <w:r>
              <w:rPr>
                <w:noProof/>
              </w:rPr>
              <w:t>C13.I3</w:t>
            </w:r>
          </w:p>
        </w:tc>
        <w:tc>
          <w:tcPr>
            <w:tcW w:w="1427" w:type="dxa"/>
            <w:tcBorders>
              <w:top w:val="single" w:sz="4" w:space="0" w:color="auto"/>
              <w:left w:val="nil"/>
              <w:bottom w:val="single" w:sz="4" w:space="0" w:color="auto"/>
              <w:right w:val="single" w:sz="4" w:space="0" w:color="auto"/>
            </w:tcBorders>
            <w:shd w:val="clear" w:color="auto" w:fill="C6EFCE"/>
            <w:noWrap/>
          </w:tcPr>
          <w:p w14:paraId="34F07BF9" w14:textId="77777777" w:rsidR="00011DE9" w:rsidRDefault="00011DE9">
            <w:pPr>
              <w:pStyle w:val="P68B1DB1-Normal45"/>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08D0C4FF" w14:textId="77777777" w:rsidR="00011DE9" w:rsidRDefault="00011DE9">
            <w:pPr>
              <w:pStyle w:val="P68B1DB1-Normal45"/>
              <w:spacing w:after="0" w:line="240" w:lineRule="auto"/>
              <w:rPr>
                <w:rFonts w:eastAsia="Times New Roman"/>
                <w:noProof/>
              </w:rPr>
            </w:pPr>
            <w:r>
              <w:rPr>
                <w:noProof/>
              </w:rPr>
              <w:t xml:space="preserve">Programul de sprijin pentru clusterele de afaceri inovatoare </w:t>
            </w:r>
          </w:p>
        </w:tc>
      </w:tr>
      <w:tr w:rsidR="00011DE9" w14:paraId="624A96C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1662D2D" w14:textId="77777777" w:rsidR="00011DE9" w:rsidRDefault="00011DE9">
            <w:pPr>
              <w:pStyle w:val="P68B1DB1-Normal45"/>
              <w:spacing w:after="0" w:line="240" w:lineRule="auto"/>
              <w:rPr>
                <w:rFonts w:eastAsia="Times New Roman"/>
                <w:noProof/>
              </w:rPr>
            </w:pPr>
            <w:r>
              <w:rPr>
                <w:noProof/>
              </w:rPr>
              <w:t>211</w:t>
            </w:r>
          </w:p>
        </w:tc>
        <w:tc>
          <w:tcPr>
            <w:tcW w:w="2057" w:type="dxa"/>
            <w:tcBorders>
              <w:top w:val="single" w:sz="4" w:space="0" w:color="auto"/>
              <w:left w:val="nil"/>
              <w:bottom w:val="single" w:sz="4" w:space="0" w:color="auto"/>
              <w:right w:val="single" w:sz="4" w:space="0" w:color="auto"/>
            </w:tcBorders>
            <w:shd w:val="clear" w:color="auto" w:fill="C6EFCE"/>
            <w:noWrap/>
          </w:tcPr>
          <w:p w14:paraId="57DFF322" w14:textId="77777777" w:rsidR="00011DE9" w:rsidRDefault="00011DE9">
            <w:pPr>
              <w:pStyle w:val="P68B1DB1-Normal45"/>
              <w:spacing w:after="0" w:line="240" w:lineRule="auto"/>
              <w:rPr>
                <w:rFonts w:eastAsia="Times New Roman"/>
                <w:noProof/>
              </w:rPr>
            </w:pPr>
            <w:r>
              <w:rPr>
                <w:noProof/>
              </w:rPr>
              <w:t>C13.I4</w:t>
            </w:r>
          </w:p>
        </w:tc>
        <w:tc>
          <w:tcPr>
            <w:tcW w:w="1427" w:type="dxa"/>
            <w:tcBorders>
              <w:top w:val="single" w:sz="4" w:space="0" w:color="auto"/>
              <w:left w:val="nil"/>
              <w:bottom w:val="single" w:sz="4" w:space="0" w:color="auto"/>
              <w:right w:val="single" w:sz="4" w:space="0" w:color="auto"/>
            </w:tcBorders>
            <w:shd w:val="clear" w:color="auto" w:fill="C6EFCE"/>
            <w:noWrap/>
          </w:tcPr>
          <w:p w14:paraId="457F4CBF" w14:textId="77777777" w:rsidR="00011DE9" w:rsidRDefault="00011DE9">
            <w:pPr>
              <w:pStyle w:val="P68B1DB1-Normal45"/>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3FB01CB8" w14:textId="77777777" w:rsidR="00011DE9" w:rsidRDefault="00011DE9">
            <w:pPr>
              <w:pStyle w:val="P68B1DB1-Normal45"/>
              <w:spacing w:after="0" w:line="240" w:lineRule="auto"/>
              <w:rPr>
                <w:rFonts w:eastAsia="Times New Roman"/>
                <w:noProof/>
              </w:rPr>
            </w:pPr>
            <w:r>
              <w:rPr>
                <w:noProof/>
              </w:rPr>
              <w:t>Acțiuni pe piețe, în zonele comerciale urbane sau în zonele rurale</w:t>
            </w:r>
          </w:p>
        </w:tc>
      </w:tr>
      <w:tr w:rsidR="00011DE9" w14:paraId="48814A5B"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288667A" w14:textId="77777777" w:rsidR="00011DE9" w:rsidRDefault="00011DE9">
            <w:pPr>
              <w:pStyle w:val="P68B1DB1-Normal45"/>
              <w:spacing w:after="0" w:line="240" w:lineRule="auto"/>
              <w:rPr>
                <w:rFonts w:eastAsia="Times New Roman"/>
                <w:noProof/>
              </w:rPr>
            </w:pPr>
            <w:r>
              <w:rPr>
                <w:noProof/>
              </w:rPr>
              <w:t>213</w:t>
            </w:r>
          </w:p>
        </w:tc>
        <w:tc>
          <w:tcPr>
            <w:tcW w:w="2057" w:type="dxa"/>
            <w:tcBorders>
              <w:top w:val="single" w:sz="4" w:space="0" w:color="auto"/>
              <w:left w:val="nil"/>
              <w:bottom w:val="single" w:sz="4" w:space="0" w:color="auto"/>
              <w:right w:val="single" w:sz="4" w:space="0" w:color="auto"/>
            </w:tcBorders>
            <w:shd w:val="clear" w:color="auto" w:fill="C6EFCE"/>
            <w:noWrap/>
          </w:tcPr>
          <w:p w14:paraId="25D04A03" w14:textId="77777777" w:rsidR="00011DE9" w:rsidRDefault="00011DE9">
            <w:pPr>
              <w:pStyle w:val="P68B1DB1-Normal45"/>
              <w:spacing w:after="0" w:line="240" w:lineRule="auto"/>
              <w:rPr>
                <w:rFonts w:eastAsia="Times New Roman"/>
                <w:noProof/>
              </w:rPr>
            </w:pPr>
            <w:r>
              <w:rPr>
                <w:noProof/>
              </w:rPr>
              <w:t>C13.I5</w:t>
            </w:r>
          </w:p>
        </w:tc>
        <w:tc>
          <w:tcPr>
            <w:tcW w:w="1427" w:type="dxa"/>
            <w:tcBorders>
              <w:top w:val="single" w:sz="4" w:space="0" w:color="auto"/>
              <w:left w:val="nil"/>
              <w:bottom w:val="single" w:sz="4" w:space="0" w:color="auto"/>
              <w:right w:val="single" w:sz="4" w:space="0" w:color="auto"/>
            </w:tcBorders>
            <w:shd w:val="clear" w:color="auto" w:fill="C6EFCE"/>
            <w:noWrap/>
          </w:tcPr>
          <w:p w14:paraId="42B419F3" w14:textId="77777777" w:rsidR="00011DE9" w:rsidRDefault="00011DE9">
            <w:pPr>
              <w:pStyle w:val="P68B1DB1-Normal45"/>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12545659" w14:textId="77777777" w:rsidR="00011DE9" w:rsidRDefault="00011DE9">
            <w:pPr>
              <w:pStyle w:val="P68B1DB1-Normal45"/>
              <w:spacing w:after="0" w:line="240" w:lineRule="auto"/>
              <w:rPr>
                <w:rFonts w:eastAsia="Times New Roman"/>
                <w:noProof/>
              </w:rPr>
            </w:pPr>
            <w:r>
              <w:rPr>
                <w:noProof/>
              </w:rPr>
              <w:t>Sprijin acordat întreprinderilor pentru internaționalizarea acestora</w:t>
            </w:r>
          </w:p>
        </w:tc>
      </w:tr>
      <w:tr w:rsidR="00011DE9" w14:paraId="6914163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30E5D7A" w14:textId="77777777" w:rsidR="00011DE9" w:rsidRDefault="00011DE9">
            <w:pPr>
              <w:pStyle w:val="P68B1DB1-Normal45"/>
              <w:spacing w:after="0" w:line="240" w:lineRule="auto"/>
              <w:rPr>
                <w:noProof/>
              </w:rPr>
            </w:pPr>
            <w:r>
              <w:rPr>
                <w:noProof/>
              </w:rPr>
              <w:t>510</w:t>
            </w:r>
          </w:p>
        </w:tc>
        <w:tc>
          <w:tcPr>
            <w:tcW w:w="2057" w:type="dxa"/>
            <w:tcBorders>
              <w:top w:val="single" w:sz="4" w:space="0" w:color="auto"/>
              <w:left w:val="nil"/>
              <w:bottom w:val="single" w:sz="4" w:space="0" w:color="auto"/>
              <w:right w:val="single" w:sz="4" w:space="0" w:color="auto"/>
            </w:tcBorders>
            <w:shd w:val="clear" w:color="auto" w:fill="C6EFCE"/>
            <w:noWrap/>
          </w:tcPr>
          <w:p w14:paraId="7924D1AE" w14:textId="77777777" w:rsidR="00011DE9" w:rsidRDefault="00011DE9">
            <w:pPr>
              <w:pStyle w:val="P68B1DB1-Normal45"/>
              <w:spacing w:after="0" w:line="240" w:lineRule="auto"/>
              <w:rPr>
                <w:noProof/>
              </w:rPr>
            </w:pPr>
            <w:r>
              <w:rPr>
                <w:noProof/>
              </w:rPr>
              <w:t>C13.I11</w:t>
            </w:r>
          </w:p>
        </w:tc>
        <w:tc>
          <w:tcPr>
            <w:tcW w:w="1427" w:type="dxa"/>
            <w:tcBorders>
              <w:top w:val="single" w:sz="4" w:space="0" w:color="auto"/>
              <w:left w:val="nil"/>
              <w:bottom w:val="single" w:sz="4" w:space="0" w:color="auto"/>
              <w:right w:val="single" w:sz="4" w:space="0" w:color="auto"/>
            </w:tcBorders>
            <w:shd w:val="clear" w:color="auto" w:fill="C6EFCE"/>
            <w:noWrap/>
          </w:tcPr>
          <w:p w14:paraId="148D018A" w14:textId="77777777" w:rsidR="00011DE9" w:rsidRDefault="00011DE9">
            <w:pPr>
              <w:pStyle w:val="P68B1DB1-Normal45"/>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0080D265" w14:textId="77777777" w:rsidR="00011DE9" w:rsidRDefault="00011DE9">
            <w:pPr>
              <w:pStyle w:val="P68B1DB1-Normal15"/>
              <w:spacing w:after="0" w:line="240" w:lineRule="auto"/>
              <w:rPr>
                <w:noProof/>
                <w:sz w:val="20"/>
                <w:szCs w:val="20"/>
              </w:rPr>
            </w:pPr>
            <w:r>
              <w:rPr>
                <w:noProof/>
              </w:rPr>
              <w:t>Garanția CERSA</w:t>
            </w:r>
          </w:p>
        </w:tc>
      </w:tr>
      <w:tr w:rsidR="00011DE9" w14:paraId="10527D5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2A4947F" w14:textId="77777777" w:rsidR="00011DE9" w:rsidRDefault="00011DE9">
            <w:pPr>
              <w:pStyle w:val="P68B1DB1-Normal45"/>
              <w:spacing w:after="0" w:line="240" w:lineRule="auto"/>
              <w:rPr>
                <w:rFonts w:eastAsia="Times New Roman"/>
                <w:noProof/>
              </w:rPr>
            </w:pPr>
            <w:r>
              <w:rPr>
                <w:noProof/>
              </w:rPr>
              <w:t>222</w:t>
            </w:r>
          </w:p>
        </w:tc>
        <w:tc>
          <w:tcPr>
            <w:tcW w:w="2057" w:type="dxa"/>
            <w:tcBorders>
              <w:top w:val="single" w:sz="4" w:space="0" w:color="auto"/>
              <w:left w:val="nil"/>
              <w:bottom w:val="single" w:sz="4" w:space="0" w:color="auto"/>
              <w:right w:val="single" w:sz="4" w:space="0" w:color="auto"/>
            </w:tcBorders>
            <w:shd w:val="clear" w:color="auto" w:fill="C6EFCE"/>
            <w:noWrap/>
          </w:tcPr>
          <w:p w14:paraId="3EE195A4" w14:textId="77777777" w:rsidR="00011DE9" w:rsidRDefault="00011DE9">
            <w:pPr>
              <w:pStyle w:val="P68B1DB1-Normal45"/>
              <w:spacing w:after="0" w:line="240" w:lineRule="auto"/>
              <w:rPr>
                <w:rFonts w:eastAsia="Times New Roman"/>
                <w:noProof/>
              </w:rPr>
            </w:pPr>
            <w:r>
              <w:rPr>
                <w:noProof/>
              </w:rPr>
              <w:t>C14.I2</w:t>
            </w:r>
          </w:p>
        </w:tc>
        <w:tc>
          <w:tcPr>
            <w:tcW w:w="1427" w:type="dxa"/>
            <w:tcBorders>
              <w:top w:val="single" w:sz="4" w:space="0" w:color="auto"/>
              <w:left w:val="nil"/>
              <w:bottom w:val="single" w:sz="4" w:space="0" w:color="auto"/>
              <w:right w:val="single" w:sz="4" w:space="0" w:color="auto"/>
            </w:tcBorders>
            <w:shd w:val="clear" w:color="auto" w:fill="C6EFCE"/>
            <w:noWrap/>
          </w:tcPr>
          <w:p w14:paraId="6F3695AF" w14:textId="77777777" w:rsidR="00011DE9" w:rsidRDefault="00011DE9">
            <w:pPr>
              <w:pStyle w:val="P68B1DB1-Normal45"/>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1C194400" w14:textId="77777777" w:rsidR="00011DE9" w:rsidRDefault="00011DE9">
            <w:pPr>
              <w:pStyle w:val="P68B1DB1-Normal45"/>
              <w:spacing w:after="0" w:line="240" w:lineRule="auto"/>
              <w:rPr>
                <w:rFonts w:eastAsia="Times New Roman"/>
                <w:noProof/>
              </w:rPr>
            </w:pPr>
            <w:r>
              <w:rPr>
                <w:noProof/>
              </w:rPr>
              <w:t>Platforma „Destinație inteligentă” este online</w:t>
            </w:r>
          </w:p>
        </w:tc>
      </w:tr>
      <w:tr w:rsidR="00011DE9" w14:paraId="6133A9A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9FDF3B" w14:textId="77777777" w:rsidR="00011DE9" w:rsidRDefault="00011DE9">
            <w:pPr>
              <w:pStyle w:val="P68B1DB1-Normal45"/>
              <w:spacing w:after="0" w:line="240" w:lineRule="auto"/>
              <w:rPr>
                <w:rFonts w:eastAsia="Times New Roman"/>
                <w:noProof/>
              </w:rPr>
            </w:pPr>
            <w:r>
              <w:rPr>
                <w:noProof/>
              </w:rPr>
              <w:t>223</w:t>
            </w:r>
          </w:p>
        </w:tc>
        <w:tc>
          <w:tcPr>
            <w:tcW w:w="2057" w:type="dxa"/>
            <w:tcBorders>
              <w:top w:val="single" w:sz="4" w:space="0" w:color="auto"/>
              <w:left w:val="nil"/>
              <w:bottom w:val="single" w:sz="4" w:space="0" w:color="auto"/>
              <w:right w:val="single" w:sz="4" w:space="0" w:color="auto"/>
            </w:tcBorders>
            <w:shd w:val="clear" w:color="auto" w:fill="C6EFCE"/>
            <w:noWrap/>
          </w:tcPr>
          <w:p w14:paraId="5B43A5BC" w14:textId="77777777" w:rsidR="00011DE9" w:rsidRDefault="00011DE9">
            <w:pPr>
              <w:pStyle w:val="P68B1DB1-Normal45"/>
              <w:spacing w:after="0" w:line="240" w:lineRule="auto"/>
              <w:rPr>
                <w:rFonts w:eastAsia="Times New Roman"/>
                <w:noProof/>
              </w:rPr>
            </w:pPr>
            <w:r>
              <w:rPr>
                <w:noProof/>
              </w:rPr>
              <w:t>C14.I2</w:t>
            </w:r>
          </w:p>
        </w:tc>
        <w:tc>
          <w:tcPr>
            <w:tcW w:w="1427" w:type="dxa"/>
            <w:tcBorders>
              <w:top w:val="single" w:sz="4" w:space="0" w:color="auto"/>
              <w:left w:val="nil"/>
              <w:bottom w:val="single" w:sz="4" w:space="0" w:color="auto"/>
              <w:right w:val="single" w:sz="4" w:space="0" w:color="auto"/>
            </w:tcBorders>
            <w:shd w:val="clear" w:color="auto" w:fill="C6EFCE"/>
            <w:noWrap/>
          </w:tcPr>
          <w:p w14:paraId="4D3A0C31" w14:textId="77777777" w:rsidR="00011DE9" w:rsidRDefault="00011DE9">
            <w:pPr>
              <w:pStyle w:val="P68B1DB1-Normal45"/>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46F2870C" w14:textId="77777777" w:rsidR="00011DE9" w:rsidRDefault="00011DE9">
            <w:pPr>
              <w:pStyle w:val="P68B1DB1-Normal45"/>
              <w:spacing w:after="0" w:line="240" w:lineRule="auto"/>
              <w:rPr>
                <w:rFonts w:eastAsia="Times New Roman"/>
                <w:noProof/>
              </w:rPr>
            </w:pPr>
            <w:r>
              <w:rPr>
                <w:noProof/>
              </w:rPr>
              <w:t xml:space="preserve">Activități legate de inteligența artificială și de alte tehnologii generice în sectorul turismului </w:t>
            </w:r>
          </w:p>
        </w:tc>
      </w:tr>
      <w:tr w:rsidR="00011DE9" w14:paraId="23AA0FA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5FF7044" w14:textId="77777777" w:rsidR="00011DE9" w:rsidRDefault="00011DE9">
            <w:pPr>
              <w:pStyle w:val="P68B1DB1-Normal45"/>
              <w:spacing w:after="0" w:line="240" w:lineRule="auto"/>
              <w:rPr>
                <w:rFonts w:eastAsia="Times New Roman"/>
                <w:noProof/>
              </w:rPr>
            </w:pPr>
            <w:r>
              <w:rPr>
                <w:noProof/>
              </w:rPr>
              <w:t>224</w:t>
            </w:r>
          </w:p>
        </w:tc>
        <w:tc>
          <w:tcPr>
            <w:tcW w:w="2057" w:type="dxa"/>
            <w:tcBorders>
              <w:top w:val="single" w:sz="4" w:space="0" w:color="auto"/>
              <w:left w:val="nil"/>
              <w:bottom w:val="single" w:sz="4" w:space="0" w:color="auto"/>
              <w:right w:val="single" w:sz="4" w:space="0" w:color="auto"/>
            </w:tcBorders>
            <w:shd w:val="clear" w:color="auto" w:fill="C6EFCE"/>
            <w:noWrap/>
          </w:tcPr>
          <w:p w14:paraId="03828DF7" w14:textId="77777777" w:rsidR="00011DE9" w:rsidRDefault="00011DE9">
            <w:pPr>
              <w:pStyle w:val="P68B1DB1-Normal45"/>
              <w:spacing w:after="0" w:line="240" w:lineRule="auto"/>
              <w:rPr>
                <w:rFonts w:eastAsia="Times New Roman"/>
                <w:noProof/>
              </w:rPr>
            </w:pPr>
            <w:r>
              <w:rPr>
                <w:noProof/>
              </w:rPr>
              <w:t>C14.I3</w:t>
            </w:r>
          </w:p>
        </w:tc>
        <w:tc>
          <w:tcPr>
            <w:tcW w:w="1427" w:type="dxa"/>
            <w:tcBorders>
              <w:top w:val="single" w:sz="4" w:space="0" w:color="auto"/>
              <w:left w:val="nil"/>
              <w:bottom w:val="single" w:sz="4" w:space="0" w:color="auto"/>
              <w:right w:val="single" w:sz="4" w:space="0" w:color="auto"/>
            </w:tcBorders>
            <w:shd w:val="clear" w:color="auto" w:fill="C6EFCE"/>
            <w:noWrap/>
          </w:tcPr>
          <w:p w14:paraId="428CE51E" w14:textId="77777777" w:rsidR="00011DE9" w:rsidRDefault="00011DE9">
            <w:pPr>
              <w:pStyle w:val="P68B1DB1-Normal45"/>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323E8611" w14:textId="77777777" w:rsidR="00011DE9" w:rsidRDefault="00011DE9">
            <w:pPr>
              <w:pStyle w:val="P68B1DB1-Normal45"/>
              <w:spacing w:after="0" w:line="240" w:lineRule="auto"/>
              <w:rPr>
                <w:rFonts w:eastAsia="Times New Roman"/>
                <w:noProof/>
              </w:rPr>
            </w:pPr>
            <w:r>
              <w:rPr>
                <w:noProof/>
              </w:rPr>
              <w:t xml:space="preserve">Activități în domeniul turismului în Insulele Baleare, Insulele Canare, Ceuta și Melilla </w:t>
            </w:r>
          </w:p>
        </w:tc>
      </w:tr>
      <w:tr w:rsidR="00011DE9" w14:paraId="001603E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E27F6A0" w14:textId="77777777" w:rsidR="00011DE9" w:rsidRDefault="00011DE9">
            <w:pPr>
              <w:pStyle w:val="P68B1DB1-Normal45"/>
              <w:spacing w:after="0" w:line="240" w:lineRule="auto"/>
              <w:rPr>
                <w:rFonts w:eastAsia="Times New Roman"/>
                <w:noProof/>
              </w:rPr>
            </w:pPr>
            <w:r>
              <w:rPr>
                <w:noProof/>
              </w:rPr>
              <w:t>226</w:t>
            </w:r>
          </w:p>
        </w:tc>
        <w:tc>
          <w:tcPr>
            <w:tcW w:w="2057" w:type="dxa"/>
            <w:tcBorders>
              <w:top w:val="single" w:sz="4" w:space="0" w:color="auto"/>
              <w:left w:val="nil"/>
              <w:bottom w:val="single" w:sz="4" w:space="0" w:color="auto"/>
              <w:right w:val="single" w:sz="4" w:space="0" w:color="auto"/>
            </w:tcBorders>
            <w:shd w:val="clear" w:color="auto" w:fill="C6EFCE"/>
            <w:noWrap/>
          </w:tcPr>
          <w:p w14:paraId="6E2D3A5A" w14:textId="77777777" w:rsidR="00011DE9" w:rsidRDefault="00011DE9">
            <w:pPr>
              <w:pStyle w:val="P68B1DB1-Normal45"/>
              <w:spacing w:after="0" w:line="240" w:lineRule="auto"/>
              <w:rPr>
                <w:rFonts w:eastAsia="Times New Roman"/>
                <w:noProof/>
              </w:rPr>
            </w:pPr>
            <w:r>
              <w:rPr>
                <w:noProof/>
              </w:rPr>
              <w:t>C14.I4</w:t>
            </w:r>
          </w:p>
        </w:tc>
        <w:tc>
          <w:tcPr>
            <w:tcW w:w="1427" w:type="dxa"/>
            <w:tcBorders>
              <w:top w:val="single" w:sz="4" w:space="0" w:color="auto"/>
              <w:left w:val="nil"/>
              <w:bottom w:val="single" w:sz="4" w:space="0" w:color="auto"/>
              <w:right w:val="single" w:sz="4" w:space="0" w:color="auto"/>
            </w:tcBorders>
            <w:shd w:val="clear" w:color="auto" w:fill="C6EFCE"/>
            <w:noWrap/>
          </w:tcPr>
          <w:p w14:paraId="582493EB" w14:textId="77777777" w:rsidR="00011DE9" w:rsidRDefault="00011DE9">
            <w:pPr>
              <w:pStyle w:val="P68B1DB1-Normal45"/>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0E4B76B7" w14:textId="77777777" w:rsidR="00011DE9" w:rsidRDefault="00011DE9">
            <w:pPr>
              <w:pStyle w:val="P68B1DB1-Normal45"/>
              <w:spacing w:after="0" w:line="240" w:lineRule="auto"/>
              <w:rPr>
                <w:rFonts w:eastAsia="Times New Roman"/>
                <w:noProof/>
              </w:rPr>
            </w:pPr>
            <w:r>
              <w:rPr>
                <w:noProof/>
              </w:rPr>
              <w:t>Activități legate de programul „Experiencias Turismo España”</w:t>
            </w:r>
          </w:p>
        </w:tc>
      </w:tr>
      <w:tr w:rsidR="00011DE9" w14:paraId="275ECA6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79F8775" w14:textId="77777777" w:rsidR="00011DE9" w:rsidRDefault="00011DE9">
            <w:pPr>
              <w:pStyle w:val="P68B1DB1-Normal45"/>
              <w:spacing w:after="0" w:line="240" w:lineRule="auto"/>
              <w:rPr>
                <w:rFonts w:eastAsia="Times New Roman"/>
                <w:noProof/>
              </w:rPr>
            </w:pPr>
            <w:r>
              <w:rPr>
                <w:noProof/>
              </w:rPr>
              <w:t>238</w:t>
            </w:r>
          </w:p>
        </w:tc>
        <w:tc>
          <w:tcPr>
            <w:tcW w:w="2057" w:type="dxa"/>
            <w:tcBorders>
              <w:top w:val="single" w:sz="4" w:space="0" w:color="auto"/>
              <w:left w:val="nil"/>
              <w:bottom w:val="single" w:sz="4" w:space="0" w:color="auto"/>
              <w:right w:val="single" w:sz="4" w:space="0" w:color="auto"/>
            </w:tcBorders>
            <w:shd w:val="clear" w:color="auto" w:fill="C6EFCE"/>
            <w:noWrap/>
          </w:tcPr>
          <w:p w14:paraId="6E1C8099" w14:textId="77777777" w:rsidR="00011DE9" w:rsidRDefault="00011DE9">
            <w:pPr>
              <w:pStyle w:val="P68B1DB1-Normal45"/>
              <w:spacing w:after="0" w:line="240" w:lineRule="auto"/>
              <w:rPr>
                <w:rFonts w:eastAsia="Times New Roman"/>
                <w:noProof/>
              </w:rPr>
            </w:pPr>
            <w:r>
              <w:rPr>
                <w:noProof/>
              </w:rPr>
              <w:t>C15.I2</w:t>
            </w:r>
          </w:p>
        </w:tc>
        <w:tc>
          <w:tcPr>
            <w:tcW w:w="1427" w:type="dxa"/>
            <w:tcBorders>
              <w:top w:val="single" w:sz="4" w:space="0" w:color="auto"/>
              <w:left w:val="nil"/>
              <w:bottom w:val="single" w:sz="4" w:space="0" w:color="auto"/>
              <w:right w:val="single" w:sz="4" w:space="0" w:color="auto"/>
            </w:tcBorders>
            <w:shd w:val="clear" w:color="auto" w:fill="C6EFCE"/>
            <w:noWrap/>
          </w:tcPr>
          <w:p w14:paraId="567E670A" w14:textId="77777777" w:rsidR="00011DE9" w:rsidRDefault="00011DE9">
            <w:pPr>
              <w:pStyle w:val="P68B1DB1-Normal45"/>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4A43D568" w14:textId="77777777" w:rsidR="00011DE9" w:rsidRDefault="00011DE9">
            <w:pPr>
              <w:pStyle w:val="P68B1DB1-Normal45"/>
              <w:spacing w:after="0" w:line="240" w:lineRule="auto"/>
              <w:rPr>
                <w:rFonts w:eastAsia="Times New Roman"/>
                <w:noProof/>
              </w:rPr>
            </w:pPr>
            <w:r>
              <w:rPr>
                <w:noProof/>
              </w:rPr>
              <w:t>Conectivitatea în centrele și serviciile publice, în siturile industriale și de afaceri și în punctele de conectare pentru locurile legate de apărare</w:t>
            </w:r>
          </w:p>
        </w:tc>
      </w:tr>
      <w:tr w:rsidR="00011DE9" w14:paraId="7FCEFEC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7A87A02A" w14:textId="77777777" w:rsidR="00011DE9" w:rsidRDefault="00011DE9">
            <w:pPr>
              <w:pStyle w:val="P68B1DB1-Normal45"/>
              <w:spacing w:after="0" w:line="240" w:lineRule="auto"/>
              <w:rPr>
                <w:rFonts w:eastAsia="Times New Roman"/>
                <w:noProof/>
              </w:rPr>
            </w:pPr>
            <w:r>
              <w:rPr>
                <w:noProof/>
              </w:rPr>
              <w:t>243</w:t>
            </w:r>
          </w:p>
        </w:tc>
        <w:tc>
          <w:tcPr>
            <w:tcW w:w="2057" w:type="dxa"/>
            <w:tcBorders>
              <w:top w:val="single" w:sz="4" w:space="0" w:color="auto"/>
              <w:left w:val="nil"/>
              <w:bottom w:val="single" w:sz="4" w:space="0" w:color="auto"/>
              <w:right w:val="single" w:sz="4" w:space="0" w:color="auto"/>
            </w:tcBorders>
            <w:shd w:val="clear" w:color="auto" w:fill="C6EFCE"/>
            <w:noWrap/>
          </w:tcPr>
          <w:p w14:paraId="401867CA" w14:textId="77777777" w:rsidR="00011DE9" w:rsidRDefault="00011DE9">
            <w:pPr>
              <w:pStyle w:val="P68B1DB1-Normal45"/>
              <w:spacing w:after="0" w:line="240" w:lineRule="auto"/>
              <w:rPr>
                <w:rFonts w:eastAsia="Times New Roman"/>
                <w:noProof/>
              </w:rPr>
            </w:pPr>
            <w:r>
              <w:rPr>
                <w:noProof/>
              </w:rPr>
              <w:t>C15.I6</w:t>
            </w:r>
          </w:p>
        </w:tc>
        <w:tc>
          <w:tcPr>
            <w:tcW w:w="1427" w:type="dxa"/>
            <w:tcBorders>
              <w:top w:val="single" w:sz="4" w:space="0" w:color="auto"/>
              <w:left w:val="nil"/>
              <w:bottom w:val="single" w:sz="4" w:space="0" w:color="auto"/>
              <w:right w:val="single" w:sz="4" w:space="0" w:color="auto"/>
            </w:tcBorders>
            <w:shd w:val="clear" w:color="auto" w:fill="C6EFCE"/>
            <w:noWrap/>
          </w:tcPr>
          <w:p w14:paraId="03528608" w14:textId="77777777" w:rsidR="00011DE9" w:rsidRDefault="00011DE9">
            <w:pPr>
              <w:pStyle w:val="P68B1DB1-Normal45"/>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0FEC85A0" w14:textId="77777777" w:rsidR="00011DE9" w:rsidRDefault="00011DE9">
            <w:pPr>
              <w:pStyle w:val="P68B1DB1-Normal45"/>
              <w:spacing w:after="0" w:line="240" w:lineRule="auto"/>
              <w:rPr>
                <w:rFonts w:eastAsia="Times New Roman"/>
                <w:noProof/>
              </w:rPr>
            </w:pPr>
            <w:r>
              <w:rPr>
                <w:noProof/>
              </w:rPr>
              <w:t>Implementarea tehnologiei 5G: premiu</w:t>
            </w:r>
          </w:p>
        </w:tc>
      </w:tr>
      <w:tr w:rsidR="00011DE9" w14:paraId="609DDDD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310025D" w14:textId="77777777" w:rsidR="00011DE9" w:rsidRDefault="00011DE9">
            <w:pPr>
              <w:pStyle w:val="P68B1DB1-Normal45"/>
              <w:spacing w:after="0" w:line="240" w:lineRule="auto"/>
              <w:rPr>
                <w:rFonts w:eastAsia="Times New Roman"/>
                <w:noProof/>
              </w:rPr>
            </w:pPr>
            <w:r>
              <w:rPr>
                <w:noProof/>
              </w:rPr>
              <w:t>458</w:t>
            </w:r>
          </w:p>
        </w:tc>
        <w:tc>
          <w:tcPr>
            <w:tcW w:w="2057" w:type="dxa"/>
            <w:tcBorders>
              <w:top w:val="single" w:sz="4" w:space="0" w:color="auto"/>
              <w:left w:val="nil"/>
              <w:bottom w:val="single" w:sz="4" w:space="0" w:color="auto"/>
              <w:right w:val="single" w:sz="4" w:space="0" w:color="auto"/>
            </w:tcBorders>
            <w:shd w:val="clear" w:color="auto" w:fill="C6EFCE"/>
            <w:noWrap/>
          </w:tcPr>
          <w:p w14:paraId="583771F1" w14:textId="77777777" w:rsidR="00011DE9" w:rsidRDefault="00011DE9">
            <w:pPr>
              <w:pStyle w:val="P68B1DB1-Normal45"/>
              <w:spacing w:after="0" w:line="240" w:lineRule="auto"/>
              <w:rPr>
                <w:rFonts w:eastAsia="Times New Roman"/>
                <w:noProof/>
              </w:rPr>
            </w:pPr>
            <w:r>
              <w:rPr>
                <w:noProof/>
              </w:rPr>
              <w:t>C16.R1</w:t>
            </w:r>
          </w:p>
        </w:tc>
        <w:tc>
          <w:tcPr>
            <w:tcW w:w="1427" w:type="dxa"/>
            <w:tcBorders>
              <w:top w:val="single" w:sz="4" w:space="0" w:color="auto"/>
              <w:left w:val="nil"/>
              <w:bottom w:val="single" w:sz="4" w:space="0" w:color="auto"/>
              <w:right w:val="single" w:sz="4" w:space="0" w:color="auto"/>
            </w:tcBorders>
            <w:shd w:val="clear" w:color="auto" w:fill="C6EFCE"/>
            <w:noWrap/>
          </w:tcPr>
          <w:p w14:paraId="621B0151" w14:textId="77777777" w:rsidR="00011DE9" w:rsidRDefault="00011DE9">
            <w:pPr>
              <w:pStyle w:val="P68B1DB1-Normal45"/>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410E674D" w14:textId="77777777" w:rsidR="00011DE9" w:rsidRDefault="00011DE9">
            <w:pPr>
              <w:pStyle w:val="P68B1DB1-Normal45"/>
              <w:spacing w:after="0" w:line="240" w:lineRule="auto"/>
              <w:rPr>
                <w:rFonts w:eastAsia="Times New Roman"/>
                <w:noProof/>
              </w:rPr>
            </w:pPr>
            <w:r>
              <w:rPr>
                <w:noProof/>
              </w:rPr>
              <w:t>Spațiul de testare în materie de reglementare și statutul Agencia Española de Supervisión de Inteligencia Artificial („AESIA”)</w:t>
            </w:r>
          </w:p>
        </w:tc>
      </w:tr>
      <w:tr w:rsidR="00011DE9" w14:paraId="6CFFB3C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355993E" w14:textId="77777777" w:rsidR="00011DE9" w:rsidRDefault="00011DE9">
            <w:pPr>
              <w:pStyle w:val="P68B1DB1-Normal45"/>
              <w:spacing w:after="0" w:line="240" w:lineRule="auto"/>
              <w:rPr>
                <w:rFonts w:eastAsia="Times New Roman"/>
                <w:noProof/>
              </w:rPr>
            </w:pPr>
            <w:r>
              <w:rPr>
                <w:noProof/>
              </w:rPr>
              <w:t>460</w:t>
            </w:r>
          </w:p>
        </w:tc>
        <w:tc>
          <w:tcPr>
            <w:tcW w:w="2057" w:type="dxa"/>
            <w:tcBorders>
              <w:top w:val="single" w:sz="4" w:space="0" w:color="auto"/>
              <w:left w:val="nil"/>
              <w:bottom w:val="single" w:sz="4" w:space="0" w:color="auto"/>
              <w:right w:val="single" w:sz="4" w:space="0" w:color="auto"/>
            </w:tcBorders>
            <w:shd w:val="clear" w:color="auto" w:fill="C6EFCE"/>
            <w:noWrap/>
          </w:tcPr>
          <w:p w14:paraId="25E4A236" w14:textId="77777777" w:rsidR="00011DE9" w:rsidRDefault="00011DE9">
            <w:pPr>
              <w:pStyle w:val="P68B1DB1-Normal45"/>
              <w:spacing w:after="0" w:line="240" w:lineRule="auto"/>
              <w:rPr>
                <w:rFonts w:eastAsia="Times New Roman"/>
                <w:noProof/>
              </w:rPr>
            </w:pPr>
            <w:r>
              <w:rPr>
                <w:noProof/>
              </w:rPr>
              <w:t>C17.I6</w:t>
            </w:r>
          </w:p>
        </w:tc>
        <w:tc>
          <w:tcPr>
            <w:tcW w:w="1427" w:type="dxa"/>
            <w:tcBorders>
              <w:top w:val="single" w:sz="4" w:space="0" w:color="auto"/>
              <w:left w:val="nil"/>
              <w:bottom w:val="single" w:sz="4" w:space="0" w:color="auto"/>
              <w:right w:val="single" w:sz="4" w:space="0" w:color="auto"/>
            </w:tcBorders>
            <w:shd w:val="clear" w:color="auto" w:fill="C6EFCE"/>
            <w:noWrap/>
          </w:tcPr>
          <w:p w14:paraId="4F2FBE6B" w14:textId="77777777" w:rsidR="00011DE9" w:rsidRDefault="00011DE9">
            <w:pPr>
              <w:pStyle w:val="P68B1DB1-Normal45"/>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75A8EFAD" w14:textId="0F845C10" w:rsidR="00011DE9" w:rsidRDefault="00011DE9">
            <w:pPr>
              <w:pStyle w:val="P68B1DB1-Normal45"/>
              <w:spacing w:after="0" w:line="240" w:lineRule="auto"/>
              <w:rPr>
                <w:rFonts w:eastAsia="Times New Roman"/>
                <w:noProof/>
              </w:rPr>
            </w:pPr>
            <w:r>
              <w:rPr>
                <w:noProof/>
              </w:rPr>
              <w:t>PERTE Sănătate</w:t>
            </w:r>
            <w:r w:rsidR="00971820">
              <w:rPr>
                <w:noProof/>
              </w:rPr>
              <w:t xml:space="preserve"> </w:t>
            </w:r>
          </w:p>
        </w:tc>
      </w:tr>
      <w:tr w:rsidR="00011DE9" w14:paraId="156A980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8A019AE" w14:textId="77777777" w:rsidR="00011DE9" w:rsidRDefault="00011DE9">
            <w:pPr>
              <w:pStyle w:val="P68B1DB1-Normal45"/>
              <w:spacing w:after="0" w:line="240" w:lineRule="auto"/>
              <w:rPr>
                <w:rFonts w:eastAsia="Times New Roman"/>
                <w:noProof/>
              </w:rPr>
            </w:pPr>
            <w:r>
              <w:rPr>
                <w:noProof/>
              </w:rPr>
              <w:t>272</w:t>
            </w:r>
          </w:p>
        </w:tc>
        <w:tc>
          <w:tcPr>
            <w:tcW w:w="2057" w:type="dxa"/>
            <w:tcBorders>
              <w:top w:val="single" w:sz="4" w:space="0" w:color="auto"/>
              <w:left w:val="nil"/>
              <w:bottom w:val="single" w:sz="4" w:space="0" w:color="auto"/>
              <w:right w:val="single" w:sz="4" w:space="0" w:color="auto"/>
            </w:tcBorders>
            <w:shd w:val="clear" w:color="auto" w:fill="C6EFCE"/>
            <w:noWrap/>
          </w:tcPr>
          <w:p w14:paraId="2105F9F6" w14:textId="77777777" w:rsidR="00011DE9" w:rsidRDefault="00011DE9">
            <w:pPr>
              <w:pStyle w:val="P68B1DB1-Normal45"/>
              <w:spacing w:after="0" w:line="240" w:lineRule="auto"/>
              <w:rPr>
                <w:rFonts w:eastAsia="Times New Roman"/>
                <w:noProof/>
              </w:rPr>
            </w:pPr>
            <w:r>
              <w:rPr>
                <w:noProof/>
              </w:rPr>
              <w:t>C17.I9</w:t>
            </w:r>
          </w:p>
        </w:tc>
        <w:tc>
          <w:tcPr>
            <w:tcW w:w="1427" w:type="dxa"/>
            <w:tcBorders>
              <w:top w:val="single" w:sz="4" w:space="0" w:color="auto"/>
              <w:left w:val="nil"/>
              <w:bottom w:val="single" w:sz="4" w:space="0" w:color="auto"/>
              <w:right w:val="single" w:sz="4" w:space="0" w:color="auto"/>
            </w:tcBorders>
            <w:shd w:val="clear" w:color="auto" w:fill="C6EFCE"/>
            <w:noWrap/>
          </w:tcPr>
          <w:p w14:paraId="7D530C5C" w14:textId="77777777" w:rsidR="00011DE9" w:rsidRDefault="00011DE9">
            <w:pPr>
              <w:pStyle w:val="P68B1DB1-Normal45"/>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760E15E3" w14:textId="77777777" w:rsidR="00011DE9" w:rsidRDefault="00011DE9">
            <w:pPr>
              <w:pStyle w:val="P68B1DB1-Normal45"/>
              <w:spacing w:after="0" w:line="240" w:lineRule="auto"/>
              <w:rPr>
                <w:rFonts w:eastAsia="Times New Roman"/>
                <w:noProof/>
              </w:rPr>
            </w:pPr>
            <w:r>
              <w:rPr>
                <w:noProof/>
              </w:rPr>
              <w:t>Aerospace</w:t>
            </w:r>
          </w:p>
        </w:tc>
      </w:tr>
      <w:tr w:rsidR="00011DE9" w14:paraId="15EB0E9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5573A68" w14:textId="77777777" w:rsidR="00011DE9" w:rsidRDefault="00011DE9">
            <w:pPr>
              <w:pStyle w:val="P68B1DB1-Normal45"/>
              <w:spacing w:after="0" w:line="240" w:lineRule="auto"/>
              <w:rPr>
                <w:noProof/>
              </w:rPr>
            </w:pPr>
            <w:r>
              <w:rPr>
                <w:noProof/>
              </w:rPr>
              <w:t>275</w:t>
            </w:r>
          </w:p>
        </w:tc>
        <w:tc>
          <w:tcPr>
            <w:tcW w:w="2057" w:type="dxa"/>
            <w:tcBorders>
              <w:top w:val="single" w:sz="4" w:space="0" w:color="auto"/>
              <w:left w:val="nil"/>
              <w:bottom w:val="single" w:sz="4" w:space="0" w:color="auto"/>
              <w:right w:val="single" w:sz="4" w:space="0" w:color="auto"/>
            </w:tcBorders>
            <w:shd w:val="clear" w:color="auto" w:fill="C6EFCE"/>
            <w:noWrap/>
          </w:tcPr>
          <w:p w14:paraId="6E6876E7" w14:textId="77777777" w:rsidR="00011DE9" w:rsidRDefault="00011DE9">
            <w:pPr>
              <w:pStyle w:val="P68B1DB1-Normal45"/>
              <w:spacing w:after="0" w:line="240" w:lineRule="auto"/>
              <w:rPr>
                <w:noProof/>
              </w:rPr>
            </w:pPr>
            <w:r>
              <w:rPr>
                <w:noProof/>
              </w:rPr>
              <w:t>C18.R3</w:t>
            </w:r>
          </w:p>
        </w:tc>
        <w:tc>
          <w:tcPr>
            <w:tcW w:w="1427" w:type="dxa"/>
            <w:tcBorders>
              <w:top w:val="single" w:sz="4" w:space="0" w:color="auto"/>
              <w:left w:val="nil"/>
              <w:bottom w:val="single" w:sz="4" w:space="0" w:color="auto"/>
              <w:right w:val="single" w:sz="4" w:space="0" w:color="auto"/>
            </w:tcBorders>
            <w:shd w:val="clear" w:color="auto" w:fill="C6EFCE"/>
            <w:noWrap/>
          </w:tcPr>
          <w:p w14:paraId="38A674EE" w14:textId="77777777" w:rsidR="00011DE9" w:rsidRDefault="00011DE9">
            <w:pPr>
              <w:pStyle w:val="P68B1DB1-Normal45"/>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64E08F6C" w14:textId="77777777" w:rsidR="00011DE9" w:rsidRDefault="00011DE9">
            <w:pPr>
              <w:pStyle w:val="P68B1DB1-Normal45"/>
              <w:spacing w:after="0" w:line="240" w:lineRule="auto"/>
              <w:rPr>
                <w:noProof/>
              </w:rPr>
            </w:pPr>
            <w:r>
              <w:rPr>
                <w:noProof/>
              </w:rPr>
              <w:t>Intrarea în vigoare a legislației sau a actelor juridice de înființare a Agenției de Stat pentru Sănătate Publică, numirea și renumirea centrelor, serviciilor și unităților de referință (URSC) și reorganizarea terapiei cu protoni</w:t>
            </w:r>
          </w:p>
        </w:tc>
      </w:tr>
      <w:tr w:rsidR="00011DE9" w14:paraId="3B99D47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759B36A1" w14:textId="77777777" w:rsidR="00011DE9" w:rsidRDefault="00011DE9">
            <w:pPr>
              <w:pStyle w:val="P68B1DB1-Normal45"/>
              <w:spacing w:after="0" w:line="240" w:lineRule="auto"/>
              <w:rPr>
                <w:noProof/>
              </w:rPr>
            </w:pPr>
            <w:r>
              <w:rPr>
                <w:noProof/>
              </w:rPr>
              <w:t>276</w:t>
            </w:r>
          </w:p>
        </w:tc>
        <w:tc>
          <w:tcPr>
            <w:tcW w:w="2057" w:type="dxa"/>
            <w:tcBorders>
              <w:top w:val="single" w:sz="4" w:space="0" w:color="auto"/>
              <w:left w:val="nil"/>
              <w:bottom w:val="single" w:sz="4" w:space="0" w:color="auto"/>
              <w:right w:val="single" w:sz="4" w:space="0" w:color="auto"/>
            </w:tcBorders>
            <w:shd w:val="clear" w:color="auto" w:fill="C6EFCE"/>
            <w:noWrap/>
          </w:tcPr>
          <w:p w14:paraId="5E8BA9C9" w14:textId="77777777" w:rsidR="00011DE9" w:rsidRDefault="00011DE9">
            <w:pPr>
              <w:pStyle w:val="P68B1DB1-Normal45"/>
              <w:spacing w:after="0" w:line="240" w:lineRule="auto"/>
              <w:rPr>
                <w:noProof/>
              </w:rPr>
            </w:pPr>
            <w:r>
              <w:rPr>
                <w:noProof/>
              </w:rPr>
              <w:t>C18.R4</w:t>
            </w:r>
          </w:p>
        </w:tc>
        <w:tc>
          <w:tcPr>
            <w:tcW w:w="1427" w:type="dxa"/>
            <w:tcBorders>
              <w:top w:val="single" w:sz="4" w:space="0" w:color="auto"/>
              <w:left w:val="nil"/>
              <w:bottom w:val="single" w:sz="4" w:space="0" w:color="auto"/>
              <w:right w:val="single" w:sz="4" w:space="0" w:color="auto"/>
            </w:tcBorders>
            <w:shd w:val="clear" w:color="auto" w:fill="C6EFCE"/>
            <w:noWrap/>
          </w:tcPr>
          <w:p w14:paraId="2EFD620E" w14:textId="77777777" w:rsidR="00011DE9" w:rsidRDefault="00011DE9">
            <w:pPr>
              <w:pStyle w:val="P68B1DB1-Normal45"/>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49A78B5A" w14:textId="77777777" w:rsidR="00011DE9" w:rsidRDefault="00011DE9">
            <w:pPr>
              <w:pStyle w:val="P68B1DB1-Normal45"/>
              <w:spacing w:after="0" w:line="240" w:lineRule="auto"/>
              <w:rPr>
                <w:noProof/>
              </w:rPr>
            </w:pPr>
            <w:r>
              <w:rPr>
                <w:noProof/>
              </w:rPr>
              <w:t>Măsuri de abordare sau de reglementare a posturilor sau a domeniilor greu de ocupat, a programului de lucru, a serviciilor de gardă, a retribuțiilor, a formării, a echilibrului dintre viața profesională și cea privată, a păstrării talentelor profesioniștilor din domeniul sănătății, a predării sau a cercetării, precum și de reglementare a sistemului specializat de formare în domeniul sănătății</w:t>
            </w:r>
          </w:p>
        </w:tc>
      </w:tr>
      <w:tr w:rsidR="00011DE9" w14:paraId="7A1D983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7797C41" w14:textId="77777777" w:rsidR="00011DE9" w:rsidRDefault="00011DE9">
            <w:pPr>
              <w:pStyle w:val="P68B1DB1-Normal45"/>
              <w:spacing w:after="0" w:line="240" w:lineRule="auto"/>
              <w:rPr>
                <w:rFonts w:eastAsia="Times New Roman"/>
                <w:noProof/>
              </w:rPr>
            </w:pPr>
            <w:r>
              <w:rPr>
                <w:noProof/>
              </w:rPr>
              <w:t>287</w:t>
            </w:r>
          </w:p>
        </w:tc>
        <w:tc>
          <w:tcPr>
            <w:tcW w:w="2057" w:type="dxa"/>
            <w:tcBorders>
              <w:top w:val="single" w:sz="4" w:space="0" w:color="auto"/>
              <w:left w:val="nil"/>
              <w:bottom w:val="single" w:sz="4" w:space="0" w:color="auto"/>
              <w:right w:val="single" w:sz="4" w:space="0" w:color="auto"/>
            </w:tcBorders>
            <w:shd w:val="clear" w:color="auto" w:fill="C6EFCE"/>
            <w:noWrap/>
          </w:tcPr>
          <w:p w14:paraId="2AA08FF9" w14:textId="77777777" w:rsidR="00011DE9" w:rsidRDefault="00011DE9">
            <w:pPr>
              <w:pStyle w:val="P68B1DB1-Normal45"/>
              <w:spacing w:after="0" w:line="240" w:lineRule="auto"/>
              <w:rPr>
                <w:rFonts w:eastAsia="Times New Roman"/>
                <w:noProof/>
              </w:rPr>
            </w:pPr>
            <w:r>
              <w:rPr>
                <w:noProof/>
              </w:rPr>
              <w:t>C19.I1</w:t>
            </w:r>
          </w:p>
        </w:tc>
        <w:tc>
          <w:tcPr>
            <w:tcW w:w="1427" w:type="dxa"/>
            <w:tcBorders>
              <w:top w:val="single" w:sz="4" w:space="0" w:color="auto"/>
              <w:left w:val="nil"/>
              <w:bottom w:val="single" w:sz="4" w:space="0" w:color="auto"/>
              <w:right w:val="single" w:sz="4" w:space="0" w:color="auto"/>
            </w:tcBorders>
            <w:shd w:val="clear" w:color="auto" w:fill="C6EFCE"/>
            <w:noWrap/>
          </w:tcPr>
          <w:p w14:paraId="6CC00C6F" w14:textId="77777777" w:rsidR="00011DE9" w:rsidRDefault="00011DE9">
            <w:pPr>
              <w:pStyle w:val="P68B1DB1-Normal45"/>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1EA9FB62" w14:textId="77777777" w:rsidR="00011DE9" w:rsidRDefault="00011DE9">
            <w:pPr>
              <w:pStyle w:val="P68B1DB1-Normal45"/>
              <w:spacing w:after="0" w:line="240" w:lineRule="auto"/>
              <w:rPr>
                <w:rFonts w:eastAsia="Times New Roman"/>
                <w:noProof/>
              </w:rPr>
            </w:pPr>
            <w:r>
              <w:rPr>
                <w:noProof/>
              </w:rPr>
              <w:t>Rețeaua națională pentru competențe digitale</w:t>
            </w:r>
          </w:p>
        </w:tc>
      </w:tr>
      <w:tr w:rsidR="00011DE9" w14:paraId="305C4FD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C659055" w14:textId="77777777" w:rsidR="00011DE9" w:rsidRDefault="00011DE9">
            <w:pPr>
              <w:pStyle w:val="P68B1DB1-Normal45"/>
              <w:spacing w:after="0" w:line="240" w:lineRule="auto"/>
              <w:rPr>
                <w:rFonts w:eastAsia="Times New Roman"/>
                <w:noProof/>
              </w:rPr>
            </w:pPr>
            <w:r>
              <w:rPr>
                <w:noProof/>
              </w:rPr>
              <w:t>293</w:t>
            </w:r>
          </w:p>
        </w:tc>
        <w:tc>
          <w:tcPr>
            <w:tcW w:w="2057" w:type="dxa"/>
            <w:tcBorders>
              <w:top w:val="single" w:sz="4" w:space="0" w:color="auto"/>
              <w:left w:val="nil"/>
              <w:bottom w:val="single" w:sz="4" w:space="0" w:color="auto"/>
              <w:right w:val="single" w:sz="4" w:space="0" w:color="auto"/>
            </w:tcBorders>
            <w:shd w:val="clear" w:color="auto" w:fill="C6EFCE"/>
            <w:noWrap/>
          </w:tcPr>
          <w:p w14:paraId="3F5EED9D" w14:textId="77777777" w:rsidR="00011DE9" w:rsidRDefault="00011DE9">
            <w:pPr>
              <w:pStyle w:val="P68B1DB1-Normal45"/>
              <w:spacing w:after="0" w:line="240" w:lineRule="auto"/>
              <w:rPr>
                <w:rFonts w:eastAsia="Times New Roman"/>
                <w:noProof/>
              </w:rPr>
            </w:pPr>
            <w:r>
              <w:rPr>
                <w:noProof/>
              </w:rPr>
              <w:t>C19.I4</w:t>
            </w:r>
          </w:p>
        </w:tc>
        <w:tc>
          <w:tcPr>
            <w:tcW w:w="1427" w:type="dxa"/>
            <w:tcBorders>
              <w:top w:val="single" w:sz="4" w:space="0" w:color="auto"/>
              <w:left w:val="nil"/>
              <w:bottom w:val="single" w:sz="4" w:space="0" w:color="auto"/>
              <w:right w:val="single" w:sz="4" w:space="0" w:color="auto"/>
            </w:tcBorders>
            <w:shd w:val="clear" w:color="auto" w:fill="C6EFCE"/>
            <w:noWrap/>
          </w:tcPr>
          <w:p w14:paraId="37CE669E" w14:textId="77777777" w:rsidR="00011DE9" w:rsidRDefault="00011DE9">
            <w:pPr>
              <w:pStyle w:val="P68B1DB1-Normal45"/>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0443994A" w14:textId="77777777" w:rsidR="00011DE9" w:rsidRDefault="00011DE9">
            <w:pPr>
              <w:pStyle w:val="P68B1DB1-Normal45"/>
              <w:spacing w:after="0" w:line="240" w:lineRule="auto"/>
              <w:rPr>
                <w:rFonts w:eastAsia="Times New Roman"/>
                <w:noProof/>
              </w:rPr>
            </w:pPr>
            <w:r>
              <w:rPr>
                <w:noProof/>
              </w:rPr>
              <w:t>Burse sau contracte de muncă pentru talente în domeniul digital</w:t>
            </w:r>
          </w:p>
        </w:tc>
      </w:tr>
      <w:tr w:rsidR="00011DE9" w14:paraId="1ABFB38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07018DD" w14:textId="77777777" w:rsidR="00011DE9" w:rsidRDefault="00011DE9">
            <w:pPr>
              <w:pStyle w:val="P68B1DB1-Normal45"/>
              <w:spacing w:after="0" w:line="240" w:lineRule="auto"/>
              <w:rPr>
                <w:rFonts w:eastAsia="Times New Roman"/>
                <w:noProof/>
              </w:rPr>
            </w:pPr>
            <w:r>
              <w:rPr>
                <w:noProof/>
              </w:rPr>
              <w:t>298</w:t>
            </w:r>
          </w:p>
        </w:tc>
        <w:tc>
          <w:tcPr>
            <w:tcW w:w="2057" w:type="dxa"/>
            <w:tcBorders>
              <w:top w:val="single" w:sz="4" w:space="0" w:color="auto"/>
              <w:left w:val="nil"/>
              <w:bottom w:val="single" w:sz="4" w:space="0" w:color="auto"/>
              <w:right w:val="single" w:sz="4" w:space="0" w:color="auto"/>
            </w:tcBorders>
            <w:shd w:val="clear" w:color="auto" w:fill="C6EFCE"/>
            <w:noWrap/>
          </w:tcPr>
          <w:p w14:paraId="4776B8BE" w14:textId="77777777" w:rsidR="00011DE9" w:rsidRDefault="00011DE9">
            <w:pPr>
              <w:pStyle w:val="P68B1DB1-Normal45"/>
              <w:spacing w:after="0" w:line="240" w:lineRule="auto"/>
              <w:rPr>
                <w:rFonts w:eastAsia="Times New Roman"/>
                <w:noProof/>
              </w:rPr>
            </w:pPr>
            <w:r>
              <w:rPr>
                <w:noProof/>
              </w:rPr>
              <w:t>C20.I1</w:t>
            </w:r>
          </w:p>
        </w:tc>
        <w:tc>
          <w:tcPr>
            <w:tcW w:w="1427" w:type="dxa"/>
            <w:tcBorders>
              <w:top w:val="single" w:sz="4" w:space="0" w:color="auto"/>
              <w:left w:val="nil"/>
              <w:bottom w:val="single" w:sz="4" w:space="0" w:color="auto"/>
              <w:right w:val="single" w:sz="4" w:space="0" w:color="auto"/>
            </w:tcBorders>
            <w:shd w:val="clear" w:color="auto" w:fill="C6EFCE"/>
            <w:noWrap/>
          </w:tcPr>
          <w:p w14:paraId="309A1E6D" w14:textId="77777777" w:rsidR="00011DE9" w:rsidRDefault="00011DE9">
            <w:pPr>
              <w:pStyle w:val="P68B1DB1-Normal45"/>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238E076D" w14:textId="77777777" w:rsidR="00011DE9" w:rsidRDefault="00011DE9">
            <w:pPr>
              <w:pStyle w:val="P68B1DB1-Normal45"/>
              <w:spacing w:after="0" w:line="240" w:lineRule="auto"/>
              <w:rPr>
                <w:rFonts w:eastAsia="Times New Roman"/>
                <w:noProof/>
              </w:rPr>
            </w:pPr>
            <w:r>
              <w:rPr>
                <w:noProof/>
              </w:rPr>
              <w:t xml:space="preserve">Activități de formare </w:t>
            </w:r>
          </w:p>
        </w:tc>
      </w:tr>
      <w:tr w:rsidR="00011DE9" w14:paraId="1125C34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57B842" w14:textId="77777777" w:rsidR="00011DE9" w:rsidRDefault="00011DE9">
            <w:pPr>
              <w:pStyle w:val="P68B1DB1-Normal45"/>
              <w:spacing w:after="0" w:line="240" w:lineRule="auto"/>
              <w:rPr>
                <w:rFonts w:eastAsia="Times New Roman"/>
                <w:noProof/>
              </w:rPr>
            </w:pPr>
            <w:r>
              <w:rPr>
                <w:noProof/>
              </w:rPr>
              <w:t>301</w:t>
            </w:r>
          </w:p>
        </w:tc>
        <w:tc>
          <w:tcPr>
            <w:tcW w:w="2057" w:type="dxa"/>
            <w:tcBorders>
              <w:top w:val="single" w:sz="4" w:space="0" w:color="auto"/>
              <w:left w:val="nil"/>
              <w:bottom w:val="single" w:sz="4" w:space="0" w:color="auto"/>
              <w:right w:val="single" w:sz="4" w:space="0" w:color="auto"/>
            </w:tcBorders>
            <w:shd w:val="clear" w:color="auto" w:fill="C6EFCE"/>
            <w:noWrap/>
          </w:tcPr>
          <w:p w14:paraId="0B4490E0" w14:textId="77777777" w:rsidR="00011DE9" w:rsidRDefault="00011DE9">
            <w:pPr>
              <w:pStyle w:val="P68B1DB1-Normal45"/>
              <w:spacing w:after="0" w:line="240" w:lineRule="auto"/>
              <w:rPr>
                <w:rFonts w:eastAsia="Times New Roman"/>
                <w:noProof/>
              </w:rPr>
            </w:pPr>
            <w:r>
              <w:rPr>
                <w:noProof/>
              </w:rPr>
              <w:t>C20.I3</w:t>
            </w:r>
          </w:p>
        </w:tc>
        <w:tc>
          <w:tcPr>
            <w:tcW w:w="1427" w:type="dxa"/>
            <w:tcBorders>
              <w:top w:val="single" w:sz="4" w:space="0" w:color="auto"/>
              <w:left w:val="nil"/>
              <w:bottom w:val="single" w:sz="4" w:space="0" w:color="auto"/>
              <w:right w:val="single" w:sz="4" w:space="0" w:color="auto"/>
            </w:tcBorders>
            <w:shd w:val="clear" w:color="auto" w:fill="C6EFCE"/>
            <w:noWrap/>
          </w:tcPr>
          <w:p w14:paraId="60768D22" w14:textId="77777777" w:rsidR="00011DE9" w:rsidRDefault="00011DE9">
            <w:pPr>
              <w:pStyle w:val="P68B1DB1-Normal45"/>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3F112E30" w14:textId="77777777" w:rsidR="00011DE9" w:rsidRDefault="00011DE9">
            <w:pPr>
              <w:pStyle w:val="P68B1DB1-Normal45"/>
              <w:spacing w:after="0" w:line="240" w:lineRule="auto"/>
              <w:rPr>
                <w:rFonts w:eastAsia="Times New Roman"/>
                <w:noProof/>
              </w:rPr>
            </w:pPr>
            <w:r>
              <w:rPr>
                <w:noProof/>
              </w:rPr>
              <w:t>Formare profesională bilingvă</w:t>
            </w:r>
          </w:p>
        </w:tc>
      </w:tr>
      <w:tr w:rsidR="00011DE9" w14:paraId="7F4B163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70C22EF8" w14:textId="77777777" w:rsidR="00011DE9" w:rsidRDefault="00011DE9">
            <w:pPr>
              <w:pStyle w:val="P68B1DB1-Normal45"/>
              <w:spacing w:after="0" w:line="240" w:lineRule="auto"/>
              <w:rPr>
                <w:noProof/>
              </w:rPr>
            </w:pPr>
            <w:r>
              <w:rPr>
                <w:noProof/>
              </w:rPr>
              <w:t>305</w:t>
            </w:r>
          </w:p>
        </w:tc>
        <w:tc>
          <w:tcPr>
            <w:tcW w:w="2057" w:type="dxa"/>
            <w:tcBorders>
              <w:top w:val="single" w:sz="4" w:space="0" w:color="auto"/>
              <w:left w:val="nil"/>
              <w:bottom w:val="single" w:sz="4" w:space="0" w:color="auto"/>
              <w:right w:val="single" w:sz="4" w:space="0" w:color="auto"/>
            </w:tcBorders>
            <w:shd w:val="clear" w:color="auto" w:fill="C6EFCE"/>
            <w:noWrap/>
          </w:tcPr>
          <w:p w14:paraId="6490E3AA" w14:textId="77777777" w:rsidR="00011DE9" w:rsidRDefault="00011DE9">
            <w:pPr>
              <w:pStyle w:val="P68B1DB1-Normal45"/>
              <w:spacing w:after="0" w:line="240" w:lineRule="auto"/>
              <w:rPr>
                <w:noProof/>
              </w:rPr>
            </w:pPr>
            <w:r>
              <w:rPr>
                <w:noProof/>
              </w:rPr>
              <w:t>C21.R2</w:t>
            </w:r>
          </w:p>
        </w:tc>
        <w:tc>
          <w:tcPr>
            <w:tcW w:w="1427" w:type="dxa"/>
            <w:tcBorders>
              <w:top w:val="single" w:sz="4" w:space="0" w:color="auto"/>
              <w:left w:val="nil"/>
              <w:bottom w:val="single" w:sz="4" w:space="0" w:color="auto"/>
              <w:right w:val="single" w:sz="4" w:space="0" w:color="auto"/>
            </w:tcBorders>
            <w:shd w:val="clear" w:color="auto" w:fill="C6EFCE"/>
            <w:noWrap/>
          </w:tcPr>
          <w:p w14:paraId="257AEF77"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7841619F" w14:textId="77777777" w:rsidR="00011DE9" w:rsidRDefault="00011DE9">
            <w:pPr>
              <w:pStyle w:val="P68B1DB1-Normal45"/>
              <w:spacing w:after="0" w:line="240" w:lineRule="auto"/>
              <w:rPr>
                <w:noProof/>
              </w:rPr>
            </w:pPr>
            <w:r>
              <w:rPr>
                <w:noProof/>
              </w:rPr>
              <w:t>Publicarea materialelor didactice, eliberarea certificatelor de formare și participarea experților la elaborarea programei de învățământ sau a cadrelor de evaluare</w:t>
            </w:r>
          </w:p>
        </w:tc>
      </w:tr>
      <w:tr w:rsidR="00011DE9" w14:paraId="595BEA9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7E9FDC6C" w14:textId="77777777" w:rsidR="00011DE9" w:rsidRDefault="00011DE9">
            <w:pPr>
              <w:pStyle w:val="P68B1DB1-Normal45"/>
              <w:spacing w:after="0" w:line="240" w:lineRule="auto"/>
              <w:rPr>
                <w:rFonts w:eastAsia="Times New Roman"/>
                <w:noProof/>
              </w:rPr>
            </w:pPr>
            <w:r>
              <w:rPr>
                <w:noProof/>
              </w:rPr>
              <w:t>310</w:t>
            </w:r>
          </w:p>
        </w:tc>
        <w:tc>
          <w:tcPr>
            <w:tcW w:w="2057" w:type="dxa"/>
            <w:tcBorders>
              <w:top w:val="single" w:sz="4" w:space="0" w:color="auto"/>
              <w:left w:val="nil"/>
              <w:bottom w:val="single" w:sz="4" w:space="0" w:color="auto"/>
              <w:right w:val="single" w:sz="4" w:space="0" w:color="auto"/>
            </w:tcBorders>
            <w:shd w:val="clear" w:color="auto" w:fill="C6EFCE"/>
            <w:noWrap/>
          </w:tcPr>
          <w:p w14:paraId="55D80E19" w14:textId="77777777" w:rsidR="00011DE9" w:rsidRDefault="00011DE9">
            <w:pPr>
              <w:pStyle w:val="P68B1DB1-Normal45"/>
              <w:spacing w:after="0" w:line="240" w:lineRule="auto"/>
              <w:rPr>
                <w:rFonts w:eastAsia="Times New Roman"/>
                <w:noProof/>
              </w:rPr>
            </w:pPr>
            <w:r>
              <w:rPr>
                <w:noProof/>
              </w:rPr>
              <w:t>C21.I2</w:t>
            </w:r>
          </w:p>
        </w:tc>
        <w:tc>
          <w:tcPr>
            <w:tcW w:w="1427" w:type="dxa"/>
            <w:tcBorders>
              <w:top w:val="single" w:sz="4" w:space="0" w:color="auto"/>
              <w:left w:val="nil"/>
              <w:bottom w:val="single" w:sz="4" w:space="0" w:color="auto"/>
              <w:right w:val="single" w:sz="4" w:space="0" w:color="auto"/>
            </w:tcBorders>
            <w:shd w:val="clear" w:color="auto" w:fill="C6EFCE"/>
            <w:noWrap/>
          </w:tcPr>
          <w:p w14:paraId="5CA1C074" w14:textId="77777777" w:rsidR="00011DE9" w:rsidRDefault="00011DE9">
            <w:pPr>
              <w:pStyle w:val="P68B1DB1-Normal45"/>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44610725" w14:textId="77777777" w:rsidR="00011DE9" w:rsidRDefault="00011DE9">
            <w:pPr>
              <w:pStyle w:val="P68B1DB1-Normal45"/>
              <w:spacing w:after="0" w:line="240" w:lineRule="auto"/>
              <w:rPr>
                <w:rFonts w:eastAsia="Times New Roman"/>
                <w:noProof/>
              </w:rPr>
            </w:pPr>
            <w:r>
              <w:rPr>
                <w:noProof/>
              </w:rPr>
              <w:t>Semnarea acordurilor în cadrul programului PROA +</w:t>
            </w:r>
          </w:p>
        </w:tc>
      </w:tr>
      <w:tr w:rsidR="00011DE9" w14:paraId="36826AC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64355A8" w14:textId="77777777" w:rsidR="00011DE9" w:rsidRDefault="00011DE9">
            <w:pPr>
              <w:pStyle w:val="P68B1DB1-Normal45"/>
              <w:spacing w:after="0" w:line="240" w:lineRule="auto"/>
              <w:rPr>
                <w:rFonts w:eastAsia="Times New Roman"/>
                <w:noProof/>
              </w:rPr>
            </w:pPr>
            <w:r>
              <w:rPr>
                <w:noProof/>
              </w:rPr>
              <w:t>313</w:t>
            </w:r>
          </w:p>
        </w:tc>
        <w:tc>
          <w:tcPr>
            <w:tcW w:w="2057" w:type="dxa"/>
            <w:tcBorders>
              <w:top w:val="single" w:sz="4" w:space="0" w:color="auto"/>
              <w:left w:val="nil"/>
              <w:bottom w:val="single" w:sz="4" w:space="0" w:color="auto"/>
              <w:right w:val="single" w:sz="4" w:space="0" w:color="auto"/>
            </w:tcBorders>
            <w:shd w:val="clear" w:color="auto" w:fill="C6EFCE"/>
            <w:noWrap/>
          </w:tcPr>
          <w:p w14:paraId="5039EDB7" w14:textId="77777777" w:rsidR="00011DE9" w:rsidRDefault="00011DE9">
            <w:pPr>
              <w:pStyle w:val="P68B1DB1-Normal45"/>
              <w:spacing w:after="0" w:line="240" w:lineRule="auto"/>
              <w:rPr>
                <w:rFonts w:eastAsia="Times New Roman"/>
                <w:noProof/>
              </w:rPr>
            </w:pPr>
            <w:r>
              <w:rPr>
                <w:noProof/>
              </w:rPr>
              <w:t>C21.I5</w:t>
            </w:r>
          </w:p>
        </w:tc>
        <w:tc>
          <w:tcPr>
            <w:tcW w:w="1427" w:type="dxa"/>
            <w:tcBorders>
              <w:top w:val="single" w:sz="4" w:space="0" w:color="auto"/>
              <w:left w:val="nil"/>
              <w:bottom w:val="single" w:sz="4" w:space="0" w:color="auto"/>
              <w:right w:val="single" w:sz="4" w:space="0" w:color="auto"/>
            </w:tcBorders>
            <w:shd w:val="clear" w:color="auto" w:fill="C6EFCE"/>
            <w:noWrap/>
          </w:tcPr>
          <w:p w14:paraId="59615D98" w14:textId="77777777" w:rsidR="00011DE9" w:rsidRDefault="00011DE9">
            <w:pPr>
              <w:pStyle w:val="P68B1DB1-Normal45"/>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07508170" w14:textId="77777777" w:rsidR="00011DE9" w:rsidRDefault="00011DE9">
            <w:pPr>
              <w:pStyle w:val="P68B1DB1-Normal79"/>
              <w:spacing w:after="0" w:line="240" w:lineRule="auto"/>
              <w:rPr>
                <w:rFonts w:eastAsia="Times New Roman" w:cs="Times New Roman"/>
                <w:noProof/>
              </w:rPr>
            </w:pPr>
            <w:r>
              <w:rPr>
                <w:noProof/>
              </w:rPr>
              <w:t xml:space="preserve">Capacitățile digitale ale universităților și educația </w:t>
            </w:r>
          </w:p>
        </w:tc>
      </w:tr>
      <w:tr w:rsidR="00011DE9" w14:paraId="47F1A3C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446F38A" w14:textId="77777777" w:rsidR="00011DE9" w:rsidRDefault="00011DE9">
            <w:pPr>
              <w:pStyle w:val="P68B1DB1-Normal45"/>
              <w:spacing w:after="0" w:line="240" w:lineRule="auto"/>
              <w:rPr>
                <w:noProof/>
              </w:rPr>
            </w:pPr>
            <w:r>
              <w:rPr>
                <w:noProof/>
              </w:rPr>
              <w:t>316a</w:t>
            </w:r>
          </w:p>
        </w:tc>
        <w:tc>
          <w:tcPr>
            <w:tcW w:w="2057" w:type="dxa"/>
            <w:tcBorders>
              <w:top w:val="single" w:sz="4" w:space="0" w:color="auto"/>
              <w:left w:val="nil"/>
              <w:bottom w:val="single" w:sz="4" w:space="0" w:color="auto"/>
              <w:right w:val="single" w:sz="4" w:space="0" w:color="auto"/>
            </w:tcBorders>
            <w:shd w:val="clear" w:color="auto" w:fill="C6EFCE"/>
            <w:noWrap/>
          </w:tcPr>
          <w:p w14:paraId="70F9C527" w14:textId="77777777" w:rsidR="00011DE9" w:rsidRDefault="00011DE9">
            <w:pPr>
              <w:pStyle w:val="P68B1DB1-Normal45"/>
              <w:spacing w:after="0" w:line="240" w:lineRule="auto"/>
              <w:rPr>
                <w:noProof/>
              </w:rPr>
            </w:pPr>
            <w:r>
              <w:rPr>
                <w:noProof/>
              </w:rPr>
              <w:t>C22.R3</w:t>
            </w:r>
          </w:p>
        </w:tc>
        <w:tc>
          <w:tcPr>
            <w:tcW w:w="1427" w:type="dxa"/>
            <w:tcBorders>
              <w:top w:val="single" w:sz="4" w:space="0" w:color="auto"/>
              <w:left w:val="nil"/>
              <w:bottom w:val="single" w:sz="4" w:space="0" w:color="auto"/>
              <w:right w:val="single" w:sz="4" w:space="0" w:color="auto"/>
            </w:tcBorders>
            <w:shd w:val="clear" w:color="auto" w:fill="C6EFCE"/>
            <w:noWrap/>
          </w:tcPr>
          <w:p w14:paraId="390D6912"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5284B3C6" w14:textId="77777777" w:rsidR="00011DE9" w:rsidRDefault="00011DE9">
            <w:pPr>
              <w:pStyle w:val="P68B1DB1-Normal45"/>
              <w:spacing w:after="0" w:line="240" w:lineRule="auto"/>
              <w:rPr>
                <w:noProof/>
              </w:rPr>
            </w:pPr>
            <w:r>
              <w:rPr>
                <w:noProof/>
              </w:rPr>
              <w:t>Intrarea în vigoare a Decretului-lege regal de prelungire a duratei concediului de naștere și de îngrijire plătit</w:t>
            </w:r>
          </w:p>
        </w:tc>
      </w:tr>
      <w:tr w:rsidR="00011DE9" w14:paraId="60E42FA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C24AB8A" w14:textId="77777777" w:rsidR="00011DE9" w:rsidRDefault="00011DE9">
            <w:pPr>
              <w:pStyle w:val="P68B1DB1-Normal45"/>
              <w:spacing w:after="0" w:line="240" w:lineRule="auto"/>
              <w:rPr>
                <w:noProof/>
              </w:rPr>
            </w:pPr>
            <w:r>
              <w:rPr>
                <w:noProof/>
              </w:rPr>
              <w:t>320a</w:t>
            </w:r>
          </w:p>
        </w:tc>
        <w:tc>
          <w:tcPr>
            <w:tcW w:w="2057" w:type="dxa"/>
            <w:tcBorders>
              <w:top w:val="single" w:sz="4" w:space="0" w:color="auto"/>
              <w:left w:val="nil"/>
              <w:bottom w:val="single" w:sz="4" w:space="0" w:color="auto"/>
              <w:right w:val="single" w:sz="4" w:space="0" w:color="auto"/>
            </w:tcBorders>
            <w:shd w:val="clear" w:color="auto" w:fill="C6EFCE"/>
            <w:noWrap/>
          </w:tcPr>
          <w:p w14:paraId="45D580FC" w14:textId="77777777" w:rsidR="00011DE9" w:rsidRDefault="00011DE9">
            <w:pPr>
              <w:pStyle w:val="P68B1DB1-Normal45"/>
              <w:spacing w:after="0" w:line="240" w:lineRule="auto"/>
              <w:rPr>
                <w:noProof/>
              </w:rPr>
            </w:pPr>
            <w:r>
              <w:rPr>
                <w:noProof/>
              </w:rPr>
              <w:t>C22.R5</w:t>
            </w:r>
          </w:p>
        </w:tc>
        <w:tc>
          <w:tcPr>
            <w:tcW w:w="1427" w:type="dxa"/>
            <w:tcBorders>
              <w:top w:val="single" w:sz="4" w:space="0" w:color="auto"/>
              <w:left w:val="nil"/>
              <w:bottom w:val="single" w:sz="4" w:space="0" w:color="auto"/>
              <w:right w:val="single" w:sz="4" w:space="0" w:color="auto"/>
            </w:tcBorders>
            <w:shd w:val="clear" w:color="auto" w:fill="C6EFCE"/>
            <w:noWrap/>
          </w:tcPr>
          <w:p w14:paraId="2AC211B3"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722DC4CF" w14:textId="77777777" w:rsidR="00011DE9" w:rsidRDefault="00011DE9">
            <w:pPr>
              <w:pStyle w:val="P68B1DB1-Normal45"/>
              <w:spacing w:after="0" w:line="240" w:lineRule="auto"/>
              <w:rPr>
                <w:noProof/>
              </w:rPr>
            </w:pPr>
            <w:r>
              <w:rPr>
                <w:noProof/>
              </w:rPr>
              <w:t>Intrarea în vigoare a actului juridic privind venitul minim de subzistență (IMV).</w:t>
            </w:r>
          </w:p>
        </w:tc>
      </w:tr>
      <w:tr w:rsidR="00011DE9" w14:paraId="18819B0B"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D0546FB" w14:textId="77777777" w:rsidR="00011DE9" w:rsidRDefault="00011DE9">
            <w:pPr>
              <w:pStyle w:val="P68B1DB1-Normal45"/>
              <w:spacing w:after="0" w:line="240" w:lineRule="auto"/>
              <w:rPr>
                <w:noProof/>
              </w:rPr>
            </w:pPr>
            <w:r>
              <w:rPr>
                <w:noProof/>
              </w:rPr>
              <w:t>322</w:t>
            </w:r>
          </w:p>
        </w:tc>
        <w:tc>
          <w:tcPr>
            <w:tcW w:w="2057" w:type="dxa"/>
            <w:tcBorders>
              <w:top w:val="single" w:sz="4" w:space="0" w:color="auto"/>
              <w:left w:val="nil"/>
              <w:bottom w:val="single" w:sz="4" w:space="0" w:color="auto"/>
              <w:right w:val="single" w:sz="4" w:space="0" w:color="auto"/>
            </w:tcBorders>
            <w:shd w:val="clear" w:color="auto" w:fill="C6EFCE"/>
            <w:noWrap/>
          </w:tcPr>
          <w:p w14:paraId="3E80C3D4" w14:textId="77777777" w:rsidR="00011DE9" w:rsidRDefault="00011DE9">
            <w:pPr>
              <w:pStyle w:val="P68B1DB1-Normal45"/>
              <w:spacing w:after="0" w:line="240" w:lineRule="auto"/>
              <w:rPr>
                <w:noProof/>
              </w:rPr>
            </w:pPr>
            <w:r>
              <w:rPr>
                <w:noProof/>
              </w:rPr>
              <w:t>C22.I1</w:t>
            </w:r>
          </w:p>
        </w:tc>
        <w:tc>
          <w:tcPr>
            <w:tcW w:w="1427" w:type="dxa"/>
            <w:tcBorders>
              <w:top w:val="single" w:sz="4" w:space="0" w:color="auto"/>
              <w:left w:val="nil"/>
              <w:bottom w:val="single" w:sz="4" w:space="0" w:color="auto"/>
              <w:right w:val="single" w:sz="4" w:space="0" w:color="auto"/>
            </w:tcBorders>
            <w:shd w:val="clear" w:color="auto" w:fill="C6EFCE"/>
            <w:noWrap/>
          </w:tcPr>
          <w:p w14:paraId="6CE58224" w14:textId="77777777" w:rsidR="00011DE9" w:rsidRDefault="00011DE9">
            <w:pPr>
              <w:pStyle w:val="P68B1DB1-Normal45"/>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3BBE8F06" w14:textId="77777777" w:rsidR="00011DE9" w:rsidRDefault="00011DE9">
            <w:pPr>
              <w:pStyle w:val="P68B1DB1-Normal45"/>
              <w:spacing w:after="0" w:line="240" w:lineRule="auto"/>
              <w:rPr>
                <w:noProof/>
              </w:rPr>
            </w:pPr>
            <w:r>
              <w:rPr>
                <w:noProof/>
              </w:rPr>
              <w:t>Investiții în servicii de telecomunicații</w:t>
            </w:r>
          </w:p>
        </w:tc>
      </w:tr>
      <w:tr w:rsidR="00011DE9" w14:paraId="3F78BA9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F25C1DF" w14:textId="77777777" w:rsidR="00011DE9" w:rsidRDefault="00011DE9">
            <w:pPr>
              <w:pStyle w:val="P68B1DB1-Normal45"/>
              <w:spacing w:after="0" w:line="240" w:lineRule="auto"/>
              <w:rPr>
                <w:noProof/>
              </w:rPr>
            </w:pPr>
            <w:r>
              <w:rPr>
                <w:noProof/>
              </w:rPr>
              <w:t>324</w:t>
            </w:r>
          </w:p>
        </w:tc>
        <w:tc>
          <w:tcPr>
            <w:tcW w:w="2057" w:type="dxa"/>
            <w:tcBorders>
              <w:top w:val="single" w:sz="4" w:space="0" w:color="auto"/>
              <w:left w:val="nil"/>
              <w:bottom w:val="single" w:sz="4" w:space="0" w:color="auto"/>
              <w:right w:val="single" w:sz="4" w:space="0" w:color="auto"/>
            </w:tcBorders>
            <w:shd w:val="clear" w:color="auto" w:fill="C6EFCE"/>
            <w:noWrap/>
          </w:tcPr>
          <w:p w14:paraId="268B6FCA" w14:textId="77777777" w:rsidR="00011DE9" w:rsidRDefault="00011DE9">
            <w:pPr>
              <w:pStyle w:val="P68B1DB1-Normal45"/>
              <w:spacing w:after="0" w:line="240" w:lineRule="auto"/>
              <w:rPr>
                <w:noProof/>
              </w:rPr>
            </w:pPr>
            <w:r>
              <w:rPr>
                <w:noProof/>
              </w:rPr>
              <w:t>C22.I2</w:t>
            </w:r>
          </w:p>
        </w:tc>
        <w:tc>
          <w:tcPr>
            <w:tcW w:w="1427" w:type="dxa"/>
            <w:tcBorders>
              <w:top w:val="single" w:sz="4" w:space="0" w:color="auto"/>
              <w:left w:val="nil"/>
              <w:bottom w:val="single" w:sz="4" w:space="0" w:color="auto"/>
              <w:right w:val="single" w:sz="4" w:space="0" w:color="auto"/>
            </w:tcBorders>
            <w:shd w:val="clear" w:color="auto" w:fill="C6EFCE"/>
            <w:noWrap/>
          </w:tcPr>
          <w:p w14:paraId="4E4C61D0"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635142B3" w14:textId="77777777" w:rsidR="00011DE9" w:rsidRDefault="00011DE9">
            <w:pPr>
              <w:pStyle w:val="P68B1DB1-Normal45"/>
              <w:spacing w:after="0" w:line="240" w:lineRule="auto"/>
              <w:rPr>
                <w:noProof/>
              </w:rPr>
            </w:pPr>
            <w:r>
              <w:rPr>
                <w:noProof/>
              </w:rPr>
              <w:t>Crearea de instrumente tehnologice pentru sistemele de informare și gestionare a serviciilor sociale.</w:t>
            </w:r>
          </w:p>
        </w:tc>
      </w:tr>
      <w:tr w:rsidR="00011DE9" w14:paraId="648C34E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59A624F" w14:textId="77777777" w:rsidR="00011DE9" w:rsidRDefault="00011DE9">
            <w:pPr>
              <w:pStyle w:val="P68B1DB1-Normal45"/>
              <w:spacing w:after="0" w:line="240" w:lineRule="auto"/>
              <w:rPr>
                <w:noProof/>
              </w:rPr>
            </w:pPr>
            <w:r>
              <w:rPr>
                <w:noProof/>
              </w:rPr>
              <w:t>326</w:t>
            </w:r>
          </w:p>
        </w:tc>
        <w:tc>
          <w:tcPr>
            <w:tcW w:w="2057" w:type="dxa"/>
            <w:tcBorders>
              <w:top w:val="single" w:sz="4" w:space="0" w:color="auto"/>
              <w:left w:val="nil"/>
              <w:bottom w:val="single" w:sz="4" w:space="0" w:color="auto"/>
              <w:right w:val="single" w:sz="4" w:space="0" w:color="auto"/>
            </w:tcBorders>
            <w:shd w:val="clear" w:color="auto" w:fill="C6EFCE"/>
            <w:noWrap/>
          </w:tcPr>
          <w:p w14:paraId="5EBA406C" w14:textId="77777777" w:rsidR="00011DE9" w:rsidRDefault="00011DE9">
            <w:pPr>
              <w:pStyle w:val="P68B1DB1-Normal45"/>
              <w:spacing w:after="0" w:line="240" w:lineRule="auto"/>
              <w:rPr>
                <w:noProof/>
              </w:rPr>
            </w:pPr>
            <w:r>
              <w:rPr>
                <w:noProof/>
              </w:rPr>
              <w:t>C22.I3</w:t>
            </w:r>
          </w:p>
        </w:tc>
        <w:tc>
          <w:tcPr>
            <w:tcW w:w="1427" w:type="dxa"/>
            <w:tcBorders>
              <w:top w:val="single" w:sz="4" w:space="0" w:color="auto"/>
              <w:left w:val="nil"/>
              <w:bottom w:val="single" w:sz="4" w:space="0" w:color="auto"/>
              <w:right w:val="single" w:sz="4" w:space="0" w:color="auto"/>
            </w:tcBorders>
            <w:shd w:val="clear" w:color="auto" w:fill="C6EFCE"/>
            <w:noWrap/>
          </w:tcPr>
          <w:p w14:paraId="2A465344" w14:textId="77777777" w:rsidR="00011DE9" w:rsidRDefault="00011DE9">
            <w:pPr>
              <w:pStyle w:val="P68B1DB1-Normal45"/>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66F51DFC" w14:textId="77777777" w:rsidR="00011DE9" w:rsidRDefault="00011DE9">
            <w:pPr>
              <w:pStyle w:val="P68B1DB1-Normal45"/>
              <w:spacing w:after="0" w:line="240" w:lineRule="auto"/>
              <w:rPr>
                <w:noProof/>
              </w:rPr>
            </w:pPr>
            <w:r>
              <w:rPr>
                <w:noProof/>
              </w:rPr>
              <w:t>Investiții în accesibilitate</w:t>
            </w:r>
          </w:p>
        </w:tc>
      </w:tr>
      <w:tr w:rsidR="00011DE9" w14:paraId="655B506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71D71C8B" w14:textId="77777777" w:rsidR="00011DE9" w:rsidRDefault="00011DE9">
            <w:pPr>
              <w:pStyle w:val="P68B1DB1-Normal45"/>
              <w:spacing w:after="0" w:line="240" w:lineRule="auto"/>
              <w:rPr>
                <w:noProof/>
              </w:rPr>
            </w:pPr>
            <w:r>
              <w:rPr>
                <w:noProof/>
              </w:rPr>
              <w:t>327</w:t>
            </w:r>
          </w:p>
        </w:tc>
        <w:tc>
          <w:tcPr>
            <w:tcW w:w="2057" w:type="dxa"/>
            <w:tcBorders>
              <w:top w:val="single" w:sz="4" w:space="0" w:color="auto"/>
              <w:left w:val="nil"/>
              <w:bottom w:val="single" w:sz="4" w:space="0" w:color="auto"/>
              <w:right w:val="single" w:sz="4" w:space="0" w:color="auto"/>
            </w:tcBorders>
            <w:shd w:val="clear" w:color="auto" w:fill="C6EFCE"/>
            <w:noWrap/>
          </w:tcPr>
          <w:p w14:paraId="646F0664" w14:textId="77777777" w:rsidR="00011DE9" w:rsidRDefault="00011DE9">
            <w:pPr>
              <w:pStyle w:val="P68B1DB1-Normal45"/>
              <w:spacing w:after="0" w:line="240" w:lineRule="auto"/>
              <w:rPr>
                <w:noProof/>
              </w:rPr>
            </w:pPr>
            <w:r>
              <w:rPr>
                <w:noProof/>
              </w:rPr>
              <w:t>C22.I4</w:t>
            </w:r>
          </w:p>
        </w:tc>
        <w:tc>
          <w:tcPr>
            <w:tcW w:w="1427" w:type="dxa"/>
            <w:tcBorders>
              <w:top w:val="single" w:sz="4" w:space="0" w:color="auto"/>
              <w:left w:val="nil"/>
              <w:bottom w:val="single" w:sz="4" w:space="0" w:color="auto"/>
              <w:right w:val="single" w:sz="4" w:space="0" w:color="auto"/>
            </w:tcBorders>
            <w:shd w:val="clear" w:color="auto" w:fill="C6EFCE"/>
            <w:noWrap/>
          </w:tcPr>
          <w:p w14:paraId="12551AF3" w14:textId="77777777" w:rsidR="00011DE9" w:rsidRDefault="00011DE9">
            <w:pPr>
              <w:pStyle w:val="P68B1DB1-Normal45"/>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65F78FFA" w14:textId="77777777" w:rsidR="00011DE9" w:rsidRDefault="00011DE9">
            <w:pPr>
              <w:pStyle w:val="P68B1DB1-Normal45"/>
              <w:spacing w:after="0" w:line="240" w:lineRule="auto"/>
              <w:rPr>
                <w:noProof/>
              </w:rPr>
            </w:pPr>
            <w:r>
              <w:rPr>
                <w:noProof/>
              </w:rPr>
              <w:t>Centre pentru victimele violenței sexuale.</w:t>
            </w:r>
          </w:p>
        </w:tc>
      </w:tr>
      <w:tr w:rsidR="00011DE9" w14:paraId="20968C9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7B282614" w14:textId="77777777" w:rsidR="00011DE9" w:rsidRDefault="00011DE9">
            <w:pPr>
              <w:pStyle w:val="P68B1DB1-Normal45"/>
              <w:spacing w:after="0" w:line="240" w:lineRule="auto"/>
              <w:rPr>
                <w:noProof/>
              </w:rPr>
            </w:pPr>
            <w:r>
              <w:rPr>
                <w:noProof/>
              </w:rPr>
              <w:t>346</w:t>
            </w:r>
          </w:p>
        </w:tc>
        <w:tc>
          <w:tcPr>
            <w:tcW w:w="2057" w:type="dxa"/>
            <w:tcBorders>
              <w:top w:val="single" w:sz="4" w:space="0" w:color="auto"/>
              <w:left w:val="nil"/>
              <w:bottom w:val="single" w:sz="4" w:space="0" w:color="auto"/>
              <w:right w:val="single" w:sz="4" w:space="0" w:color="auto"/>
            </w:tcBorders>
            <w:shd w:val="clear" w:color="auto" w:fill="C6EFCE"/>
            <w:noWrap/>
          </w:tcPr>
          <w:p w14:paraId="4E49C2FA" w14:textId="77777777" w:rsidR="00011DE9" w:rsidRDefault="00011DE9">
            <w:pPr>
              <w:pStyle w:val="P68B1DB1-Normal45"/>
              <w:spacing w:after="0" w:line="240" w:lineRule="auto"/>
              <w:rPr>
                <w:noProof/>
              </w:rPr>
            </w:pPr>
            <w:r>
              <w:rPr>
                <w:noProof/>
              </w:rPr>
              <w:t>C23.I4</w:t>
            </w:r>
          </w:p>
        </w:tc>
        <w:tc>
          <w:tcPr>
            <w:tcW w:w="1427" w:type="dxa"/>
            <w:tcBorders>
              <w:top w:val="single" w:sz="4" w:space="0" w:color="auto"/>
              <w:left w:val="nil"/>
              <w:bottom w:val="single" w:sz="4" w:space="0" w:color="auto"/>
              <w:right w:val="single" w:sz="4" w:space="0" w:color="auto"/>
            </w:tcBorders>
            <w:shd w:val="clear" w:color="auto" w:fill="C6EFCE"/>
            <w:noWrap/>
          </w:tcPr>
          <w:p w14:paraId="7EC9D871" w14:textId="77777777" w:rsidR="00011DE9" w:rsidRDefault="00011DE9">
            <w:pPr>
              <w:pStyle w:val="P68B1DB1-Normal45"/>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20816F46" w14:textId="77777777" w:rsidR="00011DE9" w:rsidRDefault="00011DE9">
            <w:pPr>
              <w:pStyle w:val="P68B1DB1-Normal45"/>
              <w:spacing w:after="0" w:line="240" w:lineRule="auto"/>
              <w:rPr>
                <w:noProof/>
              </w:rPr>
            </w:pPr>
            <w:r>
              <w:rPr>
                <w:noProof/>
              </w:rPr>
              <w:t>Proiecte pentru grupurile vulnerabile, antreprenoriat sau microîntreprinderi</w:t>
            </w:r>
          </w:p>
        </w:tc>
      </w:tr>
      <w:tr w:rsidR="00011DE9" w14:paraId="6F98C3E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A9C9DF3" w14:textId="77777777" w:rsidR="00011DE9" w:rsidRDefault="00011DE9">
            <w:pPr>
              <w:pStyle w:val="P68B1DB1-Normal45"/>
              <w:spacing w:after="0" w:line="240" w:lineRule="auto"/>
              <w:rPr>
                <w:noProof/>
              </w:rPr>
            </w:pPr>
            <w:r>
              <w:rPr>
                <w:noProof/>
              </w:rPr>
              <w:t>347</w:t>
            </w:r>
          </w:p>
        </w:tc>
        <w:tc>
          <w:tcPr>
            <w:tcW w:w="2057" w:type="dxa"/>
            <w:tcBorders>
              <w:top w:val="single" w:sz="4" w:space="0" w:color="auto"/>
              <w:left w:val="nil"/>
              <w:bottom w:val="single" w:sz="4" w:space="0" w:color="auto"/>
              <w:right w:val="single" w:sz="4" w:space="0" w:color="auto"/>
            </w:tcBorders>
            <w:shd w:val="clear" w:color="auto" w:fill="C6EFCE"/>
            <w:noWrap/>
          </w:tcPr>
          <w:p w14:paraId="75646158" w14:textId="77777777" w:rsidR="00011DE9" w:rsidRDefault="00011DE9">
            <w:pPr>
              <w:pStyle w:val="P68B1DB1-Normal45"/>
              <w:spacing w:after="0" w:line="240" w:lineRule="auto"/>
              <w:rPr>
                <w:noProof/>
              </w:rPr>
            </w:pPr>
            <w:r>
              <w:rPr>
                <w:noProof/>
              </w:rPr>
              <w:t>C23.I5</w:t>
            </w:r>
          </w:p>
        </w:tc>
        <w:tc>
          <w:tcPr>
            <w:tcW w:w="1427" w:type="dxa"/>
            <w:tcBorders>
              <w:top w:val="single" w:sz="4" w:space="0" w:color="auto"/>
              <w:left w:val="nil"/>
              <w:bottom w:val="single" w:sz="4" w:space="0" w:color="auto"/>
              <w:right w:val="single" w:sz="4" w:space="0" w:color="auto"/>
            </w:tcBorders>
            <w:shd w:val="clear" w:color="auto" w:fill="C6EFCE"/>
            <w:noWrap/>
          </w:tcPr>
          <w:p w14:paraId="26F766A7"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7C29EDE7" w14:textId="77777777" w:rsidR="00011DE9" w:rsidRDefault="00011DE9">
            <w:pPr>
              <w:pStyle w:val="P68B1DB1-Normal45"/>
              <w:spacing w:after="0" w:line="240" w:lineRule="auto"/>
              <w:rPr>
                <w:noProof/>
              </w:rPr>
            </w:pPr>
            <w:r>
              <w:rPr>
                <w:noProof/>
              </w:rPr>
              <w:t>Centre publice de orientare, antreprenoriat, sprijin și inovare pentru ocuparea forței de muncă.</w:t>
            </w:r>
          </w:p>
        </w:tc>
      </w:tr>
      <w:tr w:rsidR="00011DE9" w14:paraId="1726F0A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2A17BF8" w14:textId="77777777" w:rsidR="00011DE9" w:rsidRDefault="00011DE9">
            <w:pPr>
              <w:pStyle w:val="P68B1DB1-Normal45"/>
              <w:spacing w:after="0" w:line="240" w:lineRule="auto"/>
              <w:rPr>
                <w:noProof/>
              </w:rPr>
            </w:pPr>
            <w:r>
              <w:rPr>
                <w:noProof/>
              </w:rPr>
              <w:t>349</w:t>
            </w:r>
          </w:p>
        </w:tc>
        <w:tc>
          <w:tcPr>
            <w:tcW w:w="2057" w:type="dxa"/>
            <w:tcBorders>
              <w:top w:val="single" w:sz="4" w:space="0" w:color="auto"/>
              <w:left w:val="nil"/>
              <w:bottom w:val="single" w:sz="4" w:space="0" w:color="auto"/>
              <w:right w:val="single" w:sz="4" w:space="0" w:color="auto"/>
            </w:tcBorders>
            <w:shd w:val="clear" w:color="auto" w:fill="C6EFCE"/>
            <w:noWrap/>
          </w:tcPr>
          <w:p w14:paraId="181DB256" w14:textId="77777777" w:rsidR="00011DE9" w:rsidRDefault="00011DE9">
            <w:pPr>
              <w:pStyle w:val="P68B1DB1-Normal45"/>
              <w:spacing w:after="0" w:line="240" w:lineRule="auto"/>
              <w:rPr>
                <w:noProof/>
              </w:rPr>
            </w:pPr>
            <w:r>
              <w:rPr>
                <w:noProof/>
              </w:rPr>
              <w:t>C23.I6</w:t>
            </w:r>
          </w:p>
        </w:tc>
        <w:tc>
          <w:tcPr>
            <w:tcW w:w="1427" w:type="dxa"/>
            <w:tcBorders>
              <w:top w:val="single" w:sz="4" w:space="0" w:color="auto"/>
              <w:left w:val="nil"/>
              <w:bottom w:val="single" w:sz="4" w:space="0" w:color="auto"/>
              <w:right w:val="single" w:sz="4" w:space="0" w:color="auto"/>
            </w:tcBorders>
            <w:shd w:val="clear" w:color="auto" w:fill="C6EFCE"/>
            <w:noWrap/>
          </w:tcPr>
          <w:p w14:paraId="464F4D88" w14:textId="77777777" w:rsidR="00011DE9" w:rsidRDefault="00011DE9">
            <w:pPr>
              <w:pStyle w:val="P68B1DB1-Normal45"/>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6B5E2E66" w14:textId="3AEDF95A" w:rsidR="00011DE9" w:rsidRDefault="00011DE9">
            <w:pPr>
              <w:pStyle w:val="P68B1DB1-Normal45"/>
              <w:spacing w:after="0" w:line="240" w:lineRule="auto"/>
              <w:rPr>
                <w:noProof/>
              </w:rPr>
            </w:pPr>
            <w:r>
              <w:rPr>
                <w:noProof/>
              </w:rPr>
              <w:t>Proiecte privind programele TRANSFORMA_ES, INICIATIVA_ES, IMPULSA-TEC, ALIANZA_ES și SOSTENIBLE_ES</w:t>
            </w:r>
            <w:r w:rsidR="00971820">
              <w:rPr>
                <w:noProof/>
              </w:rPr>
              <w:t xml:space="preserve"> </w:t>
            </w:r>
          </w:p>
        </w:tc>
      </w:tr>
      <w:tr w:rsidR="00011DE9" w14:paraId="0AE1C65B"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BEAD1DE" w14:textId="77777777" w:rsidR="00011DE9" w:rsidRDefault="00011DE9">
            <w:pPr>
              <w:pStyle w:val="P68B1DB1-Normal45"/>
              <w:spacing w:after="0" w:line="240" w:lineRule="auto"/>
              <w:rPr>
                <w:noProof/>
              </w:rPr>
            </w:pPr>
            <w:r>
              <w:rPr>
                <w:noProof/>
              </w:rPr>
              <w:t>351</w:t>
            </w:r>
          </w:p>
        </w:tc>
        <w:tc>
          <w:tcPr>
            <w:tcW w:w="2057" w:type="dxa"/>
            <w:tcBorders>
              <w:top w:val="single" w:sz="4" w:space="0" w:color="auto"/>
              <w:left w:val="nil"/>
              <w:bottom w:val="single" w:sz="4" w:space="0" w:color="auto"/>
              <w:right w:val="single" w:sz="4" w:space="0" w:color="auto"/>
            </w:tcBorders>
            <w:shd w:val="clear" w:color="auto" w:fill="C6EFCE"/>
            <w:noWrap/>
          </w:tcPr>
          <w:p w14:paraId="0A820905" w14:textId="77777777" w:rsidR="00011DE9" w:rsidRDefault="00011DE9">
            <w:pPr>
              <w:pStyle w:val="P68B1DB1-Normal45"/>
              <w:spacing w:after="0" w:line="240" w:lineRule="auto"/>
              <w:rPr>
                <w:noProof/>
              </w:rPr>
            </w:pPr>
            <w:r>
              <w:rPr>
                <w:noProof/>
              </w:rPr>
              <w:t>C23.I7</w:t>
            </w:r>
          </w:p>
        </w:tc>
        <w:tc>
          <w:tcPr>
            <w:tcW w:w="1427" w:type="dxa"/>
            <w:tcBorders>
              <w:top w:val="single" w:sz="4" w:space="0" w:color="auto"/>
              <w:left w:val="nil"/>
              <w:bottom w:val="single" w:sz="4" w:space="0" w:color="auto"/>
              <w:right w:val="single" w:sz="4" w:space="0" w:color="auto"/>
            </w:tcBorders>
            <w:shd w:val="clear" w:color="auto" w:fill="C6EFCE"/>
            <w:noWrap/>
          </w:tcPr>
          <w:p w14:paraId="39A0B05A"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649A34A0" w14:textId="77777777" w:rsidR="00011DE9" w:rsidRDefault="00011DE9">
            <w:pPr>
              <w:pStyle w:val="P68B1DB1-Normal45"/>
              <w:spacing w:after="0" w:line="240" w:lineRule="auto"/>
              <w:rPr>
                <w:noProof/>
              </w:rPr>
            </w:pPr>
            <w:r>
              <w:rPr>
                <w:noProof/>
              </w:rPr>
              <w:t>Raport de evaluare privind rezultatele proiectelor-pilot legate de sistemul de venit minim sau de grupurile vulnerabile</w:t>
            </w:r>
          </w:p>
        </w:tc>
      </w:tr>
      <w:tr w:rsidR="00011DE9" w14:paraId="4100D6B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2833793" w14:textId="77777777" w:rsidR="00011DE9" w:rsidRDefault="00011DE9">
            <w:pPr>
              <w:pStyle w:val="P68B1DB1-Normal45"/>
              <w:spacing w:after="0" w:line="240" w:lineRule="auto"/>
              <w:rPr>
                <w:noProof/>
              </w:rPr>
            </w:pPr>
            <w:r>
              <w:rPr>
                <w:noProof/>
              </w:rPr>
              <w:t>355</w:t>
            </w:r>
          </w:p>
        </w:tc>
        <w:tc>
          <w:tcPr>
            <w:tcW w:w="2057" w:type="dxa"/>
            <w:tcBorders>
              <w:top w:val="single" w:sz="4" w:space="0" w:color="auto"/>
              <w:left w:val="nil"/>
              <w:bottom w:val="single" w:sz="4" w:space="0" w:color="auto"/>
              <w:right w:val="single" w:sz="4" w:space="0" w:color="auto"/>
            </w:tcBorders>
            <w:shd w:val="clear" w:color="auto" w:fill="C6EFCE"/>
            <w:noWrap/>
          </w:tcPr>
          <w:p w14:paraId="4EF7C3D0" w14:textId="77777777" w:rsidR="00011DE9" w:rsidRDefault="00011DE9">
            <w:pPr>
              <w:pStyle w:val="P68B1DB1-Normal45"/>
              <w:spacing w:after="0" w:line="240" w:lineRule="auto"/>
              <w:rPr>
                <w:noProof/>
              </w:rPr>
            </w:pPr>
            <w:r>
              <w:rPr>
                <w:noProof/>
              </w:rPr>
              <w:t>C24.I2</w:t>
            </w:r>
          </w:p>
        </w:tc>
        <w:tc>
          <w:tcPr>
            <w:tcW w:w="1427" w:type="dxa"/>
            <w:tcBorders>
              <w:top w:val="single" w:sz="4" w:space="0" w:color="auto"/>
              <w:left w:val="nil"/>
              <w:bottom w:val="single" w:sz="4" w:space="0" w:color="auto"/>
              <w:right w:val="single" w:sz="4" w:space="0" w:color="auto"/>
            </w:tcBorders>
            <w:shd w:val="clear" w:color="auto" w:fill="C6EFCE"/>
            <w:noWrap/>
          </w:tcPr>
          <w:p w14:paraId="121FF25C" w14:textId="77777777" w:rsidR="00011DE9" w:rsidRDefault="00011DE9">
            <w:pPr>
              <w:pStyle w:val="P68B1DB1-Normal45"/>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6EA16732" w14:textId="77777777" w:rsidR="00011DE9" w:rsidRDefault="00011DE9">
            <w:pPr>
              <w:pStyle w:val="P68B1DB1-Normal45"/>
              <w:spacing w:after="0" w:line="240" w:lineRule="auto"/>
              <w:rPr>
                <w:noProof/>
              </w:rPr>
            </w:pPr>
            <w:r>
              <w:rPr>
                <w:noProof/>
              </w:rPr>
              <w:t>Modernizarea și gestionarea durabilă a infrastructurii artelor spectacolului și a artelor muzicale</w:t>
            </w:r>
          </w:p>
        </w:tc>
      </w:tr>
      <w:tr w:rsidR="00011DE9" w14:paraId="5443A41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839CD2C" w14:textId="77777777" w:rsidR="00011DE9" w:rsidRDefault="00011DE9">
            <w:pPr>
              <w:pStyle w:val="P68B1DB1-Normal45"/>
              <w:spacing w:after="0" w:line="240" w:lineRule="auto"/>
              <w:rPr>
                <w:noProof/>
              </w:rPr>
            </w:pPr>
            <w:r>
              <w:rPr>
                <w:noProof/>
              </w:rPr>
              <w:t>359</w:t>
            </w:r>
          </w:p>
        </w:tc>
        <w:tc>
          <w:tcPr>
            <w:tcW w:w="2057" w:type="dxa"/>
            <w:tcBorders>
              <w:top w:val="single" w:sz="4" w:space="0" w:color="auto"/>
              <w:left w:val="nil"/>
              <w:bottom w:val="single" w:sz="4" w:space="0" w:color="auto"/>
              <w:right w:val="single" w:sz="4" w:space="0" w:color="auto"/>
            </w:tcBorders>
            <w:shd w:val="clear" w:color="auto" w:fill="C6EFCE"/>
            <w:noWrap/>
          </w:tcPr>
          <w:p w14:paraId="3C80EEA5" w14:textId="77777777" w:rsidR="00011DE9" w:rsidRDefault="00011DE9">
            <w:pPr>
              <w:pStyle w:val="P68B1DB1-Normal45"/>
              <w:spacing w:after="0" w:line="240" w:lineRule="auto"/>
              <w:rPr>
                <w:noProof/>
              </w:rPr>
            </w:pPr>
            <w:r>
              <w:rPr>
                <w:noProof/>
              </w:rPr>
              <w:t>C24.I2</w:t>
            </w:r>
          </w:p>
        </w:tc>
        <w:tc>
          <w:tcPr>
            <w:tcW w:w="1427" w:type="dxa"/>
            <w:tcBorders>
              <w:top w:val="single" w:sz="4" w:space="0" w:color="auto"/>
              <w:left w:val="nil"/>
              <w:bottom w:val="single" w:sz="4" w:space="0" w:color="auto"/>
              <w:right w:val="single" w:sz="4" w:space="0" w:color="auto"/>
            </w:tcBorders>
            <w:shd w:val="clear" w:color="auto" w:fill="C6EFCE"/>
            <w:noWrap/>
          </w:tcPr>
          <w:p w14:paraId="39500BBB" w14:textId="77777777" w:rsidR="00011DE9" w:rsidRDefault="00011DE9">
            <w:pPr>
              <w:pStyle w:val="P68B1DB1-Normal45"/>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4EDECBF7" w14:textId="77777777" w:rsidR="00011DE9" w:rsidRDefault="00011DE9">
            <w:pPr>
              <w:pStyle w:val="P68B1DB1-Normal45"/>
              <w:spacing w:after="0" w:line="240" w:lineRule="auto"/>
              <w:rPr>
                <w:noProof/>
              </w:rPr>
            </w:pPr>
            <w:r>
              <w:rPr>
                <w:noProof/>
              </w:rPr>
              <w:t>Stimularea inițiativelor culturale și creative</w:t>
            </w:r>
          </w:p>
        </w:tc>
      </w:tr>
      <w:tr w:rsidR="00011DE9" w14:paraId="4C1D42E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1F9D1C7" w14:textId="77777777" w:rsidR="00011DE9" w:rsidRDefault="00011DE9">
            <w:pPr>
              <w:pStyle w:val="P68B1DB1-Normal45"/>
              <w:spacing w:after="0" w:line="240" w:lineRule="auto"/>
              <w:rPr>
                <w:noProof/>
              </w:rPr>
            </w:pPr>
            <w:r>
              <w:rPr>
                <w:noProof/>
              </w:rPr>
              <w:t>375</w:t>
            </w:r>
          </w:p>
        </w:tc>
        <w:tc>
          <w:tcPr>
            <w:tcW w:w="2057" w:type="dxa"/>
            <w:tcBorders>
              <w:top w:val="single" w:sz="4" w:space="0" w:color="auto"/>
              <w:left w:val="nil"/>
              <w:bottom w:val="single" w:sz="4" w:space="0" w:color="auto"/>
              <w:right w:val="single" w:sz="4" w:space="0" w:color="auto"/>
            </w:tcBorders>
            <w:shd w:val="clear" w:color="auto" w:fill="C6EFCE"/>
            <w:noWrap/>
          </w:tcPr>
          <w:p w14:paraId="27F1A293" w14:textId="77777777" w:rsidR="00011DE9" w:rsidRDefault="00011DE9">
            <w:pPr>
              <w:pStyle w:val="P68B1DB1-Normal45"/>
              <w:spacing w:after="0" w:line="240" w:lineRule="auto"/>
              <w:rPr>
                <w:noProof/>
              </w:rPr>
            </w:pPr>
            <w:r>
              <w:rPr>
                <w:noProof/>
              </w:rPr>
              <w:t>C26.I3</w:t>
            </w:r>
          </w:p>
        </w:tc>
        <w:tc>
          <w:tcPr>
            <w:tcW w:w="1427" w:type="dxa"/>
            <w:tcBorders>
              <w:top w:val="single" w:sz="4" w:space="0" w:color="auto"/>
              <w:left w:val="nil"/>
              <w:bottom w:val="single" w:sz="4" w:space="0" w:color="auto"/>
              <w:right w:val="single" w:sz="4" w:space="0" w:color="auto"/>
            </w:tcBorders>
            <w:shd w:val="clear" w:color="auto" w:fill="C6EFCE"/>
            <w:noWrap/>
          </w:tcPr>
          <w:p w14:paraId="7BF6AEBA"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419A00CB" w14:textId="77777777" w:rsidR="00011DE9" w:rsidRDefault="00011DE9">
            <w:pPr>
              <w:pStyle w:val="P68B1DB1-Normal15"/>
              <w:spacing w:after="0" w:line="240" w:lineRule="auto"/>
              <w:rPr>
                <w:noProof/>
                <w:sz w:val="20"/>
                <w:szCs w:val="20"/>
              </w:rPr>
            </w:pPr>
            <w:r>
              <w:rPr>
                <w:noProof/>
              </w:rPr>
              <w:t>Activități legate de sport</w:t>
            </w:r>
          </w:p>
        </w:tc>
      </w:tr>
      <w:tr w:rsidR="00011DE9" w14:paraId="0722203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99BE1D3" w14:textId="77777777" w:rsidR="00011DE9" w:rsidRDefault="00011DE9">
            <w:pPr>
              <w:pStyle w:val="P68B1DB1-Normal45"/>
              <w:spacing w:after="0" w:line="240" w:lineRule="auto"/>
              <w:rPr>
                <w:noProof/>
              </w:rPr>
            </w:pPr>
            <w:r>
              <w:rPr>
                <w:noProof/>
              </w:rPr>
              <w:t>480</w:t>
            </w:r>
          </w:p>
        </w:tc>
        <w:tc>
          <w:tcPr>
            <w:tcW w:w="2057" w:type="dxa"/>
            <w:tcBorders>
              <w:top w:val="single" w:sz="4" w:space="0" w:color="auto"/>
              <w:left w:val="nil"/>
              <w:bottom w:val="single" w:sz="4" w:space="0" w:color="auto"/>
              <w:right w:val="single" w:sz="4" w:space="0" w:color="auto"/>
            </w:tcBorders>
            <w:shd w:val="clear" w:color="auto" w:fill="C6EFCE"/>
            <w:noWrap/>
          </w:tcPr>
          <w:p w14:paraId="0C330996" w14:textId="77777777" w:rsidR="00011DE9" w:rsidRDefault="00011DE9">
            <w:pPr>
              <w:pStyle w:val="P68B1DB1-Normal45"/>
              <w:spacing w:after="0" w:line="240" w:lineRule="auto"/>
              <w:rPr>
                <w:noProof/>
              </w:rPr>
            </w:pPr>
            <w:r>
              <w:rPr>
                <w:noProof/>
              </w:rPr>
              <w:t>C31.I2</w:t>
            </w:r>
          </w:p>
        </w:tc>
        <w:tc>
          <w:tcPr>
            <w:tcW w:w="1427" w:type="dxa"/>
            <w:tcBorders>
              <w:top w:val="single" w:sz="4" w:space="0" w:color="auto"/>
              <w:left w:val="nil"/>
              <w:bottom w:val="single" w:sz="4" w:space="0" w:color="auto"/>
              <w:right w:val="single" w:sz="4" w:space="0" w:color="auto"/>
            </w:tcBorders>
            <w:shd w:val="clear" w:color="auto" w:fill="C6EFCE"/>
            <w:noWrap/>
          </w:tcPr>
          <w:p w14:paraId="1D03803C"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2A5B2EE0" w14:textId="77777777" w:rsidR="00011DE9" w:rsidRDefault="00011DE9">
            <w:pPr>
              <w:pStyle w:val="P68B1DB1-Normal45"/>
              <w:spacing w:after="0" w:line="240" w:lineRule="auto"/>
              <w:rPr>
                <w:noProof/>
              </w:rPr>
            </w:pPr>
            <w:r>
              <w:rPr>
                <w:noProof/>
              </w:rPr>
              <w:t>Schema de sprijin pentru hidrogenul din surse regenerabile: Instituirea sistemului</w:t>
            </w:r>
          </w:p>
        </w:tc>
      </w:tr>
      <w:tr w:rsidR="00011DE9" w14:paraId="6589B34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33BAE55" w14:textId="77777777" w:rsidR="00011DE9" w:rsidRDefault="00011DE9">
            <w:pPr>
              <w:pStyle w:val="P68B1DB1-Normal45"/>
              <w:spacing w:after="0" w:line="240" w:lineRule="auto"/>
              <w:rPr>
                <w:noProof/>
              </w:rPr>
            </w:pPr>
            <w:r>
              <w:rPr>
                <w:noProof/>
              </w:rPr>
              <w:t>484</w:t>
            </w:r>
          </w:p>
        </w:tc>
        <w:tc>
          <w:tcPr>
            <w:tcW w:w="2057" w:type="dxa"/>
            <w:tcBorders>
              <w:top w:val="single" w:sz="4" w:space="0" w:color="auto"/>
              <w:left w:val="nil"/>
              <w:bottom w:val="single" w:sz="4" w:space="0" w:color="auto"/>
              <w:right w:val="single" w:sz="4" w:space="0" w:color="auto"/>
            </w:tcBorders>
            <w:shd w:val="clear" w:color="auto" w:fill="C6EFCE"/>
            <w:noWrap/>
          </w:tcPr>
          <w:p w14:paraId="639BDB7A" w14:textId="77777777" w:rsidR="00011DE9" w:rsidRDefault="00011DE9">
            <w:pPr>
              <w:pStyle w:val="P68B1DB1-Normal45"/>
              <w:spacing w:after="0" w:line="240" w:lineRule="auto"/>
              <w:rPr>
                <w:noProof/>
              </w:rPr>
            </w:pPr>
            <w:r>
              <w:rPr>
                <w:noProof/>
              </w:rPr>
              <w:t>C31.I3</w:t>
            </w:r>
          </w:p>
        </w:tc>
        <w:tc>
          <w:tcPr>
            <w:tcW w:w="1427" w:type="dxa"/>
            <w:tcBorders>
              <w:top w:val="single" w:sz="4" w:space="0" w:color="auto"/>
              <w:left w:val="nil"/>
              <w:bottom w:val="single" w:sz="4" w:space="0" w:color="auto"/>
              <w:right w:val="single" w:sz="4" w:space="0" w:color="auto"/>
            </w:tcBorders>
            <w:shd w:val="clear" w:color="auto" w:fill="C6EFCE"/>
            <w:noWrap/>
          </w:tcPr>
          <w:p w14:paraId="6D3FC709"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42C39DCE" w14:textId="77777777" w:rsidR="00011DE9" w:rsidRDefault="00011DE9">
            <w:pPr>
              <w:pStyle w:val="P68B1DB1-Normal45"/>
              <w:spacing w:after="0" w:line="240" w:lineRule="auto"/>
              <w:rPr>
                <w:noProof/>
              </w:rPr>
            </w:pPr>
            <w:r>
              <w:rPr>
                <w:noProof/>
              </w:rPr>
              <w:t>Schema de sprijin pentru decarbonizarea sectorului industrial și a lanțului valoric: Instituirea sistemului</w:t>
            </w:r>
          </w:p>
        </w:tc>
      </w:tr>
      <w:tr w:rsidR="00011DE9" w14:paraId="3A4C69E4"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EAFF459" w14:textId="77777777" w:rsidR="00011DE9" w:rsidRDefault="00011DE9">
            <w:pPr>
              <w:pStyle w:val="P68B1DB1-Normal45"/>
              <w:spacing w:after="0" w:line="240" w:lineRule="auto"/>
              <w:rPr>
                <w:noProof/>
              </w:rPr>
            </w:pPr>
            <w:r>
              <w:rPr>
                <w:noProof/>
              </w:rPr>
              <w:t>494</w:t>
            </w:r>
          </w:p>
        </w:tc>
        <w:tc>
          <w:tcPr>
            <w:tcW w:w="2057" w:type="dxa"/>
            <w:tcBorders>
              <w:top w:val="single" w:sz="4" w:space="0" w:color="auto"/>
              <w:left w:val="nil"/>
              <w:bottom w:val="single" w:sz="4" w:space="0" w:color="auto"/>
              <w:right w:val="single" w:sz="4" w:space="0" w:color="auto"/>
            </w:tcBorders>
            <w:shd w:val="clear" w:color="auto" w:fill="C6EFCE"/>
            <w:noWrap/>
          </w:tcPr>
          <w:p w14:paraId="6F3DEBB2" w14:textId="77777777" w:rsidR="00011DE9" w:rsidRDefault="00011DE9">
            <w:pPr>
              <w:pStyle w:val="P68B1DB1-Normal45"/>
              <w:spacing w:after="0" w:line="240" w:lineRule="auto"/>
              <w:rPr>
                <w:noProof/>
              </w:rPr>
            </w:pPr>
            <w:r>
              <w:rPr>
                <w:noProof/>
              </w:rPr>
              <w:t>C31.I6</w:t>
            </w:r>
          </w:p>
        </w:tc>
        <w:tc>
          <w:tcPr>
            <w:tcW w:w="1427" w:type="dxa"/>
            <w:tcBorders>
              <w:top w:val="single" w:sz="4" w:space="0" w:color="auto"/>
              <w:left w:val="nil"/>
              <w:bottom w:val="single" w:sz="4" w:space="0" w:color="auto"/>
              <w:right w:val="single" w:sz="4" w:space="0" w:color="auto"/>
            </w:tcBorders>
            <w:shd w:val="clear" w:color="auto" w:fill="C6EFCE"/>
            <w:noWrap/>
          </w:tcPr>
          <w:p w14:paraId="35880520"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3E396109" w14:textId="77777777" w:rsidR="00011DE9" w:rsidRDefault="00011DE9">
            <w:pPr>
              <w:pStyle w:val="P68B1DB1-Normal45"/>
              <w:spacing w:after="0" w:line="240" w:lineRule="auto"/>
              <w:rPr>
                <w:noProof/>
              </w:rPr>
            </w:pPr>
            <w:r>
              <w:rPr>
                <w:noProof/>
              </w:rPr>
              <w:t>Schema de subvenții pentru decarbonizarea industrială: Transformarea SEPIDES în întreprindere publică</w:t>
            </w:r>
          </w:p>
        </w:tc>
      </w:tr>
      <w:tr w:rsidR="00011DE9" w14:paraId="4E577D9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0871E94" w14:textId="77777777" w:rsidR="00011DE9" w:rsidRDefault="00011DE9">
            <w:pPr>
              <w:pStyle w:val="P68B1DB1-Normal45"/>
              <w:spacing w:after="0" w:line="240" w:lineRule="auto"/>
              <w:rPr>
                <w:noProof/>
              </w:rPr>
            </w:pPr>
            <w:r>
              <w:rPr>
                <w:noProof/>
              </w:rPr>
              <w:t>495</w:t>
            </w:r>
          </w:p>
        </w:tc>
        <w:tc>
          <w:tcPr>
            <w:tcW w:w="2057" w:type="dxa"/>
            <w:tcBorders>
              <w:top w:val="single" w:sz="4" w:space="0" w:color="auto"/>
              <w:left w:val="nil"/>
              <w:bottom w:val="single" w:sz="4" w:space="0" w:color="auto"/>
              <w:right w:val="single" w:sz="4" w:space="0" w:color="auto"/>
            </w:tcBorders>
            <w:shd w:val="clear" w:color="auto" w:fill="C6EFCE"/>
            <w:noWrap/>
          </w:tcPr>
          <w:p w14:paraId="7AACE9EE" w14:textId="77777777" w:rsidR="00011DE9" w:rsidRDefault="00011DE9">
            <w:pPr>
              <w:pStyle w:val="P68B1DB1-Normal45"/>
              <w:spacing w:after="0" w:line="240" w:lineRule="auto"/>
              <w:rPr>
                <w:noProof/>
              </w:rPr>
            </w:pPr>
            <w:r>
              <w:rPr>
                <w:noProof/>
              </w:rPr>
              <w:t>C31.I6</w:t>
            </w:r>
          </w:p>
        </w:tc>
        <w:tc>
          <w:tcPr>
            <w:tcW w:w="1427" w:type="dxa"/>
            <w:tcBorders>
              <w:top w:val="single" w:sz="4" w:space="0" w:color="auto"/>
              <w:left w:val="nil"/>
              <w:bottom w:val="single" w:sz="4" w:space="0" w:color="auto"/>
              <w:right w:val="single" w:sz="4" w:space="0" w:color="auto"/>
            </w:tcBorders>
            <w:shd w:val="clear" w:color="auto" w:fill="C6EFCE"/>
            <w:noWrap/>
          </w:tcPr>
          <w:p w14:paraId="56974B51" w14:textId="77777777" w:rsidR="00011DE9" w:rsidRDefault="00011DE9">
            <w:pPr>
              <w:pStyle w:val="P68B1DB1-Normal45"/>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05314602" w14:textId="77777777" w:rsidR="00011DE9" w:rsidRDefault="00011DE9">
            <w:pPr>
              <w:pStyle w:val="P68B1DB1-Normal45"/>
              <w:spacing w:after="0" w:line="240" w:lineRule="auto"/>
              <w:rPr>
                <w:noProof/>
              </w:rPr>
            </w:pPr>
            <w:r>
              <w:rPr>
                <w:noProof/>
              </w:rPr>
              <w:t>Schema de subvenții pentru decarbonizarea industrială: Instituirea sistemului</w:t>
            </w:r>
          </w:p>
        </w:tc>
      </w:tr>
      <w:tr w:rsidR="00011DE9" w14:paraId="2E799ED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78D80E" w14:textId="77777777" w:rsidR="00011DE9" w:rsidRDefault="00011DE9">
            <w:pPr>
              <w:spacing w:after="0" w:line="240" w:lineRule="auto"/>
              <w:rPr>
                <w:rFonts w:ascii="Times New Roman" w:eastAsia="Times New Roman" w:hAnsi="Times New Roman" w:cs="Times New Roman"/>
                <w:noProof/>
                <w:sz w:val="20"/>
                <w:szCs w:val="20"/>
              </w:rPr>
            </w:pP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70054349" w14:textId="77777777" w:rsidR="00011DE9" w:rsidRDefault="00011DE9">
            <w:pPr>
              <w:spacing w:after="0" w:line="240" w:lineRule="auto"/>
              <w:rPr>
                <w:rFonts w:ascii="Times New Roman" w:eastAsia="Times New Roman" w:hAnsi="Times New Roman" w:cs="Times New Roman"/>
                <w:noProof/>
                <w:sz w:val="20"/>
                <w:szCs w:val="20"/>
              </w:rPr>
            </w:pPr>
          </w:p>
        </w:tc>
        <w:tc>
          <w:tcPr>
            <w:tcW w:w="1427" w:type="dxa"/>
            <w:tcBorders>
              <w:top w:val="single" w:sz="4" w:space="0" w:color="auto"/>
              <w:left w:val="nil"/>
              <w:bottom w:val="single" w:sz="4" w:space="0" w:color="auto"/>
              <w:right w:val="single" w:sz="4" w:space="0" w:color="auto"/>
            </w:tcBorders>
            <w:shd w:val="clear" w:color="auto" w:fill="C6EFCE"/>
            <w:noWrap/>
            <w:vAlign w:val="bottom"/>
          </w:tcPr>
          <w:p w14:paraId="14F33C30" w14:textId="77777777" w:rsidR="00011DE9" w:rsidRDefault="00011DE9">
            <w:pPr>
              <w:pStyle w:val="P68B1DB1-Normal77"/>
              <w:spacing w:after="0" w:line="240" w:lineRule="auto"/>
              <w:rPr>
                <w:rFonts w:eastAsia="Times New Roman" w:cs="Times New Roman"/>
                <w:noProof/>
                <w:szCs w:val="20"/>
              </w:rPr>
            </w:pPr>
            <w:r>
              <w:rPr>
                <w:noProof/>
              </w:rPr>
              <w:t>Cuantumul tranșei</w:t>
            </w:r>
          </w:p>
        </w:tc>
        <w:tc>
          <w:tcPr>
            <w:tcW w:w="4879" w:type="dxa"/>
            <w:tcBorders>
              <w:top w:val="single" w:sz="4" w:space="0" w:color="auto"/>
              <w:left w:val="nil"/>
              <w:bottom w:val="single" w:sz="4" w:space="0" w:color="auto"/>
              <w:right w:val="single" w:sz="4" w:space="0" w:color="auto"/>
            </w:tcBorders>
            <w:shd w:val="clear" w:color="auto" w:fill="C6EFCE"/>
            <w:noWrap/>
            <w:vAlign w:val="bottom"/>
          </w:tcPr>
          <w:p w14:paraId="5258A9DF" w14:textId="1A85A889" w:rsidR="00011DE9" w:rsidRDefault="00011DE9">
            <w:pPr>
              <w:spacing w:after="0" w:line="240" w:lineRule="auto"/>
              <w:rPr>
                <w:rFonts w:ascii="Times New Roman" w:eastAsia="Times New Roman" w:hAnsi="Times New Roman" w:cs="Times New Roman"/>
                <w:b/>
                <w:bCs/>
                <w:noProof/>
                <w:sz w:val="20"/>
                <w:szCs w:val="20"/>
              </w:rPr>
            </w:pPr>
            <w:r>
              <w:rPr>
                <w:rFonts w:ascii="Times New Roman" w:hAnsi="Times New Roman"/>
                <w:b/>
                <w:noProof/>
                <w:sz w:val="20"/>
              </w:rPr>
              <w:t>6</w:t>
            </w:r>
            <w:r>
              <w:rPr>
                <w:noProof/>
              </w:rPr>
              <w:t xml:space="preserve"> 204 780 929 MIL.</w:t>
            </w:r>
            <w:r w:rsidR="00971820">
              <w:rPr>
                <w:rFonts w:ascii="Times New Roman" w:hAnsi="Times New Roman"/>
                <w:noProof/>
                <w:sz w:val="20"/>
              </w:rPr>
              <w:t xml:space="preserve"> </w:t>
            </w:r>
            <w:r>
              <w:rPr>
                <w:rFonts w:ascii="Times New Roman" w:hAnsi="Times New Roman"/>
                <w:b/>
                <w:noProof/>
                <w:sz w:val="20"/>
              </w:rPr>
              <w:t xml:space="preserve"> </w:t>
            </w:r>
          </w:p>
        </w:tc>
      </w:tr>
    </w:tbl>
    <w:p w14:paraId="0ACF54E2" w14:textId="77777777" w:rsidR="00011DE9" w:rsidRDefault="00011DE9">
      <w:pPr>
        <w:spacing w:before="120" w:after="120" w:line="240" w:lineRule="auto"/>
        <w:ind w:left="850"/>
        <w:jc w:val="both"/>
        <w:rPr>
          <w:rFonts w:ascii="Times New Roman" w:eastAsia="Calibri" w:hAnsi="Times New Roman" w:cs="Times New Roman"/>
          <w:noProof/>
        </w:rPr>
      </w:pPr>
    </w:p>
    <w:p w14:paraId="4EF80D1C" w14:textId="77777777" w:rsidR="00011DE9" w:rsidRDefault="00011DE9">
      <w:pPr>
        <w:pStyle w:val="P68B1DB1-Normal16"/>
        <w:numPr>
          <w:ilvl w:val="1"/>
          <w:numId w:val="18"/>
        </w:numPr>
        <w:tabs>
          <w:tab w:val="clear" w:pos="6236"/>
          <w:tab w:val="num" w:pos="850"/>
        </w:tabs>
        <w:spacing w:before="120" w:after="120" w:line="240" w:lineRule="auto"/>
        <w:ind w:left="850"/>
        <w:jc w:val="both"/>
        <w:rPr>
          <w:rFonts w:cs="Times New Roman"/>
          <w:noProof/>
        </w:rPr>
      </w:pPr>
      <w:r>
        <w:rPr>
          <w:noProof/>
        </w:rPr>
        <w:t xml:space="preserve">A șaptea tranșă (sprijin nerambursabil): </w:t>
      </w:r>
    </w:p>
    <w:tbl>
      <w:tblPr>
        <w:tblW w:w="9923" w:type="dxa"/>
        <w:tblInd w:w="-289" w:type="dxa"/>
        <w:tblLook w:val="04A0" w:firstRow="1" w:lastRow="0" w:firstColumn="1" w:lastColumn="0" w:noHBand="0" w:noVBand="1"/>
      </w:tblPr>
      <w:tblGrid>
        <w:gridCol w:w="1560"/>
        <w:gridCol w:w="1985"/>
        <w:gridCol w:w="2268"/>
        <w:gridCol w:w="4110"/>
      </w:tblGrid>
      <w:tr w:rsidR="00011DE9" w14:paraId="725516BD" w14:textId="77777777">
        <w:trPr>
          <w:trHeight w:val="1415"/>
          <w:tblHeader/>
        </w:trPr>
        <w:tc>
          <w:tcPr>
            <w:tcW w:w="15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D1BCF0E" w14:textId="77777777" w:rsidR="00011DE9" w:rsidRDefault="00011DE9">
            <w:pPr>
              <w:pStyle w:val="P68B1DB1-Normal77"/>
              <w:spacing w:after="0" w:line="240" w:lineRule="auto"/>
              <w:jc w:val="center"/>
              <w:rPr>
                <w:rFonts w:eastAsia="Times New Roman" w:cs="Times New Roman"/>
                <w:noProof/>
                <w:szCs w:val="20"/>
              </w:rPr>
            </w:pPr>
            <w:r>
              <w:rPr>
                <w:noProof/>
              </w:rPr>
              <w:t>Număr secvențial</w:t>
            </w:r>
          </w:p>
        </w:tc>
        <w:tc>
          <w:tcPr>
            <w:tcW w:w="19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EE3046E" w14:textId="77777777" w:rsidR="00011DE9" w:rsidRDefault="00011DE9">
            <w:pPr>
              <w:pStyle w:val="P68B1DB1-Normal77"/>
              <w:spacing w:after="0" w:line="240" w:lineRule="auto"/>
              <w:jc w:val="center"/>
              <w:rPr>
                <w:rFonts w:eastAsia="Times New Roman" w:cs="Times New Roman"/>
                <w:noProof/>
                <w:szCs w:val="20"/>
              </w:rPr>
            </w:pPr>
            <w:r>
              <w:rPr>
                <w:noProof/>
              </w:rPr>
              <w:t>Măsură conexă (reformă sau investiții)</w:t>
            </w:r>
          </w:p>
        </w:tc>
        <w:tc>
          <w:tcPr>
            <w:tcW w:w="226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62DE093" w14:textId="77777777" w:rsidR="00011DE9" w:rsidRDefault="00011DE9">
            <w:pPr>
              <w:pStyle w:val="P68B1DB1-Normal77"/>
              <w:spacing w:after="0" w:line="240" w:lineRule="auto"/>
              <w:jc w:val="center"/>
              <w:rPr>
                <w:rFonts w:eastAsia="Times New Roman" w:cs="Times New Roman"/>
                <w:noProof/>
                <w:szCs w:val="20"/>
              </w:rPr>
            </w:pPr>
            <w:r>
              <w:rPr>
                <w:noProof/>
              </w:rPr>
              <w:t>Etapă/Obiectiv</w:t>
            </w:r>
          </w:p>
        </w:tc>
        <w:tc>
          <w:tcPr>
            <w:tcW w:w="4110" w:type="dxa"/>
            <w:tcBorders>
              <w:top w:val="single" w:sz="4" w:space="0" w:color="auto"/>
              <w:left w:val="nil"/>
              <w:bottom w:val="single" w:sz="4" w:space="0" w:color="auto"/>
              <w:right w:val="single" w:sz="4" w:space="0" w:color="auto"/>
            </w:tcBorders>
            <w:shd w:val="clear" w:color="auto" w:fill="BDD7EE"/>
            <w:vAlign w:val="center"/>
            <w:hideMark/>
          </w:tcPr>
          <w:p w14:paraId="590D67D4" w14:textId="77777777" w:rsidR="00011DE9" w:rsidRDefault="00011DE9">
            <w:pPr>
              <w:pStyle w:val="P68B1DB1-Normal77"/>
              <w:spacing w:after="0" w:line="240" w:lineRule="auto"/>
              <w:jc w:val="center"/>
              <w:rPr>
                <w:rFonts w:eastAsia="Times New Roman" w:cs="Times New Roman"/>
                <w:noProof/>
                <w:szCs w:val="20"/>
              </w:rPr>
            </w:pPr>
            <w:r>
              <w:rPr>
                <w:noProof/>
              </w:rPr>
              <w:t>Nume</w:t>
            </w:r>
          </w:p>
        </w:tc>
      </w:tr>
      <w:tr w:rsidR="00011DE9" w14:paraId="227A7D1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55651FD" w14:textId="77777777" w:rsidR="00011DE9" w:rsidRDefault="00011DE9">
            <w:pPr>
              <w:pStyle w:val="P68B1DB1-Normal45"/>
              <w:spacing w:after="0" w:line="240" w:lineRule="auto"/>
              <w:jc w:val="center"/>
              <w:rPr>
                <w:rFonts w:eastAsia="Times New Roman"/>
                <w:noProof/>
              </w:rPr>
            </w:pPr>
            <w:r>
              <w:rPr>
                <w:noProof/>
              </w:rPr>
              <w:t>9</w:t>
            </w:r>
          </w:p>
        </w:tc>
        <w:tc>
          <w:tcPr>
            <w:tcW w:w="1985" w:type="dxa"/>
            <w:tcBorders>
              <w:top w:val="single" w:sz="4" w:space="0" w:color="auto"/>
              <w:left w:val="nil"/>
              <w:bottom w:val="single" w:sz="4" w:space="0" w:color="auto"/>
              <w:right w:val="single" w:sz="4" w:space="0" w:color="auto"/>
            </w:tcBorders>
            <w:shd w:val="clear" w:color="auto" w:fill="C6EFCE"/>
            <w:noWrap/>
          </w:tcPr>
          <w:p w14:paraId="1B941E2B" w14:textId="77777777" w:rsidR="00011DE9" w:rsidRDefault="00011DE9">
            <w:pPr>
              <w:pStyle w:val="P68B1DB1-Normal45"/>
              <w:spacing w:after="0" w:line="240" w:lineRule="auto"/>
              <w:rPr>
                <w:rFonts w:eastAsia="Times New Roman"/>
                <w:noProof/>
              </w:rPr>
            </w:pPr>
            <w:r>
              <w:rPr>
                <w:noProof/>
              </w:rPr>
              <w:t>C1.I1</w:t>
            </w:r>
          </w:p>
        </w:tc>
        <w:tc>
          <w:tcPr>
            <w:tcW w:w="2268" w:type="dxa"/>
            <w:tcBorders>
              <w:top w:val="single" w:sz="4" w:space="0" w:color="auto"/>
              <w:left w:val="nil"/>
              <w:bottom w:val="single" w:sz="4" w:space="0" w:color="auto"/>
              <w:right w:val="single" w:sz="4" w:space="0" w:color="auto"/>
            </w:tcBorders>
            <w:shd w:val="clear" w:color="auto" w:fill="C6EFCE"/>
            <w:noWrap/>
          </w:tcPr>
          <w:p w14:paraId="1C56277F"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035FEBE" w14:textId="77777777" w:rsidR="00011DE9" w:rsidRDefault="00011DE9">
            <w:pPr>
              <w:pStyle w:val="P68B1DB1-Normal45"/>
              <w:spacing w:after="0" w:line="240" w:lineRule="auto"/>
              <w:rPr>
                <w:rFonts w:eastAsia="Times New Roman"/>
                <w:noProof/>
              </w:rPr>
            </w:pPr>
            <w:r>
              <w:rPr>
                <w:noProof/>
              </w:rPr>
              <w:t xml:space="preserve">Proiecte privind mobilitatea durabilă </w:t>
            </w:r>
          </w:p>
        </w:tc>
      </w:tr>
      <w:tr w:rsidR="00011DE9" w14:paraId="6823AF2E"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01CB7F0" w14:textId="77777777" w:rsidR="00011DE9" w:rsidRDefault="00011DE9">
            <w:pPr>
              <w:pStyle w:val="P68B1DB1-Normal45"/>
              <w:spacing w:after="0" w:line="240" w:lineRule="auto"/>
              <w:jc w:val="center"/>
              <w:rPr>
                <w:rFonts w:eastAsia="Times New Roman"/>
                <w:noProof/>
              </w:rPr>
            </w:pPr>
            <w:r>
              <w:rPr>
                <w:noProof/>
              </w:rPr>
              <w:t>9b</w:t>
            </w:r>
          </w:p>
        </w:tc>
        <w:tc>
          <w:tcPr>
            <w:tcW w:w="1985" w:type="dxa"/>
            <w:tcBorders>
              <w:top w:val="single" w:sz="4" w:space="0" w:color="auto"/>
              <w:left w:val="nil"/>
              <w:bottom w:val="single" w:sz="4" w:space="0" w:color="auto"/>
              <w:right w:val="single" w:sz="4" w:space="0" w:color="auto"/>
            </w:tcBorders>
            <w:shd w:val="clear" w:color="auto" w:fill="C6EFCE"/>
            <w:noWrap/>
          </w:tcPr>
          <w:p w14:paraId="78C945F4" w14:textId="77777777" w:rsidR="00011DE9" w:rsidRDefault="00011DE9">
            <w:pPr>
              <w:pStyle w:val="P68B1DB1-Normal45"/>
              <w:spacing w:after="0" w:line="240" w:lineRule="auto"/>
              <w:rPr>
                <w:rFonts w:eastAsia="Times New Roman"/>
                <w:noProof/>
              </w:rPr>
            </w:pPr>
            <w:r>
              <w:rPr>
                <w:noProof/>
              </w:rPr>
              <w:t>C1.I1</w:t>
            </w:r>
          </w:p>
        </w:tc>
        <w:tc>
          <w:tcPr>
            <w:tcW w:w="2268" w:type="dxa"/>
            <w:tcBorders>
              <w:top w:val="single" w:sz="4" w:space="0" w:color="auto"/>
              <w:left w:val="nil"/>
              <w:bottom w:val="single" w:sz="4" w:space="0" w:color="auto"/>
              <w:right w:val="single" w:sz="4" w:space="0" w:color="auto"/>
            </w:tcBorders>
            <w:shd w:val="clear" w:color="auto" w:fill="C6EFCE"/>
            <w:noWrap/>
          </w:tcPr>
          <w:p w14:paraId="5C8DA4B0"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0F3E84D" w14:textId="77777777" w:rsidR="00011DE9" w:rsidRDefault="00011DE9">
            <w:pPr>
              <w:pStyle w:val="P68B1DB1-Normal45"/>
              <w:spacing w:after="0" w:line="240" w:lineRule="auto"/>
              <w:rPr>
                <w:rFonts w:eastAsia="Times New Roman"/>
                <w:noProof/>
              </w:rPr>
            </w:pPr>
            <w:r>
              <w:rPr>
                <w:noProof/>
              </w:rPr>
              <w:t>Casarea vehiculelor, achiziționarea de vehicule cu emisii scăzute de dioxid de carbon și/sau instalarea de puncte de reîncărcare</w:t>
            </w:r>
          </w:p>
        </w:tc>
      </w:tr>
      <w:tr w:rsidR="00011DE9" w14:paraId="49E8875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C04766A" w14:textId="77777777" w:rsidR="00011DE9" w:rsidRDefault="00011DE9">
            <w:pPr>
              <w:pStyle w:val="P68B1DB1-Normal45"/>
              <w:spacing w:after="0" w:line="240" w:lineRule="auto"/>
              <w:jc w:val="center"/>
              <w:rPr>
                <w:rFonts w:eastAsia="Times New Roman"/>
                <w:noProof/>
              </w:rPr>
            </w:pPr>
            <w:r>
              <w:rPr>
                <w:noProof/>
              </w:rPr>
              <w:t>419</w:t>
            </w:r>
          </w:p>
        </w:tc>
        <w:tc>
          <w:tcPr>
            <w:tcW w:w="1985" w:type="dxa"/>
            <w:tcBorders>
              <w:top w:val="single" w:sz="4" w:space="0" w:color="auto"/>
              <w:left w:val="nil"/>
              <w:bottom w:val="single" w:sz="4" w:space="0" w:color="auto"/>
              <w:right w:val="single" w:sz="4" w:space="0" w:color="auto"/>
            </w:tcBorders>
            <w:shd w:val="clear" w:color="auto" w:fill="C6EFCE"/>
            <w:noWrap/>
          </w:tcPr>
          <w:p w14:paraId="123FA045" w14:textId="77777777" w:rsidR="00011DE9" w:rsidRDefault="00011DE9">
            <w:pPr>
              <w:pStyle w:val="P68B1DB1-Normal45"/>
              <w:spacing w:after="0" w:line="240" w:lineRule="auto"/>
              <w:rPr>
                <w:rFonts w:eastAsia="Times New Roman"/>
                <w:noProof/>
              </w:rPr>
            </w:pPr>
            <w:r>
              <w:rPr>
                <w:noProof/>
              </w:rPr>
              <w:t>C1.I2</w:t>
            </w:r>
          </w:p>
        </w:tc>
        <w:tc>
          <w:tcPr>
            <w:tcW w:w="2268" w:type="dxa"/>
            <w:tcBorders>
              <w:top w:val="single" w:sz="4" w:space="0" w:color="auto"/>
              <w:left w:val="nil"/>
              <w:bottom w:val="single" w:sz="4" w:space="0" w:color="auto"/>
              <w:right w:val="single" w:sz="4" w:space="0" w:color="auto"/>
            </w:tcBorders>
            <w:shd w:val="clear" w:color="auto" w:fill="C6EFCE"/>
            <w:noWrap/>
          </w:tcPr>
          <w:p w14:paraId="2DF42FCA" w14:textId="77777777" w:rsidR="00011DE9" w:rsidRDefault="00011DE9">
            <w:pPr>
              <w:pStyle w:val="P68B1DB1-Normal45"/>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0BDA1F1E" w14:textId="77777777" w:rsidR="00011DE9" w:rsidRDefault="00011DE9">
            <w:pPr>
              <w:pStyle w:val="P68B1DB1-Normal45"/>
              <w:spacing w:after="0" w:line="240" w:lineRule="auto"/>
              <w:rPr>
                <w:rFonts w:eastAsia="Times New Roman"/>
                <w:noProof/>
              </w:rPr>
            </w:pPr>
            <w:r>
              <w:rPr>
                <w:noProof/>
              </w:rPr>
              <w:t>Permise de circulație eliberate pentru vehicule electrice</w:t>
            </w:r>
          </w:p>
        </w:tc>
      </w:tr>
      <w:tr w:rsidR="00011DE9" w14:paraId="75284250"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89D9681" w14:textId="77777777" w:rsidR="00011DE9" w:rsidRDefault="00011DE9">
            <w:pPr>
              <w:pStyle w:val="P68B1DB1-Normal45"/>
              <w:spacing w:after="0" w:line="240" w:lineRule="auto"/>
              <w:jc w:val="center"/>
              <w:rPr>
                <w:rFonts w:eastAsia="Times New Roman"/>
                <w:noProof/>
              </w:rPr>
            </w:pPr>
            <w:r>
              <w:rPr>
                <w:noProof/>
              </w:rPr>
              <w:t>419b</w:t>
            </w:r>
          </w:p>
        </w:tc>
        <w:tc>
          <w:tcPr>
            <w:tcW w:w="1985" w:type="dxa"/>
            <w:tcBorders>
              <w:top w:val="single" w:sz="4" w:space="0" w:color="auto"/>
              <w:left w:val="nil"/>
              <w:bottom w:val="single" w:sz="4" w:space="0" w:color="auto"/>
              <w:right w:val="single" w:sz="4" w:space="0" w:color="auto"/>
            </w:tcBorders>
            <w:shd w:val="clear" w:color="auto" w:fill="C6EFCE"/>
            <w:noWrap/>
          </w:tcPr>
          <w:p w14:paraId="50A3DB02" w14:textId="77777777" w:rsidR="00011DE9" w:rsidRDefault="00011DE9">
            <w:pPr>
              <w:pStyle w:val="P68B1DB1-Normal45"/>
              <w:spacing w:after="0" w:line="240" w:lineRule="auto"/>
              <w:rPr>
                <w:rFonts w:eastAsia="Times New Roman"/>
                <w:noProof/>
              </w:rPr>
            </w:pPr>
            <w:r>
              <w:rPr>
                <w:noProof/>
              </w:rPr>
              <w:t>C1.I2</w:t>
            </w:r>
          </w:p>
        </w:tc>
        <w:tc>
          <w:tcPr>
            <w:tcW w:w="2268" w:type="dxa"/>
            <w:tcBorders>
              <w:top w:val="single" w:sz="4" w:space="0" w:color="auto"/>
              <w:left w:val="nil"/>
              <w:bottom w:val="single" w:sz="4" w:space="0" w:color="auto"/>
              <w:right w:val="single" w:sz="4" w:space="0" w:color="auto"/>
            </w:tcBorders>
            <w:shd w:val="clear" w:color="auto" w:fill="C6EFCE"/>
            <w:noWrap/>
          </w:tcPr>
          <w:p w14:paraId="3915B737"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1228A81" w14:textId="77777777" w:rsidR="00011DE9" w:rsidRDefault="00011DE9">
            <w:pPr>
              <w:pStyle w:val="P68B1DB1-Normal45"/>
              <w:spacing w:after="0" w:line="240" w:lineRule="auto"/>
              <w:rPr>
                <w:rFonts w:eastAsia="Times New Roman"/>
                <w:noProof/>
              </w:rPr>
            </w:pPr>
            <w:r>
              <w:rPr>
                <w:noProof/>
              </w:rPr>
              <w:t>Puncte de încărcare instalate</w:t>
            </w:r>
          </w:p>
        </w:tc>
      </w:tr>
      <w:tr w:rsidR="00011DE9" w14:paraId="37314E0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484F3E5" w14:textId="77777777" w:rsidR="00011DE9" w:rsidRDefault="00011DE9">
            <w:pPr>
              <w:pStyle w:val="P68B1DB1-Normal45"/>
              <w:spacing w:after="0" w:line="240" w:lineRule="auto"/>
              <w:jc w:val="center"/>
              <w:rPr>
                <w:noProof/>
              </w:rPr>
            </w:pPr>
            <w:r>
              <w:rPr>
                <w:noProof/>
              </w:rPr>
              <w:t>18</w:t>
            </w:r>
          </w:p>
        </w:tc>
        <w:tc>
          <w:tcPr>
            <w:tcW w:w="1985" w:type="dxa"/>
            <w:tcBorders>
              <w:top w:val="single" w:sz="4" w:space="0" w:color="auto"/>
              <w:left w:val="nil"/>
              <w:bottom w:val="single" w:sz="4" w:space="0" w:color="auto"/>
              <w:right w:val="single" w:sz="4" w:space="0" w:color="auto"/>
            </w:tcBorders>
            <w:shd w:val="clear" w:color="auto" w:fill="C6EFCE"/>
            <w:noWrap/>
          </w:tcPr>
          <w:p w14:paraId="1B8D6359" w14:textId="77777777" w:rsidR="00011DE9" w:rsidRDefault="00011DE9">
            <w:pPr>
              <w:pStyle w:val="P68B1DB1-Normal45"/>
              <w:spacing w:after="0" w:line="240" w:lineRule="auto"/>
              <w:rPr>
                <w:noProof/>
              </w:rPr>
            </w:pPr>
            <w:r>
              <w:rPr>
                <w:noProof/>
              </w:rPr>
              <w:t>C1.I3</w:t>
            </w:r>
          </w:p>
        </w:tc>
        <w:tc>
          <w:tcPr>
            <w:tcW w:w="2268" w:type="dxa"/>
            <w:tcBorders>
              <w:top w:val="single" w:sz="4" w:space="0" w:color="auto"/>
              <w:left w:val="nil"/>
              <w:bottom w:val="single" w:sz="4" w:space="0" w:color="auto"/>
              <w:right w:val="single" w:sz="4" w:space="0" w:color="auto"/>
            </w:tcBorders>
            <w:shd w:val="clear" w:color="auto" w:fill="C6EFCE"/>
            <w:noWrap/>
          </w:tcPr>
          <w:p w14:paraId="1A2907EE"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3321EA96" w14:textId="77777777" w:rsidR="00011DE9" w:rsidRDefault="00011DE9">
            <w:pPr>
              <w:pStyle w:val="P68B1DB1-Normal45"/>
              <w:spacing w:after="0" w:line="240" w:lineRule="auto"/>
              <w:rPr>
                <w:noProof/>
              </w:rPr>
            </w:pPr>
            <w:r>
              <w:rPr>
                <w:noProof/>
              </w:rPr>
              <w:t>Modernizarea liniilor de cale ferată</w:t>
            </w:r>
          </w:p>
        </w:tc>
      </w:tr>
      <w:tr w:rsidR="00011DE9" w14:paraId="6C6B1ED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98ABAE7" w14:textId="77777777" w:rsidR="00011DE9" w:rsidRDefault="00011DE9">
            <w:pPr>
              <w:pStyle w:val="P68B1DB1-Normal45"/>
              <w:spacing w:after="0" w:line="240" w:lineRule="auto"/>
              <w:jc w:val="center"/>
              <w:rPr>
                <w:rFonts w:eastAsia="Times New Roman"/>
                <w:noProof/>
              </w:rPr>
            </w:pPr>
            <w:r>
              <w:rPr>
                <w:noProof/>
              </w:rPr>
              <w:t>19</w:t>
            </w:r>
          </w:p>
        </w:tc>
        <w:tc>
          <w:tcPr>
            <w:tcW w:w="1985" w:type="dxa"/>
            <w:tcBorders>
              <w:top w:val="single" w:sz="4" w:space="0" w:color="auto"/>
              <w:left w:val="nil"/>
              <w:bottom w:val="single" w:sz="4" w:space="0" w:color="auto"/>
              <w:right w:val="single" w:sz="4" w:space="0" w:color="auto"/>
            </w:tcBorders>
            <w:shd w:val="clear" w:color="auto" w:fill="C6EFCE"/>
            <w:noWrap/>
          </w:tcPr>
          <w:p w14:paraId="5A312CBF" w14:textId="77777777" w:rsidR="00011DE9" w:rsidRDefault="00011DE9">
            <w:pPr>
              <w:pStyle w:val="P68B1DB1-Normal45"/>
              <w:spacing w:after="0" w:line="240" w:lineRule="auto"/>
              <w:rPr>
                <w:rFonts w:eastAsia="Times New Roman"/>
                <w:noProof/>
              </w:rPr>
            </w:pPr>
            <w:r>
              <w:rPr>
                <w:noProof/>
              </w:rPr>
              <w:t>C1.I3</w:t>
            </w:r>
          </w:p>
        </w:tc>
        <w:tc>
          <w:tcPr>
            <w:tcW w:w="2268" w:type="dxa"/>
            <w:tcBorders>
              <w:top w:val="single" w:sz="4" w:space="0" w:color="auto"/>
              <w:left w:val="nil"/>
              <w:bottom w:val="single" w:sz="4" w:space="0" w:color="auto"/>
              <w:right w:val="single" w:sz="4" w:space="0" w:color="auto"/>
            </w:tcBorders>
            <w:shd w:val="clear" w:color="auto" w:fill="C6EFCE"/>
            <w:noWrap/>
          </w:tcPr>
          <w:p w14:paraId="2B8E8CE8" w14:textId="77777777" w:rsidR="00011DE9" w:rsidRDefault="00011DE9">
            <w:pPr>
              <w:pStyle w:val="P68B1DB1-Normal45"/>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16C05AE1" w14:textId="77777777" w:rsidR="00011DE9" w:rsidRDefault="00011DE9">
            <w:pPr>
              <w:pStyle w:val="P68B1DB1-Normal45"/>
              <w:spacing w:after="0" w:line="240" w:lineRule="auto"/>
              <w:rPr>
                <w:rFonts w:eastAsia="Times New Roman"/>
                <w:noProof/>
              </w:rPr>
            </w:pPr>
            <w:r>
              <w:rPr>
                <w:noProof/>
              </w:rPr>
              <w:t>Stații îmbunătățite odată cu digitalizarea</w:t>
            </w:r>
          </w:p>
        </w:tc>
      </w:tr>
      <w:tr w:rsidR="00011DE9" w14:paraId="712624DD"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48BD5CE" w14:textId="77777777" w:rsidR="00011DE9" w:rsidRDefault="00011DE9">
            <w:pPr>
              <w:pStyle w:val="P68B1DB1-Normal45"/>
              <w:spacing w:after="0" w:line="240" w:lineRule="auto"/>
              <w:jc w:val="center"/>
              <w:rPr>
                <w:noProof/>
              </w:rPr>
            </w:pPr>
            <w:r>
              <w:rPr>
                <w:noProof/>
              </w:rPr>
              <w:t>20</w:t>
            </w:r>
          </w:p>
        </w:tc>
        <w:tc>
          <w:tcPr>
            <w:tcW w:w="1985" w:type="dxa"/>
            <w:tcBorders>
              <w:top w:val="single" w:sz="4" w:space="0" w:color="auto"/>
              <w:left w:val="nil"/>
              <w:bottom w:val="single" w:sz="4" w:space="0" w:color="auto"/>
              <w:right w:val="single" w:sz="4" w:space="0" w:color="auto"/>
            </w:tcBorders>
            <w:shd w:val="clear" w:color="auto" w:fill="C6EFCE"/>
            <w:noWrap/>
          </w:tcPr>
          <w:p w14:paraId="639631A6" w14:textId="77777777" w:rsidR="00011DE9" w:rsidRDefault="00011DE9">
            <w:pPr>
              <w:pStyle w:val="P68B1DB1-Normal45"/>
              <w:spacing w:after="0" w:line="240" w:lineRule="auto"/>
              <w:rPr>
                <w:noProof/>
              </w:rPr>
            </w:pPr>
            <w:r>
              <w:rPr>
                <w:noProof/>
              </w:rPr>
              <w:t>C1.I3</w:t>
            </w:r>
          </w:p>
        </w:tc>
        <w:tc>
          <w:tcPr>
            <w:tcW w:w="2268" w:type="dxa"/>
            <w:tcBorders>
              <w:top w:val="single" w:sz="4" w:space="0" w:color="auto"/>
              <w:left w:val="nil"/>
              <w:bottom w:val="single" w:sz="4" w:space="0" w:color="auto"/>
              <w:right w:val="single" w:sz="4" w:space="0" w:color="auto"/>
            </w:tcBorders>
            <w:shd w:val="clear" w:color="auto" w:fill="C6EFCE"/>
            <w:noWrap/>
          </w:tcPr>
          <w:p w14:paraId="13FBAA23"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38BACBB8" w14:textId="77777777" w:rsidR="00011DE9" w:rsidRDefault="00011DE9">
            <w:pPr>
              <w:pStyle w:val="P68B1DB1-Normal45"/>
              <w:spacing w:after="0" w:line="240" w:lineRule="auto"/>
              <w:rPr>
                <w:noProof/>
              </w:rPr>
            </w:pPr>
            <w:r>
              <w:rPr>
                <w:noProof/>
              </w:rPr>
              <w:t>Gări de linii de cale ferată îmbunătățite sau noi</w:t>
            </w:r>
          </w:p>
        </w:tc>
      </w:tr>
      <w:tr w:rsidR="00011DE9" w14:paraId="0CAB71BD"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F611603" w14:textId="77777777" w:rsidR="00011DE9" w:rsidRDefault="00011DE9">
            <w:pPr>
              <w:pStyle w:val="P68B1DB1-Normal45"/>
              <w:spacing w:after="0" w:line="240" w:lineRule="auto"/>
              <w:jc w:val="center"/>
              <w:rPr>
                <w:rFonts w:eastAsia="Times New Roman"/>
                <w:noProof/>
              </w:rPr>
            </w:pPr>
            <w:r>
              <w:rPr>
                <w:noProof/>
              </w:rPr>
              <w:t>29</w:t>
            </w:r>
          </w:p>
        </w:tc>
        <w:tc>
          <w:tcPr>
            <w:tcW w:w="1985" w:type="dxa"/>
            <w:tcBorders>
              <w:top w:val="single" w:sz="4" w:space="0" w:color="auto"/>
              <w:left w:val="nil"/>
              <w:bottom w:val="single" w:sz="4" w:space="0" w:color="auto"/>
              <w:right w:val="single" w:sz="4" w:space="0" w:color="auto"/>
            </w:tcBorders>
            <w:shd w:val="clear" w:color="auto" w:fill="C6EFCE"/>
            <w:noWrap/>
          </w:tcPr>
          <w:p w14:paraId="2A96684D" w14:textId="77777777" w:rsidR="00011DE9" w:rsidRDefault="00011DE9">
            <w:pPr>
              <w:pStyle w:val="P68B1DB1-Normal45"/>
              <w:spacing w:after="0" w:line="240" w:lineRule="auto"/>
              <w:rPr>
                <w:rFonts w:eastAsia="Times New Roman"/>
                <w:noProof/>
              </w:rPr>
            </w:pPr>
            <w:r>
              <w:rPr>
                <w:noProof/>
              </w:rPr>
              <w:t>C2.I1</w:t>
            </w:r>
          </w:p>
        </w:tc>
        <w:tc>
          <w:tcPr>
            <w:tcW w:w="2268" w:type="dxa"/>
            <w:tcBorders>
              <w:top w:val="single" w:sz="4" w:space="0" w:color="auto"/>
              <w:left w:val="nil"/>
              <w:bottom w:val="single" w:sz="4" w:space="0" w:color="auto"/>
              <w:right w:val="single" w:sz="4" w:space="0" w:color="auto"/>
            </w:tcBorders>
            <w:shd w:val="clear" w:color="auto" w:fill="C6EFCE"/>
            <w:noWrap/>
          </w:tcPr>
          <w:p w14:paraId="672C2B6F" w14:textId="77777777" w:rsidR="00011DE9" w:rsidRDefault="00011DE9">
            <w:pPr>
              <w:pStyle w:val="P68B1DB1-Normal45"/>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248B3CE2" w14:textId="77777777" w:rsidR="00011DE9" w:rsidRDefault="00011DE9">
            <w:pPr>
              <w:pStyle w:val="P68B1DB1-Normal45"/>
              <w:spacing w:after="0" w:line="240" w:lineRule="auto"/>
              <w:rPr>
                <w:rFonts w:eastAsia="Times New Roman"/>
                <w:noProof/>
              </w:rPr>
            </w:pPr>
            <w:r>
              <w:rPr>
                <w:noProof/>
              </w:rPr>
              <w:t>Reducerea consumului de energie primară din surse neregenerabile în locuințe sau clădiri rezidențiale</w:t>
            </w:r>
          </w:p>
        </w:tc>
      </w:tr>
      <w:tr w:rsidR="00011DE9" w14:paraId="32C694D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83705A7" w14:textId="77777777" w:rsidR="00011DE9" w:rsidRDefault="00011DE9">
            <w:pPr>
              <w:pStyle w:val="P68B1DB1-Normal45"/>
              <w:spacing w:after="0" w:line="240" w:lineRule="auto"/>
              <w:jc w:val="center"/>
              <w:rPr>
                <w:rFonts w:eastAsia="Times New Roman"/>
                <w:noProof/>
              </w:rPr>
            </w:pPr>
            <w:r>
              <w:rPr>
                <w:noProof/>
              </w:rPr>
              <w:t>29bis</w:t>
            </w:r>
          </w:p>
        </w:tc>
        <w:tc>
          <w:tcPr>
            <w:tcW w:w="1985" w:type="dxa"/>
            <w:tcBorders>
              <w:top w:val="single" w:sz="4" w:space="0" w:color="auto"/>
              <w:left w:val="nil"/>
              <w:bottom w:val="single" w:sz="4" w:space="0" w:color="auto"/>
              <w:right w:val="single" w:sz="4" w:space="0" w:color="auto"/>
            </w:tcBorders>
            <w:shd w:val="clear" w:color="auto" w:fill="C6EFCE"/>
            <w:noWrap/>
          </w:tcPr>
          <w:p w14:paraId="61E08EAA" w14:textId="77777777" w:rsidR="00011DE9" w:rsidRDefault="00011DE9">
            <w:pPr>
              <w:pStyle w:val="P68B1DB1-Normal45"/>
              <w:spacing w:after="0" w:line="240" w:lineRule="auto"/>
              <w:rPr>
                <w:rFonts w:eastAsia="Times New Roman"/>
                <w:noProof/>
              </w:rPr>
            </w:pPr>
            <w:r>
              <w:rPr>
                <w:noProof/>
              </w:rPr>
              <w:t>C2.I1</w:t>
            </w:r>
          </w:p>
        </w:tc>
        <w:tc>
          <w:tcPr>
            <w:tcW w:w="2268" w:type="dxa"/>
            <w:tcBorders>
              <w:top w:val="single" w:sz="4" w:space="0" w:color="auto"/>
              <w:left w:val="nil"/>
              <w:bottom w:val="single" w:sz="4" w:space="0" w:color="auto"/>
              <w:right w:val="single" w:sz="4" w:space="0" w:color="auto"/>
            </w:tcBorders>
            <w:shd w:val="clear" w:color="auto" w:fill="C6EFCE"/>
            <w:noWrap/>
          </w:tcPr>
          <w:p w14:paraId="7ECDF608" w14:textId="77777777" w:rsidR="00011DE9" w:rsidRDefault="00011DE9">
            <w:pPr>
              <w:pStyle w:val="P68B1DB1-Normal45"/>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3E648EC9" w14:textId="77777777" w:rsidR="00011DE9" w:rsidRDefault="00011DE9">
            <w:pPr>
              <w:pStyle w:val="P68B1DB1-Normal45"/>
              <w:spacing w:after="0" w:line="240" w:lineRule="auto"/>
              <w:rPr>
                <w:rFonts w:eastAsia="Times New Roman"/>
                <w:noProof/>
              </w:rPr>
            </w:pPr>
            <w:r>
              <w:rPr>
                <w:noProof/>
              </w:rPr>
              <w:t>Deduceri fiscale declarate pentru renovările energetice</w:t>
            </w:r>
          </w:p>
        </w:tc>
      </w:tr>
      <w:tr w:rsidR="00011DE9" w14:paraId="4594AF3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7495540" w14:textId="77777777" w:rsidR="00011DE9" w:rsidRDefault="00011DE9">
            <w:pPr>
              <w:pStyle w:val="P68B1DB1-Normal45"/>
              <w:spacing w:after="0" w:line="240" w:lineRule="auto"/>
              <w:jc w:val="center"/>
              <w:rPr>
                <w:rFonts w:eastAsia="Times New Roman"/>
                <w:noProof/>
              </w:rPr>
            </w:pPr>
            <w:r>
              <w:rPr>
                <w:noProof/>
              </w:rPr>
              <w:t>31</w:t>
            </w:r>
          </w:p>
        </w:tc>
        <w:tc>
          <w:tcPr>
            <w:tcW w:w="1985" w:type="dxa"/>
            <w:tcBorders>
              <w:top w:val="single" w:sz="4" w:space="0" w:color="auto"/>
              <w:left w:val="nil"/>
              <w:bottom w:val="single" w:sz="4" w:space="0" w:color="auto"/>
              <w:right w:val="single" w:sz="4" w:space="0" w:color="auto"/>
            </w:tcBorders>
            <w:shd w:val="clear" w:color="auto" w:fill="C6EFCE"/>
            <w:noWrap/>
          </w:tcPr>
          <w:p w14:paraId="23583ADD" w14:textId="77777777" w:rsidR="00011DE9" w:rsidRDefault="00011DE9">
            <w:pPr>
              <w:pStyle w:val="P68B1DB1-Normal45"/>
              <w:spacing w:after="0" w:line="240" w:lineRule="auto"/>
              <w:rPr>
                <w:rFonts w:eastAsia="Times New Roman"/>
                <w:noProof/>
              </w:rPr>
            </w:pPr>
            <w:r>
              <w:rPr>
                <w:noProof/>
              </w:rPr>
              <w:t>C2.I2</w:t>
            </w:r>
          </w:p>
        </w:tc>
        <w:tc>
          <w:tcPr>
            <w:tcW w:w="2268" w:type="dxa"/>
            <w:tcBorders>
              <w:top w:val="single" w:sz="4" w:space="0" w:color="auto"/>
              <w:left w:val="nil"/>
              <w:bottom w:val="single" w:sz="4" w:space="0" w:color="auto"/>
              <w:right w:val="single" w:sz="4" w:space="0" w:color="auto"/>
            </w:tcBorders>
            <w:shd w:val="clear" w:color="auto" w:fill="C6EFCE"/>
            <w:noWrap/>
          </w:tcPr>
          <w:p w14:paraId="0AD6F61F" w14:textId="77777777" w:rsidR="00011DE9" w:rsidRDefault="00011DE9">
            <w:pPr>
              <w:pStyle w:val="P68B1DB1-Normal45"/>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73ACC1D3" w14:textId="77777777" w:rsidR="00011DE9" w:rsidRDefault="00011DE9">
            <w:pPr>
              <w:pStyle w:val="P68B1DB1-Normal45"/>
              <w:spacing w:after="0" w:line="240" w:lineRule="auto"/>
              <w:rPr>
                <w:rFonts w:eastAsia="Times New Roman"/>
                <w:noProof/>
              </w:rPr>
            </w:pPr>
            <w:r>
              <w:rPr>
                <w:noProof/>
              </w:rPr>
              <w:t>Furnizare de locuințe</w:t>
            </w:r>
          </w:p>
        </w:tc>
      </w:tr>
      <w:tr w:rsidR="00011DE9" w14:paraId="6A290A1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411C83C" w14:textId="77777777" w:rsidR="00011DE9" w:rsidRDefault="00011DE9">
            <w:pPr>
              <w:pStyle w:val="P68B1DB1-Normal45"/>
              <w:spacing w:after="0" w:line="240" w:lineRule="auto"/>
              <w:jc w:val="center"/>
              <w:rPr>
                <w:rFonts w:eastAsia="Times New Roman"/>
                <w:noProof/>
              </w:rPr>
            </w:pPr>
            <w:r>
              <w:rPr>
                <w:noProof/>
              </w:rPr>
              <w:t>33</w:t>
            </w:r>
          </w:p>
        </w:tc>
        <w:tc>
          <w:tcPr>
            <w:tcW w:w="1985" w:type="dxa"/>
            <w:tcBorders>
              <w:top w:val="single" w:sz="4" w:space="0" w:color="auto"/>
              <w:left w:val="nil"/>
              <w:bottom w:val="single" w:sz="4" w:space="0" w:color="auto"/>
              <w:right w:val="single" w:sz="4" w:space="0" w:color="auto"/>
            </w:tcBorders>
            <w:shd w:val="clear" w:color="auto" w:fill="C6EFCE"/>
            <w:noWrap/>
          </w:tcPr>
          <w:p w14:paraId="693B930A" w14:textId="77777777" w:rsidR="00011DE9" w:rsidRDefault="00011DE9">
            <w:pPr>
              <w:pStyle w:val="P68B1DB1-Normal45"/>
              <w:spacing w:after="0" w:line="240" w:lineRule="auto"/>
              <w:rPr>
                <w:rFonts w:eastAsia="Times New Roman"/>
                <w:noProof/>
              </w:rPr>
            </w:pPr>
            <w:r>
              <w:rPr>
                <w:noProof/>
              </w:rPr>
              <w:t>C2.I3</w:t>
            </w:r>
          </w:p>
        </w:tc>
        <w:tc>
          <w:tcPr>
            <w:tcW w:w="2268" w:type="dxa"/>
            <w:tcBorders>
              <w:top w:val="single" w:sz="4" w:space="0" w:color="auto"/>
              <w:left w:val="nil"/>
              <w:bottom w:val="single" w:sz="4" w:space="0" w:color="auto"/>
              <w:right w:val="single" w:sz="4" w:space="0" w:color="auto"/>
            </w:tcBorders>
            <w:shd w:val="clear" w:color="auto" w:fill="C6EFCE"/>
            <w:noWrap/>
          </w:tcPr>
          <w:p w14:paraId="2D84E08B" w14:textId="77777777" w:rsidR="00011DE9" w:rsidRDefault="00011DE9">
            <w:pPr>
              <w:pStyle w:val="P68B1DB1-Normal45"/>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5DA6FC47" w14:textId="77777777" w:rsidR="00011DE9" w:rsidRDefault="00011DE9">
            <w:pPr>
              <w:pStyle w:val="P68B1DB1-Normal45"/>
              <w:spacing w:after="0" w:line="240" w:lineRule="auto"/>
              <w:rPr>
                <w:rFonts w:eastAsia="Times New Roman"/>
                <w:noProof/>
              </w:rPr>
            </w:pPr>
            <w:r>
              <w:rPr>
                <w:noProof/>
              </w:rPr>
              <w:t>Reducerea consumului de energie primară din surse neregenerabile în locuințe, clădiri rezidențiale sau clădiri nerezidențiale sau părți ale acestora</w:t>
            </w:r>
          </w:p>
        </w:tc>
      </w:tr>
      <w:tr w:rsidR="00011DE9" w14:paraId="28F4292A"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3749CBF" w14:textId="77777777" w:rsidR="00011DE9" w:rsidRDefault="00011DE9">
            <w:pPr>
              <w:pStyle w:val="P68B1DB1-Normal45"/>
              <w:spacing w:after="0" w:line="240" w:lineRule="auto"/>
              <w:jc w:val="center"/>
              <w:rPr>
                <w:noProof/>
              </w:rPr>
            </w:pPr>
            <w:r>
              <w:rPr>
                <w:noProof/>
              </w:rPr>
              <w:t>34</w:t>
            </w:r>
          </w:p>
        </w:tc>
        <w:tc>
          <w:tcPr>
            <w:tcW w:w="1985" w:type="dxa"/>
            <w:tcBorders>
              <w:top w:val="single" w:sz="4" w:space="0" w:color="auto"/>
              <w:left w:val="nil"/>
              <w:bottom w:val="single" w:sz="4" w:space="0" w:color="auto"/>
              <w:right w:val="single" w:sz="4" w:space="0" w:color="auto"/>
            </w:tcBorders>
            <w:shd w:val="clear" w:color="auto" w:fill="C6EFCE"/>
            <w:noWrap/>
          </w:tcPr>
          <w:p w14:paraId="6BAE3269" w14:textId="77777777" w:rsidR="00011DE9" w:rsidRDefault="00011DE9">
            <w:pPr>
              <w:pStyle w:val="P68B1DB1-Normal45"/>
              <w:spacing w:after="0" w:line="240" w:lineRule="auto"/>
              <w:rPr>
                <w:noProof/>
              </w:rPr>
            </w:pPr>
            <w:r>
              <w:rPr>
                <w:noProof/>
              </w:rPr>
              <w:t>C2.I4</w:t>
            </w:r>
          </w:p>
        </w:tc>
        <w:tc>
          <w:tcPr>
            <w:tcW w:w="2268" w:type="dxa"/>
            <w:tcBorders>
              <w:top w:val="single" w:sz="4" w:space="0" w:color="auto"/>
              <w:left w:val="nil"/>
              <w:bottom w:val="single" w:sz="4" w:space="0" w:color="auto"/>
              <w:right w:val="single" w:sz="4" w:space="0" w:color="auto"/>
            </w:tcBorders>
            <w:shd w:val="clear" w:color="auto" w:fill="C6EFCE"/>
            <w:noWrap/>
          </w:tcPr>
          <w:p w14:paraId="14D0DCFC"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2BBA6652" w14:textId="77777777" w:rsidR="00011DE9" w:rsidRDefault="00011DE9">
            <w:pPr>
              <w:pStyle w:val="P68B1DB1-Normal45"/>
              <w:spacing w:after="0" w:line="240" w:lineRule="auto"/>
              <w:rPr>
                <w:noProof/>
              </w:rPr>
            </w:pPr>
            <w:r>
              <w:rPr>
                <w:noProof/>
              </w:rPr>
              <w:t>Reducerea consumului de energie primară din surse neregenerabile în locuințe, clădiri rezidențiale sau clădiri nerezidențiale sau părți ale acestora, situate în municipalități eligibile în cadrul programului PREE 5000</w:t>
            </w:r>
          </w:p>
        </w:tc>
      </w:tr>
      <w:tr w:rsidR="00011DE9" w14:paraId="432A9AA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9DBEDC6" w14:textId="77777777" w:rsidR="00011DE9" w:rsidRDefault="00011DE9">
            <w:pPr>
              <w:pStyle w:val="P68B1DB1-Normal45"/>
              <w:spacing w:after="0" w:line="240" w:lineRule="auto"/>
              <w:jc w:val="center"/>
              <w:rPr>
                <w:rFonts w:eastAsia="Times New Roman"/>
                <w:noProof/>
              </w:rPr>
            </w:pPr>
            <w:r>
              <w:rPr>
                <w:noProof/>
              </w:rPr>
              <w:t>35</w:t>
            </w:r>
          </w:p>
        </w:tc>
        <w:tc>
          <w:tcPr>
            <w:tcW w:w="1985" w:type="dxa"/>
            <w:tcBorders>
              <w:top w:val="single" w:sz="4" w:space="0" w:color="auto"/>
              <w:left w:val="nil"/>
              <w:bottom w:val="single" w:sz="4" w:space="0" w:color="auto"/>
              <w:right w:val="single" w:sz="4" w:space="0" w:color="auto"/>
            </w:tcBorders>
            <w:shd w:val="clear" w:color="auto" w:fill="C6EFCE"/>
            <w:noWrap/>
          </w:tcPr>
          <w:p w14:paraId="453DA3A4" w14:textId="77777777" w:rsidR="00011DE9" w:rsidRDefault="00011DE9">
            <w:pPr>
              <w:pStyle w:val="P68B1DB1-Normal45"/>
              <w:spacing w:after="0" w:line="240" w:lineRule="auto"/>
              <w:rPr>
                <w:rFonts w:eastAsia="Times New Roman"/>
                <w:noProof/>
              </w:rPr>
            </w:pPr>
            <w:r>
              <w:rPr>
                <w:noProof/>
              </w:rPr>
              <w:t>C2.I4</w:t>
            </w:r>
          </w:p>
        </w:tc>
        <w:tc>
          <w:tcPr>
            <w:tcW w:w="2268" w:type="dxa"/>
            <w:tcBorders>
              <w:top w:val="single" w:sz="4" w:space="0" w:color="auto"/>
              <w:left w:val="nil"/>
              <w:bottom w:val="single" w:sz="4" w:space="0" w:color="auto"/>
              <w:right w:val="single" w:sz="4" w:space="0" w:color="auto"/>
            </w:tcBorders>
            <w:shd w:val="clear" w:color="auto" w:fill="C6EFCE"/>
            <w:noWrap/>
          </w:tcPr>
          <w:p w14:paraId="68BB94D4" w14:textId="77777777" w:rsidR="00011DE9" w:rsidRDefault="00011DE9">
            <w:pPr>
              <w:pStyle w:val="P68B1DB1-Normal45"/>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7F498970" w14:textId="77777777" w:rsidR="00011DE9" w:rsidRDefault="00011DE9">
            <w:pPr>
              <w:pStyle w:val="P68B1DB1-Normal45"/>
              <w:spacing w:after="0" w:line="240" w:lineRule="auto"/>
              <w:rPr>
                <w:rFonts w:eastAsia="Times New Roman"/>
                <w:noProof/>
              </w:rPr>
            </w:pPr>
            <w:r>
              <w:rPr>
                <w:noProof/>
              </w:rPr>
              <w:t>Rapoarte finale pentru granturile legate de programul DUS 5000</w:t>
            </w:r>
          </w:p>
        </w:tc>
      </w:tr>
      <w:tr w:rsidR="00011DE9" w14:paraId="3B76068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47ADF97" w14:textId="77777777" w:rsidR="00011DE9" w:rsidRDefault="00011DE9">
            <w:pPr>
              <w:pStyle w:val="P68B1DB1-Normal45"/>
              <w:spacing w:after="0" w:line="240" w:lineRule="auto"/>
              <w:jc w:val="center"/>
              <w:rPr>
                <w:rFonts w:eastAsia="Times New Roman"/>
                <w:noProof/>
              </w:rPr>
            </w:pPr>
            <w:r>
              <w:rPr>
                <w:noProof/>
              </w:rPr>
              <w:t>37</w:t>
            </w:r>
          </w:p>
        </w:tc>
        <w:tc>
          <w:tcPr>
            <w:tcW w:w="1985" w:type="dxa"/>
            <w:tcBorders>
              <w:top w:val="single" w:sz="4" w:space="0" w:color="auto"/>
              <w:left w:val="nil"/>
              <w:bottom w:val="single" w:sz="4" w:space="0" w:color="auto"/>
              <w:right w:val="single" w:sz="4" w:space="0" w:color="auto"/>
            </w:tcBorders>
            <w:shd w:val="clear" w:color="auto" w:fill="C6EFCE"/>
            <w:noWrap/>
          </w:tcPr>
          <w:p w14:paraId="08E07A2D" w14:textId="77777777" w:rsidR="00011DE9" w:rsidRDefault="00011DE9">
            <w:pPr>
              <w:pStyle w:val="P68B1DB1-Normal45"/>
              <w:spacing w:after="0" w:line="240" w:lineRule="auto"/>
              <w:rPr>
                <w:rFonts w:eastAsia="Times New Roman"/>
                <w:noProof/>
              </w:rPr>
            </w:pPr>
            <w:r>
              <w:rPr>
                <w:noProof/>
              </w:rPr>
              <w:t>C2.I5</w:t>
            </w:r>
          </w:p>
        </w:tc>
        <w:tc>
          <w:tcPr>
            <w:tcW w:w="2268" w:type="dxa"/>
            <w:tcBorders>
              <w:top w:val="single" w:sz="4" w:space="0" w:color="auto"/>
              <w:left w:val="nil"/>
              <w:bottom w:val="single" w:sz="4" w:space="0" w:color="auto"/>
              <w:right w:val="single" w:sz="4" w:space="0" w:color="auto"/>
            </w:tcBorders>
            <w:shd w:val="clear" w:color="auto" w:fill="C6EFCE"/>
            <w:noWrap/>
          </w:tcPr>
          <w:p w14:paraId="26BBCD6B"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DC436C6" w14:textId="77777777" w:rsidR="00011DE9" w:rsidRDefault="00011DE9">
            <w:pPr>
              <w:pStyle w:val="P68B1DB1-Normal45"/>
              <w:spacing w:after="0" w:line="240" w:lineRule="auto"/>
              <w:rPr>
                <w:rFonts w:eastAsia="Times New Roman"/>
                <w:noProof/>
              </w:rPr>
            </w:pPr>
            <w:r>
              <w:rPr>
                <w:noProof/>
              </w:rPr>
              <w:t>Renovarea clădirilor publice</w:t>
            </w:r>
          </w:p>
        </w:tc>
      </w:tr>
      <w:tr w:rsidR="00011DE9" w14:paraId="351BD0F3"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9E600AD" w14:textId="77777777" w:rsidR="00011DE9" w:rsidRDefault="00011DE9">
            <w:pPr>
              <w:pStyle w:val="P68B1DB1-Normal45"/>
              <w:spacing w:after="0" w:line="240" w:lineRule="auto"/>
              <w:jc w:val="center"/>
              <w:rPr>
                <w:rFonts w:eastAsia="Times New Roman"/>
                <w:noProof/>
              </w:rPr>
            </w:pPr>
            <w:r>
              <w:rPr>
                <w:noProof/>
              </w:rPr>
              <w:t>48</w:t>
            </w:r>
          </w:p>
        </w:tc>
        <w:tc>
          <w:tcPr>
            <w:tcW w:w="1985" w:type="dxa"/>
            <w:tcBorders>
              <w:top w:val="single" w:sz="4" w:space="0" w:color="auto"/>
              <w:left w:val="nil"/>
              <w:bottom w:val="single" w:sz="4" w:space="0" w:color="auto"/>
              <w:right w:val="single" w:sz="4" w:space="0" w:color="auto"/>
            </w:tcBorders>
            <w:shd w:val="clear" w:color="auto" w:fill="C6EFCE"/>
            <w:noWrap/>
          </w:tcPr>
          <w:p w14:paraId="47B4C231" w14:textId="77777777" w:rsidR="00011DE9" w:rsidRDefault="00011DE9">
            <w:pPr>
              <w:pStyle w:val="P68B1DB1-Normal45"/>
              <w:spacing w:after="0" w:line="240" w:lineRule="auto"/>
              <w:rPr>
                <w:rFonts w:eastAsia="Times New Roman"/>
                <w:noProof/>
              </w:rPr>
            </w:pPr>
            <w:r>
              <w:rPr>
                <w:noProof/>
              </w:rPr>
              <w:t>C3.I1</w:t>
            </w:r>
          </w:p>
        </w:tc>
        <w:tc>
          <w:tcPr>
            <w:tcW w:w="2268" w:type="dxa"/>
            <w:tcBorders>
              <w:top w:val="single" w:sz="4" w:space="0" w:color="auto"/>
              <w:left w:val="nil"/>
              <w:bottom w:val="single" w:sz="4" w:space="0" w:color="auto"/>
              <w:right w:val="single" w:sz="4" w:space="0" w:color="auto"/>
            </w:tcBorders>
            <w:shd w:val="clear" w:color="auto" w:fill="C6EFCE"/>
            <w:noWrap/>
          </w:tcPr>
          <w:p w14:paraId="7C8AA75E" w14:textId="77777777" w:rsidR="00011DE9" w:rsidRDefault="00011DE9">
            <w:pPr>
              <w:pStyle w:val="P68B1DB1-Normal45"/>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6E43AB9E" w14:textId="77777777" w:rsidR="00011DE9" w:rsidRDefault="00011DE9">
            <w:pPr>
              <w:pStyle w:val="P68B1DB1-Normal45"/>
              <w:spacing w:after="0" w:line="240" w:lineRule="auto"/>
              <w:rPr>
                <w:rFonts w:eastAsia="Times New Roman"/>
                <w:noProof/>
              </w:rPr>
            </w:pPr>
            <w:r>
              <w:rPr>
                <w:noProof/>
              </w:rPr>
              <w:t>Modernizarea sistemelor de irigații</w:t>
            </w:r>
          </w:p>
        </w:tc>
      </w:tr>
      <w:tr w:rsidR="00011DE9" w14:paraId="0AD1778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72BBA32" w14:textId="77777777" w:rsidR="00011DE9" w:rsidRDefault="00011DE9">
            <w:pPr>
              <w:pStyle w:val="P68B1DB1-Normal45"/>
              <w:spacing w:after="0" w:line="240" w:lineRule="auto"/>
              <w:jc w:val="center"/>
              <w:rPr>
                <w:rFonts w:eastAsia="Times New Roman"/>
                <w:noProof/>
              </w:rPr>
            </w:pPr>
            <w:r>
              <w:rPr>
                <w:noProof/>
              </w:rPr>
              <w:t>49</w:t>
            </w:r>
          </w:p>
        </w:tc>
        <w:tc>
          <w:tcPr>
            <w:tcW w:w="1985" w:type="dxa"/>
            <w:tcBorders>
              <w:top w:val="single" w:sz="4" w:space="0" w:color="auto"/>
              <w:left w:val="nil"/>
              <w:bottom w:val="single" w:sz="4" w:space="0" w:color="auto"/>
              <w:right w:val="single" w:sz="4" w:space="0" w:color="auto"/>
            </w:tcBorders>
            <w:shd w:val="clear" w:color="auto" w:fill="C6EFCE"/>
            <w:noWrap/>
          </w:tcPr>
          <w:p w14:paraId="3392C151" w14:textId="77777777" w:rsidR="00011DE9" w:rsidRDefault="00011DE9">
            <w:pPr>
              <w:pStyle w:val="P68B1DB1-Normal45"/>
              <w:spacing w:after="0" w:line="240" w:lineRule="auto"/>
              <w:rPr>
                <w:rFonts w:eastAsia="Times New Roman"/>
                <w:noProof/>
              </w:rPr>
            </w:pPr>
            <w:r>
              <w:rPr>
                <w:noProof/>
              </w:rPr>
              <w:t>C3.I2</w:t>
            </w:r>
          </w:p>
        </w:tc>
        <w:tc>
          <w:tcPr>
            <w:tcW w:w="2268" w:type="dxa"/>
            <w:tcBorders>
              <w:top w:val="single" w:sz="4" w:space="0" w:color="auto"/>
              <w:left w:val="nil"/>
              <w:bottom w:val="single" w:sz="4" w:space="0" w:color="auto"/>
              <w:right w:val="single" w:sz="4" w:space="0" w:color="auto"/>
            </w:tcBorders>
            <w:shd w:val="clear" w:color="auto" w:fill="C6EFCE"/>
            <w:noWrap/>
          </w:tcPr>
          <w:p w14:paraId="200F2043"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F556A06" w14:textId="77777777" w:rsidR="00011DE9" w:rsidRDefault="00011DE9">
            <w:pPr>
              <w:pStyle w:val="P68B1DB1-Normal45"/>
              <w:spacing w:after="0" w:line="240" w:lineRule="auto"/>
              <w:rPr>
                <w:rFonts w:eastAsia="Times New Roman"/>
                <w:noProof/>
              </w:rPr>
            </w:pPr>
            <w:r>
              <w:rPr>
                <w:noProof/>
              </w:rPr>
              <w:t xml:space="preserve">Construirea unei instalații pentru animale cu un nivel de biosiguranță 3 </w:t>
            </w:r>
          </w:p>
        </w:tc>
      </w:tr>
      <w:tr w:rsidR="00011DE9" w14:paraId="25CF323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0E2EF3A" w14:textId="77777777" w:rsidR="00011DE9" w:rsidRDefault="00011DE9">
            <w:pPr>
              <w:pStyle w:val="P68B1DB1-Normal45"/>
              <w:spacing w:after="0" w:line="240" w:lineRule="auto"/>
              <w:jc w:val="center"/>
              <w:rPr>
                <w:rFonts w:eastAsia="Times New Roman"/>
                <w:noProof/>
              </w:rPr>
            </w:pPr>
            <w:r>
              <w:rPr>
                <w:noProof/>
              </w:rPr>
              <w:t>52</w:t>
            </w:r>
          </w:p>
        </w:tc>
        <w:tc>
          <w:tcPr>
            <w:tcW w:w="1985" w:type="dxa"/>
            <w:tcBorders>
              <w:top w:val="single" w:sz="4" w:space="0" w:color="auto"/>
              <w:left w:val="nil"/>
              <w:bottom w:val="single" w:sz="4" w:space="0" w:color="auto"/>
              <w:right w:val="single" w:sz="4" w:space="0" w:color="auto"/>
            </w:tcBorders>
            <w:shd w:val="clear" w:color="auto" w:fill="C6EFCE"/>
            <w:noWrap/>
          </w:tcPr>
          <w:p w14:paraId="3D00499B" w14:textId="77777777" w:rsidR="00011DE9" w:rsidRDefault="00011DE9">
            <w:pPr>
              <w:pStyle w:val="P68B1DB1-Normal45"/>
              <w:spacing w:after="0" w:line="240" w:lineRule="auto"/>
              <w:rPr>
                <w:rFonts w:eastAsia="Times New Roman"/>
                <w:noProof/>
              </w:rPr>
            </w:pPr>
            <w:r>
              <w:rPr>
                <w:noProof/>
              </w:rPr>
              <w:t>C3.I4</w:t>
            </w:r>
          </w:p>
        </w:tc>
        <w:tc>
          <w:tcPr>
            <w:tcW w:w="2268" w:type="dxa"/>
            <w:tcBorders>
              <w:top w:val="single" w:sz="4" w:space="0" w:color="auto"/>
              <w:left w:val="nil"/>
              <w:bottom w:val="single" w:sz="4" w:space="0" w:color="auto"/>
              <w:right w:val="single" w:sz="4" w:space="0" w:color="auto"/>
            </w:tcBorders>
            <w:shd w:val="clear" w:color="auto" w:fill="C6EFCE"/>
            <w:noWrap/>
          </w:tcPr>
          <w:p w14:paraId="4F14885D"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1C03572" w14:textId="77777777" w:rsidR="00011DE9" w:rsidRDefault="00011DE9">
            <w:pPr>
              <w:pStyle w:val="P68B1DB1-Normal45"/>
              <w:spacing w:after="0" w:line="240" w:lineRule="auto"/>
              <w:rPr>
                <w:rFonts w:eastAsia="Times New Roman"/>
                <w:noProof/>
              </w:rPr>
            </w:pPr>
            <w:r>
              <w:rPr>
                <w:noProof/>
              </w:rPr>
              <w:t>Proiecte pentru agricultura de precizie, eficiența energetică, economia circulară sau utilizarea energiei din surse regenerabile</w:t>
            </w:r>
          </w:p>
        </w:tc>
      </w:tr>
      <w:tr w:rsidR="00011DE9" w14:paraId="2D31E87E"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8C5BBED" w14:textId="77777777" w:rsidR="00011DE9" w:rsidRDefault="00011DE9">
            <w:pPr>
              <w:pStyle w:val="P68B1DB1-Normal45"/>
              <w:spacing w:after="0" w:line="240" w:lineRule="auto"/>
              <w:jc w:val="center"/>
              <w:rPr>
                <w:rFonts w:eastAsia="Times New Roman"/>
                <w:noProof/>
              </w:rPr>
            </w:pPr>
            <w:r>
              <w:rPr>
                <w:noProof/>
              </w:rPr>
              <w:t>66</w:t>
            </w:r>
          </w:p>
        </w:tc>
        <w:tc>
          <w:tcPr>
            <w:tcW w:w="1985" w:type="dxa"/>
            <w:tcBorders>
              <w:top w:val="single" w:sz="4" w:space="0" w:color="auto"/>
              <w:left w:val="nil"/>
              <w:bottom w:val="single" w:sz="4" w:space="0" w:color="auto"/>
              <w:right w:val="single" w:sz="4" w:space="0" w:color="auto"/>
            </w:tcBorders>
            <w:shd w:val="clear" w:color="auto" w:fill="C6EFCE"/>
            <w:noWrap/>
          </w:tcPr>
          <w:p w14:paraId="74C72E10" w14:textId="77777777" w:rsidR="00011DE9" w:rsidRDefault="00011DE9">
            <w:pPr>
              <w:pStyle w:val="P68B1DB1-Normal45"/>
              <w:spacing w:after="0" w:line="240" w:lineRule="auto"/>
              <w:rPr>
                <w:rFonts w:eastAsia="Times New Roman"/>
                <w:noProof/>
              </w:rPr>
            </w:pPr>
            <w:r>
              <w:rPr>
                <w:noProof/>
              </w:rPr>
              <w:t>C4.I1</w:t>
            </w:r>
          </w:p>
        </w:tc>
        <w:tc>
          <w:tcPr>
            <w:tcW w:w="2268" w:type="dxa"/>
            <w:tcBorders>
              <w:top w:val="single" w:sz="4" w:space="0" w:color="auto"/>
              <w:left w:val="nil"/>
              <w:bottom w:val="single" w:sz="4" w:space="0" w:color="auto"/>
              <w:right w:val="single" w:sz="4" w:space="0" w:color="auto"/>
            </w:tcBorders>
            <w:shd w:val="clear" w:color="auto" w:fill="C6EFCE"/>
            <w:noWrap/>
          </w:tcPr>
          <w:p w14:paraId="183F1A25"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7DABA82" w14:textId="77777777" w:rsidR="00011DE9" w:rsidRDefault="00011DE9">
            <w:pPr>
              <w:pStyle w:val="P68B1DB1-Normal45"/>
              <w:spacing w:after="0" w:line="240" w:lineRule="auto"/>
              <w:rPr>
                <w:rFonts w:eastAsia="Times New Roman"/>
                <w:noProof/>
              </w:rPr>
            </w:pPr>
            <w:r>
              <w:rPr>
                <w:noProof/>
              </w:rPr>
              <w:t>Cunoașterea biodiversității</w:t>
            </w:r>
          </w:p>
        </w:tc>
      </w:tr>
      <w:tr w:rsidR="00011DE9" w14:paraId="186452F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EB0E663" w14:textId="77777777" w:rsidR="00011DE9" w:rsidRDefault="00011DE9">
            <w:pPr>
              <w:pStyle w:val="P68B1DB1-Normal45"/>
              <w:spacing w:after="0" w:line="240" w:lineRule="auto"/>
              <w:jc w:val="center"/>
              <w:rPr>
                <w:rFonts w:eastAsia="Times New Roman"/>
                <w:noProof/>
              </w:rPr>
            </w:pPr>
            <w:r>
              <w:rPr>
                <w:noProof/>
              </w:rPr>
              <w:t>69</w:t>
            </w:r>
          </w:p>
        </w:tc>
        <w:tc>
          <w:tcPr>
            <w:tcW w:w="1985" w:type="dxa"/>
            <w:tcBorders>
              <w:top w:val="single" w:sz="4" w:space="0" w:color="auto"/>
              <w:left w:val="nil"/>
              <w:bottom w:val="single" w:sz="4" w:space="0" w:color="auto"/>
              <w:right w:val="single" w:sz="4" w:space="0" w:color="auto"/>
            </w:tcBorders>
            <w:shd w:val="clear" w:color="auto" w:fill="C6EFCE"/>
            <w:noWrap/>
          </w:tcPr>
          <w:p w14:paraId="13836226" w14:textId="77777777" w:rsidR="00011DE9" w:rsidRDefault="00011DE9">
            <w:pPr>
              <w:pStyle w:val="P68B1DB1-Normal45"/>
              <w:spacing w:after="0" w:line="240" w:lineRule="auto"/>
              <w:rPr>
                <w:rFonts w:eastAsia="Times New Roman"/>
                <w:noProof/>
              </w:rPr>
            </w:pPr>
            <w:r>
              <w:rPr>
                <w:noProof/>
              </w:rPr>
              <w:t>C4.I2</w:t>
            </w:r>
          </w:p>
        </w:tc>
        <w:tc>
          <w:tcPr>
            <w:tcW w:w="2268" w:type="dxa"/>
            <w:tcBorders>
              <w:top w:val="single" w:sz="4" w:space="0" w:color="auto"/>
              <w:left w:val="nil"/>
              <w:bottom w:val="single" w:sz="4" w:space="0" w:color="auto"/>
              <w:right w:val="single" w:sz="4" w:space="0" w:color="auto"/>
            </w:tcBorders>
            <w:shd w:val="clear" w:color="auto" w:fill="C6EFCE"/>
            <w:noWrap/>
          </w:tcPr>
          <w:p w14:paraId="3258FAC9"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A99C697" w14:textId="77777777" w:rsidR="00011DE9" w:rsidRDefault="00011DE9">
            <w:pPr>
              <w:pStyle w:val="P68B1DB1-Normal45"/>
              <w:spacing w:after="0" w:line="240" w:lineRule="auto"/>
              <w:rPr>
                <w:rFonts w:eastAsia="Times New Roman"/>
                <w:noProof/>
              </w:rPr>
            </w:pPr>
            <w:r>
              <w:rPr>
                <w:noProof/>
              </w:rPr>
              <w:t>Conservarea mediului terestru și marin</w:t>
            </w:r>
          </w:p>
        </w:tc>
      </w:tr>
      <w:tr w:rsidR="00011DE9" w14:paraId="0657CEEE"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BCFABD7" w14:textId="77777777" w:rsidR="00011DE9" w:rsidRDefault="00011DE9">
            <w:pPr>
              <w:pStyle w:val="P68B1DB1-Normal45"/>
              <w:spacing w:after="0" w:line="240" w:lineRule="auto"/>
              <w:jc w:val="center"/>
              <w:rPr>
                <w:noProof/>
              </w:rPr>
            </w:pPr>
            <w:r>
              <w:rPr>
                <w:noProof/>
              </w:rPr>
              <w:t>71</w:t>
            </w:r>
          </w:p>
        </w:tc>
        <w:tc>
          <w:tcPr>
            <w:tcW w:w="1985" w:type="dxa"/>
            <w:tcBorders>
              <w:top w:val="single" w:sz="4" w:space="0" w:color="auto"/>
              <w:left w:val="nil"/>
              <w:bottom w:val="single" w:sz="4" w:space="0" w:color="auto"/>
              <w:right w:val="single" w:sz="4" w:space="0" w:color="auto"/>
            </w:tcBorders>
            <w:shd w:val="clear" w:color="auto" w:fill="C6EFCE"/>
            <w:noWrap/>
          </w:tcPr>
          <w:p w14:paraId="49003657" w14:textId="77777777" w:rsidR="00011DE9" w:rsidRDefault="00011DE9">
            <w:pPr>
              <w:pStyle w:val="P68B1DB1-Normal45"/>
              <w:spacing w:after="0" w:line="240" w:lineRule="auto"/>
              <w:rPr>
                <w:noProof/>
              </w:rPr>
            </w:pPr>
            <w:r>
              <w:rPr>
                <w:noProof/>
              </w:rPr>
              <w:t>C4.I3</w:t>
            </w:r>
          </w:p>
        </w:tc>
        <w:tc>
          <w:tcPr>
            <w:tcW w:w="2268" w:type="dxa"/>
            <w:tcBorders>
              <w:top w:val="single" w:sz="4" w:space="0" w:color="auto"/>
              <w:left w:val="nil"/>
              <w:bottom w:val="single" w:sz="4" w:space="0" w:color="auto"/>
              <w:right w:val="single" w:sz="4" w:space="0" w:color="auto"/>
            </w:tcBorders>
            <w:shd w:val="clear" w:color="auto" w:fill="C6EFCE"/>
            <w:noWrap/>
          </w:tcPr>
          <w:p w14:paraId="28317C47"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D796D03" w14:textId="77777777" w:rsidR="00011DE9" w:rsidRDefault="00011DE9">
            <w:pPr>
              <w:pStyle w:val="P68B1DB1-Normal45"/>
              <w:spacing w:after="0" w:line="240" w:lineRule="auto"/>
              <w:rPr>
                <w:noProof/>
              </w:rPr>
            </w:pPr>
            <w:r>
              <w:rPr>
                <w:noProof/>
              </w:rPr>
              <w:t xml:space="preserve">Acțiuni de refacere a ecosistemelor </w:t>
            </w:r>
          </w:p>
        </w:tc>
      </w:tr>
      <w:tr w:rsidR="00011DE9" w14:paraId="094531D9"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AA34D5" w14:textId="77777777" w:rsidR="00011DE9" w:rsidRDefault="00011DE9">
            <w:pPr>
              <w:pStyle w:val="P68B1DB1-Normal45"/>
              <w:spacing w:after="0" w:line="240" w:lineRule="auto"/>
              <w:jc w:val="center"/>
              <w:rPr>
                <w:rFonts w:eastAsia="Times New Roman"/>
                <w:noProof/>
              </w:rPr>
            </w:pPr>
            <w:r>
              <w:rPr>
                <w:noProof/>
              </w:rPr>
              <w:t>72</w:t>
            </w:r>
          </w:p>
        </w:tc>
        <w:tc>
          <w:tcPr>
            <w:tcW w:w="1985" w:type="dxa"/>
            <w:tcBorders>
              <w:top w:val="single" w:sz="4" w:space="0" w:color="auto"/>
              <w:left w:val="nil"/>
              <w:bottom w:val="single" w:sz="4" w:space="0" w:color="auto"/>
              <w:right w:val="single" w:sz="4" w:space="0" w:color="auto"/>
            </w:tcBorders>
            <w:shd w:val="clear" w:color="auto" w:fill="C6EFCE"/>
            <w:noWrap/>
          </w:tcPr>
          <w:p w14:paraId="29B9CE4F" w14:textId="77777777" w:rsidR="00011DE9" w:rsidRDefault="00011DE9">
            <w:pPr>
              <w:pStyle w:val="P68B1DB1-Normal45"/>
              <w:spacing w:after="0" w:line="240" w:lineRule="auto"/>
              <w:rPr>
                <w:rFonts w:eastAsia="Times New Roman"/>
                <w:noProof/>
              </w:rPr>
            </w:pPr>
            <w:r>
              <w:rPr>
                <w:noProof/>
              </w:rPr>
              <w:t>C4.I3</w:t>
            </w:r>
          </w:p>
        </w:tc>
        <w:tc>
          <w:tcPr>
            <w:tcW w:w="2268" w:type="dxa"/>
            <w:tcBorders>
              <w:top w:val="single" w:sz="4" w:space="0" w:color="auto"/>
              <w:left w:val="nil"/>
              <w:bottom w:val="single" w:sz="4" w:space="0" w:color="auto"/>
              <w:right w:val="single" w:sz="4" w:space="0" w:color="auto"/>
            </w:tcBorders>
            <w:shd w:val="clear" w:color="auto" w:fill="C6EFCE"/>
            <w:noWrap/>
          </w:tcPr>
          <w:p w14:paraId="582C7B26"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D7D4176" w14:textId="77777777" w:rsidR="00011DE9" w:rsidRDefault="00011DE9">
            <w:pPr>
              <w:pStyle w:val="P68B1DB1-Normal45"/>
              <w:spacing w:after="0" w:line="240" w:lineRule="auto"/>
              <w:rPr>
                <w:rFonts w:eastAsia="Times New Roman"/>
                <w:noProof/>
              </w:rPr>
            </w:pPr>
            <w:r>
              <w:rPr>
                <w:noProof/>
              </w:rPr>
              <w:t>Reabilitarea fostelor exploatări miniere</w:t>
            </w:r>
          </w:p>
        </w:tc>
      </w:tr>
      <w:tr w:rsidR="00011DE9" w14:paraId="20CD206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E960D7A" w14:textId="77777777" w:rsidR="00011DE9" w:rsidRDefault="00011DE9">
            <w:pPr>
              <w:pStyle w:val="P68B1DB1-Normal45"/>
              <w:spacing w:after="0" w:line="240" w:lineRule="auto"/>
              <w:jc w:val="center"/>
              <w:rPr>
                <w:rFonts w:eastAsia="Times New Roman"/>
                <w:noProof/>
              </w:rPr>
            </w:pPr>
            <w:r>
              <w:rPr>
                <w:noProof/>
              </w:rPr>
              <w:t>425</w:t>
            </w:r>
          </w:p>
        </w:tc>
        <w:tc>
          <w:tcPr>
            <w:tcW w:w="1985" w:type="dxa"/>
            <w:tcBorders>
              <w:top w:val="single" w:sz="4" w:space="0" w:color="auto"/>
              <w:left w:val="nil"/>
              <w:bottom w:val="single" w:sz="4" w:space="0" w:color="auto"/>
              <w:right w:val="single" w:sz="4" w:space="0" w:color="auto"/>
            </w:tcBorders>
            <w:shd w:val="clear" w:color="auto" w:fill="C6EFCE"/>
            <w:noWrap/>
          </w:tcPr>
          <w:p w14:paraId="1D8FCB47" w14:textId="77777777" w:rsidR="00011DE9" w:rsidRDefault="00011DE9">
            <w:pPr>
              <w:pStyle w:val="P68B1DB1-Normal45"/>
              <w:spacing w:after="0" w:line="240" w:lineRule="auto"/>
              <w:rPr>
                <w:rFonts w:eastAsia="Times New Roman"/>
                <w:noProof/>
              </w:rPr>
            </w:pPr>
            <w:r>
              <w:rPr>
                <w:noProof/>
              </w:rPr>
              <w:t>C4.I4</w:t>
            </w:r>
          </w:p>
        </w:tc>
        <w:tc>
          <w:tcPr>
            <w:tcW w:w="2268" w:type="dxa"/>
            <w:tcBorders>
              <w:top w:val="single" w:sz="4" w:space="0" w:color="auto"/>
              <w:left w:val="nil"/>
              <w:bottom w:val="single" w:sz="4" w:space="0" w:color="auto"/>
              <w:right w:val="single" w:sz="4" w:space="0" w:color="auto"/>
            </w:tcBorders>
            <w:shd w:val="clear" w:color="auto" w:fill="C6EFCE"/>
            <w:noWrap/>
          </w:tcPr>
          <w:p w14:paraId="307620FC"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EDC343F" w14:textId="77777777" w:rsidR="00011DE9" w:rsidRDefault="00011DE9">
            <w:pPr>
              <w:pStyle w:val="P68B1DB1-Normal45"/>
              <w:spacing w:after="0" w:line="240" w:lineRule="auto"/>
              <w:rPr>
                <w:rFonts w:eastAsia="Times New Roman"/>
                <w:noProof/>
              </w:rPr>
            </w:pPr>
            <w:r>
              <w:rPr>
                <w:noProof/>
              </w:rPr>
              <w:t>Acțiuni privind gestionarea pădurilor</w:t>
            </w:r>
          </w:p>
        </w:tc>
      </w:tr>
      <w:tr w:rsidR="00011DE9" w14:paraId="3E4DB7DA"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8615FF1" w14:textId="77777777" w:rsidR="00011DE9" w:rsidRDefault="00011DE9">
            <w:pPr>
              <w:pStyle w:val="P68B1DB1-Normal45"/>
              <w:spacing w:after="0" w:line="240" w:lineRule="auto"/>
              <w:jc w:val="center"/>
              <w:rPr>
                <w:noProof/>
              </w:rPr>
            </w:pPr>
            <w:r>
              <w:rPr>
                <w:noProof/>
              </w:rPr>
              <w:t>427</w:t>
            </w:r>
          </w:p>
        </w:tc>
        <w:tc>
          <w:tcPr>
            <w:tcW w:w="1985" w:type="dxa"/>
            <w:tcBorders>
              <w:top w:val="single" w:sz="4" w:space="0" w:color="auto"/>
              <w:left w:val="nil"/>
              <w:bottom w:val="single" w:sz="4" w:space="0" w:color="auto"/>
              <w:right w:val="single" w:sz="4" w:space="0" w:color="auto"/>
            </w:tcBorders>
            <w:shd w:val="clear" w:color="auto" w:fill="C6EFCE"/>
            <w:noWrap/>
          </w:tcPr>
          <w:p w14:paraId="4AAA8DCC" w14:textId="77777777" w:rsidR="00011DE9" w:rsidRDefault="00011DE9">
            <w:pPr>
              <w:pStyle w:val="P68B1DB1-Normal45"/>
              <w:spacing w:after="0" w:line="240" w:lineRule="auto"/>
              <w:rPr>
                <w:noProof/>
              </w:rPr>
            </w:pPr>
            <w:r>
              <w:rPr>
                <w:noProof/>
              </w:rPr>
              <w:t>C5.I1</w:t>
            </w:r>
          </w:p>
        </w:tc>
        <w:tc>
          <w:tcPr>
            <w:tcW w:w="2268" w:type="dxa"/>
            <w:tcBorders>
              <w:top w:val="single" w:sz="4" w:space="0" w:color="auto"/>
              <w:left w:val="nil"/>
              <w:bottom w:val="single" w:sz="4" w:space="0" w:color="auto"/>
              <w:right w:val="single" w:sz="4" w:space="0" w:color="auto"/>
            </w:tcBorders>
            <w:shd w:val="clear" w:color="auto" w:fill="C6EFCE"/>
            <w:noWrap/>
          </w:tcPr>
          <w:p w14:paraId="0C0E9EA8"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27E95AD0" w14:textId="77777777" w:rsidR="00011DE9" w:rsidRDefault="00011DE9">
            <w:pPr>
              <w:pStyle w:val="P68B1DB1-Normal45"/>
              <w:spacing w:after="0" w:line="240" w:lineRule="auto"/>
              <w:rPr>
                <w:noProof/>
              </w:rPr>
            </w:pPr>
            <w:r>
              <w:rPr>
                <w:noProof/>
              </w:rPr>
              <w:t>Construirea sau renovarea infrastructurilor de tratare a apei și a apelor uzate</w:t>
            </w:r>
          </w:p>
        </w:tc>
      </w:tr>
      <w:tr w:rsidR="00011DE9" w14:paraId="1F65F4CD"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692FB50" w14:textId="77777777" w:rsidR="00011DE9" w:rsidRDefault="00011DE9">
            <w:pPr>
              <w:pStyle w:val="P68B1DB1-Normal45"/>
              <w:spacing w:after="0" w:line="240" w:lineRule="auto"/>
              <w:jc w:val="center"/>
              <w:rPr>
                <w:rFonts w:eastAsia="Times New Roman"/>
                <w:noProof/>
              </w:rPr>
            </w:pPr>
            <w:r>
              <w:rPr>
                <w:noProof/>
              </w:rPr>
              <w:t>428</w:t>
            </w:r>
          </w:p>
        </w:tc>
        <w:tc>
          <w:tcPr>
            <w:tcW w:w="1985" w:type="dxa"/>
            <w:tcBorders>
              <w:top w:val="single" w:sz="4" w:space="0" w:color="auto"/>
              <w:left w:val="nil"/>
              <w:bottom w:val="single" w:sz="4" w:space="0" w:color="auto"/>
              <w:right w:val="single" w:sz="4" w:space="0" w:color="auto"/>
            </w:tcBorders>
            <w:shd w:val="clear" w:color="auto" w:fill="C6EFCE"/>
            <w:noWrap/>
          </w:tcPr>
          <w:p w14:paraId="0FC01318" w14:textId="77777777" w:rsidR="00011DE9" w:rsidRDefault="00011DE9">
            <w:pPr>
              <w:pStyle w:val="P68B1DB1-Normal45"/>
              <w:spacing w:after="0" w:line="240" w:lineRule="auto"/>
              <w:rPr>
                <w:rFonts w:eastAsia="Times New Roman"/>
                <w:noProof/>
              </w:rPr>
            </w:pPr>
            <w:r>
              <w:rPr>
                <w:noProof/>
              </w:rPr>
              <w:t>C5.I1</w:t>
            </w:r>
          </w:p>
        </w:tc>
        <w:tc>
          <w:tcPr>
            <w:tcW w:w="2268" w:type="dxa"/>
            <w:tcBorders>
              <w:top w:val="single" w:sz="4" w:space="0" w:color="auto"/>
              <w:left w:val="nil"/>
              <w:bottom w:val="single" w:sz="4" w:space="0" w:color="auto"/>
              <w:right w:val="single" w:sz="4" w:space="0" w:color="auto"/>
            </w:tcBorders>
            <w:shd w:val="clear" w:color="auto" w:fill="C6EFCE"/>
            <w:noWrap/>
          </w:tcPr>
          <w:p w14:paraId="56A929D4"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2B68701" w14:textId="77777777" w:rsidR="00011DE9" w:rsidRDefault="00011DE9">
            <w:pPr>
              <w:pStyle w:val="P68B1DB1-Normal45"/>
              <w:spacing w:after="0" w:line="240" w:lineRule="auto"/>
              <w:rPr>
                <w:rFonts w:eastAsia="Times New Roman"/>
                <w:noProof/>
              </w:rPr>
            </w:pPr>
            <w:r>
              <w:rPr>
                <w:noProof/>
              </w:rPr>
              <w:t xml:space="preserve">Siguranța barajelor și a rezervoarelor </w:t>
            </w:r>
          </w:p>
        </w:tc>
      </w:tr>
      <w:tr w:rsidR="00011DE9" w14:paraId="20F65F1F"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56D223C" w14:textId="77777777" w:rsidR="00011DE9" w:rsidRDefault="00011DE9">
            <w:pPr>
              <w:pStyle w:val="P68B1DB1-Normal45"/>
              <w:spacing w:after="0" w:line="240" w:lineRule="auto"/>
              <w:jc w:val="center"/>
              <w:rPr>
                <w:rFonts w:eastAsia="Times New Roman"/>
                <w:noProof/>
              </w:rPr>
            </w:pPr>
            <w:r>
              <w:rPr>
                <w:noProof/>
              </w:rPr>
              <w:t>77bis</w:t>
            </w:r>
          </w:p>
        </w:tc>
        <w:tc>
          <w:tcPr>
            <w:tcW w:w="1985" w:type="dxa"/>
            <w:tcBorders>
              <w:top w:val="single" w:sz="4" w:space="0" w:color="auto"/>
              <w:left w:val="nil"/>
              <w:bottom w:val="single" w:sz="4" w:space="0" w:color="auto"/>
              <w:right w:val="single" w:sz="4" w:space="0" w:color="auto"/>
            </w:tcBorders>
            <w:shd w:val="clear" w:color="auto" w:fill="C6EFCE"/>
            <w:noWrap/>
          </w:tcPr>
          <w:p w14:paraId="66C70F64" w14:textId="77777777" w:rsidR="00011DE9" w:rsidRDefault="00011DE9">
            <w:pPr>
              <w:pStyle w:val="P68B1DB1-Normal45"/>
              <w:spacing w:after="0" w:line="240" w:lineRule="auto"/>
              <w:rPr>
                <w:rFonts w:eastAsia="Times New Roman"/>
                <w:noProof/>
              </w:rPr>
            </w:pPr>
            <w:r>
              <w:rPr>
                <w:noProof/>
              </w:rPr>
              <w:t>C5.I2</w:t>
            </w:r>
          </w:p>
        </w:tc>
        <w:tc>
          <w:tcPr>
            <w:tcW w:w="2268" w:type="dxa"/>
            <w:tcBorders>
              <w:top w:val="single" w:sz="4" w:space="0" w:color="auto"/>
              <w:left w:val="nil"/>
              <w:bottom w:val="single" w:sz="4" w:space="0" w:color="auto"/>
              <w:right w:val="single" w:sz="4" w:space="0" w:color="auto"/>
            </w:tcBorders>
            <w:shd w:val="clear" w:color="auto" w:fill="C6EFCE"/>
            <w:noWrap/>
          </w:tcPr>
          <w:p w14:paraId="7DA666FC"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3C9D4D2" w14:textId="77777777" w:rsidR="00011DE9" w:rsidRDefault="00011DE9">
            <w:pPr>
              <w:pStyle w:val="P68B1DB1-Normal45"/>
              <w:spacing w:after="0" w:line="240" w:lineRule="auto"/>
              <w:rPr>
                <w:rFonts w:eastAsia="Times New Roman"/>
                <w:noProof/>
              </w:rPr>
            </w:pPr>
            <w:r>
              <w:rPr>
                <w:noProof/>
              </w:rPr>
              <w:t>Monitorizarea și refacerea râurilor</w:t>
            </w:r>
          </w:p>
        </w:tc>
      </w:tr>
      <w:tr w:rsidR="00011DE9" w14:paraId="2AA821B3"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6ABF238" w14:textId="77777777" w:rsidR="00011DE9" w:rsidRDefault="00011DE9">
            <w:pPr>
              <w:pStyle w:val="P68B1DB1-Normal45"/>
              <w:spacing w:after="0" w:line="240" w:lineRule="auto"/>
              <w:jc w:val="center"/>
              <w:rPr>
                <w:rFonts w:eastAsia="Times New Roman"/>
                <w:noProof/>
              </w:rPr>
            </w:pPr>
            <w:r>
              <w:rPr>
                <w:noProof/>
              </w:rPr>
              <w:t>78</w:t>
            </w:r>
          </w:p>
        </w:tc>
        <w:tc>
          <w:tcPr>
            <w:tcW w:w="1985" w:type="dxa"/>
            <w:tcBorders>
              <w:top w:val="single" w:sz="4" w:space="0" w:color="auto"/>
              <w:left w:val="nil"/>
              <w:bottom w:val="single" w:sz="4" w:space="0" w:color="auto"/>
              <w:right w:val="single" w:sz="4" w:space="0" w:color="auto"/>
            </w:tcBorders>
            <w:shd w:val="clear" w:color="auto" w:fill="C6EFCE"/>
            <w:noWrap/>
          </w:tcPr>
          <w:p w14:paraId="2D780C89" w14:textId="77777777" w:rsidR="00011DE9" w:rsidRDefault="00011DE9">
            <w:pPr>
              <w:pStyle w:val="P68B1DB1-Normal45"/>
              <w:spacing w:after="0" w:line="240" w:lineRule="auto"/>
              <w:rPr>
                <w:rFonts w:eastAsia="Times New Roman"/>
                <w:noProof/>
              </w:rPr>
            </w:pPr>
            <w:r>
              <w:rPr>
                <w:noProof/>
              </w:rPr>
              <w:t>C5.I2</w:t>
            </w:r>
          </w:p>
        </w:tc>
        <w:tc>
          <w:tcPr>
            <w:tcW w:w="2268" w:type="dxa"/>
            <w:tcBorders>
              <w:top w:val="single" w:sz="4" w:space="0" w:color="auto"/>
              <w:left w:val="nil"/>
              <w:bottom w:val="single" w:sz="4" w:space="0" w:color="auto"/>
              <w:right w:val="single" w:sz="4" w:space="0" w:color="auto"/>
            </w:tcBorders>
            <w:shd w:val="clear" w:color="auto" w:fill="C6EFCE"/>
            <w:noWrap/>
          </w:tcPr>
          <w:p w14:paraId="7185B477"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1692B1F" w14:textId="77777777" w:rsidR="00011DE9" w:rsidRDefault="00011DE9">
            <w:pPr>
              <w:pStyle w:val="P68B1DB1-Normal45"/>
              <w:spacing w:after="0" w:line="240" w:lineRule="auto"/>
              <w:rPr>
                <w:rFonts w:eastAsia="Times New Roman"/>
                <w:noProof/>
              </w:rPr>
            </w:pPr>
            <w:r>
              <w:rPr>
                <w:noProof/>
              </w:rPr>
              <w:t>Construirea sau renovarea infrastructurii de alimentare cu apă pentru irigații</w:t>
            </w:r>
          </w:p>
        </w:tc>
      </w:tr>
      <w:tr w:rsidR="00011DE9" w14:paraId="73F3769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F2196EA" w14:textId="77777777" w:rsidR="00011DE9" w:rsidRDefault="00011DE9">
            <w:pPr>
              <w:pStyle w:val="P68B1DB1-Normal45"/>
              <w:spacing w:after="0" w:line="240" w:lineRule="auto"/>
              <w:jc w:val="center"/>
              <w:rPr>
                <w:rFonts w:eastAsia="Times New Roman"/>
                <w:noProof/>
              </w:rPr>
            </w:pPr>
            <w:r>
              <w:rPr>
                <w:noProof/>
              </w:rPr>
              <w:t>430</w:t>
            </w:r>
          </w:p>
        </w:tc>
        <w:tc>
          <w:tcPr>
            <w:tcW w:w="1985" w:type="dxa"/>
            <w:tcBorders>
              <w:top w:val="single" w:sz="4" w:space="0" w:color="auto"/>
              <w:left w:val="nil"/>
              <w:bottom w:val="single" w:sz="4" w:space="0" w:color="auto"/>
              <w:right w:val="single" w:sz="4" w:space="0" w:color="auto"/>
            </w:tcBorders>
            <w:shd w:val="clear" w:color="auto" w:fill="C6EFCE"/>
            <w:noWrap/>
          </w:tcPr>
          <w:p w14:paraId="16A73C0B" w14:textId="77777777" w:rsidR="00011DE9" w:rsidRDefault="00011DE9">
            <w:pPr>
              <w:pStyle w:val="P68B1DB1-Normal45"/>
              <w:spacing w:after="0" w:line="240" w:lineRule="auto"/>
              <w:rPr>
                <w:rFonts w:eastAsia="Times New Roman"/>
                <w:noProof/>
              </w:rPr>
            </w:pPr>
            <w:r>
              <w:rPr>
                <w:noProof/>
              </w:rPr>
              <w:t>C5.I3</w:t>
            </w:r>
          </w:p>
        </w:tc>
        <w:tc>
          <w:tcPr>
            <w:tcW w:w="2268" w:type="dxa"/>
            <w:tcBorders>
              <w:top w:val="single" w:sz="4" w:space="0" w:color="auto"/>
              <w:left w:val="nil"/>
              <w:bottom w:val="single" w:sz="4" w:space="0" w:color="auto"/>
              <w:right w:val="single" w:sz="4" w:space="0" w:color="auto"/>
            </w:tcBorders>
            <w:shd w:val="clear" w:color="auto" w:fill="C6EFCE"/>
            <w:noWrap/>
          </w:tcPr>
          <w:p w14:paraId="28B72BD8"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619B9A4" w14:textId="77777777" w:rsidR="00011DE9" w:rsidRDefault="00011DE9">
            <w:pPr>
              <w:pStyle w:val="P68B1DB1-Normal45"/>
              <w:spacing w:after="0" w:line="240" w:lineRule="auto"/>
              <w:rPr>
                <w:rFonts w:eastAsia="Times New Roman"/>
                <w:noProof/>
              </w:rPr>
            </w:pPr>
            <w:r>
              <w:rPr>
                <w:noProof/>
              </w:rPr>
              <w:t>PERTE pentru digitalizarea utilizatorilor de apă</w:t>
            </w:r>
          </w:p>
        </w:tc>
      </w:tr>
      <w:tr w:rsidR="00011DE9" w14:paraId="42875200"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E192032" w14:textId="77777777" w:rsidR="00011DE9" w:rsidRDefault="00011DE9">
            <w:pPr>
              <w:pStyle w:val="P68B1DB1-Normal45"/>
              <w:spacing w:after="0" w:line="240" w:lineRule="auto"/>
              <w:jc w:val="center"/>
              <w:rPr>
                <w:rFonts w:eastAsia="Times New Roman"/>
                <w:noProof/>
              </w:rPr>
            </w:pPr>
            <w:r>
              <w:rPr>
                <w:noProof/>
              </w:rPr>
              <w:t>426</w:t>
            </w:r>
          </w:p>
        </w:tc>
        <w:tc>
          <w:tcPr>
            <w:tcW w:w="1985" w:type="dxa"/>
            <w:tcBorders>
              <w:top w:val="single" w:sz="4" w:space="0" w:color="auto"/>
              <w:left w:val="nil"/>
              <w:bottom w:val="single" w:sz="4" w:space="0" w:color="auto"/>
              <w:right w:val="single" w:sz="4" w:space="0" w:color="auto"/>
            </w:tcBorders>
            <w:shd w:val="clear" w:color="auto" w:fill="C6EFCE"/>
            <w:noWrap/>
          </w:tcPr>
          <w:p w14:paraId="04F517ED" w14:textId="77777777" w:rsidR="00011DE9" w:rsidRDefault="00011DE9">
            <w:pPr>
              <w:pStyle w:val="P68B1DB1-Normal45"/>
              <w:spacing w:after="0" w:line="240" w:lineRule="auto"/>
              <w:rPr>
                <w:rFonts w:eastAsia="Times New Roman"/>
                <w:noProof/>
              </w:rPr>
            </w:pPr>
            <w:r>
              <w:rPr>
                <w:noProof/>
              </w:rPr>
              <w:t>C5.I3</w:t>
            </w:r>
          </w:p>
        </w:tc>
        <w:tc>
          <w:tcPr>
            <w:tcW w:w="2268" w:type="dxa"/>
            <w:tcBorders>
              <w:top w:val="single" w:sz="4" w:space="0" w:color="auto"/>
              <w:left w:val="nil"/>
              <w:bottom w:val="single" w:sz="4" w:space="0" w:color="auto"/>
              <w:right w:val="single" w:sz="4" w:space="0" w:color="auto"/>
            </w:tcBorders>
            <w:shd w:val="clear" w:color="auto" w:fill="C6EFCE"/>
            <w:noWrap/>
          </w:tcPr>
          <w:p w14:paraId="49A398F1"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42F3815" w14:textId="77777777" w:rsidR="00011DE9" w:rsidRDefault="00011DE9">
            <w:pPr>
              <w:pStyle w:val="P68B1DB1-Normal45"/>
              <w:spacing w:after="0" w:line="240" w:lineRule="auto"/>
              <w:rPr>
                <w:rFonts w:eastAsia="Times New Roman"/>
                <w:noProof/>
              </w:rPr>
            </w:pPr>
            <w:r>
              <w:rPr>
                <w:noProof/>
              </w:rPr>
              <w:t>Radare și digitalizarea proceselor hidrologice sau meteorologice</w:t>
            </w:r>
          </w:p>
        </w:tc>
      </w:tr>
      <w:tr w:rsidR="00011DE9" w14:paraId="1F4AFAEE"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C6191B4" w14:textId="77777777" w:rsidR="00011DE9" w:rsidRDefault="00011DE9">
            <w:pPr>
              <w:pStyle w:val="P68B1DB1-Normal45"/>
              <w:spacing w:after="0" w:line="240" w:lineRule="auto"/>
              <w:jc w:val="center"/>
              <w:rPr>
                <w:rFonts w:eastAsia="Times New Roman"/>
                <w:noProof/>
              </w:rPr>
            </w:pPr>
            <w:r>
              <w:rPr>
                <w:noProof/>
              </w:rPr>
              <w:t>81b</w:t>
            </w:r>
          </w:p>
        </w:tc>
        <w:tc>
          <w:tcPr>
            <w:tcW w:w="1985" w:type="dxa"/>
            <w:tcBorders>
              <w:top w:val="single" w:sz="4" w:space="0" w:color="auto"/>
              <w:left w:val="nil"/>
              <w:bottom w:val="single" w:sz="4" w:space="0" w:color="auto"/>
              <w:right w:val="single" w:sz="4" w:space="0" w:color="auto"/>
            </w:tcBorders>
            <w:shd w:val="clear" w:color="auto" w:fill="C6EFCE"/>
            <w:noWrap/>
          </w:tcPr>
          <w:p w14:paraId="261FA013" w14:textId="77777777" w:rsidR="00011DE9" w:rsidRDefault="00011DE9">
            <w:pPr>
              <w:pStyle w:val="P68B1DB1-Normal45"/>
              <w:spacing w:after="0" w:line="240" w:lineRule="auto"/>
              <w:rPr>
                <w:rFonts w:eastAsia="Times New Roman"/>
                <w:noProof/>
              </w:rPr>
            </w:pPr>
            <w:r>
              <w:rPr>
                <w:noProof/>
              </w:rPr>
              <w:t>C5.I4</w:t>
            </w:r>
          </w:p>
        </w:tc>
        <w:tc>
          <w:tcPr>
            <w:tcW w:w="2268" w:type="dxa"/>
            <w:tcBorders>
              <w:top w:val="single" w:sz="4" w:space="0" w:color="auto"/>
              <w:left w:val="nil"/>
              <w:bottom w:val="single" w:sz="4" w:space="0" w:color="auto"/>
              <w:right w:val="single" w:sz="4" w:space="0" w:color="auto"/>
            </w:tcBorders>
            <w:shd w:val="clear" w:color="auto" w:fill="C6EFCE"/>
            <w:noWrap/>
          </w:tcPr>
          <w:p w14:paraId="264CD225" w14:textId="77777777" w:rsidR="00011DE9" w:rsidRDefault="00011DE9">
            <w:pPr>
              <w:pStyle w:val="P68B1DB1-Normal45"/>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6C2695BA" w14:textId="77777777" w:rsidR="00011DE9" w:rsidRDefault="00011DE9">
            <w:pPr>
              <w:pStyle w:val="P68B1DB1-Normal45"/>
              <w:spacing w:after="0" w:line="240" w:lineRule="auto"/>
              <w:rPr>
                <w:rFonts w:eastAsia="Times New Roman"/>
                <w:noProof/>
              </w:rPr>
            </w:pPr>
            <w:r>
              <w:rPr>
                <w:noProof/>
              </w:rPr>
              <w:t>Refacerea zonelor și a ecosistemelor degradate</w:t>
            </w:r>
          </w:p>
        </w:tc>
      </w:tr>
      <w:tr w:rsidR="00011DE9" w14:paraId="2E6988FA"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A8947C4" w14:textId="77777777" w:rsidR="00011DE9" w:rsidRDefault="00011DE9">
            <w:pPr>
              <w:pStyle w:val="P68B1DB1-Normal45"/>
              <w:spacing w:after="0" w:line="240" w:lineRule="auto"/>
              <w:jc w:val="center"/>
              <w:rPr>
                <w:rFonts w:eastAsia="Times New Roman"/>
                <w:noProof/>
              </w:rPr>
            </w:pPr>
            <w:r>
              <w:rPr>
                <w:noProof/>
              </w:rPr>
              <w:t>87</w:t>
            </w:r>
          </w:p>
        </w:tc>
        <w:tc>
          <w:tcPr>
            <w:tcW w:w="1985" w:type="dxa"/>
            <w:tcBorders>
              <w:top w:val="single" w:sz="4" w:space="0" w:color="auto"/>
              <w:left w:val="nil"/>
              <w:bottom w:val="single" w:sz="4" w:space="0" w:color="auto"/>
              <w:right w:val="single" w:sz="4" w:space="0" w:color="auto"/>
            </w:tcBorders>
            <w:shd w:val="clear" w:color="auto" w:fill="C6EFCE"/>
            <w:noWrap/>
          </w:tcPr>
          <w:p w14:paraId="1F92F2BC" w14:textId="77777777" w:rsidR="00011DE9" w:rsidRDefault="00011DE9">
            <w:pPr>
              <w:pStyle w:val="P68B1DB1-Normal45"/>
              <w:spacing w:after="0" w:line="240" w:lineRule="auto"/>
              <w:rPr>
                <w:rFonts w:eastAsia="Times New Roman"/>
                <w:noProof/>
              </w:rPr>
            </w:pPr>
            <w:r>
              <w:rPr>
                <w:noProof/>
              </w:rPr>
              <w:t>C6.I1</w:t>
            </w:r>
          </w:p>
        </w:tc>
        <w:tc>
          <w:tcPr>
            <w:tcW w:w="2268" w:type="dxa"/>
            <w:tcBorders>
              <w:top w:val="single" w:sz="4" w:space="0" w:color="auto"/>
              <w:left w:val="nil"/>
              <w:bottom w:val="single" w:sz="4" w:space="0" w:color="auto"/>
              <w:right w:val="single" w:sz="4" w:space="0" w:color="auto"/>
            </w:tcBorders>
            <w:shd w:val="clear" w:color="auto" w:fill="C6EFCE"/>
            <w:noWrap/>
          </w:tcPr>
          <w:p w14:paraId="6376E98A"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3EA4BC4" w14:textId="77777777" w:rsidR="00011DE9" w:rsidRDefault="00011DE9">
            <w:pPr>
              <w:pStyle w:val="P68B1DB1-Normal45"/>
              <w:spacing w:after="0" w:line="240" w:lineRule="auto"/>
              <w:rPr>
                <w:rFonts w:eastAsia="Times New Roman"/>
                <w:noProof/>
              </w:rPr>
            </w:pPr>
            <w:r>
              <w:rPr>
                <w:noProof/>
              </w:rPr>
              <w:t>Rețeaua TEN-T centrală: contracte executate</w:t>
            </w:r>
          </w:p>
        </w:tc>
      </w:tr>
      <w:tr w:rsidR="00011DE9" w14:paraId="15E93C0D"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1B8B271" w14:textId="77777777" w:rsidR="00011DE9" w:rsidRDefault="00011DE9">
            <w:pPr>
              <w:pStyle w:val="P68B1DB1-Normal45"/>
              <w:spacing w:after="0" w:line="240" w:lineRule="auto"/>
              <w:jc w:val="center"/>
              <w:rPr>
                <w:rFonts w:eastAsia="Times New Roman"/>
                <w:noProof/>
              </w:rPr>
            </w:pPr>
            <w:r>
              <w:rPr>
                <w:noProof/>
              </w:rPr>
              <w:t>92</w:t>
            </w:r>
          </w:p>
        </w:tc>
        <w:tc>
          <w:tcPr>
            <w:tcW w:w="1985" w:type="dxa"/>
            <w:tcBorders>
              <w:top w:val="single" w:sz="4" w:space="0" w:color="auto"/>
              <w:left w:val="nil"/>
              <w:bottom w:val="single" w:sz="4" w:space="0" w:color="auto"/>
              <w:right w:val="single" w:sz="4" w:space="0" w:color="auto"/>
            </w:tcBorders>
            <w:shd w:val="clear" w:color="auto" w:fill="C6EFCE"/>
            <w:noWrap/>
          </w:tcPr>
          <w:p w14:paraId="45A267CD" w14:textId="77777777" w:rsidR="00011DE9" w:rsidRDefault="00011DE9">
            <w:pPr>
              <w:pStyle w:val="P68B1DB1-Normal45"/>
              <w:spacing w:after="0" w:line="240" w:lineRule="auto"/>
              <w:rPr>
                <w:rFonts w:eastAsia="Times New Roman"/>
                <w:noProof/>
              </w:rPr>
            </w:pPr>
            <w:r>
              <w:rPr>
                <w:noProof/>
              </w:rPr>
              <w:t>C6.I2</w:t>
            </w:r>
          </w:p>
        </w:tc>
        <w:tc>
          <w:tcPr>
            <w:tcW w:w="2268" w:type="dxa"/>
            <w:tcBorders>
              <w:top w:val="single" w:sz="4" w:space="0" w:color="auto"/>
              <w:left w:val="nil"/>
              <w:bottom w:val="single" w:sz="4" w:space="0" w:color="auto"/>
              <w:right w:val="single" w:sz="4" w:space="0" w:color="auto"/>
            </w:tcBorders>
            <w:shd w:val="clear" w:color="auto" w:fill="C6EFCE"/>
            <w:noWrap/>
          </w:tcPr>
          <w:p w14:paraId="0274F9A5"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5C99DE12" w14:textId="77777777" w:rsidR="00011DE9" w:rsidRDefault="00011DE9">
            <w:pPr>
              <w:pStyle w:val="P68B1DB1-Normal45"/>
              <w:spacing w:after="0" w:line="240" w:lineRule="auto"/>
              <w:rPr>
                <w:rFonts w:eastAsia="Times New Roman"/>
                <w:noProof/>
              </w:rPr>
            </w:pPr>
            <w:r>
              <w:rPr>
                <w:noProof/>
              </w:rPr>
              <w:t>Rețeaua TEN-T, cu excepția coridoarelor: contracte executate</w:t>
            </w:r>
          </w:p>
        </w:tc>
      </w:tr>
      <w:tr w:rsidR="00011DE9" w14:paraId="3496D21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FB16B3B" w14:textId="77777777" w:rsidR="00011DE9" w:rsidRDefault="00011DE9">
            <w:pPr>
              <w:pStyle w:val="P68B1DB1-Normal45"/>
              <w:spacing w:after="0" w:line="240" w:lineRule="auto"/>
              <w:jc w:val="center"/>
              <w:rPr>
                <w:rFonts w:eastAsia="Times New Roman"/>
                <w:noProof/>
              </w:rPr>
            </w:pPr>
            <w:r>
              <w:rPr>
                <w:noProof/>
              </w:rPr>
              <w:t>93</w:t>
            </w:r>
          </w:p>
        </w:tc>
        <w:tc>
          <w:tcPr>
            <w:tcW w:w="1985" w:type="dxa"/>
            <w:tcBorders>
              <w:top w:val="single" w:sz="4" w:space="0" w:color="auto"/>
              <w:left w:val="nil"/>
              <w:bottom w:val="single" w:sz="4" w:space="0" w:color="auto"/>
              <w:right w:val="single" w:sz="4" w:space="0" w:color="auto"/>
            </w:tcBorders>
            <w:shd w:val="clear" w:color="auto" w:fill="C6EFCE"/>
            <w:noWrap/>
          </w:tcPr>
          <w:p w14:paraId="446B8C3A" w14:textId="77777777" w:rsidR="00011DE9" w:rsidRDefault="00011DE9">
            <w:pPr>
              <w:pStyle w:val="P68B1DB1-Normal45"/>
              <w:spacing w:after="0" w:line="240" w:lineRule="auto"/>
              <w:rPr>
                <w:rFonts w:eastAsia="Times New Roman"/>
                <w:noProof/>
              </w:rPr>
            </w:pPr>
            <w:r>
              <w:rPr>
                <w:noProof/>
              </w:rPr>
              <w:t>C6.I2</w:t>
            </w:r>
          </w:p>
        </w:tc>
        <w:tc>
          <w:tcPr>
            <w:tcW w:w="2268" w:type="dxa"/>
            <w:tcBorders>
              <w:top w:val="single" w:sz="4" w:space="0" w:color="auto"/>
              <w:left w:val="nil"/>
              <w:bottom w:val="single" w:sz="4" w:space="0" w:color="auto"/>
              <w:right w:val="single" w:sz="4" w:space="0" w:color="auto"/>
            </w:tcBorders>
            <w:shd w:val="clear" w:color="auto" w:fill="C6EFCE"/>
            <w:noWrap/>
          </w:tcPr>
          <w:p w14:paraId="6CEF6615"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72C2BBD" w14:textId="77777777" w:rsidR="00011DE9" w:rsidRDefault="00011DE9">
            <w:pPr>
              <w:pStyle w:val="P68B1DB1-Normal45"/>
              <w:spacing w:after="0" w:line="240" w:lineRule="auto"/>
              <w:rPr>
                <w:rFonts w:eastAsia="Times New Roman"/>
                <w:noProof/>
              </w:rPr>
            </w:pPr>
            <w:r>
              <w:rPr>
                <w:noProof/>
              </w:rPr>
              <w:t>Managementul traficului aerian: contracte executate</w:t>
            </w:r>
          </w:p>
        </w:tc>
      </w:tr>
      <w:tr w:rsidR="00011DE9" w14:paraId="7E8F5A4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906B3CB" w14:textId="77777777" w:rsidR="00011DE9" w:rsidRDefault="00011DE9">
            <w:pPr>
              <w:pStyle w:val="P68B1DB1-Normal45"/>
              <w:spacing w:after="0" w:line="240" w:lineRule="auto"/>
              <w:jc w:val="center"/>
              <w:rPr>
                <w:rFonts w:eastAsia="Times New Roman"/>
                <w:noProof/>
              </w:rPr>
            </w:pPr>
            <w:r>
              <w:rPr>
                <w:noProof/>
              </w:rPr>
              <w:t>94</w:t>
            </w:r>
          </w:p>
        </w:tc>
        <w:tc>
          <w:tcPr>
            <w:tcW w:w="1985" w:type="dxa"/>
            <w:tcBorders>
              <w:top w:val="single" w:sz="4" w:space="0" w:color="auto"/>
              <w:left w:val="nil"/>
              <w:bottom w:val="single" w:sz="4" w:space="0" w:color="auto"/>
              <w:right w:val="single" w:sz="4" w:space="0" w:color="auto"/>
            </w:tcBorders>
            <w:shd w:val="clear" w:color="auto" w:fill="C6EFCE"/>
            <w:noWrap/>
          </w:tcPr>
          <w:p w14:paraId="312C3AC1" w14:textId="77777777" w:rsidR="00011DE9" w:rsidRDefault="00011DE9">
            <w:pPr>
              <w:pStyle w:val="P68B1DB1-Normal45"/>
              <w:spacing w:after="0" w:line="240" w:lineRule="auto"/>
              <w:rPr>
                <w:rFonts w:eastAsia="Times New Roman"/>
                <w:noProof/>
              </w:rPr>
            </w:pPr>
            <w:r>
              <w:rPr>
                <w:noProof/>
              </w:rPr>
              <w:t>C6.I2</w:t>
            </w:r>
          </w:p>
        </w:tc>
        <w:tc>
          <w:tcPr>
            <w:tcW w:w="2268" w:type="dxa"/>
            <w:tcBorders>
              <w:top w:val="single" w:sz="4" w:space="0" w:color="auto"/>
              <w:left w:val="nil"/>
              <w:bottom w:val="single" w:sz="4" w:space="0" w:color="auto"/>
              <w:right w:val="single" w:sz="4" w:space="0" w:color="auto"/>
            </w:tcBorders>
            <w:shd w:val="clear" w:color="auto" w:fill="C6EFCE"/>
            <w:noWrap/>
          </w:tcPr>
          <w:p w14:paraId="08D6C6F3"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29AFAAC" w14:textId="77777777" w:rsidR="00011DE9" w:rsidRDefault="00011DE9">
            <w:pPr>
              <w:pStyle w:val="P68B1DB1-Normal45"/>
              <w:spacing w:after="0" w:line="240" w:lineRule="auto"/>
              <w:rPr>
                <w:rFonts w:eastAsia="Times New Roman"/>
                <w:noProof/>
              </w:rPr>
            </w:pPr>
            <w:r>
              <w:rPr>
                <w:noProof/>
              </w:rPr>
              <w:t xml:space="preserve">Rețeaua rutieră națională: contracte executate </w:t>
            </w:r>
          </w:p>
        </w:tc>
      </w:tr>
      <w:tr w:rsidR="00011DE9" w14:paraId="629A2B1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C86F556" w14:textId="77777777" w:rsidR="00011DE9" w:rsidRDefault="00011DE9">
            <w:pPr>
              <w:pStyle w:val="P68B1DB1-Normal45"/>
              <w:spacing w:after="0" w:line="240" w:lineRule="auto"/>
              <w:jc w:val="center"/>
              <w:rPr>
                <w:rFonts w:eastAsia="Times New Roman"/>
                <w:noProof/>
              </w:rPr>
            </w:pPr>
            <w:r>
              <w:rPr>
                <w:noProof/>
              </w:rPr>
              <w:t>97</w:t>
            </w:r>
          </w:p>
        </w:tc>
        <w:tc>
          <w:tcPr>
            <w:tcW w:w="1985" w:type="dxa"/>
            <w:tcBorders>
              <w:top w:val="single" w:sz="4" w:space="0" w:color="auto"/>
              <w:left w:val="nil"/>
              <w:bottom w:val="single" w:sz="4" w:space="0" w:color="auto"/>
              <w:right w:val="single" w:sz="4" w:space="0" w:color="auto"/>
            </w:tcBorders>
            <w:shd w:val="clear" w:color="auto" w:fill="C6EFCE"/>
            <w:noWrap/>
          </w:tcPr>
          <w:p w14:paraId="407ED037" w14:textId="77777777" w:rsidR="00011DE9" w:rsidRDefault="00011DE9">
            <w:pPr>
              <w:pStyle w:val="P68B1DB1-Normal45"/>
              <w:spacing w:after="0" w:line="240" w:lineRule="auto"/>
              <w:rPr>
                <w:rFonts w:eastAsia="Times New Roman"/>
                <w:noProof/>
              </w:rPr>
            </w:pPr>
            <w:r>
              <w:rPr>
                <w:noProof/>
              </w:rPr>
              <w:t>C6.I3</w:t>
            </w:r>
          </w:p>
        </w:tc>
        <w:tc>
          <w:tcPr>
            <w:tcW w:w="2268" w:type="dxa"/>
            <w:tcBorders>
              <w:top w:val="single" w:sz="4" w:space="0" w:color="auto"/>
              <w:left w:val="nil"/>
              <w:bottom w:val="single" w:sz="4" w:space="0" w:color="auto"/>
              <w:right w:val="single" w:sz="4" w:space="0" w:color="auto"/>
            </w:tcBorders>
            <w:shd w:val="clear" w:color="auto" w:fill="C6EFCE"/>
            <w:noWrap/>
          </w:tcPr>
          <w:p w14:paraId="5C069E01"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4E865E8" w14:textId="77777777" w:rsidR="00011DE9" w:rsidRDefault="00011DE9">
            <w:pPr>
              <w:pStyle w:val="P68B1DB1-Normal45"/>
              <w:spacing w:after="0" w:line="240" w:lineRule="auto"/>
              <w:rPr>
                <w:rFonts w:eastAsia="Times New Roman"/>
                <w:noProof/>
              </w:rPr>
            </w:pPr>
            <w:r>
              <w:rPr>
                <w:noProof/>
              </w:rPr>
              <w:t>Terminale intermodale și logistice, porturi sau linii secundare de 750 metri: contracte executate</w:t>
            </w:r>
          </w:p>
        </w:tc>
      </w:tr>
      <w:tr w:rsidR="00011DE9" w14:paraId="164042B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F738824" w14:textId="77777777" w:rsidR="00011DE9" w:rsidRDefault="00011DE9">
            <w:pPr>
              <w:pStyle w:val="P68B1DB1-Normal45"/>
              <w:spacing w:after="0" w:line="240" w:lineRule="auto"/>
              <w:jc w:val="center"/>
              <w:rPr>
                <w:rFonts w:eastAsia="Times New Roman"/>
                <w:noProof/>
              </w:rPr>
            </w:pPr>
            <w:r>
              <w:rPr>
                <w:noProof/>
              </w:rPr>
              <w:t>101</w:t>
            </w:r>
          </w:p>
        </w:tc>
        <w:tc>
          <w:tcPr>
            <w:tcW w:w="1985" w:type="dxa"/>
            <w:tcBorders>
              <w:top w:val="single" w:sz="4" w:space="0" w:color="auto"/>
              <w:left w:val="nil"/>
              <w:bottom w:val="single" w:sz="4" w:space="0" w:color="auto"/>
              <w:right w:val="single" w:sz="4" w:space="0" w:color="auto"/>
            </w:tcBorders>
            <w:shd w:val="clear" w:color="auto" w:fill="C6EFCE"/>
            <w:noWrap/>
          </w:tcPr>
          <w:p w14:paraId="1E3A99CF" w14:textId="77777777" w:rsidR="00011DE9" w:rsidRDefault="00011DE9">
            <w:pPr>
              <w:pStyle w:val="P68B1DB1-Normal45"/>
              <w:spacing w:after="0" w:line="240" w:lineRule="auto"/>
              <w:rPr>
                <w:rFonts w:eastAsia="Times New Roman"/>
                <w:noProof/>
              </w:rPr>
            </w:pPr>
            <w:r>
              <w:rPr>
                <w:noProof/>
              </w:rPr>
              <w:t>C6.I4</w:t>
            </w:r>
          </w:p>
        </w:tc>
        <w:tc>
          <w:tcPr>
            <w:tcW w:w="2268" w:type="dxa"/>
            <w:tcBorders>
              <w:top w:val="single" w:sz="4" w:space="0" w:color="auto"/>
              <w:left w:val="nil"/>
              <w:bottom w:val="single" w:sz="4" w:space="0" w:color="auto"/>
              <w:right w:val="single" w:sz="4" w:space="0" w:color="auto"/>
            </w:tcBorders>
            <w:shd w:val="clear" w:color="auto" w:fill="C6EFCE"/>
            <w:noWrap/>
          </w:tcPr>
          <w:p w14:paraId="492B4DAD"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D4FB786" w14:textId="77777777" w:rsidR="00011DE9" w:rsidRDefault="00011DE9">
            <w:pPr>
              <w:pStyle w:val="P68B1DB1-Normal45"/>
              <w:spacing w:after="0" w:line="240" w:lineRule="auto"/>
              <w:rPr>
                <w:rFonts w:eastAsia="Times New Roman"/>
                <w:noProof/>
              </w:rPr>
            </w:pPr>
            <w:r>
              <w:rPr>
                <w:noProof/>
              </w:rPr>
              <w:t xml:space="preserve">Acțiuni legate de transportul durabil și digital </w:t>
            </w:r>
          </w:p>
        </w:tc>
      </w:tr>
      <w:tr w:rsidR="00011DE9" w14:paraId="42F5EF99"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A4BE7FB" w14:textId="77777777" w:rsidR="00011DE9" w:rsidRDefault="00011DE9">
            <w:pPr>
              <w:pStyle w:val="P68B1DB1-Normal45"/>
              <w:spacing w:after="0" w:line="240" w:lineRule="auto"/>
              <w:jc w:val="center"/>
              <w:rPr>
                <w:noProof/>
              </w:rPr>
            </w:pPr>
            <w:r>
              <w:rPr>
                <w:noProof/>
              </w:rPr>
              <w:t>111</w:t>
            </w:r>
          </w:p>
        </w:tc>
        <w:tc>
          <w:tcPr>
            <w:tcW w:w="1985" w:type="dxa"/>
            <w:tcBorders>
              <w:top w:val="single" w:sz="4" w:space="0" w:color="auto"/>
              <w:left w:val="nil"/>
              <w:bottom w:val="single" w:sz="4" w:space="0" w:color="auto"/>
              <w:right w:val="single" w:sz="4" w:space="0" w:color="auto"/>
            </w:tcBorders>
            <w:shd w:val="clear" w:color="auto" w:fill="C6EFCE"/>
            <w:noWrap/>
          </w:tcPr>
          <w:p w14:paraId="0D0F53F1" w14:textId="77777777" w:rsidR="00011DE9" w:rsidRDefault="00011DE9">
            <w:pPr>
              <w:pStyle w:val="P68B1DB1-Normal45"/>
              <w:spacing w:after="0" w:line="240" w:lineRule="auto"/>
              <w:rPr>
                <w:noProof/>
              </w:rPr>
            </w:pPr>
            <w:r>
              <w:rPr>
                <w:noProof/>
              </w:rPr>
              <w:t>C7.R3</w:t>
            </w:r>
          </w:p>
        </w:tc>
        <w:tc>
          <w:tcPr>
            <w:tcW w:w="2268" w:type="dxa"/>
            <w:tcBorders>
              <w:top w:val="single" w:sz="4" w:space="0" w:color="auto"/>
              <w:left w:val="nil"/>
              <w:bottom w:val="single" w:sz="4" w:space="0" w:color="auto"/>
              <w:right w:val="single" w:sz="4" w:space="0" w:color="auto"/>
            </w:tcBorders>
            <w:shd w:val="clear" w:color="auto" w:fill="C6EFCE"/>
            <w:noWrap/>
          </w:tcPr>
          <w:p w14:paraId="2013EA2B"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370B2E24" w14:textId="77777777" w:rsidR="00011DE9" w:rsidRDefault="00011DE9">
            <w:pPr>
              <w:pStyle w:val="P68B1DB1-Normal45"/>
              <w:spacing w:after="0" w:line="240" w:lineRule="auto"/>
              <w:rPr>
                <w:noProof/>
              </w:rPr>
            </w:pPr>
            <w:r>
              <w:rPr>
                <w:noProof/>
              </w:rPr>
              <w:t>Proiecte-pilot sau birouri legate de energie pentru comunitățile energetice</w:t>
            </w:r>
          </w:p>
        </w:tc>
      </w:tr>
      <w:tr w:rsidR="00011DE9" w14:paraId="65D68BF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FF59639" w14:textId="77777777" w:rsidR="00011DE9" w:rsidRDefault="00011DE9">
            <w:pPr>
              <w:pStyle w:val="P68B1DB1-Normal45"/>
              <w:spacing w:after="0" w:line="240" w:lineRule="auto"/>
              <w:jc w:val="center"/>
              <w:rPr>
                <w:noProof/>
              </w:rPr>
            </w:pPr>
            <w:r>
              <w:rPr>
                <w:noProof/>
              </w:rPr>
              <w:t>117</w:t>
            </w:r>
          </w:p>
        </w:tc>
        <w:tc>
          <w:tcPr>
            <w:tcW w:w="1985" w:type="dxa"/>
            <w:tcBorders>
              <w:top w:val="single" w:sz="4" w:space="0" w:color="auto"/>
              <w:left w:val="nil"/>
              <w:bottom w:val="single" w:sz="4" w:space="0" w:color="auto"/>
              <w:right w:val="single" w:sz="4" w:space="0" w:color="auto"/>
            </w:tcBorders>
            <w:shd w:val="clear" w:color="auto" w:fill="C6EFCE"/>
            <w:noWrap/>
          </w:tcPr>
          <w:p w14:paraId="3B90FA26" w14:textId="77777777" w:rsidR="00011DE9" w:rsidRDefault="00011DE9">
            <w:pPr>
              <w:pStyle w:val="P68B1DB1-Normal45"/>
              <w:spacing w:after="0" w:line="240" w:lineRule="auto"/>
              <w:rPr>
                <w:noProof/>
              </w:rPr>
            </w:pPr>
            <w:r>
              <w:rPr>
                <w:noProof/>
              </w:rPr>
              <w:t>C7.I1</w:t>
            </w:r>
          </w:p>
        </w:tc>
        <w:tc>
          <w:tcPr>
            <w:tcW w:w="2268" w:type="dxa"/>
            <w:tcBorders>
              <w:top w:val="single" w:sz="4" w:space="0" w:color="auto"/>
              <w:left w:val="nil"/>
              <w:bottom w:val="single" w:sz="4" w:space="0" w:color="auto"/>
              <w:right w:val="single" w:sz="4" w:space="0" w:color="auto"/>
            </w:tcBorders>
            <w:shd w:val="clear" w:color="auto" w:fill="C6EFCE"/>
            <w:noWrap/>
          </w:tcPr>
          <w:p w14:paraId="43D95DF2"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04F5D41A" w14:textId="77777777" w:rsidR="00011DE9" w:rsidRDefault="00011DE9">
            <w:pPr>
              <w:pStyle w:val="P68B1DB1-Normal45"/>
              <w:spacing w:after="0" w:line="240" w:lineRule="auto"/>
              <w:rPr>
                <w:noProof/>
              </w:rPr>
            </w:pPr>
            <w:r>
              <w:rPr>
                <w:noProof/>
              </w:rPr>
              <w:t>Capacitate suplimentară pentru producția și stocarea energiei din surse regenerabile</w:t>
            </w:r>
          </w:p>
        </w:tc>
      </w:tr>
      <w:tr w:rsidR="00011DE9" w14:paraId="58AFE4A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2C538A2" w14:textId="77777777" w:rsidR="00011DE9" w:rsidRDefault="00011DE9">
            <w:pPr>
              <w:pStyle w:val="P68B1DB1-Normal45"/>
              <w:spacing w:after="0" w:line="240" w:lineRule="auto"/>
              <w:jc w:val="center"/>
              <w:rPr>
                <w:rFonts w:eastAsia="Times New Roman"/>
                <w:noProof/>
              </w:rPr>
            </w:pPr>
            <w:r>
              <w:rPr>
                <w:noProof/>
              </w:rPr>
              <w:t>119</w:t>
            </w:r>
          </w:p>
        </w:tc>
        <w:tc>
          <w:tcPr>
            <w:tcW w:w="1985" w:type="dxa"/>
            <w:tcBorders>
              <w:top w:val="single" w:sz="4" w:space="0" w:color="auto"/>
              <w:left w:val="nil"/>
              <w:bottom w:val="single" w:sz="4" w:space="0" w:color="auto"/>
              <w:right w:val="single" w:sz="4" w:space="0" w:color="auto"/>
            </w:tcBorders>
            <w:shd w:val="clear" w:color="auto" w:fill="C6EFCE"/>
            <w:noWrap/>
          </w:tcPr>
          <w:p w14:paraId="131A82E2" w14:textId="77777777" w:rsidR="00011DE9" w:rsidRDefault="00011DE9">
            <w:pPr>
              <w:pStyle w:val="P68B1DB1-Normal45"/>
              <w:spacing w:after="0" w:line="240" w:lineRule="auto"/>
              <w:rPr>
                <w:rFonts w:eastAsia="Times New Roman"/>
                <w:noProof/>
              </w:rPr>
            </w:pPr>
            <w:r>
              <w:rPr>
                <w:noProof/>
              </w:rPr>
              <w:t>C7.I2</w:t>
            </w:r>
          </w:p>
        </w:tc>
        <w:tc>
          <w:tcPr>
            <w:tcW w:w="2268" w:type="dxa"/>
            <w:tcBorders>
              <w:top w:val="single" w:sz="4" w:space="0" w:color="auto"/>
              <w:left w:val="nil"/>
              <w:bottom w:val="single" w:sz="4" w:space="0" w:color="auto"/>
              <w:right w:val="single" w:sz="4" w:space="0" w:color="auto"/>
            </w:tcBorders>
            <w:shd w:val="clear" w:color="auto" w:fill="C6EFCE"/>
            <w:noWrap/>
          </w:tcPr>
          <w:p w14:paraId="7B1BDE75" w14:textId="77777777" w:rsidR="00011DE9" w:rsidRDefault="00011DE9">
            <w:pPr>
              <w:pStyle w:val="P68B1DB1-Normal45"/>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77321DD8" w14:textId="77777777" w:rsidR="00011DE9" w:rsidRDefault="00011DE9">
            <w:pPr>
              <w:pStyle w:val="P68B1DB1-Normal45"/>
              <w:spacing w:after="0" w:line="240" w:lineRule="auto"/>
              <w:rPr>
                <w:rFonts w:eastAsia="Times New Roman"/>
                <w:noProof/>
              </w:rPr>
            </w:pPr>
            <w:r>
              <w:rPr>
                <w:noProof/>
              </w:rPr>
              <w:t>Acțiuni de sprijinire a tranziției energetice pe insule</w:t>
            </w:r>
          </w:p>
        </w:tc>
      </w:tr>
      <w:tr w:rsidR="00011DE9" w14:paraId="5C72F64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EE48867" w14:textId="77777777" w:rsidR="00011DE9" w:rsidRDefault="00011DE9">
            <w:pPr>
              <w:pStyle w:val="P68B1DB1-Normal45"/>
              <w:spacing w:after="0" w:line="240" w:lineRule="auto"/>
              <w:jc w:val="center"/>
              <w:rPr>
                <w:noProof/>
              </w:rPr>
            </w:pPr>
            <w:r>
              <w:rPr>
                <w:noProof/>
              </w:rPr>
              <w:t>120</w:t>
            </w:r>
          </w:p>
        </w:tc>
        <w:tc>
          <w:tcPr>
            <w:tcW w:w="1985" w:type="dxa"/>
            <w:tcBorders>
              <w:top w:val="single" w:sz="4" w:space="0" w:color="auto"/>
              <w:left w:val="nil"/>
              <w:bottom w:val="single" w:sz="4" w:space="0" w:color="auto"/>
              <w:right w:val="single" w:sz="4" w:space="0" w:color="auto"/>
            </w:tcBorders>
            <w:shd w:val="clear" w:color="auto" w:fill="C6EFCE"/>
            <w:noWrap/>
          </w:tcPr>
          <w:p w14:paraId="5051C32A" w14:textId="77777777" w:rsidR="00011DE9" w:rsidRDefault="00011DE9">
            <w:pPr>
              <w:pStyle w:val="P68B1DB1-Normal45"/>
              <w:spacing w:after="0" w:line="240" w:lineRule="auto"/>
              <w:rPr>
                <w:noProof/>
              </w:rPr>
            </w:pPr>
            <w:r>
              <w:rPr>
                <w:noProof/>
              </w:rPr>
              <w:t>C7.I2</w:t>
            </w:r>
          </w:p>
        </w:tc>
        <w:tc>
          <w:tcPr>
            <w:tcW w:w="2268" w:type="dxa"/>
            <w:tcBorders>
              <w:top w:val="single" w:sz="4" w:space="0" w:color="auto"/>
              <w:left w:val="nil"/>
              <w:bottom w:val="single" w:sz="4" w:space="0" w:color="auto"/>
              <w:right w:val="single" w:sz="4" w:space="0" w:color="auto"/>
            </w:tcBorders>
            <w:shd w:val="clear" w:color="auto" w:fill="C6EFCE"/>
            <w:noWrap/>
          </w:tcPr>
          <w:p w14:paraId="6BB903E3"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33D70F4E" w14:textId="77777777" w:rsidR="00011DE9" w:rsidRDefault="00011DE9">
            <w:pPr>
              <w:pStyle w:val="P68B1DB1-Normal45"/>
              <w:spacing w:after="0" w:line="240" w:lineRule="auto"/>
              <w:rPr>
                <w:noProof/>
              </w:rPr>
            </w:pPr>
            <w:r>
              <w:rPr>
                <w:noProof/>
              </w:rPr>
              <w:t>Capacitatea suplimentară de producție de energie din surse regenerabile în insule</w:t>
            </w:r>
          </w:p>
        </w:tc>
      </w:tr>
      <w:tr w:rsidR="00011DE9" w14:paraId="6293584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15F04EB" w14:textId="77777777" w:rsidR="00011DE9" w:rsidRDefault="00011DE9">
            <w:pPr>
              <w:pStyle w:val="P68B1DB1-Normal45"/>
              <w:spacing w:after="0" w:line="240" w:lineRule="auto"/>
              <w:jc w:val="center"/>
              <w:rPr>
                <w:rFonts w:eastAsia="Times New Roman"/>
                <w:noProof/>
              </w:rPr>
            </w:pPr>
            <w:r>
              <w:rPr>
                <w:noProof/>
              </w:rPr>
              <w:t>127</w:t>
            </w:r>
          </w:p>
        </w:tc>
        <w:tc>
          <w:tcPr>
            <w:tcW w:w="1985" w:type="dxa"/>
            <w:tcBorders>
              <w:top w:val="single" w:sz="4" w:space="0" w:color="auto"/>
              <w:left w:val="nil"/>
              <w:bottom w:val="single" w:sz="4" w:space="0" w:color="auto"/>
              <w:right w:val="single" w:sz="4" w:space="0" w:color="auto"/>
            </w:tcBorders>
            <w:shd w:val="clear" w:color="auto" w:fill="C6EFCE"/>
            <w:noWrap/>
          </w:tcPr>
          <w:p w14:paraId="754C8043" w14:textId="77777777" w:rsidR="00011DE9" w:rsidRDefault="00011DE9">
            <w:pPr>
              <w:pStyle w:val="P68B1DB1-Normal45"/>
              <w:spacing w:after="0" w:line="240" w:lineRule="auto"/>
              <w:rPr>
                <w:rFonts w:eastAsia="Times New Roman"/>
                <w:noProof/>
              </w:rPr>
            </w:pPr>
            <w:r>
              <w:rPr>
                <w:noProof/>
              </w:rPr>
              <w:t>C8.I2</w:t>
            </w:r>
          </w:p>
        </w:tc>
        <w:tc>
          <w:tcPr>
            <w:tcW w:w="2268" w:type="dxa"/>
            <w:tcBorders>
              <w:top w:val="single" w:sz="4" w:space="0" w:color="auto"/>
              <w:left w:val="nil"/>
              <w:bottom w:val="single" w:sz="4" w:space="0" w:color="auto"/>
              <w:right w:val="single" w:sz="4" w:space="0" w:color="auto"/>
            </w:tcBorders>
            <w:shd w:val="clear" w:color="auto" w:fill="C6EFCE"/>
            <w:noWrap/>
          </w:tcPr>
          <w:p w14:paraId="12E182D4" w14:textId="77777777" w:rsidR="00011DE9" w:rsidRDefault="00011DE9">
            <w:pPr>
              <w:pStyle w:val="P68B1DB1-Normal45"/>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7064B57C" w14:textId="77777777" w:rsidR="00011DE9" w:rsidRDefault="00011DE9">
            <w:pPr>
              <w:pStyle w:val="P68B1DB1-Normal45"/>
              <w:spacing w:after="0" w:line="240" w:lineRule="auto"/>
              <w:rPr>
                <w:rFonts w:eastAsia="Times New Roman"/>
                <w:noProof/>
              </w:rPr>
            </w:pPr>
            <w:r>
              <w:rPr>
                <w:noProof/>
              </w:rPr>
              <w:t>Atribuirea proiectelor de digitalizare societăților de distribuție a energiei electrice</w:t>
            </w:r>
          </w:p>
        </w:tc>
      </w:tr>
      <w:tr w:rsidR="00011DE9" w14:paraId="62A48B77"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9AE4394" w14:textId="77777777" w:rsidR="00011DE9" w:rsidRDefault="00011DE9">
            <w:pPr>
              <w:pStyle w:val="P68B1DB1-Normal45"/>
              <w:spacing w:after="0" w:line="240" w:lineRule="auto"/>
              <w:jc w:val="center"/>
              <w:rPr>
                <w:rFonts w:eastAsia="Times New Roman"/>
                <w:noProof/>
              </w:rPr>
            </w:pPr>
            <w:r>
              <w:rPr>
                <w:noProof/>
              </w:rPr>
              <w:t>135</w:t>
            </w:r>
          </w:p>
        </w:tc>
        <w:tc>
          <w:tcPr>
            <w:tcW w:w="1985" w:type="dxa"/>
            <w:tcBorders>
              <w:top w:val="single" w:sz="4" w:space="0" w:color="auto"/>
              <w:left w:val="nil"/>
              <w:bottom w:val="single" w:sz="4" w:space="0" w:color="auto"/>
              <w:right w:val="single" w:sz="4" w:space="0" w:color="auto"/>
            </w:tcBorders>
            <w:shd w:val="clear" w:color="auto" w:fill="C6EFCE"/>
            <w:noWrap/>
          </w:tcPr>
          <w:p w14:paraId="3D636FEA" w14:textId="77777777" w:rsidR="00011DE9" w:rsidRDefault="00011DE9">
            <w:pPr>
              <w:pStyle w:val="P68B1DB1-Normal45"/>
              <w:spacing w:after="0" w:line="240" w:lineRule="auto"/>
              <w:rPr>
                <w:rFonts w:eastAsia="Times New Roman"/>
                <w:noProof/>
              </w:rPr>
            </w:pPr>
            <w:r>
              <w:rPr>
                <w:noProof/>
              </w:rPr>
              <w:t>C9.I1</w:t>
            </w:r>
          </w:p>
        </w:tc>
        <w:tc>
          <w:tcPr>
            <w:tcW w:w="2268" w:type="dxa"/>
            <w:tcBorders>
              <w:top w:val="single" w:sz="4" w:space="0" w:color="auto"/>
              <w:left w:val="nil"/>
              <w:bottom w:val="single" w:sz="4" w:space="0" w:color="auto"/>
              <w:right w:val="single" w:sz="4" w:space="0" w:color="auto"/>
            </w:tcBorders>
            <w:shd w:val="clear" w:color="auto" w:fill="C6EFCE"/>
            <w:noWrap/>
          </w:tcPr>
          <w:p w14:paraId="2AC9341C"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3E0D052" w14:textId="77777777" w:rsidR="00011DE9" w:rsidRDefault="00011DE9">
            <w:pPr>
              <w:pStyle w:val="P68B1DB1-Normal45"/>
              <w:spacing w:after="0" w:line="240" w:lineRule="auto"/>
              <w:rPr>
                <w:rFonts w:eastAsia="Times New Roman"/>
                <w:noProof/>
              </w:rPr>
            </w:pPr>
            <w:r>
              <w:rPr>
                <w:noProof/>
              </w:rPr>
              <w:t>Schemă de sprijinire a hidrogenului din surse regenerabile: Ministerul a finalizat investiția</w:t>
            </w:r>
          </w:p>
        </w:tc>
      </w:tr>
      <w:tr w:rsidR="00011DE9" w14:paraId="0612673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D873E7A" w14:textId="77777777" w:rsidR="00011DE9" w:rsidRDefault="00011DE9">
            <w:pPr>
              <w:pStyle w:val="P68B1DB1-Normal45"/>
              <w:spacing w:after="0" w:line="240" w:lineRule="auto"/>
              <w:jc w:val="center"/>
              <w:rPr>
                <w:rFonts w:eastAsia="Times New Roman"/>
                <w:noProof/>
              </w:rPr>
            </w:pPr>
            <w:r>
              <w:rPr>
                <w:noProof/>
              </w:rPr>
              <w:t>141</w:t>
            </w:r>
          </w:p>
        </w:tc>
        <w:tc>
          <w:tcPr>
            <w:tcW w:w="1985" w:type="dxa"/>
            <w:tcBorders>
              <w:top w:val="single" w:sz="4" w:space="0" w:color="auto"/>
              <w:left w:val="nil"/>
              <w:bottom w:val="single" w:sz="4" w:space="0" w:color="auto"/>
              <w:right w:val="single" w:sz="4" w:space="0" w:color="auto"/>
            </w:tcBorders>
            <w:shd w:val="clear" w:color="auto" w:fill="C6EFCE"/>
            <w:noWrap/>
          </w:tcPr>
          <w:p w14:paraId="2874BDE4" w14:textId="77777777" w:rsidR="00011DE9" w:rsidRDefault="00011DE9">
            <w:pPr>
              <w:pStyle w:val="P68B1DB1-Normal45"/>
              <w:spacing w:after="0" w:line="240" w:lineRule="auto"/>
              <w:rPr>
                <w:rFonts w:eastAsia="Times New Roman"/>
                <w:noProof/>
              </w:rPr>
            </w:pPr>
            <w:r>
              <w:rPr>
                <w:noProof/>
              </w:rPr>
              <w:t>C10.I1</w:t>
            </w:r>
          </w:p>
        </w:tc>
        <w:tc>
          <w:tcPr>
            <w:tcW w:w="2268" w:type="dxa"/>
            <w:tcBorders>
              <w:top w:val="single" w:sz="4" w:space="0" w:color="auto"/>
              <w:left w:val="nil"/>
              <w:bottom w:val="single" w:sz="4" w:space="0" w:color="auto"/>
              <w:right w:val="single" w:sz="4" w:space="0" w:color="auto"/>
            </w:tcBorders>
            <w:shd w:val="clear" w:color="auto" w:fill="C6EFCE"/>
            <w:noWrap/>
          </w:tcPr>
          <w:p w14:paraId="21A59910"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8EDCE5B" w14:textId="77777777" w:rsidR="00011DE9" w:rsidRDefault="00011DE9">
            <w:pPr>
              <w:pStyle w:val="P68B1DB1-Normal45"/>
              <w:spacing w:after="0" w:line="240" w:lineRule="auto"/>
              <w:rPr>
                <w:rFonts w:eastAsia="Times New Roman"/>
                <w:noProof/>
              </w:rPr>
            </w:pPr>
            <w:r>
              <w:rPr>
                <w:noProof/>
              </w:rPr>
              <w:t>Cursuri de formare legate de ocuparea forței de muncă</w:t>
            </w:r>
          </w:p>
        </w:tc>
      </w:tr>
      <w:tr w:rsidR="00011DE9" w14:paraId="53C86F9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B0E102F" w14:textId="77777777" w:rsidR="00011DE9" w:rsidRDefault="00011DE9">
            <w:pPr>
              <w:pStyle w:val="P68B1DB1-Normal45"/>
              <w:spacing w:after="0" w:line="240" w:lineRule="auto"/>
              <w:jc w:val="center"/>
              <w:rPr>
                <w:rFonts w:eastAsia="Times New Roman"/>
                <w:noProof/>
              </w:rPr>
            </w:pPr>
            <w:r>
              <w:rPr>
                <w:noProof/>
              </w:rPr>
              <w:t>143</w:t>
            </w:r>
          </w:p>
        </w:tc>
        <w:tc>
          <w:tcPr>
            <w:tcW w:w="1985" w:type="dxa"/>
            <w:tcBorders>
              <w:top w:val="single" w:sz="4" w:space="0" w:color="auto"/>
              <w:left w:val="nil"/>
              <w:bottom w:val="single" w:sz="4" w:space="0" w:color="auto"/>
              <w:right w:val="single" w:sz="4" w:space="0" w:color="auto"/>
            </w:tcBorders>
            <w:shd w:val="clear" w:color="auto" w:fill="C6EFCE"/>
            <w:noWrap/>
          </w:tcPr>
          <w:p w14:paraId="358F89D5" w14:textId="77777777" w:rsidR="00011DE9" w:rsidRDefault="00011DE9">
            <w:pPr>
              <w:pStyle w:val="P68B1DB1-Normal45"/>
              <w:spacing w:after="0" w:line="240" w:lineRule="auto"/>
              <w:rPr>
                <w:rFonts w:eastAsia="Times New Roman"/>
                <w:noProof/>
              </w:rPr>
            </w:pPr>
            <w:r>
              <w:rPr>
                <w:noProof/>
              </w:rPr>
              <w:t>C10.I1</w:t>
            </w:r>
          </w:p>
        </w:tc>
        <w:tc>
          <w:tcPr>
            <w:tcW w:w="2268" w:type="dxa"/>
            <w:tcBorders>
              <w:top w:val="single" w:sz="4" w:space="0" w:color="auto"/>
              <w:left w:val="nil"/>
              <w:bottom w:val="single" w:sz="4" w:space="0" w:color="auto"/>
              <w:right w:val="single" w:sz="4" w:space="0" w:color="auto"/>
            </w:tcBorders>
            <w:shd w:val="clear" w:color="auto" w:fill="C6EFCE"/>
            <w:noWrap/>
          </w:tcPr>
          <w:p w14:paraId="5EA7710A"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58A88378" w14:textId="77777777" w:rsidR="00011DE9" w:rsidRDefault="00011DE9">
            <w:pPr>
              <w:pStyle w:val="P68B1DB1-Normal45"/>
              <w:spacing w:after="0" w:line="240" w:lineRule="auto"/>
              <w:rPr>
                <w:rFonts w:eastAsia="Times New Roman"/>
                <w:noProof/>
              </w:rPr>
            </w:pPr>
            <w:r>
              <w:rPr>
                <w:noProof/>
              </w:rPr>
              <w:t>Terenuri reabilitate în fostele exploatări miniere de cărbune sau în zone declarate zone de tranziție justă</w:t>
            </w:r>
          </w:p>
        </w:tc>
      </w:tr>
      <w:tr w:rsidR="00011DE9" w14:paraId="60C2D5D6"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B6D6A90" w14:textId="77777777" w:rsidR="00011DE9" w:rsidRDefault="00011DE9">
            <w:pPr>
              <w:pStyle w:val="P68B1DB1-Normal45"/>
              <w:spacing w:after="0" w:line="240" w:lineRule="auto"/>
              <w:jc w:val="center"/>
              <w:rPr>
                <w:rFonts w:eastAsia="Times New Roman"/>
                <w:noProof/>
              </w:rPr>
            </w:pPr>
            <w:r>
              <w:rPr>
                <w:noProof/>
              </w:rPr>
              <w:t>432</w:t>
            </w:r>
          </w:p>
        </w:tc>
        <w:tc>
          <w:tcPr>
            <w:tcW w:w="1985" w:type="dxa"/>
            <w:tcBorders>
              <w:top w:val="single" w:sz="4" w:space="0" w:color="auto"/>
              <w:left w:val="nil"/>
              <w:bottom w:val="single" w:sz="4" w:space="0" w:color="auto"/>
              <w:right w:val="single" w:sz="4" w:space="0" w:color="auto"/>
            </w:tcBorders>
            <w:shd w:val="clear" w:color="auto" w:fill="C6EFCE"/>
            <w:noWrap/>
          </w:tcPr>
          <w:p w14:paraId="3F9E026F" w14:textId="77777777" w:rsidR="00011DE9" w:rsidRDefault="00011DE9">
            <w:pPr>
              <w:pStyle w:val="P68B1DB1-Normal45"/>
              <w:spacing w:after="0" w:line="240" w:lineRule="auto"/>
              <w:rPr>
                <w:rFonts w:eastAsia="Times New Roman"/>
                <w:noProof/>
              </w:rPr>
            </w:pPr>
            <w:r>
              <w:rPr>
                <w:noProof/>
              </w:rPr>
              <w:t>C11.R1</w:t>
            </w:r>
          </w:p>
        </w:tc>
        <w:tc>
          <w:tcPr>
            <w:tcW w:w="2268" w:type="dxa"/>
            <w:tcBorders>
              <w:top w:val="single" w:sz="4" w:space="0" w:color="auto"/>
              <w:left w:val="nil"/>
              <w:bottom w:val="single" w:sz="4" w:space="0" w:color="auto"/>
              <w:right w:val="single" w:sz="4" w:space="0" w:color="auto"/>
            </w:tcBorders>
            <w:shd w:val="clear" w:color="auto" w:fill="C6EFCE"/>
            <w:noWrap/>
          </w:tcPr>
          <w:p w14:paraId="2BD03A49"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E58D3D0" w14:textId="77777777" w:rsidR="00011DE9" w:rsidRDefault="00011DE9">
            <w:pPr>
              <w:pStyle w:val="P68B1DB1-Normal45"/>
              <w:spacing w:after="0" w:line="240" w:lineRule="auto"/>
              <w:rPr>
                <w:rFonts w:eastAsia="Times New Roman"/>
                <w:noProof/>
              </w:rPr>
            </w:pPr>
            <w:r>
              <w:rPr>
                <w:noProof/>
              </w:rPr>
              <w:t xml:space="preserve">Legea privind transparența și integritatea în activitățile grupurilor de interese </w:t>
            </w:r>
          </w:p>
        </w:tc>
      </w:tr>
      <w:tr w:rsidR="00011DE9" w14:paraId="2219BBA0"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D925593" w14:textId="77777777" w:rsidR="00011DE9" w:rsidRDefault="00011DE9">
            <w:pPr>
              <w:pStyle w:val="P68B1DB1-Normal45"/>
              <w:spacing w:after="0" w:line="240" w:lineRule="auto"/>
              <w:jc w:val="center"/>
              <w:rPr>
                <w:rFonts w:eastAsia="Times New Roman"/>
                <w:noProof/>
              </w:rPr>
            </w:pPr>
            <w:r>
              <w:rPr>
                <w:noProof/>
              </w:rPr>
              <w:t>169</w:t>
            </w:r>
          </w:p>
        </w:tc>
        <w:tc>
          <w:tcPr>
            <w:tcW w:w="1985" w:type="dxa"/>
            <w:tcBorders>
              <w:top w:val="single" w:sz="4" w:space="0" w:color="auto"/>
              <w:left w:val="nil"/>
              <w:bottom w:val="single" w:sz="4" w:space="0" w:color="auto"/>
              <w:right w:val="single" w:sz="4" w:space="0" w:color="auto"/>
            </w:tcBorders>
            <w:shd w:val="clear" w:color="auto" w:fill="C6EFCE"/>
            <w:noWrap/>
          </w:tcPr>
          <w:p w14:paraId="61E9B248" w14:textId="77777777" w:rsidR="00011DE9" w:rsidRDefault="00011DE9">
            <w:pPr>
              <w:pStyle w:val="P68B1DB1-Normal45"/>
              <w:spacing w:after="0" w:line="240" w:lineRule="auto"/>
              <w:rPr>
                <w:rFonts w:eastAsia="Times New Roman"/>
                <w:noProof/>
              </w:rPr>
            </w:pPr>
            <w:r>
              <w:rPr>
                <w:noProof/>
              </w:rPr>
              <w:t>C11.I3</w:t>
            </w:r>
          </w:p>
        </w:tc>
        <w:tc>
          <w:tcPr>
            <w:tcW w:w="2268" w:type="dxa"/>
            <w:tcBorders>
              <w:top w:val="single" w:sz="4" w:space="0" w:color="auto"/>
              <w:left w:val="nil"/>
              <w:bottom w:val="single" w:sz="4" w:space="0" w:color="auto"/>
              <w:right w:val="single" w:sz="4" w:space="0" w:color="auto"/>
            </w:tcBorders>
            <w:shd w:val="clear" w:color="auto" w:fill="C6EFCE"/>
            <w:noWrap/>
          </w:tcPr>
          <w:p w14:paraId="5D6951BD"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C71BAD8" w14:textId="77777777" w:rsidR="00011DE9" w:rsidRDefault="00011DE9">
            <w:pPr>
              <w:pStyle w:val="P68B1DB1-Normal45"/>
              <w:spacing w:after="0" w:line="240" w:lineRule="auto"/>
              <w:rPr>
                <w:rFonts w:eastAsia="Times New Roman"/>
                <w:noProof/>
              </w:rPr>
            </w:pPr>
            <w:r>
              <w:rPr>
                <w:noProof/>
              </w:rPr>
              <w:t>Transformarea digitală a administrațiilor publice regionale și locale, precum și Ministerul Transformării Digitale și Serviciilor Publice și Ministerul Politicii Teritoriale și Memoriei Democratice</w:t>
            </w:r>
          </w:p>
        </w:tc>
      </w:tr>
      <w:tr w:rsidR="00011DE9" w14:paraId="02350A7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03FA3B8" w14:textId="77777777" w:rsidR="00011DE9" w:rsidRDefault="00011DE9">
            <w:pPr>
              <w:pStyle w:val="P68B1DB1-Normal45"/>
              <w:spacing w:after="0" w:line="240" w:lineRule="auto"/>
              <w:jc w:val="center"/>
              <w:rPr>
                <w:rFonts w:eastAsia="Times New Roman"/>
                <w:noProof/>
              </w:rPr>
            </w:pPr>
            <w:r>
              <w:rPr>
                <w:noProof/>
              </w:rPr>
              <w:t>438</w:t>
            </w:r>
          </w:p>
        </w:tc>
        <w:tc>
          <w:tcPr>
            <w:tcW w:w="1985" w:type="dxa"/>
            <w:tcBorders>
              <w:top w:val="single" w:sz="4" w:space="0" w:color="auto"/>
              <w:left w:val="nil"/>
              <w:bottom w:val="single" w:sz="4" w:space="0" w:color="auto"/>
              <w:right w:val="single" w:sz="4" w:space="0" w:color="auto"/>
            </w:tcBorders>
            <w:shd w:val="clear" w:color="auto" w:fill="C6EFCE"/>
            <w:noWrap/>
          </w:tcPr>
          <w:p w14:paraId="3478A555" w14:textId="77777777" w:rsidR="00011DE9" w:rsidRDefault="00011DE9">
            <w:pPr>
              <w:pStyle w:val="P68B1DB1-Normal45"/>
              <w:spacing w:after="0" w:line="240" w:lineRule="auto"/>
              <w:rPr>
                <w:rFonts w:eastAsia="Times New Roman"/>
                <w:noProof/>
              </w:rPr>
            </w:pPr>
            <w:r>
              <w:rPr>
                <w:noProof/>
              </w:rPr>
              <w:t>C11.I3</w:t>
            </w:r>
          </w:p>
        </w:tc>
        <w:tc>
          <w:tcPr>
            <w:tcW w:w="2268" w:type="dxa"/>
            <w:tcBorders>
              <w:top w:val="single" w:sz="4" w:space="0" w:color="auto"/>
              <w:left w:val="nil"/>
              <w:bottom w:val="single" w:sz="4" w:space="0" w:color="auto"/>
              <w:right w:val="single" w:sz="4" w:space="0" w:color="auto"/>
            </w:tcBorders>
            <w:shd w:val="clear" w:color="auto" w:fill="C6EFCE"/>
            <w:noWrap/>
          </w:tcPr>
          <w:p w14:paraId="136B7F67"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E035DE0" w14:textId="77777777" w:rsidR="00011DE9" w:rsidRDefault="00011DE9">
            <w:pPr>
              <w:pStyle w:val="P68B1DB1-Normal45"/>
              <w:spacing w:after="0" w:line="240" w:lineRule="auto"/>
              <w:rPr>
                <w:rFonts w:eastAsia="Times New Roman"/>
                <w:noProof/>
              </w:rPr>
            </w:pPr>
            <w:r>
              <w:rPr>
                <w:noProof/>
              </w:rPr>
              <w:t>Proiecte-pilot puse în aplicare în cadrul Planului de îngrijire digitală personală</w:t>
            </w:r>
          </w:p>
        </w:tc>
      </w:tr>
      <w:tr w:rsidR="00011DE9" w14:paraId="274ED936"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7DFDBB0" w14:textId="77777777" w:rsidR="00011DE9" w:rsidRDefault="00011DE9">
            <w:pPr>
              <w:pStyle w:val="P68B1DB1-Normal45"/>
              <w:spacing w:after="0" w:line="240" w:lineRule="auto"/>
              <w:jc w:val="center"/>
              <w:rPr>
                <w:noProof/>
              </w:rPr>
            </w:pPr>
            <w:r>
              <w:rPr>
                <w:noProof/>
              </w:rPr>
              <w:t>172</w:t>
            </w:r>
          </w:p>
        </w:tc>
        <w:tc>
          <w:tcPr>
            <w:tcW w:w="1985" w:type="dxa"/>
            <w:tcBorders>
              <w:top w:val="single" w:sz="4" w:space="0" w:color="auto"/>
              <w:left w:val="nil"/>
              <w:bottom w:val="single" w:sz="4" w:space="0" w:color="auto"/>
              <w:right w:val="single" w:sz="4" w:space="0" w:color="auto"/>
            </w:tcBorders>
            <w:shd w:val="clear" w:color="auto" w:fill="C6EFCE"/>
            <w:noWrap/>
          </w:tcPr>
          <w:p w14:paraId="71FBC1F5" w14:textId="77777777" w:rsidR="00011DE9" w:rsidRDefault="00011DE9">
            <w:pPr>
              <w:pStyle w:val="P68B1DB1-Normal45"/>
              <w:spacing w:after="0" w:line="240" w:lineRule="auto"/>
              <w:rPr>
                <w:noProof/>
              </w:rPr>
            </w:pPr>
            <w:r>
              <w:rPr>
                <w:noProof/>
              </w:rPr>
              <w:t>C11.I4</w:t>
            </w:r>
          </w:p>
        </w:tc>
        <w:tc>
          <w:tcPr>
            <w:tcW w:w="2268" w:type="dxa"/>
            <w:tcBorders>
              <w:top w:val="single" w:sz="4" w:space="0" w:color="auto"/>
              <w:left w:val="nil"/>
              <w:bottom w:val="single" w:sz="4" w:space="0" w:color="auto"/>
              <w:right w:val="single" w:sz="4" w:space="0" w:color="auto"/>
            </w:tcBorders>
            <w:shd w:val="clear" w:color="auto" w:fill="C6EFCE"/>
            <w:noWrap/>
          </w:tcPr>
          <w:p w14:paraId="624CCEBC"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37A3F084" w14:textId="77777777" w:rsidR="00011DE9" w:rsidRDefault="00011DE9">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Reducerea consumului de energie primară din surse neregenerabile în clădirile publice (1 050 000 m 2)</w:t>
            </w:r>
            <w:r>
              <w:rPr>
                <w:rFonts w:ascii="Times New Roman" w:hAnsi="Times New Roman"/>
                <w:noProof/>
                <w:sz w:val="18"/>
                <w:szCs w:val="18"/>
              </w:rPr>
              <w:t xml:space="preserve"> </w:t>
            </w:r>
          </w:p>
        </w:tc>
      </w:tr>
      <w:tr w:rsidR="00011DE9" w14:paraId="45EB21AD"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6EFBD9E" w14:textId="77777777" w:rsidR="00011DE9" w:rsidRDefault="00011DE9">
            <w:pPr>
              <w:pStyle w:val="P68B1DB1-Normal45"/>
              <w:spacing w:after="0" w:line="240" w:lineRule="auto"/>
              <w:jc w:val="center"/>
              <w:rPr>
                <w:rFonts w:eastAsia="Times New Roman"/>
                <w:noProof/>
              </w:rPr>
            </w:pPr>
            <w:r>
              <w:rPr>
                <w:noProof/>
              </w:rPr>
              <w:t>439</w:t>
            </w:r>
          </w:p>
        </w:tc>
        <w:tc>
          <w:tcPr>
            <w:tcW w:w="1985" w:type="dxa"/>
            <w:tcBorders>
              <w:top w:val="single" w:sz="4" w:space="0" w:color="auto"/>
              <w:left w:val="nil"/>
              <w:bottom w:val="single" w:sz="4" w:space="0" w:color="auto"/>
              <w:right w:val="single" w:sz="4" w:space="0" w:color="auto"/>
            </w:tcBorders>
            <w:shd w:val="clear" w:color="auto" w:fill="C6EFCE"/>
            <w:noWrap/>
          </w:tcPr>
          <w:p w14:paraId="064A1771" w14:textId="77777777" w:rsidR="00011DE9" w:rsidRDefault="00011DE9">
            <w:pPr>
              <w:pStyle w:val="P68B1DB1-Normal45"/>
              <w:spacing w:after="0" w:line="240" w:lineRule="auto"/>
              <w:rPr>
                <w:rFonts w:eastAsia="Times New Roman"/>
                <w:noProof/>
              </w:rPr>
            </w:pPr>
            <w:r>
              <w:rPr>
                <w:noProof/>
              </w:rPr>
              <w:t>C11.I4</w:t>
            </w:r>
          </w:p>
        </w:tc>
        <w:tc>
          <w:tcPr>
            <w:tcW w:w="2268" w:type="dxa"/>
            <w:tcBorders>
              <w:top w:val="single" w:sz="4" w:space="0" w:color="auto"/>
              <w:left w:val="nil"/>
              <w:bottom w:val="single" w:sz="4" w:space="0" w:color="auto"/>
              <w:right w:val="single" w:sz="4" w:space="0" w:color="auto"/>
            </w:tcBorders>
            <w:shd w:val="clear" w:color="auto" w:fill="C6EFCE"/>
            <w:noWrap/>
          </w:tcPr>
          <w:p w14:paraId="6371F0A3"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5298BF6" w14:textId="77777777" w:rsidR="00011DE9" w:rsidRDefault="00011DE9">
            <w:pPr>
              <w:pStyle w:val="P68B1DB1-Normal45"/>
              <w:spacing w:after="0" w:line="240" w:lineRule="auto"/>
              <w:rPr>
                <w:rFonts w:eastAsia="Times New Roman"/>
                <w:noProof/>
              </w:rPr>
            </w:pPr>
            <w:r>
              <w:rPr>
                <w:noProof/>
              </w:rPr>
              <w:t xml:space="preserve">Punerea în aplicare a sistemelor solare fotovoltaice și a altor tipuri de energie din surse regenerabile, instalarea de puncte de încărcare pentru vehiculele electrice și punerea în aplicare a altor măsuri de îmbunătățire a economiilor de energie în instalațiile administrației publice centrale </w:t>
            </w:r>
          </w:p>
        </w:tc>
      </w:tr>
      <w:tr w:rsidR="00011DE9" w14:paraId="237E73B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877C45C" w14:textId="77777777" w:rsidR="00011DE9" w:rsidRDefault="00011DE9">
            <w:pPr>
              <w:pStyle w:val="P68B1DB1-Normal45"/>
              <w:spacing w:after="0" w:line="240" w:lineRule="auto"/>
              <w:jc w:val="center"/>
              <w:rPr>
                <w:rFonts w:eastAsia="Times New Roman"/>
                <w:noProof/>
              </w:rPr>
            </w:pPr>
            <w:r>
              <w:rPr>
                <w:noProof/>
              </w:rPr>
              <w:t>180</w:t>
            </w:r>
          </w:p>
        </w:tc>
        <w:tc>
          <w:tcPr>
            <w:tcW w:w="1985" w:type="dxa"/>
            <w:tcBorders>
              <w:top w:val="single" w:sz="4" w:space="0" w:color="auto"/>
              <w:left w:val="nil"/>
              <w:bottom w:val="single" w:sz="4" w:space="0" w:color="auto"/>
              <w:right w:val="single" w:sz="4" w:space="0" w:color="auto"/>
            </w:tcBorders>
            <w:shd w:val="clear" w:color="auto" w:fill="C6EFCE"/>
            <w:noWrap/>
          </w:tcPr>
          <w:p w14:paraId="55B4E772" w14:textId="77777777" w:rsidR="00011DE9" w:rsidRDefault="00011DE9">
            <w:pPr>
              <w:pStyle w:val="P68B1DB1-Normal45"/>
              <w:spacing w:after="0" w:line="240" w:lineRule="auto"/>
              <w:rPr>
                <w:rFonts w:eastAsia="Times New Roman"/>
                <w:noProof/>
              </w:rPr>
            </w:pPr>
            <w:r>
              <w:rPr>
                <w:noProof/>
              </w:rPr>
              <w:t>C12.I1</w:t>
            </w:r>
          </w:p>
        </w:tc>
        <w:tc>
          <w:tcPr>
            <w:tcW w:w="2268" w:type="dxa"/>
            <w:tcBorders>
              <w:top w:val="single" w:sz="4" w:space="0" w:color="auto"/>
              <w:left w:val="nil"/>
              <w:bottom w:val="single" w:sz="4" w:space="0" w:color="auto"/>
              <w:right w:val="single" w:sz="4" w:space="0" w:color="auto"/>
            </w:tcBorders>
            <w:shd w:val="clear" w:color="auto" w:fill="C6EFCE"/>
            <w:noWrap/>
          </w:tcPr>
          <w:p w14:paraId="181FDB14"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9245FDD" w14:textId="77777777" w:rsidR="00011DE9" w:rsidRDefault="00011DE9">
            <w:pPr>
              <w:pStyle w:val="P68B1DB1-Normal45"/>
              <w:spacing w:after="0" w:line="240" w:lineRule="auto"/>
              <w:rPr>
                <w:rFonts w:eastAsia="Times New Roman"/>
                <w:noProof/>
              </w:rPr>
            </w:pPr>
            <w:r>
              <w:rPr>
                <w:noProof/>
              </w:rPr>
              <w:t>Spații sectoriale ale datelor și acțiuni legate de C &amp; D</w:t>
            </w:r>
          </w:p>
        </w:tc>
      </w:tr>
      <w:tr w:rsidR="00011DE9" w14:paraId="6C1671C3"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529B91A" w14:textId="77777777" w:rsidR="00011DE9" w:rsidRDefault="00011DE9">
            <w:pPr>
              <w:pStyle w:val="P68B1DB1-Normal45"/>
              <w:spacing w:after="0" w:line="240" w:lineRule="auto"/>
              <w:jc w:val="center"/>
              <w:rPr>
                <w:rFonts w:eastAsia="Times New Roman"/>
                <w:noProof/>
              </w:rPr>
            </w:pPr>
            <w:r>
              <w:rPr>
                <w:noProof/>
              </w:rPr>
              <w:t>186</w:t>
            </w:r>
          </w:p>
        </w:tc>
        <w:tc>
          <w:tcPr>
            <w:tcW w:w="1985" w:type="dxa"/>
            <w:tcBorders>
              <w:top w:val="single" w:sz="4" w:space="0" w:color="auto"/>
              <w:left w:val="nil"/>
              <w:bottom w:val="single" w:sz="4" w:space="0" w:color="auto"/>
              <w:right w:val="single" w:sz="4" w:space="0" w:color="auto"/>
            </w:tcBorders>
            <w:shd w:val="clear" w:color="auto" w:fill="C6EFCE"/>
            <w:noWrap/>
          </w:tcPr>
          <w:p w14:paraId="6CAEE5D2" w14:textId="77777777" w:rsidR="00011DE9" w:rsidRDefault="00011DE9">
            <w:pPr>
              <w:pStyle w:val="P68B1DB1-Normal45"/>
              <w:spacing w:after="0" w:line="240" w:lineRule="auto"/>
              <w:rPr>
                <w:rFonts w:eastAsia="Times New Roman"/>
                <w:noProof/>
              </w:rPr>
            </w:pPr>
            <w:r>
              <w:rPr>
                <w:noProof/>
              </w:rPr>
              <w:t>C12.I2</w:t>
            </w:r>
          </w:p>
        </w:tc>
        <w:tc>
          <w:tcPr>
            <w:tcW w:w="2268" w:type="dxa"/>
            <w:tcBorders>
              <w:top w:val="single" w:sz="4" w:space="0" w:color="auto"/>
              <w:left w:val="nil"/>
              <w:bottom w:val="single" w:sz="4" w:space="0" w:color="auto"/>
              <w:right w:val="single" w:sz="4" w:space="0" w:color="auto"/>
            </w:tcBorders>
            <w:shd w:val="clear" w:color="auto" w:fill="C6EFCE"/>
            <w:noWrap/>
          </w:tcPr>
          <w:p w14:paraId="0CB39F28"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1ED6A5E" w14:textId="77777777" w:rsidR="00011DE9" w:rsidRDefault="00011DE9">
            <w:pPr>
              <w:pStyle w:val="P68B1DB1-Normal20"/>
              <w:spacing w:after="0" w:line="240" w:lineRule="auto"/>
              <w:rPr>
                <w:rFonts w:eastAsia="Times New Roman" w:cs="Times New Roman"/>
                <w:noProof/>
                <w:sz w:val="20"/>
                <w:szCs w:val="20"/>
              </w:rPr>
            </w:pPr>
            <w:r>
              <w:rPr>
                <w:noProof/>
              </w:rPr>
              <w:t xml:space="preserve">PERTE-uri și alte proiecte: Rapoarte finale </w:t>
            </w:r>
          </w:p>
        </w:tc>
      </w:tr>
      <w:tr w:rsidR="00011DE9" w14:paraId="4AEE8F7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41728F9" w14:textId="77777777" w:rsidR="00011DE9" w:rsidRDefault="00011DE9">
            <w:pPr>
              <w:pStyle w:val="P68B1DB1-Normal45"/>
              <w:spacing w:after="0" w:line="240" w:lineRule="auto"/>
              <w:jc w:val="center"/>
              <w:rPr>
                <w:rFonts w:eastAsia="Times New Roman"/>
                <w:noProof/>
              </w:rPr>
            </w:pPr>
            <w:r>
              <w:rPr>
                <w:noProof/>
              </w:rPr>
              <w:t>187</w:t>
            </w:r>
          </w:p>
        </w:tc>
        <w:tc>
          <w:tcPr>
            <w:tcW w:w="1985" w:type="dxa"/>
            <w:tcBorders>
              <w:top w:val="single" w:sz="4" w:space="0" w:color="auto"/>
              <w:left w:val="nil"/>
              <w:bottom w:val="single" w:sz="4" w:space="0" w:color="auto"/>
              <w:right w:val="single" w:sz="4" w:space="0" w:color="auto"/>
            </w:tcBorders>
            <w:shd w:val="clear" w:color="auto" w:fill="C6EFCE"/>
            <w:noWrap/>
          </w:tcPr>
          <w:p w14:paraId="778B97EB" w14:textId="77777777" w:rsidR="00011DE9" w:rsidRDefault="00011DE9">
            <w:pPr>
              <w:pStyle w:val="P68B1DB1-Normal45"/>
              <w:spacing w:after="0" w:line="240" w:lineRule="auto"/>
              <w:rPr>
                <w:rFonts w:eastAsia="Times New Roman"/>
                <w:noProof/>
              </w:rPr>
            </w:pPr>
            <w:r>
              <w:rPr>
                <w:noProof/>
              </w:rPr>
              <w:t>C12.I3</w:t>
            </w:r>
          </w:p>
        </w:tc>
        <w:tc>
          <w:tcPr>
            <w:tcW w:w="2268" w:type="dxa"/>
            <w:tcBorders>
              <w:top w:val="single" w:sz="4" w:space="0" w:color="auto"/>
              <w:left w:val="nil"/>
              <w:bottom w:val="single" w:sz="4" w:space="0" w:color="auto"/>
              <w:right w:val="single" w:sz="4" w:space="0" w:color="auto"/>
            </w:tcBorders>
            <w:shd w:val="clear" w:color="auto" w:fill="C6EFCE"/>
            <w:noWrap/>
          </w:tcPr>
          <w:p w14:paraId="41500CCE" w14:textId="77777777" w:rsidR="00011DE9" w:rsidRDefault="00011DE9">
            <w:pPr>
              <w:pStyle w:val="P68B1DB1-Normal45"/>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37080D2F" w14:textId="77777777" w:rsidR="00011DE9" w:rsidRDefault="00011DE9">
            <w:pPr>
              <w:pStyle w:val="P68B1DB1-Normal45"/>
              <w:spacing w:after="0" w:line="240" w:lineRule="auto"/>
              <w:rPr>
                <w:rFonts w:eastAsia="Times New Roman"/>
                <w:noProof/>
              </w:rPr>
            </w:pPr>
            <w:r>
              <w:rPr>
                <w:noProof/>
              </w:rPr>
              <w:t>Acțiuni privind economia circulară și gestionarea deșeurilor</w:t>
            </w:r>
          </w:p>
        </w:tc>
      </w:tr>
      <w:tr w:rsidR="00011DE9" w14:paraId="222F8DB2"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D0224A4" w14:textId="77777777" w:rsidR="00011DE9" w:rsidRDefault="00011DE9">
            <w:pPr>
              <w:pStyle w:val="P68B1DB1-Normal45"/>
              <w:spacing w:after="0" w:line="240" w:lineRule="auto"/>
              <w:jc w:val="center"/>
              <w:rPr>
                <w:rFonts w:eastAsia="Times New Roman"/>
                <w:noProof/>
              </w:rPr>
            </w:pPr>
            <w:r>
              <w:rPr>
                <w:noProof/>
              </w:rPr>
              <w:t>448c</w:t>
            </w:r>
          </w:p>
        </w:tc>
        <w:tc>
          <w:tcPr>
            <w:tcW w:w="1985" w:type="dxa"/>
            <w:tcBorders>
              <w:top w:val="single" w:sz="4" w:space="0" w:color="auto"/>
              <w:left w:val="nil"/>
              <w:bottom w:val="single" w:sz="4" w:space="0" w:color="auto"/>
              <w:right w:val="single" w:sz="4" w:space="0" w:color="auto"/>
            </w:tcBorders>
            <w:shd w:val="clear" w:color="auto" w:fill="C6EFCE"/>
            <w:noWrap/>
          </w:tcPr>
          <w:p w14:paraId="164476B5" w14:textId="77777777" w:rsidR="00011DE9" w:rsidRDefault="00011DE9">
            <w:pPr>
              <w:pStyle w:val="P68B1DB1-Normal45"/>
              <w:spacing w:after="0" w:line="240" w:lineRule="auto"/>
              <w:rPr>
                <w:rFonts w:eastAsia="Times New Roman"/>
                <w:noProof/>
              </w:rPr>
            </w:pPr>
            <w:r>
              <w:rPr>
                <w:noProof/>
              </w:rPr>
              <w:t>C12.I6</w:t>
            </w:r>
          </w:p>
        </w:tc>
        <w:tc>
          <w:tcPr>
            <w:tcW w:w="2268" w:type="dxa"/>
            <w:tcBorders>
              <w:top w:val="single" w:sz="4" w:space="0" w:color="auto"/>
              <w:left w:val="nil"/>
              <w:bottom w:val="single" w:sz="4" w:space="0" w:color="auto"/>
              <w:right w:val="single" w:sz="4" w:space="0" w:color="auto"/>
            </w:tcBorders>
            <w:shd w:val="clear" w:color="auto" w:fill="C6EFCE"/>
            <w:noWrap/>
          </w:tcPr>
          <w:p w14:paraId="5B8AAA09" w14:textId="77777777" w:rsidR="00011DE9" w:rsidRDefault="00011DE9">
            <w:pPr>
              <w:pStyle w:val="P68B1DB1-Normal45"/>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71AA0285" w14:textId="77777777" w:rsidR="00011DE9" w:rsidRDefault="00011DE9">
            <w:pPr>
              <w:pStyle w:val="P68B1DB1-Normal45"/>
              <w:spacing w:after="0" w:line="240" w:lineRule="auto"/>
              <w:rPr>
                <w:rFonts w:eastAsia="Times New Roman"/>
                <w:noProof/>
              </w:rPr>
            </w:pPr>
            <w:r>
              <w:rPr>
                <w:noProof/>
              </w:rPr>
              <w:t>Schemă de subvenții pentru sectorul vehiculelor electrice și pentru alte sectoare industriale (granturi): Sunt publicate acordurile juridice semnate cu beneficiarii finali sau rezoluțiile finale de atribuire. Ministerul a finalizat investiția.</w:t>
            </w:r>
          </w:p>
        </w:tc>
      </w:tr>
      <w:tr w:rsidR="00011DE9" w14:paraId="1A44CADF"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55BB65D" w14:textId="77777777" w:rsidR="00011DE9" w:rsidRDefault="00011DE9">
            <w:pPr>
              <w:pStyle w:val="P68B1DB1-Normal45"/>
              <w:spacing w:after="0" w:line="240" w:lineRule="auto"/>
              <w:jc w:val="center"/>
              <w:rPr>
                <w:rFonts w:eastAsia="Times New Roman"/>
                <w:noProof/>
              </w:rPr>
            </w:pPr>
            <w:r>
              <w:rPr>
                <w:noProof/>
              </w:rPr>
              <w:t>445</w:t>
            </w:r>
          </w:p>
        </w:tc>
        <w:tc>
          <w:tcPr>
            <w:tcW w:w="1985" w:type="dxa"/>
            <w:tcBorders>
              <w:top w:val="single" w:sz="4" w:space="0" w:color="auto"/>
              <w:left w:val="nil"/>
              <w:bottom w:val="single" w:sz="4" w:space="0" w:color="auto"/>
              <w:right w:val="single" w:sz="4" w:space="0" w:color="auto"/>
            </w:tcBorders>
            <w:shd w:val="clear" w:color="auto" w:fill="C6EFCE"/>
            <w:noWrap/>
          </w:tcPr>
          <w:p w14:paraId="7A6FD94F" w14:textId="77777777" w:rsidR="00011DE9" w:rsidRDefault="00011DE9">
            <w:pPr>
              <w:pStyle w:val="P68B1DB1-Normal45"/>
              <w:spacing w:after="0" w:line="240" w:lineRule="auto"/>
              <w:rPr>
                <w:rFonts w:eastAsia="Times New Roman"/>
                <w:noProof/>
              </w:rPr>
            </w:pPr>
            <w:r>
              <w:rPr>
                <w:noProof/>
              </w:rPr>
              <w:t>C12.I4</w:t>
            </w:r>
          </w:p>
        </w:tc>
        <w:tc>
          <w:tcPr>
            <w:tcW w:w="2268" w:type="dxa"/>
            <w:tcBorders>
              <w:top w:val="single" w:sz="4" w:space="0" w:color="auto"/>
              <w:left w:val="nil"/>
              <w:bottom w:val="single" w:sz="4" w:space="0" w:color="auto"/>
              <w:right w:val="single" w:sz="4" w:space="0" w:color="auto"/>
            </w:tcBorders>
            <w:shd w:val="clear" w:color="auto" w:fill="C6EFCE"/>
            <w:noWrap/>
          </w:tcPr>
          <w:p w14:paraId="2FF0AF80" w14:textId="77777777" w:rsidR="00011DE9" w:rsidRDefault="00011DE9">
            <w:pPr>
              <w:pStyle w:val="P68B1DB1-Normal45"/>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F898875" w14:textId="77777777" w:rsidR="00011DE9" w:rsidRDefault="00011DE9">
            <w:pPr>
              <w:pStyle w:val="P68B1DB1-Normal80"/>
              <w:spacing w:after="0" w:line="240" w:lineRule="auto"/>
              <w:rPr>
                <w:noProof/>
              </w:rPr>
            </w:pPr>
            <w:r>
              <w:rPr>
                <w:noProof/>
              </w:rPr>
              <w:t>Consolidarea lanțului valoric al semiconductorilor: plata fondurilor</w:t>
            </w:r>
          </w:p>
        </w:tc>
      </w:tr>
      <w:tr w:rsidR="00011DE9" w14:paraId="0E429CB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C2782BC" w14:textId="77777777" w:rsidR="00011DE9" w:rsidRDefault="00011DE9">
            <w:pPr>
              <w:pStyle w:val="P68B1DB1-Normal45"/>
              <w:spacing w:after="0" w:line="240" w:lineRule="auto"/>
              <w:jc w:val="center"/>
              <w:rPr>
                <w:rFonts w:eastAsia="Times New Roman"/>
                <w:noProof/>
              </w:rPr>
            </w:pPr>
            <w:r>
              <w:rPr>
                <w:noProof/>
              </w:rPr>
              <w:t>193a</w:t>
            </w:r>
          </w:p>
        </w:tc>
        <w:tc>
          <w:tcPr>
            <w:tcW w:w="1985" w:type="dxa"/>
            <w:tcBorders>
              <w:top w:val="single" w:sz="4" w:space="0" w:color="auto"/>
              <w:left w:val="nil"/>
              <w:bottom w:val="single" w:sz="4" w:space="0" w:color="auto"/>
              <w:right w:val="single" w:sz="4" w:space="0" w:color="auto"/>
            </w:tcBorders>
            <w:shd w:val="clear" w:color="auto" w:fill="C6EFCE"/>
            <w:noWrap/>
          </w:tcPr>
          <w:p w14:paraId="72CF4933" w14:textId="77777777" w:rsidR="00011DE9" w:rsidRDefault="00011DE9">
            <w:pPr>
              <w:pStyle w:val="P68B1DB1-Normal45"/>
              <w:spacing w:after="0" w:line="240" w:lineRule="auto"/>
              <w:rPr>
                <w:rFonts w:eastAsia="Times New Roman"/>
                <w:noProof/>
              </w:rPr>
            </w:pPr>
            <w:r>
              <w:rPr>
                <w:noProof/>
              </w:rPr>
              <w:t>C13.I1</w:t>
            </w:r>
          </w:p>
        </w:tc>
        <w:tc>
          <w:tcPr>
            <w:tcW w:w="2268" w:type="dxa"/>
            <w:tcBorders>
              <w:top w:val="single" w:sz="4" w:space="0" w:color="auto"/>
              <w:left w:val="nil"/>
              <w:bottom w:val="single" w:sz="4" w:space="0" w:color="auto"/>
              <w:right w:val="single" w:sz="4" w:space="0" w:color="auto"/>
            </w:tcBorders>
            <w:shd w:val="clear" w:color="auto" w:fill="C6EFCE"/>
            <w:noWrap/>
          </w:tcPr>
          <w:p w14:paraId="153820BE" w14:textId="77777777" w:rsidR="00011DE9" w:rsidRDefault="00011DE9">
            <w:pPr>
              <w:pStyle w:val="P68B1DB1-Normal45"/>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254CCC34" w14:textId="77777777" w:rsidR="00011DE9" w:rsidRDefault="00011DE9">
            <w:pPr>
              <w:pStyle w:val="P68B1DB1-Normal80"/>
              <w:spacing w:after="0" w:line="240" w:lineRule="auto"/>
              <w:rPr>
                <w:noProof/>
              </w:rPr>
            </w:pPr>
            <w:r>
              <w:rPr>
                <w:noProof/>
              </w:rPr>
              <w:t xml:space="preserve"> Beneficiarii din cadrul oricăruia dintre programele de sprijin care finalizează activități </w:t>
            </w:r>
          </w:p>
        </w:tc>
      </w:tr>
      <w:tr w:rsidR="00011DE9" w14:paraId="08A80022"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C81F5D0" w14:textId="77777777" w:rsidR="00011DE9" w:rsidRDefault="00011DE9">
            <w:pPr>
              <w:pStyle w:val="P68B1DB1-Normal45"/>
              <w:spacing w:after="0" w:line="240" w:lineRule="auto"/>
              <w:jc w:val="center"/>
              <w:rPr>
                <w:noProof/>
              </w:rPr>
            </w:pPr>
            <w:r>
              <w:rPr>
                <w:noProof/>
              </w:rPr>
              <w:t>209b</w:t>
            </w:r>
          </w:p>
        </w:tc>
        <w:tc>
          <w:tcPr>
            <w:tcW w:w="1985" w:type="dxa"/>
            <w:tcBorders>
              <w:top w:val="single" w:sz="4" w:space="0" w:color="auto"/>
              <w:left w:val="nil"/>
              <w:bottom w:val="single" w:sz="4" w:space="0" w:color="auto"/>
              <w:right w:val="single" w:sz="4" w:space="0" w:color="auto"/>
            </w:tcBorders>
            <w:shd w:val="clear" w:color="auto" w:fill="C6EFCE"/>
            <w:noWrap/>
          </w:tcPr>
          <w:p w14:paraId="10BFF94B" w14:textId="77777777" w:rsidR="00011DE9" w:rsidRDefault="00011DE9">
            <w:pPr>
              <w:pStyle w:val="P68B1DB1-Normal45"/>
              <w:spacing w:after="0" w:line="240" w:lineRule="auto"/>
              <w:rPr>
                <w:noProof/>
              </w:rPr>
            </w:pPr>
            <w:r>
              <w:rPr>
                <w:noProof/>
              </w:rPr>
              <w:t>C13.I3</w:t>
            </w:r>
          </w:p>
        </w:tc>
        <w:tc>
          <w:tcPr>
            <w:tcW w:w="2268" w:type="dxa"/>
            <w:tcBorders>
              <w:top w:val="single" w:sz="4" w:space="0" w:color="auto"/>
              <w:left w:val="nil"/>
              <w:bottom w:val="single" w:sz="4" w:space="0" w:color="auto"/>
              <w:right w:val="single" w:sz="4" w:space="0" w:color="auto"/>
            </w:tcBorders>
            <w:shd w:val="clear" w:color="auto" w:fill="C6EFCE"/>
            <w:noWrap/>
          </w:tcPr>
          <w:p w14:paraId="2FCB65B9"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290A3BE1" w14:textId="77777777" w:rsidR="00011DE9" w:rsidRDefault="00011DE9">
            <w:pPr>
              <w:pStyle w:val="P68B1DB1-Normal45"/>
              <w:spacing w:after="0" w:line="240" w:lineRule="auto"/>
              <w:rPr>
                <w:noProof/>
              </w:rPr>
            </w:pPr>
            <w:r>
              <w:rPr>
                <w:noProof/>
              </w:rPr>
              <w:t>Programul privind centrele de inovare digitală</w:t>
            </w:r>
          </w:p>
        </w:tc>
      </w:tr>
      <w:tr w:rsidR="00011DE9" w14:paraId="07839C96"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019C037" w14:textId="77777777" w:rsidR="00011DE9" w:rsidRDefault="00011DE9">
            <w:pPr>
              <w:pStyle w:val="P68B1DB1-Normal45"/>
              <w:spacing w:after="0" w:line="240" w:lineRule="auto"/>
              <w:jc w:val="center"/>
              <w:rPr>
                <w:noProof/>
              </w:rPr>
            </w:pPr>
            <w:r>
              <w:rPr>
                <w:noProof/>
              </w:rPr>
              <w:t>508</w:t>
            </w:r>
          </w:p>
        </w:tc>
        <w:tc>
          <w:tcPr>
            <w:tcW w:w="1985" w:type="dxa"/>
            <w:tcBorders>
              <w:top w:val="single" w:sz="4" w:space="0" w:color="auto"/>
              <w:left w:val="nil"/>
              <w:bottom w:val="single" w:sz="4" w:space="0" w:color="auto"/>
              <w:right w:val="single" w:sz="4" w:space="0" w:color="auto"/>
            </w:tcBorders>
            <w:shd w:val="clear" w:color="auto" w:fill="C6EFCE"/>
            <w:noWrap/>
          </w:tcPr>
          <w:p w14:paraId="66EFC9BB" w14:textId="77777777" w:rsidR="00011DE9" w:rsidRDefault="00011DE9">
            <w:pPr>
              <w:pStyle w:val="P68B1DB1-Normal45"/>
              <w:spacing w:after="0" w:line="240" w:lineRule="auto"/>
              <w:rPr>
                <w:noProof/>
                <w:highlight w:val="red"/>
              </w:rPr>
            </w:pPr>
            <w:r>
              <w:rPr>
                <w:noProof/>
              </w:rPr>
              <w:t>C13.I14</w:t>
            </w:r>
          </w:p>
        </w:tc>
        <w:tc>
          <w:tcPr>
            <w:tcW w:w="2268" w:type="dxa"/>
            <w:tcBorders>
              <w:top w:val="single" w:sz="4" w:space="0" w:color="auto"/>
              <w:left w:val="nil"/>
              <w:bottom w:val="single" w:sz="4" w:space="0" w:color="auto"/>
              <w:right w:val="single" w:sz="4" w:space="0" w:color="auto"/>
            </w:tcBorders>
            <w:shd w:val="clear" w:color="auto" w:fill="C6EFCE"/>
            <w:noWrap/>
          </w:tcPr>
          <w:p w14:paraId="181AFD47"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5E73474F" w14:textId="77777777" w:rsidR="00011DE9" w:rsidRDefault="00011DE9">
            <w:pPr>
              <w:pStyle w:val="P68B1DB1-Normal45"/>
              <w:spacing w:after="0" w:line="240" w:lineRule="auto"/>
              <w:rPr>
                <w:noProof/>
              </w:rPr>
            </w:pPr>
            <w:r>
              <w:rPr>
                <w:noProof/>
              </w:rPr>
              <w:t>Politică de investiții</w:t>
            </w:r>
          </w:p>
        </w:tc>
      </w:tr>
      <w:tr w:rsidR="00011DE9" w14:paraId="1AC3ED8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F1AD5C5" w14:textId="77777777" w:rsidR="00011DE9" w:rsidRDefault="00011DE9">
            <w:pPr>
              <w:pStyle w:val="P68B1DB1-Normal45"/>
              <w:spacing w:after="0" w:line="240" w:lineRule="auto"/>
              <w:jc w:val="center"/>
              <w:rPr>
                <w:noProof/>
              </w:rPr>
            </w:pPr>
            <w:r>
              <w:rPr>
                <w:noProof/>
              </w:rPr>
              <w:t>509</w:t>
            </w:r>
          </w:p>
        </w:tc>
        <w:tc>
          <w:tcPr>
            <w:tcW w:w="1985" w:type="dxa"/>
            <w:tcBorders>
              <w:top w:val="single" w:sz="4" w:space="0" w:color="auto"/>
              <w:left w:val="nil"/>
              <w:bottom w:val="single" w:sz="4" w:space="0" w:color="auto"/>
              <w:right w:val="single" w:sz="4" w:space="0" w:color="auto"/>
            </w:tcBorders>
            <w:shd w:val="clear" w:color="auto" w:fill="C6EFCE"/>
            <w:noWrap/>
          </w:tcPr>
          <w:p w14:paraId="2387D803" w14:textId="77777777" w:rsidR="00011DE9" w:rsidRDefault="00011DE9">
            <w:pPr>
              <w:pStyle w:val="P68B1DB1-Normal45"/>
              <w:spacing w:after="0" w:line="240" w:lineRule="auto"/>
              <w:rPr>
                <w:noProof/>
                <w:highlight w:val="red"/>
              </w:rPr>
            </w:pPr>
            <w:r>
              <w:rPr>
                <w:noProof/>
              </w:rPr>
              <w:t>C13.I14</w:t>
            </w:r>
          </w:p>
        </w:tc>
        <w:tc>
          <w:tcPr>
            <w:tcW w:w="2268" w:type="dxa"/>
            <w:tcBorders>
              <w:top w:val="single" w:sz="4" w:space="0" w:color="auto"/>
              <w:left w:val="nil"/>
              <w:bottom w:val="single" w:sz="4" w:space="0" w:color="auto"/>
              <w:right w:val="single" w:sz="4" w:space="0" w:color="auto"/>
            </w:tcBorders>
            <w:shd w:val="clear" w:color="auto" w:fill="C6EFCE"/>
            <w:noWrap/>
          </w:tcPr>
          <w:p w14:paraId="2D769EB8" w14:textId="77777777" w:rsidR="00011DE9" w:rsidRDefault="00011DE9">
            <w:pPr>
              <w:pStyle w:val="P68B1DB1-Normal45"/>
              <w:spacing w:after="0" w:line="240" w:lineRule="auto"/>
              <w:rPr>
                <w:noProof/>
                <w:highlight w:val="red"/>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AB3B217" w14:textId="77777777" w:rsidR="00011DE9" w:rsidRDefault="00011DE9">
            <w:pPr>
              <w:pStyle w:val="P68B1DB1-Normal81"/>
              <w:spacing w:after="0" w:line="240" w:lineRule="auto"/>
              <w:rPr>
                <w:rFonts w:cs="Times New Roman"/>
                <w:noProof/>
                <w:szCs w:val="20"/>
              </w:rPr>
            </w:pPr>
            <w:r>
              <w:rPr>
                <w:noProof/>
              </w:rPr>
              <w:t>Injecție de capital</w:t>
            </w:r>
          </w:p>
        </w:tc>
      </w:tr>
      <w:tr w:rsidR="00011DE9" w14:paraId="4739482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97B3CD6" w14:textId="77777777" w:rsidR="00011DE9" w:rsidRDefault="00011DE9">
            <w:pPr>
              <w:pStyle w:val="P68B1DB1-Normal45"/>
              <w:spacing w:after="0" w:line="240" w:lineRule="auto"/>
              <w:jc w:val="center"/>
              <w:rPr>
                <w:noProof/>
              </w:rPr>
            </w:pPr>
            <w:r>
              <w:rPr>
                <w:noProof/>
              </w:rPr>
              <w:t>221</w:t>
            </w:r>
          </w:p>
        </w:tc>
        <w:tc>
          <w:tcPr>
            <w:tcW w:w="1985" w:type="dxa"/>
            <w:tcBorders>
              <w:top w:val="single" w:sz="4" w:space="0" w:color="auto"/>
              <w:left w:val="nil"/>
              <w:bottom w:val="single" w:sz="4" w:space="0" w:color="auto"/>
              <w:right w:val="single" w:sz="4" w:space="0" w:color="auto"/>
            </w:tcBorders>
            <w:shd w:val="clear" w:color="auto" w:fill="C6EFCE"/>
            <w:noWrap/>
          </w:tcPr>
          <w:p w14:paraId="37D9C8D1" w14:textId="77777777" w:rsidR="00011DE9" w:rsidRDefault="00011DE9">
            <w:pPr>
              <w:pStyle w:val="P68B1DB1-Normal45"/>
              <w:spacing w:after="0" w:line="240" w:lineRule="auto"/>
              <w:rPr>
                <w:noProof/>
              </w:rPr>
            </w:pPr>
            <w:r>
              <w:rPr>
                <w:noProof/>
              </w:rPr>
              <w:t>C14.I1</w:t>
            </w:r>
          </w:p>
        </w:tc>
        <w:tc>
          <w:tcPr>
            <w:tcW w:w="2268" w:type="dxa"/>
            <w:tcBorders>
              <w:top w:val="single" w:sz="4" w:space="0" w:color="auto"/>
              <w:left w:val="nil"/>
              <w:bottom w:val="single" w:sz="4" w:space="0" w:color="auto"/>
              <w:right w:val="single" w:sz="4" w:space="0" w:color="auto"/>
            </w:tcBorders>
            <w:shd w:val="clear" w:color="auto" w:fill="C6EFCE"/>
            <w:noWrap/>
          </w:tcPr>
          <w:p w14:paraId="38F9C30E"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0BCD4B7" w14:textId="77777777" w:rsidR="00011DE9" w:rsidRDefault="00011DE9">
            <w:pPr>
              <w:pStyle w:val="P68B1DB1-Normal45"/>
              <w:spacing w:after="0" w:line="240" w:lineRule="auto"/>
              <w:rPr>
                <w:noProof/>
              </w:rPr>
            </w:pPr>
            <w:r>
              <w:rPr>
                <w:noProof/>
              </w:rPr>
              <w:t>Acțiuni legate de „Planurile teritoriale pentru sustenabilitatea turismului la destinație”</w:t>
            </w:r>
          </w:p>
        </w:tc>
      </w:tr>
      <w:tr w:rsidR="00011DE9" w14:paraId="022066A3"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B91A135" w14:textId="77777777" w:rsidR="00011DE9" w:rsidRDefault="00011DE9">
            <w:pPr>
              <w:pStyle w:val="P68B1DB1-Normal45"/>
              <w:spacing w:after="0" w:line="240" w:lineRule="auto"/>
              <w:jc w:val="center"/>
              <w:rPr>
                <w:noProof/>
              </w:rPr>
            </w:pPr>
            <w:r>
              <w:rPr>
                <w:noProof/>
              </w:rPr>
              <w:t>227</w:t>
            </w:r>
          </w:p>
        </w:tc>
        <w:tc>
          <w:tcPr>
            <w:tcW w:w="1985" w:type="dxa"/>
            <w:tcBorders>
              <w:top w:val="single" w:sz="4" w:space="0" w:color="auto"/>
              <w:left w:val="nil"/>
              <w:bottom w:val="single" w:sz="4" w:space="0" w:color="auto"/>
              <w:right w:val="single" w:sz="4" w:space="0" w:color="auto"/>
            </w:tcBorders>
            <w:shd w:val="clear" w:color="auto" w:fill="C6EFCE"/>
            <w:noWrap/>
          </w:tcPr>
          <w:p w14:paraId="1CE2726E" w14:textId="77777777" w:rsidR="00011DE9" w:rsidRDefault="00011DE9">
            <w:pPr>
              <w:pStyle w:val="P68B1DB1-Normal45"/>
              <w:spacing w:after="0" w:line="240" w:lineRule="auto"/>
              <w:rPr>
                <w:noProof/>
              </w:rPr>
            </w:pPr>
            <w:r>
              <w:rPr>
                <w:noProof/>
              </w:rPr>
              <w:t>C14.I4</w:t>
            </w:r>
          </w:p>
        </w:tc>
        <w:tc>
          <w:tcPr>
            <w:tcW w:w="2268" w:type="dxa"/>
            <w:tcBorders>
              <w:top w:val="single" w:sz="4" w:space="0" w:color="auto"/>
              <w:left w:val="nil"/>
              <w:bottom w:val="single" w:sz="4" w:space="0" w:color="auto"/>
              <w:right w:val="single" w:sz="4" w:space="0" w:color="auto"/>
            </w:tcBorders>
            <w:shd w:val="clear" w:color="auto" w:fill="C6EFCE"/>
            <w:noWrap/>
          </w:tcPr>
          <w:p w14:paraId="364CA953"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360893F1" w14:textId="77777777" w:rsidR="00011DE9" w:rsidRDefault="00011DE9">
            <w:pPr>
              <w:pStyle w:val="P68B1DB1-Normal45"/>
              <w:spacing w:after="0" w:line="240" w:lineRule="auto"/>
              <w:rPr>
                <w:noProof/>
              </w:rPr>
            </w:pPr>
            <w:r>
              <w:rPr>
                <w:noProof/>
              </w:rPr>
              <w:t>Acțiuni în materie de durabilitate în unitățile turistice</w:t>
            </w:r>
          </w:p>
        </w:tc>
      </w:tr>
      <w:tr w:rsidR="00011DE9" w14:paraId="00FE83B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00E25C7" w14:textId="77777777" w:rsidR="00011DE9" w:rsidRDefault="00011DE9">
            <w:pPr>
              <w:pStyle w:val="P68B1DB1-Normal45"/>
              <w:spacing w:after="0" w:line="240" w:lineRule="auto"/>
              <w:jc w:val="center"/>
              <w:rPr>
                <w:noProof/>
              </w:rPr>
            </w:pPr>
            <w:r>
              <w:rPr>
                <w:noProof/>
              </w:rPr>
              <w:t>228</w:t>
            </w:r>
          </w:p>
        </w:tc>
        <w:tc>
          <w:tcPr>
            <w:tcW w:w="1985" w:type="dxa"/>
            <w:tcBorders>
              <w:top w:val="single" w:sz="4" w:space="0" w:color="auto"/>
              <w:left w:val="nil"/>
              <w:bottom w:val="single" w:sz="4" w:space="0" w:color="auto"/>
              <w:right w:val="single" w:sz="4" w:space="0" w:color="auto"/>
            </w:tcBorders>
            <w:shd w:val="clear" w:color="auto" w:fill="C6EFCE"/>
            <w:noWrap/>
          </w:tcPr>
          <w:p w14:paraId="29CBFD5E" w14:textId="77777777" w:rsidR="00011DE9" w:rsidRDefault="00011DE9">
            <w:pPr>
              <w:pStyle w:val="P68B1DB1-Normal45"/>
              <w:spacing w:after="0" w:line="240" w:lineRule="auto"/>
              <w:rPr>
                <w:noProof/>
              </w:rPr>
            </w:pPr>
            <w:r>
              <w:rPr>
                <w:noProof/>
              </w:rPr>
              <w:t>C14.I4</w:t>
            </w:r>
          </w:p>
        </w:tc>
        <w:tc>
          <w:tcPr>
            <w:tcW w:w="2268" w:type="dxa"/>
            <w:tcBorders>
              <w:top w:val="single" w:sz="4" w:space="0" w:color="auto"/>
              <w:left w:val="nil"/>
              <w:bottom w:val="single" w:sz="4" w:space="0" w:color="auto"/>
              <w:right w:val="single" w:sz="4" w:space="0" w:color="auto"/>
            </w:tcBorders>
            <w:shd w:val="clear" w:color="auto" w:fill="C6EFCE"/>
            <w:noWrap/>
          </w:tcPr>
          <w:p w14:paraId="11C3C0DD"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DCA9D3A" w14:textId="77777777" w:rsidR="00011DE9" w:rsidRDefault="00011DE9">
            <w:pPr>
              <w:pStyle w:val="P68B1DB1-Normal45"/>
              <w:spacing w:after="0" w:line="240" w:lineRule="auto"/>
              <w:rPr>
                <w:noProof/>
              </w:rPr>
            </w:pPr>
            <w:r>
              <w:rPr>
                <w:noProof/>
              </w:rPr>
              <w:t>Regenerarea siturilor de patrimoniu istoric</w:t>
            </w:r>
          </w:p>
        </w:tc>
      </w:tr>
      <w:tr w:rsidR="00011DE9" w14:paraId="40D7B510"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F103F40" w14:textId="77777777" w:rsidR="00011DE9" w:rsidRDefault="00011DE9">
            <w:pPr>
              <w:pStyle w:val="P68B1DB1-Normal45"/>
              <w:spacing w:after="0" w:line="240" w:lineRule="auto"/>
              <w:jc w:val="center"/>
              <w:rPr>
                <w:noProof/>
              </w:rPr>
            </w:pPr>
            <w:r>
              <w:rPr>
                <w:noProof/>
              </w:rPr>
              <w:t>237</w:t>
            </w:r>
          </w:p>
        </w:tc>
        <w:tc>
          <w:tcPr>
            <w:tcW w:w="1985" w:type="dxa"/>
            <w:tcBorders>
              <w:top w:val="single" w:sz="4" w:space="0" w:color="auto"/>
              <w:left w:val="nil"/>
              <w:bottom w:val="single" w:sz="4" w:space="0" w:color="auto"/>
              <w:right w:val="single" w:sz="4" w:space="0" w:color="auto"/>
            </w:tcBorders>
            <w:shd w:val="clear" w:color="auto" w:fill="C6EFCE"/>
            <w:noWrap/>
          </w:tcPr>
          <w:p w14:paraId="6D575B6E" w14:textId="77777777" w:rsidR="00011DE9" w:rsidRDefault="00011DE9">
            <w:pPr>
              <w:pStyle w:val="P68B1DB1-Normal45"/>
              <w:spacing w:after="0" w:line="240" w:lineRule="auto"/>
              <w:rPr>
                <w:noProof/>
              </w:rPr>
            </w:pPr>
            <w:r>
              <w:rPr>
                <w:noProof/>
              </w:rPr>
              <w:t>C15.I1</w:t>
            </w:r>
          </w:p>
        </w:tc>
        <w:tc>
          <w:tcPr>
            <w:tcW w:w="2268" w:type="dxa"/>
            <w:tcBorders>
              <w:top w:val="single" w:sz="4" w:space="0" w:color="auto"/>
              <w:left w:val="nil"/>
              <w:bottom w:val="single" w:sz="4" w:space="0" w:color="auto"/>
              <w:right w:val="single" w:sz="4" w:space="0" w:color="auto"/>
            </w:tcBorders>
            <w:shd w:val="clear" w:color="auto" w:fill="C6EFCE"/>
            <w:noWrap/>
          </w:tcPr>
          <w:p w14:paraId="4B5B86D1"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14FE382" w14:textId="77777777" w:rsidR="00011DE9" w:rsidRDefault="00011DE9">
            <w:pPr>
              <w:pStyle w:val="P68B1DB1-Normal45"/>
              <w:spacing w:after="0" w:line="240" w:lineRule="auto"/>
              <w:rPr>
                <w:noProof/>
              </w:rPr>
            </w:pPr>
            <w:r>
              <w:rPr>
                <w:noProof/>
              </w:rPr>
              <w:t>Extinderea benzii largi în zonele albe și gri</w:t>
            </w:r>
          </w:p>
        </w:tc>
      </w:tr>
      <w:tr w:rsidR="00011DE9" w14:paraId="10EC207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E4A018D" w14:textId="77777777" w:rsidR="00011DE9" w:rsidRDefault="00011DE9">
            <w:pPr>
              <w:pStyle w:val="P68B1DB1-Normal45"/>
              <w:spacing w:after="0" w:line="240" w:lineRule="auto"/>
              <w:jc w:val="center"/>
              <w:rPr>
                <w:noProof/>
              </w:rPr>
            </w:pPr>
            <w:r>
              <w:rPr>
                <w:noProof/>
              </w:rPr>
              <w:t>239</w:t>
            </w:r>
          </w:p>
        </w:tc>
        <w:tc>
          <w:tcPr>
            <w:tcW w:w="1985" w:type="dxa"/>
            <w:tcBorders>
              <w:top w:val="single" w:sz="4" w:space="0" w:color="auto"/>
              <w:left w:val="nil"/>
              <w:bottom w:val="single" w:sz="4" w:space="0" w:color="auto"/>
              <w:right w:val="single" w:sz="4" w:space="0" w:color="auto"/>
            </w:tcBorders>
            <w:shd w:val="clear" w:color="auto" w:fill="C6EFCE"/>
            <w:noWrap/>
          </w:tcPr>
          <w:p w14:paraId="682A56C9" w14:textId="77777777" w:rsidR="00011DE9" w:rsidRDefault="00011DE9">
            <w:pPr>
              <w:pStyle w:val="P68B1DB1-Normal45"/>
              <w:spacing w:after="0" w:line="240" w:lineRule="auto"/>
              <w:rPr>
                <w:noProof/>
              </w:rPr>
            </w:pPr>
            <w:r>
              <w:rPr>
                <w:noProof/>
              </w:rPr>
              <w:t>C15.I3</w:t>
            </w:r>
          </w:p>
        </w:tc>
        <w:tc>
          <w:tcPr>
            <w:tcW w:w="2268" w:type="dxa"/>
            <w:tcBorders>
              <w:top w:val="single" w:sz="4" w:space="0" w:color="auto"/>
              <w:left w:val="nil"/>
              <w:bottom w:val="single" w:sz="4" w:space="0" w:color="auto"/>
              <w:right w:val="single" w:sz="4" w:space="0" w:color="auto"/>
            </w:tcBorders>
            <w:shd w:val="clear" w:color="auto" w:fill="C6EFCE"/>
            <w:noWrap/>
          </w:tcPr>
          <w:p w14:paraId="3B5051AF"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35A794C" w14:textId="77777777" w:rsidR="00011DE9" w:rsidRDefault="00011DE9">
            <w:pPr>
              <w:pStyle w:val="P68B1DB1-Normal45"/>
              <w:spacing w:after="0" w:line="240" w:lineRule="auto"/>
              <w:rPr>
                <w:noProof/>
              </w:rPr>
            </w:pPr>
            <w:r>
              <w:rPr>
                <w:noProof/>
              </w:rPr>
              <w:t>Vouchere pentru conectivitate în cadrul UNICO Bono social și vouchere în cadrul UNICO Bono PYME</w:t>
            </w:r>
          </w:p>
        </w:tc>
      </w:tr>
      <w:tr w:rsidR="00011DE9" w14:paraId="1A5E6F6E"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DA6567D" w14:textId="77777777" w:rsidR="00011DE9" w:rsidRDefault="00011DE9">
            <w:pPr>
              <w:pStyle w:val="P68B1DB1-Normal45"/>
              <w:spacing w:after="0" w:line="240" w:lineRule="auto"/>
              <w:jc w:val="center"/>
              <w:rPr>
                <w:noProof/>
              </w:rPr>
            </w:pPr>
            <w:r>
              <w:rPr>
                <w:noProof/>
              </w:rPr>
              <w:t>242</w:t>
            </w:r>
          </w:p>
        </w:tc>
        <w:tc>
          <w:tcPr>
            <w:tcW w:w="1985" w:type="dxa"/>
            <w:tcBorders>
              <w:top w:val="single" w:sz="4" w:space="0" w:color="auto"/>
              <w:left w:val="nil"/>
              <w:bottom w:val="single" w:sz="4" w:space="0" w:color="auto"/>
              <w:right w:val="single" w:sz="4" w:space="0" w:color="auto"/>
            </w:tcBorders>
            <w:shd w:val="clear" w:color="auto" w:fill="C6EFCE"/>
            <w:noWrap/>
          </w:tcPr>
          <w:p w14:paraId="0150CA69" w14:textId="77777777" w:rsidR="00011DE9" w:rsidRDefault="00011DE9">
            <w:pPr>
              <w:pStyle w:val="P68B1DB1-Normal45"/>
              <w:spacing w:after="0" w:line="240" w:lineRule="auto"/>
              <w:rPr>
                <w:noProof/>
              </w:rPr>
            </w:pPr>
            <w:r>
              <w:rPr>
                <w:noProof/>
              </w:rPr>
              <w:t>C15.I5</w:t>
            </w:r>
          </w:p>
        </w:tc>
        <w:tc>
          <w:tcPr>
            <w:tcW w:w="2268" w:type="dxa"/>
            <w:tcBorders>
              <w:top w:val="single" w:sz="4" w:space="0" w:color="auto"/>
              <w:left w:val="nil"/>
              <w:bottom w:val="single" w:sz="4" w:space="0" w:color="auto"/>
              <w:right w:val="single" w:sz="4" w:space="0" w:color="auto"/>
            </w:tcBorders>
            <w:shd w:val="clear" w:color="auto" w:fill="C6EFCE"/>
            <w:noWrap/>
          </w:tcPr>
          <w:p w14:paraId="1371DF2F"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28BDB08" w14:textId="77777777" w:rsidR="00011DE9" w:rsidRDefault="00011DE9">
            <w:pPr>
              <w:pStyle w:val="P68B1DB1-Normal45"/>
              <w:spacing w:after="0" w:line="240" w:lineRule="auto"/>
              <w:rPr>
                <w:noProof/>
              </w:rPr>
            </w:pPr>
            <w:r>
              <w:rPr>
                <w:noProof/>
              </w:rPr>
              <w:t>Infrastructură digitală: cabluri submarine și proiecte de C &amp; D</w:t>
            </w:r>
          </w:p>
        </w:tc>
      </w:tr>
      <w:tr w:rsidR="00011DE9" w14:paraId="53DCD1A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3E57C8E" w14:textId="77777777" w:rsidR="00011DE9" w:rsidRDefault="00011DE9">
            <w:pPr>
              <w:pStyle w:val="P68B1DB1-Normal45"/>
              <w:spacing w:after="0" w:line="240" w:lineRule="auto"/>
              <w:jc w:val="center"/>
              <w:rPr>
                <w:noProof/>
              </w:rPr>
            </w:pPr>
            <w:r>
              <w:rPr>
                <w:noProof/>
              </w:rPr>
              <w:t>244</w:t>
            </w:r>
          </w:p>
        </w:tc>
        <w:tc>
          <w:tcPr>
            <w:tcW w:w="1985" w:type="dxa"/>
            <w:tcBorders>
              <w:top w:val="single" w:sz="4" w:space="0" w:color="auto"/>
              <w:left w:val="nil"/>
              <w:bottom w:val="single" w:sz="4" w:space="0" w:color="auto"/>
              <w:right w:val="single" w:sz="4" w:space="0" w:color="auto"/>
            </w:tcBorders>
            <w:shd w:val="clear" w:color="auto" w:fill="C6EFCE"/>
            <w:noWrap/>
          </w:tcPr>
          <w:p w14:paraId="05E82E84" w14:textId="77777777" w:rsidR="00011DE9" w:rsidRDefault="00011DE9">
            <w:pPr>
              <w:pStyle w:val="P68B1DB1-Normal45"/>
              <w:spacing w:after="0" w:line="240" w:lineRule="auto"/>
              <w:rPr>
                <w:noProof/>
              </w:rPr>
            </w:pPr>
            <w:r>
              <w:rPr>
                <w:noProof/>
              </w:rPr>
              <w:t>C15.I6</w:t>
            </w:r>
          </w:p>
        </w:tc>
        <w:tc>
          <w:tcPr>
            <w:tcW w:w="2268" w:type="dxa"/>
            <w:tcBorders>
              <w:top w:val="single" w:sz="4" w:space="0" w:color="auto"/>
              <w:left w:val="nil"/>
              <w:bottom w:val="single" w:sz="4" w:space="0" w:color="auto"/>
              <w:right w:val="single" w:sz="4" w:space="0" w:color="auto"/>
            </w:tcBorders>
            <w:shd w:val="clear" w:color="auto" w:fill="C6EFCE"/>
            <w:noWrap/>
          </w:tcPr>
          <w:p w14:paraId="374D2E65"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6F9AFDF" w14:textId="77777777" w:rsidR="00011DE9" w:rsidRDefault="00011DE9">
            <w:pPr>
              <w:pStyle w:val="P68B1DB1-Normal45"/>
              <w:spacing w:after="0" w:line="240" w:lineRule="auto"/>
              <w:rPr>
                <w:noProof/>
              </w:rPr>
            </w:pPr>
            <w:r>
              <w:rPr>
                <w:noProof/>
              </w:rPr>
              <w:t>Implementarea proiectelor de C &amp; D &amp; I în domeniul tehnologiei 5G: plăți</w:t>
            </w:r>
          </w:p>
        </w:tc>
      </w:tr>
      <w:tr w:rsidR="00011DE9" w14:paraId="46583097"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963029A" w14:textId="77777777" w:rsidR="00011DE9" w:rsidRDefault="00011DE9">
            <w:pPr>
              <w:pStyle w:val="P68B1DB1-Normal45"/>
              <w:spacing w:after="0" w:line="240" w:lineRule="auto"/>
              <w:jc w:val="center"/>
              <w:rPr>
                <w:noProof/>
              </w:rPr>
            </w:pPr>
            <w:r>
              <w:rPr>
                <w:noProof/>
              </w:rPr>
              <w:t>248</w:t>
            </w:r>
          </w:p>
        </w:tc>
        <w:tc>
          <w:tcPr>
            <w:tcW w:w="1985" w:type="dxa"/>
            <w:tcBorders>
              <w:top w:val="single" w:sz="4" w:space="0" w:color="auto"/>
              <w:left w:val="nil"/>
              <w:bottom w:val="single" w:sz="4" w:space="0" w:color="auto"/>
              <w:right w:val="single" w:sz="4" w:space="0" w:color="auto"/>
            </w:tcBorders>
            <w:shd w:val="clear" w:color="auto" w:fill="C6EFCE"/>
            <w:noWrap/>
          </w:tcPr>
          <w:p w14:paraId="4667A41D" w14:textId="77777777" w:rsidR="00011DE9" w:rsidRDefault="00011DE9">
            <w:pPr>
              <w:pStyle w:val="P68B1DB1-Normal45"/>
              <w:spacing w:after="0" w:line="240" w:lineRule="auto"/>
              <w:rPr>
                <w:noProof/>
              </w:rPr>
            </w:pPr>
            <w:r>
              <w:rPr>
                <w:noProof/>
              </w:rPr>
              <w:t>C15.I7</w:t>
            </w:r>
          </w:p>
        </w:tc>
        <w:tc>
          <w:tcPr>
            <w:tcW w:w="2268" w:type="dxa"/>
            <w:tcBorders>
              <w:top w:val="single" w:sz="4" w:space="0" w:color="auto"/>
              <w:left w:val="nil"/>
              <w:bottom w:val="single" w:sz="4" w:space="0" w:color="auto"/>
              <w:right w:val="single" w:sz="4" w:space="0" w:color="auto"/>
            </w:tcBorders>
            <w:shd w:val="clear" w:color="auto" w:fill="C6EFCE"/>
            <w:noWrap/>
          </w:tcPr>
          <w:p w14:paraId="110FC208"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4936A0D" w14:textId="77777777" w:rsidR="00011DE9" w:rsidRDefault="00011DE9">
            <w:pPr>
              <w:pStyle w:val="P68B1DB1-Normal45"/>
              <w:spacing w:after="0" w:line="240" w:lineRule="auto"/>
              <w:rPr>
                <w:noProof/>
              </w:rPr>
            </w:pPr>
            <w:r>
              <w:rPr>
                <w:noProof/>
              </w:rPr>
              <w:t>Contractele și acordurile (</w:t>
            </w:r>
            <w:r>
              <w:rPr>
                <w:i/>
                <w:noProof/>
              </w:rPr>
              <w:t>convenios</w:t>
            </w:r>
            <w:r>
              <w:rPr>
                <w:noProof/>
              </w:rPr>
              <w:t>) atribuite în cadrul jaloanelor 245 și 453 au fost executate.</w:t>
            </w:r>
          </w:p>
        </w:tc>
      </w:tr>
      <w:tr w:rsidR="00011DE9" w14:paraId="2CE5E5BE"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04CEFB7" w14:textId="77777777" w:rsidR="00011DE9" w:rsidRDefault="00011DE9">
            <w:pPr>
              <w:pStyle w:val="P68B1DB1-Normal45"/>
              <w:spacing w:after="0" w:line="240" w:lineRule="auto"/>
              <w:jc w:val="center"/>
              <w:rPr>
                <w:noProof/>
              </w:rPr>
            </w:pPr>
            <w:r>
              <w:rPr>
                <w:noProof/>
              </w:rPr>
              <w:t>455</w:t>
            </w:r>
          </w:p>
        </w:tc>
        <w:tc>
          <w:tcPr>
            <w:tcW w:w="1985" w:type="dxa"/>
            <w:tcBorders>
              <w:top w:val="single" w:sz="4" w:space="0" w:color="auto"/>
              <w:left w:val="nil"/>
              <w:bottom w:val="single" w:sz="4" w:space="0" w:color="auto"/>
              <w:right w:val="single" w:sz="4" w:space="0" w:color="auto"/>
            </w:tcBorders>
            <w:shd w:val="clear" w:color="auto" w:fill="C6EFCE"/>
            <w:noWrap/>
          </w:tcPr>
          <w:p w14:paraId="629517AB" w14:textId="77777777" w:rsidR="00011DE9" w:rsidRDefault="00011DE9">
            <w:pPr>
              <w:pStyle w:val="P68B1DB1-Normal45"/>
              <w:spacing w:after="0" w:line="240" w:lineRule="auto"/>
              <w:rPr>
                <w:noProof/>
              </w:rPr>
            </w:pPr>
            <w:r>
              <w:rPr>
                <w:noProof/>
              </w:rPr>
              <w:t>C15.I8</w:t>
            </w:r>
          </w:p>
        </w:tc>
        <w:tc>
          <w:tcPr>
            <w:tcW w:w="2268" w:type="dxa"/>
            <w:tcBorders>
              <w:top w:val="single" w:sz="4" w:space="0" w:color="auto"/>
              <w:left w:val="nil"/>
              <w:bottom w:val="single" w:sz="4" w:space="0" w:color="auto"/>
              <w:right w:val="single" w:sz="4" w:space="0" w:color="auto"/>
            </w:tcBorders>
            <w:shd w:val="clear" w:color="auto" w:fill="C6EFCE"/>
            <w:noWrap/>
          </w:tcPr>
          <w:p w14:paraId="0CB9F34F"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54B7DEA9" w14:textId="77777777" w:rsidR="00011DE9" w:rsidRDefault="00011DE9">
            <w:pPr>
              <w:pStyle w:val="P68B1DB1-Normal45"/>
              <w:spacing w:after="0" w:line="240" w:lineRule="auto"/>
              <w:rPr>
                <w:noProof/>
              </w:rPr>
            </w:pPr>
            <w:r>
              <w:rPr>
                <w:noProof/>
              </w:rPr>
              <w:t>CIP PERTE. C &amp; d</w:t>
            </w:r>
          </w:p>
        </w:tc>
      </w:tr>
      <w:tr w:rsidR="00011DE9" w14:paraId="075D3926"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AAB7687" w14:textId="77777777" w:rsidR="00011DE9" w:rsidRDefault="00011DE9">
            <w:pPr>
              <w:pStyle w:val="P68B1DB1-Normal45"/>
              <w:spacing w:after="0" w:line="240" w:lineRule="auto"/>
              <w:jc w:val="center"/>
              <w:rPr>
                <w:noProof/>
              </w:rPr>
            </w:pPr>
            <w:r>
              <w:rPr>
                <w:noProof/>
              </w:rPr>
              <w:t>455a</w:t>
            </w:r>
          </w:p>
        </w:tc>
        <w:tc>
          <w:tcPr>
            <w:tcW w:w="1985" w:type="dxa"/>
            <w:tcBorders>
              <w:top w:val="single" w:sz="4" w:space="0" w:color="auto"/>
              <w:left w:val="nil"/>
              <w:bottom w:val="single" w:sz="4" w:space="0" w:color="auto"/>
              <w:right w:val="single" w:sz="4" w:space="0" w:color="auto"/>
            </w:tcBorders>
            <w:shd w:val="clear" w:color="auto" w:fill="C6EFCE"/>
            <w:noWrap/>
          </w:tcPr>
          <w:p w14:paraId="6EEEDDF9" w14:textId="77777777" w:rsidR="00011DE9" w:rsidRDefault="00011DE9">
            <w:pPr>
              <w:pStyle w:val="P68B1DB1-Normal45"/>
              <w:spacing w:after="0" w:line="240" w:lineRule="auto"/>
              <w:rPr>
                <w:noProof/>
              </w:rPr>
            </w:pPr>
            <w:r>
              <w:rPr>
                <w:noProof/>
              </w:rPr>
              <w:t>C15.I8</w:t>
            </w:r>
          </w:p>
        </w:tc>
        <w:tc>
          <w:tcPr>
            <w:tcW w:w="2268" w:type="dxa"/>
            <w:tcBorders>
              <w:top w:val="single" w:sz="4" w:space="0" w:color="auto"/>
              <w:left w:val="nil"/>
              <w:bottom w:val="single" w:sz="4" w:space="0" w:color="auto"/>
              <w:right w:val="single" w:sz="4" w:space="0" w:color="auto"/>
            </w:tcBorders>
            <w:shd w:val="clear" w:color="auto" w:fill="C6EFCE"/>
            <w:noWrap/>
          </w:tcPr>
          <w:p w14:paraId="5CC69DDB"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AA2B2E6" w14:textId="77777777" w:rsidR="00011DE9" w:rsidRDefault="00011DE9">
            <w:pPr>
              <w:pStyle w:val="P68B1DB1-Normal45"/>
              <w:spacing w:after="0" w:line="240" w:lineRule="auto"/>
              <w:rPr>
                <w:noProof/>
              </w:rPr>
            </w:pPr>
            <w:r>
              <w:rPr>
                <w:noProof/>
              </w:rPr>
              <w:t xml:space="preserve">CIP PERTE. </w:t>
            </w:r>
          </w:p>
          <w:p w14:paraId="5EB60150" w14:textId="77777777" w:rsidR="00011DE9" w:rsidRDefault="00011DE9">
            <w:pPr>
              <w:pStyle w:val="P68B1DB1-Normal45"/>
              <w:spacing w:after="0" w:line="240" w:lineRule="auto"/>
              <w:rPr>
                <w:noProof/>
              </w:rPr>
            </w:pPr>
            <w:r>
              <w:rPr>
                <w:noProof/>
              </w:rPr>
              <w:t>Injecție de capital</w:t>
            </w:r>
          </w:p>
        </w:tc>
      </w:tr>
      <w:tr w:rsidR="00011DE9" w14:paraId="50C8549E"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E662D8A" w14:textId="77777777" w:rsidR="00011DE9" w:rsidRDefault="00011DE9">
            <w:pPr>
              <w:pStyle w:val="P68B1DB1-Normal45"/>
              <w:spacing w:line="240" w:lineRule="auto"/>
              <w:jc w:val="center"/>
              <w:rPr>
                <w:noProof/>
              </w:rPr>
            </w:pPr>
            <w:r>
              <w:rPr>
                <w:noProof/>
              </w:rPr>
              <w:t>455b</w:t>
            </w:r>
          </w:p>
        </w:tc>
        <w:tc>
          <w:tcPr>
            <w:tcW w:w="1985" w:type="dxa"/>
            <w:tcBorders>
              <w:top w:val="single" w:sz="4" w:space="0" w:color="auto"/>
              <w:left w:val="nil"/>
              <w:bottom w:val="single" w:sz="4" w:space="0" w:color="auto"/>
              <w:right w:val="single" w:sz="4" w:space="0" w:color="auto"/>
            </w:tcBorders>
            <w:shd w:val="clear" w:color="auto" w:fill="C6EFCE"/>
            <w:noWrap/>
          </w:tcPr>
          <w:p w14:paraId="50EDCC97" w14:textId="77777777" w:rsidR="00011DE9" w:rsidRDefault="00011DE9">
            <w:pPr>
              <w:pStyle w:val="P68B1DB1-Normal45"/>
              <w:spacing w:line="240" w:lineRule="auto"/>
              <w:rPr>
                <w:noProof/>
              </w:rPr>
            </w:pPr>
            <w:r>
              <w:rPr>
                <w:noProof/>
              </w:rPr>
              <w:t>C15.I8</w:t>
            </w:r>
          </w:p>
        </w:tc>
        <w:tc>
          <w:tcPr>
            <w:tcW w:w="2268" w:type="dxa"/>
            <w:tcBorders>
              <w:top w:val="single" w:sz="4" w:space="0" w:color="auto"/>
              <w:left w:val="nil"/>
              <w:bottom w:val="single" w:sz="4" w:space="0" w:color="auto"/>
              <w:right w:val="single" w:sz="4" w:space="0" w:color="auto"/>
            </w:tcBorders>
            <w:shd w:val="clear" w:color="auto" w:fill="C6EFCE"/>
            <w:noWrap/>
          </w:tcPr>
          <w:p w14:paraId="4DCEA54E" w14:textId="77777777" w:rsidR="00011DE9" w:rsidRDefault="00011DE9">
            <w:pPr>
              <w:pStyle w:val="P68B1DB1-Normal45"/>
              <w:spacing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BA8831F" w14:textId="77777777" w:rsidR="00011DE9" w:rsidRDefault="00011DE9">
            <w:pPr>
              <w:pStyle w:val="P68B1DB1-Normal45"/>
              <w:spacing w:line="240" w:lineRule="auto"/>
              <w:rPr>
                <w:noProof/>
              </w:rPr>
            </w:pPr>
            <w:r>
              <w:rPr>
                <w:noProof/>
              </w:rPr>
              <w:t>CIP PERTE.</w:t>
            </w:r>
          </w:p>
          <w:p w14:paraId="5ABAF14F" w14:textId="4158C637" w:rsidR="00011DE9" w:rsidRDefault="00011DE9">
            <w:pPr>
              <w:pStyle w:val="P68B1DB1-Normal45"/>
              <w:spacing w:line="240" w:lineRule="auto"/>
              <w:rPr>
                <w:noProof/>
              </w:rPr>
            </w:pPr>
            <w:r>
              <w:rPr>
                <w:noProof/>
              </w:rPr>
              <w:t>Crearea unei infrastructuri pentru camere curate: contracte semnate și memorandum de înțelegere semnat.</w:t>
            </w:r>
            <w:r w:rsidR="00971820">
              <w:rPr>
                <w:noProof/>
              </w:rPr>
              <w:t xml:space="preserve"> </w:t>
            </w:r>
            <w:r>
              <w:rPr>
                <w:noProof/>
              </w:rPr>
              <w:t xml:space="preserve"> </w:t>
            </w:r>
          </w:p>
        </w:tc>
      </w:tr>
      <w:tr w:rsidR="00011DE9" w14:paraId="2CC2C4F3"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06300F9" w14:textId="77777777" w:rsidR="00011DE9" w:rsidRDefault="00011DE9">
            <w:pPr>
              <w:pStyle w:val="P68B1DB1-Normal45"/>
              <w:spacing w:after="0" w:line="240" w:lineRule="auto"/>
              <w:jc w:val="center"/>
              <w:rPr>
                <w:noProof/>
              </w:rPr>
            </w:pPr>
            <w:r>
              <w:rPr>
                <w:noProof/>
              </w:rPr>
              <w:t>456</w:t>
            </w:r>
          </w:p>
        </w:tc>
        <w:tc>
          <w:tcPr>
            <w:tcW w:w="1985" w:type="dxa"/>
            <w:tcBorders>
              <w:top w:val="single" w:sz="4" w:space="0" w:color="auto"/>
              <w:left w:val="nil"/>
              <w:bottom w:val="single" w:sz="4" w:space="0" w:color="auto"/>
              <w:right w:val="single" w:sz="4" w:space="0" w:color="auto"/>
            </w:tcBorders>
            <w:shd w:val="clear" w:color="auto" w:fill="C6EFCE"/>
            <w:noWrap/>
          </w:tcPr>
          <w:p w14:paraId="6129268C" w14:textId="77777777" w:rsidR="00011DE9" w:rsidRDefault="00011DE9">
            <w:pPr>
              <w:pStyle w:val="P68B1DB1-Normal45"/>
              <w:spacing w:after="0" w:line="240" w:lineRule="auto"/>
              <w:rPr>
                <w:noProof/>
              </w:rPr>
            </w:pPr>
            <w:r>
              <w:rPr>
                <w:noProof/>
              </w:rPr>
              <w:t>C15.I8</w:t>
            </w:r>
          </w:p>
        </w:tc>
        <w:tc>
          <w:tcPr>
            <w:tcW w:w="2268" w:type="dxa"/>
            <w:tcBorders>
              <w:top w:val="single" w:sz="4" w:space="0" w:color="auto"/>
              <w:left w:val="nil"/>
              <w:bottom w:val="single" w:sz="4" w:space="0" w:color="auto"/>
              <w:right w:val="single" w:sz="4" w:space="0" w:color="auto"/>
            </w:tcBorders>
            <w:shd w:val="clear" w:color="auto" w:fill="C6EFCE"/>
            <w:noWrap/>
          </w:tcPr>
          <w:p w14:paraId="02B8BDC0"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4543004" w14:textId="77777777" w:rsidR="00011DE9" w:rsidRDefault="00011DE9">
            <w:pPr>
              <w:pStyle w:val="P68B1DB1-Normal45"/>
              <w:spacing w:after="0" w:line="240" w:lineRule="auto"/>
              <w:rPr>
                <w:noProof/>
              </w:rPr>
            </w:pPr>
            <w:r>
              <w:rPr>
                <w:noProof/>
              </w:rPr>
              <w:t>CIP PERTE. Crearea de catedre academice axate pe microelectronică</w:t>
            </w:r>
          </w:p>
        </w:tc>
      </w:tr>
      <w:tr w:rsidR="00011DE9" w14:paraId="163A1CC6"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70A714A" w14:textId="77777777" w:rsidR="00011DE9" w:rsidRDefault="00011DE9">
            <w:pPr>
              <w:pStyle w:val="P68B1DB1-Normal45"/>
              <w:spacing w:after="0" w:line="240" w:lineRule="auto"/>
              <w:jc w:val="center"/>
              <w:rPr>
                <w:noProof/>
              </w:rPr>
            </w:pPr>
            <w:r>
              <w:rPr>
                <w:noProof/>
              </w:rPr>
              <w:t>253</w:t>
            </w:r>
          </w:p>
        </w:tc>
        <w:tc>
          <w:tcPr>
            <w:tcW w:w="1985" w:type="dxa"/>
            <w:tcBorders>
              <w:top w:val="single" w:sz="4" w:space="0" w:color="auto"/>
              <w:left w:val="nil"/>
              <w:bottom w:val="single" w:sz="4" w:space="0" w:color="auto"/>
              <w:right w:val="single" w:sz="4" w:space="0" w:color="auto"/>
            </w:tcBorders>
            <w:shd w:val="clear" w:color="auto" w:fill="C6EFCE"/>
            <w:noWrap/>
          </w:tcPr>
          <w:p w14:paraId="76A8F85D" w14:textId="77777777" w:rsidR="00011DE9" w:rsidRDefault="00011DE9">
            <w:pPr>
              <w:pStyle w:val="P68B1DB1-Normal45"/>
              <w:spacing w:after="0" w:line="240" w:lineRule="auto"/>
              <w:rPr>
                <w:noProof/>
              </w:rPr>
            </w:pPr>
            <w:r>
              <w:rPr>
                <w:noProof/>
              </w:rPr>
              <w:t>C16.R1</w:t>
            </w:r>
          </w:p>
        </w:tc>
        <w:tc>
          <w:tcPr>
            <w:tcW w:w="2268" w:type="dxa"/>
            <w:tcBorders>
              <w:top w:val="single" w:sz="4" w:space="0" w:color="auto"/>
              <w:left w:val="nil"/>
              <w:bottom w:val="single" w:sz="4" w:space="0" w:color="auto"/>
              <w:right w:val="single" w:sz="4" w:space="0" w:color="auto"/>
            </w:tcBorders>
            <w:shd w:val="clear" w:color="auto" w:fill="C6EFCE"/>
            <w:noWrap/>
          </w:tcPr>
          <w:p w14:paraId="4B4CED16"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1305502" w14:textId="77777777" w:rsidR="00011DE9" w:rsidRDefault="00011DE9">
            <w:pPr>
              <w:pStyle w:val="P68B1DB1-Normal45"/>
              <w:spacing w:after="0" w:line="240" w:lineRule="auto"/>
              <w:rPr>
                <w:noProof/>
              </w:rPr>
            </w:pPr>
            <w:r>
              <w:rPr>
                <w:noProof/>
              </w:rPr>
              <w:t>Acțiuni privind inteligența artificială și tehnologiile cuantice</w:t>
            </w:r>
          </w:p>
        </w:tc>
      </w:tr>
      <w:tr w:rsidR="00011DE9" w14:paraId="0D3D7FC6"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E6E92BF" w14:textId="77777777" w:rsidR="00011DE9" w:rsidRDefault="00011DE9">
            <w:pPr>
              <w:pStyle w:val="P68B1DB1-Normal45"/>
              <w:spacing w:after="0" w:line="240" w:lineRule="auto"/>
              <w:jc w:val="center"/>
              <w:rPr>
                <w:noProof/>
                <w:highlight w:val="yellow"/>
              </w:rPr>
            </w:pPr>
            <w:r>
              <w:rPr>
                <w:noProof/>
              </w:rPr>
              <w:t>253a</w:t>
            </w:r>
          </w:p>
        </w:tc>
        <w:tc>
          <w:tcPr>
            <w:tcW w:w="1985" w:type="dxa"/>
            <w:tcBorders>
              <w:top w:val="single" w:sz="4" w:space="0" w:color="auto"/>
              <w:left w:val="nil"/>
              <w:bottom w:val="single" w:sz="4" w:space="0" w:color="auto"/>
              <w:right w:val="single" w:sz="4" w:space="0" w:color="auto"/>
            </w:tcBorders>
            <w:shd w:val="clear" w:color="auto" w:fill="C6EFCE"/>
            <w:noWrap/>
          </w:tcPr>
          <w:p w14:paraId="030099C8" w14:textId="77777777" w:rsidR="00011DE9" w:rsidRDefault="00011DE9">
            <w:pPr>
              <w:pStyle w:val="P68B1DB1-Normal45"/>
              <w:spacing w:after="0" w:line="240" w:lineRule="auto"/>
              <w:rPr>
                <w:noProof/>
              </w:rPr>
            </w:pPr>
            <w:r>
              <w:rPr>
                <w:noProof/>
              </w:rPr>
              <w:t>C16.I1</w:t>
            </w:r>
          </w:p>
        </w:tc>
        <w:tc>
          <w:tcPr>
            <w:tcW w:w="2268" w:type="dxa"/>
            <w:tcBorders>
              <w:top w:val="single" w:sz="4" w:space="0" w:color="auto"/>
              <w:left w:val="nil"/>
              <w:bottom w:val="single" w:sz="4" w:space="0" w:color="auto"/>
              <w:right w:val="single" w:sz="4" w:space="0" w:color="auto"/>
            </w:tcBorders>
            <w:shd w:val="clear" w:color="auto" w:fill="C6EFCE"/>
            <w:noWrap/>
          </w:tcPr>
          <w:p w14:paraId="491852D1"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52DE881" w14:textId="77777777" w:rsidR="00011DE9" w:rsidRDefault="00011DE9">
            <w:pPr>
              <w:pStyle w:val="P68B1DB1-Normal45"/>
              <w:spacing w:after="0" w:line="240" w:lineRule="auto"/>
              <w:rPr>
                <w:noProof/>
              </w:rPr>
            </w:pPr>
            <w:r>
              <w:rPr>
                <w:noProof/>
              </w:rPr>
              <w:t>Semnarea acordului de contribuție dintre Spania și întreprinderea comună EuroHPC și plata contribuției voluntare către întreprinderea comună EuroHPC</w:t>
            </w:r>
          </w:p>
        </w:tc>
      </w:tr>
      <w:tr w:rsidR="00011DE9" w14:paraId="5D1CA953"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B5B796B" w14:textId="77777777" w:rsidR="00011DE9" w:rsidRDefault="00011DE9">
            <w:pPr>
              <w:pStyle w:val="P68B1DB1-Normal45"/>
              <w:spacing w:after="0" w:line="240" w:lineRule="auto"/>
              <w:jc w:val="center"/>
              <w:rPr>
                <w:noProof/>
              </w:rPr>
            </w:pPr>
            <w:r>
              <w:rPr>
                <w:noProof/>
              </w:rPr>
              <w:t>260</w:t>
            </w:r>
          </w:p>
        </w:tc>
        <w:tc>
          <w:tcPr>
            <w:tcW w:w="1985" w:type="dxa"/>
            <w:tcBorders>
              <w:top w:val="single" w:sz="4" w:space="0" w:color="auto"/>
              <w:left w:val="nil"/>
              <w:bottom w:val="single" w:sz="4" w:space="0" w:color="auto"/>
              <w:right w:val="single" w:sz="4" w:space="0" w:color="auto"/>
            </w:tcBorders>
            <w:shd w:val="clear" w:color="auto" w:fill="C6EFCE"/>
            <w:noWrap/>
          </w:tcPr>
          <w:p w14:paraId="4F4DB0F9" w14:textId="77777777" w:rsidR="00011DE9" w:rsidRDefault="00011DE9">
            <w:pPr>
              <w:pStyle w:val="P68B1DB1-Normal45"/>
              <w:spacing w:after="0" w:line="240" w:lineRule="auto"/>
              <w:rPr>
                <w:noProof/>
              </w:rPr>
            </w:pPr>
            <w:r>
              <w:rPr>
                <w:noProof/>
              </w:rPr>
              <w:t>C17.I2</w:t>
            </w:r>
          </w:p>
        </w:tc>
        <w:tc>
          <w:tcPr>
            <w:tcW w:w="2268" w:type="dxa"/>
            <w:tcBorders>
              <w:top w:val="single" w:sz="4" w:space="0" w:color="auto"/>
              <w:left w:val="nil"/>
              <w:bottom w:val="single" w:sz="4" w:space="0" w:color="auto"/>
              <w:right w:val="single" w:sz="4" w:space="0" w:color="auto"/>
            </w:tcBorders>
            <w:shd w:val="clear" w:color="auto" w:fill="C6EFCE"/>
            <w:noWrap/>
          </w:tcPr>
          <w:p w14:paraId="728B15A6"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5CCA6F4C" w14:textId="77777777" w:rsidR="00011DE9" w:rsidRDefault="00011DE9">
            <w:pPr>
              <w:pStyle w:val="P68B1DB1-Normal45"/>
              <w:spacing w:after="0" w:line="240" w:lineRule="auto"/>
              <w:rPr>
                <w:noProof/>
              </w:rPr>
            </w:pPr>
            <w:r>
              <w:rPr>
                <w:noProof/>
              </w:rPr>
              <w:t>Infrastructură de cercetare.</w:t>
            </w:r>
          </w:p>
        </w:tc>
      </w:tr>
      <w:tr w:rsidR="00011DE9" w14:paraId="50AAE86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F98B284" w14:textId="77777777" w:rsidR="00011DE9" w:rsidRDefault="00011DE9">
            <w:pPr>
              <w:pStyle w:val="P68B1DB1-Normal45"/>
              <w:spacing w:after="0" w:line="240" w:lineRule="auto"/>
              <w:jc w:val="center"/>
              <w:rPr>
                <w:noProof/>
              </w:rPr>
            </w:pPr>
            <w:r>
              <w:rPr>
                <w:noProof/>
              </w:rPr>
              <w:t>459</w:t>
            </w:r>
          </w:p>
        </w:tc>
        <w:tc>
          <w:tcPr>
            <w:tcW w:w="1985" w:type="dxa"/>
            <w:tcBorders>
              <w:top w:val="single" w:sz="4" w:space="0" w:color="auto"/>
              <w:left w:val="nil"/>
              <w:bottom w:val="single" w:sz="4" w:space="0" w:color="auto"/>
              <w:right w:val="single" w:sz="4" w:space="0" w:color="auto"/>
            </w:tcBorders>
            <w:shd w:val="clear" w:color="auto" w:fill="C6EFCE"/>
            <w:noWrap/>
          </w:tcPr>
          <w:p w14:paraId="100531DF" w14:textId="77777777" w:rsidR="00011DE9" w:rsidRDefault="00011DE9">
            <w:pPr>
              <w:pStyle w:val="P68B1DB1-Normal45"/>
              <w:spacing w:after="0" w:line="240" w:lineRule="auto"/>
              <w:rPr>
                <w:noProof/>
              </w:rPr>
            </w:pPr>
            <w:r>
              <w:rPr>
                <w:noProof/>
              </w:rPr>
              <w:t>C17.I5</w:t>
            </w:r>
          </w:p>
        </w:tc>
        <w:tc>
          <w:tcPr>
            <w:tcW w:w="2268" w:type="dxa"/>
            <w:tcBorders>
              <w:top w:val="single" w:sz="4" w:space="0" w:color="auto"/>
              <w:left w:val="nil"/>
              <w:bottom w:val="single" w:sz="4" w:space="0" w:color="auto"/>
              <w:right w:val="single" w:sz="4" w:space="0" w:color="auto"/>
            </w:tcBorders>
            <w:shd w:val="clear" w:color="auto" w:fill="C6EFCE"/>
            <w:noWrap/>
          </w:tcPr>
          <w:p w14:paraId="3256E92A"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B3BD017" w14:textId="77777777" w:rsidR="00011DE9" w:rsidRDefault="00011DE9">
            <w:pPr>
              <w:pStyle w:val="P68B1DB1-Normal45"/>
              <w:spacing w:after="0" w:line="240" w:lineRule="auto"/>
              <w:rPr>
                <w:noProof/>
              </w:rPr>
            </w:pPr>
            <w:r>
              <w:rPr>
                <w:noProof/>
              </w:rPr>
              <w:t>Transfer de cunoștințe</w:t>
            </w:r>
          </w:p>
        </w:tc>
      </w:tr>
      <w:tr w:rsidR="00011DE9" w14:paraId="7A57210A"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7A2C6C1" w14:textId="77777777" w:rsidR="00011DE9" w:rsidRDefault="00011DE9">
            <w:pPr>
              <w:pStyle w:val="P68B1DB1-Normal45"/>
              <w:spacing w:after="0" w:line="240" w:lineRule="auto"/>
              <w:jc w:val="center"/>
              <w:rPr>
                <w:noProof/>
              </w:rPr>
            </w:pPr>
            <w:r>
              <w:rPr>
                <w:noProof/>
              </w:rPr>
              <w:t>268</w:t>
            </w:r>
          </w:p>
        </w:tc>
        <w:tc>
          <w:tcPr>
            <w:tcW w:w="1985" w:type="dxa"/>
            <w:tcBorders>
              <w:top w:val="single" w:sz="4" w:space="0" w:color="auto"/>
              <w:left w:val="nil"/>
              <w:bottom w:val="single" w:sz="4" w:space="0" w:color="auto"/>
              <w:right w:val="single" w:sz="4" w:space="0" w:color="auto"/>
            </w:tcBorders>
            <w:shd w:val="clear" w:color="auto" w:fill="C6EFCE"/>
            <w:noWrap/>
          </w:tcPr>
          <w:p w14:paraId="4AAFC64F" w14:textId="77777777" w:rsidR="00011DE9" w:rsidRDefault="00011DE9">
            <w:pPr>
              <w:pStyle w:val="P68B1DB1-Normal45"/>
              <w:spacing w:after="0" w:line="240" w:lineRule="auto"/>
              <w:rPr>
                <w:noProof/>
              </w:rPr>
            </w:pPr>
            <w:r>
              <w:rPr>
                <w:noProof/>
              </w:rPr>
              <w:t>C17.I6</w:t>
            </w:r>
          </w:p>
        </w:tc>
        <w:tc>
          <w:tcPr>
            <w:tcW w:w="2268" w:type="dxa"/>
            <w:tcBorders>
              <w:top w:val="single" w:sz="4" w:space="0" w:color="auto"/>
              <w:left w:val="nil"/>
              <w:bottom w:val="single" w:sz="4" w:space="0" w:color="auto"/>
              <w:right w:val="single" w:sz="4" w:space="0" w:color="auto"/>
            </w:tcBorders>
            <w:shd w:val="clear" w:color="auto" w:fill="C6EFCE"/>
            <w:noWrap/>
          </w:tcPr>
          <w:p w14:paraId="5457A9A0"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21352AA" w14:textId="77777777" w:rsidR="00011DE9" w:rsidRDefault="00011DE9">
            <w:pPr>
              <w:pStyle w:val="P68B1DB1-Normal45"/>
              <w:spacing w:after="0" w:line="240" w:lineRule="auto"/>
              <w:rPr>
                <w:noProof/>
              </w:rPr>
            </w:pPr>
            <w:r>
              <w:rPr>
                <w:noProof/>
              </w:rPr>
              <w:t>Sănătate</w:t>
            </w:r>
          </w:p>
        </w:tc>
      </w:tr>
      <w:tr w:rsidR="00011DE9" w14:paraId="0163276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B9B824D" w14:textId="77777777" w:rsidR="00011DE9" w:rsidRDefault="00011DE9">
            <w:pPr>
              <w:pStyle w:val="P68B1DB1-Normal45"/>
              <w:spacing w:after="0" w:line="240" w:lineRule="auto"/>
              <w:jc w:val="center"/>
              <w:rPr>
                <w:noProof/>
              </w:rPr>
            </w:pPr>
            <w:r>
              <w:rPr>
                <w:noProof/>
              </w:rPr>
              <w:t>269</w:t>
            </w:r>
          </w:p>
        </w:tc>
        <w:tc>
          <w:tcPr>
            <w:tcW w:w="1985" w:type="dxa"/>
            <w:tcBorders>
              <w:top w:val="single" w:sz="4" w:space="0" w:color="auto"/>
              <w:left w:val="nil"/>
              <w:bottom w:val="single" w:sz="4" w:space="0" w:color="auto"/>
              <w:right w:val="single" w:sz="4" w:space="0" w:color="auto"/>
            </w:tcBorders>
            <w:shd w:val="clear" w:color="auto" w:fill="C6EFCE"/>
            <w:noWrap/>
          </w:tcPr>
          <w:p w14:paraId="17E2C5FA" w14:textId="77777777" w:rsidR="00011DE9" w:rsidRDefault="00011DE9">
            <w:pPr>
              <w:pStyle w:val="P68B1DB1-Normal45"/>
              <w:spacing w:after="0" w:line="240" w:lineRule="auto"/>
              <w:rPr>
                <w:noProof/>
              </w:rPr>
            </w:pPr>
            <w:r>
              <w:rPr>
                <w:noProof/>
              </w:rPr>
              <w:t>C17.I7</w:t>
            </w:r>
          </w:p>
        </w:tc>
        <w:tc>
          <w:tcPr>
            <w:tcW w:w="2268" w:type="dxa"/>
            <w:tcBorders>
              <w:top w:val="single" w:sz="4" w:space="0" w:color="auto"/>
              <w:left w:val="nil"/>
              <w:bottom w:val="single" w:sz="4" w:space="0" w:color="auto"/>
              <w:right w:val="single" w:sz="4" w:space="0" w:color="auto"/>
            </w:tcBorders>
            <w:shd w:val="clear" w:color="auto" w:fill="C6EFCE"/>
            <w:noWrap/>
          </w:tcPr>
          <w:p w14:paraId="71D1C0FD"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6E59A75" w14:textId="77777777" w:rsidR="00011DE9" w:rsidRDefault="00011DE9">
            <w:pPr>
              <w:pStyle w:val="P68B1DB1-Normal45"/>
              <w:spacing w:after="0" w:line="240" w:lineRule="auto"/>
              <w:rPr>
                <w:noProof/>
              </w:rPr>
            </w:pPr>
            <w:r>
              <w:rPr>
                <w:noProof/>
              </w:rPr>
              <w:t>Mediul, schimbările climatice și energia</w:t>
            </w:r>
          </w:p>
        </w:tc>
      </w:tr>
      <w:tr w:rsidR="00011DE9" w14:paraId="7C7D03BF"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3EAD33C" w14:textId="77777777" w:rsidR="00011DE9" w:rsidRDefault="00011DE9">
            <w:pPr>
              <w:pStyle w:val="P68B1DB1-Normal45"/>
              <w:spacing w:after="0" w:line="240" w:lineRule="auto"/>
              <w:jc w:val="center"/>
              <w:rPr>
                <w:noProof/>
              </w:rPr>
            </w:pPr>
            <w:r>
              <w:rPr>
                <w:noProof/>
              </w:rPr>
              <w:t>462</w:t>
            </w:r>
          </w:p>
        </w:tc>
        <w:tc>
          <w:tcPr>
            <w:tcW w:w="1985" w:type="dxa"/>
            <w:tcBorders>
              <w:top w:val="single" w:sz="4" w:space="0" w:color="auto"/>
              <w:left w:val="nil"/>
              <w:bottom w:val="single" w:sz="4" w:space="0" w:color="auto"/>
              <w:right w:val="single" w:sz="4" w:space="0" w:color="auto"/>
            </w:tcBorders>
            <w:shd w:val="clear" w:color="auto" w:fill="C6EFCE"/>
            <w:noWrap/>
          </w:tcPr>
          <w:p w14:paraId="72B68F91" w14:textId="77777777" w:rsidR="00011DE9" w:rsidRDefault="00011DE9">
            <w:pPr>
              <w:pStyle w:val="P68B1DB1-Normal45"/>
              <w:spacing w:after="0" w:line="240" w:lineRule="auto"/>
              <w:rPr>
                <w:noProof/>
              </w:rPr>
            </w:pPr>
            <w:r>
              <w:rPr>
                <w:noProof/>
              </w:rPr>
              <w:t>C17.I9</w:t>
            </w:r>
          </w:p>
        </w:tc>
        <w:tc>
          <w:tcPr>
            <w:tcW w:w="2268" w:type="dxa"/>
            <w:tcBorders>
              <w:top w:val="single" w:sz="4" w:space="0" w:color="auto"/>
              <w:left w:val="nil"/>
              <w:bottom w:val="single" w:sz="4" w:space="0" w:color="auto"/>
              <w:right w:val="single" w:sz="4" w:space="0" w:color="auto"/>
            </w:tcBorders>
            <w:shd w:val="clear" w:color="auto" w:fill="C6EFCE"/>
            <w:noWrap/>
          </w:tcPr>
          <w:p w14:paraId="60AEB31F"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91A996F" w14:textId="77777777" w:rsidR="00011DE9" w:rsidRDefault="00011DE9">
            <w:pPr>
              <w:pStyle w:val="P68B1DB1-Normal45"/>
              <w:spacing w:after="0" w:line="240" w:lineRule="auto"/>
              <w:rPr>
                <w:noProof/>
              </w:rPr>
            </w:pPr>
            <w:r>
              <w:rPr>
                <w:noProof/>
              </w:rPr>
              <w:t>PERTE Aerospace.</w:t>
            </w:r>
          </w:p>
        </w:tc>
      </w:tr>
      <w:tr w:rsidR="00011DE9" w14:paraId="2E1CF89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305C114" w14:textId="77777777" w:rsidR="00011DE9" w:rsidRDefault="00011DE9">
            <w:pPr>
              <w:pStyle w:val="P68B1DB1-Normal45"/>
              <w:spacing w:after="0" w:line="240" w:lineRule="auto"/>
              <w:jc w:val="center"/>
              <w:rPr>
                <w:noProof/>
              </w:rPr>
            </w:pPr>
            <w:r>
              <w:rPr>
                <w:noProof/>
              </w:rPr>
              <w:t>511</w:t>
            </w:r>
          </w:p>
        </w:tc>
        <w:tc>
          <w:tcPr>
            <w:tcW w:w="1985" w:type="dxa"/>
            <w:tcBorders>
              <w:top w:val="single" w:sz="4" w:space="0" w:color="auto"/>
              <w:left w:val="nil"/>
              <w:bottom w:val="single" w:sz="4" w:space="0" w:color="auto"/>
              <w:right w:val="single" w:sz="4" w:space="0" w:color="auto"/>
            </w:tcBorders>
            <w:shd w:val="clear" w:color="auto" w:fill="C6EFCE"/>
            <w:noWrap/>
          </w:tcPr>
          <w:p w14:paraId="6ECCFE7E" w14:textId="77777777" w:rsidR="00011DE9" w:rsidRDefault="00011DE9">
            <w:pPr>
              <w:pStyle w:val="P68B1DB1-Normal45"/>
              <w:spacing w:after="0" w:line="240" w:lineRule="auto"/>
              <w:rPr>
                <w:noProof/>
              </w:rPr>
            </w:pPr>
            <w:r>
              <w:rPr>
                <w:noProof/>
              </w:rPr>
              <w:t>C17.I11</w:t>
            </w:r>
          </w:p>
        </w:tc>
        <w:tc>
          <w:tcPr>
            <w:tcW w:w="2268" w:type="dxa"/>
            <w:tcBorders>
              <w:top w:val="single" w:sz="4" w:space="0" w:color="auto"/>
              <w:left w:val="nil"/>
              <w:bottom w:val="single" w:sz="4" w:space="0" w:color="auto"/>
              <w:right w:val="single" w:sz="4" w:space="0" w:color="auto"/>
            </w:tcBorders>
            <w:shd w:val="clear" w:color="auto" w:fill="C6EFCE"/>
            <w:noWrap/>
          </w:tcPr>
          <w:p w14:paraId="494C2CFF" w14:textId="77777777" w:rsidR="00011DE9" w:rsidRDefault="00011DE9">
            <w:pPr>
              <w:pStyle w:val="P68B1DB1-Normal45"/>
              <w:spacing w:after="0" w:line="240" w:lineRule="auto"/>
              <w:rPr>
                <w:noProof/>
                <w:highlight w:val="yellow"/>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A670AFB" w14:textId="77777777" w:rsidR="00011DE9" w:rsidRDefault="00011DE9">
            <w:pPr>
              <w:pStyle w:val="EndnoteText"/>
              <w:rPr>
                <w:rFonts w:ascii="Times New Roman" w:hAnsi="Times New Roman" w:cs="Times New Roman"/>
                <w:noProof/>
              </w:rPr>
            </w:pPr>
            <w:r>
              <w:rPr>
                <w:rFonts w:ascii="Times New Roman" w:hAnsi="Times New Roman"/>
                <w:noProof/>
                <w:color w:val="000000" w:themeColor="text1"/>
              </w:rPr>
              <w:t>Semnarea acordului dintre Spania și ESA și atribuirea unei contribuții voluntare programului FutureNav</w:t>
            </w:r>
            <w:r>
              <w:rPr>
                <w:rFonts w:ascii="Times New Roman" w:eastAsia="Calibri" w:hAnsi="Times New Roman" w:cs="Arial"/>
                <w:noProof/>
                <w:kern w:val="0"/>
                <w14:ligatures w14:val="none"/>
              </w:rPr>
              <w:t>, programului UE privind conectivitatea securizată și programului european de lansare pentru provocări</w:t>
            </w:r>
          </w:p>
        </w:tc>
      </w:tr>
      <w:tr w:rsidR="00011DE9" w14:paraId="7FC95D1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87924DA" w14:textId="77777777" w:rsidR="00011DE9" w:rsidRDefault="00011DE9">
            <w:pPr>
              <w:pStyle w:val="P68B1DB1-Normal45"/>
              <w:spacing w:after="0" w:line="240" w:lineRule="auto"/>
              <w:jc w:val="center"/>
              <w:rPr>
                <w:noProof/>
              </w:rPr>
            </w:pPr>
            <w:r>
              <w:rPr>
                <w:noProof/>
              </w:rPr>
              <w:t>280</w:t>
            </w:r>
          </w:p>
        </w:tc>
        <w:tc>
          <w:tcPr>
            <w:tcW w:w="1985" w:type="dxa"/>
            <w:tcBorders>
              <w:top w:val="single" w:sz="4" w:space="0" w:color="auto"/>
              <w:left w:val="nil"/>
              <w:bottom w:val="single" w:sz="4" w:space="0" w:color="auto"/>
              <w:right w:val="single" w:sz="4" w:space="0" w:color="auto"/>
            </w:tcBorders>
            <w:shd w:val="clear" w:color="auto" w:fill="C6EFCE"/>
            <w:noWrap/>
          </w:tcPr>
          <w:p w14:paraId="4A8785ED" w14:textId="77777777" w:rsidR="00011DE9" w:rsidRDefault="00011DE9">
            <w:pPr>
              <w:pStyle w:val="P68B1DB1-Normal45"/>
              <w:spacing w:after="0" w:line="240" w:lineRule="auto"/>
              <w:rPr>
                <w:noProof/>
              </w:rPr>
            </w:pPr>
            <w:r>
              <w:rPr>
                <w:noProof/>
              </w:rPr>
              <w:t>C18.I2</w:t>
            </w:r>
          </w:p>
        </w:tc>
        <w:tc>
          <w:tcPr>
            <w:tcW w:w="2268" w:type="dxa"/>
            <w:tcBorders>
              <w:top w:val="single" w:sz="4" w:space="0" w:color="auto"/>
              <w:left w:val="nil"/>
              <w:bottom w:val="single" w:sz="4" w:space="0" w:color="auto"/>
              <w:right w:val="single" w:sz="4" w:space="0" w:color="auto"/>
            </w:tcBorders>
            <w:shd w:val="clear" w:color="auto" w:fill="C6EFCE"/>
            <w:noWrap/>
          </w:tcPr>
          <w:p w14:paraId="4C29C0EB"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8DADFD1" w14:textId="77777777" w:rsidR="00011DE9" w:rsidRDefault="00011DE9">
            <w:pPr>
              <w:pStyle w:val="P68B1DB1-Normal45"/>
              <w:spacing w:after="0" w:line="240" w:lineRule="auto"/>
              <w:rPr>
                <w:rFonts w:eastAsia="Times New Roman"/>
                <w:noProof/>
                <w:color w:val="000000" w:themeColor="text1"/>
              </w:rPr>
            </w:pPr>
            <w:r>
              <w:rPr>
                <w:noProof/>
              </w:rPr>
              <w:t>Campanii și acțiuni în domeniul sănătății publice</w:t>
            </w:r>
          </w:p>
        </w:tc>
      </w:tr>
      <w:tr w:rsidR="00011DE9" w14:paraId="353D461A"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B045706" w14:textId="77777777" w:rsidR="00011DE9" w:rsidRDefault="00011DE9">
            <w:pPr>
              <w:pStyle w:val="P68B1DB1-Normal45"/>
              <w:spacing w:after="0" w:line="240" w:lineRule="auto"/>
              <w:jc w:val="center"/>
              <w:rPr>
                <w:noProof/>
              </w:rPr>
            </w:pPr>
            <w:r>
              <w:rPr>
                <w:noProof/>
              </w:rPr>
              <w:t>281</w:t>
            </w:r>
          </w:p>
        </w:tc>
        <w:tc>
          <w:tcPr>
            <w:tcW w:w="1985" w:type="dxa"/>
            <w:tcBorders>
              <w:top w:val="single" w:sz="4" w:space="0" w:color="auto"/>
              <w:left w:val="nil"/>
              <w:bottom w:val="single" w:sz="4" w:space="0" w:color="auto"/>
              <w:right w:val="single" w:sz="4" w:space="0" w:color="auto"/>
            </w:tcBorders>
            <w:shd w:val="clear" w:color="auto" w:fill="C6EFCE"/>
            <w:noWrap/>
          </w:tcPr>
          <w:p w14:paraId="208B7924" w14:textId="77777777" w:rsidR="00011DE9" w:rsidRDefault="00011DE9">
            <w:pPr>
              <w:pStyle w:val="P68B1DB1-Normal45"/>
              <w:spacing w:after="0" w:line="240" w:lineRule="auto"/>
              <w:rPr>
                <w:noProof/>
              </w:rPr>
            </w:pPr>
            <w:r>
              <w:rPr>
                <w:noProof/>
              </w:rPr>
              <w:t>C18.I3</w:t>
            </w:r>
          </w:p>
        </w:tc>
        <w:tc>
          <w:tcPr>
            <w:tcW w:w="2268" w:type="dxa"/>
            <w:tcBorders>
              <w:top w:val="single" w:sz="4" w:space="0" w:color="auto"/>
              <w:left w:val="nil"/>
              <w:bottom w:val="single" w:sz="4" w:space="0" w:color="auto"/>
              <w:right w:val="single" w:sz="4" w:space="0" w:color="auto"/>
            </w:tcBorders>
            <w:shd w:val="clear" w:color="auto" w:fill="C6EFCE"/>
            <w:noWrap/>
          </w:tcPr>
          <w:p w14:paraId="21B32C94"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1C1DCB7" w14:textId="77777777" w:rsidR="00011DE9" w:rsidRDefault="00011DE9">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 xml:space="preserve">Acțiuni legate de supravegherea sănătății publice, </w:t>
            </w:r>
            <w:r>
              <w:rPr>
                <w:rFonts w:ascii="Times New Roman" w:hAnsi="Times New Roman"/>
                <w:noProof/>
                <w:sz w:val="18"/>
                <w:szCs w:val="18"/>
              </w:rPr>
              <w:t xml:space="preserve">dezvoltarea sau </w:t>
            </w:r>
            <w:r>
              <w:rPr>
                <w:rFonts w:ascii="Times New Roman" w:hAnsi="Times New Roman" w:cs="Times New Roman"/>
                <w:noProof/>
                <w:sz w:val="20"/>
                <w:szCs w:val="20"/>
              </w:rPr>
              <w:t>achiziționarea de echipamente, sisteme și software cu diferite destinații, lucrări de construcții și evaluarea performanței sistemului național de sănătate în timpul pandemiei</w:t>
            </w:r>
          </w:p>
        </w:tc>
      </w:tr>
      <w:tr w:rsidR="00011DE9" w14:paraId="4DC99996"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AB72366" w14:textId="77777777" w:rsidR="00011DE9" w:rsidRDefault="00011DE9">
            <w:pPr>
              <w:pStyle w:val="P68B1DB1-Normal45"/>
              <w:spacing w:after="0" w:line="240" w:lineRule="auto"/>
              <w:jc w:val="center"/>
              <w:rPr>
                <w:noProof/>
              </w:rPr>
            </w:pPr>
            <w:r>
              <w:rPr>
                <w:noProof/>
              </w:rPr>
              <w:t>465</w:t>
            </w:r>
          </w:p>
        </w:tc>
        <w:tc>
          <w:tcPr>
            <w:tcW w:w="1985" w:type="dxa"/>
            <w:tcBorders>
              <w:top w:val="single" w:sz="4" w:space="0" w:color="auto"/>
              <w:left w:val="nil"/>
              <w:bottom w:val="single" w:sz="4" w:space="0" w:color="auto"/>
              <w:right w:val="single" w:sz="4" w:space="0" w:color="auto"/>
            </w:tcBorders>
            <w:shd w:val="clear" w:color="auto" w:fill="C6EFCE"/>
            <w:noWrap/>
          </w:tcPr>
          <w:p w14:paraId="2ED5AC44" w14:textId="77777777" w:rsidR="00011DE9" w:rsidRDefault="00011DE9">
            <w:pPr>
              <w:pStyle w:val="P68B1DB1-Normal45"/>
              <w:spacing w:after="0" w:line="240" w:lineRule="auto"/>
              <w:rPr>
                <w:noProof/>
              </w:rPr>
            </w:pPr>
            <w:r>
              <w:rPr>
                <w:noProof/>
              </w:rPr>
              <w:t>C18.I4</w:t>
            </w:r>
          </w:p>
        </w:tc>
        <w:tc>
          <w:tcPr>
            <w:tcW w:w="2268" w:type="dxa"/>
            <w:tcBorders>
              <w:top w:val="single" w:sz="4" w:space="0" w:color="auto"/>
              <w:left w:val="nil"/>
              <w:bottom w:val="single" w:sz="4" w:space="0" w:color="auto"/>
              <w:right w:val="single" w:sz="4" w:space="0" w:color="auto"/>
            </w:tcBorders>
            <w:shd w:val="clear" w:color="auto" w:fill="C6EFCE"/>
            <w:noWrap/>
          </w:tcPr>
          <w:p w14:paraId="563E669F"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32F3CB43" w14:textId="77777777" w:rsidR="00011DE9" w:rsidRDefault="00011DE9">
            <w:pPr>
              <w:pStyle w:val="P68B1DB1-Normal16"/>
              <w:spacing w:after="0" w:line="240" w:lineRule="auto"/>
              <w:rPr>
                <w:rFonts w:cs="Times New Roman"/>
                <w:noProof/>
                <w:sz w:val="20"/>
                <w:szCs w:val="20"/>
              </w:rPr>
            </w:pPr>
            <w:r>
              <w:rPr>
                <w:noProof/>
                <w:sz w:val="18"/>
              </w:rPr>
              <w:t xml:space="preserve">Contracte sau părți corespunzătoare ale acestora executate în legătură cu </w:t>
            </w:r>
            <w:r>
              <w:rPr>
                <w:noProof/>
                <w:sz w:val="20"/>
                <w:szCs w:val="20"/>
              </w:rPr>
              <w:t>proiectul rețelei UNICAS și pentru îmbunătățirea asistenței medicale pentru pacienții cu boli rare sau SLA</w:t>
            </w:r>
          </w:p>
        </w:tc>
      </w:tr>
      <w:tr w:rsidR="00011DE9" w14:paraId="59005A9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A15FDF0" w14:textId="77777777" w:rsidR="00011DE9" w:rsidRDefault="00011DE9">
            <w:pPr>
              <w:pStyle w:val="P68B1DB1-Normal45"/>
              <w:spacing w:after="0" w:line="240" w:lineRule="auto"/>
              <w:jc w:val="center"/>
              <w:rPr>
                <w:noProof/>
              </w:rPr>
            </w:pPr>
            <w:r>
              <w:rPr>
                <w:noProof/>
              </w:rPr>
              <w:t>466</w:t>
            </w:r>
          </w:p>
        </w:tc>
        <w:tc>
          <w:tcPr>
            <w:tcW w:w="1985" w:type="dxa"/>
            <w:tcBorders>
              <w:top w:val="single" w:sz="4" w:space="0" w:color="auto"/>
              <w:left w:val="nil"/>
              <w:bottom w:val="single" w:sz="4" w:space="0" w:color="auto"/>
              <w:right w:val="single" w:sz="4" w:space="0" w:color="auto"/>
            </w:tcBorders>
            <w:shd w:val="clear" w:color="auto" w:fill="C6EFCE"/>
            <w:noWrap/>
          </w:tcPr>
          <w:p w14:paraId="48BBAFFC" w14:textId="77777777" w:rsidR="00011DE9" w:rsidRDefault="00011DE9">
            <w:pPr>
              <w:pStyle w:val="P68B1DB1-Normal45"/>
              <w:spacing w:after="0" w:line="240" w:lineRule="auto"/>
              <w:rPr>
                <w:noProof/>
              </w:rPr>
            </w:pPr>
            <w:r>
              <w:rPr>
                <w:noProof/>
              </w:rPr>
              <w:t>C18.I5</w:t>
            </w:r>
          </w:p>
        </w:tc>
        <w:tc>
          <w:tcPr>
            <w:tcW w:w="2268" w:type="dxa"/>
            <w:tcBorders>
              <w:top w:val="single" w:sz="4" w:space="0" w:color="auto"/>
              <w:left w:val="nil"/>
              <w:bottom w:val="single" w:sz="4" w:space="0" w:color="auto"/>
              <w:right w:val="single" w:sz="4" w:space="0" w:color="auto"/>
            </w:tcBorders>
            <w:shd w:val="clear" w:color="auto" w:fill="C6EFCE"/>
            <w:noWrap/>
          </w:tcPr>
          <w:p w14:paraId="635B418B"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3EEE5A05" w14:textId="77777777" w:rsidR="00011DE9" w:rsidRDefault="00011DE9">
            <w:pPr>
              <w:pStyle w:val="P68B1DB1-Normal45"/>
              <w:spacing w:after="0" w:line="240" w:lineRule="auto"/>
              <w:rPr>
                <w:noProof/>
              </w:rPr>
            </w:pPr>
            <w:r>
              <w:rPr>
                <w:noProof/>
              </w:rPr>
              <w:t>Echipamente sau software pentru testarea genetică și sistemul informatic pentru informații genomice</w:t>
            </w:r>
          </w:p>
        </w:tc>
      </w:tr>
      <w:tr w:rsidR="00011DE9" w14:paraId="55DF61E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D9F43F7" w14:textId="77777777" w:rsidR="00011DE9" w:rsidRDefault="00011DE9">
            <w:pPr>
              <w:pStyle w:val="P68B1DB1-Normal45"/>
              <w:spacing w:after="0" w:line="240" w:lineRule="auto"/>
              <w:jc w:val="center"/>
              <w:rPr>
                <w:noProof/>
              </w:rPr>
            </w:pPr>
            <w:r>
              <w:rPr>
                <w:noProof/>
              </w:rPr>
              <w:t>464</w:t>
            </w:r>
          </w:p>
        </w:tc>
        <w:tc>
          <w:tcPr>
            <w:tcW w:w="1985" w:type="dxa"/>
            <w:tcBorders>
              <w:top w:val="single" w:sz="4" w:space="0" w:color="auto"/>
              <w:left w:val="nil"/>
              <w:bottom w:val="single" w:sz="4" w:space="0" w:color="auto"/>
              <w:right w:val="single" w:sz="4" w:space="0" w:color="auto"/>
            </w:tcBorders>
            <w:shd w:val="clear" w:color="auto" w:fill="C6EFCE"/>
            <w:noWrap/>
          </w:tcPr>
          <w:p w14:paraId="61FF4C05" w14:textId="77777777" w:rsidR="00011DE9" w:rsidRDefault="00011DE9">
            <w:pPr>
              <w:pStyle w:val="P68B1DB1-Normal45"/>
              <w:spacing w:after="0" w:line="240" w:lineRule="auto"/>
              <w:rPr>
                <w:noProof/>
              </w:rPr>
            </w:pPr>
            <w:r>
              <w:rPr>
                <w:noProof/>
              </w:rPr>
              <w:t>C18.I5</w:t>
            </w:r>
          </w:p>
        </w:tc>
        <w:tc>
          <w:tcPr>
            <w:tcW w:w="2268" w:type="dxa"/>
            <w:tcBorders>
              <w:top w:val="single" w:sz="4" w:space="0" w:color="auto"/>
              <w:left w:val="nil"/>
              <w:bottom w:val="single" w:sz="4" w:space="0" w:color="auto"/>
              <w:right w:val="single" w:sz="4" w:space="0" w:color="auto"/>
            </w:tcBorders>
            <w:shd w:val="clear" w:color="auto" w:fill="C6EFCE"/>
            <w:noWrap/>
          </w:tcPr>
          <w:p w14:paraId="1A144E3C"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80A1549" w14:textId="77777777" w:rsidR="00011DE9" w:rsidRDefault="00011DE9">
            <w:pPr>
              <w:pStyle w:val="P68B1DB1-Normal79"/>
              <w:spacing w:after="0" w:line="240" w:lineRule="auto"/>
              <w:rPr>
                <w:rFonts w:cs="Times New Roman"/>
                <w:noProof/>
              </w:rPr>
            </w:pPr>
            <w:r>
              <w:rPr>
                <w:noProof/>
              </w:rPr>
              <w:t>Executarea contractelor sau a părților corespunzătoare ale acestora referitoare la infrastructura informatică, dezvoltarea sistemelor informatice, cazuri de utilizare, licențe și campanii de informare privind medicamentele sau produsele farmaceutice, produsele dietetice și serviciile ortoprostetice</w:t>
            </w:r>
          </w:p>
        </w:tc>
      </w:tr>
      <w:tr w:rsidR="00011DE9" w14:paraId="108364D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5BC4A63" w14:textId="77777777" w:rsidR="00011DE9" w:rsidRDefault="00011DE9">
            <w:pPr>
              <w:pStyle w:val="P68B1DB1-Normal45"/>
              <w:spacing w:after="0" w:line="240" w:lineRule="auto"/>
              <w:jc w:val="center"/>
              <w:rPr>
                <w:noProof/>
              </w:rPr>
            </w:pPr>
            <w:r>
              <w:rPr>
                <w:noProof/>
              </w:rPr>
              <w:t>466a</w:t>
            </w:r>
          </w:p>
        </w:tc>
        <w:tc>
          <w:tcPr>
            <w:tcW w:w="1985" w:type="dxa"/>
            <w:tcBorders>
              <w:top w:val="single" w:sz="4" w:space="0" w:color="auto"/>
              <w:left w:val="nil"/>
              <w:bottom w:val="single" w:sz="4" w:space="0" w:color="auto"/>
              <w:right w:val="single" w:sz="4" w:space="0" w:color="auto"/>
            </w:tcBorders>
            <w:shd w:val="clear" w:color="auto" w:fill="C6EFCE"/>
            <w:noWrap/>
          </w:tcPr>
          <w:p w14:paraId="537EA5E2" w14:textId="77777777" w:rsidR="00011DE9" w:rsidRDefault="00011DE9">
            <w:pPr>
              <w:pStyle w:val="P68B1DB1-Normal45"/>
              <w:spacing w:after="0" w:line="240" w:lineRule="auto"/>
              <w:rPr>
                <w:noProof/>
              </w:rPr>
            </w:pPr>
            <w:r>
              <w:rPr>
                <w:noProof/>
              </w:rPr>
              <w:t>C18.I6</w:t>
            </w:r>
          </w:p>
        </w:tc>
        <w:tc>
          <w:tcPr>
            <w:tcW w:w="2268" w:type="dxa"/>
            <w:tcBorders>
              <w:top w:val="single" w:sz="4" w:space="0" w:color="auto"/>
              <w:left w:val="nil"/>
              <w:bottom w:val="single" w:sz="4" w:space="0" w:color="auto"/>
              <w:right w:val="single" w:sz="4" w:space="0" w:color="auto"/>
            </w:tcBorders>
            <w:shd w:val="clear" w:color="auto" w:fill="C6EFCE"/>
            <w:noWrap/>
          </w:tcPr>
          <w:p w14:paraId="3CAEBAED"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645D830" w14:textId="77777777" w:rsidR="00011DE9" w:rsidRDefault="00011DE9">
            <w:pPr>
              <w:pStyle w:val="P68B1DB1-Normal45"/>
              <w:spacing w:after="0" w:line="240" w:lineRule="auto"/>
              <w:rPr>
                <w:noProof/>
              </w:rPr>
            </w:pPr>
            <w:r>
              <w:rPr>
                <w:noProof/>
              </w:rPr>
              <w:t>Spațiul național al datelor privind sănătatea</w:t>
            </w:r>
          </w:p>
        </w:tc>
      </w:tr>
      <w:tr w:rsidR="00011DE9" w14:paraId="2A9885B9"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BC100F9" w14:textId="77777777" w:rsidR="00011DE9" w:rsidRDefault="00011DE9">
            <w:pPr>
              <w:pStyle w:val="P68B1DB1-Normal45"/>
              <w:spacing w:after="0" w:line="240" w:lineRule="auto"/>
              <w:jc w:val="center"/>
              <w:rPr>
                <w:noProof/>
              </w:rPr>
            </w:pPr>
            <w:r>
              <w:rPr>
                <w:noProof/>
              </w:rPr>
              <w:t>288</w:t>
            </w:r>
          </w:p>
        </w:tc>
        <w:tc>
          <w:tcPr>
            <w:tcW w:w="1985" w:type="dxa"/>
            <w:tcBorders>
              <w:top w:val="single" w:sz="4" w:space="0" w:color="auto"/>
              <w:left w:val="nil"/>
              <w:bottom w:val="single" w:sz="4" w:space="0" w:color="auto"/>
              <w:right w:val="single" w:sz="4" w:space="0" w:color="auto"/>
            </w:tcBorders>
            <w:shd w:val="clear" w:color="auto" w:fill="C6EFCE"/>
            <w:noWrap/>
          </w:tcPr>
          <w:p w14:paraId="564F1B02" w14:textId="77777777" w:rsidR="00011DE9" w:rsidRDefault="00011DE9">
            <w:pPr>
              <w:pStyle w:val="P68B1DB1-Normal45"/>
              <w:spacing w:after="0" w:line="240" w:lineRule="auto"/>
              <w:rPr>
                <w:noProof/>
              </w:rPr>
            </w:pPr>
            <w:r>
              <w:rPr>
                <w:noProof/>
              </w:rPr>
              <w:t>C19.I1</w:t>
            </w:r>
          </w:p>
        </w:tc>
        <w:tc>
          <w:tcPr>
            <w:tcW w:w="2268" w:type="dxa"/>
            <w:tcBorders>
              <w:top w:val="single" w:sz="4" w:space="0" w:color="auto"/>
              <w:left w:val="nil"/>
              <w:bottom w:val="single" w:sz="4" w:space="0" w:color="auto"/>
              <w:right w:val="single" w:sz="4" w:space="0" w:color="auto"/>
            </w:tcBorders>
            <w:shd w:val="clear" w:color="auto" w:fill="C6EFCE"/>
            <w:noWrap/>
          </w:tcPr>
          <w:p w14:paraId="33CC11AA"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6CE7CDA" w14:textId="77777777" w:rsidR="00011DE9" w:rsidRDefault="00011DE9">
            <w:pPr>
              <w:pStyle w:val="P68B1DB1-Normal45"/>
              <w:spacing w:after="0" w:line="240" w:lineRule="auto"/>
              <w:rPr>
                <w:noProof/>
              </w:rPr>
            </w:pPr>
            <w:r>
              <w:rPr>
                <w:noProof/>
              </w:rPr>
              <w:t>Cetățenii în ceea ce privește competențele digitale.</w:t>
            </w:r>
          </w:p>
        </w:tc>
      </w:tr>
      <w:tr w:rsidR="00011DE9" w14:paraId="7FE95F76"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84ECB78" w14:textId="77777777" w:rsidR="00011DE9" w:rsidRDefault="00011DE9">
            <w:pPr>
              <w:pStyle w:val="P68B1DB1-Normal45"/>
              <w:spacing w:after="0" w:line="240" w:lineRule="auto"/>
              <w:jc w:val="center"/>
              <w:rPr>
                <w:noProof/>
              </w:rPr>
            </w:pPr>
            <w:r>
              <w:rPr>
                <w:noProof/>
              </w:rPr>
              <w:t>290</w:t>
            </w:r>
          </w:p>
        </w:tc>
        <w:tc>
          <w:tcPr>
            <w:tcW w:w="1985" w:type="dxa"/>
            <w:tcBorders>
              <w:top w:val="single" w:sz="4" w:space="0" w:color="auto"/>
              <w:left w:val="nil"/>
              <w:bottom w:val="single" w:sz="4" w:space="0" w:color="auto"/>
              <w:right w:val="single" w:sz="4" w:space="0" w:color="auto"/>
            </w:tcBorders>
            <w:shd w:val="clear" w:color="auto" w:fill="C6EFCE"/>
            <w:noWrap/>
          </w:tcPr>
          <w:p w14:paraId="41E09C73" w14:textId="77777777" w:rsidR="00011DE9" w:rsidRDefault="00011DE9">
            <w:pPr>
              <w:pStyle w:val="P68B1DB1-Normal45"/>
              <w:spacing w:after="0" w:line="240" w:lineRule="auto"/>
              <w:rPr>
                <w:noProof/>
              </w:rPr>
            </w:pPr>
            <w:r>
              <w:rPr>
                <w:noProof/>
              </w:rPr>
              <w:t>C19.I2</w:t>
            </w:r>
          </w:p>
        </w:tc>
        <w:tc>
          <w:tcPr>
            <w:tcW w:w="2268" w:type="dxa"/>
            <w:tcBorders>
              <w:top w:val="single" w:sz="4" w:space="0" w:color="auto"/>
              <w:left w:val="nil"/>
              <w:bottom w:val="single" w:sz="4" w:space="0" w:color="auto"/>
              <w:right w:val="single" w:sz="4" w:space="0" w:color="auto"/>
            </w:tcBorders>
            <w:shd w:val="clear" w:color="auto" w:fill="C6EFCE"/>
            <w:noWrap/>
          </w:tcPr>
          <w:p w14:paraId="60DECA28"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5DFE4D53" w14:textId="77777777" w:rsidR="00011DE9" w:rsidRDefault="00011DE9">
            <w:pPr>
              <w:pStyle w:val="P68B1DB1-Normal45"/>
              <w:spacing w:after="0" w:line="240" w:lineRule="auto"/>
              <w:rPr>
                <w:noProof/>
              </w:rPr>
            </w:pPr>
            <w:r>
              <w:rPr>
                <w:noProof/>
              </w:rPr>
              <w:t>Acțiuni pentru transformarea digitală a educației</w:t>
            </w:r>
          </w:p>
        </w:tc>
      </w:tr>
      <w:tr w:rsidR="00011DE9" w14:paraId="1A897302"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7002ACD" w14:textId="77777777" w:rsidR="00011DE9" w:rsidRDefault="00011DE9">
            <w:pPr>
              <w:pStyle w:val="P68B1DB1-Normal45"/>
              <w:spacing w:after="0" w:line="240" w:lineRule="auto"/>
              <w:jc w:val="center"/>
              <w:rPr>
                <w:noProof/>
              </w:rPr>
            </w:pPr>
            <w:r>
              <w:rPr>
                <w:noProof/>
              </w:rPr>
              <w:t>291</w:t>
            </w:r>
          </w:p>
        </w:tc>
        <w:tc>
          <w:tcPr>
            <w:tcW w:w="1985" w:type="dxa"/>
            <w:tcBorders>
              <w:top w:val="single" w:sz="4" w:space="0" w:color="auto"/>
              <w:left w:val="nil"/>
              <w:bottom w:val="single" w:sz="4" w:space="0" w:color="auto"/>
              <w:right w:val="single" w:sz="4" w:space="0" w:color="auto"/>
            </w:tcBorders>
            <w:shd w:val="clear" w:color="auto" w:fill="C6EFCE"/>
            <w:noWrap/>
          </w:tcPr>
          <w:p w14:paraId="1C76DAE8" w14:textId="77777777" w:rsidR="00011DE9" w:rsidRDefault="00011DE9">
            <w:pPr>
              <w:pStyle w:val="P68B1DB1-Normal45"/>
              <w:spacing w:after="0" w:line="240" w:lineRule="auto"/>
              <w:rPr>
                <w:noProof/>
              </w:rPr>
            </w:pPr>
            <w:r>
              <w:rPr>
                <w:noProof/>
              </w:rPr>
              <w:t>C19.I2</w:t>
            </w:r>
          </w:p>
        </w:tc>
        <w:tc>
          <w:tcPr>
            <w:tcW w:w="2268" w:type="dxa"/>
            <w:tcBorders>
              <w:top w:val="single" w:sz="4" w:space="0" w:color="auto"/>
              <w:left w:val="nil"/>
              <w:bottom w:val="single" w:sz="4" w:space="0" w:color="auto"/>
              <w:right w:val="single" w:sz="4" w:space="0" w:color="auto"/>
            </w:tcBorders>
            <w:shd w:val="clear" w:color="auto" w:fill="C6EFCE"/>
            <w:noWrap/>
          </w:tcPr>
          <w:p w14:paraId="16B8C75B"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9C4B610" w14:textId="77777777" w:rsidR="00011DE9" w:rsidRDefault="00011DE9">
            <w:pPr>
              <w:pStyle w:val="P68B1DB1-Normal45"/>
              <w:spacing w:after="0" w:line="240" w:lineRule="auto"/>
              <w:rPr>
                <w:noProof/>
              </w:rPr>
            </w:pPr>
            <w:r>
              <w:rPr>
                <w:noProof/>
              </w:rPr>
              <w:t>Echipamente digitale pentru școli</w:t>
            </w:r>
          </w:p>
        </w:tc>
      </w:tr>
      <w:tr w:rsidR="00011DE9" w14:paraId="77ABA8D0"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60DDC7C" w14:textId="77777777" w:rsidR="00011DE9" w:rsidRDefault="00011DE9">
            <w:pPr>
              <w:pStyle w:val="P68B1DB1-Normal45"/>
              <w:spacing w:after="0" w:line="240" w:lineRule="auto"/>
              <w:jc w:val="center"/>
              <w:rPr>
                <w:noProof/>
              </w:rPr>
            </w:pPr>
            <w:r>
              <w:rPr>
                <w:noProof/>
              </w:rPr>
              <w:t>292</w:t>
            </w:r>
          </w:p>
        </w:tc>
        <w:tc>
          <w:tcPr>
            <w:tcW w:w="1985" w:type="dxa"/>
            <w:tcBorders>
              <w:top w:val="single" w:sz="4" w:space="0" w:color="auto"/>
              <w:left w:val="nil"/>
              <w:bottom w:val="single" w:sz="4" w:space="0" w:color="auto"/>
              <w:right w:val="single" w:sz="4" w:space="0" w:color="auto"/>
            </w:tcBorders>
            <w:shd w:val="clear" w:color="auto" w:fill="C6EFCE"/>
            <w:noWrap/>
          </w:tcPr>
          <w:p w14:paraId="7CD042D5" w14:textId="77777777" w:rsidR="00011DE9" w:rsidRDefault="00011DE9">
            <w:pPr>
              <w:pStyle w:val="P68B1DB1-Normal45"/>
              <w:spacing w:after="0" w:line="240" w:lineRule="auto"/>
              <w:rPr>
                <w:noProof/>
              </w:rPr>
            </w:pPr>
            <w:r>
              <w:rPr>
                <w:noProof/>
              </w:rPr>
              <w:t>C19.I3</w:t>
            </w:r>
          </w:p>
        </w:tc>
        <w:tc>
          <w:tcPr>
            <w:tcW w:w="2268" w:type="dxa"/>
            <w:tcBorders>
              <w:top w:val="single" w:sz="4" w:space="0" w:color="auto"/>
              <w:left w:val="nil"/>
              <w:bottom w:val="single" w:sz="4" w:space="0" w:color="auto"/>
              <w:right w:val="single" w:sz="4" w:space="0" w:color="auto"/>
            </w:tcBorders>
            <w:shd w:val="clear" w:color="auto" w:fill="C6EFCE"/>
            <w:noWrap/>
          </w:tcPr>
          <w:p w14:paraId="5CA0D1A6"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2097B947" w14:textId="77777777" w:rsidR="00011DE9" w:rsidRDefault="00011DE9">
            <w:pPr>
              <w:pStyle w:val="P68B1DB1-Normal45"/>
              <w:spacing w:after="0" w:line="240" w:lineRule="auto"/>
              <w:rPr>
                <w:noProof/>
              </w:rPr>
            </w:pPr>
            <w:r>
              <w:rPr>
                <w:noProof/>
              </w:rPr>
              <w:t>Formare digitală pentru ocuparea forței de muncă</w:t>
            </w:r>
          </w:p>
        </w:tc>
      </w:tr>
      <w:tr w:rsidR="00011DE9" w14:paraId="4193608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F783378" w14:textId="77777777" w:rsidR="00011DE9" w:rsidRDefault="00011DE9">
            <w:pPr>
              <w:pStyle w:val="P68B1DB1-Normal45"/>
              <w:spacing w:after="0" w:line="240" w:lineRule="auto"/>
              <w:jc w:val="center"/>
              <w:rPr>
                <w:noProof/>
              </w:rPr>
            </w:pPr>
            <w:r>
              <w:rPr>
                <w:noProof/>
              </w:rPr>
              <w:t>292a</w:t>
            </w:r>
          </w:p>
        </w:tc>
        <w:tc>
          <w:tcPr>
            <w:tcW w:w="1985" w:type="dxa"/>
            <w:tcBorders>
              <w:top w:val="single" w:sz="4" w:space="0" w:color="auto"/>
              <w:left w:val="nil"/>
              <w:bottom w:val="single" w:sz="4" w:space="0" w:color="auto"/>
              <w:right w:val="single" w:sz="4" w:space="0" w:color="auto"/>
            </w:tcBorders>
            <w:shd w:val="clear" w:color="auto" w:fill="C6EFCE"/>
            <w:noWrap/>
          </w:tcPr>
          <w:p w14:paraId="115B3878" w14:textId="77777777" w:rsidR="00011DE9" w:rsidRDefault="00011DE9">
            <w:pPr>
              <w:pStyle w:val="P68B1DB1-Normal45"/>
              <w:spacing w:after="0" w:line="240" w:lineRule="auto"/>
              <w:rPr>
                <w:noProof/>
              </w:rPr>
            </w:pPr>
            <w:r>
              <w:rPr>
                <w:noProof/>
              </w:rPr>
              <w:t>C19.I3</w:t>
            </w:r>
          </w:p>
        </w:tc>
        <w:tc>
          <w:tcPr>
            <w:tcW w:w="2268" w:type="dxa"/>
            <w:tcBorders>
              <w:top w:val="single" w:sz="4" w:space="0" w:color="auto"/>
              <w:left w:val="nil"/>
              <w:bottom w:val="single" w:sz="4" w:space="0" w:color="auto"/>
              <w:right w:val="single" w:sz="4" w:space="0" w:color="auto"/>
            </w:tcBorders>
            <w:shd w:val="clear" w:color="auto" w:fill="C6EFCE"/>
            <w:noWrap/>
          </w:tcPr>
          <w:p w14:paraId="73921E12"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47988782" w14:textId="77777777" w:rsidR="00011DE9" w:rsidRDefault="00011DE9">
            <w:pPr>
              <w:pStyle w:val="P68B1DB1-Normal45"/>
              <w:spacing w:after="0" w:line="240" w:lineRule="auto"/>
              <w:rPr>
                <w:noProof/>
              </w:rPr>
            </w:pPr>
            <w:r>
              <w:rPr>
                <w:noProof/>
              </w:rPr>
              <w:t>Formare digitală pentru ocuparea forței de muncă</w:t>
            </w:r>
          </w:p>
        </w:tc>
      </w:tr>
      <w:tr w:rsidR="00011DE9" w14:paraId="1C4BF22F"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DEA7D12" w14:textId="77777777" w:rsidR="00011DE9" w:rsidRDefault="00011DE9">
            <w:pPr>
              <w:pStyle w:val="P68B1DB1-Normal45"/>
              <w:spacing w:after="0" w:line="240" w:lineRule="auto"/>
              <w:jc w:val="center"/>
              <w:rPr>
                <w:noProof/>
              </w:rPr>
            </w:pPr>
            <w:r>
              <w:rPr>
                <w:noProof/>
              </w:rPr>
              <w:t>297</w:t>
            </w:r>
          </w:p>
        </w:tc>
        <w:tc>
          <w:tcPr>
            <w:tcW w:w="1985" w:type="dxa"/>
            <w:tcBorders>
              <w:top w:val="single" w:sz="4" w:space="0" w:color="auto"/>
              <w:left w:val="nil"/>
              <w:bottom w:val="single" w:sz="4" w:space="0" w:color="auto"/>
              <w:right w:val="single" w:sz="4" w:space="0" w:color="auto"/>
            </w:tcBorders>
            <w:shd w:val="clear" w:color="auto" w:fill="C6EFCE"/>
            <w:noWrap/>
          </w:tcPr>
          <w:p w14:paraId="37CD0291" w14:textId="77777777" w:rsidR="00011DE9" w:rsidRDefault="00011DE9">
            <w:pPr>
              <w:pStyle w:val="P68B1DB1-Normal45"/>
              <w:spacing w:after="0" w:line="240" w:lineRule="auto"/>
              <w:rPr>
                <w:noProof/>
              </w:rPr>
            </w:pPr>
            <w:r>
              <w:rPr>
                <w:noProof/>
              </w:rPr>
              <w:t>C20.I1</w:t>
            </w:r>
          </w:p>
        </w:tc>
        <w:tc>
          <w:tcPr>
            <w:tcW w:w="2268" w:type="dxa"/>
            <w:tcBorders>
              <w:top w:val="single" w:sz="4" w:space="0" w:color="auto"/>
              <w:left w:val="nil"/>
              <w:bottom w:val="single" w:sz="4" w:space="0" w:color="auto"/>
              <w:right w:val="single" w:sz="4" w:space="0" w:color="auto"/>
            </w:tcBorders>
            <w:shd w:val="clear" w:color="auto" w:fill="C6EFCE"/>
            <w:noWrap/>
          </w:tcPr>
          <w:p w14:paraId="4EE84526"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3FB19FCB" w14:textId="77777777" w:rsidR="00011DE9" w:rsidRDefault="00011DE9">
            <w:pPr>
              <w:pStyle w:val="P68B1DB1-Normal45"/>
              <w:spacing w:after="0" w:line="240" w:lineRule="auto"/>
              <w:rPr>
                <w:noProof/>
              </w:rPr>
            </w:pPr>
            <w:r>
              <w:rPr>
                <w:noProof/>
              </w:rPr>
              <w:t>Evaluarea unităților de competență</w:t>
            </w:r>
          </w:p>
        </w:tc>
      </w:tr>
      <w:tr w:rsidR="00011DE9" w14:paraId="4291EAD9"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896BAD6" w14:textId="77777777" w:rsidR="00011DE9" w:rsidRDefault="00011DE9">
            <w:pPr>
              <w:pStyle w:val="P68B1DB1-Normal45"/>
              <w:spacing w:after="0" w:line="240" w:lineRule="auto"/>
              <w:jc w:val="center"/>
              <w:rPr>
                <w:noProof/>
              </w:rPr>
            </w:pPr>
            <w:r>
              <w:rPr>
                <w:noProof/>
              </w:rPr>
              <w:t>467</w:t>
            </w:r>
          </w:p>
        </w:tc>
        <w:tc>
          <w:tcPr>
            <w:tcW w:w="1985" w:type="dxa"/>
            <w:tcBorders>
              <w:top w:val="single" w:sz="4" w:space="0" w:color="auto"/>
              <w:left w:val="nil"/>
              <w:bottom w:val="single" w:sz="4" w:space="0" w:color="auto"/>
              <w:right w:val="single" w:sz="4" w:space="0" w:color="auto"/>
            </w:tcBorders>
            <w:shd w:val="clear" w:color="auto" w:fill="C6EFCE"/>
            <w:noWrap/>
          </w:tcPr>
          <w:p w14:paraId="398A5B57" w14:textId="77777777" w:rsidR="00011DE9" w:rsidRDefault="00011DE9">
            <w:pPr>
              <w:pStyle w:val="P68B1DB1-Normal45"/>
              <w:spacing w:after="0" w:line="240" w:lineRule="auto"/>
              <w:rPr>
                <w:noProof/>
              </w:rPr>
            </w:pPr>
            <w:r>
              <w:rPr>
                <w:noProof/>
              </w:rPr>
              <w:t>C20.I2</w:t>
            </w:r>
          </w:p>
        </w:tc>
        <w:tc>
          <w:tcPr>
            <w:tcW w:w="2268" w:type="dxa"/>
            <w:tcBorders>
              <w:top w:val="single" w:sz="4" w:space="0" w:color="auto"/>
              <w:left w:val="nil"/>
              <w:bottom w:val="single" w:sz="4" w:space="0" w:color="auto"/>
              <w:right w:val="single" w:sz="4" w:space="0" w:color="auto"/>
            </w:tcBorders>
            <w:shd w:val="clear" w:color="auto" w:fill="C6EFCE"/>
            <w:noWrap/>
          </w:tcPr>
          <w:p w14:paraId="0BDEE9E8"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01C01FD5" w14:textId="77777777" w:rsidR="00011DE9" w:rsidRDefault="00011DE9">
            <w:pPr>
              <w:pStyle w:val="P68B1DB1-Normal45"/>
              <w:spacing w:after="0" w:line="240" w:lineRule="auto"/>
              <w:rPr>
                <w:noProof/>
              </w:rPr>
            </w:pPr>
            <w:r>
              <w:rPr>
                <w:noProof/>
              </w:rPr>
              <w:t>Transformarea sălilor de clasă în spații tehnologice aplicate</w:t>
            </w:r>
          </w:p>
        </w:tc>
      </w:tr>
      <w:tr w:rsidR="00011DE9" w14:paraId="22946BC6"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2EB50B6" w14:textId="77777777" w:rsidR="00011DE9" w:rsidRDefault="00011DE9">
            <w:pPr>
              <w:pStyle w:val="P68B1DB1-Normal45"/>
              <w:spacing w:after="0" w:line="240" w:lineRule="auto"/>
              <w:jc w:val="center"/>
              <w:rPr>
                <w:noProof/>
              </w:rPr>
            </w:pPr>
            <w:r>
              <w:rPr>
                <w:noProof/>
              </w:rPr>
              <w:t>302</w:t>
            </w:r>
          </w:p>
        </w:tc>
        <w:tc>
          <w:tcPr>
            <w:tcW w:w="1985" w:type="dxa"/>
            <w:tcBorders>
              <w:top w:val="single" w:sz="4" w:space="0" w:color="auto"/>
              <w:left w:val="nil"/>
              <w:bottom w:val="single" w:sz="4" w:space="0" w:color="auto"/>
              <w:right w:val="single" w:sz="4" w:space="0" w:color="auto"/>
            </w:tcBorders>
            <w:shd w:val="clear" w:color="auto" w:fill="C6EFCE"/>
            <w:noWrap/>
          </w:tcPr>
          <w:p w14:paraId="48844AB5" w14:textId="77777777" w:rsidR="00011DE9" w:rsidRDefault="00011DE9">
            <w:pPr>
              <w:pStyle w:val="P68B1DB1-Normal45"/>
              <w:spacing w:after="0" w:line="240" w:lineRule="auto"/>
              <w:rPr>
                <w:noProof/>
              </w:rPr>
            </w:pPr>
            <w:r>
              <w:rPr>
                <w:noProof/>
              </w:rPr>
              <w:t>C20.I3</w:t>
            </w:r>
          </w:p>
        </w:tc>
        <w:tc>
          <w:tcPr>
            <w:tcW w:w="2268" w:type="dxa"/>
            <w:tcBorders>
              <w:top w:val="single" w:sz="4" w:space="0" w:color="auto"/>
              <w:left w:val="nil"/>
              <w:bottom w:val="single" w:sz="4" w:space="0" w:color="auto"/>
              <w:right w:val="single" w:sz="4" w:space="0" w:color="auto"/>
            </w:tcBorders>
            <w:shd w:val="clear" w:color="auto" w:fill="C6EFCE"/>
            <w:noWrap/>
          </w:tcPr>
          <w:p w14:paraId="1632CD82"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3602C034" w14:textId="77777777" w:rsidR="00011DE9" w:rsidRDefault="00011DE9">
            <w:pPr>
              <w:pStyle w:val="P68B1DB1-Normal45"/>
              <w:spacing w:after="0" w:line="240" w:lineRule="auto"/>
              <w:rPr>
                <w:noProof/>
              </w:rPr>
            </w:pPr>
            <w:r>
              <w:rPr>
                <w:noProof/>
              </w:rPr>
              <w:t>Grupuri EFP suplimentare în comparație cu anul universitar 2019/2020</w:t>
            </w:r>
          </w:p>
        </w:tc>
      </w:tr>
      <w:tr w:rsidR="00011DE9" w14:paraId="625D1B6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2F75F73" w14:textId="77777777" w:rsidR="00011DE9" w:rsidRDefault="00011DE9">
            <w:pPr>
              <w:pStyle w:val="P68B1DB1-Normal45"/>
              <w:spacing w:after="0" w:line="240" w:lineRule="auto"/>
              <w:jc w:val="center"/>
              <w:rPr>
                <w:noProof/>
              </w:rPr>
            </w:pPr>
            <w:r>
              <w:rPr>
                <w:noProof/>
              </w:rPr>
              <w:t>309</w:t>
            </w:r>
          </w:p>
        </w:tc>
        <w:tc>
          <w:tcPr>
            <w:tcW w:w="1985" w:type="dxa"/>
            <w:tcBorders>
              <w:top w:val="single" w:sz="4" w:space="0" w:color="auto"/>
              <w:left w:val="nil"/>
              <w:bottom w:val="single" w:sz="4" w:space="0" w:color="auto"/>
              <w:right w:val="single" w:sz="4" w:space="0" w:color="auto"/>
            </w:tcBorders>
            <w:shd w:val="clear" w:color="auto" w:fill="C6EFCE"/>
            <w:noWrap/>
          </w:tcPr>
          <w:p w14:paraId="5715946B" w14:textId="77777777" w:rsidR="00011DE9" w:rsidRDefault="00011DE9">
            <w:pPr>
              <w:pStyle w:val="P68B1DB1-Normal45"/>
              <w:spacing w:after="0" w:line="240" w:lineRule="auto"/>
              <w:rPr>
                <w:noProof/>
              </w:rPr>
            </w:pPr>
            <w:r>
              <w:rPr>
                <w:noProof/>
              </w:rPr>
              <w:t>C21.I1</w:t>
            </w:r>
          </w:p>
        </w:tc>
        <w:tc>
          <w:tcPr>
            <w:tcW w:w="2268" w:type="dxa"/>
            <w:tcBorders>
              <w:top w:val="single" w:sz="4" w:space="0" w:color="auto"/>
              <w:left w:val="nil"/>
              <w:bottom w:val="single" w:sz="4" w:space="0" w:color="auto"/>
              <w:right w:val="single" w:sz="4" w:space="0" w:color="auto"/>
            </w:tcBorders>
            <w:shd w:val="clear" w:color="auto" w:fill="C6EFCE"/>
            <w:noWrap/>
          </w:tcPr>
          <w:p w14:paraId="71EBBE4F"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7BF0DD0C" w14:textId="77777777" w:rsidR="00011DE9" w:rsidRDefault="00011DE9">
            <w:pPr>
              <w:pStyle w:val="P68B1DB1-Normal45"/>
              <w:spacing w:after="0" w:line="240" w:lineRule="auto"/>
              <w:rPr>
                <w:noProof/>
              </w:rPr>
            </w:pPr>
            <w:r>
              <w:rPr>
                <w:noProof/>
              </w:rPr>
              <w:t>Noi locuri pentru primul ciclu de educație timpurie</w:t>
            </w:r>
          </w:p>
        </w:tc>
      </w:tr>
      <w:tr w:rsidR="00011DE9" w14:paraId="1707E58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8F13CF9" w14:textId="77777777" w:rsidR="00011DE9" w:rsidRDefault="00011DE9">
            <w:pPr>
              <w:pStyle w:val="P68B1DB1-Normal45"/>
              <w:spacing w:after="0" w:line="240" w:lineRule="auto"/>
              <w:jc w:val="center"/>
              <w:rPr>
                <w:noProof/>
              </w:rPr>
            </w:pPr>
            <w:r>
              <w:rPr>
                <w:noProof/>
              </w:rPr>
              <w:t>311</w:t>
            </w:r>
          </w:p>
        </w:tc>
        <w:tc>
          <w:tcPr>
            <w:tcW w:w="1985" w:type="dxa"/>
            <w:tcBorders>
              <w:top w:val="single" w:sz="4" w:space="0" w:color="auto"/>
              <w:left w:val="nil"/>
              <w:bottom w:val="single" w:sz="4" w:space="0" w:color="auto"/>
              <w:right w:val="single" w:sz="4" w:space="0" w:color="auto"/>
            </w:tcBorders>
            <w:shd w:val="clear" w:color="auto" w:fill="C6EFCE"/>
            <w:noWrap/>
          </w:tcPr>
          <w:p w14:paraId="49BCEE47" w14:textId="77777777" w:rsidR="00011DE9" w:rsidRDefault="00011DE9">
            <w:pPr>
              <w:pStyle w:val="P68B1DB1-Normal45"/>
              <w:spacing w:after="0" w:line="240" w:lineRule="auto"/>
              <w:rPr>
                <w:noProof/>
              </w:rPr>
            </w:pPr>
            <w:r>
              <w:rPr>
                <w:noProof/>
              </w:rPr>
              <w:t>C21.I3</w:t>
            </w:r>
          </w:p>
        </w:tc>
        <w:tc>
          <w:tcPr>
            <w:tcW w:w="2268" w:type="dxa"/>
            <w:tcBorders>
              <w:top w:val="single" w:sz="4" w:space="0" w:color="auto"/>
              <w:left w:val="nil"/>
              <w:bottom w:val="single" w:sz="4" w:space="0" w:color="auto"/>
              <w:right w:val="single" w:sz="4" w:space="0" w:color="auto"/>
            </w:tcBorders>
            <w:shd w:val="clear" w:color="auto" w:fill="C6EFCE"/>
            <w:noWrap/>
          </w:tcPr>
          <w:p w14:paraId="700E011E"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644DC83E" w14:textId="77777777" w:rsidR="00011DE9" w:rsidRDefault="00011DE9">
            <w:pPr>
              <w:pStyle w:val="P68B1DB1-Normal45"/>
              <w:spacing w:after="0" w:line="240" w:lineRule="auto"/>
              <w:rPr>
                <w:noProof/>
              </w:rPr>
            </w:pPr>
            <w:r>
              <w:rPr>
                <w:noProof/>
              </w:rPr>
              <w:t>Acorduri de participare semnate de centrele educaționale pentru sprijinul oferit de unitățile de însoțire și de orientare</w:t>
            </w:r>
          </w:p>
        </w:tc>
      </w:tr>
      <w:tr w:rsidR="00011DE9" w14:paraId="741643AA"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4FDB201" w14:textId="77777777" w:rsidR="00011DE9" w:rsidRDefault="00011DE9">
            <w:pPr>
              <w:pStyle w:val="P68B1DB1-Normal45"/>
              <w:spacing w:after="0" w:line="240" w:lineRule="auto"/>
              <w:jc w:val="center"/>
              <w:rPr>
                <w:noProof/>
              </w:rPr>
            </w:pPr>
            <w:r>
              <w:rPr>
                <w:noProof/>
              </w:rPr>
              <w:t>469</w:t>
            </w:r>
          </w:p>
        </w:tc>
        <w:tc>
          <w:tcPr>
            <w:tcW w:w="1985" w:type="dxa"/>
            <w:tcBorders>
              <w:top w:val="single" w:sz="4" w:space="0" w:color="auto"/>
              <w:left w:val="nil"/>
              <w:bottom w:val="single" w:sz="4" w:space="0" w:color="auto"/>
              <w:right w:val="single" w:sz="4" w:space="0" w:color="auto"/>
            </w:tcBorders>
            <w:shd w:val="clear" w:color="auto" w:fill="C6EFCE"/>
            <w:noWrap/>
          </w:tcPr>
          <w:p w14:paraId="33A2A628" w14:textId="77777777" w:rsidR="00011DE9" w:rsidRDefault="00011DE9">
            <w:pPr>
              <w:pStyle w:val="P68B1DB1-Normal45"/>
              <w:spacing w:after="0" w:line="240" w:lineRule="auto"/>
              <w:rPr>
                <w:noProof/>
              </w:rPr>
            </w:pPr>
            <w:r>
              <w:rPr>
                <w:noProof/>
              </w:rPr>
              <w:t>C21.I6</w:t>
            </w:r>
          </w:p>
        </w:tc>
        <w:tc>
          <w:tcPr>
            <w:tcW w:w="2268" w:type="dxa"/>
            <w:tcBorders>
              <w:top w:val="single" w:sz="4" w:space="0" w:color="auto"/>
              <w:left w:val="nil"/>
              <w:bottom w:val="single" w:sz="4" w:space="0" w:color="auto"/>
              <w:right w:val="single" w:sz="4" w:space="0" w:color="auto"/>
            </w:tcBorders>
            <w:shd w:val="clear" w:color="auto" w:fill="C6EFCE"/>
            <w:noWrap/>
          </w:tcPr>
          <w:p w14:paraId="01CD258D"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36263D9B" w14:textId="77777777" w:rsidR="00011DE9" w:rsidRDefault="00011DE9">
            <w:pPr>
              <w:pStyle w:val="P68B1DB1-Normal45"/>
              <w:spacing w:after="0" w:line="240" w:lineRule="auto"/>
              <w:rPr>
                <w:noProof/>
              </w:rPr>
            </w:pPr>
            <w:r>
              <w:rPr>
                <w:noProof/>
              </w:rPr>
              <w:t xml:space="preserve">Certificate pentru microcertificări eliberate </w:t>
            </w:r>
          </w:p>
        </w:tc>
      </w:tr>
      <w:tr w:rsidR="00011DE9" w14:paraId="6E517C53"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52ED83B" w14:textId="77777777" w:rsidR="00011DE9" w:rsidRDefault="00011DE9">
            <w:pPr>
              <w:pStyle w:val="P68B1DB1-Normal45"/>
              <w:spacing w:after="0" w:line="240" w:lineRule="auto"/>
              <w:jc w:val="center"/>
              <w:rPr>
                <w:noProof/>
              </w:rPr>
            </w:pPr>
            <w:r>
              <w:rPr>
                <w:noProof/>
              </w:rPr>
              <w:t>315</w:t>
            </w:r>
          </w:p>
        </w:tc>
        <w:tc>
          <w:tcPr>
            <w:tcW w:w="1985" w:type="dxa"/>
            <w:tcBorders>
              <w:top w:val="single" w:sz="4" w:space="0" w:color="auto"/>
              <w:left w:val="nil"/>
              <w:bottom w:val="single" w:sz="4" w:space="0" w:color="auto"/>
              <w:right w:val="single" w:sz="4" w:space="0" w:color="auto"/>
            </w:tcBorders>
            <w:shd w:val="clear" w:color="auto" w:fill="C6EFCE"/>
            <w:noWrap/>
          </w:tcPr>
          <w:p w14:paraId="412A127F" w14:textId="77777777" w:rsidR="00011DE9" w:rsidRDefault="00011DE9">
            <w:pPr>
              <w:pStyle w:val="P68B1DB1-Normal45"/>
              <w:spacing w:after="0" w:line="240" w:lineRule="auto"/>
              <w:rPr>
                <w:noProof/>
              </w:rPr>
            </w:pPr>
            <w:r>
              <w:rPr>
                <w:noProof/>
              </w:rPr>
              <w:t>C22.R2</w:t>
            </w:r>
          </w:p>
        </w:tc>
        <w:tc>
          <w:tcPr>
            <w:tcW w:w="2268" w:type="dxa"/>
            <w:tcBorders>
              <w:top w:val="single" w:sz="4" w:space="0" w:color="auto"/>
              <w:left w:val="nil"/>
              <w:bottom w:val="single" w:sz="4" w:space="0" w:color="auto"/>
              <w:right w:val="single" w:sz="4" w:space="0" w:color="auto"/>
            </w:tcBorders>
            <w:shd w:val="clear" w:color="auto" w:fill="C6EFCE"/>
            <w:noWrap/>
          </w:tcPr>
          <w:p w14:paraId="06145B6C"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5603E412" w14:textId="77777777" w:rsidR="00011DE9" w:rsidRDefault="00011DE9">
            <w:pPr>
              <w:pStyle w:val="P68B1DB1-Normal45"/>
              <w:spacing w:after="0" w:line="240" w:lineRule="auto"/>
              <w:rPr>
                <w:noProof/>
              </w:rPr>
            </w:pPr>
            <w:r>
              <w:rPr>
                <w:noProof/>
              </w:rPr>
              <w:t>Publicarea în Jurnalul Oficial a acordurilor Consiliului teritorial al serviciilor sociale și aprobarea actelor juridice relevante.</w:t>
            </w:r>
          </w:p>
        </w:tc>
      </w:tr>
      <w:tr w:rsidR="00011DE9" w14:paraId="64B34E1D"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71B6AAC" w14:textId="77777777" w:rsidR="00011DE9" w:rsidRDefault="00011DE9">
            <w:pPr>
              <w:pStyle w:val="P68B1DB1-Normal45"/>
              <w:spacing w:after="0" w:line="240" w:lineRule="auto"/>
              <w:jc w:val="center"/>
              <w:rPr>
                <w:noProof/>
              </w:rPr>
            </w:pPr>
            <w:r>
              <w:rPr>
                <w:noProof/>
              </w:rPr>
              <w:t>412a</w:t>
            </w:r>
          </w:p>
        </w:tc>
        <w:tc>
          <w:tcPr>
            <w:tcW w:w="1985" w:type="dxa"/>
            <w:tcBorders>
              <w:top w:val="single" w:sz="4" w:space="0" w:color="auto"/>
              <w:left w:val="nil"/>
              <w:bottom w:val="single" w:sz="4" w:space="0" w:color="auto"/>
              <w:right w:val="single" w:sz="4" w:space="0" w:color="auto"/>
            </w:tcBorders>
            <w:shd w:val="clear" w:color="auto" w:fill="C6EFCE"/>
            <w:noWrap/>
          </w:tcPr>
          <w:p w14:paraId="01D81F55" w14:textId="77777777" w:rsidR="00011DE9" w:rsidRDefault="00011DE9">
            <w:pPr>
              <w:pStyle w:val="P68B1DB1-Normal45"/>
              <w:spacing w:after="0" w:line="240" w:lineRule="auto"/>
              <w:rPr>
                <w:noProof/>
              </w:rPr>
            </w:pPr>
            <w:r>
              <w:rPr>
                <w:noProof/>
              </w:rPr>
              <w:t>C22.R6</w:t>
            </w:r>
          </w:p>
        </w:tc>
        <w:tc>
          <w:tcPr>
            <w:tcW w:w="2268" w:type="dxa"/>
            <w:tcBorders>
              <w:top w:val="single" w:sz="4" w:space="0" w:color="auto"/>
              <w:left w:val="nil"/>
              <w:bottom w:val="single" w:sz="4" w:space="0" w:color="auto"/>
              <w:right w:val="single" w:sz="4" w:space="0" w:color="auto"/>
            </w:tcBorders>
            <w:shd w:val="clear" w:color="auto" w:fill="C6EFCE"/>
            <w:noWrap/>
          </w:tcPr>
          <w:p w14:paraId="5B36A0FF"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59CB3B6B" w14:textId="77777777" w:rsidR="00011DE9" w:rsidRDefault="00011DE9">
            <w:pPr>
              <w:pStyle w:val="P68B1DB1-Normal19"/>
              <w:spacing w:after="0" w:line="240" w:lineRule="auto"/>
              <w:rPr>
                <w:noProof/>
                <w:sz w:val="20"/>
                <w:szCs w:val="20"/>
              </w:rPr>
            </w:pPr>
            <w:r>
              <w:rPr>
                <w:noProof/>
              </w:rPr>
              <w:t>Intrarea în vigoare a legii privind reprezentarea egală și prezența echilibrată a femeilor și bărbaților și intrarea în vigoare a ordinului ministerial de instituire și reglementare a unui consiliu consultativ privind disparitatea de gen</w:t>
            </w:r>
          </w:p>
        </w:tc>
      </w:tr>
      <w:tr w:rsidR="00011DE9" w14:paraId="73E7B6F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DC88AFF" w14:textId="77777777" w:rsidR="00011DE9" w:rsidRDefault="00011DE9">
            <w:pPr>
              <w:pStyle w:val="P68B1DB1-Normal45"/>
              <w:spacing w:after="0" w:line="240" w:lineRule="auto"/>
              <w:jc w:val="center"/>
              <w:rPr>
                <w:noProof/>
              </w:rPr>
            </w:pPr>
            <w:r>
              <w:rPr>
                <w:noProof/>
              </w:rPr>
              <w:t>323</w:t>
            </w:r>
          </w:p>
        </w:tc>
        <w:tc>
          <w:tcPr>
            <w:tcW w:w="1985" w:type="dxa"/>
            <w:tcBorders>
              <w:top w:val="single" w:sz="4" w:space="0" w:color="auto"/>
              <w:left w:val="nil"/>
              <w:bottom w:val="single" w:sz="4" w:space="0" w:color="auto"/>
              <w:right w:val="single" w:sz="4" w:space="0" w:color="auto"/>
            </w:tcBorders>
            <w:shd w:val="clear" w:color="auto" w:fill="C6EFCE"/>
            <w:noWrap/>
          </w:tcPr>
          <w:p w14:paraId="21893806" w14:textId="77777777" w:rsidR="00011DE9" w:rsidRDefault="00011DE9">
            <w:pPr>
              <w:pStyle w:val="P68B1DB1-Normal45"/>
              <w:spacing w:after="0" w:line="240" w:lineRule="auto"/>
              <w:rPr>
                <w:noProof/>
              </w:rPr>
            </w:pPr>
            <w:r>
              <w:rPr>
                <w:noProof/>
              </w:rPr>
              <w:t>C22.I1</w:t>
            </w:r>
          </w:p>
        </w:tc>
        <w:tc>
          <w:tcPr>
            <w:tcW w:w="2268" w:type="dxa"/>
            <w:tcBorders>
              <w:top w:val="single" w:sz="4" w:space="0" w:color="auto"/>
              <w:left w:val="nil"/>
              <w:bottom w:val="single" w:sz="4" w:space="0" w:color="auto"/>
              <w:right w:val="single" w:sz="4" w:space="0" w:color="auto"/>
            </w:tcBorders>
            <w:shd w:val="clear" w:color="auto" w:fill="C6EFCE"/>
            <w:noWrap/>
          </w:tcPr>
          <w:p w14:paraId="2836FA6C"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6031DC92" w14:textId="77777777" w:rsidR="00011DE9" w:rsidRDefault="00011DE9">
            <w:pPr>
              <w:pStyle w:val="P68B1DB1-Normal45"/>
              <w:spacing w:after="0" w:line="240" w:lineRule="auto"/>
              <w:rPr>
                <w:noProof/>
              </w:rPr>
            </w:pPr>
            <w:r>
              <w:rPr>
                <w:noProof/>
              </w:rPr>
              <w:t>Spații rezidențiale, nerezidențiale și de zi.</w:t>
            </w:r>
          </w:p>
        </w:tc>
      </w:tr>
      <w:tr w:rsidR="00011DE9" w14:paraId="287B307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B63DB9C" w14:textId="77777777" w:rsidR="00011DE9" w:rsidRDefault="00011DE9">
            <w:pPr>
              <w:pStyle w:val="P68B1DB1-Normal45"/>
              <w:spacing w:after="0" w:line="240" w:lineRule="auto"/>
              <w:jc w:val="center"/>
              <w:rPr>
                <w:noProof/>
              </w:rPr>
            </w:pPr>
            <w:r>
              <w:rPr>
                <w:noProof/>
              </w:rPr>
              <w:t>325</w:t>
            </w:r>
          </w:p>
        </w:tc>
        <w:tc>
          <w:tcPr>
            <w:tcW w:w="1985" w:type="dxa"/>
            <w:tcBorders>
              <w:top w:val="single" w:sz="4" w:space="0" w:color="auto"/>
              <w:left w:val="nil"/>
              <w:bottom w:val="single" w:sz="4" w:space="0" w:color="auto"/>
              <w:right w:val="single" w:sz="4" w:space="0" w:color="auto"/>
            </w:tcBorders>
            <w:shd w:val="clear" w:color="auto" w:fill="C6EFCE"/>
            <w:noWrap/>
          </w:tcPr>
          <w:p w14:paraId="60EC9F1A" w14:textId="77777777" w:rsidR="00011DE9" w:rsidRDefault="00011DE9">
            <w:pPr>
              <w:pStyle w:val="P68B1DB1-Normal45"/>
              <w:spacing w:after="0" w:line="240" w:lineRule="auto"/>
              <w:rPr>
                <w:noProof/>
              </w:rPr>
            </w:pPr>
            <w:r>
              <w:rPr>
                <w:noProof/>
              </w:rPr>
              <w:t>C22.I2</w:t>
            </w:r>
          </w:p>
        </w:tc>
        <w:tc>
          <w:tcPr>
            <w:tcW w:w="2268" w:type="dxa"/>
            <w:tcBorders>
              <w:top w:val="single" w:sz="4" w:space="0" w:color="auto"/>
              <w:left w:val="nil"/>
              <w:bottom w:val="single" w:sz="4" w:space="0" w:color="auto"/>
              <w:right w:val="single" w:sz="4" w:space="0" w:color="auto"/>
            </w:tcBorders>
            <w:shd w:val="clear" w:color="auto" w:fill="C6EFCE"/>
            <w:noWrap/>
          </w:tcPr>
          <w:p w14:paraId="70A08175"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58935D9D" w14:textId="77777777" w:rsidR="00011DE9" w:rsidRDefault="00011DE9">
            <w:pPr>
              <w:pStyle w:val="P68B1DB1-Normal45"/>
              <w:spacing w:after="0" w:line="240" w:lineRule="auto"/>
              <w:rPr>
                <w:noProof/>
              </w:rPr>
            </w:pPr>
            <w:r>
              <w:rPr>
                <w:noProof/>
              </w:rPr>
              <w:t>Investiții ale regiunilor pentru transformarea tehnologică și inovarea serviciilor sociale, precum și pentru modernizarea infrastructurii și a serviciilor asociate îngrijirii copiilor și adolescenților</w:t>
            </w:r>
          </w:p>
        </w:tc>
      </w:tr>
      <w:tr w:rsidR="00011DE9" w14:paraId="0389393A"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8FF3CAB" w14:textId="77777777" w:rsidR="00011DE9" w:rsidRDefault="00011DE9">
            <w:pPr>
              <w:pStyle w:val="P68B1DB1-Normal45"/>
              <w:spacing w:after="0" w:line="240" w:lineRule="auto"/>
              <w:jc w:val="center"/>
              <w:rPr>
                <w:noProof/>
              </w:rPr>
            </w:pPr>
            <w:r>
              <w:rPr>
                <w:noProof/>
              </w:rPr>
              <w:t>471</w:t>
            </w:r>
          </w:p>
        </w:tc>
        <w:tc>
          <w:tcPr>
            <w:tcW w:w="1985" w:type="dxa"/>
            <w:tcBorders>
              <w:top w:val="single" w:sz="4" w:space="0" w:color="auto"/>
              <w:left w:val="nil"/>
              <w:bottom w:val="single" w:sz="4" w:space="0" w:color="auto"/>
              <w:right w:val="single" w:sz="4" w:space="0" w:color="auto"/>
            </w:tcBorders>
            <w:shd w:val="clear" w:color="auto" w:fill="C6EFCE"/>
            <w:noWrap/>
          </w:tcPr>
          <w:p w14:paraId="12C73421" w14:textId="77777777" w:rsidR="00011DE9" w:rsidRDefault="00011DE9">
            <w:pPr>
              <w:pStyle w:val="P68B1DB1-Normal45"/>
              <w:spacing w:after="0" w:line="240" w:lineRule="auto"/>
              <w:rPr>
                <w:noProof/>
              </w:rPr>
            </w:pPr>
            <w:r>
              <w:rPr>
                <w:noProof/>
              </w:rPr>
              <w:t>C22.I2</w:t>
            </w:r>
          </w:p>
        </w:tc>
        <w:tc>
          <w:tcPr>
            <w:tcW w:w="2268" w:type="dxa"/>
            <w:tcBorders>
              <w:top w:val="single" w:sz="4" w:space="0" w:color="auto"/>
              <w:left w:val="nil"/>
              <w:bottom w:val="single" w:sz="4" w:space="0" w:color="auto"/>
              <w:right w:val="single" w:sz="4" w:space="0" w:color="auto"/>
            </w:tcBorders>
            <w:shd w:val="clear" w:color="auto" w:fill="C6EFCE"/>
            <w:noWrap/>
          </w:tcPr>
          <w:p w14:paraId="7F279ED1"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2E04A70C" w14:textId="77777777" w:rsidR="00011DE9" w:rsidRDefault="00011DE9">
            <w:pPr>
              <w:pStyle w:val="P68B1DB1-Normal45"/>
              <w:spacing w:after="0" w:line="240" w:lineRule="auto"/>
              <w:rPr>
                <w:noProof/>
              </w:rPr>
            </w:pPr>
            <w:r>
              <w:rPr>
                <w:noProof/>
              </w:rPr>
              <w:t>Proiecte-pilot de promovare a inovării în domeniul serviciilor sociale</w:t>
            </w:r>
          </w:p>
        </w:tc>
      </w:tr>
      <w:tr w:rsidR="00011DE9" w14:paraId="1EF3F329"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2650C95" w14:textId="77777777" w:rsidR="00011DE9" w:rsidRDefault="00011DE9">
            <w:pPr>
              <w:pStyle w:val="P68B1DB1-Normal45"/>
              <w:spacing w:after="0" w:line="240" w:lineRule="auto"/>
              <w:jc w:val="center"/>
              <w:rPr>
                <w:noProof/>
              </w:rPr>
            </w:pPr>
            <w:r>
              <w:rPr>
                <w:noProof/>
              </w:rPr>
              <w:t>472</w:t>
            </w:r>
          </w:p>
        </w:tc>
        <w:tc>
          <w:tcPr>
            <w:tcW w:w="1985" w:type="dxa"/>
            <w:tcBorders>
              <w:top w:val="single" w:sz="4" w:space="0" w:color="auto"/>
              <w:left w:val="nil"/>
              <w:bottom w:val="single" w:sz="4" w:space="0" w:color="auto"/>
              <w:right w:val="single" w:sz="4" w:space="0" w:color="auto"/>
            </w:tcBorders>
            <w:shd w:val="clear" w:color="auto" w:fill="C6EFCE"/>
            <w:noWrap/>
          </w:tcPr>
          <w:p w14:paraId="39A097E8" w14:textId="77777777" w:rsidR="00011DE9" w:rsidRDefault="00011DE9">
            <w:pPr>
              <w:pStyle w:val="P68B1DB1-Normal45"/>
              <w:spacing w:after="0" w:line="240" w:lineRule="auto"/>
              <w:rPr>
                <w:noProof/>
              </w:rPr>
            </w:pPr>
            <w:r>
              <w:rPr>
                <w:noProof/>
              </w:rPr>
              <w:t>C22.I4</w:t>
            </w:r>
          </w:p>
        </w:tc>
        <w:tc>
          <w:tcPr>
            <w:tcW w:w="2268" w:type="dxa"/>
            <w:tcBorders>
              <w:top w:val="single" w:sz="4" w:space="0" w:color="auto"/>
              <w:left w:val="nil"/>
              <w:bottom w:val="single" w:sz="4" w:space="0" w:color="auto"/>
              <w:right w:val="single" w:sz="4" w:space="0" w:color="auto"/>
            </w:tcBorders>
            <w:shd w:val="clear" w:color="auto" w:fill="C6EFCE"/>
            <w:noWrap/>
          </w:tcPr>
          <w:p w14:paraId="60F068B6"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1EDE843" w14:textId="77777777" w:rsidR="00011DE9" w:rsidRDefault="00011DE9">
            <w:pPr>
              <w:pStyle w:val="P68B1DB1-Normal45"/>
              <w:spacing w:after="0" w:line="240" w:lineRule="auto"/>
              <w:rPr>
                <w:noProof/>
              </w:rPr>
            </w:pPr>
            <w:r>
              <w:rPr>
                <w:noProof/>
              </w:rPr>
              <w:t>Achiziționarea de dispozitive de monitorizare a alertării și distanțării și de servicii online pentru sprijinirea victimelor violenței împotriva femeilor.</w:t>
            </w:r>
          </w:p>
        </w:tc>
      </w:tr>
      <w:tr w:rsidR="00011DE9" w14:paraId="47ABADD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FC434CE" w14:textId="77777777" w:rsidR="00011DE9" w:rsidRDefault="00011DE9">
            <w:pPr>
              <w:pStyle w:val="P68B1DB1-Normal45"/>
              <w:spacing w:after="0" w:line="240" w:lineRule="auto"/>
              <w:jc w:val="center"/>
              <w:rPr>
                <w:noProof/>
              </w:rPr>
            </w:pPr>
            <w:r>
              <w:rPr>
                <w:noProof/>
              </w:rPr>
              <w:t>328</w:t>
            </w:r>
          </w:p>
        </w:tc>
        <w:tc>
          <w:tcPr>
            <w:tcW w:w="1985" w:type="dxa"/>
            <w:tcBorders>
              <w:top w:val="single" w:sz="4" w:space="0" w:color="auto"/>
              <w:left w:val="nil"/>
              <w:bottom w:val="single" w:sz="4" w:space="0" w:color="auto"/>
              <w:right w:val="single" w:sz="4" w:space="0" w:color="auto"/>
            </w:tcBorders>
            <w:shd w:val="clear" w:color="auto" w:fill="C6EFCE"/>
            <w:noWrap/>
          </w:tcPr>
          <w:p w14:paraId="752A8332" w14:textId="77777777" w:rsidR="00011DE9" w:rsidRDefault="00011DE9">
            <w:pPr>
              <w:pStyle w:val="P68B1DB1-Normal45"/>
              <w:spacing w:after="0" w:line="240" w:lineRule="auto"/>
              <w:rPr>
                <w:noProof/>
              </w:rPr>
            </w:pPr>
            <w:r>
              <w:rPr>
                <w:noProof/>
              </w:rPr>
              <w:t>C22.I5</w:t>
            </w:r>
          </w:p>
        </w:tc>
        <w:tc>
          <w:tcPr>
            <w:tcW w:w="2268" w:type="dxa"/>
            <w:tcBorders>
              <w:top w:val="single" w:sz="4" w:space="0" w:color="auto"/>
              <w:left w:val="nil"/>
              <w:bottom w:val="single" w:sz="4" w:space="0" w:color="auto"/>
              <w:right w:val="single" w:sz="4" w:space="0" w:color="auto"/>
            </w:tcBorders>
            <w:shd w:val="clear" w:color="auto" w:fill="C6EFCE"/>
            <w:noWrap/>
          </w:tcPr>
          <w:p w14:paraId="7AF8167D"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A83A708" w14:textId="77777777" w:rsidR="00011DE9" w:rsidRDefault="00011DE9">
            <w:pPr>
              <w:pStyle w:val="P68B1DB1-Normal45"/>
              <w:spacing w:after="0" w:line="240" w:lineRule="auto"/>
              <w:rPr>
                <w:noProof/>
              </w:rPr>
            </w:pPr>
            <w:r>
              <w:rPr>
                <w:noProof/>
              </w:rPr>
              <w:t>Construirea, achiziționarea sau renovarea centrelor de primire a migranților și a solicitanților de protecție internațională</w:t>
            </w:r>
          </w:p>
        </w:tc>
      </w:tr>
      <w:tr w:rsidR="00011DE9" w14:paraId="605CD52D"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0397D22" w14:textId="77777777" w:rsidR="00011DE9" w:rsidRDefault="00011DE9">
            <w:pPr>
              <w:pStyle w:val="P68B1DB1-Normal45"/>
              <w:spacing w:after="0" w:line="240" w:lineRule="auto"/>
              <w:jc w:val="center"/>
              <w:rPr>
                <w:noProof/>
              </w:rPr>
            </w:pPr>
            <w:r>
              <w:rPr>
                <w:noProof/>
              </w:rPr>
              <w:t>342</w:t>
            </w:r>
          </w:p>
        </w:tc>
        <w:tc>
          <w:tcPr>
            <w:tcW w:w="1985" w:type="dxa"/>
            <w:tcBorders>
              <w:top w:val="single" w:sz="4" w:space="0" w:color="auto"/>
              <w:left w:val="nil"/>
              <w:bottom w:val="single" w:sz="4" w:space="0" w:color="auto"/>
              <w:right w:val="single" w:sz="4" w:space="0" w:color="auto"/>
            </w:tcBorders>
            <w:shd w:val="clear" w:color="auto" w:fill="C6EFCE"/>
            <w:noWrap/>
          </w:tcPr>
          <w:p w14:paraId="58823B45" w14:textId="77777777" w:rsidR="00011DE9" w:rsidRDefault="00011DE9">
            <w:pPr>
              <w:pStyle w:val="P68B1DB1-Normal45"/>
              <w:spacing w:after="0" w:line="240" w:lineRule="auto"/>
              <w:rPr>
                <w:noProof/>
              </w:rPr>
            </w:pPr>
            <w:r>
              <w:rPr>
                <w:noProof/>
              </w:rPr>
              <w:t>C23.I1</w:t>
            </w:r>
          </w:p>
        </w:tc>
        <w:tc>
          <w:tcPr>
            <w:tcW w:w="2268" w:type="dxa"/>
            <w:tcBorders>
              <w:top w:val="single" w:sz="4" w:space="0" w:color="auto"/>
              <w:left w:val="nil"/>
              <w:bottom w:val="single" w:sz="4" w:space="0" w:color="auto"/>
              <w:right w:val="single" w:sz="4" w:space="0" w:color="auto"/>
            </w:tcBorders>
            <w:shd w:val="clear" w:color="auto" w:fill="C6EFCE"/>
            <w:noWrap/>
          </w:tcPr>
          <w:p w14:paraId="1728AF91"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0EE41DED" w14:textId="77777777" w:rsidR="00011DE9" w:rsidRDefault="00011DE9">
            <w:pPr>
              <w:pStyle w:val="P68B1DB1-Normal45"/>
              <w:spacing w:after="0" w:line="240" w:lineRule="auto"/>
              <w:rPr>
                <w:noProof/>
              </w:rPr>
            </w:pPr>
            <w:r>
              <w:rPr>
                <w:noProof/>
              </w:rPr>
              <w:t>Granturi pentru participarea persoanelor aflate în căutarea unui loc de muncă la programele „Tandem”, „First Experience” sau „Investigo”</w:t>
            </w:r>
          </w:p>
        </w:tc>
      </w:tr>
      <w:tr w:rsidR="00011DE9" w14:paraId="2D6CF03D"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46B1582" w14:textId="77777777" w:rsidR="00011DE9" w:rsidRDefault="00011DE9">
            <w:pPr>
              <w:pStyle w:val="P68B1DB1-Normal45"/>
              <w:spacing w:after="0" w:line="240" w:lineRule="auto"/>
              <w:jc w:val="center"/>
              <w:rPr>
                <w:noProof/>
              </w:rPr>
            </w:pPr>
            <w:r>
              <w:rPr>
                <w:noProof/>
              </w:rPr>
              <w:t>343</w:t>
            </w:r>
          </w:p>
        </w:tc>
        <w:tc>
          <w:tcPr>
            <w:tcW w:w="1985" w:type="dxa"/>
            <w:tcBorders>
              <w:top w:val="single" w:sz="4" w:space="0" w:color="auto"/>
              <w:left w:val="nil"/>
              <w:bottom w:val="single" w:sz="4" w:space="0" w:color="auto"/>
              <w:right w:val="single" w:sz="4" w:space="0" w:color="auto"/>
            </w:tcBorders>
            <w:shd w:val="clear" w:color="auto" w:fill="C6EFCE"/>
            <w:noWrap/>
          </w:tcPr>
          <w:p w14:paraId="7B250739" w14:textId="77777777" w:rsidR="00011DE9" w:rsidRDefault="00011DE9">
            <w:pPr>
              <w:pStyle w:val="P68B1DB1-Normal45"/>
              <w:spacing w:after="0" w:line="240" w:lineRule="auto"/>
              <w:rPr>
                <w:noProof/>
              </w:rPr>
            </w:pPr>
            <w:r>
              <w:rPr>
                <w:noProof/>
              </w:rPr>
              <w:t>C23.I2</w:t>
            </w:r>
          </w:p>
        </w:tc>
        <w:tc>
          <w:tcPr>
            <w:tcW w:w="2268" w:type="dxa"/>
            <w:tcBorders>
              <w:top w:val="single" w:sz="4" w:space="0" w:color="auto"/>
              <w:left w:val="nil"/>
              <w:bottom w:val="single" w:sz="4" w:space="0" w:color="auto"/>
              <w:right w:val="single" w:sz="4" w:space="0" w:color="auto"/>
            </w:tcBorders>
            <w:shd w:val="clear" w:color="auto" w:fill="C6EFCE"/>
            <w:noWrap/>
          </w:tcPr>
          <w:p w14:paraId="5692FE3B"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60300642" w14:textId="77777777" w:rsidR="00011DE9" w:rsidRDefault="00011DE9">
            <w:pPr>
              <w:pStyle w:val="P68B1DB1-Normal45"/>
              <w:spacing w:after="0" w:line="240" w:lineRule="auto"/>
              <w:rPr>
                <w:noProof/>
              </w:rPr>
            </w:pPr>
            <w:r>
              <w:rPr>
                <w:noProof/>
              </w:rPr>
              <w:t>Granturi pentru participarea persoanelor la programele „Plan Empleo Mujer, zone rurale și urbane” sau „Victimele violenței de gen și ale traficului uman”</w:t>
            </w:r>
          </w:p>
        </w:tc>
      </w:tr>
      <w:tr w:rsidR="00011DE9" w14:paraId="70FF2CF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7491AF8" w14:textId="77777777" w:rsidR="00011DE9" w:rsidRDefault="00011DE9">
            <w:pPr>
              <w:pStyle w:val="P68B1DB1-Normal45"/>
              <w:spacing w:after="0" w:line="240" w:lineRule="auto"/>
              <w:jc w:val="center"/>
              <w:rPr>
                <w:noProof/>
              </w:rPr>
            </w:pPr>
            <w:r>
              <w:rPr>
                <w:noProof/>
              </w:rPr>
              <w:t>344</w:t>
            </w:r>
          </w:p>
        </w:tc>
        <w:tc>
          <w:tcPr>
            <w:tcW w:w="1985" w:type="dxa"/>
            <w:tcBorders>
              <w:top w:val="single" w:sz="4" w:space="0" w:color="auto"/>
              <w:left w:val="nil"/>
              <w:bottom w:val="single" w:sz="4" w:space="0" w:color="auto"/>
              <w:right w:val="single" w:sz="4" w:space="0" w:color="auto"/>
            </w:tcBorders>
            <w:shd w:val="clear" w:color="auto" w:fill="C6EFCE"/>
            <w:noWrap/>
          </w:tcPr>
          <w:p w14:paraId="5A9C6885" w14:textId="77777777" w:rsidR="00011DE9" w:rsidRDefault="00011DE9">
            <w:pPr>
              <w:pStyle w:val="P68B1DB1-Normal45"/>
              <w:spacing w:after="0" w:line="240" w:lineRule="auto"/>
              <w:rPr>
                <w:noProof/>
              </w:rPr>
            </w:pPr>
            <w:r>
              <w:rPr>
                <w:noProof/>
              </w:rPr>
              <w:t>C23.I3</w:t>
            </w:r>
          </w:p>
        </w:tc>
        <w:tc>
          <w:tcPr>
            <w:tcW w:w="2268" w:type="dxa"/>
            <w:tcBorders>
              <w:top w:val="single" w:sz="4" w:space="0" w:color="auto"/>
              <w:left w:val="nil"/>
              <w:bottom w:val="single" w:sz="4" w:space="0" w:color="auto"/>
              <w:right w:val="single" w:sz="4" w:space="0" w:color="auto"/>
            </w:tcBorders>
            <w:shd w:val="clear" w:color="auto" w:fill="C6EFCE"/>
            <w:noWrap/>
          </w:tcPr>
          <w:p w14:paraId="3D629AA5"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0AD38E1A" w14:textId="77777777" w:rsidR="00011DE9" w:rsidRDefault="00011DE9">
            <w:pPr>
              <w:pStyle w:val="P68B1DB1-Normal45"/>
              <w:spacing w:after="0" w:line="240" w:lineRule="auto"/>
              <w:rPr>
                <w:noProof/>
              </w:rPr>
            </w:pPr>
            <w:r>
              <w:rPr>
                <w:noProof/>
              </w:rPr>
              <w:t>Persoane care au participat la programe de formare pentru a dobândi competențe pentru transformarea digitală, ecologică sau productivă</w:t>
            </w:r>
          </w:p>
        </w:tc>
      </w:tr>
      <w:tr w:rsidR="00011DE9" w14:paraId="5614E9E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86D28C6" w14:textId="77777777" w:rsidR="00011DE9" w:rsidRDefault="00011DE9">
            <w:pPr>
              <w:pStyle w:val="P68B1DB1-Normal45"/>
              <w:spacing w:after="0" w:line="240" w:lineRule="auto"/>
              <w:jc w:val="center"/>
              <w:rPr>
                <w:noProof/>
              </w:rPr>
            </w:pPr>
            <w:r>
              <w:rPr>
                <w:noProof/>
              </w:rPr>
              <w:t>475</w:t>
            </w:r>
          </w:p>
        </w:tc>
        <w:tc>
          <w:tcPr>
            <w:tcW w:w="1985" w:type="dxa"/>
            <w:tcBorders>
              <w:top w:val="single" w:sz="4" w:space="0" w:color="auto"/>
              <w:left w:val="nil"/>
              <w:bottom w:val="single" w:sz="4" w:space="0" w:color="auto"/>
              <w:right w:val="single" w:sz="4" w:space="0" w:color="auto"/>
            </w:tcBorders>
            <w:shd w:val="clear" w:color="auto" w:fill="C6EFCE"/>
            <w:noWrap/>
          </w:tcPr>
          <w:p w14:paraId="5EC1DF03" w14:textId="77777777" w:rsidR="00011DE9" w:rsidRDefault="00011DE9">
            <w:pPr>
              <w:pStyle w:val="P68B1DB1-Normal45"/>
              <w:spacing w:after="0" w:line="240" w:lineRule="auto"/>
              <w:rPr>
                <w:noProof/>
              </w:rPr>
            </w:pPr>
            <w:r>
              <w:rPr>
                <w:noProof/>
              </w:rPr>
              <w:t>C24.I1</w:t>
            </w:r>
          </w:p>
        </w:tc>
        <w:tc>
          <w:tcPr>
            <w:tcW w:w="2268" w:type="dxa"/>
            <w:tcBorders>
              <w:top w:val="single" w:sz="4" w:space="0" w:color="auto"/>
              <w:left w:val="nil"/>
              <w:bottom w:val="single" w:sz="4" w:space="0" w:color="auto"/>
              <w:right w:val="single" w:sz="4" w:space="0" w:color="auto"/>
            </w:tcBorders>
            <w:shd w:val="clear" w:color="auto" w:fill="C6EFCE"/>
            <w:noWrap/>
          </w:tcPr>
          <w:p w14:paraId="4E9560F0"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53B4B1C6" w14:textId="77777777" w:rsidR="00011DE9" w:rsidRDefault="00011DE9">
            <w:pPr>
              <w:pStyle w:val="P68B1DB1-Normal45"/>
              <w:spacing w:after="0" w:line="240" w:lineRule="auto"/>
              <w:rPr>
                <w:noProof/>
              </w:rPr>
            </w:pPr>
            <w:r>
              <w:rPr>
                <w:noProof/>
              </w:rPr>
              <w:t>Consolidarea competitivității industriilor culturale</w:t>
            </w:r>
          </w:p>
        </w:tc>
      </w:tr>
      <w:tr w:rsidR="00011DE9" w14:paraId="604D62B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B5ED946" w14:textId="77777777" w:rsidR="00011DE9" w:rsidRDefault="00011DE9">
            <w:pPr>
              <w:pStyle w:val="P68B1DB1-Normal45"/>
              <w:spacing w:after="0" w:line="240" w:lineRule="auto"/>
              <w:jc w:val="center"/>
              <w:rPr>
                <w:noProof/>
              </w:rPr>
            </w:pPr>
            <w:r>
              <w:rPr>
                <w:noProof/>
              </w:rPr>
              <w:t>356</w:t>
            </w:r>
          </w:p>
        </w:tc>
        <w:tc>
          <w:tcPr>
            <w:tcW w:w="1985" w:type="dxa"/>
            <w:tcBorders>
              <w:top w:val="single" w:sz="4" w:space="0" w:color="auto"/>
              <w:left w:val="nil"/>
              <w:bottom w:val="single" w:sz="4" w:space="0" w:color="auto"/>
              <w:right w:val="single" w:sz="4" w:space="0" w:color="auto"/>
            </w:tcBorders>
            <w:shd w:val="clear" w:color="auto" w:fill="C6EFCE"/>
            <w:noWrap/>
          </w:tcPr>
          <w:p w14:paraId="00C24AC5" w14:textId="77777777" w:rsidR="00011DE9" w:rsidRDefault="00011DE9">
            <w:pPr>
              <w:pStyle w:val="P68B1DB1-Normal45"/>
              <w:spacing w:after="0" w:line="240" w:lineRule="auto"/>
              <w:rPr>
                <w:noProof/>
              </w:rPr>
            </w:pPr>
            <w:r>
              <w:rPr>
                <w:noProof/>
              </w:rPr>
              <w:t>C24.I2</w:t>
            </w:r>
          </w:p>
        </w:tc>
        <w:tc>
          <w:tcPr>
            <w:tcW w:w="2268" w:type="dxa"/>
            <w:tcBorders>
              <w:top w:val="single" w:sz="4" w:space="0" w:color="auto"/>
              <w:left w:val="nil"/>
              <w:bottom w:val="single" w:sz="4" w:space="0" w:color="auto"/>
              <w:right w:val="single" w:sz="4" w:space="0" w:color="auto"/>
            </w:tcBorders>
            <w:shd w:val="clear" w:color="auto" w:fill="C6EFCE"/>
            <w:noWrap/>
          </w:tcPr>
          <w:p w14:paraId="38BB1041"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7B6B594A" w14:textId="77777777" w:rsidR="00011DE9" w:rsidRDefault="00011DE9">
            <w:pPr>
              <w:pStyle w:val="P68B1DB1-Normal45"/>
              <w:spacing w:after="0" w:line="240" w:lineRule="auto"/>
              <w:rPr>
                <w:noProof/>
              </w:rPr>
            </w:pPr>
            <w:r>
              <w:rPr>
                <w:noProof/>
              </w:rPr>
              <w:t>Restaurarea și consolidarea siturilor culturale spaniole</w:t>
            </w:r>
          </w:p>
        </w:tc>
      </w:tr>
      <w:tr w:rsidR="00011DE9" w14:paraId="20B030CF"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3D109FC" w14:textId="77777777" w:rsidR="00011DE9" w:rsidRDefault="00011DE9">
            <w:pPr>
              <w:pStyle w:val="P68B1DB1-Normal45"/>
              <w:spacing w:after="0" w:line="240" w:lineRule="auto"/>
              <w:jc w:val="center"/>
              <w:rPr>
                <w:noProof/>
              </w:rPr>
            </w:pPr>
            <w:r>
              <w:rPr>
                <w:noProof/>
              </w:rPr>
              <w:t>476</w:t>
            </w:r>
          </w:p>
        </w:tc>
        <w:tc>
          <w:tcPr>
            <w:tcW w:w="1985" w:type="dxa"/>
            <w:tcBorders>
              <w:top w:val="single" w:sz="4" w:space="0" w:color="auto"/>
              <w:left w:val="nil"/>
              <w:bottom w:val="single" w:sz="4" w:space="0" w:color="auto"/>
              <w:right w:val="single" w:sz="4" w:space="0" w:color="auto"/>
            </w:tcBorders>
            <w:shd w:val="clear" w:color="auto" w:fill="C6EFCE"/>
            <w:noWrap/>
          </w:tcPr>
          <w:p w14:paraId="5578B38E" w14:textId="77777777" w:rsidR="00011DE9" w:rsidRDefault="00011DE9">
            <w:pPr>
              <w:pStyle w:val="P68B1DB1-Normal45"/>
              <w:spacing w:after="0" w:line="240" w:lineRule="auto"/>
              <w:rPr>
                <w:noProof/>
              </w:rPr>
            </w:pPr>
            <w:r>
              <w:rPr>
                <w:noProof/>
              </w:rPr>
              <w:t>C25.I1</w:t>
            </w:r>
          </w:p>
        </w:tc>
        <w:tc>
          <w:tcPr>
            <w:tcW w:w="2268" w:type="dxa"/>
            <w:tcBorders>
              <w:top w:val="single" w:sz="4" w:space="0" w:color="auto"/>
              <w:left w:val="nil"/>
              <w:bottom w:val="single" w:sz="4" w:space="0" w:color="auto"/>
              <w:right w:val="single" w:sz="4" w:space="0" w:color="auto"/>
            </w:tcBorders>
            <w:shd w:val="clear" w:color="auto" w:fill="C6EFCE"/>
            <w:noWrap/>
          </w:tcPr>
          <w:p w14:paraId="128D3278"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4DD5DDF0" w14:textId="77777777" w:rsidR="00011DE9" w:rsidRDefault="00011DE9">
            <w:pPr>
              <w:pStyle w:val="P68B1DB1-Normal45"/>
              <w:spacing w:after="0" w:line="240" w:lineRule="auto"/>
              <w:rPr>
                <w:noProof/>
              </w:rPr>
            </w:pPr>
            <w:r>
              <w:rPr>
                <w:noProof/>
              </w:rPr>
              <w:t>Sprijinirea entităților din sectorul audiovizual în trei domenii diferite</w:t>
            </w:r>
          </w:p>
        </w:tc>
      </w:tr>
      <w:tr w:rsidR="00011DE9" w14:paraId="64B2A50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24D28E7" w14:textId="77777777" w:rsidR="00011DE9" w:rsidRDefault="00011DE9">
            <w:pPr>
              <w:pStyle w:val="P68B1DB1-Normal45"/>
              <w:spacing w:after="0" w:line="240" w:lineRule="auto"/>
              <w:jc w:val="center"/>
              <w:rPr>
                <w:noProof/>
              </w:rPr>
            </w:pPr>
            <w:r>
              <w:rPr>
                <w:noProof/>
              </w:rPr>
              <w:t>370</w:t>
            </w:r>
          </w:p>
        </w:tc>
        <w:tc>
          <w:tcPr>
            <w:tcW w:w="1985" w:type="dxa"/>
            <w:tcBorders>
              <w:top w:val="single" w:sz="4" w:space="0" w:color="auto"/>
              <w:left w:val="nil"/>
              <w:bottom w:val="single" w:sz="4" w:space="0" w:color="auto"/>
              <w:right w:val="single" w:sz="4" w:space="0" w:color="auto"/>
            </w:tcBorders>
            <w:shd w:val="clear" w:color="auto" w:fill="C6EFCE"/>
            <w:noWrap/>
          </w:tcPr>
          <w:p w14:paraId="0526E623" w14:textId="77777777" w:rsidR="00011DE9" w:rsidRDefault="00011DE9">
            <w:pPr>
              <w:pStyle w:val="P68B1DB1-Normal45"/>
              <w:spacing w:after="0" w:line="240" w:lineRule="auto"/>
              <w:rPr>
                <w:noProof/>
              </w:rPr>
            </w:pPr>
            <w:r>
              <w:rPr>
                <w:noProof/>
              </w:rPr>
              <w:t>C26.I1</w:t>
            </w:r>
          </w:p>
        </w:tc>
        <w:tc>
          <w:tcPr>
            <w:tcW w:w="2268" w:type="dxa"/>
            <w:tcBorders>
              <w:top w:val="single" w:sz="4" w:space="0" w:color="auto"/>
              <w:left w:val="nil"/>
              <w:bottom w:val="single" w:sz="4" w:space="0" w:color="auto"/>
              <w:right w:val="single" w:sz="4" w:space="0" w:color="auto"/>
            </w:tcBorders>
            <w:shd w:val="clear" w:color="auto" w:fill="C6EFCE"/>
            <w:noWrap/>
          </w:tcPr>
          <w:p w14:paraId="40577361"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5F21F96" w14:textId="77777777" w:rsidR="00011DE9" w:rsidRDefault="00011DE9">
            <w:pPr>
              <w:pStyle w:val="P68B1DB1-Normal45"/>
              <w:spacing w:after="0" w:line="240" w:lineRule="auto"/>
              <w:rPr>
                <w:noProof/>
              </w:rPr>
            </w:pPr>
            <w:r>
              <w:rPr>
                <w:noProof/>
              </w:rPr>
              <w:t>Digitalizarea sectorului sportului</w:t>
            </w:r>
          </w:p>
        </w:tc>
      </w:tr>
      <w:tr w:rsidR="00011DE9" w14:paraId="7CF5FD4F"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4727209" w14:textId="77777777" w:rsidR="00011DE9" w:rsidRDefault="00011DE9">
            <w:pPr>
              <w:pStyle w:val="P68B1DB1-Normal45"/>
              <w:spacing w:after="0" w:line="240" w:lineRule="auto"/>
              <w:jc w:val="center"/>
              <w:rPr>
                <w:noProof/>
              </w:rPr>
            </w:pPr>
            <w:r>
              <w:rPr>
                <w:noProof/>
              </w:rPr>
              <w:t>373</w:t>
            </w:r>
          </w:p>
        </w:tc>
        <w:tc>
          <w:tcPr>
            <w:tcW w:w="1985" w:type="dxa"/>
            <w:tcBorders>
              <w:top w:val="single" w:sz="4" w:space="0" w:color="auto"/>
              <w:left w:val="nil"/>
              <w:bottom w:val="single" w:sz="4" w:space="0" w:color="auto"/>
              <w:right w:val="single" w:sz="4" w:space="0" w:color="auto"/>
            </w:tcBorders>
            <w:shd w:val="clear" w:color="auto" w:fill="C6EFCE"/>
            <w:noWrap/>
          </w:tcPr>
          <w:p w14:paraId="258D9159" w14:textId="77777777" w:rsidR="00011DE9" w:rsidRDefault="00011DE9">
            <w:pPr>
              <w:pStyle w:val="P68B1DB1-Normal45"/>
              <w:spacing w:after="0" w:line="240" w:lineRule="auto"/>
              <w:rPr>
                <w:noProof/>
              </w:rPr>
            </w:pPr>
            <w:r>
              <w:rPr>
                <w:noProof/>
              </w:rPr>
              <w:t>C26.I2</w:t>
            </w:r>
          </w:p>
        </w:tc>
        <w:tc>
          <w:tcPr>
            <w:tcW w:w="2268" w:type="dxa"/>
            <w:tcBorders>
              <w:top w:val="single" w:sz="4" w:space="0" w:color="auto"/>
              <w:left w:val="nil"/>
              <w:bottom w:val="single" w:sz="4" w:space="0" w:color="auto"/>
              <w:right w:val="single" w:sz="4" w:space="0" w:color="auto"/>
            </w:tcBorders>
            <w:shd w:val="clear" w:color="auto" w:fill="C6EFCE"/>
            <w:noWrap/>
          </w:tcPr>
          <w:p w14:paraId="430DC126"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1B7A307" w14:textId="77777777" w:rsidR="00011DE9" w:rsidRDefault="00011DE9">
            <w:pPr>
              <w:pStyle w:val="P68B1DB1-Normal45"/>
              <w:spacing w:after="0" w:line="240" w:lineRule="auto"/>
              <w:rPr>
                <w:noProof/>
              </w:rPr>
            </w:pPr>
            <w:r>
              <w:rPr>
                <w:noProof/>
              </w:rPr>
              <w:t>Renovarea infrastructurilor sportive, a centrelor tehnice sau a instalațiilor sportive</w:t>
            </w:r>
          </w:p>
        </w:tc>
      </w:tr>
      <w:tr w:rsidR="00011DE9" w14:paraId="123DC33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403C1A2" w14:textId="77777777" w:rsidR="00011DE9" w:rsidRDefault="00011DE9">
            <w:pPr>
              <w:pStyle w:val="P68B1DB1-Normal45"/>
              <w:spacing w:after="0" w:line="240" w:lineRule="auto"/>
              <w:jc w:val="center"/>
              <w:rPr>
                <w:noProof/>
              </w:rPr>
            </w:pPr>
            <w:r>
              <w:rPr>
                <w:noProof/>
              </w:rPr>
              <w:t>386</w:t>
            </w:r>
          </w:p>
        </w:tc>
        <w:tc>
          <w:tcPr>
            <w:tcW w:w="1985" w:type="dxa"/>
            <w:tcBorders>
              <w:top w:val="single" w:sz="4" w:space="0" w:color="auto"/>
              <w:left w:val="nil"/>
              <w:bottom w:val="single" w:sz="4" w:space="0" w:color="auto"/>
              <w:right w:val="single" w:sz="4" w:space="0" w:color="auto"/>
            </w:tcBorders>
            <w:shd w:val="clear" w:color="auto" w:fill="C6EFCE"/>
            <w:noWrap/>
          </w:tcPr>
          <w:p w14:paraId="1F2806B2" w14:textId="77777777" w:rsidR="00011DE9" w:rsidRDefault="00011DE9">
            <w:pPr>
              <w:pStyle w:val="P68B1DB1-Normal45"/>
              <w:spacing w:after="0" w:line="240" w:lineRule="auto"/>
              <w:rPr>
                <w:noProof/>
              </w:rPr>
            </w:pPr>
            <w:r>
              <w:rPr>
                <w:noProof/>
              </w:rPr>
              <w:t>C28.R2</w:t>
            </w:r>
          </w:p>
        </w:tc>
        <w:tc>
          <w:tcPr>
            <w:tcW w:w="2268" w:type="dxa"/>
            <w:tcBorders>
              <w:top w:val="single" w:sz="4" w:space="0" w:color="auto"/>
              <w:left w:val="nil"/>
              <w:bottom w:val="single" w:sz="4" w:space="0" w:color="auto"/>
              <w:right w:val="single" w:sz="4" w:space="0" w:color="auto"/>
            </w:tcBorders>
            <w:shd w:val="clear" w:color="auto" w:fill="C6EFCE"/>
            <w:noWrap/>
          </w:tcPr>
          <w:p w14:paraId="5D959FE5"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50240E19" w14:textId="77777777" w:rsidR="00011DE9" w:rsidRDefault="00011DE9">
            <w:pPr>
              <w:pStyle w:val="P68B1DB1-Normal45"/>
              <w:spacing w:after="0" w:line="240" w:lineRule="auto"/>
              <w:rPr>
                <w:noProof/>
              </w:rPr>
            </w:pPr>
            <w:r>
              <w:rPr>
                <w:noProof/>
              </w:rPr>
              <w:t>Reforma beneficiilor fiscale</w:t>
            </w:r>
          </w:p>
        </w:tc>
      </w:tr>
      <w:tr w:rsidR="00011DE9" w14:paraId="01950923"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677625B" w14:textId="77777777" w:rsidR="00011DE9" w:rsidRDefault="00011DE9">
            <w:pPr>
              <w:pStyle w:val="P68B1DB1-Normal45"/>
              <w:spacing w:after="0" w:line="240" w:lineRule="auto"/>
              <w:jc w:val="center"/>
              <w:rPr>
                <w:noProof/>
              </w:rPr>
            </w:pPr>
            <w:r>
              <w:rPr>
                <w:noProof/>
              </w:rPr>
              <w:t>512</w:t>
            </w:r>
          </w:p>
        </w:tc>
        <w:tc>
          <w:tcPr>
            <w:tcW w:w="1985" w:type="dxa"/>
            <w:tcBorders>
              <w:top w:val="single" w:sz="4" w:space="0" w:color="auto"/>
              <w:left w:val="nil"/>
              <w:bottom w:val="single" w:sz="4" w:space="0" w:color="auto"/>
              <w:right w:val="single" w:sz="4" w:space="0" w:color="auto"/>
            </w:tcBorders>
            <w:shd w:val="clear" w:color="auto" w:fill="C6EFCE"/>
            <w:noWrap/>
          </w:tcPr>
          <w:p w14:paraId="0D05388B" w14:textId="77777777" w:rsidR="00011DE9" w:rsidRDefault="00011DE9">
            <w:pPr>
              <w:pStyle w:val="P68B1DB1-Normal45"/>
              <w:spacing w:after="0" w:line="240" w:lineRule="auto"/>
              <w:rPr>
                <w:noProof/>
              </w:rPr>
            </w:pPr>
            <w:r>
              <w:rPr>
                <w:noProof/>
              </w:rPr>
              <w:t>C28.I1</w:t>
            </w:r>
          </w:p>
        </w:tc>
        <w:tc>
          <w:tcPr>
            <w:tcW w:w="2268" w:type="dxa"/>
            <w:tcBorders>
              <w:top w:val="single" w:sz="4" w:space="0" w:color="auto"/>
              <w:left w:val="nil"/>
              <w:bottom w:val="single" w:sz="4" w:space="0" w:color="auto"/>
              <w:right w:val="single" w:sz="4" w:space="0" w:color="auto"/>
            </w:tcBorders>
            <w:shd w:val="clear" w:color="auto" w:fill="C6EFCE"/>
            <w:noWrap/>
          </w:tcPr>
          <w:p w14:paraId="1C56ED29"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4DD50E5E" w14:textId="77777777" w:rsidR="00011DE9" w:rsidRDefault="00011DE9">
            <w:pPr>
              <w:pStyle w:val="P68B1DB1-Normal45"/>
              <w:spacing w:after="0" w:line="240" w:lineRule="auto"/>
              <w:rPr>
                <w:noProof/>
              </w:rPr>
            </w:pPr>
            <w:r>
              <w:rPr>
                <w:noProof/>
              </w:rPr>
              <w:t>Deduceri fiscale declarate pentru achiziționarea de vehicule electrice sau pentru instalarea de stații de încărcare</w:t>
            </w:r>
          </w:p>
        </w:tc>
      </w:tr>
      <w:tr w:rsidR="00011DE9" w14:paraId="5C8A8F9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D8C4726" w14:textId="77777777" w:rsidR="00011DE9" w:rsidRDefault="00011DE9">
            <w:pPr>
              <w:pStyle w:val="P68B1DB1-Normal45"/>
              <w:spacing w:after="0" w:line="240" w:lineRule="auto"/>
              <w:jc w:val="center"/>
              <w:rPr>
                <w:noProof/>
              </w:rPr>
            </w:pPr>
            <w:r>
              <w:rPr>
                <w:noProof/>
              </w:rPr>
              <w:t>478</w:t>
            </w:r>
          </w:p>
        </w:tc>
        <w:tc>
          <w:tcPr>
            <w:tcW w:w="1985" w:type="dxa"/>
            <w:tcBorders>
              <w:top w:val="single" w:sz="4" w:space="0" w:color="auto"/>
              <w:left w:val="nil"/>
              <w:bottom w:val="single" w:sz="4" w:space="0" w:color="auto"/>
              <w:right w:val="single" w:sz="4" w:space="0" w:color="auto"/>
            </w:tcBorders>
            <w:shd w:val="clear" w:color="auto" w:fill="C6EFCE"/>
            <w:noWrap/>
          </w:tcPr>
          <w:p w14:paraId="199268EE" w14:textId="77777777" w:rsidR="00011DE9" w:rsidRDefault="00011DE9">
            <w:pPr>
              <w:pStyle w:val="P68B1DB1-Normal45"/>
              <w:spacing w:after="0" w:line="240" w:lineRule="auto"/>
              <w:rPr>
                <w:noProof/>
              </w:rPr>
            </w:pPr>
            <w:r>
              <w:rPr>
                <w:noProof/>
              </w:rPr>
              <w:t>C31.I1</w:t>
            </w:r>
          </w:p>
        </w:tc>
        <w:tc>
          <w:tcPr>
            <w:tcW w:w="2268" w:type="dxa"/>
            <w:tcBorders>
              <w:top w:val="single" w:sz="4" w:space="0" w:color="auto"/>
              <w:left w:val="nil"/>
              <w:bottom w:val="single" w:sz="4" w:space="0" w:color="auto"/>
              <w:right w:val="single" w:sz="4" w:space="0" w:color="auto"/>
            </w:tcBorders>
            <w:shd w:val="clear" w:color="auto" w:fill="C6EFCE"/>
            <w:noWrap/>
          </w:tcPr>
          <w:p w14:paraId="20D03586"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6EA21EF5" w14:textId="77777777" w:rsidR="00011DE9" w:rsidRDefault="00011DE9">
            <w:pPr>
              <w:pStyle w:val="P68B1DB1-Normal45"/>
              <w:spacing w:after="0" w:line="240" w:lineRule="auto"/>
              <w:rPr>
                <w:noProof/>
              </w:rPr>
            </w:pPr>
            <w:r>
              <w:rPr>
                <w:noProof/>
              </w:rPr>
              <w:t>Investiții care promovează stocarea energiei sau autoconsumul pe baza producției de energie din surse regenerabile sau a stocării din spatele contorului: Rapoarte finale</w:t>
            </w:r>
          </w:p>
        </w:tc>
      </w:tr>
      <w:tr w:rsidR="00011DE9" w14:paraId="3215B17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AB2A38A" w14:textId="77777777" w:rsidR="00011DE9" w:rsidRDefault="00011DE9">
            <w:pPr>
              <w:pStyle w:val="P68B1DB1-Normal45"/>
              <w:spacing w:after="0" w:line="240" w:lineRule="auto"/>
              <w:jc w:val="center"/>
              <w:rPr>
                <w:noProof/>
              </w:rPr>
            </w:pPr>
            <w:r>
              <w:rPr>
                <w:noProof/>
              </w:rPr>
              <w:t>482</w:t>
            </w:r>
          </w:p>
        </w:tc>
        <w:tc>
          <w:tcPr>
            <w:tcW w:w="1985" w:type="dxa"/>
            <w:tcBorders>
              <w:top w:val="single" w:sz="4" w:space="0" w:color="auto"/>
              <w:left w:val="nil"/>
              <w:bottom w:val="single" w:sz="4" w:space="0" w:color="auto"/>
              <w:right w:val="single" w:sz="4" w:space="0" w:color="auto"/>
            </w:tcBorders>
            <w:shd w:val="clear" w:color="auto" w:fill="C6EFCE"/>
            <w:noWrap/>
          </w:tcPr>
          <w:p w14:paraId="4238B442" w14:textId="77777777" w:rsidR="00011DE9" w:rsidRDefault="00011DE9">
            <w:pPr>
              <w:pStyle w:val="P68B1DB1-Normal45"/>
              <w:spacing w:after="0" w:line="240" w:lineRule="auto"/>
              <w:rPr>
                <w:noProof/>
              </w:rPr>
            </w:pPr>
            <w:r>
              <w:rPr>
                <w:noProof/>
              </w:rPr>
              <w:t>C31.I2</w:t>
            </w:r>
          </w:p>
        </w:tc>
        <w:tc>
          <w:tcPr>
            <w:tcW w:w="2268" w:type="dxa"/>
            <w:tcBorders>
              <w:top w:val="single" w:sz="4" w:space="0" w:color="auto"/>
              <w:left w:val="nil"/>
              <w:bottom w:val="single" w:sz="4" w:space="0" w:color="auto"/>
              <w:right w:val="single" w:sz="4" w:space="0" w:color="auto"/>
            </w:tcBorders>
            <w:shd w:val="clear" w:color="auto" w:fill="C6EFCE"/>
            <w:noWrap/>
          </w:tcPr>
          <w:p w14:paraId="14681AA0"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8D22D02" w14:textId="77777777" w:rsidR="00011DE9" w:rsidRDefault="00011DE9">
            <w:pPr>
              <w:pStyle w:val="P68B1DB1-Normal45"/>
              <w:spacing w:after="0" w:line="240" w:lineRule="auto"/>
              <w:rPr>
                <w:noProof/>
              </w:rPr>
            </w:pPr>
            <w:r>
              <w:rPr>
                <w:noProof/>
              </w:rPr>
              <w:t xml:space="preserve">Schema de sprijin pentru hidrogenul din surse regenerabile: Acorduri juridice semnate cu beneficiarii finali sau rezoluții finale de atribuire publicate </w:t>
            </w:r>
          </w:p>
        </w:tc>
      </w:tr>
      <w:tr w:rsidR="00011DE9" w14:paraId="6B2D512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546194C" w14:textId="77777777" w:rsidR="00011DE9" w:rsidRDefault="00011DE9">
            <w:pPr>
              <w:pStyle w:val="P68B1DB1-Normal45"/>
              <w:spacing w:after="0" w:line="240" w:lineRule="auto"/>
              <w:jc w:val="center"/>
              <w:rPr>
                <w:noProof/>
              </w:rPr>
            </w:pPr>
            <w:r>
              <w:rPr>
                <w:noProof/>
              </w:rPr>
              <w:t>486</w:t>
            </w:r>
          </w:p>
        </w:tc>
        <w:tc>
          <w:tcPr>
            <w:tcW w:w="1985" w:type="dxa"/>
            <w:tcBorders>
              <w:top w:val="single" w:sz="4" w:space="0" w:color="auto"/>
              <w:left w:val="nil"/>
              <w:bottom w:val="single" w:sz="4" w:space="0" w:color="auto"/>
              <w:right w:val="single" w:sz="4" w:space="0" w:color="auto"/>
            </w:tcBorders>
            <w:shd w:val="clear" w:color="auto" w:fill="C6EFCE"/>
            <w:noWrap/>
          </w:tcPr>
          <w:p w14:paraId="6D451DC5" w14:textId="77777777" w:rsidR="00011DE9" w:rsidRDefault="00011DE9">
            <w:pPr>
              <w:pStyle w:val="P68B1DB1-Normal45"/>
              <w:spacing w:after="0" w:line="240" w:lineRule="auto"/>
              <w:rPr>
                <w:noProof/>
              </w:rPr>
            </w:pPr>
            <w:r>
              <w:rPr>
                <w:noProof/>
              </w:rPr>
              <w:t>C31.I3</w:t>
            </w:r>
          </w:p>
        </w:tc>
        <w:tc>
          <w:tcPr>
            <w:tcW w:w="2268" w:type="dxa"/>
            <w:tcBorders>
              <w:top w:val="single" w:sz="4" w:space="0" w:color="auto"/>
              <w:left w:val="nil"/>
              <w:bottom w:val="single" w:sz="4" w:space="0" w:color="auto"/>
              <w:right w:val="single" w:sz="4" w:space="0" w:color="auto"/>
            </w:tcBorders>
            <w:shd w:val="clear" w:color="auto" w:fill="C6EFCE"/>
            <w:noWrap/>
          </w:tcPr>
          <w:p w14:paraId="0F94125E"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E91671B" w14:textId="77777777" w:rsidR="00011DE9" w:rsidRDefault="00011DE9">
            <w:pPr>
              <w:pStyle w:val="P68B1DB1-Normal45"/>
              <w:spacing w:after="0" w:line="240" w:lineRule="auto"/>
              <w:rPr>
                <w:noProof/>
              </w:rPr>
            </w:pPr>
            <w:r>
              <w:rPr>
                <w:noProof/>
              </w:rPr>
              <w:t xml:space="preserve">Schemă de sprijin pentru lanțul valoric: Acorduri juridice semnate cu beneficiarii finali sau rezoluții finale de atribuire publicate </w:t>
            </w:r>
          </w:p>
        </w:tc>
      </w:tr>
      <w:tr w:rsidR="00011DE9" w14:paraId="5275AB3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48FE112" w14:textId="77777777" w:rsidR="00011DE9" w:rsidRDefault="00011DE9">
            <w:pPr>
              <w:pStyle w:val="P68B1DB1-Normal45"/>
              <w:spacing w:after="0" w:line="240" w:lineRule="auto"/>
              <w:jc w:val="center"/>
              <w:rPr>
                <w:noProof/>
              </w:rPr>
            </w:pPr>
            <w:r>
              <w:rPr>
                <w:noProof/>
              </w:rPr>
              <w:t>490</w:t>
            </w:r>
          </w:p>
        </w:tc>
        <w:tc>
          <w:tcPr>
            <w:tcW w:w="1985" w:type="dxa"/>
            <w:tcBorders>
              <w:top w:val="single" w:sz="4" w:space="0" w:color="auto"/>
              <w:left w:val="nil"/>
              <w:bottom w:val="single" w:sz="4" w:space="0" w:color="auto"/>
              <w:right w:val="single" w:sz="4" w:space="0" w:color="auto"/>
            </w:tcBorders>
            <w:shd w:val="clear" w:color="auto" w:fill="C6EFCE"/>
            <w:noWrap/>
          </w:tcPr>
          <w:p w14:paraId="5EBA5285" w14:textId="77777777" w:rsidR="00011DE9" w:rsidRDefault="00011DE9">
            <w:pPr>
              <w:pStyle w:val="P68B1DB1-Normal45"/>
              <w:spacing w:after="0" w:line="240" w:lineRule="auto"/>
              <w:rPr>
                <w:noProof/>
              </w:rPr>
            </w:pPr>
            <w:r>
              <w:rPr>
                <w:noProof/>
              </w:rPr>
              <w:t>C31.I4</w:t>
            </w:r>
          </w:p>
        </w:tc>
        <w:tc>
          <w:tcPr>
            <w:tcW w:w="2268" w:type="dxa"/>
            <w:tcBorders>
              <w:top w:val="single" w:sz="4" w:space="0" w:color="auto"/>
              <w:left w:val="nil"/>
              <w:bottom w:val="single" w:sz="4" w:space="0" w:color="auto"/>
              <w:right w:val="single" w:sz="4" w:space="0" w:color="auto"/>
            </w:tcBorders>
            <w:shd w:val="clear" w:color="auto" w:fill="C6EFCE"/>
            <w:noWrap/>
          </w:tcPr>
          <w:p w14:paraId="2CFC9022"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0323DB1" w14:textId="77777777" w:rsidR="00011DE9" w:rsidRDefault="00011DE9">
            <w:pPr>
              <w:pStyle w:val="P68B1DB1-Normal45"/>
              <w:spacing w:after="0" w:line="240" w:lineRule="auto"/>
              <w:rPr>
                <w:noProof/>
              </w:rPr>
            </w:pPr>
            <w:r>
              <w:rPr>
                <w:noProof/>
              </w:rPr>
              <w:t>Proiecte de transport al energiei electrice care beneficiază de sprijin</w:t>
            </w:r>
          </w:p>
        </w:tc>
      </w:tr>
      <w:tr w:rsidR="00011DE9" w14:paraId="1A5CF48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736E10F" w14:textId="77777777" w:rsidR="00011DE9" w:rsidRDefault="00011DE9">
            <w:pPr>
              <w:pStyle w:val="P68B1DB1-Normal45"/>
              <w:spacing w:after="0" w:line="240" w:lineRule="auto"/>
              <w:jc w:val="center"/>
              <w:rPr>
                <w:noProof/>
              </w:rPr>
            </w:pPr>
            <w:r>
              <w:rPr>
                <w:noProof/>
              </w:rPr>
              <w:t>493</w:t>
            </w:r>
          </w:p>
        </w:tc>
        <w:tc>
          <w:tcPr>
            <w:tcW w:w="1985" w:type="dxa"/>
            <w:tcBorders>
              <w:top w:val="single" w:sz="4" w:space="0" w:color="auto"/>
              <w:left w:val="nil"/>
              <w:bottom w:val="single" w:sz="4" w:space="0" w:color="auto"/>
              <w:right w:val="single" w:sz="4" w:space="0" w:color="auto"/>
            </w:tcBorders>
            <w:shd w:val="clear" w:color="auto" w:fill="C6EFCE"/>
            <w:noWrap/>
          </w:tcPr>
          <w:p w14:paraId="5F64C222" w14:textId="77777777" w:rsidR="00011DE9" w:rsidRDefault="00011DE9">
            <w:pPr>
              <w:pStyle w:val="P68B1DB1-Normal45"/>
              <w:spacing w:after="0" w:line="240" w:lineRule="auto"/>
              <w:rPr>
                <w:noProof/>
              </w:rPr>
            </w:pPr>
            <w:r>
              <w:rPr>
                <w:noProof/>
              </w:rPr>
              <w:t>C31.I5</w:t>
            </w:r>
          </w:p>
        </w:tc>
        <w:tc>
          <w:tcPr>
            <w:tcW w:w="2268" w:type="dxa"/>
            <w:tcBorders>
              <w:top w:val="single" w:sz="4" w:space="0" w:color="auto"/>
              <w:left w:val="nil"/>
              <w:bottom w:val="single" w:sz="4" w:space="0" w:color="auto"/>
              <w:right w:val="single" w:sz="4" w:space="0" w:color="auto"/>
            </w:tcBorders>
            <w:shd w:val="clear" w:color="auto" w:fill="C6EFCE"/>
            <w:noWrap/>
          </w:tcPr>
          <w:p w14:paraId="37786958"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16E2A64" w14:textId="77777777" w:rsidR="00011DE9" w:rsidRDefault="00011DE9">
            <w:pPr>
              <w:pStyle w:val="P68B1DB1-Normal45"/>
              <w:spacing w:after="0" w:line="240" w:lineRule="auto"/>
              <w:rPr>
                <w:noProof/>
              </w:rPr>
            </w:pPr>
            <w:r>
              <w:rPr>
                <w:noProof/>
              </w:rPr>
              <w:t>Proiecte de decarbonizare</w:t>
            </w:r>
          </w:p>
        </w:tc>
      </w:tr>
      <w:tr w:rsidR="00011DE9" w14:paraId="4BA6EB3D"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B1CB8D9" w14:textId="77777777" w:rsidR="00011DE9" w:rsidRDefault="00011DE9">
            <w:pPr>
              <w:pStyle w:val="P68B1DB1-Normal45"/>
              <w:spacing w:after="0" w:line="240" w:lineRule="auto"/>
              <w:jc w:val="center"/>
              <w:rPr>
                <w:noProof/>
              </w:rPr>
            </w:pPr>
            <w:r>
              <w:rPr>
                <w:noProof/>
              </w:rPr>
              <w:t>496</w:t>
            </w:r>
          </w:p>
        </w:tc>
        <w:tc>
          <w:tcPr>
            <w:tcW w:w="1985" w:type="dxa"/>
            <w:tcBorders>
              <w:top w:val="single" w:sz="4" w:space="0" w:color="auto"/>
              <w:left w:val="nil"/>
              <w:bottom w:val="single" w:sz="4" w:space="0" w:color="auto"/>
              <w:right w:val="single" w:sz="4" w:space="0" w:color="auto"/>
            </w:tcBorders>
            <w:shd w:val="clear" w:color="auto" w:fill="C6EFCE"/>
            <w:noWrap/>
          </w:tcPr>
          <w:p w14:paraId="17EC61AF" w14:textId="77777777" w:rsidR="00011DE9" w:rsidRDefault="00011DE9">
            <w:pPr>
              <w:pStyle w:val="P68B1DB1-Normal45"/>
              <w:spacing w:after="0" w:line="240" w:lineRule="auto"/>
              <w:rPr>
                <w:noProof/>
              </w:rPr>
            </w:pPr>
            <w:r>
              <w:rPr>
                <w:noProof/>
              </w:rPr>
              <w:t>C31.I6</w:t>
            </w:r>
          </w:p>
        </w:tc>
        <w:tc>
          <w:tcPr>
            <w:tcW w:w="2268" w:type="dxa"/>
            <w:tcBorders>
              <w:top w:val="single" w:sz="4" w:space="0" w:color="auto"/>
              <w:left w:val="nil"/>
              <w:bottom w:val="single" w:sz="4" w:space="0" w:color="auto"/>
              <w:right w:val="single" w:sz="4" w:space="0" w:color="auto"/>
            </w:tcBorders>
            <w:shd w:val="clear" w:color="auto" w:fill="C6EFCE"/>
            <w:noWrap/>
          </w:tcPr>
          <w:p w14:paraId="626C2BFF"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AE0C308" w14:textId="77777777" w:rsidR="00011DE9" w:rsidRDefault="00011DE9">
            <w:pPr>
              <w:pStyle w:val="P68B1DB1-Normal45"/>
              <w:spacing w:after="0" w:line="240" w:lineRule="auto"/>
              <w:rPr>
                <w:noProof/>
              </w:rPr>
            </w:pPr>
            <w:r>
              <w:rPr>
                <w:noProof/>
              </w:rPr>
              <w:t>Schema de subvenții pentru decarbonizarea industrială: Ministerul a finalizat acordurile de investiții și acordurile juridice semnate cu beneficiarii finali sau rezoluțiile finale de atribuire publicate</w:t>
            </w:r>
          </w:p>
        </w:tc>
      </w:tr>
      <w:tr w:rsidR="00011DE9" w14:paraId="0F820AD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D9B5B33" w14:textId="77777777" w:rsidR="00011DE9" w:rsidRDefault="00011DE9">
            <w:pPr>
              <w:pStyle w:val="P68B1DB1-Normal45"/>
              <w:spacing w:after="0" w:line="240" w:lineRule="auto"/>
              <w:jc w:val="center"/>
              <w:rPr>
                <w:noProof/>
              </w:rPr>
            </w:pPr>
            <w:r>
              <w:rPr>
                <w:noProof/>
              </w:rPr>
              <w:t>506</w:t>
            </w:r>
          </w:p>
        </w:tc>
        <w:tc>
          <w:tcPr>
            <w:tcW w:w="1985" w:type="dxa"/>
            <w:tcBorders>
              <w:top w:val="single" w:sz="4" w:space="0" w:color="auto"/>
              <w:left w:val="nil"/>
              <w:bottom w:val="single" w:sz="4" w:space="0" w:color="auto"/>
              <w:right w:val="single" w:sz="4" w:space="0" w:color="auto"/>
            </w:tcBorders>
            <w:shd w:val="clear" w:color="auto" w:fill="C6EFCE"/>
            <w:noWrap/>
          </w:tcPr>
          <w:p w14:paraId="2C069DC7" w14:textId="77777777" w:rsidR="00011DE9" w:rsidRDefault="00011DE9">
            <w:pPr>
              <w:pStyle w:val="P68B1DB1-Normal45"/>
              <w:spacing w:after="0" w:line="240" w:lineRule="auto"/>
              <w:rPr>
                <w:noProof/>
              </w:rPr>
            </w:pPr>
            <w:r>
              <w:rPr>
                <w:noProof/>
              </w:rPr>
              <w:t>C31.I9</w:t>
            </w:r>
          </w:p>
        </w:tc>
        <w:tc>
          <w:tcPr>
            <w:tcW w:w="2268" w:type="dxa"/>
            <w:tcBorders>
              <w:top w:val="single" w:sz="4" w:space="0" w:color="auto"/>
              <w:left w:val="nil"/>
              <w:bottom w:val="single" w:sz="4" w:space="0" w:color="auto"/>
              <w:right w:val="single" w:sz="4" w:space="0" w:color="auto"/>
            </w:tcBorders>
            <w:shd w:val="clear" w:color="auto" w:fill="C6EFCE"/>
            <w:noWrap/>
          </w:tcPr>
          <w:p w14:paraId="14DFA480"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2B687BB" w14:textId="77777777" w:rsidR="00011DE9" w:rsidRDefault="00011DE9">
            <w:pPr>
              <w:pStyle w:val="P68B1DB1-Normal45"/>
              <w:spacing w:after="0" w:line="240" w:lineRule="auto"/>
              <w:rPr>
                <w:noProof/>
              </w:rPr>
            </w:pPr>
            <w:r>
              <w:rPr>
                <w:noProof/>
              </w:rPr>
              <w:t>Schemă de sprijinire a tranziției verzi: Instituirea sistemului</w:t>
            </w:r>
          </w:p>
        </w:tc>
      </w:tr>
      <w:tr w:rsidR="00011DE9" w14:paraId="0497925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AE6C841" w14:textId="77777777" w:rsidR="00011DE9" w:rsidRDefault="00011DE9">
            <w:pPr>
              <w:pStyle w:val="P68B1DB1-Normal45"/>
              <w:spacing w:after="0" w:line="240" w:lineRule="auto"/>
              <w:jc w:val="center"/>
              <w:rPr>
                <w:noProof/>
              </w:rPr>
            </w:pPr>
            <w:r>
              <w:rPr>
                <w:noProof/>
              </w:rPr>
              <w:t>507</w:t>
            </w:r>
          </w:p>
        </w:tc>
        <w:tc>
          <w:tcPr>
            <w:tcW w:w="1985" w:type="dxa"/>
            <w:tcBorders>
              <w:top w:val="single" w:sz="4" w:space="0" w:color="auto"/>
              <w:left w:val="nil"/>
              <w:bottom w:val="single" w:sz="4" w:space="0" w:color="auto"/>
              <w:right w:val="single" w:sz="4" w:space="0" w:color="auto"/>
            </w:tcBorders>
            <w:shd w:val="clear" w:color="auto" w:fill="C6EFCE"/>
            <w:noWrap/>
          </w:tcPr>
          <w:p w14:paraId="529D198A" w14:textId="77777777" w:rsidR="00011DE9" w:rsidRDefault="00011DE9">
            <w:pPr>
              <w:pStyle w:val="P68B1DB1-Normal45"/>
              <w:spacing w:after="0" w:line="240" w:lineRule="auto"/>
              <w:rPr>
                <w:noProof/>
              </w:rPr>
            </w:pPr>
            <w:r>
              <w:rPr>
                <w:noProof/>
              </w:rPr>
              <w:t>C31.I9</w:t>
            </w:r>
          </w:p>
        </w:tc>
        <w:tc>
          <w:tcPr>
            <w:tcW w:w="2268" w:type="dxa"/>
            <w:tcBorders>
              <w:top w:val="single" w:sz="4" w:space="0" w:color="auto"/>
              <w:left w:val="nil"/>
              <w:bottom w:val="single" w:sz="4" w:space="0" w:color="auto"/>
              <w:right w:val="single" w:sz="4" w:space="0" w:color="auto"/>
            </w:tcBorders>
            <w:shd w:val="clear" w:color="auto" w:fill="C6EFCE"/>
            <w:noWrap/>
          </w:tcPr>
          <w:p w14:paraId="6FE99840"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F82B646" w14:textId="77777777" w:rsidR="00011DE9" w:rsidRDefault="00011DE9">
            <w:pPr>
              <w:pStyle w:val="P68B1DB1-Normal45"/>
              <w:spacing w:after="0" w:line="240" w:lineRule="auto"/>
              <w:rPr>
                <w:noProof/>
              </w:rPr>
            </w:pPr>
            <w:r>
              <w:rPr>
                <w:noProof/>
              </w:rPr>
              <w:t>Schemă de sprijinire a tranziției verzi: Ministerul a finalizat acordurile de investiții și acordurile juridice semnate cu beneficiarii finali sau rezoluțiile finale de atribuire publicate</w:t>
            </w:r>
          </w:p>
        </w:tc>
      </w:tr>
      <w:tr w:rsidR="00011DE9" w14:paraId="533670F3"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5D5F7A2" w14:textId="77777777" w:rsidR="00011DE9" w:rsidRDefault="00011DE9">
            <w:pPr>
              <w:pStyle w:val="P68B1DB1-Normal45"/>
              <w:spacing w:after="0" w:line="240" w:lineRule="auto"/>
              <w:jc w:val="center"/>
              <w:rPr>
                <w:noProof/>
              </w:rPr>
            </w:pPr>
            <w:r>
              <w:rPr>
                <w:noProof/>
              </w:rPr>
              <w:t>498</w:t>
            </w:r>
          </w:p>
        </w:tc>
        <w:tc>
          <w:tcPr>
            <w:tcW w:w="1985" w:type="dxa"/>
            <w:tcBorders>
              <w:top w:val="single" w:sz="4" w:space="0" w:color="auto"/>
              <w:left w:val="nil"/>
              <w:bottom w:val="single" w:sz="4" w:space="0" w:color="auto"/>
              <w:right w:val="single" w:sz="4" w:space="0" w:color="auto"/>
            </w:tcBorders>
            <w:shd w:val="clear" w:color="auto" w:fill="C6EFCE"/>
            <w:noWrap/>
          </w:tcPr>
          <w:p w14:paraId="3C89EE80" w14:textId="77777777" w:rsidR="00011DE9" w:rsidRDefault="00011DE9">
            <w:pPr>
              <w:pStyle w:val="P68B1DB1-Normal45"/>
              <w:spacing w:after="0" w:line="240" w:lineRule="auto"/>
              <w:rPr>
                <w:noProof/>
              </w:rPr>
            </w:pPr>
            <w:r>
              <w:rPr>
                <w:noProof/>
              </w:rPr>
              <w:t>C32.I1</w:t>
            </w:r>
          </w:p>
        </w:tc>
        <w:tc>
          <w:tcPr>
            <w:tcW w:w="2268" w:type="dxa"/>
            <w:tcBorders>
              <w:top w:val="single" w:sz="4" w:space="0" w:color="auto"/>
              <w:left w:val="nil"/>
              <w:bottom w:val="single" w:sz="4" w:space="0" w:color="auto"/>
              <w:right w:val="single" w:sz="4" w:space="0" w:color="auto"/>
            </w:tcBorders>
            <w:shd w:val="clear" w:color="auto" w:fill="C6EFCE"/>
            <w:noWrap/>
          </w:tcPr>
          <w:p w14:paraId="128F6684"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25C8A68" w14:textId="77777777" w:rsidR="00011DE9" w:rsidRDefault="00011DE9">
            <w:pPr>
              <w:pStyle w:val="P68B1DB1-Normal45"/>
              <w:spacing w:after="0" w:line="240" w:lineRule="auto"/>
              <w:rPr>
                <w:noProof/>
              </w:rPr>
            </w:pPr>
            <w:r>
              <w:rPr>
                <w:noProof/>
              </w:rPr>
              <w:t>Infrastructură și servicii feroviare</w:t>
            </w:r>
          </w:p>
        </w:tc>
      </w:tr>
      <w:tr w:rsidR="00011DE9" w14:paraId="04B99613"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A980AD1" w14:textId="77777777" w:rsidR="00011DE9" w:rsidRDefault="00011DE9">
            <w:pPr>
              <w:pStyle w:val="P68B1DB1-Normal45"/>
              <w:spacing w:after="0" w:line="240" w:lineRule="auto"/>
              <w:jc w:val="center"/>
              <w:rPr>
                <w:noProof/>
              </w:rPr>
            </w:pPr>
            <w:r>
              <w:rPr>
                <w:noProof/>
              </w:rPr>
              <w:t>499</w:t>
            </w:r>
          </w:p>
        </w:tc>
        <w:tc>
          <w:tcPr>
            <w:tcW w:w="1985" w:type="dxa"/>
            <w:tcBorders>
              <w:top w:val="single" w:sz="4" w:space="0" w:color="auto"/>
              <w:left w:val="nil"/>
              <w:bottom w:val="single" w:sz="4" w:space="0" w:color="auto"/>
              <w:right w:val="single" w:sz="4" w:space="0" w:color="auto"/>
            </w:tcBorders>
            <w:shd w:val="clear" w:color="auto" w:fill="C6EFCE"/>
            <w:noWrap/>
          </w:tcPr>
          <w:p w14:paraId="65E3ED62" w14:textId="77777777" w:rsidR="00011DE9" w:rsidRDefault="00011DE9">
            <w:pPr>
              <w:pStyle w:val="P68B1DB1-Normal45"/>
              <w:spacing w:after="0" w:line="240" w:lineRule="auto"/>
              <w:rPr>
                <w:noProof/>
              </w:rPr>
            </w:pPr>
            <w:r>
              <w:rPr>
                <w:noProof/>
              </w:rPr>
              <w:t>C32.I1</w:t>
            </w:r>
          </w:p>
        </w:tc>
        <w:tc>
          <w:tcPr>
            <w:tcW w:w="2268" w:type="dxa"/>
            <w:tcBorders>
              <w:top w:val="single" w:sz="4" w:space="0" w:color="auto"/>
              <w:left w:val="nil"/>
              <w:bottom w:val="single" w:sz="4" w:space="0" w:color="auto"/>
              <w:right w:val="single" w:sz="4" w:space="0" w:color="auto"/>
            </w:tcBorders>
            <w:shd w:val="clear" w:color="auto" w:fill="C6EFCE"/>
            <w:noWrap/>
          </w:tcPr>
          <w:p w14:paraId="7416B34C"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5E95DA0" w14:textId="77777777" w:rsidR="00011DE9" w:rsidRDefault="00011DE9">
            <w:pPr>
              <w:pStyle w:val="P68B1DB1-Normal45"/>
              <w:spacing w:after="0" w:line="240" w:lineRule="auto"/>
              <w:rPr>
                <w:noProof/>
              </w:rPr>
            </w:pPr>
            <w:r>
              <w:rPr>
                <w:noProof/>
              </w:rPr>
              <w:t>Publicarea rezoluțiilor privind granturile pentru achiziționarea a 5 600 de vehicule în cadrul „Sección Etiqueta Cero” din Programa Reinicia Auto +.</w:t>
            </w:r>
          </w:p>
        </w:tc>
      </w:tr>
      <w:tr w:rsidR="00011DE9" w14:paraId="6E999E47"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EBF0D4C" w14:textId="77777777" w:rsidR="00011DE9" w:rsidRDefault="00011DE9">
            <w:pPr>
              <w:pStyle w:val="P68B1DB1-Normal45"/>
              <w:spacing w:after="0" w:line="240" w:lineRule="auto"/>
              <w:jc w:val="center"/>
              <w:rPr>
                <w:noProof/>
              </w:rPr>
            </w:pPr>
            <w:r>
              <w:rPr>
                <w:noProof/>
              </w:rPr>
              <w:t>500</w:t>
            </w:r>
          </w:p>
        </w:tc>
        <w:tc>
          <w:tcPr>
            <w:tcW w:w="1985" w:type="dxa"/>
            <w:tcBorders>
              <w:top w:val="single" w:sz="4" w:space="0" w:color="auto"/>
              <w:left w:val="nil"/>
              <w:bottom w:val="single" w:sz="4" w:space="0" w:color="auto"/>
              <w:right w:val="single" w:sz="4" w:space="0" w:color="auto"/>
            </w:tcBorders>
            <w:shd w:val="clear" w:color="auto" w:fill="C6EFCE"/>
            <w:noWrap/>
          </w:tcPr>
          <w:p w14:paraId="626E17DD" w14:textId="77777777" w:rsidR="00011DE9" w:rsidRDefault="00011DE9">
            <w:pPr>
              <w:pStyle w:val="P68B1DB1-Normal45"/>
              <w:spacing w:after="0" w:line="240" w:lineRule="auto"/>
              <w:rPr>
                <w:noProof/>
              </w:rPr>
            </w:pPr>
            <w:r>
              <w:rPr>
                <w:noProof/>
              </w:rPr>
              <w:t>C32.I2</w:t>
            </w:r>
          </w:p>
        </w:tc>
        <w:tc>
          <w:tcPr>
            <w:tcW w:w="2268" w:type="dxa"/>
            <w:tcBorders>
              <w:top w:val="single" w:sz="4" w:space="0" w:color="auto"/>
              <w:left w:val="nil"/>
              <w:bottom w:val="single" w:sz="4" w:space="0" w:color="auto"/>
              <w:right w:val="single" w:sz="4" w:space="0" w:color="auto"/>
            </w:tcBorders>
            <w:shd w:val="clear" w:color="auto" w:fill="C6EFCE"/>
            <w:noWrap/>
          </w:tcPr>
          <w:p w14:paraId="349671C5"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A976F68" w14:textId="77777777" w:rsidR="00011DE9" w:rsidRDefault="00011DE9">
            <w:pPr>
              <w:pStyle w:val="P68B1DB1-Normal45"/>
              <w:spacing w:after="0" w:line="240" w:lineRule="auto"/>
              <w:rPr>
                <w:noProof/>
              </w:rPr>
            </w:pPr>
            <w:r>
              <w:rPr>
                <w:noProof/>
              </w:rPr>
              <w:t>Refacerea apei și a mediului</w:t>
            </w:r>
          </w:p>
        </w:tc>
      </w:tr>
      <w:tr w:rsidR="00011DE9" w14:paraId="2D4374C9"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659FE29" w14:textId="77777777" w:rsidR="00011DE9" w:rsidRDefault="00011DE9">
            <w:pPr>
              <w:pStyle w:val="P68B1DB1-Normal45"/>
              <w:spacing w:after="0" w:line="240" w:lineRule="auto"/>
              <w:jc w:val="center"/>
              <w:rPr>
                <w:noProof/>
              </w:rPr>
            </w:pPr>
            <w:r>
              <w:rPr>
                <w:noProof/>
              </w:rPr>
              <w:t>501</w:t>
            </w:r>
          </w:p>
        </w:tc>
        <w:tc>
          <w:tcPr>
            <w:tcW w:w="1985" w:type="dxa"/>
            <w:tcBorders>
              <w:top w:val="single" w:sz="4" w:space="0" w:color="auto"/>
              <w:left w:val="nil"/>
              <w:bottom w:val="single" w:sz="4" w:space="0" w:color="auto"/>
              <w:right w:val="single" w:sz="4" w:space="0" w:color="auto"/>
            </w:tcBorders>
            <w:shd w:val="clear" w:color="auto" w:fill="C6EFCE"/>
            <w:noWrap/>
          </w:tcPr>
          <w:p w14:paraId="157821D2" w14:textId="77777777" w:rsidR="00011DE9" w:rsidRDefault="00011DE9">
            <w:pPr>
              <w:pStyle w:val="P68B1DB1-Normal45"/>
              <w:spacing w:after="0" w:line="240" w:lineRule="auto"/>
              <w:rPr>
                <w:noProof/>
              </w:rPr>
            </w:pPr>
            <w:r>
              <w:rPr>
                <w:noProof/>
              </w:rPr>
              <w:t>C32.I2</w:t>
            </w:r>
          </w:p>
        </w:tc>
        <w:tc>
          <w:tcPr>
            <w:tcW w:w="2268" w:type="dxa"/>
            <w:tcBorders>
              <w:top w:val="single" w:sz="4" w:space="0" w:color="auto"/>
              <w:left w:val="nil"/>
              <w:bottom w:val="single" w:sz="4" w:space="0" w:color="auto"/>
              <w:right w:val="single" w:sz="4" w:space="0" w:color="auto"/>
            </w:tcBorders>
            <w:shd w:val="clear" w:color="auto" w:fill="C6EFCE"/>
            <w:noWrap/>
          </w:tcPr>
          <w:p w14:paraId="3CB62E3C"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4188F6F" w14:textId="77777777" w:rsidR="00011DE9" w:rsidRDefault="00011DE9">
            <w:pPr>
              <w:pStyle w:val="P68B1DB1-Normal45"/>
              <w:spacing w:after="0" w:line="240" w:lineRule="auto"/>
              <w:rPr>
                <w:noProof/>
              </w:rPr>
            </w:pPr>
            <w:r>
              <w:rPr>
                <w:noProof/>
              </w:rPr>
              <w:t>Restaurarea agriculturii</w:t>
            </w:r>
          </w:p>
        </w:tc>
      </w:tr>
      <w:tr w:rsidR="00011DE9" w14:paraId="38EE510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FE4063C" w14:textId="77777777" w:rsidR="00011DE9" w:rsidRDefault="00011DE9">
            <w:pPr>
              <w:pStyle w:val="P68B1DB1-Normal45"/>
              <w:spacing w:after="0" w:line="240" w:lineRule="auto"/>
              <w:jc w:val="center"/>
              <w:rPr>
                <w:noProof/>
              </w:rPr>
            </w:pPr>
            <w:r>
              <w:rPr>
                <w:noProof/>
              </w:rPr>
              <w:t>502</w:t>
            </w:r>
          </w:p>
        </w:tc>
        <w:tc>
          <w:tcPr>
            <w:tcW w:w="1985" w:type="dxa"/>
            <w:tcBorders>
              <w:top w:val="single" w:sz="4" w:space="0" w:color="auto"/>
              <w:left w:val="nil"/>
              <w:bottom w:val="single" w:sz="4" w:space="0" w:color="auto"/>
              <w:right w:val="single" w:sz="4" w:space="0" w:color="auto"/>
            </w:tcBorders>
            <w:shd w:val="clear" w:color="auto" w:fill="C6EFCE"/>
            <w:noWrap/>
          </w:tcPr>
          <w:p w14:paraId="39CFDCA7" w14:textId="77777777" w:rsidR="00011DE9" w:rsidRDefault="00011DE9">
            <w:pPr>
              <w:pStyle w:val="P68B1DB1-Normal45"/>
              <w:spacing w:after="0" w:line="240" w:lineRule="auto"/>
              <w:rPr>
                <w:noProof/>
              </w:rPr>
            </w:pPr>
            <w:r>
              <w:rPr>
                <w:noProof/>
              </w:rPr>
              <w:t>C32.I3</w:t>
            </w:r>
          </w:p>
        </w:tc>
        <w:tc>
          <w:tcPr>
            <w:tcW w:w="2268" w:type="dxa"/>
            <w:tcBorders>
              <w:top w:val="single" w:sz="4" w:space="0" w:color="auto"/>
              <w:left w:val="nil"/>
              <w:bottom w:val="single" w:sz="4" w:space="0" w:color="auto"/>
              <w:right w:val="single" w:sz="4" w:space="0" w:color="auto"/>
            </w:tcBorders>
            <w:shd w:val="clear" w:color="auto" w:fill="C6EFCE"/>
            <w:noWrap/>
          </w:tcPr>
          <w:p w14:paraId="7650B6A0" w14:textId="77777777" w:rsidR="00011DE9" w:rsidRDefault="00011DE9">
            <w:pPr>
              <w:pStyle w:val="P68B1DB1-Normal45"/>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117B0EAA" w14:textId="77777777" w:rsidR="00011DE9" w:rsidRDefault="00011DE9">
            <w:pPr>
              <w:pStyle w:val="P68B1DB1-Normal45"/>
              <w:spacing w:after="0" w:line="240" w:lineRule="auto"/>
              <w:rPr>
                <w:noProof/>
              </w:rPr>
            </w:pPr>
            <w:r>
              <w:rPr>
                <w:noProof/>
              </w:rPr>
              <w:t>Contracte de muncă pentru zonele afectate de DANA.</w:t>
            </w:r>
          </w:p>
        </w:tc>
      </w:tr>
      <w:tr w:rsidR="00011DE9" w14:paraId="03985A57"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9A70EAD" w14:textId="77777777" w:rsidR="00011DE9" w:rsidRDefault="00011DE9">
            <w:pPr>
              <w:pStyle w:val="P68B1DB1-Normal45"/>
              <w:spacing w:after="0" w:line="240" w:lineRule="auto"/>
              <w:jc w:val="center"/>
              <w:rPr>
                <w:noProof/>
              </w:rPr>
            </w:pPr>
            <w:r>
              <w:rPr>
                <w:noProof/>
              </w:rPr>
              <w:t>503</w:t>
            </w:r>
          </w:p>
        </w:tc>
        <w:tc>
          <w:tcPr>
            <w:tcW w:w="1985" w:type="dxa"/>
            <w:tcBorders>
              <w:top w:val="single" w:sz="4" w:space="0" w:color="auto"/>
              <w:left w:val="nil"/>
              <w:bottom w:val="single" w:sz="4" w:space="0" w:color="auto"/>
              <w:right w:val="single" w:sz="4" w:space="0" w:color="auto"/>
            </w:tcBorders>
            <w:shd w:val="clear" w:color="auto" w:fill="C6EFCE"/>
            <w:noWrap/>
          </w:tcPr>
          <w:p w14:paraId="08EABEDE" w14:textId="77777777" w:rsidR="00011DE9" w:rsidRDefault="00011DE9">
            <w:pPr>
              <w:pStyle w:val="P68B1DB1-Normal45"/>
              <w:spacing w:after="0" w:line="240" w:lineRule="auto"/>
              <w:rPr>
                <w:noProof/>
              </w:rPr>
            </w:pPr>
            <w:r>
              <w:rPr>
                <w:noProof/>
              </w:rPr>
              <w:t>C32.I4</w:t>
            </w:r>
          </w:p>
        </w:tc>
        <w:tc>
          <w:tcPr>
            <w:tcW w:w="2268" w:type="dxa"/>
            <w:tcBorders>
              <w:top w:val="single" w:sz="4" w:space="0" w:color="auto"/>
              <w:left w:val="nil"/>
              <w:bottom w:val="single" w:sz="4" w:space="0" w:color="auto"/>
              <w:right w:val="single" w:sz="4" w:space="0" w:color="auto"/>
            </w:tcBorders>
            <w:shd w:val="clear" w:color="auto" w:fill="C6EFCE"/>
            <w:noWrap/>
          </w:tcPr>
          <w:p w14:paraId="30A91115"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1012293" w14:textId="77777777" w:rsidR="00011DE9" w:rsidRDefault="00011DE9">
            <w:pPr>
              <w:pStyle w:val="P68B1DB1-Normal45"/>
              <w:spacing w:after="0" w:line="240" w:lineRule="auto"/>
              <w:rPr>
                <w:noProof/>
              </w:rPr>
            </w:pPr>
            <w:r>
              <w:rPr>
                <w:noProof/>
              </w:rPr>
              <w:t>Semnarea unui acord cu ESA și contribuția voluntară</w:t>
            </w:r>
          </w:p>
        </w:tc>
      </w:tr>
      <w:tr w:rsidR="00011DE9" w14:paraId="5CB6CBB9"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6CE7587" w14:textId="77777777" w:rsidR="00011DE9" w:rsidRDefault="00011DE9">
            <w:pPr>
              <w:pStyle w:val="P68B1DB1-Normal45"/>
              <w:spacing w:after="0" w:line="240" w:lineRule="auto"/>
              <w:jc w:val="center"/>
              <w:rPr>
                <w:noProof/>
              </w:rPr>
            </w:pPr>
            <w:r>
              <w:rPr>
                <w:noProof/>
              </w:rPr>
              <w:t>504</w:t>
            </w:r>
          </w:p>
        </w:tc>
        <w:tc>
          <w:tcPr>
            <w:tcW w:w="1985" w:type="dxa"/>
            <w:tcBorders>
              <w:top w:val="single" w:sz="4" w:space="0" w:color="auto"/>
              <w:left w:val="nil"/>
              <w:bottom w:val="single" w:sz="4" w:space="0" w:color="auto"/>
              <w:right w:val="single" w:sz="4" w:space="0" w:color="auto"/>
            </w:tcBorders>
            <w:shd w:val="clear" w:color="auto" w:fill="C6EFCE"/>
            <w:noWrap/>
          </w:tcPr>
          <w:p w14:paraId="397F7F2E" w14:textId="77777777" w:rsidR="00011DE9" w:rsidRDefault="00011DE9">
            <w:pPr>
              <w:pStyle w:val="P68B1DB1-Normal45"/>
              <w:spacing w:after="0" w:line="240" w:lineRule="auto"/>
              <w:rPr>
                <w:noProof/>
              </w:rPr>
            </w:pPr>
            <w:r>
              <w:rPr>
                <w:noProof/>
              </w:rPr>
              <w:t>C32.I5</w:t>
            </w:r>
          </w:p>
        </w:tc>
        <w:tc>
          <w:tcPr>
            <w:tcW w:w="2268" w:type="dxa"/>
            <w:tcBorders>
              <w:top w:val="single" w:sz="4" w:space="0" w:color="auto"/>
              <w:left w:val="nil"/>
              <w:bottom w:val="single" w:sz="4" w:space="0" w:color="auto"/>
              <w:right w:val="single" w:sz="4" w:space="0" w:color="auto"/>
            </w:tcBorders>
            <w:shd w:val="clear" w:color="auto" w:fill="C6EFCE"/>
            <w:noWrap/>
          </w:tcPr>
          <w:p w14:paraId="6B3ED7F5"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4EFC072" w14:textId="77777777" w:rsidR="00011DE9" w:rsidRDefault="00011DE9">
            <w:pPr>
              <w:pStyle w:val="P68B1DB1-Normal45"/>
              <w:spacing w:after="0" w:line="240" w:lineRule="auto"/>
              <w:rPr>
                <w:noProof/>
              </w:rPr>
            </w:pPr>
            <w:r>
              <w:rPr>
                <w:noProof/>
              </w:rPr>
              <w:t>Raport ex post privind punerea în aplicare a programelor „ICEX-DANA” și „ICEX-Aranceles”</w:t>
            </w:r>
          </w:p>
        </w:tc>
      </w:tr>
      <w:tr w:rsidR="00011DE9" w14:paraId="606FAA8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BB27124" w14:textId="77777777" w:rsidR="00011DE9" w:rsidRDefault="00011DE9">
            <w:pPr>
              <w:pStyle w:val="P68B1DB1-Normal45"/>
              <w:spacing w:after="0" w:line="240" w:lineRule="auto"/>
              <w:jc w:val="center"/>
              <w:rPr>
                <w:noProof/>
              </w:rPr>
            </w:pPr>
            <w:r>
              <w:rPr>
                <w:noProof/>
              </w:rPr>
              <w:t>505</w:t>
            </w:r>
          </w:p>
        </w:tc>
        <w:tc>
          <w:tcPr>
            <w:tcW w:w="1985" w:type="dxa"/>
            <w:tcBorders>
              <w:top w:val="single" w:sz="4" w:space="0" w:color="auto"/>
              <w:left w:val="nil"/>
              <w:bottom w:val="single" w:sz="4" w:space="0" w:color="auto"/>
              <w:right w:val="single" w:sz="4" w:space="0" w:color="auto"/>
            </w:tcBorders>
            <w:shd w:val="clear" w:color="auto" w:fill="C6EFCE"/>
            <w:noWrap/>
          </w:tcPr>
          <w:p w14:paraId="37AB525D" w14:textId="77777777" w:rsidR="00011DE9" w:rsidRDefault="00011DE9">
            <w:pPr>
              <w:pStyle w:val="P68B1DB1-Normal45"/>
              <w:spacing w:after="0" w:line="240" w:lineRule="auto"/>
              <w:rPr>
                <w:noProof/>
              </w:rPr>
            </w:pPr>
            <w:r>
              <w:rPr>
                <w:noProof/>
              </w:rPr>
              <w:t>C32.I6</w:t>
            </w:r>
          </w:p>
        </w:tc>
        <w:tc>
          <w:tcPr>
            <w:tcW w:w="2268" w:type="dxa"/>
            <w:tcBorders>
              <w:top w:val="single" w:sz="4" w:space="0" w:color="auto"/>
              <w:left w:val="nil"/>
              <w:bottom w:val="single" w:sz="4" w:space="0" w:color="auto"/>
              <w:right w:val="single" w:sz="4" w:space="0" w:color="auto"/>
            </w:tcBorders>
            <w:shd w:val="clear" w:color="auto" w:fill="C6EFCE"/>
            <w:noWrap/>
          </w:tcPr>
          <w:p w14:paraId="42837CFF" w14:textId="77777777" w:rsidR="00011DE9" w:rsidRDefault="00011DE9">
            <w:pPr>
              <w:pStyle w:val="P68B1DB1-Normal45"/>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95F19DA" w14:textId="77777777" w:rsidR="00011DE9" w:rsidRDefault="00011DE9">
            <w:pPr>
              <w:pStyle w:val="P68B1DB1-Normal45"/>
              <w:spacing w:after="0" w:line="240" w:lineRule="auto"/>
              <w:rPr>
                <w:noProof/>
              </w:rPr>
            </w:pPr>
            <w:r>
              <w:rPr>
                <w:noProof/>
              </w:rPr>
              <w:t>Schema ICO de sprijinire a întreprinderilor afectate de schimbarea mediului tarifar mondial</w:t>
            </w:r>
          </w:p>
        </w:tc>
      </w:tr>
      <w:tr w:rsidR="00011DE9" w14:paraId="4CCBAAC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6ED807E" w14:textId="77777777" w:rsidR="00011DE9" w:rsidRDefault="00011DE9">
            <w:pPr>
              <w:spacing w:after="0" w:line="240" w:lineRule="auto"/>
              <w:jc w:val="center"/>
              <w:rPr>
                <w:rFonts w:ascii="Times New Roman" w:eastAsia="Times New Roman" w:hAnsi="Times New Roman" w:cs="Times New Roman"/>
                <w:noProof/>
                <w:sz w:val="20"/>
                <w:szCs w:val="20"/>
              </w:rPr>
            </w:pPr>
          </w:p>
        </w:tc>
        <w:tc>
          <w:tcPr>
            <w:tcW w:w="1985" w:type="dxa"/>
            <w:tcBorders>
              <w:top w:val="single" w:sz="4" w:space="0" w:color="auto"/>
              <w:left w:val="nil"/>
              <w:bottom w:val="single" w:sz="4" w:space="0" w:color="auto"/>
              <w:right w:val="single" w:sz="4" w:space="0" w:color="auto"/>
            </w:tcBorders>
            <w:shd w:val="clear" w:color="auto" w:fill="C6EFCE"/>
            <w:noWrap/>
            <w:vAlign w:val="bottom"/>
          </w:tcPr>
          <w:p w14:paraId="506722E3" w14:textId="77777777" w:rsidR="00011DE9" w:rsidRDefault="00011DE9">
            <w:pPr>
              <w:spacing w:after="0" w:line="240" w:lineRule="auto"/>
              <w:rPr>
                <w:rFonts w:ascii="Times New Roman" w:eastAsia="Times New Roman" w:hAnsi="Times New Roman" w:cs="Times New Roman"/>
                <w:noProof/>
                <w:sz w:val="20"/>
                <w:szCs w:val="20"/>
              </w:rPr>
            </w:pPr>
          </w:p>
        </w:tc>
        <w:tc>
          <w:tcPr>
            <w:tcW w:w="2268" w:type="dxa"/>
            <w:tcBorders>
              <w:top w:val="single" w:sz="4" w:space="0" w:color="auto"/>
              <w:left w:val="nil"/>
              <w:bottom w:val="single" w:sz="4" w:space="0" w:color="auto"/>
              <w:right w:val="single" w:sz="4" w:space="0" w:color="auto"/>
            </w:tcBorders>
            <w:shd w:val="clear" w:color="auto" w:fill="C6EFCE"/>
            <w:noWrap/>
            <w:vAlign w:val="bottom"/>
          </w:tcPr>
          <w:p w14:paraId="1FB23263" w14:textId="77777777" w:rsidR="00011DE9" w:rsidRDefault="00011DE9">
            <w:pPr>
              <w:pStyle w:val="P68B1DB1-Normal77"/>
              <w:spacing w:after="0" w:line="240" w:lineRule="auto"/>
              <w:rPr>
                <w:rFonts w:eastAsia="Times New Roman" w:cs="Times New Roman"/>
                <w:noProof/>
                <w:szCs w:val="20"/>
              </w:rPr>
            </w:pPr>
            <w:r>
              <w:rPr>
                <w:noProof/>
              </w:rPr>
              <w:t>Cuantumul tranșei</w:t>
            </w:r>
          </w:p>
        </w:tc>
        <w:tc>
          <w:tcPr>
            <w:tcW w:w="4110" w:type="dxa"/>
            <w:tcBorders>
              <w:top w:val="single" w:sz="4" w:space="0" w:color="auto"/>
              <w:left w:val="nil"/>
              <w:bottom w:val="single" w:sz="4" w:space="0" w:color="auto"/>
              <w:right w:val="single" w:sz="4" w:space="0" w:color="auto"/>
            </w:tcBorders>
            <w:shd w:val="clear" w:color="auto" w:fill="C6EFCE"/>
            <w:noWrap/>
            <w:vAlign w:val="bottom"/>
          </w:tcPr>
          <w:p w14:paraId="1243C43A" w14:textId="77777777" w:rsidR="00011DE9" w:rsidRDefault="00011DE9">
            <w:pPr>
              <w:pStyle w:val="P68B1DB1-Normal78"/>
              <w:spacing w:after="0" w:line="240" w:lineRule="auto"/>
              <w:rPr>
                <w:rFonts w:eastAsia="Times New Roman" w:cs="Times New Roman"/>
                <w:b/>
                <w:bCs/>
                <w:noProof/>
                <w:szCs w:val="20"/>
              </w:rPr>
            </w:pPr>
            <w:r>
              <w:rPr>
                <w:b/>
                <w:noProof/>
              </w:rPr>
              <w:t>20</w:t>
            </w:r>
            <w:r>
              <w:rPr>
                <w:noProof/>
              </w:rPr>
              <w:t xml:space="preserve"> 925 373 102 MIL. </w:t>
            </w:r>
          </w:p>
        </w:tc>
      </w:tr>
    </w:tbl>
    <w:p w14:paraId="3C62851B" w14:textId="77777777" w:rsidR="00011DE9" w:rsidRDefault="00011DE9">
      <w:pPr>
        <w:spacing w:before="120" w:after="120" w:line="240" w:lineRule="auto"/>
        <w:jc w:val="both"/>
        <w:rPr>
          <w:rFonts w:ascii="Times New Roman" w:eastAsia="Calibri" w:hAnsi="Times New Roman" w:cs="Times New Roman"/>
          <w:noProof/>
        </w:rPr>
      </w:pPr>
    </w:p>
    <w:p w14:paraId="2A99323A" w14:textId="77777777" w:rsidR="00011DE9" w:rsidRDefault="00011DE9">
      <w:pPr>
        <w:pStyle w:val="P68B1DB1-Normal74"/>
        <w:numPr>
          <w:ilvl w:val="0"/>
          <w:numId w:val="18"/>
        </w:numPr>
        <w:spacing w:before="120" w:after="120" w:line="240" w:lineRule="auto"/>
        <w:jc w:val="both"/>
        <w:rPr>
          <w:rFonts w:cs="Times New Roman"/>
          <w:noProof/>
        </w:rPr>
      </w:pPr>
      <w:r>
        <w:rPr>
          <w:noProof/>
        </w:rPr>
        <w:t xml:space="preserve">Împrumut </w:t>
      </w:r>
    </w:p>
    <w:p w14:paraId="5228B79B" w14:textId="77777777" w:rsidR="00011DE9" w:rsidRDefault="00011DE9">
      <w:pPr>
        <w:pStyle w:val="P68B1DB1-Normal16"/>
        <w:spacing w:before="120" w:after="120" w:line="240" w:lineRule="auto"/>
        <w:ind w:left="850"/>
        <w:jc w:val="both"/>
        <w:rPr>
          <w:rFonts w:cs="Times New Roman"/>
          <w:noProof/>
        </w:rPr>
      </w:pPr>
      <w:r>
        <w:rPr>
          <w:noProof/>
        </w:rPr>
        <w:t>Tranșele menționate la articolul 2a alineatul (2) se organizează după cum urmează:</w:t>
      </w:r>
    </w:p>
    <w:p w14:paraId="7F189BA8" w14:textId="77777777" w:rsidR="00011DE9" w:rsidRDefault="00011DE9">
      <w:pPr>
        <w:pStyle w:val="P68B1DB1-Normal16"/>
        <w:numPr>
          <w:ilvl w:val="1"/>
          <w:numId w:val="18"/>
        </w:numPr>
        <w:tabs>
          <w:tab w:val="clear" w:pos="6236"/>
          <w:tab w:val="num" w:pos="850"/>
        </w:tabs>
        <w:spacing w:before="120" w:after="120" w:line="240" w:lineRule="auto"/>
        <w:ind w:left="850"/>
        <w:jc w:val="both"/>
        <w:rPr>
          <w:rFonts w:cs="Times New Roman"/>
          <w:noProof/>
        </w:rPr>
      </w:pPr>
      <w:r>
        <w:rPr>
          <w:noProof/>
        </w:rPr>
        <w:t xml:space="preserve">Prima tranșă (sprijin sub formă de împrumut): </w:t>
      </w:r>
    </w:p>
    <w:tbl>
      <w:tblPr>
        <w:tblW w:w="9663" w:type="dxa"/>
        <w:tblInd w:w="113" w:type="dxa"/>
        <w:tblLook w:val="04A0" w:firstRow="1" w:lastRow="0" w:firstColumn="1" w:lastColumn="0" w:noHBand="0" w:noVBand="1"/>
      </w:tblPr>
      <w:tblGrid>
        <w:gridCol w:w="1300"/>
        <w:gridCol w:w="1443"/>
        <w:gridCol w:w="1296"/>
        <w:gridCol w:w="5670"/>
      </w:tblGrid>
      <w:tr w:rsidR="00011DE9" w14:paraId="2E54C2A8" w14:textId="77777777">
        <w:trPr>
          <w:trHeight w:val="1415"/>
        </w:trPr>
        <w:tc>
          <w:tcPr>
            <w:tcW w:w="130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E1880E0" w14:textId="77777777" w:rsidR="00011DE9" w:rsidRDefault="00011DE9">
            <w:pPr>
              <w:pStyle w:val="P68B1DB1-Normal77"/>
              <w:spacing w:after="0" w:line="240" w:lineRule="auto"/>
              <w:jc w:val="center"/>
              <w:rPr>
                <w:rFonts w:eastAsia="Times New Roman" w:cs="Times New Roman"/>
                <w:noProof/>
                <w:szCs w:val="20"/>
              </w:rPr>
            </w:pPr>
            <w:r>
              <w:rPr>
                <w:noProof/>
              </w:rPr>
              <w:t>Număr secvențial</w:t>
            </w:r>
          </w:p>
        </w:tc>
        <w:tc>
          <w:tcPr>
            <w:tcW w:w="1443"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D151387" w14:textId="77777777" w:rsidR="00011DE9" w:rsidRDefault="00011DE9">
            <w:pPr>
              <w:pStyle w:val="P68B1DB1-Normal77"/>
              <w:spacing w:after="0" w:line="240" w:lineRule="auto"/>
              <w:jc w:val="center"/>
              <w:rPr>
                <w:rFonts w:eastAsia="Times New Roman" w:cs="Times New Roman"/>
                <w:noProof/>
                <w:szCs w:val="20"/>
              </w:rPr>
            </w:pPr>
            <w:r>
              <w:rPr>
                <w:noProof/>
              </w:rPr>
              <w:t>Măsură conexă (reformă sau investiții)</w:t>
            </w:r>
          </w:p>
        </w:tc>
        <w:tc>
          <w:tcPr>
            <w:tcW w:w="125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C9AE926" w14:textId="77777777" w:rsidR="00011DE9" w:rsidRDefault="00011DE9">
            <w:pPr>
              <w:pStyle w:val="P68B1DB1-Normal77"/>
              <w:spacing w:after="0" w:line="240" w:lineRule="auto"/>
              <w:jc w:val="center"/>
              <w:rPr>
                <w:rFonts w:eastAsia="Times New Roman" w:cs="Times New Roman"/>
                <w:noProof/>
                <w:szCs w:val="20"/>
              </w:rPr>
            </w:pPr>
            <w:r>
              <w:rPr>
                <w:noProof/>
              </w:rPr>
              <w:t>Etapă/Obiectiv</w:t>
            </w:r>
          </w:p>
        </w:tc>
        <w:tc>
          <w:tcPr>
            <w:tcW w:w="5670" w:type="dxa"/>
            <w:tcBorders>
              <w:top w:val="single" w:sz="4" w:space="0" w:color="auto"/>
              <w:left w:val="nil"/>
              <w:bottom w:val="single" w:sz="4" w:space="0" w:color="000000" w:themeColor="text1"/>
              <w:right w:val="single" w:sz="4" w:space="0" w:color="auto"/>
            </w:tcBorders>
            <w:shd w:val="clear" w:color="auto" w:fill="BDD7EE"/>
            <w:vAlign w:val="center"/>
            <w:hideMark/>
          </w:tcPr>
          <w:p w14:paraId="0DEF3F1C" w14:textId="77777777" w:rsidR="00011DE9" w:rsidRDefault="00011DE9">
            <w:pPr>
              <w:pStyle w:val="P68B1DB1-Normal77"/>
              <w:spacing w:after="0" w:line="240" w:lineRule="auto"/>
              <w:jc w:val="center"/>
              <w:rPr>
                <w:rFonts w:eastAsia="Times New Roman" w:cs="Times New Roman"/>
                <w:noProof/>
                <w:szCs w:val="20"/>
              </w:rPr>
            </w:pPr>
            <w:r>
              <w:rPr>
                <w:noProof/>
              </w:rPr>
              <w:t>Nume</w:t>
            </w:r>
          </w:p>
        </w:tc>
      </w:tr>
      <w:tr w:rsidR="00011DE9" w14:paraId="6C12B62B" w14:textId="77777777">
        <w:trPr>
          <w:trHeight w:val="302"/>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04BC6454" w14:textId="77777777" w:rsidR="00011DE9" w:rsidRDefault="00011DE9">
            <w:pPr>
              <w:pStyle w:val="P68B1DB1-Normal78"/>
              <w:spacing w:after="0" w:line="240" w:lineRule="auto"/>
              <w:jc w:val="center"/>
              <w:rPr>
                <w:rFonts w:eastAsia="Times New Roman" w:cs="Times New Roman"/>
                <w:noProof/>
                <w:szCs w:val="20"/>
              </w:rPr>
            </w:pPr>
            <w:r>
              <w:rPr>
                <w:noProof/>
              </w:rPr>
              <w:t>L1</w:t>
            </w:r>
          </w:p>
        </w:tc>
        <w:tc>
          <w:tcPr>
            <w:tcW w:w="1443" w:type="dxa"/>
            <w:tcBorders>
              <w:top w:val="nil"/>
              <w:left w:val="nil"/>
              <w:bottom w:val="single" w:sz="4" w:space="0" w:color="auto"/>
              <w:right w:val="single" w:sz="4" w:space="0" w:color="auto"/>
            </w:tcBorders>
            <w:shd w:val="clear" w:color="auto" w:fill="C6EFCE"/>
            <w:noWrap/>
            <w:vAlign w:val="bottom"/>
            <w:hideMark/>
          </w:tcPr>
          <w:p w14:paraId="4A618DF5" w14:textId="77777777" w:rsidR="00011DE9" w:rsidRDefault="00011DE9">
            <w:pPr>
              <w:pStyle w:val="P68B1DB1-Normal78"/>
              <w:spacing w:after="0" w:line="240" w:lineRule="auto"/>
              <w:rPr>
                <w:rFonts w:eastAsia="Times New Roman" w:cs="Times New Roman"/>
                <w:noProof/>
                <w:szCs w:val="20"/>
              </w:rPr>
            </w:pPr>
            <w:r>
              <w:rPr>
                <w:noProof/>
              </w:rPr>
              <w:t>C1.R3</w:t>
            </w:r>
          </w:p>
        </w:tc>
        <w:tc>
          <w:tcPr>
            <w:tcW w:w="1250" w:type="dxa"/>
            <w:tcBorders>
              <w:top w:val="nil"/>
              <w:left w:val="nil"/>
              <w:bottom w:val="single" w:sz="4" w:space="0" w:color="auto"/>
              <w:right w:val="single" w:sz="4" w:space="0" w:color="auto"/>
            </w:tcBorders>
            <w:shd w:val="clear" w:color="auto" w:fill="C6EFCE"/>
            <w:noWrap/>
            <w:vAlign w:val="bottom"/>
            <w:hideMark/>
          </w:tcPr>
          <w:p w14:paraId="1B8FC6A0"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75C39AB3" w14:textId="77777777" w:rsidR="00011DE9" w:rsidRDefault="00011DE9">
            <w:pPr>
              <w:pStyle w:val="P68B1DB1-Normal78"/>
              <w:spacing w:after="0" w:line="240" w:lineRule="auto"/>
              <w:rPr>
                <w:rFonts w:eastAsia="Times New Roman" w:cs="Times New Roman"/>
                <w:noProof/>
                <w:szCs w:val="20"/>
              </w:rPr>
            </w:pPr>
            <w:r>
              <w:rPr>
                <w:noProof/>
              </w:rPr>
              <w:t>Intrarea în vigoare a Decretului regal de reglementare a zonelor cu emisii scăzute (LEZs)</w:t>
            </w:r>
          </w:p>
        </w:tc>
      </w:tr>
      <w:tr w:rsidR="00011DE9" w14:paraId="74F1575E" w14:textId="77777777">
        <w:trPr>
          <w:trHeight w:val="302"/>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24E37440" w14:textId="77777777" w:rsidR="00011DE9" w:rsidRDefault="00011DE9">
            <w:pPr>
              <w:pStyle w:val="P68B1DB1-Normal78"/>
              <w:spacing w:after="0" w:line="240" w:lineRule="auto"/>
              <w:jc w:val="center"/>
              <w:rPr>
                <w:rFonts w:eastAsia="Times New Roman" w:cs="Times New Roman"/>
                <w:noProof/>
                <w:szCs w:val="20"/>
              </w:rPr>
            </w:pPr>
            <w:r>
              <w:rPr>
                <w:noProof/>
              </w:rPr>
              <w:t>L15</w:t>
            </w:r>
          </w:p>
        </w:tc>
        <w:tc>
          <w:tcPr>
            <w:tcW w:w="1443" w:type="dxa"/>
            <w:tcBorders>
              <w:top w:val="nil"/>
              <w:left w:val="nil"/>
              <w:bottom w:val="single" w:sz="4" w:space="0" w:color="auto"/>
              <w:right w:val="single" w:sz="4" w:space="0" w:color="auto"/>
            </w:tcBorders>
            <w:shd w:val="clear" w:color="auto" w:fill="C6EFCE"/>
            <w:noWrap/>
            <w:vAlign w:val="bottom"/>
            <w:hideMark/>
          </w:tcPr>
          <w:p w14:paraId="44EF92FE" w14:textId="77777777" w:rsidR="00011DE9" w:rsidRDefault="00011DE9">
            <w:pPr>
              <w:pStyle w:val="P68B1DB1-Normal78"/>
              <w:spacing w:after="0" w:line="240" w:lineRule="auto"/>
              <w:rPr>
                <w:rFonts w:eastAsia="Times New Roman" w:cs="Times New Roman"/>
                <w:noProof/>
                <w:szCs w:val="20"/>
              </w:rPr>
            </w:pPr>
            <w:r>
              <w:rPr>
                <w:noProof/>
              </w:rPr>
              <w:t>C6.R3</w:t>
            </w:r>
          </w:p>
        </w:tc>
        <w:tc>
          <w:tcPr>
            <w:tcW w:w="1250" w:type="dxa"/>
            <w:tcBorders>
              <w:top w:val="nil"/>
              <w:left w:val="nil"/>
              <w:bottom w:val="single" w:sz="4" w:space="0" w:color="auto"/>
              <w:right w:val="single" w:sz="4" w:space="0" w:color="auto"/>
            </w:tcBorders>
            <w:shd w:val="clear" w:color="auto" w:fill="C6EFCE"/>
            <w:noWrap/>
            <w:vAlign w:val="bottom"/>
            <w:hideMark/>
          </w:tcPr>
          <w:p w14:paraId="35E6E8A6"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767801FE" w14:textId="77777777" w:rsidR="00011DE9" w:rsidRDefault="00011DE9">
            <w:pPr>
              <w:pStyle w:val="P68B1DB1-Normal78"/>
              <w:spacing w:after="0" w:line="240" w:lineRule="auto"/>
              <w:rPr>
                <w:rFonts w:eastAsia="Times New Roman" w:cs="Times New Roman"/>
                <w:noProof/>
                <w:szCs w:val="20"/>
              </w:rPr>
            </w:pPr>
            <w:r>
              <w:rPr>
                <w:noProof/>
              </w:rPr>
              <w:t>Strategia privind eficiența energetică</w:t>
            </w:r>
          </w:p>
        </w:tc>
      </w:tr>
      <w:tr w:rsidR="00011DE9" w14:paraId="65A51DC0" w14:textId="77777777">
        <w:trPr>
          <w:trHeight w:val="302"/>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69B1B924" w14:textId="77777777" w:rsidR="00011DE9" w:rsidRDefault="00011DE9">
            <w:pPr>
              <w:pStyle w:val="P68B1DB1-Normal78"/>
              <w:spacing w:after="0" w:line="240" w:lineRule="auto"/>
              <w:jc w:val="center"/>
              <w:rPr>
                <w:rFonts w:eastAsia="Times New Roman" w:cs="Times New Roman"/>
                <w:noProof/>
                <w:szCs w:val="20"/>
              </w:rPr>
            </w:pPr>
            <w:r>
              <w:rPr>
                <w:noProof/>
              </w:rPr>
              <w:t>L40</w:t>
            </w:r>
          </w:p>
        </w:tc>
        <w:tc>
          <w:tcPr>
            <w:tcW w:w="1443" w:type="dxa"/>
            <w:tcBorders>
              <w:top w:val="nil"/>
              <w:left w:val="nil"/>
              <w:bottom w:val="single" w:sz="4" w:space="0" w:color="auto"/>
              <w:right w:val="single" w:sz="4" w:space="0" w:color="auto"/>
            </w:tcBorders>
            <w:shd w:val="clear" w:color="auto" w:fill="C6EFCE"/>
            <w:noWrap/>
            <w:vAlign w:val="bottom"/>
            <w:hideMark/>
          </w:tcPr>
          <w:p w14:paraId="62188DFE" w14:textId="77777777" w:rsidR="00011DE9" w:rsidRDefault="00011DE9">
            <w:pPr>
              <w:pStyle w:val="P68B1DB1-Normal78"/>
              <w:spacing w:after="0" w:line="240" w:lineRule="auto"/>
              <w:rPr>
                <w:rFonts w:eastAsia="Times New Roman" w:cs="Times New Roman"/>
                <w:noProof/>
                <w:szCs w:val="20"/>
              </w:rPr>
            </w:pPr>
            <w:r>
              <w:rPr>
                <w:noProof/>
              </w:rPr>
              <w:t>C13.I8</w:t>
            </w:r>
          </w:p>
        </w:tc>
        <w:tc>
          <w:tcPr>
            <w:tcW w:w="1250" w:type="dxa"/>
            <w:tcBorders>
              <w:top w:val="nil"/>
              <w:left w:val="nil"/>
              <w:bottom w:val="single" w:sz="4" w:space="0" w:color="auto"/>
              <w:right w:val="single" w:sz="4" w:space="0" w:color="auto"/>
            </w:tcBorders>
            <w:shd w:val="clear" w:color="auto" w:fill="C6EFCE"/>
            <w:noWrap/>
            <w:vAlign w:val="bottom"/>
            <w:hideMark/>
          </w:tcPr>
          <w:p w14:paraId="630C2309"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63A90156" w14:textId="77777777" w:rsidR="00011DE9" w:rsidRDefault="00011DE9">
            <w:pPr>
              <w:pStyle w:val="P68B1DB1-Normal78"/>
              <w:spacing w:after="0" w:line="240" w:lineRule="auto"/>
              <w:rPr>
                <w:rFonts w:eastAsia="Times New Roman" w:cs="Times New Roman"/>
                <w:noProof/>
                <w:szCs w:val="20"/>
              </w:rPr>
            </w:pPr>
            <w:r>
              <w:rPr>
                <w:noProof/>
              </w:rPr>
              <w:t>FOCO – Regulamentul de instituire a fondului</w:t>
            </w:r>
          </w:p>
        </w:tc>
      </w:tr>
      <w:tr w:rsidR="00011DE9" w14:paraId="21356BF1" w14:textId="77777777">
        <w:trPr>
          <w:trHeight w:val="302"/>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0A7342F8" w14:textId="77777777" w:rsidR="00011DE9" w:rsidRDefault="00011DE9">
            <w:pPr>
              <w:pStyle w:val="P68B1DB1-Normal78"/>
              <w:spacing w:after="0" w:line="240" w:lineRule="auto"/>
              <w:jc w:val="center"/>
              <w:rPr>
                <w:rFonts w:eastAsia="Times New Roman" w:cs="Times New Roman"/>
                <w:noProof/>
                <w:szCs w:val="20"/>
              </w:rPr>
            </w:pPr>
            <w:r>
              <w:rPr>
                <w:noProof/>
              </w:rPr>
              <w:t>L51</w:t>
            </w:r>
          </w:p>
        </w:tc>
        <w:tc>
          <w:tcPr>
            <w:tcW w:w="1443" w:type="dxa"/>
            <w:tcBorders>
              <w:top w:val="nil"/>
              <w:left w:val="nil"/>
              <w:bottom w:val="single" w:sz="4" w:space="0" w:color="auto"/>
              <w:right w:val="single" w:sz="4" w:space="0" w:color="auto"/>
            </w:tcBorders>
            <w:shd w:val="clear" w:color="auto" w:fill="C6EFCE"/>
            <w:noWrap/>
            <w:vAlign w:val="bottom"/>
            <w:hideMark/>
          </w:tcPr>
          <w:p w14:paraId="02DCCD02" w14:textId="77777777" w:rsidR="00011DE9" w:rsidRDefault="00011DE9">
            <w:pPr>
              <w:pStyle w:val="P68B1DB1-Normal78"/>
              <w:spacing w:after="0" w:line="240" w:lineRule="auto"/>
              <w:rPr>
                <w:rFonts w:eastAsia="Times New Roman" w:cs="Times New Roman"/>
                <w:noProof/>
                <w:szCs w:val="20"/>
              </w:rPr>
            </w:pPr>
            <w:r>
              <w:rPr>
                <w:noProof/>
              </w:rPr>
              <w:t>C13.I13</w:t>
            </w:r>
          </w:p>
        </w:tc>
        <w:tc>
          <w:tcPr>
            <w:tcW w:w="1250" w:type="dxa"/>
            <w:tcBorders>
              <w:top w:val="nil"/>
              <w:left w:val="nil"/>
              <w:bottom w:val="single" w:sz="4" w:space="0" w:color="auto"/>
              <w:right w:val="single" w:sz="4" w:space="0" w:color="auto"/>
            </w:tcBorders>
            <w:shd w:val="clear" w:color="auto" w:fill="C6EFCE"/>
            <w:noWrap/>
            <w:vAlign w:val="bottom"/>
            <w:hideMark/>
          </w:tcPr>
          <w:p w14:paraId="6BB17FF2"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138645EE" w14:textId="77777777" w:rsidR="00011DE9" w:rsidRDefault="00011DE9">
            <w:pPr>
              <w:pStyle w:val="P68B1DB1-Normal78"/>
              <w:spacing w:after="0" w:line="240" w:lineRule="auto"/>
              <w:rPr>
                <w:rFonts w:eastAsia="Times New Roman" w:cs="Times New Roman"/>
                <w:noProof/>
                <w:szCs w:val="20"/>
              </w:rPr>
            </w:pPr>
            <w:r>
              <w:rPr>
                <w:noProof/>
              </w:rPr>
              <w:t>Fondul regional de reziliență – InvestEU: Semnarea acordului de contribuție între Guvernul Spaniei și Comisia Europeană</w:t>
            </w:r>
          </w:p>
        </w:tc>
      </w:tr>
      <w:tr w:rsidR="00011DE9" w14:paraId="607174EF" w14:textId="77777777">
        <w:trPr>
          <w:trHeight w:val="302"/>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197AC409" w14:textId="77777777" w:rsidR="00011DE9" w:rsidRDefault="00011DE9">
            <w:pPr>
              <w:pStyle w:val="P68B1DB1-Normal78"/>
              <w:spacing w:after="0" w:line="240" w:lineRule="auto"/>
              <w:jc w:val="center"/>
              <w:rPr>
                <w:rFonts w:eastAsia="Times New Roman" w:cs="Times New Roman"/>
                <w:noProof/>
                <w:szCs w:val="20"/>
              </w:rPr>
            </w:pPr>
            <w:r>
              <w:rPr>
                <w:noProof/>
              </w:rPr>
              <w:t>L72</w:t>
            </w:r>
          </w:p>
        </w:tc>
        <w:tc>
          <w:tcPr>
            <w:tcW w:w="1443" w:type="dxa"/>
            <w:tcBorders>
              <w:top w:val="nil"/>
              <w:left w:val="nil"/>
              <w:bottom w:val="single" w:sz="4" w:space="0" w:color="auto"/>
              <w:right w:val="single" w:sz="4" w:space="0" w:color="auto"/>
            </w:tcBorders>
            <w:shd w:val="clear" w:color="auto" w:fill="C6EFCE"/>
            <w:noWrap/>
            <w:vAlign w:val="bottom"/>
            <w:hideMark/>
          </w:tcPr>
          <w:p w14:paraId="15BF4BB0" w14:textId="77777777" w:rsidR="00011DE9" w:rsidRDefault="00011DE9">
            <w:pPr>
              <w:pStyle w:val="P68B1DB1-Normal78"/>
              <w:spacing w:after="0" w:line="240" w:lineRule="auto"/>
              <w:rPr>
                <w:rFonts w:eastAsia="Times New Roman" w:cs="Times New Roman"/>
                <w:noProof/>
                <w:szCs w:val="20"/>
              </w:rPr>
            </w:pPr>
            <w:r>
              <w:rPr>
                <w:noProof/>
              </w:rPr>
              <w:t>C22.I6</w:t>
            </w:r>
          </w:p>
        </w:tc>
        <w:tc>
          <w:tcPr>
            <w:tcW w:w="1250" w:type="dxa"/>
            <w:tcBorders>
              <w:top w:val="nil"/>
              <w:left w:val="nil"/>
              <w:bottom w:val="single" w:sz="4" w:space="0" w:color="auto"/>
              <w:right w:val="single" w:sz="4" w:space="0" w:color="auto"/>
            </w:tcBorders>
            <w:shd w:val="clear" w:color="auto" w:fill="C6EFCE"/>
            <w:noWrap/>
            <w:vAlign w:val="bottom"/>
            <w:hideMark/>
          </w:tcPr>
          <w:p w14:paraId="66C75E2D"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0974C9E1" w14:textId="77777777" w:rsidR="00011DE9" w:rsidRDefault="00011DE9">
            <w:pPr>
              <w:pStyle w:val="P68B1DB1-Normal78"/>
              <w:spacing w:after="0" w:line="240" w:lineRule="auto"/>
              <w:rPr>
                <w:rFonts w:eastAsia="Times New Roman" w:cs="Times New Roman"/>
                <w:noProof/>
                <w:szCs w:val="20"/>
              </w:rPr>
            </w:pPr>
            <w:r>
              <w:rPr>
                <w:noProof/>
              </w:rPr>
              <w:t>Fondul pentru impact social: Regulamentul de instituire a mecanismului</w:t>
            </w:r>
          </w:p>
        </w:tc>
      </w:tr>
      <w:tr w:rsidR="00011DE9" w14:paraId="0255B30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B9FD780" w14:textId="77777777" w:rsidR="00011DE9" w:rsidRDefault="00011DE9">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E1B522B" w14:textId="77777777" w:rsidR="00011DE9" w:rsidRDefault="00011DE9">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92C2173" w14:textId="77777777" w:rsidR="00011DE9" w:rsidRDefault="00011DE9">
            <w:pPr>
              <w:pStyle w:val="P68B1DB1-Normal77"/>
              <w:spacing w:after="0" w:line="240" w:lineRule="auto"/>
              <w:rPr>
                <w:rFonts w:eastAsia="Times New Roman" w:cs="Times New Roman"/>
                <w:noProof/>
                <w:szCs w:val="20"/>
              </w:rPr>
            </w:pPr>
            <w:r>
              <w:rPr>
                <w:noProof/>
              </w:rPr>
              <w:t>Cuantumul tranșei</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D0C0CD8" w14:textId="28182455" w:rsidR="00011DE9" w:rsidRDefault="00011DE9">
            <w:pPr>
              <w:pStyle w:val="P68B1DB1-Normal78"/>
              <w:spacing w:after="0" w:line="240" w:lineRule="auto"/>
              <w:rPr>
                <w:rFonts w:eastAsia="Times New Roman" w:cs="Times New Roman"/>
                <w:b/>
                <w:bCs/>
                <w:noProof/>
                <w:szCs w:val="20"/>
              </w:rPr>
            </w:pPr>
            <w:r>
              <w:rPr>
                <w:b/>
                <w:noProof/>
              </w:rPr>
              <w:t>1</w:t>
            </w:r>
            <w:r w:rsidR="00971820">
              <w:rPr>
                <w:noProof/>
              </w:rPr>
              <w:t xml:space="preserve"> </w:t>
            </w:r>
            <w:r>
              <w:rPr>
                <w:b/>
                <w:noProof/>
              </w:rPr>
              <w:t>083</w:t>
            </w:r>
            <w:r>
              <w:rPr>
                <w:noProof/>
              </w:rPr>
              <w:t xml:space="preserve"> </w:t>
            </w:r>
            <w:r>
              <w:rPr>
                <w:b/>
                <w:noProof/>
              </w:rPr>
              <w:t>989</w:t>
            </w:r>
            <w:r>
              <w:rPr>
                <w:noProof/>
              </w:rPr>
              <w:t xml:space="preserve"> </w:t>
            </w:r>
            <w:r>
              <w:rPr>
                <w:b/>
                <w:noProof/>
              </w:rPr>
              <w:t>237 MIL.</w:t>
            </w:r>
          </w:p>
        </w:tc>
      </w:tr>
    </w:tbl>
    <w:p w14:paraId="2CC1F76D" w14:textId="77777777" w:rsidR="00011DE9" w:rsidRDefault="00011DE9">
      <w:pPr>
        <w:spacing w:before="120" w:after="120" w:line="240" w:lineRule="auto"/>
        <w:jc w:val="both"/>
        <w:rPr>
          <w:rFonts w:ascii="Times New Roman" w:eastAsia="Calibri" w:hAnsi="Times New Roman" w:cs="Times New Roman"/>
          <w:noProof/>
        </w:rPr>
      </w:pPr>
    </w:p>
    <w:p w14:paraId="283DC8F3" w14:textId="77777777" w:rsidR="00011DE9" w:rsidRDefault="00011DE9">
      <w:pPr>
        <w:pStyle w:val="P68B1DB1-Normal16"/>
        <w:numPr>
          <w:ilvl w:val="1"/>
          <w:numId w:val="18"/>
        </w:numPr>
        <w:tabs>
          <w:tab w:val="clear" w:pos="6236"/>
          <w:tab w:val="num" w:pos="850"/>
        </w:tabs>
        <w:spacing w:before="120" w:after="120" w:line="240" w:lineRule="auto"/>
        <w:ind w:left="850"/>
        <w:jc w:val="both"/>
        <w:rPr>
          <w:rFonts w:cs="Times New Roman"/>
          <w:noProof/>
        </w:rPr>
      </w:pPr>
      <w:r>
        <w:rPr>
          <w:noProof/>
        </w:rPr>
        <w:t xml:space="preserve">A doua tranșă (sprijin sub formă de împrumut): </w:t>
      </w:r>
    </w:p>
    <w:tbl>
      <w:tblPr>
        <w:tblW w:w="9663" w:type="dxa"/>
        <w:tblInd w:w="113" w:type="dxa"/>
        <w:tblLook w:val="04A0" w:firstRow="1" w:lastRow="0" w:firstColumn="1" w:lastColumn="0" w:noHBand="0" w:noVBand="1"/>
      </w:tblPr>
      <w:tblGrid>
        <w:gridCol w:w="1297"/>
        <w:gridCol w:w="1443"/>
        <w:gridCol w:w="1296"/>
        <w:gridCol w:w="5670"/>
      </w:tblGrid>
      <w:tr w:rsidR="00011DE9" w14:paraId="674BB1DE" w14:textId="77777777">
        <w:trPr>
          <w:trHeight w:val="906"/>
          <w:tblHeader/>
        </w:trPr>
        <w:tc>
          <w:tcPr>
            <w:tcW w:w="12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552CD2B" w14:textId="77777777" w:rsidR="00011DE9" w:rsidRDefault="00011DE9">
            <w:pPr>
              <w:pStyle w:val="P68B1DB1-Normal77"/>
              <w:spacing w:after="0" w:line="240" w:lineRule="auto"/>
              <w:jc w:val="center"/>
              <w:rPr>
                <w:rFonts w:eastAsia="Times New Roman" w:cs="Times New Roman"/>
                <w:noProof/>
                <w:szCs w:val="20"/>
              </w:rPr>
            </w:pPr>
            <w:r>
              <w:rPr>
                <w:noProof/>
              </w:rPr>
              <w:t>Număr secvențial</w:t>
            </w:r>
          </w:p>
        </w:tc>
        <w:tc>
          <w:tcPr>
            <w:tcW w:w="14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95E1FC" w14:textId="77777777" w:rsidR="00011DE9" w:rsidRDefault="00011DE9">
            <w:pPr>
              <w:pStyle w:val="P68B1DB1-Normal77"/>
              <w:spacing w:after="0" w:line="240" w:lineRule="auto"/>
              <w:jc w:val="center"/>
              <w:rPr>
                <w:rFonts w:eastAsia="Times New Roman" w:cs="Times New Roman"/>
                <w:noProof/>
                <w:szCs w:val="20"/>
              </w:rPr>
            </w:pPr>
            <w:r>
              <w:rPr>
                <w:noProof/>
              </w:rPr>
              <w:t>Măsură conexă (reformă sau investiții)</w:t>
            </w:r>
          </w:p>
        </w:tc>
        <w:tc>
          <w:tcPr>
            <w:tcW w:w="12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50B4195" w14:textId="77777777" w:rsidR="00011DE9" w:rsidRDefault="00011DE9">
            <w:pPr>
              <w:pStyle w:val="P68B1DB1-Normal77"/>
              <w:spacing w:after="0" w:line="240" w:lineRule="auto"/>
              <w:jc w:val="center"/>
              <w:rPr>
                <w:rFonts w:eastAsia="Times New Roman" w:cs="Times New Roman"/>
                <w:noProof/>
                <w:szCs w:val="20"/>
              </w:rPr>
            </w:pPr>
            <w:r>
              <w:rPr>
                <w:noProof/>
              </w:rPr>
              <w:t>Etapă/Obiectiv</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DFE471" w14:textId="77777777" w:rsidR="00011DE9" w:rsidRDefault="00011DE9">
            <w:pPr>
              <w:pStyle w:val="P68B1DB1-Normal77"/>
              <w:spacing w:after="0" w:line="240" w:lineRule="auto"/>
              <w:jc w:val="center"/>
              <w:rPr>
                <w:rFonts w:eastAsia="Times New Roman" w:cs="Times New Roman"/>
                <w:noProof/>
                <w:szCs w:val="20"/>
              </w:rPr>
            </w:pPr>
            <w:r>
              <w:rPr>
                <w:noProof/>
              </w:rPr>
              <w:t>Nume</w:t>
            </w:r>
          </w:p>
        </w:tc>
      </w:tr>
      <w:tr w:rsidR="00011DE9" w14:paraId="3C64D1E3" w14:textId="77777777">
        <w:trPr>
          <w:trHeight w:val="509"/>
        </w:trPr>
        <w:tc>
          <w:tcPr>
            <w:tcW w:w="1297" w:type="dxa"/>
            <w:vMerge/>
            <w:tcBorders>
              <w:top w:val="single" w:sz="4" w:space="0" w:color="auto"/>
              <w:left w:val="single" w:sz="4" w:space="0" w:color="auto"/>
              <w:bottom w:val="single" w:sz="4" w:space="0" w:color="auto"/>
              <w:right w:val="single" w:sz="4" w:space="0" w:color="auto"/>
            </w:tcBorders>
            <w:vAlign w:val="center"/>
            <w:hideMark/>
          </w:tcPr>
          <w:p w14:paraId="5DF3844A" w14:textId="77777777" w:rsidR="00011DE9" w:rsidRDefault="00011DE9">
            <w:pPr>
              <w:spacing w:after="0" w:line="240" w:lineRule="auto"/>
              <w:rPr>
                <w:rFonts w:ascii="Times New Roman" w:eastAsia="Times New Roman" w:hAnsi="Times New Roman" w:cs="Times New Roman"/>
                <w:b/>
                <w:noProof/>
                <w:sz w:val="20"/>
                <w:szCs w:val="20"/>
              </w:rPr>
            </w:pPr>
          </w:p>
        </w:tc>
        <w:tc>
          <w:tcPr>
            <w:tcW w:w="1443" w:type="dxa"/>
            <w:vMerge/>
            <w:tcBorders>
              <w:top w:val="single" w:sz="4" w:space="0" w:color="auto"/>
              <w:left w:val="single" w:sz="4" w:space="0" w:color="auto"/>
              <w:bottom w:val="single" w:sz="4" w:space="0" w:color="auto"/>
              <w:right w:val="single" w:sz="4" w:space="0" w:color="auto"/>
            </w:tcBorders>
            <w:vAlign w:val="center"/>
            <w:hideMark/>
          </w:tcPr>
          <w:p w14:paraId="6226E146" w14:textId="77777777" w:rsidR="00011DE9" w:rsidRDefault="00011DE9">
            <w:pPr>
              <w:spacing w:after="0" w:line="240" w:lineRule="auto"/>
              <w:rPr>
                <w:rFonts w:ascii="Times New Roman" w:eastAsia="Times New Roman" w:hAnsi="Times New Roman" w:cs="Times New Roman"/>
                <w:b/>
                <w:noProof/>
                <w:sz w:val="20"/>
                <w:szCs w:val="20"/>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14:paraId="089D24D5" w14:textId="77777777" w:rsidR="00011DE9" w:rsidRDefault="00011DE9">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0F9AB029" w14:textId="77777777" w:rsidR="00011DE9" w:rsidRDefault="00011DE9">
            <w:pPr>
              <w:spacing w:after="0" w:line="240" w:lineRule="auto"/>
              <w:rPr>
                <w:rFonts w:ascii="Times New Roman" w:eastAsia="Times New Roman" w:hAnsi="Times New Roman" w:cs="Times New Roman"/>
                <w:b/>
                <w:noProof/>
                <w:sz w:val="20"/>
                <w:szCs w:val="20"/>
              </w:rPr>
            </w:pPr>
          </w:p>
        </w:tc>
      </w:tr>
      <w:tr w:rsidR="00011DE9" w14:paraId="078EE273"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2D4C5C3" w14:textId="77777777" w:rsidR="00011DE9" w:rsidRDefault="00011DE9">
            <w:pPr>
              <w:pStyle w:val="P68B1DB1-Normal78"/>
              <w:spacing w:after="0" w:line="240" w:lineRule="auto"/>
              <w:jc w:val="center"/>
              <w:rPr>
                <w:rFonts w:eastAsia="Times New Roman" w:cs="Times New Roman"/>
                <w:noProof/>
                <w:szCs w:val="20"/>
              </w:rPr>
            </w:pPr>
            <w:r>
              <w:rPr>
                <w:noProof/>
              </w:rPr>
              <w:t>L4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7B38A94" w14:textId="77777777" w:rsidR="00011DE9" w:rsidRDefault="00011DE9">
            <w:pPr>
              <w:pStyle w:val="P68B1DB1-Normal78"/>
              <w:spacing w:after="0" w:line="240" w:lineRule="auto"/>
              <w:rPr>
                <w:rFonts w:eastAsia="Times New Roman" w:cs="Times New Roman"/>
                <w:noProof/>
                <w:szCs w:val="20"/>
              </w:rPr>
            </w:pPr>
            <w:r>
              <w:rPr>
                <w:noProof/>
              </w:rPr>
              <w:t>C2.I7</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7DD82735"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8650C1F" w14:textId="77777777" w:rsidR="00011DE9" w:rsidRDefault="00011DE9">
            <w:pPr>
              <w:pStyle w:val="P68B1DB1-Normal78"/>
              <w:spacing w:after="0" w:line="240" w:lineRule="auto"/>
              <w:rPr>
                <w:rFonts w:eastAsia="Times New Roman" w:cs="Times New Roman"/>
                <w:noProof/>
                <w:szCs w:val="20"/>
              </w:rPr>
            </w:pPr>
            <w:r>
              <w:rPr>
                <w:noProof/>
              </w:rPr>
              <w:t>Acord de punere în aplicare</w:t>
            </w:r>
          </w:p>
        </w:tc>
      </w:tr>
      <w:tr w:rsidR="00011DE9" w14:paraId="025B40A7"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F91F972" w14:textId="77777777" w:rsidR="00011DE9" w:rsidRDefault="00011DE9">
            <w:pPr>
              <w:pStyle w:val="P68B1DB1-Normal78"/>
              <w:spacing w:after="0" w:line="240" w:lineRule="auto"/>
              <w:jc w:val="center"/>
              <w:rPr>
                <w:rFonts w:eastAsia="Times New Roman" w:cs="Times New Roman"/>
                <w:noProof/>
                <w:szCs w:val="20"/>
              </w:rPr>
            </w:pPr>
            <w:r>
              <w:rPr>
                <w:noProof/>
              </w:rPr>
              <w:t>L10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E1B4F92" w14:textId="77777777" w:rsidR="00011DE9" w:rsidRDefault="00011DE9">
            <w:pPr>
              <w:pStyle w:val="P68B1DB1-Normal78"/>
              <w:spacing w:after="0" w:line="240" w:lineRule="auto"/>
              <w:rPr>
                <w:rFonts w:eastAsia="Times New Roman" w:cs="Times New Roman"/>
                <w:noProof/>
                <w:szCs w:val="20"/>
              </w:rPr>
            </w:pPr>
            <w:r>
              <w:rPr>
                <w:noProof/>
              </w:rPr>
              <w:t>C3.I12</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28C886FB" w14:textId="77777777" w:rsidR="00011DE9" w:rsidRDefault="00011DE9">
            <w:pPr>
              <w:pStyle w:val="P68B1DB1-Normal78"/>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FEF173D" w14:textId="77777777" w:rsidR="00011DE9" w:rsidRDefault="00011DE9">
            <w:pPr>
              <w:pStyle w:val="P68B1DB1-Normal78"/>
              <w:spacing w:after="0" w:line="240" w:lineRule="auto"/>
              <w:rPr>
                <w:rFonts w:eastAsia="Times New Roman" w:cs="Times New Roman"/>
                <w:noProof/>
                <w:szCs w:val="20"/>
              </w:rPr>
            </w:pPr>
            <w:r>
              <w:rPr>
                <w:noProof/>
              </w:rPr>
              <w:t>Intrarea în vigoare a acordului dintre Ministerul Agriculturii, Pescuitului și Alimentației (MAPA) și SEIASA pentru a sprijini îmbunătățirea și sustenabilitatea suprafețelor irigate (faza III)</w:t>
            </w:r>
          </w:p>
        </w:tc>
      </w:tr>
      <w:tr w:rsidR="00011DE9" w14:paraId="6D032D33"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1CBF0B5" w14:textId="77777777" w:rsidR="00011DE9" w:rsidRDefault="00011DE9">
            <w:pPr>
              <w:pStyle w:val="P68B1DB1-Normal78"/>
              <w:spacing w:after="0" w:line="240" w:lineRule="auto"/>
              <w:jc w:val="center"/>
              <w:rPr>
                <w:rFonts w:eastAsia="Times New Roman" w:cs="Times New Roman"/>
                <w:noProof/>
                <w:szCs w:val="20"/>
              </w:rPr>
            </w:pPr>
            <w:r>
              <w:rPr>
                <w:noProof/>
              </w:rPr>
              <w:t>L25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7DDFF6A" w14:textId="77777777" w:rsidR="00011DE9" w:rsidRDefault="00011DE9">
            <w:pPr>
              <w:pStyle w:val="P68B1DB1-Normal78"/>
              <w:spacing w:after="0" w:line="240" w:lineRule="auto"/>
              <w:rPr>
                <w:rFonts w:eastAsia="Times New Roman" w:cs="Times New Roman"/>
                <w:noProof/>
                <w:szCs w:val="20"/>
              </w:rPr>
            </w:pPr>
            <w:r>
              <w:rPr>
                <w:noProof/>
              </w:rPr>
              <w:t>C13.I6</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6A9C3DB2"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6F7D716" w14:textId="77777777" w:rsidR="00011DE9" w:rsidRDefault="00011DE9">
            <w:pPr>
              <w:pStyle w:val="P68B1DB1-Normal78"/>
              <w:spacing w:after="0" w:line="240" w:lineRule="auto"/>
              <w:rPr>
                <w:rFonts w:eastAsia="Times New Roman" w:cs="Times New Roman"/>
                <w:noProof/>
                <w:szCs w:val="20"/>
              </w:rPr>
            </w:pPr>
            <w:r>
              <w:rPr>
                <w:noProof/>
              </w:rPr>
              <w:t>Acord de punere în aplicare cu ICO pentru linia verde a ICO</w:t>
            </w:r>
          </w:p>
        </w:tc>
      </w:tr>
      <w:tr w:rsidR="00011DE9" w14:paraId="3A18FB14"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DE9DEF0" w14:textId="77777777" w:rsidR="00011DE9" w:rsidRDefault="00011DE9">
            <w:pPr>
              <w:pStyle w:val="P68B1DB1-Normal78"/>
              <w:spacing w:after="0" w:line="240" w:lineRule="auto"/>
              <w:jc w:val="center"/>
              <w:rPr>
                <w:rFonts w:eastAsia="Times New Roman" w:cs="Times New Roman"/>
                <w:noProof/>
                <w:szCs w:val="20"/>
              </w:rPr>
            </w:pPr>
            <w:r>
              <w:rPr>
                <w:noProof/>
              </w:rPr>
              <w:t>L30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01A55C3" w14:textId="77777777" w:rsidR="00011DE9" w:rsidRDefault="00011DE9">
            <w:pPr>
              <w:pStyle w:val="P68B1DB1-Normal78"/>
              <w:spacing w:after="0" w:line="240" w:lineRule="auto"/>
              <w:rPr>
                <w:rFonts w:eastAsia="Times New Roman" w:cs="Times New Roman"/>
                <w:noProof/>
                <w:szCs w:val="20"/>
              </w:rPr>
            </w:pPr>
            <w:r>
              <w:rPr>
                <w:noProof/>
              </w:rPr>
              <w:t>C13.I6</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0D58D2A4"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39584EB" w14:textId="77777777" w:rsidR="00011DE9" w:rsidRDefault="00011DE9">
            <w:pPr>
              <w:pStyle w:val="P68B1DB1-Normal78"/>
              <w:spacing w:after="0" w:line="240" w:lineRule="auto"/>
              <w:rPr>
                <w:rFonts w:eastAsia="Times New Roman" w:cs="Times New Roman"/>
                <w:noProof/>
                <w:szCs w:val="20"/>
              </w:rPr>
            </w:pPr>
            <w:r>
              <w:rPr>
                <w:noProof/>
              </w:rPr>
              <w:t xml:space="preserve">Acord de punere în aplicare pentru linia ICO Întreprinderi și antreprenori (inclusiv fonduri de investiții în acțiuni) </w:t>
            </w:r>
          </w:p>
        </w:tc>
      </w:tr>
      <w:tr w:rsidR="00011DE9" w14:paraId="76F536A1"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B64F3CC" w14:textId="77777777" w:rsidR="00011DE9" w:rsidRDefault="00011DE9">
            <w:pPr>
              <w:pStyle w:val="P68B1DB1-Normal78"/>
              <w:spacing w:after="0" w:line="240" w:lineRule="auto"/>
              <w:jc w:val="center"/>
              <w:rPr>
                <w:rFonts w:eastAsia="Times New Roman" w:cs="Times New Roman"/>
                <w:noProof/>
                <w:szCs w:val="20"/>
              </w:rPr>
            </w:pPr>
            <w:r>
              <w:rPr>
                <w:noProof/>
              </w:rPr>
              <w:t>L35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AE9C888" w14:textId="77777777" w:rsidR="00011DE9" w:rsidRDefault="00011DE9">
            <w:pPr>
              <w:pStyle w:val="P68B1DB1-Normal78"/>
              <w:spacing w:after="0" w:line="240" w:lineRule="auto"/>
              <w:rPr>
                <w:rFonts w:eastAsia="Times New Roman" w:cs="Times New Roman"/>
                <w:noProof/>
                <w:szCs w:val="20"/>
              </w:rPr>
            </w:pPr>
            <w:r>
              <w:rPr>
                <w:noProof/>
              </w:rPr>
              <w:t>C13.I7</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15BEC0C8"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1F6750C" w14:textId="77777777" w:rsidR="00011DE9" w:rsidRDefault="00011DE9">
            <w:pPr>
              <w:pStyle w:val="P68B1DB1-Normal78"/>
              <w:spacing w:after="0" w:line="240" w:lineRule="auto"/>
              <w:rPr>
                <w:rFonts w:eastAsia="Times New Roman" w:cs="Times New Roman"/>
                <w:noProof/>
                <w:szCs w:val="20"/>
              </w:rPr>
            </w:pPr>
            <w:r>
              <w:rPr>
                <w:noProof/>
              </w:rPr>
              <w:t xml:space="preserve">Fondul pentru tehnologia următoare – Acord de punere în aplicare cu Axa </w:t>
            </w:r>
          </w:p>
        </w:tc>
      </w:tr>
      <w:tr w:rsidR="00011DE9" w14:paraId="610E89F2"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83DC68F" w14:textId="77777777" w:rsidR="00011DE9" w:rsidRDefault="00011DE9">
            <w:pPr>
              <w:pStyle w:val="P68B1DB1-Normal78"/>
              <w:spacing w:after="0" w:line="240" w:lineRule="auto"/>
              <w:jc w:val="center"/>
              <w:rPr>
                <w:rFonts w:eastAsia="Times New Roman" w:cs="Times New Roman"/>
                <w:noProof/>
                <w:szCs w:val="20"/>
              </w:rPr>
            </w:pPr>
            <w:r>
              <w:rPr>
                <w:noProof/>
              </w:rPr>
              <w:t>L53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4F73065" w14:textId="77777777" w:rsidR="00011DE9" w:rsidRDefault="00011DE9">
            <w:pPr>
              <w:pStyle w:val="P68B1DB1-Normal78"/>
              <w:spacing w:after="0" w:line="240" w:lineRule="auto"/>
              <w:rPr>
                <w:rFonts w:eastAsia="Times New Roman" w:cs="Times New Roman"/>
                <w:noProof/>
                <w:szCs w:val="20"/>
              </w:rPr>
            </w:pPr>
            <w:r>
              <w:rPr>
                <w:noProof/>
              </w:rPr>
              <w:t>C13.I13</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0A08615F"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E8C2258" w14:textId="77777777" w:rsidR="00011DE9" w:rsidRDefault="00011DE9">
            <w:pPr>
              <w:pStyle w:val="P68B1DB1-Normal78"/>
              <w:spacing w:after="0" w:line="240" w:lineRule="auto"/>
              <w:rPr>
                <w:rFonts w:eastAsia="Times New Roman" w:cs="Times New Roman"/>
                <w:noProof/>
                <w:szCs w:val="20"/>
              </w:rPr>
            </w:pPr>
            <w:r>
              <w:rPr>
                <w:noProof/>
              </w:rPr>
              <w:t xml:space="preserve">Fondul regional pentru reziliență: Acord de punere în aplicare </w:t>
            </w:r>
          </w:p>
        </w:tc>
      </w:tr>
      <w:tr w:rsidR="00011DE9" w14:paraId="220246F8"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5CEEC0C" w14:textId="77777777" w:rsidR="00011DE9" w:rsidRDefault="00011DE9">
            <w:pPr>
              <w:pStyle w:val="P68B1DB1-Normal78"/>
              <w:spacing w:after="0" w:line="240" w:lineRule="auto"/>
              <w:jc w:val="center"/>
              <w:rPr>
                <w:rFonts w:eastAsia="Times New Roman" w:cs="Times New Roman"/>
                <w:noProof/>
                <w:szCs w:val="20"/>
              </w:rPr>
            </w:pPr>
            <w:r>
              <w:rPr>
                <w:noProof/>
              </w:rPr>
              <w:t>L63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E4247BF" w14:textId="77777777" w:rsidR="00011DE9" w:rsidRDefault="00011DE9">
            <w:pPr>
              <w:pStyle w:val="P68B1DB1-Normal78"/>
              <w:spacing w:after="0" w:line="240" w:lineRule="auto"/>
              <w:rPr>
                <w:rFonts w:eastAsia="Times New Roman" w:cs="Times New Roman"/>
                <w:noProof/>
                <w:szCs w:val="20"/>
              </w:rPr>
            </w:pPr>
            <w:r>
              <w:rPr>
                <w:noProof/>
              </w:rPr>
              <w:t>C15.I9</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7FC75DD9"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E684A97" w14:textId="77777777" w:rsidR="00011DE9" w:rsidRDefault="00011DE9">
            <w:pPr>
              <w:pStyle w:val="P68B1DB1-Normal78"/>
              <w:spacing w:after="0" w:line="240" w:lineRule="auto"/>
              <w:rPr>
                <w:rFonts w:eastAsia="Times New Roman" w:cs="Times New Roman"/>
                <w:noProof/>
                <w:szCs w:val="20"/>
              </w:rPr>
            </w:pPr>
            <w:r>
              <w:rPr>
                <w:noProof/>
              </w:rPr>
              <w:t>Mecanismul de finanțare a cipurilor: Aprobarea oficială a mecanismului de finanțare</w:t>
            </w:r>
          </w:p>
        </w:tc>
      </w:tr>
      <w:tr w:rsidR="00011DE9" w14:paraId="44C872AB"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C694FD7" w14:textId="77777777" w:rsidR="00011DE9" w:rsidRDefault="00011DE9">
            <w:pPr>
              <w:pStyle w:val="P68B1DB1-Normal78"/>
              <w:spacing w:after="0" w:line="240" w:lineRule="auto"/>
              <w:jc w:val="center"/>
              <w:rPr>
                <w:rFonts w:eastAsia="Times New Roman" w:cs="Times New Roman"/>
                <w:noProof/>
                <w:szCs w:val="20"/>
              </w:rPr>
            </w:pPr>
            <w:r>
              <w:rPr>
                <w:noProof/>
              </w:rPr>
              <w:t>L77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F28CA56" w14:textId="77777777" w:rsidR="00011DE9" w:rsidRDefault="00011DE9">
            <w:pPr>
              <w:pStyle w:val="P68B1DB1-Normal78"/>
              <w:spacing w:after="0" w:line="240" w:lineRule="auto"/>
              <w:rPr>
                <w:rFonts w:eastAsia="Times New Roman" w:cs="Times New Roman"/>
                <w:noProof/>
                <w:szCs w:val="20"/>
              </w:rPr>
            </w:pPr>
            <w:r>
              <w:rPr>
                <w:noProof/>
              </w:rPr>
              <w:t>C25.I3</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5AE74046" w14:textId="77777777" w:rsidR="00011DE9" w:rsidRDefault="00011DE9">
            <w:pPr>
              <w:pStyle w:val="P68B1DB1-Normal78"/>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499A128" w14:textId="77777777" w:rsidR="00011DE9" w:rsidRDefault="00011DE9">
            <w:pPr>
              <w:pStyle w:val="P68B1DB1-Normal78"/>
              <w:spacing w:after="0" w:line="240" w:lineRule="auto"/>
              <w:rPr>
                <w:rFonts w:eastAsia="Times New Roman" w:cs="Times New Roman"/>
                <w:noProof/>
                <w:szCs w:val="20"/>
              </w:rPr>
            </w:pPr>
            <w:r>
              <w:rPr>
                <w:noProof/>
              </w:rPr>
              <w:t xml:space="preserve">ICO Audiovisual Hub Fund (Fondul ICO pentru platforma audiovizuală): Acord de punere în aplicare </w:t>
            </w:r>
          </w:p>
        </w:tc>
      </w:tr>
      <w:tr w:rsidR="00011DE9" w14:paraId="7088A11C"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8E3DCC4" w14:textId="77777777" w:rsidR="00011DE9" w:rsidRDefault="00011DE9">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8993275" w14:textId="77777777" w:rsidR="00011DE9" w:rsidRDefault="00011DE9">
            <w:pPr>
              <w:spacing w:after="0" w:line="240" w:lineRule="auto"/>
              <w:rPr>
                <w:rFonts w:ascii="Times New Roman" w:eastAsia="Times New Roman" w:hAnsi="Times New Roman" w:cs="Times New Roman"/>
                <w:noProof/>
                <w:sz w:val="20"/>
                <w:szCs w:val="20"/>
              </w:rPr>
            </w:pP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68317184" w14:textId="77777777" w:rsidR="00011DE9" w:rsidRDefault="00011DE9">
            <w:pPr>
              <w:pStyle w:val="P68B1DB1-Normal77"/>
              <w:spacing w:after="0" w:line="240" w:lineRule="auto"/>
              <w:rPr>
                <w:rFonts w:eastAsia="Times New Roman" w:cs="Times New Roman"/>
                <w:noProof/>
                <w:szCs w:val="20"/>
              </w:rPr>
            </w:pPr>
            <w:r>
              <w:rPr>
                <w:noProof/>
              </w:rPr>
              <w:t>Cuantumul tranșei</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BDCCBF0" w14:textId="64973C2F" w:rsidR="00011DE9" w:rsidRDefault="00011DE9">
            <w:pPr>
              <w:pStyle w:val="P68B1DB1-Normal78"/>
              <w:spacing w:after="0" w:line="240" w:lineRule="auto"/>
              <w:rPr>
                <w:rFonts w:eastAsia="Times New Roman" w:cs="Times New Roman"/>
                <w:b/>
                <w:bCs/>
                <w:noProof/>
                <w:szCs w:val="20"/>
              </w:rPr>
            </w:pPr>
            <w:r>
              <w:rPr>
                <w:b/>
                <w:noProof/>
              </w:rPr>
              <w:t>14</w:t>
            </w:r>
            <w:r w:rsidR="00971820">
              <w:rPr>
                <w:noProof/>
              </w:rPr>
              <w:t xml:space="preserve"> </w:t>
            </w:r>
            <w:r>
              <w:rPr>
                <w:b/>
                <w:noProof/>
              </w:rPr>
              <w:t>916</w:t>
            </w:r>
            <w:r>
              <w:rPr>
                <w:noProof/>
              </w:rPr>
              <w:t xml:space="preserve"> </w:t>
            </w:r>
            <w:r>
              <w:rPr>
                <w:b/>
                <w:noProof/>
              </w:rPr>
              <w:t>010</w:t>
            </w:r>
            <w:r>
              <w:rPr>
                <w:noProof/>
              </w:rPr>
              <w:t xml:space="preserve"> </w:t>
            </w:r>
            <w:r>
              <w:rPr>
                <w:b/>
                <w:noProof/>
              </w:rPr>
              <w:t>762 MIL.</w:t>
            </w:r>
          </w:p>
        </w:tc>
      </w:tr>
    </w:tbl>
    <w:p w14:paraId="449990BB" w14:textId="77777777" w:rsidR="00011DE9" w:rsidRDefault="00011DE9">
      <w:pPr>
        <w:spacing w:before="120" w:after="120" w:line="240" w:lineRule="auto"/>
        <w:jc w:val="both"/>
        <w:rPr>
          <w:rFonts w:ascii="Times New Roman" w:eastAsia="Calibri" w:hAnsi="Times New Roman" w:cs="Times New Roman"/>
          <w:noProof/>
        </w:rPr>
      </w:pPr>
    </w:p>
    <w:p w14:paraId="52521C97" w14:textId="77777777" w:rsidR="00011DE9" w:rsidRDefault="00011DE9">
      <w:pPr>
        <w:pStyle w:val="P68B1DB1-Normal16"/>
        <w:numPr>
          <w:ilvl w:val="1"/>
          <w:numId w:val="18"/>
        </w:numPr>
        <w:tabs>
          <w:tab w:val="clear" w:pos="6236"/>
          <w:tab w:val="num" w:pos="850"/>
        </w:tabs>
        <w:spacing w:before="120" w:after="120" w:line="240" w:lineRule="auto"/>
        <w:ind w:left="850"/>
        <w:jc w:val="both"/>
        <w:rPr>
          <w:rFonts w:cs="Times New Roman"/>
          <w:noProof/>
        </w:rPr>
      </w:pPr>
      <w:r>
        <w:rPr>
          <w:noProof/>
        </w:rPr>
        <w:t xml:space="preserve">A treia tranșă (sprijin sub formă de împrumut): </w:t>
      </w:r>
    </w:p>
    <w:tbl>
      <w:tblPr>
        <w:tblW w:w="9896" w:type="dxa"/>
        <w:tblInd w:w="113" w:type="dxa"/>
        <w:tblLook w:val="04A0" w:firstRow="1" w:lastRow="0" w:firstColumn="1" w:lastColumn="0" w:noHBand="0" w:noVBand="1"/>
      </w:tblPr>
      <w:tblGrid>
        <w:gridCol w:w="1300"/>
        <w:gridCol w:w="1676"/>
        <w:gridCol w:w="1296"/>
        <w:gridCol w:w="5670"/>
      </w:tblGrid>
      <w:tr w:rsidR="00011DE9" w14:paraId="46D8AF43" w14:textId="77777777">
        <w:trPr>
          <w:trHeight w:val="906"/>
        </w:trPr>
        <w:tc>
          <w:tcPr>
            <w:tcW w:w="13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31FB1B6" w14:textId="77777777" w:rsidR="00011DE9" w:rsidRDefault="00011DE9">
            <w:pPr>
              <w:pStyle w:val="P68B1DB1-Normal77"/>
              <w:spacing w:after="0" w:line="240" w:lineRule="auto"/>
              <w:jc w:val="center"/>
              <w:rPr>
                <w:rFonts w:eastAsia="Times New Roman" w:cs="Times New Roman"/>
                <w:noProof/>
                <w:szCs w:val="20"/>
              </w:rPr>
            </w:pPr>
            <w:r>
              <w:rPr>
                <w:noProof/>
              </w:rPr>
              <w:t>Număr secvențial</w:t>
            </w:r>
          </w:p>
        </w:tc>
        <w:tc>
          <w:tcPr>
            <w:tcW w:w="16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F15953" w14:textId="77777777" w:rsidR="00011DE9" w:rsidRDefault="00011DE9">
            <w:pPr>
              <w:pStyle w:val="P68B1DB1-Normal77"/>
              <w:spacing w:after="0" w:line="240" w:lineRule="auto"/>
              <w:jc w:val="center"/>
              <w:rPr>
                <w:rFonts w:eastAsia="Times New Roman" w:cs="Times New Roman"/>
                <w:noProof/>
                <w:szCs w:val="20"/>
              </w:rPr>
            </w:pPr>
            <w:r>
              <w:rPr>
                <w:noProof/>
              </w:rPr>
              <w:t>Măsură conexă (reformă sau investiții)</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FCA690" w14:textId="77777777" w:rsidR="00011DE9" w:rsidRDefault="00011DE9">
            <w:pPr>
              <w:pStyle w:val="P68B1DB1-Normal77"/>
              <w:spacing w:after="0" w:line="240" w:lineRule="auto"/>
              <w:jc w:val="center"/>
              <w:rPr>
                <w:rFonts w:eastAsia="Times New Roman" w:cs="Times New Roman"/>
                <w:noProof/>
                <w:szCs w:val="20"/>
              </w:rPr>
            </w:pPr>
            <w:r>
              <w:rPr>
                <w:noProof/>
              </w:rPr>
              <w:t>Etapă/Obiectiv</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8E9AE2" w14:textId="77777777" w:rsidR="00011DE9" w:rsidRDefault="00011DE9">
            <w:pPr>
              <w:pStyle w:val="P68B1DB1-Normal77"/>
              <w:spacing w:after="0" w:line="240" w:lineRule="auto"/>
              <w:jc w:val="center"/>
              <w:rPr>
                <w:rFonts w:eastAsia="Times New Roman" w:cs="Times New Roman"/>
                <w:noProof/>
                <w:szCs w:val="20"/>
              </w:rPr>
            </w:pPr>
            <w:r>
              <w:rPr>
                <w:noProof/>
              </w:rPr>
              <w:t>Nume</w:t>
            </w:r>
          </w:p>
        </w:tc>
      </w:tr>
      <w:tr w:rsidR="00011DE9" w14:paraId="4E3D3612" w14:textId="77777777">
        <w:trPr>
          <w:trHeight w:val="509"/>
        </w:trPr>
        <w:tc>
          <w:tcPr>
            <w:tcW w:w="1300" w:type="dxa"/>
            <w:vMerge/>
            <w:tcBorders>
              <w:top w:val="single" w:sz="4" w:space="0" w:color="auto"/>
              <w:left w:val="single" w:sz="4" w:space="0" w:color="auto"/>
              <w:bottom w:val="single" w:sz="4" w:space="0" w:color="auto"/>
              <w:right w:val="single" w:sz="4" w:space="0" w:color="auto"/>
            </w:tcBorders>
            <w:vAlign w:val="center"/>
            <w:hideMark/>
          </w:tcPr>
          <w:p w14:paraId="01C8820C" w14:textId="77777777" w:rsidR="00011DE9" w:rsidRDefault="00011DE9">
            <w:pPr>
              <w:spacing w:after="0" w:line="240" w:lineRule="auto"/>
              <w:rPr>
                <w:rFonts w:ascii="Times New Roman" w:eastAsia="Times New Roman" w:hAnsi="Times New Roman" w:cs="Times New Roman"/>
                <w:b/>
                <w:noProof/>
                <w:sz w:val="20"/>
                <w:szCs w:val="20"/>
              </w:rPr>
            </w:pPr>
          </w:p>
        </w:tc>
        <w:tc>
          <w:tcPr>
            <w:tcW w:w="1676" w:type="dxa"/>
            <w:vMerge/>
            <w:tcBorders>
              <w:top w:val="single" w:sz="4" w:space="0" w:color="auto"/>
              <w:left w:val="single" w:sz="4" w:space="0" w:color="auto"/>
              <w:bottom w:val="single" w:sz="4" w:space="0" w:color="auto"/>
              <w:right w:val="single" w:sz="4" w:space="0" w:color="auto"/>
            </w:tcBorders>
            <w:vAlign w:val="center"/>
            <w:hideMark/>
          </w:tcPr>
          <w:p w14:paraId="0431BEA2" w14:textId="77777777" w:rsidR="00011DE9" w:rsidRDefault="00011DE9">
            <w:pPr>
              <w:spacing w:after="0" w:line="240" w:lineRule="auto"/>
              <w:rPr>
                <w:rFonts w:ascii="Times New Roman" w:eastAsia="Times New Roman" w:hAnsi="Times New Roman" w:cs="Times New Roman"/>
                <w:b/>
                <w:noProof/>
                <w:sz w:val="20"/>
                <w:szCs w:val="20"/>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036B1025" w14:textId="77777777" w:rsidR="00011DE9" w:rsidRDefault="00011DE9">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3D5703E5" w14:textId="77777777" w:rsidR="00011DE9" w:rsidRDefault="00011DE9">
            <w:pPr>
              <w:spacing w:after="0" w:line="240" w:lineRule="auto"/>
              <w:rPr>
                <w:rFonts w:ascii="Times New Roman" w:eastAsia="Times New Roman" w:hAnsi="Times New Roman" w:cs="Times New Roman"/>
                <w:b/>
                <w:noProof/>
                <w:sz w:val="20"/>
                <w:szCs w:val="20"/>
              </w:rPr>
            </w:pPr>
          </w:p>
        </w:tc>
      </w:tr>
      <w:tr w:rsidR="00011DE9" w14:paraId="4E10998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D50273C" w14:textId="77777777" w:rsidR="00011DE9" w:rsidRDefault="00011DE9">
            <w:pPr>
              <w:pStyle w:val="P68B1DB1-Normal45"/>
              <w:spacing w:after="0" w:line="240" w:lineRule="auto"/>
              <w:jc w:val="center"/>
              <w:rPr>
                <w:rFonts w:eastAsia="Times New Roman"/>
                <w:noProof/>
              </w:rPr>
            </w:pPr>
            <w:r>
              <w:rPr>
                <w:noProof/>
              </w:rPr>
              <w:t>L2A</w:t>
            </w:r>
          </w:p>
        </w:tc>
        <w:tc>
          <w:tcPr>
            <w:tcW w:w="1676" w:type="dxa"/>
            <w:tcBorders>
              <w:top w:val="single" w:sz="4" w:space="0" w:color="auto"/>
              <w:left w:val="nil"/>
              <w:bottom w:val="single" w:sz="4" w:space="0" w:color="auto"/>
              <w:right w:val="single" w:sz="4" w:space="0" w:color="auto"/>
            </w:tcBorders>
            <w:shd w:val="clear" w:color="auto" w:fill="C6EFCE"/>
            <w:noWrap/>
          </w:tcPr>
          <w:p w14:paraId="26FDE258" w14:textId="77777777" w:rsidR="00011DE9" w:rsidRDefault="00011DE9">
            <w:pPr>
              <w:pStyle w:val="P68B1DB1-Normal45"/>
              <w:spacing w:after="0" w:line="240" w:lineRule="auto"/>
              <w:rPr>
                <w:rFonts w:eastAsia="Times New Roman"/>
                <w:noProof/>
              </w:rPr>
            </w:pPr>
            <w:r>
              <w:rPr>
                <w:noProof/>
              </w:rPr>
              <w:t>C2.R7</w:t>
            </w:r>
          </w:p>
        </w:tc>
        <w:tc>
          <w:tcPr>
            <w:tcW w:w="1250" w:type="dxa"/>
            <w:tcBorders>
              <w:top w:val="single" w:sz="4" w:space="0" w:color="auto"/>
              <w:left w:val="nil"/>
              <w:bottom w:val="single" w:sz="4" w:space="0" w:color="auto"/>
              <w:right w:val="single" w:sz="4" w:space="0" w:color="auto"/>
            </w:tcBorders>
            <w:shd w:val="clear" w:color="auto" w:fill="C6EFCE"/>
            <w:noWrap/>
          </w:tcPr>
          <w:p w14:paraId="74E110A0"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7947AEFA" w14:textId="77777777" w:rsidR="00011DE9" w:rsidRDefault="00011DE9">
            <w:pPr>
              <w:pStyle w:val="P68B1DB1-Normal45"/>
              <w:spacing w:after="0" w:line="240" w:lineRule="auto"/>
              <w:rPr>
                <w:rFonts w:eastAsia="Times New Roman"/>
                <w:noProof/>
              </w:rPr>
            </w:pPr>
            <w:r>
              <w:rPr>
                <w:noProof/>
              </w:rPr>
              <w:t>Intrarea în vigoare a unui act juridic de actualizare a statutului Entidad Pública Empresarial de Suelo (SEPES)</w:t>
            </w:r>
          </w:p>
        </w:tc>
      </w:tr>
      <w:tr w:rsidR="00011DE9" w14:paraId="5D42430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DDF328C" w14:textId="77777777" w:rsidR="00011DE9" w:rsidRDefault="00011DE9">
            <w:pPr>
              <w:pStyle w:val="P68B1DB1-Normal45"/>
              <w:spacing w:after="0" w:line="240" w:lineRule="auto"/>
              <w:jc w:val="center"/>
              <w:rPr>
                <w:rFonts w:eastAsia="Times New Roman"/>
                <w:noProof/>
              </w:rPr>
            </w:pPr>
            <w:r>
              <w:rPr>
                <w:noProof/>
              </w:rPr>
              <w:t>L3</w:t>
            </w:r>
          </w:p>
        </w:tc>
        <w:tc>
          <w:tcPr>
            <w:tcW w:w="1676" w:type="dxa"/>
            <w:tcBorders>
              <w:top w:val="single" w:sz="4" w:space="0" w:color="auto"/>
              <w:left w:val="nil"/>
              <w:bottom w:val="single" w:sz="4" w:space="0" w:color="auto"/>
              <w:right w:val="single" w:sz="4" w:space="0" w:color="auto"/>
            </w:tcBorders>
            <w:shd w:val="clear" w:color="auto" w:fill="C6EFCE"/>
            <w:noWrap/>
          </w:tcPr>
          <w:p w14:paraId="26A328E3" w14:textId="77777777" w:rsidR="00011DE9" w:rsidRDefault="00011DE9">
            <w:pPr>
              <w:pStyle w:val="P68B1DB1-Normal45"/>
              <w:spacing w:after="0" w:line="240" w:lineRule="auto"/>
              <w:rPr>
                <w:rFonts w:eastAsia="Times New Roman"/>
                <w:noProof/>
              </w:rPr>
            </w:pPr>
            <w:r>
              <w:rPr>
                <w:noProof/>
              </w:rPr>
              <w:t>C2.R7</w:t>
            </w:r>
          </w:p>
        </w:tc>
        <w:tc>
          <w:tcPr>
            <w:tcW w:w="1250" w:type="dxa"/>
            <w:tcBorders>
              <w:top w:val="single" w:sz="4" w:space="0" w:color="auto"/>
              <w:left w:val="nil"/>
              <w:bottom w:val="single" w:sz="4" w:space="0" w:color="auto"/>
              <w:right w:val="single" w:sz="4" w:space="0" w:color="auto"/>
            </w:tcBorders>
            <w:shd w:val="clear" w:color="auto" w:fill="C6EFCE"/>
            <w:noWrap/>
          </w:tcPr>
          <w:p w14:paraId="5C64420A"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0D464E9B" w14:textId="77777777" w:rsidR="00011DE9" w:rsidRDefault="00011DE9">
            <w:pPr>
              <w:pStyle w:val="P68B1DB1-Normal45"/>
              <w:spacing w:after="0" w:line="240" w:lineRule="auto"/>
              <w:rPr>
                <w:rFonts w:eastAsia="Times New Roman"/>
                <w:noProof/>
              </w:rPr>
            </w:pPr>
            <w:r>
              <w:rPr>
                <w:noProof/>
              </w:rPr>
              <w:t xml:space="preserve">Publicarea </w:t>
            </w:r>
            <w:r>
              <w:rPr>
                <w:i/>
                <w:noProof/>
              </w:rPr>
              <w:t>Ghidului de recomandări și bune practici pentru autorizațiile de urbanism în sectorul rezidențial (Guía de recomendaciones y buenas prácticas en materia de licencias urbanísticas en el ámbito residencial</w:t>
            </w:r>
          </w:p>
        </w:tc>
      </w:tr>
      <w:tr w:rsidR="00011DE9" w14:paraId="251BB50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21288FC" w14:textId="77777777" w:rsidR="00011DE9" w:rsidRDefault="00011DE9">
            <w:pPr>
              <w:pStyle w:val="P68B1DB1-Normal45"/>
              <w:spacing w:after="0" w:line="240" w:lineRule="auto"/>
              <w:jc w:val="center"/>
              <w:rPr>
                <w:rFonts w:eastAsia="Times New Roman"/>
                <w:noProof/>
              </w:rPr>
            </w:pPr>
            <w:r>
              <w:rPr>
                <w:noProof/>
              </w:rPr>
              <w:t>L8</w:t>
            </w:r>
          </w:p>
        </w:tc>
        <w:tc>
          <w:tcPr>
            <w:tcW w:w="1676" w:type="dxa"/>
            <w:tcBorders>
              <w:top w:val="single" w:sz="4" w:space="0" w:color="auto"/>
              <w:left w:val="nil"/>
              <w:bottom w:val="single" w:sz="4" w:space="0" w:color="auto"/>
              <w:right w:val="single" w:sz="4" w:space="0" w:color="auto"/>
            </w:tcBorders>
            <w:shd w:val="clear" w:color="auto" w:fill="C6EFCE"/>
            <w:noWrap/>
          </w:tcPr>
          <w:p w14:paraId="2C1E07C9" w14:textId="77777777" w:rsidR="00011DE9" w:rsidRDefault="00011DE9">
            <w:pPr>
              <w:pStyle w:val="P68B1DB1-Normal45"/>
              <w:spacing w:after="0" w:line="240" w:lineRule="auto"/>
              <w:rPr>
                <w:rFonts w:eastAsia="Times New Roman"/>
                <w:noProof/>
              </w:rPr>
            </w:pPr>
            <w:r>
              <w:rPr>
                <w:noProof/>
              </w:rPr>
              <w:t>C3.R7</w:t>
            </w:r>
          </w:p>
        </w:tc>
        <w:tc>
          <w:tcPr>
            <w:tcW w:w="1250" w:type="dxa"/>
            <w:tcBorders>
              <w:top w:val="single" w:sz="4" w:space="0" w:color="auto"/>
              <w:left w:val="nil"/>
              <w:bottom w:val="single" w:sz="4" w:space="0" w:color="auto"/>
              <w:right w:val="single" w:sz="4" w:space="0" w:color="auto"/>
            </w:tcBorders>
            <w:shd w:val="clear" w:color="auto" w:fill="C6EFCE"/>
            <w:noWrap/>
          </w:tcPr>
          <w:p w14:paraId="171D7480"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600B1B1B" w14:textId="77777777" w:rsidR="00011DE9" w:rsidRDefault="00011DE9">
            <w:pPr>
              <w:pStyle w:val="P68B1DB1-Normal45"/>
              <w:spacing w:after="0" w:line="240" w:lineRule="auto"/>
              <w:rPr>
                <w:rFonts w:eastAsia="Times New Roman"/>
                <w:noProof/>
              </w:rPr>
            </w:pPr>
            <w:r>
              <w:rPr>
                <w:noProof/>
              </w:rPr>
              <w:t>Intrarea în vigoare a Legii privind prevenirea pierderilor și a risipei de alimente</w:t>
            </w:r>
          </w:p>
        </w:tc>
      </w:tr>
      <w:tr w:rsidR="00011DE9" w14:paraId="697F693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2FC7555" w14:textId="77777777" w:rsidR="00011DE9" w:rsidRDefault="00011DE9">
            <w:pPr>
              <w:pStyle w:val="P68B1DB1-Normal45"/>
              <w:spacing w:after="0" w:line="240" w:lineRule="auto"/>
              <w:jc w:val="center"/>
              <w:rPr>
                <w:rFonts w:eastAsia="Times New Roman"/>
                <w:noProof/>
              </w:rPr>
            </w:pPr>
            <w:r>
              <w:rPr>
                <w:noProof/>
              </w:rPr>
              <w:t>L9</w:t>
            </w:r>
          </w:p>
        </w:tc>
        <w:tc>
          <w:tcPr>
            <w:tcW w:w="1676" w:type="dxa"/>
            <w:tcBorders>
              <w:top w:val="single" w:sz="4" w:space="0" w:color="auto"/>
              <w:left w:val="nil"/>
              <w:bottom w:val="single" w:sz="4" w:space="0" w:color="auto"/>
              <w:right w:val="single" w:sz="4" w:space="0" w:color="auto"/>
            </w:tcBorders>
            <w:shd w:val="clear" w:color="auto" w:fill="C6EFCE"/>
            <w:noWrap/>
          </w:tcPr>
          <w:p w14:paraId="1A2E02AA" w14:textId="77777777" w:rsidR="00011DE9" w:rsidRDefault="00011DE9">
            <w:pPr>
              <w:pStyle w:val="P68B1DB1-Normal45"/>
              <w:spacing w:after="0" w:line="240" w:lineRule="auto"/>
              <w:rPr>
                <w:rFonts w:eastAsia="Times New Roman"/>
                <w:noProof/>
              </w:rPr>
            </w:pPr>
            <w:r>
              <w:rPr>
                <w:noProof/>
              </w:rPr>
              <w:t>C3.R8</w:t>
            </w:r>
          </w:p>
        </w:tc>
        <w:tc>
          <w:tcPr>
            <w:tcW w:w="1250" w:type="dxa"/>
            <w:tcBorders>
              <w:top w:val="single" w:sz="4" w:space="0" w:color="auto"/>
              <w:left w:val="nil"/>
              <w:bottom w:val="single" w:sz="4" w:space="0" w:color="auto"/>
              <w:right w:val="single" w:sz="4" w:space="0" w:color="auto"/>
            </w:tcBorders>
            <w:shd w:val="clear" w:color="auto" w:fill="C6EFCE"/>
            <w:noWrap/>
          </w:tcPr>
          <w:p w14:paraId="722903DA"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2A85C911" w14:textId="77777777" w:rsidR="00011DE9" w:rsidRDefault="00011DE9">
            <w:pPr>
              <w:pStyle w:val="P68B1DB1-Normal45"/>
              <w:spacing w:after="0" w:line="240" w:lineRule="auto"/>
              <w:rPr>
                <w:rFonts w:eastAsia="Times New Roman"/>
                <w:noProof/>
              </w:rPr>
            </w:pPr>
            <w:r>
              <w:rPr>
                <w:noProof/>
              </w:rPr>
              <w:t>Intrarea în vigoare a unui act juridic de instituire a sistemului de informații pentru exploatațiile agricole</w:t>
            </w:r>
          </w:p>
        </w:tc>
      </w:tr>
      <w:tr w:rsidR="00011DE9" w14:paraId="120AB1F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7F44D3A" w14:textId="77777777" w:rsidR="00011DE9" w:rsidRDefault="00011DE9">
            <w:pPr>
              <w:pStyle w:val="P68B1DB1-Normal45"/>
              <w:spacing w:after="0" w:line="240" w:lineRule="auto"/>
              <w:jc w:val="center"/>
              <w:rPr>
                <w:rFonts w:eastAsia="Times New Roman"/>
                <w:noProof/>
              </w:rPr>
            </w:pPr>
            <w:r>
              <w:rPr>
                <w:noProof/>
              </w:rPr>
              <w:t>L23</w:t>
            </w:r>
          </w:p>
        </w:tc>
        <w:tc>
          <w:tcPr>
            <w:tcW w:w="1676" w:type="dxa"/>
            <w:tcBorders>
              <w:top w:val="single" w:sz="4" w:space="0" w:color="auto"/>
              <w:left w:val="nil"/>
              <w:bottom w:val="single" w:sz="4" w:space="0" w:color="auto"/>
              <w:right w:val="single" w:sz="4" w:space="0" w:color="auto"/>
            </w:tcBorders>
            <w:shd w:val="clear" w:color="auto" w:fill="C6EFCE"/>
            <w:noWrap/>
          </w:tcPr>
          <w:p w14:paraId="524399A3" w14:textId="77777777" w:rsidR="00011DE9" w:rsidRDefault="00011DE9">
            <w:pPr>
              <w:pStyle w:val="P68B1DB1-Normal45"/>
              <w:spacing w:after="0" w:line="240" w:lineRule="auto"/>
              <w:rPr>
                <w:rFonts w:eastAsia="Times New Roman"/>
                <w:noProof/>
              </w:rPr>
            </w:pPr>
            <w:r>
              <w:rPr>
                <w:noProof/>
              </w:rPr>
              <w:t>C12.I7</w:t>
            </w:r>
          </w:p>
        </w:tc>
        <w:tc>
          <w:tcPr>
            <w:tcW w:w="1250" w:type="dxa"/>
            <w:tcBorders>
              <w:top w:val="single" w:sz="4" w:space="0" w:color="auto"/>
              <w:left w:val="nil"/>
              <w:bottom w:val="single" w:sz="4" w:space="0" w:color="auto"/>
              <w:right w:val="single" w:sz="4" w:space="0" w:color="auto"/>
            </w:tcBorders>
            <w:shd w:val="clear" w:color="auto" w:fill="C6EFCE"/>
            <w:noWrap/>
          </w:tcPr>
          <w:p w14:paraId="0669EDD1"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28D5181C" w14:textId="77777777" w:rsidR="00011DE9" w:rsidRDefault="00011DE9">
            <w:pPr>
              <w:pStyle w:val="P68B1DB1-Normal45"/>
              <w:spacing w:after="0" w:line="240" w:lineRule="auto"/>
              <w:rPr>
                <w:rFonts w:eastAsia="Times New Roman"/>
                <w:noProof/>
              </w:rPr>
            </w:pPr>
            <w:r>
              <w:rPr>
                <w:noProof/>
              </w:rPr>
              <w:t>Schemă de sprijin pentru proiecte strategice în lanțul valoric al automobilelor electrice (împrumuturi): Instituirea sistemului</w:t>
            </w:r>
          </w:p>
        </w:tc>
      </w:tr>
      <w:tr w:rsidR="00011DE9" w14:paraId="4E0D833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F59B7EE" w14:textId="77777777" w:rsidR="00011DE9" w:rsidRDefault="00011DE9">
            <w:pPr>
              <w:pStyle w:val="P68B1DB1-Normal45"/>
              <w:spacing w:after="0" w:line="240" w:lineRule="auto"/>
              <w:jc w:val="center"/>
              <w:rPr>
                <w:rFonts w:eastAsia="Times New Roman"/>
                <w:noProof/>
              </w:rPr>
            </w:pPr>
            <w:r>
              <w:rPr>
                <w:noProof/>
              </w:rPr>
              <w:t>L45</w:t>
            </w:r>
          </w:p>
        </w:tc>
        <w:tc>
          <w:tcPr>
            <w:tcW w:w="1676" w:type="dxa"/>
            <w:tcBorders>
              <w:top w:val="single" w:sz="4" w:space="0" w:color="auto"/>
              <w:left w:val="nil"/>
              <w:bottom w:val="single" w:sz="4" w:space="0" w:color="auto"/>
              <w:right w:val="single" w:sz="4" w:space="0" w:color="auto"/>
            </w:tcBorders>
            <w:shd w:val="clear" w:color="auto" w:fill="C6EFCE"/>
            <w:noWrap/>
          </w:tcPr>
          <w:p w14:paraId="6FF1FA94" w14:textId="77777777" w:rsidR="00011DE9" w:rsidRDefault="00011DE9">
            <w:pPr>
              <w:pStyle w:val="P68B1DB1-Normal45"/>
              <w:spacing w:after="0" w:line="240" w:lineRule="auto"/>
              <w:rPr>
                <w:rFonts w:eastAsia="Times New Roman"/>
                <w:noProof/>
              </w:rPr>
            </w:pPr>
            <w:r>
              <w:rPr>
                <w:noProof/>
              </w:rPr>
              <w:t>C13.I10</w:t>
            </w:r>
          </w:p>
        </w:tc>
        <w:tc>
          <w:tcPr>
            <w:tcW w:w="1250" w:type="dxa"/>
            <w:tcBorders>
              <w:top w:val="single" w:sz="4" w:space="0" w:color="auto"/>
              <w:left w:val="nil"/>
              <w:bottom w:val="single" w:sz="4" w:space="0" w:color="auto"/>
              <w:right w:val="single" w:sz="4" w:space="0" w:color="auto"/>
            </w:tcBorders>
            <w:shd w:val="clear" w:color="auto" w:fill="C6EFCE"/>
            <w:noWrap/>
          </w:tcPr>
          <w:p w14:paraId="3126E6CB" w14:textId="77777777" w:rsidR="00011DE9" w:rsidRDefault="00011DE9">
            <w:pPr>
              <w:pStyle w:val="P68B1DB1-Normal45"/>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3C70CA4B" w14:textId="77777777" w:rsidR="00011DE9" w:rsidRDefault="00011DE9">
            <w:pPr>
              <w:pStyle w:val="P68B1DB1-Normal45"/>
              <w:spacing w:after="0" w:line="240" w:lineRule="auto"/>
              <w:rPr>
                <w:rFonts w:eastAsia="Times New Roman"/>
                <w:noProof/>
              </w:rPr>
            </w:pPr>
            <w:r>
              <w:rPr>
                <w:noProof/>
              </w:rPr>
              <w:t>FONREC</w:t>
            </w:r>
          </w:p>
        </w:tc>
      </w:tr>
      <w:tr w:rsidR="00011DE9" w14:paraId="15A55EB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776F2134" w14:textId="77777777" w:rsidR="00011DE9" w:rsidRDefault="00011DE9">
            <w:pPr>
              <w:pStyle w:val="P68B1DB1-Normal45"/>
              <w:spacing w:after="0" w:line="240" w:lineRule="auto"/>
              <w:jc w:val="center"/>
              <w:rPr>
                <w:rFonts w:eastAsia="Times New Roman"/>
                <w:noProof/>
              </w:rPr>
            </w:pPr>
            <w:r>
              <w:rPr>
                <w:noProof/>
              </w:rPr>
              <w:t>L47</w:t>
            </w:r>
          </w:p>
        </w:tc>
        <w:tc>
          <w:tcPr>
            <w:tcW w:w="1676" w:type="dxa"/>
            <w:tcBorders>
              <w:top w:val="single" w:sz="4" w:space="0" w:color="auto"/>
              <w:left w:val="nil"/>
              <w:bottom w:val="single" w:sz="4" w:space="0" w:color="auto"/>
              <w:right w:val="single" w:sz="4" w:space="0" w:color="auto"/>
            </w:tcBorders>
            <w:shd w:val="clear" w:color="auto" w:fill="C6EFCE"/>
            <w:noWrap/>
          </w:tcPr>
          <w:p w14:paraId="7D59B462" w14:textId="77777777" w:rsidR="00011DE9" w:rsidRDefault="00011DE9">
            <w:pPr>
              <w:pStyle w:val="P68B1DB1-Normal45"/>
              <w:spacing w:after="0" w:line="240" w:lineRule="auto"/>
              <w:rPr>
                <w:rFonts w:eastAsia="Times New Roman"/>
                <w:noProof/>
              </w:rPr>
            </w:pPr>
            <w:r>
              <w:rPr>
                <w:noProof/>
              </w:rPr>
              <w:t>C13.I12</w:t>
            </w:r>
          </w:p>
        </w:tc>
        <w:tc>
          <w:tcPr>
            <w:tcW w:w="1250" w:type="dxa"/>
            <w:tcBorders>
              <w:top w:val="single" w:sz="4" w:space="0" w:color="auto"/>
              <w:left w:val="nil"/>
              <w:bottom w:val="single" w:sz="4" w:space="0" w:color="auto"/>
              <w:right w:val="single" w:sz="4" w:space="0" w:color="auto"/>
            </w:tcBorders>
            <w:shd w:val="clear" w:color="auto" w:fill="C6EFCE"/>
            <w:noWrap/>
          </w:tcPr>
          <w:p w14:paraId="756A1466"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019D968D" w14:textId="77777777" w:rsidR="00011DE9" w:rsidRDefault="00011DE9">
            <w:pPr>
              <w:pStyle w:val="P68B1DB1-Normal45"/>
              <w:spacing w:after="0" w:line="240" w:lineRule="auto"/>
              <w:rPr>
                <w:rFonts w:eastAsia="Times New Roman"/>
                <w:noProof/>
              </w:rPr>
            </w:pPr>
            <w:r>
              <w:rPr>
                <w:noProof/>
              </w:rPr>
              <w:t>ENISA – Fondul pentru antreprenoriat și IMM-uri – Acord de punere în aplicare</w:t>
            </w:r>
          </w:p>
        </w:tc>
      </w:tr>
      <w:tr w:rsidR="00011DE9" w14:paraId="72FAEC6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42E5A03" w14:textId="77777777" w:rsidR="00011DE9" w:rsidRDefault="00011DE9">
            <w:pPr>
              <w:pStyle w:val="P68B1DB1-Normal45"/>
              <w:spacing w:after="0" w:line="240" w:lineRule="auto"/>
              <w:jc w:val="center"/>
              <w:rPr>
                <w:rFonts w:eastAsia="Times New Roman"/>
                <w:noProof/>
              </w:rPr>
            </w:pPr>
            <w:r>
              <w:rPr>
                <w:noProof/>
              </w:rPr>
              <w:t>L52</w:t>
            </w:r>
          </w:p>
        </w:tc>
        <w:tc>
          <w:tcPr>
            <w:tcW w:w="1676" w:type="dxa"/>
            <w:tcBorders>
              <w:top w:val="single" w:sz="4" w:space="0" w:color="auto"/>
              <w:left w:val="nil"/>
              <w:bottom w:val="single" w:sz="4" w:space="0" w:color="auto"/>
              <w:right w:val="single" w:sz="4" w:space="0" w:color="auto"/>
            </w:tcBorders>
            <w:shd w:val="clear" w:color="auto" w:fill="C6EFCE"/>
            <w:noWrap/>
          </w:tcPr>
          <w:p w14:paraId="013FDC6E" w14:textId="77777777" w:rsidR="00011DE9" w:rsidRDefault="00011DE9">
            <w:pPr>
              <w:pStyle w:val="P68B1DB1-Normal45"/>
              <w:spacing w:after="0" w:line="240" w:lineRule="auto"/>
              <w:rPr>
                <w:rFonts w:eastAsia="Times New Roman"/>
                <w:noProof/>
              </w:rPr>
            </w:pPr>
            <w:r>
              <w:rPr>
                <w:noProof/>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09F80DB1" w14:textId="77777777" w:rsidR="00011DE9" w:rsidRDefault="00011DE9">
            <w:pPr>
              <w:pStyle w:val="P68B1DB1-Normal45"/>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0C31F118" w14:textId="77777777" w:rsidR="00011DE9" w:rsidRDefault="00011DE9">
            <w:pPr>
              <w:pStyle w:val="P68B1DB1-Normal45"/>
              <w:spacing w:after="0" w:line="240" w:lineRule="auto"/>
              <w:rPr>
                <w:rFonts w:eastAsia="Times New Roman"/>
                <w:noProof/>
              </w:rPr>
            </w:pPr>
            <w:r>
              <w:rPr>
                <w:noProof/>
              </w:rPr>
              <w:t>Fondul regional de reziliență – InvestEU: Operațiuni de finanțare sau de investiții în valoare de cel puțin 500 milioane EUR alocate instrumentului și aprobate de Comitetul pentru investiții al InvestEU.</w:t>
            </w:r>
          </w:p>
        </w:tc>
      </w:tr>
      <w:tr w:rsidR="00011DE9" w14:paraId="45EF48B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F4B03BB" w14:textId="77777777" w:rsidR="00011DE9" w:rsidRDefault="00011DE9">
            <w:pPr>
              <w:pStyle w:val="P68B1DB1-Normal45"/>
              <w:spacing w:after="0" w:line="240" w:lineRule="auto"/>
              <w:jc w:val="center"/>
              <w:rPr>
                <w:rFonts w:eastAsia="Times New Roman"/>
                <w:noProof/>
              </w:rPr>
            </w:pPr>
            <w:r>
              <w:rPr>
                <w:noProof/>
              </w:rPr>
              <w:t>L67</w:t>
            </w:r>
          </w:p>
        </w:tc>
        <w:tc>
          <w:tcPr>
            <w:tcW w:w="1676" w:type="dxa"/>
            <w:tcBorders>
              <w:top w:val="single" w:sz="4" w:space="0" w:color="auto"/>
              <w:left w:val="nil"/>
              <w:bottom w:val="single" w:sz="4" w:space="0" w:color="auto"/>
              <w:right w:val="single" w:sz="4" w:space="0" w:color="auto"/>
            </w:tcBorders>
            <w:shd w:val="clear" w:color="auto" w:fill="C6EFCE"/>
            <w:noWrap/>
          </w:tcPr>
          <w:p w14:paraId="1BDAE34B" w14:textId="77777777" w:rsidR="00011DE9" w:rsidRDefault="00011DE9">
            <w:pPr>
              <w:pStyle w:val="P68B1DB1-Normal45"/>
              <w:spacing w:after="0" w:line="240" w:lineRule="auto"/>
              <w:rPr>
                <w:rFonts w:eastAsia="Times New Roman"/>
                <w:noProof/>
              </w:rPr>
            </w:pPr>
            <w:r>
              <w:rPr>
                <w:noProof/>
              </w:rPr>
              <w:t>C17.I10</w:t>
            </w:r>
          </w:p>
        </w:tc>
        <w:tc>
          <w:tcPr>
            <w:tcW w:w="1250" w:type="dxa"/>
            <w:tcBorders>
              <w:top w:val="single" w:sz="4" w:space="0" w:color="auto"/>
              <w:left w:val="nil"/>
              <w:bottom w:val="single" w:sz="4" w:space="0" w:color="auto"/>
              <w:right w:val="single" w:sz="4" w:space="0" w:color="auto"/>
            </w:tcBorders>
            <w:shd w:val="clear" w:color="auto" w:fill="C6EFCE"/>
            <w:noWrap/>
          </w:tcPr>
          <w:p w14:paraId="374E7D3A" w14:textId="77777777" w:rsidR="00011DE9" w:rsidRDefault="00011DE9">
            <w:pPr>
              <w:pStyle w:val="P68B1DB1-Normal45"/>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5926F0C3" w14:textId="77777777" w:rsidR="00011DE9" w:rsidRDefault="00011DE9">
            <w:pPr>
              <w:pStyle w:val="P68B1DB1-Normal45"/>
              <w:spacing w:after="0" w:line="240" w:lineRule="auto"/>
              <w:rPr>
                <w:rFonts w:eastAsia="Times New Roman"/>
                <w:noProof/>
              </w:rPr>
            </w:pPr>
            <w:r>
              <w:rPr>
                <w:noProof/>
              </w:rPr>
              <w:t>Investiții în sprijinirea participării la capital în sectorul sănătății</w:t>
            </w:r>
          </w:p>
        </w:tc>
      </w:tr>
      <w:tr w:rsidR="00011DE9" w14:paraId="3976836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7C6B469" w14:textId="77777777" w:rsidR="00011DE9" w:rsidRDefault="00011DE9">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D03DEA2" w14:textId="77777777" w:rsidR="00011DE9" w:rsidRDefault="00011DE9">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880D96C" w14:textId="77777777" w:rsidR="00011DE9" w:rsidRDefault="00011DE9">
            <w:pPr>
              <w:pStyle w:val="P68B1DB1-Normal77"/>
              <w:spacing w:after="0" w:line="240" w:lineRule="auto"/>
              <w:rPr>
                <w:rFonts w:eastAsia="Times New Roman" w:cs="Times New Roman"/>
                <w:noProof/>
                <w:szCs w:val="20"/>
              </w:rPr>
            </w:pPr>
            <w:r>
              <w:rPr>
                <w:noProof/>
              </w:rPr>
              <w:t>Cuantumul tranșei</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221E5B8" w14:textId="77777777" w:rsidR="00011DE9" w:rsidRDefault="00011DE9">
            <w:pPr>
              <w:pStyle w:val="P68B1DB1-Normal78"/>
              <w:spacing w:after="0" w:line="240" w:lineRule="auto"/>
              <w:rPr>
                <w:rFonts w:eastAsia="Times New Roman" w:cs="Times New Roman"/>
                <w:b/>
                <w:bCs/>
                <w:noProof/>
                <w:szCs w:val="20"/>
              </w:rPr>
            </w:pPr>
            <w:r>
              <w:rPr>
                <w:b/>
                <w:noProof/>
              </w:rPr>
              <w:t>1</w:t>
            </w:r>
            <w:r>
              <w:rPr>
                <w:noProof/>
              </w:rPr>
              <w:t xml:space="preserve"> 050 662 791 MIL. </w:t>
            </w:r>
          </w:p>
        </w:tc>
      </w:tr>
    </w:tbl>
    <w:p w14:paraId="129B21A4" w14:textId="77777777" w:rsidR="00011DE9" w:rsidRDefault="00011DE9">
      <w:pPr>
        <w:rPr>
          <w:noProof/>
        </w:rPr>
      </w:pPr>
    </w:p>
    <w:p w14:paraId="64665EA7" w14:textId="77777777" w:rsidR="00011DE9" w:rsidRDefault="00011DE9">
      <w:pPr>
        <w:pStyle w:val="P68B1DB1-Normal16"/>
        <w:numPr>
          <w:ilvl w:val="1"/>
          <w:numId w:val="18"/>
        </w:numPr>
        <w:tabs>
          <w:tab w:val="clear" w:pos="6236"/>
          <w:tab w:val="num" w:pos="850"/>
        </w:tabs>
        <w:spacing w:before="120" w:after="120" w:line="240" w:lineRule="auto"/>
        <w:ind w:left="850"/>
        <w:jc w:val="both"/>
        <w:rPr>
          <w:rFonts w:cs="Times New Roman"/>
          <w:noProof/>
        </w:rPr>
      </w:pPr>
      <w:r>
        <w:rPr>
          <w:noProof/>
        </w:rPr>
        <w:t xml:space="preserve">A patra tranșă (sprijin sub formă de împrumut): </w:t>
      </w:r>
    </w:p>
    <w:tbl>
      <w:tblPr>
        <w:tblW w:w="10452" w:type="dxa"/>
        <w:tblInd w:w="113" w:type="dxa"/>
        <w:tblLook w:val="04A0" w:firstRow="1" w:lastRow="0" w:firstColumn="1" w:lastColumn="0" w:noHBand="0" w:noVBand="1"/>
      </w:tblPr>
      <w:tblGrid>
        <w:gridCol w:w="2016"/>
        <w:gridCol w:w="1516"/>
        <w:gridCol w:w="1296"/>
        <w:gridCol w:w="5670"/>
      </w:tblGrid>
      <w:tr w:rsidR="00011DE9" w14:paraId="1F5605C1" w14:textId="77777777">
        <w:trPr>
          <w:trHeight w:val="906"/>
          <w:tblHeader/>
        </w:trPr>
        <w:tc>
          <w:tcPr>
            <w:tcW w:w="2016"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64A10D9" w14:textId="77777777" w:rsidR="00011DE9" w:rsidRDefault="00011DE9">
            <w:pPr>
              <w:pStyle w:val="P68B1DB1-Normal77"/>
              <w:spacing w:after="0" w:line="240" w:lineRule="auto"/>
              <w:jc w:val="center"/>
              <w:rPr>
                <w:rFonts w:eastAsia="Times New Roman" w:cs="Times New Roman"/>
                <w:noProof/>
                <w:szCs w:val="20"/>
              </w:rPr>
            </w:pPr>
            <w:r>
              <w:rPr>
                <w:noProof/>
              </w:rPr>
              <w:t>Număr secvențial</w:t>
            </w:r>
          </w:p>
        </w:tc>
        <w:tc>
          <w:tcPr>
            <w:tcW w:w="1516"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275290E" w14:textId="77777777" w:rsidR="00011DE9" w:rsidRDefault="00011DE9">
            <w:pPr>
              <w:pStyle w:val="P68B1DB1-Normal77"/>
              <w:spacing w:after="0" w:line="240" w:lineRule="auto"/>
              <w:jc w:val="center"/>
              <w:rPr>
                <w:rFonts w:eastAsia="Times New Roman" w:cs="Times New Roman"/>
                <w:noProof/>
                <w:szCs w:val="20"/>
              </w:rPr>
            </w:pPr>
            <w:r>
              <w:rPr>
                <w:noProof/>
              </w:rPr>
              <w:t>Măsură conexă (reformă sau investiții)</w:t>
            </w:r>
          </w:p>
        </w:tc>
        <w:tc>
          <w:tcPr>
            <w:tcW w:w="125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3B4B7DC" w14:textId="77777777" w:rsidR="00011DE9" w:rsidRDefault="00011DE9">
            <w:pPr>
              <w:pStyle w:val="P68B1DB1-Normal77"/>
              <w:spacing w:after="0" w:line="240" w:lineRule="auto"/>
              <w:jc w:val="center"/>
              <w:rPr>
                <w:rFonts w:eastAsia="Times New Roman" w:cs="Times New Roman"/>
                <w:noProof/>
                <w:szCs w:val="20"/>
              </w:rPr>
            </w:pPr>
            <w:r>
              <w:rPr>
                <w:noProof/>
              </w:rPr>
              <w:t>Etapă/Obiectiv</w:t>
            </w:r>
          </w:p>
        </w:tc>
        <w:tc>
          <w:tcPr>
            <w:tcW w:w="5670" w:type="dxa"/>
            <w:vMerge w:val="restart"/>
            <w:tcBorders>
              <w:top w:val="single" w:sz="4" w:space="0" w:color="auto"/>
              <w:left w:val="nil"/>
              <w:bottom w:val="single" w:sz="4" w:space="0" w:color="000000"/>
              <w:right w:val="single" w:sz="4" w:space="0" w:color="auto"/>
            </w:tcBorders>
            <w:shd w:val="clear" w:color="auto" w:fill="BDD7EE"/>
            <w:vAlign w:val="center"/>
            <w:hideMark/>
          </w:tcPr>
          <w:p w14:paraId="46FE281F" w14:textId="77777777" w:rsidR="00011DE9" w:rsidRDefault="00011DE9">
            <w:pPr>
              <w:pStyle w:val="P68B1DB1-Normal77"/>
              <w:spacing w:after="0" w:line="240" w:lineRule="auto"/>
              <w:jc w:val="center"/>
              <w:rPr>
                <w:rFonts w:eastAsia="Times New Roman" w:cs="Times New Roman"/>
                <w:noProof/>
                <w:szCs w:val="20"/>
              </w:rPr>
            </w:pPr>
            <w:r>
              <w:rPr>
                <w:noProof/>
              </w:rPr>
              <w:t>Nume</w:t>
            </w:r>
          </w:p>
        </w:tc>
      </w:tr>
      <w:tr w:rsidR="00011DE9" w14:paraId="63B2F75F" w14:textId="77777777">
        <w:trPr>
          <w:trHeight w:val="509"/>
        </w:trPr>
        <w:tc>
          <w:tcPr>
            <w:tcW w:w="2016" w:type="dxa"/>
            <w:vMerge/>
            <w:tcBorders>
              <w:top w:val="single" w:sz="4" w:space="0" w:color="auto"/>
              <w:left w:val="single" w:sz="4" w:space="0" w:color="auto"/>
              <w:bottom w:val="single" w:sz="4" w:space="0" w:color="000000"/>
              <w:right w:val="single" w:sz="4" w:space="0" w:color="auto"/>
            </w:tcBorders>
            <w:vAlign w:val="center"/>
            <w:hideMark/>
          </w:tcPr>
          <w:p w14:paraId="42278472" w14:textId="77777777" w:rsidR="00011DE9" w:rsidRDefault="00011DE9">
            <w:pPr>
              <w:spacing w:after="0" w:line="240" w:lineRule="auto"/>
              <w:rPr>
                <w:rFonts w:ascii="Times New Roman" w:eastAsia="Times New Roman" w:hAnsi="Times New Roman" w:cs="Times New Roman"/>
                <w:b/>
                <w:noProof/>
                <w:sz w:val="20"/>
                <w:szCs w:val="20"/>
              </w:rPr>
            </w:pPr>
          </w:p>
        </w:tc>
        <w:tc>
          <w:tcPr>
            <w:tcW w:w="1516" w:type="dxa"/>
            <w:vMerge/>
            <w:tcBorders>
              <w:top w:val="single" w:sz="4" w:space="0" w:color="auto"/>
              <w:left w:val="single" w:sz="4" w:space="0" w:color="auto"/>
              <w:bottom w:val="single" w:sz="4" w:space="0" w:color="000000"/>
              <w:right w:val="single" w:sz="4" w:space="0" w:color="auto"/>
            </w:tcBorders>
            <w:vAlign w:val="center"/>
            <w:hideMark/>
          </w:tcPr>
          <w:p w14:paraId="0110E043" w14:textId="77777777" w:rsidR="00011DE9" w:rsidRDefault="00011DE9">
            <w:pPr>
              <w:spacing w:after="0" w:line="240" w:lineRule="auto"/>
              <w:rPr>
                <w:rFonts w:ascii="Times New Roman" w:eastAsia="Times New Roman" w:hAnsi="Times New Roman" w:cs="Times New Roman"/>
                <w:b/>
                <w:noProof/>
                <w:sz w:val="20"/>
                <w:szCs w:val="20"/>
              </w:rPr>
            </w:pPr>
          </w:p>
        </w:tc>
        <w:tc>
          <w:tcPr>
            <w:tcW w:w="1250" w:type="dxa"/>
            <w:vMerge/>
            <w:tcBorders>
              <w:top w:val="single" w:sz="4" w:space="0" w:color="auto"/>
              <w:left w:val="single" w:sz="4" w:space="0" w:color="auto"/>
              <w:bottom w:val="single" w:sz="4" w:space="0" w:color="000000"/>
              <w:right w:val="single" w:sz="4" w:space="0" w:color="auto"/>
            </w:tcBorders>
            <w:vAlign w:val="center"/>
            <w:hideMark/>
          </w:tcPr>
          <w:p w14:paraId="7F780B74" w14:textId="77777777" w:rsidR="00011DE9" w:rsidRDefault="00011DE9">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nil"/>
              <w:bottom w:val="single" w:sz="4" w:space="0" w:color="000000"/>
              <w:right w:val="single" w:sz="4" w:space="0" w:color="auto"/>
            </w:tcBorders>
            <w:vAlign w:val="center"/>
            <w:hideMark/>
          </w:tcPr>
          <w:p w14:paraId="3B5C6C49" w14:textId="77777777" w:rsidR="00011DE9" w:rsidRDefault="00011DE9">
            <w:pPr>
              <w:spacing w:after="0" w:line="240" w:lineRule="auto"/>
              <w:rPr>
                <w:rFonts w:ascii="Times New Roman" w:eastAsia="Times New Roman" w:hAnsi="Times New Roman" w:cs="Times New Roman"/>
                <w:b/>
                <w:noProof/>
                <w:sz w:val="20"/>
                <w:szCs w:val="20"/>
              </w:rPr>
            </w:pPr>
          </w:p>
        </w:tc>
      </w:tr>
      <w:tr w:rsidR="00011DE9" w14:paraId="416822E3"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63C8E2F5" w14:textId="77777777" w:rsidR="00011DE9" w:rsidRDefault="00011DE9">
            <w:pPr>
              <w:pStyle w:val="P68B1DB1-Normal45"/>
              <w:spacing w:after="0" w:line="240" w:lineRule="auto"/>
              <w:jc w:val="center"/>
              <w:rPr>
                <w:rFonts w:eastAsia="Times New Roman"/>
                <w:noProof/>
              </w:rPr>
            </w:pPr>
            <w:r>
              <w:rPr>
                <w:noProof/>
              </w:rPr>
              <w:t>L6</w:t>
            </w:r>
          </w:p>
        </w:tc>
        <w:tc>
          <w:tcPr>
            <w:tcW w:w="1516" w:type="dxa"/>
            <w:tcBorders>
              <w:top w:val="single" w:sz="4" w:space="0" w:color="auto"/>
              <w:left w:val="nil"/>
              <w:bottom w:val="single" w:sz="4" w:space="0" w:color="auto"/>
              <w:right w:val="single" w:sz="4" w:space="0" w:color="auto"/>
            </w:tcBorders>
            <w:shd w:val="clear" w:color="auto" w:fill="C6EFCE"/>
            <w:noWrap/>
          </w:tcPr>
          <w:p w14:paraId="2CB7BCFA" w14:textId="77777777" w:rsidR="00011DE9" w:rsidRDefault="00011DE9">
            <w:pPr>
              <w:pStyle w:val="P68B1DB1-Normal45"/>
              <w:spacing w:after="0" w:line="240" w:lineRule="auto"/>
              <w:rPr>
                <w:rFonts w:eastAsia="Times New Roman"/>
                <w:noProof/>
              </w:rPr>
            </w:pPr>
            <w:r>
              <w:rPr>
                <w:noProof/>
              </w:rPr>
              <w:t>C2.I7</w:t>
            </w:r>
          </w:p>
        </w:tc>
        <w:tc>
          <w:tcPr>
            <w:tcW w:w="1250" w:type="dxa"/>
            <w:tcBorders>
              <w:top w:val="single" w:sz="4" w:space="0" w:color="auto"/>
              <w:left w:val="nil"/>
              <w:bottom w:val="single" w:sz="4" w:space="0" w:color="auto"/>
              <w:right w:val="single" w:sz="4" w:space="0" w:color="auto"/>
            </w:tcBorders>
            <w:shd w:val="clear" w:color="auto" w:fill="C6EFCE"/>
            <w:noWrap/>
          </w:tcPr>
          <w:p w14:paraId="1FD992D9"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78E34201" w14:textId="77777777" w:rsidR="00011DE9" w:rsidRDefault="00011DE9">
            <w:pPr>
              <w:pStyle w:val="P68B1DB1-Normal45"/>
              <w:spacing w:after="0" w:line="240" w:lineRule="auto"/>
              <w:rPr>
                <w:rFonts w:eastAsia="Times New Roman"/>
                <w:noProof/>
              </w:rPr>
            </w:pPr>
            <w:r>
              <w:rPr>
                <w:noProof/>
              </w:rPr>
              <w:t>Mecanismul de împrumut al ICO pentru promovarea locuințelor sociale: Acorduri juridice semnate cu beneficiarii finali și finalizarea investiției</w:t>
            </w:r>
          </w:p>
        </w:tc>
      </w:tr>
      <w:tr w:rsidR="00011DE9" w14:paraId="27DE6015"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530F487D" w14:textId="77777777" w:rsidR="00011DE9" w:rsidRDefault="00011DE9">
            <w:pPr>
              <w:pStyle w:val="P68B1DB1-Normal45"/>
              <w:spacing w:after="0" w:line="240" w:lineRule="auto"/>
              <w:jc w:val="center"/>
              <w:rPr>
                <w:rFonts w:eastAsia="Times New Roman"/>
                <w:noProof/>
              </w:rPr>
            </w:pPr>
            <w:r>
              <w:rPr>
                <w:noProof/>
              </w:rPr>
              <w:t>L11</w:t>
            </w:r>
          </w:p>
        </w:tc>
        <w:tc>
          <w:tcPr>
            <w:tcW w:w="1516" w:type="dxa"/>
            <w:tcBorders>
              <w:top w:val="single" w:sz="4" w:space="0" w:color="auto"/>
              <w:left w:val="nil"/>
              <w:bottom w:val="single" w:sz="4" w:space="0" w:color="auto"/>
              <w:right w:val="single" w:sz="4" w:space="0" w:color="auto"/>
            </w:tcBorders>
            <w:shd w:val="clear" w:color="auto" w:fill="C6EFCE"/>
            <w:noWrap/>
          </w:tcPr>
          <w:p w14:paraId="0C5CBE14" w14:textId="77777777" w:rsidR="00011DE9" w:rsidRDefault="00011DE9">
            <w:pPr>
              <w:pStyle w:val="P68B1DB1-Normal45"/>
              <w:spacing w:after="0" w:line="240" w:lineRule="auto"/>
              <w:rPr>
                <w:rFonts w:eastAsia="Times New Roman"/>
                <w:noProof/>
              </w:rPr>
            </w:pPr>
            <w:r>
              <w:rPr>
                <w:noProof/>
              </w:rPr>
              <w:t>C3.I12</w:t>
            </w:r>
          </w:p>
        </w:tc>
        <w:tc>
          <w:tcPr>
            <w:tcW w:w="1250" w:type="dxa"/>
            <w:tcBorders>
              <w:top w:val="single" w:sz="4" w:space="0" w:color="auto"/>
              <w:left w:val="nil"/>
              <w:bottom w:val="single" w:sz="4" w:space="0" w:color="auto"/>
              <w:right w:val="single" w:sz="4" w:space="0" w:color="auto"/>
            </w:tcBorders>
            <w:shd w:val="clear" w:color="auto" w:fill="C6EFCE"/>
            <w:noWrap/>
          </w:tcPr>
          <w:p w14:paraId="5CF4B07F" w14:textId="77777777" w:rsidR="00011DE9" w:rsidRDefault="00011DE9">
            <w:pPr>
              <w:pStyle w:val="P68B1DB1-Normal45"/>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3223F0EC" w14:textId="4E904D0C" w:rsidR="00011DE9" w:rsidRDefault="00011DE9">
            <w:pPr>
              <w:pStyle w:val="P68B1DB1-Normal45"/>
              <w:spacing w:after="0" w:line="240" w:lineRule="auto"/>
              <w:rPr>
                <w:rFonts w:eastAsia="Times New Roman"/>
                <w:noProof/>
              </w:rPr>
            </w:pPr>
            <w:r>
              <w:rPr>
                <w:noProof/>
              </w:rPr>
              <w:t>Modernizarea sistemelor de irigații</w:t>
            </w:r>
            <w:r w:rsidR="00971820">
              <w:rPr>
                <w:noProof/>
              </w:rPr>
              <w:t xml:space="preserve"> </w:t>
            </w:r>
          </w:p>
        </w:tc>
      </w:tr>
      <w:tr w:rsidR="00011DE9" w14:paraId="0B49A974"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1918D102" w14:textId="77777777" w:rsidR="00011DE9" w:rsidRDefault="00011DE9">
            <w:pPr>
              <w:pStyle w:val="P68B1DB1-Normal45"/>
              <w:spacing w:after="0" w:line="240" w:lineRule="auto"/>
              <w:jc w:val="center"/>
              <w:rPr>
                <w:rFonts w:eastAsia="Times New Roman"/>
                <w:noProof/>
              </w:rPr>
            </w:pPr>
            <w:r>
              <w:rPr>
                <w:noProof/>
              </w:rPr>
              <w:t>L24</w:t>
            </w:r>
          </w:p>
        </w:tc>
        <w:tc>
          <w:tcPr>
            <w:tcW w:w="1516" w:type="dxa"/>
            <w:tcBorders>
              <w:top w:val="single" w:sz="4" w:space="0" w:color="auto"/>
              <w:left w:val="nil"/>
              <w:bottom w:val="single" w:sz="4" w:space="0" w:color="auto"/>
              <w:right w:val="single" w:sz="4" w:space="0" w:color="auto"/>
            </w:tcBorders>
            <w:shd w:val="clear" w:color="auto" w:fill="C6EFCE"/>
            <w:noWrap/>
          </w:tcPr>
          <w:p w14:paraId="68170939" w14:textId="77777777" w:rsidR="00011DE9" w:rsidRDefault="00011DE9">
            <w:pPr>
              <w:pStyle w:val="P68B1DB1-Normal45"/>
              <w:spacing w:after="0" w:line="240" w:lineRule="auto"/>
              <w:rPr>
                <w:rFonts w:eastAsia="Times New Roman"/>
                <w:noProof/>
              </w:rPr>
            </w:pPr>
            <w:r>
              <w:rPr>
                <w:noProof/>
              </w:rPr>
              <w:t>C12.I7</w:t>
            </w:r>
          </w:p>
        </w:tc>
        <w:tc>
          <w:tcPr>
            <w:tcW w:w="1250" w:type="dxa"/>
            <w:tcBorders>
              <w:top w:val="single" w:sz="4" w:space="0" w:color="auto"/>
              <w:left w:val="nil"/>
              <w:bottom w:val="single" w:sz="4" w:space="0" w:color="auto"/>
              <w:right w:val="single" w:sz="4" w:space="0" w:color="auto"/>
            </w:tcBorders>
            <w:shd w:val="clear" w:color="auto" w:fill="C6EFCE"/>
            <w:noWrap/>
          </w:tcPr>
          <w:p w14:paraId="56C9C532" w14:textId="77777777" w:rsidR="00011DE9" w:rsidRDefault="00011DE9">
            <w:pPr>
              <w:pStyle w:val="P68B1DB1-Normal45"/>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159EE1D0" w14:textId="77777777" w:rsidR="00011DE9" w:rsidRDefault="00011DE9">
            <w:pPr>
              <w:pStyle w:val="P68B1DB1-Normal45"/>
              <w:spacing w:after="0" w:line="240" w:lineRule="auto"/>
              <w:rPr>
                <w:rFonts w:eastAsia="Times New Roman"/>
                <w:noProof/>
              </w:rPr>
            </w:pPr>
            <w:r>
              <w:rPr>
                <w:noProof/>
              </w:rPr>
              <w:t>Schemă de sprijin pentru proiecte strategice în lanțul valoric al automobilelor electrice (împrumuturi): Publicarea acordurilor juridice semnate cu beneficiarii finali sau a rezoluțiilor finale de atribuire și finalizarea investiției</w:t>
            </w:r>
          </w:p>
        </w:tc>
      </w:tr>
      <w:tr w:rsidR="00011DE9" w14:paraId="17658AAB"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23F68628" w14:textId="77777777" w:rsidR="00011DE9" w:rsidRDefault="00011DE9">
            <w:pPr>
              <w:pStyle w:val="P68B1DB1-Normal45"/>
              <w:spacing w:after="0" w:line="240" w:lineRule="auto"/>
              <w:jc w:val="center"/>
              <w:rPr>
                <w:rFonts w:eastAsia="Times New Roman"/>
                <w:noProof/>
              </w:rPr>
            </w:pPr>
            <w:r>
              <w:rPr>
                <w:noProof/>
              </w:rPr>
              <w:t>L28</w:t>
            </w:r>
          </w:p>
        </w:tc>
        <w:tc>
          <w:tcPr>
            <w:tcW w:w="1516" w:type="dxa"/>
            <w:tcBorders>
              <w:top w:val="single" w:sz="4" w:space="0" w:color="auto"/>
              <w:left w:val="nil"/>
              <w:bottom w:val="single" w:sz="4" w:space="0" w:color="auto"/>
              <w:right w:val="single" w:sz="4" w:space="0" w:color="auto"/>
            </w:tcBorders>
            <w:shd w:val="clear" w:color="auto" w:fill="C6EFCE"/>
            <w:noWrap/>
          </w:tcPr>
          <w:p w14:paraId="43857D27" w14:textId="77777777" w:rsidR="00011DE9" w:rsidRDefault="00011DE9">
            <w:pPr>
              <w:pStyle w:val="P68B1DB1-Normal45"/>
              <w:spacing w:after="0" w:line="240" w:lineRule="auto"/>
              <w:rPr>
                <w:rFonts w:eastAsia="Times New Roman"/>
                <w:noProof/>
              </w:rPr>
            </w:pPr>
            <w:r>
              <w:rPr>
                <w:noProof/>
              </w:rPr>
              <w:t>C13.I6</w:t>
            </w:r>
          </w:p>
        </w:tc>
        <w:tc>
          <w:tcPr>
            <w:tcW w:w="1250" w:type="dxa"/>
            <w:tcBorders>
              <w:top w:val="single" w:sz="4" w:space="0" w:color="auto"/>
              <w:left w:val="nil"/>
              <w:bottom w:val="single" w:sz="4" w:space="0" w:color="auto"/>
              <w:right w:val="single" w:sz="4" w:space="0" w:color="auto"/>
            </w:tcBorders>
            <w:shd w:val="clear" w:color="auto" w:fill="C6EFCE"/>
            <w:noWrap/>
          </w:tcPr>
          <w:p w14:paraId="731F2C16"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0DEB4FEA" w14:textId="77777777" w:rsidR="00011DE9" w:rsidRDefault="00011DE9">
            <w:pPr>
              <w:pStyle w:val="P68B1DB1-Normal45"/>
              <w:spacing w:after="0" w:line="240" w:lineRule="auto"/>
              <w:rPr>
                <w:rFonts w:eastAsia="Times New Roman"/>
                <w:noProof/>
              </w:rPr>
            </w:pPr>
            <w:r>
              <w:rPr>
                <w:noProof/>
              </w:rPr>
              <w:t>Linia verde a ICO – Acorduri juridice semnate cu beneficiarii finali (inclusiv fonduri de investiții în acțiuni) și finalizarea investiției</w:t>
            </w:r>
          </w:p>
        </w:tc>
      </w:tr>
      <w:tr w:rsidR="00011DE9" w14:paraId="22958ADA"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2D85809D" w14:textId="77777777" w:rsidR="00011DE9" w:rsidRDefault="00011DE9">
            <w:pPr>
              <w:pStyle w:val="P68B1DB1-Normal45"/>
              <w:spacing w:after="0" w:line="240" w:lineRule="auto"/>
              <w:jc w:val="center"/>
              <w:rPr>
                <w:rFonts w:eastAsia="Times New Roman"/>
                <w:noProof/>
              </w:rPr>
            </w:pPr>
            <w:r>
              <w:rPr>
                <w:noProof/>
              </w:rPr>
              <w:t>L33</w:t>
            </w:r>
          </w:p>
        </w:tc>
        <w:tc>
          <w:tcPr>
            <w:tcW w:w="1516" w:type="dxa"/>
            <w:tcBorders>
              <w:top w:val="single" w:sz="4" w:space="0" w:color="auto"/>
              <w:left w:val="nil"/>
              <w:bottom w:val="single" w:sz="4" w:space="0" w:color="auto"/>
              <w:right w:val="single" w:sz="4" w:space="0" w:color="auto"/>
            </w:tcBorders>
            <w:shd w:val="clear" w:color="auto" w:fill="C6EFCE"/>
            <w:noWrap/>
          </w:tcPr>
          <w:p w14:paraId="75A3CD3D" w14:textId="77777777" w:rsidR="00011DE9" w:rsidRDefault="00011DE9">
            <w:pPr>
              <w:pStyle w:val="P68B1DB1-Normal45"/>
              <w:spacing w:after="0" w:line="240" w:lineRule="auto"/>
              <w:rPr>
                <w:rFonts w:eastAsia="Times New Roman"/>
                <w:noProof/>
              </w:rPr>
            </w:pPr>
            <w:r>
              <w:rPr>
                <w:noProof/>
              </w:rPr>
              <w:t>C13.I6</w:t>
            </w:r>
          </w:p>
        </w:tc>
        <w:tc>
          <w:tcPr>
            <w:tcW w:w="1250" w:type="dxa"/>
            <w:tcBorders>
              <w:top w:val="single" w:sz="4" w:space="0" w:color="auto"/>
              <w:left w:val="nil"/>
              <w:bottom w:val="single" w:sz="4" w:space="0" w:color="auto"/>
              <w:right w:val="single" w:sz="4" w:space="0" w:color="auto"/>
            </w:tcBorders>
            <w:shd w:val="clear" w:color="auto" w:fill="C6EFCE"/>
            <w:noWrap/>
          </w:tcPr>
          <w:p w14:paraId="2805A4EF"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7B951D64" w14:textId="77777777" w:rsidR="00011DE9" w:rsidRDefault="00011DE9">
            <w:pPr>
              <w:pStyle w:val="P68B1DB1-Normal45"/>
              <w:spacing w:after="0" w:line="240" w:lineRule="auto"/>
              <w:rPr>
                <w:rFonts w:eastAsia="Times New Roman"/>
                <w:noProof/>
              </w:rPr>
            </w:pPr>
            <w:r>
              <w:rPr>
                <w:noProof/>
              </w:rPr>
              <w:t>Linia pentru întreprinderi și antreprenori din cadrul ICO – Acorduri juridice semnate cu beneficiarii finali (inclusiv fonduri de investiții în acțiuni) și finalizarea investiției</w:t>
            </w:r>
          </w:p>
        </w:tc>
      </w:tr>
      <w:tr w:rsidR="00011DE9" w14:paraId="1BE6B102"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5DFC9B0B" w14:textId="77777777" w:rsidR="00011DE9" w:rsidRDefault="00011DE9">
            <w:pPr>
              <w:pStyle w:val="P68B1DB1-Normal45"/>
              <w:spacing w:after="0" w:line="240" w:lineRule="auto"/>
              <w:jc w:val="center"/>
              <w:rPr>
                <w:rFonts w:eastAsia="Times New Roman"/>
                <w:noProof/>
              </w:rPr>
            </w:pPr>
            <w:r>
              <w:rPr>
                <w:noProof/>
              </w:rPr>
              <w:t>L38</w:t>
            </w:r>
          </w:p>
        </w:tc>
        <w:tc>
          <w:tcPr>
            <w:tcW w:w="1516" w:type="dxa"/>
            <w:tcBorders>
              <w:top w:val="single" w:sz="4" w:space="0" w:color="auto"/>
              <w:left w:val="nil"/>
              <w:bottom w:val="single" w:sz="4" w:space="0" w:color="auto"/>
              <w:right w:val="single" w:sz="4" w:space="0" w:color="auto"/>
            </w:tcBorders>
            <w:shd w:val="clear" w:color="auto" w:fill="C6EFCE"/>
            <w:noWrap/>
          </w:tcPr>
          <w:p w14:paraId="3ED4EAA2" w14:textId="77777777" w:rsidR="00011DE9" w:rsidRDefault="00011DE9">
            <w:pPr>
              <w:pStyle w:val="P68B1DB1-Normal45"/>
              <w:spacing w:after="0" w:line="240" w:lineRule="auto"/>
              <w:rPr>
                <w:rFonts w:eastAsia="Times New Roman"/>
                <w:noProof/>
              </w:rPr>
            </w:pPr>
            <w:r>
              <w:rPr>
                <w:noProof/>
              </w:rPr>
              <w:t>C13.I7</w:t>
            </w:r>
          </w:p>
        </w:tc>
        <w:tc>
          <w:tcPr>
            <w:tcW w:w="1250" w:type="dxa"/>
            <w:tcBorders>
              <w:top w:val="single" w:sz="4" w:space="0" w:color="auto"/>
              <w:left w:val="nil"/>
              <w:bottom w:val="single" w:sz="4" w:space="0" w:color="auto"/>
              <w:right w:val="single" w:sz="4" w:space="0" w:color="auto"/>
            </w:tcBorders>
            <w:shd w:val="clear" w:color="auto" w:fill="C6EFCE"/>
            <w:noWrap/>
          </w:tcPr>
          <w:p w14:paraId="093A2970"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17546656" w14:textId="77777777" w:rsidR="00011DE9" w:rsidRDefault="00011DE9">
            <w:pPr>
              <w:pStyle w:val="P68B1DB1-Normal45"/>
              <w:spacing w:after="0" w:line="240" w:lineRule="auto"/>
              <w:rPr>
                <w:rFonts w:eastAsia="Times New Roman"/>
                <w:noProof/>
              </w:rPr>
            </w:pPr>
            <w:r>
              <w:rPr>
                <w:noProof/>
              </w:rPr>
              <w:t>Tehnologia următoare – Acordurile juridice semnate cu beneficiarii finali și fondurile de capital ale investiției</w:t>
            </w:r>
          </w:p>
        </w:tc>
      </w:tr>
      <w:tr w:rsidR="00011DE9" w14:paraId="0FB2D9E6"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7C21634E" w14:textId="77777777" w:rsidR="00011DE9" w:rsidRDefault="00011DE9">
            <w:pPr>
              <w:pStyle w:val="P68B1DB1-Normal45"/>
              <w:spacing w:after="0" w:line="240" w:lineRule="auto"/>
              <w:jc w:val="center"/>
              <w:rPr>
                <w:rFonts w:eastAsia="Times New Roman"/>
                <w:noProof/>
              </w:rPr>
            </w:pPr>
            <w:r>
              <w:rPr>
                <w:noProof/>
              </w:rPr>
              <w:t>L42</w:t>
            </w:r>
          </w:p>
        </w:tc>
        <w:tc>
          <w:tcPr>
            <w:tcW w:w="1516" w:type="dxa"/>
            <w:tcBorders>
              <w:top w:val="single" w:sz="4" w:space="0" w:color="auto"/>
              <w:left w:val="nil"/>
              <w:bottom w:val="single" w:sz="4" w:space="0" w:color="auto"/>
              <w:right w:val="single" w:sz="4" w:space="0" w:color="auto"/>
            </w:tcBorders>
            <w:shd w:val="clear" w:color="auto" w:fill="C6EFCE"/>
            <w:noWrap/>
          </w:tcPr>
          <w:p w14:paraId="27EB8F6A" w14:textId="77777777" w:rsidR="00011DE9" w:rsidRDefault="00011DE9">
            <w:pPr>
              <w:pStyle w:val="P68B1DB1-Normal45"/>
              <w:spacing w:after="0" w:line="240" w:lineRule="auto"/>
              <w:rPr>
                <w:rFonts w:eastAsia="Times New Roman"/>
                <w:noProof/>
              </w:rPr>
            </w:pPr>
            <w:r>
              <w:rPr>
                <w:noProof/>
              </w:rPr>
              <w:t>C13.I8</w:t>
            </w:r>
          </w:p>
        </w:tc>
        <w:tc>
          <w:tcPr>
            <w:tcW w:w="1250" w:type="dxa"/>
            <w:tcBorders>
              <w:top w:val="single" w:sz="4" w:space="0" w:color="auto"/>
              <w:left w:val="nil"/>
              <w:bottom w:val="single" w:sz="4" w:space="0" w:color="auto"/>
              <w:right w:val="single" w:sz="4" w:space="0" w:color="auto"/>
            </w:tcBorders>
            <w:shd w:val="clear" w:color="auto" w:fill="C6EFCE"/>
            <w:noWrap/>
          </w:tcPr>
          <w:p w14:paraId="12E99487"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25F3A94E" w14:textId="77777777" w:rsidR="00011DE9" w:rsidRDefault="00011DE9">
            <w:pPr>
              <w:pStyle w:val="P68B1DB1-Normal45"/>
              <w:spacing w:after="0" w:line="240" w:lineRule="auto"/>
              <w:rPr>
                <w:rFonts w:eastAsia="Times New Roman"/>
                <w:noProof/>
              </w:rPr>
            </w:pPr>
            <w:r>
              <w:rPr>
                <w:noProof/>
              </w:rPr>
              <w:t>FOCO – Acorduri juridice semnate cu beneficiarii finali ai investiției (inclusiv fondurile de investiții în acțiuni)</w:t>
            </w:r>
          </w:p>
        </w:tc>
      </w:tr>
      <w:tr w:rsidR="00011DE9" w14:paraId="79CC343B"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5B5E07BF" w14:textId="77777777" w:rsidR="00011DE9" w:rsidRDefault="00011DE9">
            <w:pPr>
              <w:pStyle w:val="P68B1DB1-Normal45"/>
              <w:spacing w:after="0" w:line="240" w:lineRule="auto"/>
              <w:jc w:val="center"/>
              <w:rPr>
                <w:rFonts w:eastAsia="Times New Roman"/>
                <w:noProof/>
              </w:rPr>
            </w:pPr>
            <w:r>
              <w:rPr>
                <w:noProof/>
              </w:rPr>
              <w:t>L49</w:t>
            </w:r>
          </w:p>
        </w:tc>
        <w:tc>
          <w:tcPr>
            <w:tcW w:w="1516" w:type="dxa"/>
            <w:tcBorders>
              <w:top w:val="single" w:sz="4" w:space="0" w:color="auto"/>
              <w:left w:val="nil"/>
              <w:bottom w:val="single" w:sz="4" w:space="0" w:color="auto"/>
              <w:right w:val="single" w:sz="4" w:space="0" w:color="auto"/>
            </w:tcBorders>
            <w:shd w:val="clear" w:color="auto" w:fill="C6EFCE"/>
            <w:noWrap/>
          </w:tcPr>
          <w:p w14:paraId="415C1742" w14:textId="77777777" w:rsidR="00011DE9" w:rsidRDefault="00011DE9">
            <w:pPr>
              <w:pStyle w:val="P68B1DB1-Normal45"/>
              <w:spacing w:after="0" w:line="240" w:lineRule="auto"/>
              <w:rPr>
                <w:rFonts w:eastAsia="Times New Roman"/>
                <w:noProof/>
              </w:rPr>
            </w:pPr>
            <w:r>
              <w:rPr>
                <w:noProof/>
              </w:rPr>
              <w:t>C13.I12</w:t>
            </w:r>
          </w:p>
        </w:tc>
        <w:tc>
          <w:tcPr>
            <w:tcW w:w="1250" w:type="dxa"/>
            <w:tcBorders>
              <w:top w:val="single" w:sz="4" w:space="0" w:color="auto"/>
              <w:left w:val="nil"/>
              <w:bottom w:val="single" w:sz="4" w:space="0" w:color="auto"/>
              <w:right w:val="single" w:sz="4" w:space="0" w:color="auto"/>
            </w:tcBorders>
            <w:shd w:val="clear" w:color="auto" w:fill="C6EFCE"/>
            <w:noWrap/>
          </w:tcPr>
          <w:p w14:paraId="04F515E6"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955C0A4" w14:textId="77777777" w:rsidR="00011DE9" w:rsidRDefault="00011DE9">
            <w:pPr>
              <w:pStyle w:val="P68B1DB1-Normal45"/>
              <w:spacing w:after="0" w:line="240" w:lineRule="auto"/>
              <w:rPr>
                <w:rFonts w:eastAsia="Times New Roman"/>
                <w:noProof/>
              </w:rPr>
            </w:pPr>
            <w:r>
              <w:rPr>
                <w:noProof/>
              </w:rPr>
              <w:t>ENISA – Fondul pentru antreprenoriat și IMM-uri – Acorduri juridice semnate cu beneficiarii finali ai investiției</w:t>
            </w:r>
          </w:p>
        </w:tc>
      </w:tr>
      <w:tr w:rsidR="00011DE9" w14:paraId="5A1CADC0"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29FCC7C7" w14:textId="77777777" w:rsidR="00011DE9" w:rsidRDefault="00011DE9">
            <w:pPr>
              <w:pStyle w:val="P68B1DB1-Normal45"/>
              <w:spacing w:after="0" w:line="240" w:lineRule="auto"/>
              <w:jc w:val="center"/>
              <w:rPr>
                <w:rFonts w:eastAsia="Times New Roman"/>
                <w:noProof/>
              </w:rPr>
            </w:pPr>
            <w:r>
              <w:rPr>
                <w:noProof/>
              </w:rPr>
              <w:t>L57</w:t>
            </w:r>
          </w:p>
        </w:tc>
        <w:tc>
          <w:tcPr>
            <w:tcW w:w="1516" w:type="dxa"/>
            <w:tcBorders>
              <w:top w:val="single" w:sz="4" w:space="0" w:color="auto"/>
              <w:left w:val="nil"/>
              <w:bottom w:val="single" w:sz="4" w:space="0" w:color="auto"/>
              <w:right w:val="single" w:sz="4" w:space="0" w:color="auto"/>
            </w:tcBorders>
            <w:shd w:val="clear" w:color="auto" w:fill="C6EFCE"/>
            <w:noWrap/>
          </w:tcPr>
          <w:p w14:paraId="6188D902" w14:textId="77777777" w:rsidR="00011DE9" w:rsidRDefault="00011DE9">
            <w:pPr>
              <w:pStyle w:val="P68B1DB1-Normal45"/>
              <w:spacing w:after="0" w:line="240" w:lineRule="auto"/>
              <w:rPr>
                <w:rFonts w:eastAsia="Times New Roman"/>
                <w:noProof/>
              </w:rPr>
            </w:pPr>
            <w:r>
              <w:rPr>
                <w:noProof/>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59FA1903" w14:textId="77777777" w:rsidR="00011DE9" w:rsidRDefault="00011DE9">
            <w:pPr>
              <w:pStyle w:val="P68B1DB1-Normal45"/>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6A9E6885" w14:textId="77777777" w:rsidR="00011DE9" w:rsidRDefault="00011DE9">
            <w:pPr>
              <w:pStyle w:val="P68B1DB1-Normal45"/>
              <w:spacing w:after="0" w:line="240" w:lineRule="auto"/>
              <w:rPr>
                <w:rFonts w:eastAsia="Times New Roman"/>
                <w:noProof/>
              </w:rPr>
            </w:pPr>
            <w:r>
              <w:rPr>
                <w:noProof/>
              </w:rPr>
              <w:t>Fondul regional de reziliență – Alte linii: Acorduri juridice semnate cu beneficiarii finali (inclusiv fonduri de investiții în acțiuni)</w:t>
            </w:r>
          </w:p>
        </w:tc>
      </w:tr>
      <w:tr w:rsidR="00011DE9" w14:paraId="1CA40615"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19428D1F" w14:textId="77777777" w:rsidR="00011DE9" w:rsidRDefault="00011DE9">
            <w:pPr>
              <w:pStyle w:val="P68B1DB1-Normal45"/>
              <w:spacing w:after="0" w:line="240" w:lineRule="auto"/>
              <w:jc w:val="center"/>
              <w:rPr>
                <w:rFonts w:eastAsia="Times New Roman"/>
                <w:noProof/>
              </w:rPr>
            </w:pPr>
            <w:r>
              <w:rPr>
                <w:noProof/>
              </w:rPr>
              <w:t>L59</w:t>
            </w:r>
          </w:p>
        </w:tc>
        <w:tc>
          <w:tcPr>
            <w:tcW w:w="1516" w:type="dxa"/>
            <w:tcBorders>
              <w:top w:val="single" w:sz="4" w:space="0" w:color="auto"/>
              <w:left w:val="nil"/>
              <w:bottom w:val="single" w:sz="4" w:space="0" w:color="auto"/>
              <w:right w:val="single" w:sz="4" w:space="0" w:color="auto"/>
            </w:tcBorders>
            <w:shd w:val="clear" w:color="auto" w:fill="C6EFCE"/>
            <w:noWrap/>
          </w:tcPr>
          <w:p w14:paraId="292CA718" w14:textId="77777777" w:rsidR="00011DE9" w:rsidRDefault="00011DE9">
            <w:pPr>
              <w:pStyle w:val="P68B1DB1-Normal45"/>
              <w:spacing w:after="0" w:line="240" w:lineRule="auto"/>
              <w:rPr>
                <w:rFonts w:eastAsia="Times New Roman"/>
                <w:noProof/>
              </w:rPr>
            </w:pPr>
            <w:r>
              <w:rPr>
                <w:noProof/>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31130C7A"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2D2661C" w14:textId="77777777" w:rsidR="00011DE9" w:rsidRDefault="00011DE9">
            <w:pPr>
              <w:pStyle w:val="P68B1DB1-Normal45"/>
              <w:spacing w:after="0" w:line="240" w:lineRule="auto"/>
              <w:rPr>
                <w:rFonts w:eastAsia="Times New Roman"/>
                <w:noProof/>
              </w:rPr>
            </w:pPr>
            <w:r>
              <w:rPr>
                <w:noProof/>
              </w:rPr>
              <w:t>Fondul regional de reziliență – Linie publică directă: Acorduri juridice semnate cu beneficiarii finali, verificarea granturilor și executarea contractelor</w:t>
            </w:r>
          </w:p>
        </w:tc>
      </w:tr>
      <w:tr w:rsidR="00011DE9" w14:paraId="1B2AB8AC"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5B8A1929" w14:textId="77777777" w:rsidR="00011DE9" w:rsidRDefault="00011DE9">
            <w:pPr>
              <w:pStyle w:val="P68B1DB1-Normal45"/>
              <w:spacing w:after="0" w:line="240" w:lineRule="auto"/>
              <w:jc w:val="center"/>
              <w:rPr>
                <w:rFonts w:eastAsia="Times New Roman"/>
                <w:noProof/>
              </w:rPr>
            </w:pPr>
            <w:r>
              <w:rPr>
                <w:noProof/>
              </w:rPr>
              <w:t>L62</w:t>
            </w:r>
          </w:p>
        </w:tc>
        <w:tc>
          <w:tcPr>
            <w:tcW w:w="1516" w:type="dxa"/>
            <w:tcBorders>
              <w:top w:val="single" w:sz="4" w:space="0" w:color="auto"/>
              <w:left w:val="nil"/>
              <w:bottom w:val="single" w:sz="4" w:space="0" w:color="auto"/>
              <w:right w:val="single" w:sz="4" w:space="0" w:color="auto"/>
            </w:tcBorders>
            <w:shd w:val="clear" w:color="auto" w:fill="C6EFCE"/>
            <w:noWrap/>
          </w:tcPr>
          <w:p w14:paraId="5BF42950" w14:textId="77777777" w:rsidR="00011DE9" w:rsidRDefault="00011DE9">
            <w:pPr>
              <w:pStyle w:val="P68B1DB1-Normal45"/>
              <w:spacing w:after="0" w:line="240" w:lineRule="auto"/>
              <w:rPr>
                <w:rFonts w:eastAsia="Times New Roman"/>
                <w:noProof/>
              </w:rPr>
            </w:pPr>
            <w:r>
              <w:rPr>
                <w:noProof/>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40E1BFB9"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2F84F7FF" w14:textId="77777777" w:rsidR="00011DE9" w:rsidRDefault="00011DE9">
            <w:pPr>
              <w:pStyle w:val="P68B1DB1-Normal45"/>
              <w:spacing w:after="0" w:line="240" w:lineRule="auto"/>
              <w:rPr>
                <w:rFonts w:eastAsia="Times New Roman"/>
                <w:noProof/>
              </w:rPr>
            </w:pPr>
            <w:r>
              <w:rPr>
                <w:noProof/>
              </w:rPr>
              <w:t>Fondul regional pentru reziliență – Ministerul Afacerilor Economice și Tranziției Digitale a finalizat investiția</w:t>
            </w:r>
          </w:p>
        </w:tc>
      </w:tr>
      <w:tr w:rsidR="00011DE9" w14:paraId="3C10536F"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50FB5974" w14:textId="77777777" w:rsidR="00011DE9" w:rsidRDefault="00011DE9">
            <w:pPr>
              <w:pStyle w:val="P68B1DB1-Normal45"/>
              <w:spacing w:after="0" w:line="240" w:lineRule="auto"/>
              <w:jc w:val="center"/>
              <w:rPr>
                <w:rFonts w:eastAsia="Times New Roman"/>
                <w:noProof/>
              </w:rPr>
            </w:pPr>
            <w:r>
              <w:rPr>
                <w:noProof/>
              </w:rPr>
              <w:t>L60</w:t>
            </w:r>
          </w:p>
        </w:tc>
        <w:tc>
          <w:tcPr>
            <w:tcW w:w="1516" w:type="dxa"/>
            <w:tcBorders>
              <w:top w:val="single" w:sz="4" w:space="0" w:color="auto"/>
              <w:left w:val="nil"/>
              <w:bottom w:val="single" w:sz="4" w:space="0" w:color="auto"/>
              <w:right w:val="single" w:sz="4" w:space="0" w:color="auto"/>
            </w:tcBorders>
            <w:shd w:val="clear" w:color="auto" w:fill="C6EFCE"/>
            <w:noWrap/>
          </w:tcPr>
          <w:p w14:paraId="55A38F1B" w14:textId="77777777" w:rsidR="00011DE9" w:rsidRDefault="00011DE9">
            <w:pPr>
              <w:pStyle w:val="P68B1DB1-Normal45"/>
              <w:spacing w:after="0" w:line="240" w:lineRule="auto"/>
              <w:rPr>
                <w:rFonts w:eastAsia="Times New Roman"/>
                <w:noProof/>
              </w:rPr>
            </w:pPr>
            <w:r>
              <w:rPr>
                <w:noProof/>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7EB5E216"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22AF59AF" w14:textId="77777777" w:rsidR="00011DE9" w:rsidRDefault="00011DE9">
            <w:pPr>
              <w:pStyle w:val="P68B1DB1-Normal45"/>
              <w:spacing w:after="0" w:line="240" w:lineRule="auto"/>
              <w:rPr>
                <w:rFonts w:eastAsia="Times New Roman"/>
                <w:noProof/>
              </w:rPr>
            </w:pPr>
            <w:r>
              <w:rPr>
                <w:noProof/>
              </w:rPr>
              <w:t>Fondul regional pentru reziliență – contribuția la schimbările climatice</w:t>
            </w:r>
          </w:p>
        </w:tc>
      </w:tr>
      <w:tr w:rsidR="00011DE9" w14:paraId="376D4956"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595DA064" w14:textId="77777777" w:rsidR="00011DE9" w:rsidRDefault="00011DE9">
            <w:pPr>
              <w:pStyle w:val="P68B1DB1-Normal45"/>
              <w:spacing w:after="0" w:line="240" w:lineRule="auto"/>
              <w:jc w:val="center"/>
              <w:rPr>
                <w:rFonts w:eastAsia="Times New Roman"/>
                <w:noProof/>
              </w:rPr>
            </w:pPr>
            <w:r>
              <w:rPr>
                <w:noProof/>
              </w:rPr>
              <w:t>L90</w:t>
            </w:r>
          </w:p>
        </w:tc>
        <w:tc>
          <w:tcPr>
            <w:tcW w:w="1516" w:type="dxa"/>
            <w:tcBorders>
              <w:top w:val="single" w:sz="4" w:space="0" w:color="auto"/>
              <w:left w:val="nil"/>
              <w:bottom w:val="single" w:sz="4" w:space="0" w:color="auto"/>
              <w:right w:val="single" w:sz="4" w:space="0" w:color="auto"/>
            </w:tcBorders>
            <w:shd w:val="clear" w:color="auto" w:fill="C6EFCE"/>
            <w:noWrap/>
          </w:tcPr>
          <w:p w14:paraId="77DEF8B6" w14:textId="77777777" w:rsidR="00011DE9" w:rsidRDefault="00011DE9">
            <w:pPr>
              <w:pStyle w:val="P68B1DB1-Normal45"/>
              <w:spacing w:after="0" w:line="240" w:lineRule="auto"/>
              <w:rPr>
                <w:rFonts w:eastAsia="Times New Roman"/>
                <w:noProof/>
              </w:rPr>
            </w:pPr>
            <w:r>
              <w:rPr>
                <w:noProof/>
              </w:rPr>
              <w:t>C13.I15</w:t>
            </w:r>
          </w:p>
        </w:tc>
        <w:tc>
          <w:tcPr>
            <w:tcW w:w="1250" w:type="dxa"/>
            <w:tcBorders>
              <w:top w:val="single" w:sz="4" w:space="0" w:color="auto"/>
              <w:left w:val="nil"/>
              <w:bottom w:val="single" w:sz="4" w:space="0" w:color="auto"/>
              <w:right w:val="single" w:sz="4" w:space="0" w:color="auto"/>
            </w:tcBorders>
            <w:shd w:val="clear" w:color="auto" w:fill="C6EFCE"/>
            <w:noWrap/>
          </w:tcPr>
          <w:p w14:paraId="3FF85CE5"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3610A3EB" w14:textId="77777777" w:rsidR="00011DE9" w:rsidRDefault="00011DE9">
            <w:pPr>
              <w:pStyle w:val="P68B1DB1-Normal78"/>
              <w:spacing w:after="0" w:line="240" w:lineRule="auto"/>
              <w:rPr>
                <w:rFonts w:eastAsia="Times New Roman" w:cs="Times New Roman"/>
                <w:noProof/>
                <w:szCs w:val="20"/>
              </w:rPr>
            </w:pPr>
            <w:r>
              <w:rPr>
                <w:noProof/>
              </w:rPr>
              <w:t>Politică de investiții</w:t>
            </w:r>
          </w:p>
        </w:tc>
      </w:tr>
      <w:tr w:rsidR="00011DE9" w14:paraId="77444276"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76A32F59" w14:textId="77777777" w:rsidR="00011DE9" w:rsidRDefault="00011DE9">
            <w:pPr>
              <w:pStyle w:val="P68B1DB1-Normal45"/>
              <w:spacing w:after="0" w:line="240" w:lineRule="auto"/>
              <w:jc w:val="center"/>
              <w:rPr>
                <w:rFonts w:eastAsia="Times New Roman"/>
                <w:noProof/>
              </w:rPr>
            </w:pPr>
            <w:r>
              <w:rPr>
                <w:noProof/>
              </w:rPr>
              <w:t>L91</w:t>
            </w:r>
          </w:p>
        </w:tc>
        <w:tc>
          <w:tcPr>
            <w:tcW w:w="1516" w:type="dxa"/>
            <w:tcBorders>
              <w:top w:val="single" w:sz="4" w:space="0" w:color="auto"/>
              <w:left w:val="nil"/>
              <w:bottom w:val="single" w:sz="4" w:space="0" w:color="auto"/>
              <w:right w:val="single" w:sz="4" w:space="0" w:color="auto"/>
            </w:tcBorders>
            <w:shd w:val="clear" w:color="auto" w:fill="C6EFCE"/>
            <w:noWrap/>
          </w:tcPr>
          <w:p w14:paraId="6D5C51A1" w14:textId="77777777" w:rsidR="00011DE9" w:rsidRDefault="00011DE9">
            <w:pPr>
              <w:pStyle w:val="P68B1DB1-Normal45"/>
              <w:spacing w:after="0" w:line="240" w:lineRule="auto"/>
              <w:rPr>
                <w:rFonts w:eastAsia="Times New Roman"/>
                <w:noProof/>
              </w:rPr>
            </w:pPr>
            <w:r>
              <w:rPr>
                <w:noProof/>
              </w:rPr>
              <w:t>C13.I15</w:t>
            </w:r>
          </w:p>
        </w:tc>
        <w:tc>
          <w:tcPr>
            <w:tcW w:w="1250" w:type="dxa"/>
            <w:tcBorders>
              <w:top w:val="single" w:sz="4" w:space="0" w:color="auto"/>
              <w:left w:val="nil"/>
              <w:bottom w:val="single" w:sz="4" w:space="0" w:color="auto"/>
              <w:right w:val="single" w:sz="4" w:space="0" w:color="auto"/>
            </w:tcBorders>
            <w:shd w:val="clear" w:color="auto" w:fill="C6EFCE"/>
            <w:noWrap/>
          </w:tcPr>
          <w:p w14:paraId="09B487B3"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6DC69B64" w14:textId="77777777" w:rsidR="00011DE9" w:rsidRDefault="00011DE9">
            <w:pPr>
              <w:pStyle w:val="P68B1DB1-Normal78"/>
              <w:spacing w:after="0" w:line="240" w:lineRule="auto"/>
              <w:rPr>
                <w:rFonts w:eastAsia="Times New Roman" w:cs="Times New Roman"/>
                <w:noProof/>
                <w:szCs w:val="20"/>
              </w:rPr>
            </w:pPr>
            <w:r>
              <w:rPr>
                <w:noProof/>
              </w:rPr>
              <w:t>Injecție de capital</w:t>
            </w:r>
          </w:p>
        </w:tc>
      </w:tr>
      <w:tr w:rsidR="00011DE9" w14:paraId="25B62140"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10B6A1E1" w14:textId="77777777" w:rsidR="00011DE9" w:rsidRDefault="00011DE9">
            <w:pPr>
              <w:pStyle w:val="P68B1DB1-Normal45"/>
              <w:spacing w:after="0" w:line="240" w:lineRule="auto"/>
              <w:jc w:val="center"/>
              <w:rPr>
                <w:rFonts w:eastAsia="Times New Roman"/>
                <w:noProof/>
              </w:rPr>
            </w:pPr>
            <w:r>
              <w:rPr>
                <w:noProof/>
              </w:rPr>
              <w:t>L65</w:t>
            </w:r>
          </w:p>
        </w:tc>
        <w:tc>
          <w:tcPr>
            <w:tcW w:w="1516" w:type="dxa"/>
            <w:tcBorders>
              <w:top w:val="single" w:sz="4" w:space="0" w:color="auto"/>
              <w:left w:val="nil"/>
              <w:bottom w:val="single" w:sz="4" w:space="0" w:color="auto"/>
              <w:right w:val="single" w:sz="4" w:space="0" w:color="auto"/>
            </w:tcBorders>
            <w:shd w:val="clear" w:color="auto" w:fill="C6EFCE"/>
            <w:noWrap/>
          </w:tcPr>
          <w:p w14:paraId="496CF5B3" w14:textId="77777777" w:rsidR="00011DE9" w:rsidRDefault="00011DE9">
            <w:pPr>
              <w:pStyle w:val="P68B1DB1-Normal45"/>
              <w:spacing w:after="0" w:line="240" w:lineRule="auto"/>
              <w:rPr>
                <w:rFonts w:eastAsia="Times New Roman"/>
                <w:noProof/>
              </w:rPr>
            </w:pPr>
            <w:r>
              <w:rPr>
                <w:noProof/>
              </w:rPr>
              <w:t>C15.I9</w:t>
            </w:r>
          </w:p>
        </w:tc>
        <w:tc>
          <w:tcPr>
            <w:tcW w:w="1250" w:type="dxa"/>
            <w:tcBorders>
              <w:top w:val="single" w:sz="4" w:space="0" w:color="auto"/>
              <w:left w:val="nil"/>
              <w:bottom w:val="single" w:sz="4" w:space="0" w:color="auto"/>
              <w:right w:val="single" w:sz="4" w:space="0" w:color="auto"/>
            </w:tcBorders>
            <w:shd w:val="clear" w:color="auto" w:fill="C6EFCE"/>
            <w:noWrap/>
          </w:tcPr>
          <w:p w14:paraId="741AC05F" w14:textId="77777777" w:rsidR="00011DE9" w:rsidRDefault="00011DE9">
            <w:pPr>
              <w:pStyle w:val="P68B1DB1-Normal45"/>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152EF61" w14:textId="77777777" w:rsidR="00011DE9" w:rsidRDefault="00011DE9">
            <w:pPr>
              <w:pStyle w:val="P68B1DB1-Normal45"/>
              <w:spacing w:after="0" w:line="240" w:lineRule="auto"/>
              <w:rPr>
                <w:rFonts w:eastAsia="Times New Roman"/>
                <w:noProof/>
              </w:rPr>
            </w:pPr>
            <w:r>
              <w:rPr>
                <w:noProof/>
              </w:rPr>
              <w:t>Mecanismul de finanțare a cipurilor: Acorduri juridice semnate cu beneficiarii finali și finalizarea investiției</w:t>
            </w:r>
          </w:p>
        </w:tc>
      </w:tr>
      <w:tr w:rsidR="00011DE9" w14:paraId="4D53CD45"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572652E4" w14:textId="77777777" w:rsidR="00011DE9" w:rsidRDefault="00011DE9">
            <w:pPr>
              <w:pStyle w:val="P68B1DB1-Normal45"/>
              <w:spacing w:after="0" w:line="240" w:lineRule="auto"/>
              <w:jc w:val="center"/>
              <w:rPr>
                <w:noProof/>
              </w:rPr>
            </w:pPr>
            <w:r>
              <w:rPr>
                <w:noProof/>
              </w:rPr>
              <w:t>L69</w:t>
            </w:r>
          </w:p>
        </w:tc>
        <w:tc>
          <w:tcPr>
            <w:tcW w:w="1516" w:type="dxa"/>
            <w:tcBorders>
              <w:top w:val="single" w:sz="4" w:space="0" w:color="auto"/>
              <w:left w:val="nil"/>
              <w:bottom w:val="single" w:sz="4" w:space="0" w:color="auto"/>
              <w:right w:val="single" w:sz="4" w:space="0" w:color="auto"/>
            </w:tcBorders>
            <w:shd w:val="clear" w:color="auto" w:fill="C6EFCE"/>
            <w:noWrap/>
          </w:tcPr>
          <w:p w14:paraId="7446C8F8" w14:textId="77777777" w:rsidR="00011DE9" w:rsidRDefault="00011DE9">
            <w:pPr>
              <w:pStyle w:val="P68B1DB1-Normal45"/>
              <w:spacing w:after="0" w:line="240" w:lineRule="auto"/>
              <w:rPr>
                <w:noProof/>
              </w:rPr>
            </w:pPr>
            <w:r>
              <w:rPr>
                <w:noProof/>
              </w:rPr>
              <w:t>C17.I10</w:t>
            </w:r>
          </w:p>
        </w:tc>
        <w:tc>
          <w:tcPr>
            <w:tcW w:w="1250" w:type="dxa"/>
            <w:tcBorders>
              <w:top w:val="single" w:sz="4" w:space="0" w:color="auto"/>
              <w:left w:val="nil"/>
              <w:bottom w:val="single" w:sz="4" w:space="0" w:color="auto"/>
              <w:right w:val="single" w:sz="4" w:space="0" w:color="auto"/>
            </w:tcBorders>
            <w:shd w:val="clear" w:color="auto" w:fill="C6EFCE"/>
            <w:noWrap/>
          </w:tcPr>
          <w:p w14:paraId="5A98D19F" w14:textId="77777777" w:rsidR="00011DE9" w:rsidRDefault="00011DE9">
            <w:pPr>
              <w:pStyle w:val="P68B1DB1-Normal45"/>
              <w:spacing w:after="0" w:line="240" w:lineRule="auto"/>
              <w:rPr>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33AEA099" w14:textId="77777777" w:rsidR="00011DE9" w:rsidRDefault="00011DE9">
            <w:pPr>
              <w:pStyle w:val="P68B1DB1-Normal45"/>
              <w:spacing w:after="0" w:line="240" w:lineRule="auto"/>
              <w:rPr>
                <w:noProof/>
              </w:rPr>
            </w:pPr>
            <w:r>
              <w:rPr>
                <w:noProof/>
              </w:rPr>
              <w:t>Plata fondurilor sub formă de împrumuturi pentru sprijinirea sectorului sănătății sau a sectorului aerospațial</w:t>
            </w:r>
          </w:p>
        </w:tc>
      </w:tr>
      <w:tr w:rsidR="00011DE9" w14:paraId="15FE2D84"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22F6B90B" w14:textId="77777777" w:rsidR="00011DE9" w:rsidRDefault="00011DE9">
            <w:pPr>
              <w:pStyle w:val="P68B1DB1-Normal45"/>
              <w:spacing w:after="0" w:line="240" w:lineRule="auto"/>
              <w:jc w:val="center"/>
              <w:rPr>
                <w:noProof/>
              </w:rPr>
            </w:pPr>
            <w:r>
              <w:rPr>
                <w:noProof/>
              </w:rPr>
              <w:t>L73</w:t>
            </w:r>
          </w:p>
        </w:tc>
        <w:tc>
          <w:tcPr>
            <w:tcW w:w="1516" w:type="dxa"/>
            <w:tcBorders>
              <w:top w:val="single" w:sz="4" w:space="0" w:color="auto"/>
              <w:left w:val="nil"/>
              <w:bottom w:val="single" w:sz="4" w:space="0" w:color="auto"/>
              <w:right w:val="single" w:sz="4" w:space="0" w:color="auto"/>
            </w:tcBorders>
            <w:shd w:val="clear" w:color="auto" w:fill="C6EFCE"/>
            <w:noWrap/>
          </w:tcPr>
          <w:p w14:paraId="6E25A0D4" w14:textId="77777777" w:rsidR="00011DE9" w:rsidRDefault="00011DE9">
            <w:pPr>
              <w:pStyle w:val="P68B1DB1-Normal45"/>
              <w:spacing w:after="0" w:line="240" w:lineRule="auto"/>
              <w:rPr>
                <w:noProof/>
              </w:rPr>
            </w:pPr>
            <w:r>
              <w:rPr>
                <w:noProof/>
              </w:rPr>
              <w:t>C22.I6</w:t>
            </w:r>
          </w:p>
        </w:tc>
        <w:tc>
          <w:tcPr>
            <w:tcW w:w="1250" w:type="dxa"/>
            <w:tcBorders>
              <w:top w:val="single" w:sz="4" w:space="0" w:color="auto"/>
              <w:left w:val="nil"/>
              <w:bottom w:val="single" w:sz="4" w:space="0" w:color="auto"/>
              <w:right w:val="single" w:sz="4" w:space="0" w:color="auto"/>
            </w:tcBorders>
            <w:shd w:val="clear" w:color="auto" w:fill="C6EFCE"/>
            <w:noWrap/>
          </w:tcPr>
          <w:p w14:paraId="3497C9F2" w14:textId="77777777" w:rsidR="00011DE9" w:rsidRDefault="00011DE9">
            <w:pPr>
              <w:pStyle w:val="P68B1DB1-Normal45"/>
              <w:spacing w:after="0" w:line="240" w:lineRule="auto"/>
              <w:rPr>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3E2B162A" w14:textId="77777777" w:rsidR="00011DE9" w:rsidRDefault="00011DE9">
            <w:pPr>
              <w:pStyle w:val="P68B1DB1-Normal45"/>
              <w:spacing w:after="0" w:line="240" w:lineRule="auto"/>
              <w:rPr>
                <w:noProof/>
              </w:rPr>
            </w:pPr>
            <w:r>
              <w:rPr>
                <w:noProof/>
              </w:rPr>
              <w:t>Fondul pentru impact social: Acorduri juridice de finanțare semnate cu beneficiarii finali (inclusiv fonduri de investiții în acțiuni) și finalizarea investiției</w:t>
            </w:r>
          </w:p>
        </w:tc>
      </w:tr>
      <w:tr w:rsidR="00011DE9" w14:paraId="5EED2325"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5324D5C7" w14:textId="77777777" w:rsidR="00011DE9" w:rsidRDefault="00011DE9">
            <w:pPr>
              <w:pStyle w:val="P68B1DB1-Normal45"/>
              <w:spacing w:after="0" w:line="240" w:lineRule="auto"/>
              <w:jc w:val="center"/>
              <w:rPr>
                <w:noProof/>
              </w:rPr>
            </w:pPr>
            <w:r>
              <w:rPr>
                <w:noProof/>
              </w:rPr>
              <w:t>L76</w:t>
            </w:r>
          </w:p>
        </w:tc>
        <w:tc>
          <w:tcPr>
            <w:tcW w:w="1516" w:type="dxa"/>
            <w:tcBorders>
              <w:top w:val="single" w:sz="4" w:space="0" w:color="auto"/>
              <w:left w:val="nil"/>
              <w:bottom w:val="single" w:sz="4" w:space="0" w:color="auto"/>
              <w:right w:val="single" w:sz="4" w:space="0" w:color="auto"/>
            </w:tcBorders>
            <w:shd w:val="clear" w:color="auto" w:fill="C6EFCE"/>
            <w:noWrap/>
          </w:tcPr>
          <w:p w14:paraId="472A0F4E" w14:textId="77777777" w:rsidR="00011DE9" w:rsidRDefault="00011DE9">
            <w:pPr>
              <w:pStyle w:val="P68B1DB1-Normal45"/>
              <w:spacing w:after="0" w:line="240" w:lineRule="auto"/>
              <w:rPr>
                <w:noProof/>
              </w:rPr>
            </w:pPr>
            <w:r>
              <w:rPr>
                <w:noProof/>
              </w:rPr>
              <w:t>C25.I2</w:t>
            </w:r>
          </w:p>
        </w:tc>
        <w:tc>
          <w:tcPr>
            <w:tcW w:w="1250" w:type="dxa"/>
            <w:tcBorders>
              <w:top w:val="single" w:sz="4" w:space="0" w:color="auto"/>
              <w:left w:val="nil"/>
              <w:bottom w:val="single" w:sz="4" w:space="0" w:color="auto"/>
              <w:right w:val="single" w:sz="4" w:space="0" w:color="auto"/>
            </w:tcBorders>
            <w:shd w:val="clear" w:color="auto" w:fill="C6EFCE"/>
            <w:noWrap/>
          </w:tcPr>
          <w:p w14:paraId="3399FF46" w14:textId="77777777" w:rsidR="00011DE9" w:rsidRDefault="00011DE9">
            <w:pPr>
              <w:pStyle w:val="P68B1DB1-Normal45"/>
              <w:spacing w:after="0" w:line="240" w:lineRule="auto"/>
              <w:rPr>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35E2F566" w14:textId="77777777" w:rsidR="00011DE9" w:rsidRDefault="00011DE9">
            <w:pPr>
              <w:pStyle w:val="P68B1DB1-Normal45"/>
              <w:spacing w:after="0" w:line="240" w:lineRule="auto"/>
              <w:rPr>
                <w:noProof/>
              </w:rPr>
            </w:pPr>
            <w:r>
              <w:rPr>
                <w:noProof/>
              </w:rPr>
              <w:t>Punerea în aplicare a proiectelor de digitalizare și diseminare a conținutului</w:t>
            </w:r>
          </w:p>
        </w:tc>
      </w:tr>
      <w:tr w:rsidR="00011DE9" w14:paraId="1BE9BEF2"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4A6A1B28" w14:textId="77777777" w:rsidR="00011DE9" w:rsidRDefault="00011DE9">
            <w:pPr>
              <w:pStyle w:val="P68B1DB1-Normal45"/>
              <w:spacing w:after="0" w:line="240" w:lineRule="auto"/>
              <w:jc w:val="center"/>
              <w:rPr>
                <w:noProof/>
              </w:rPr>
            </w:pPr>
            <w:r>
              <w:rPr>
                <w:noProof/>
              </w:rPr>
              <w:t>L79</w:t>
            </w:r>
          </w:p>
        </w:tc>
        <w:tc>
          <w:tcPr>
            <w:tcW w:w="1516" w:type="dxa"/>
            <w:tcBorders>
              <w:top w:val="single" w:sz="4" w:space="0" w:color="auto"/>
              <w:left w:val="nil"/>
              <w:bottom w:val="single" w:sz="4" w:space="0" w:color="auto"/>
              <w:right w:val="single" w:sz="4" w:space="0" w:color="auto"/>
            </w:tcBorders>
            <w:shd w:val="clear" w:color="auto" w:fill="C6EFCE"/>
            <w:noWrap/>
          </w:tcPr>
          <w:p w14:paraId="63A0A9C4" w14:textId="77777777" w:rsidR="00011DE9" w:rsidRDefault="00011DE9">
            <w:pPr>
              <w:pStyle w:val="P68B1DB1-Normal45"/>
              <w:spacing w:after="0" w:line="240" w:lineRule="auto"/>
              <w:rPr>
                <w:noProof/>
              </w:rPr>
            </w:pPr>
            <w:r>
              <w:rPr>
                <w:noProof/>
              </w:rPr>
              <w:t>C25.I3</w:t>
            </w:r>
          </w:p>
        </w:tc>
        <w:tc>
          <w:tcPr>
            <w:tcW w:w="1250" w:type="dxa"/>
            <w:tcBorders>
              <w:top w:val="single" w:sz="4" w:space="0" w:color="auto"/>
              <w:left w:val="nil"/>
              <w:bottom w:val="single" w:sz="4" w:space="0" w:color="auto"/>
              <w:right w:val="single" w:sz="4" w:space="0" w:color="auto"/>
            </w:tcBorders>
            <w:shd w:val="clear" w:color="auto" w:fill="C6EFCE"/>
            <w:noWrap/>
          </w:tcPr>
          <w:p w14:paraId="259DB50C" w14:textId="77777777" w:rsidR="00011DE9" w:rsidRDefault="00011DE9">
            <w:pPr>
              <w:pStyle w:val="P68B1DB1-Normal45"/>
              <w:spacing w:after="0" w:line="240" w:lineRule="auto"/>
              <w:rPr>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2E3755F7" w14:textId="77777777" w:rsidR="00011DE9" w:rsidRDefault="00011DE9">
            <w:pPr>
              <w:pStyle w:val="P68B1DB1-Normal45"/>
              <w:spacing w:after="0" w:line="240" w:lineRule="auto"/>
              <w:rPr>
                <w:noProof/>
              </w:rPr>
            </w:pPr>
            <w:r>
              <w:rPr>
                <w:noProof/>
              </w:rPr>
              <w:t>Fondul pentru platforme audiovizuale: Acorduri juridice de finanțare semnate cu beneficiarii finali (inclusiv fonduri de investiții în acțiuni) și finalizarea investiției</w:t>
            </w:r>
          </w:p>
        </w:tc>
      </w:tr>
      <w:tr w:rsidR="00011DE9" w14:paraId="3C7CD390"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14F1810" w14:textId="77777777" w:rsidR="00011DE9" w:rsidRDefault="00011DE9">
            <w:pPr>
              <w:spacing w:after="0" w:line="240" w:lineRule="auto"/>
              <w:jc w:val="center"/>
              <w:rPr>
                <w:rFonts w:ascii="Times New Roman" w:eastAsia="Times New Roman" w:hAnsi="Times New Roman" w:cs="Times New Roman"/>
                <w:noProof/>
                <w:sz w:val="20"/>
                <w:szCs w:val="20"/>
              </w:rPr>
            </w:pPr>
          </w:p>
        </w:tc>
        <w:tc>
          <w:tcPr>
            <w:tcW w:w="1516" w:type="dxa"/>
            <w:tcBorders>
              <w:top w:val="single" w:sz="4" w:space="0" w:color="auto"/>
              <w:left w:val="nil"/>
              <w:bottom w:val="single" w:sz="4" w:space="0" w:color="auto"/>
              <w:right w:val="single" w:sz="4" w:space="0" w:color="auto"/>
            </w:tcBorders>
            <w:shd w:val="clear" w:color="auto" w:fill="C6EFCE"/>
            <w:noWrap/>
            <w:vAlign w:val="bottom"/>
          </w:tcPr>
          <w:p w14:paraId="025B08F7" w14:textId="77777777" w:rsidR="00011DE9" w:rsidRDefault="00011DE9">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973959D" w14:textId="77777777" w:rsidR="00011DE9" w:rsidRDefault="00011DE9">
            <w:pPr>
              <w:pStyle w:val="P68B1DB1-Normal77"/>
              <w:spacing w:after="0" w:line="240" w:lineRule="auto"/>
              <w:rPr>
                <w:rFonts w:eastAsia="Times New Roman" w:cs="Times New Roman"/>
                <w:noProof/>
                <w:szCs w:val="20"/>
              </w:rPr>
            </w:pPr>
            <w:r>
              <w:rPr>
                <w:noProof/>
              </w:rPr>
              <w:t>Cuantumul tranșei</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23F967B" w14:textId="77777777" w:rsidR="00011DE9" w:rsidRDefault="00011DE9">
            <w:pPr>
              <w:pStyle w:val="P68B1DB1-Normal78"/>
              <w:spacing w:after="0" w:line="240" w:lineRule="auto"/>
              <w:rPr>
                <w:rFonts w:eastAsia="Times New Roman" w:cs="Times New Roman"/>
                <w:b/>
                <w:noProof/>
                <w:szCs w:val="20"/>
              </w:rPr>
            </w:pPr>
            <w:r>
              <w:rPr>
                <w:b/>
                <w:noProof/>
              </w:rPr>
              <w:t>5</w:t>
            </w:r>
            <w:r>
              <w:rPr>
                <w:noProof/>
              </w:rPr>
              <w:t xml:space="preserve"> 654 884 583 MIL. </w:t>
            </w:r>
          </w:p>
        </w:tc>
      </w:tr>
    </w:tbl>
    <w:p w14:paraId="1BCCFDDA" w14:textId="77777777" w:rsidR="00011DE9" w:rsidRDefault="00011DE9">
      <w:pPr>
        <w:spacing w:before="120" w:after="120" w:line="240" w:lineRule="auto"/>
        <w:jc w:val="both"/>
        <w:rPr>
          <w:rFonts w:ascii="Times New Roman" w:eastAsia="Calibri" w:hAnsi="Times New Roman" w:cs="Times New Roman"/>
          <w:noProof/>
        </w:rPr>
      </w:pPr>
    </w:p>
    <w:p w14:paraId="22335310" w14:textId="77777777" w:rsidR="00011DE9" w:rsidRDefault="00011DE9">
      <w:pPr>
        <w:spacing w:before="120" w:after="120" w:line="240" w:lineRule="auto"/>
        <w:jc w:val="both"/>
        <w:rPr>
          <w:rFonts w:ascii="Times New Roman" w:eastAsia="Calibri" w:hAnsi="Times New Roman" w:cs="Times New Roman"/>
          <w:noProof/>
        </w:rPr>
      </w:pPr>
    </w:p>
    <w:p w14:paraId="26064F80" w14:textId="77777777" w:rsidR="00011DE9" w:rsidRDefault="00011DE9">
      <w:pPr>
        <w:spacing w:before="120" w:after="120" w:line="240" w:lineRule="auto"/>
        <w:jc w:val="both"/>
        <w:rPr>
          <w:rFonts w:ascii="Times New Roman" w:eastAsia="Calibri" w:hAnsi="Times New Roman" w:cs="Times New Roman"/>
          <w:b/>
          <w:noProof/>
        </w:rPr>
      </w:pPr>
      <w:r>
        <w:rPr>
          <w:noProof/>
        </w:rPr>
        <w:br w:type="page"/>
      </w:r>
      <w:r>
        <w:rPr>
          <w:rFonts w:ascii="Times New Roman" w:hAnsi="Times New Roman"/>
          <w:b/>
          <w:noProof/>
        </w:rPr>
        <w:t xml:space="preserve">SECȚIUNEA 3: DISPOZIȚII SUPLIMENTARE </w:t>
      </w:r>
    </w:p>
    <w:p w14:paraId="5B24AE4D" w14:textId="77777777" w:rsidR="00011DE9" w:rsidRDefault="00011DE9">
      <w:pPr>
        <w:pStyle w:val="P68B1DB1-NumPar176"/>
        <w:numPr>
          <w:ilvl w:val="0"/>
          <w:numId w:val="209"/>
        </w:numPr>
        <w:rPr>
          <w:rFonts w:cs="Times New Roman"/>
          <w:noProof/>
        </w:rPr>
      </w:pPr>
      <w:r>
        <w:rPr>
          <w:noProof/>
        </w:rPr>
        <w:t>Modalități de monitorizare și de punere în aplicare a planului de redresare și reziliență</w:t>
      </w:r>
    </w:p>
    <w:p w14:paraId="293FA0C8" w14:textId="77777777" w:rsidR="00011DE9" w:rsidRDefault="00011DE9">
      <w:pPr>
        <w:pStyle w:val="P68B1DB1-Normal16"/>
        <w:spacing w:before="120" w:after="120" w:line="240" w:lineRule="auto"/>
        <w:jc w:val="both"/>
        <w:rPr>
          <w:rFonts w:cs="Times New Roman"/>
          <w:noProof/>
        </w:rPr>
      </w:pPr>
      <w:r>
        <w:rPr>
          <w:noProof/>
        </w:rPr>
        <w:t xml:space="preserve">Monitorizarea și punerea în aplicare a planului de redresare și reziliență modificat al Spaniei au fost prevăzute în Decretul-lege regal nr. 36/2020 din 30 decembrie de aprobare a unor măsuri urgente pentru modernizarea administrației publice și punerea în aplicare a planului de redresare („RDL 36/2020”). Acestea se desfășoară în conformitate cu următoarele modalități: </w:t>
      </w:r>
    </w:p>
    <w:p w14:paraId="0907E636" w14:textId="77777777" w:rsidR="00011DE9" w:rsidRDefault="00011DE9">
      <w:pPr>
        <w:pStyle w:val="P68B1DB1-ListParagraph25"/>
        <w:numPr>
          <w:ilvl w:val="0"/>
          <w:numId w:val="210"/>
        </w:numPr>
        <w:spacing w:before="120" w:after="120" w:line="240" w:lineRule="auto"/>
        <w:jc w:val="both"/>
        <w:rPr>
          <w:rFonts w:eastAsia="Calibri" w:cs="Times New Roman"/>
          <w:noProof/>
        </w:rPr>
      </w:pPr>
      <w:r>
        <w:rPr>
          <w:noProof/>
        </w:rPr>
        <w:t xml:space="preserve">A fost înființată o Comisie pentru redresare, transformare și reziliență, care reunește toți miniștrii competenți pentru plan și care va fi prezidată de președintele guvernului. Comisia a stabilit orientările generale de politică pentru elaborarea și punerea în aplicare a planului de redresare și monitorizează punerea în aplicare a acestuia. Lucrările sale vor fi asistate de un comitet tehnic format din 20 de membri ai administrației publice, prezidat de Secretariatul General pentru Fondurile Europene. </w:t>
      </w:r>
    </w:p>
    <w:p w14:paraId="0F175905" w14:textId="77777777" w:rsidR="00011DE9" w:rsidRDefault="00011DE9">
      <w:pPr>
        <w:pStyle w:val="P68B1DB1-ListParagraph25"/>
        <w:numPr>
          <w:ilvl w:val="0"/>
          <w:numId w:val="210"/>
        </w:numPr>
        <w:spacing w:before="120" w:after="120" w:line="240" w:lineRule="auto"/>
        <w:jc w:val="both"/>
        <w:rPr>
          <w:rFonts w:eastAsia="Calibri" w:cs="Times New Roman"/>
          <w:noProof/>
        </w:rPr>
      </w:pPr>
      <w:r>
        <w:rPr>
          <w:noProof/>
        </w:rPr>
        <w:t xml:space="preserve">Noul Secretariat General pentru Fonduri Europene din cadrul Ministerului Finanțelor va fi autoritatea responsabilă pentru plan față de Comisia Europeană. Această autoritate va fi esențială pentru monitorizarea depunerii cererilor de plată, care se va baza pe atingerea jaloanelor și a țintelor. </w:t>
      </w:r>
    </w:p>
    <w:p w14:paraId="0DBEDF86" w14:textId="77777777" w:rsidR="00011DE9" w:rsidRDefault="00011DE9">
      <w:pPr>
        <w:pStyle w:val="P68B1DB1-ListParagraph25"/>
        <w:numPr>
          <w:ilvl w:val="0"/>
          <w:numId w:val="210"/>
        </w:numPr>
        <w:spacing w:before="120" w:after="120" w:line="240" w:lineRule="auto"/>
        <w:jc w:val="both"/>
        <w:rPr>
          <w:rFonts w:eastAsia="Calibri" w:cs="Times New Roman"/>
          <w:noProof/>
        </w:rPr>
      </w:pPr>
      <w:r>
        <w:rPr>
          <w:noProof/>
        </w:rPr>
        <w:t xml:space="preserve">Planul modificat include 419 de jaloane și ținte, dintre care majoritatea se referă la perioada 2021-2023. Jaloanele și țintele propuse sunt clare, iar indicatorii propuși sunt relevanți, acceptabili și solizi. </w:t>
      </w:r>
    </w:p>
    <w:p w14:paraId="6E91CED3" w14:textId="77777777" w:rsidR="00011DE9" w:rsidRDefault="00011DE9">
      <w:pPr>
        <w:pStyle w:val="P68B1DB1-ListParagraph25"/>
        <w:numPr>
          <w:ilvl w:val="0"/>
          <w:numId w:val="210"/>
        </w:numPr>
        <w:spacing w:before="120" w:after="120" w:line="240" w:lineRule="auto"/>
        <w:jc w:val="both"/>
        <w:rPr>
          <w:rFonts w:eastAsia="Calibri" w:cs="Times New Roman"/>
          <w:noProof/>
        </w:rPr>
      </w:pPr>
      <w:r>
        <w:rPr>
          <w:noProof/>
        </w:rPr>
        <w:t xml:space="preserve">În timp ce ministerul responsabil pentru fiecare măsură va fi responsabil de luarea de măsuri pentru atingerea jaloanelor și a obiectivelor aferente în conformitate cu resursele înscrise în buget, Secretariatul General pentru Fonduri Europene va fi organismul care va întocmi cererile de plată adresate Comisiei Europene. Fiecare cerere de plată este însoțită de o declarație de gestiune bazată pe rapoarte emise de organismele responsabile de componente. În plus, inspectorul general al Administrației de Stat (Intervención General de la Administración del Estado – IGAE) va efectua verificări pentru a certifica atingerea jaloanelor și a obiectivelor, precum și rezultatele obținute. Fondurile alocate pentru punerea în aplicare a planului vor fi incluse în bugetul administrației centrale. </w:t>
      </w:r>
    </w:p>
    <w:p w14:paraId="6AB868DD" w14:textId="77777777" w:rsidR="00011DE9" w:rsidRDefault="00011DE9">
      <w:pPr>
        <w:pStyle w:val="P68B1DB1-ListParagraph25"/>
        <w:numPr>
          <w:ilvl w:val="0"/>
          <w:numId w:val="210"/>
        </w:numPr>
        <w:spacing w:before="120" w:after="120" w:line="240" w:lineRule="auto"/>
        <w:jc w:val="both"/>
        <w:rPr>
          <w:rFonts w:eastAsia="Calibri" w:cs="Times New Roman"/>
          <w:noProof/>
        </w:rPr>
      </w:pPr>
      <w:r>
        <w:rPr>
          <w:noProof/>
        </w:rPr>
        <w:t>Au fost instituite mecanisme pentru a implica actorii-cheie în punerea în aplicare a planului. Se instituie o nouă conferință sectorială pentru plan, cu scopul de a canaliza cooperarea dintre regiuni, entitățile locale și administrația centrală pentru punerea în aplicare a planului. În ceea ce privește controlul parlamentar, articolul 22 din Decretul-lege regal nr. 36/2020 prevede că guvernul raportează trimestrial Comisiei parlamentare mixte pentru Uniunea Europeană cu privire la progresele înregistrate în ceea ce privește planul de redresare, transformare și reziliență.</w:t>
      </w:r>
    </w:p>
    <w:p w14:paraId="3F9BDBFF" w14:textId="77777777" w:rsidR="00011DE9" w:rsidRDefault="00011DE9">
      <w:pPr>
        <w:spacing w:before="120" w:after="120" w:line="240" w:lineRule="auto"/>
        <w:jc w:val="both"/>
        <w:rPr>
          <w:rFonts w:ascii="Times New Roman" w:eastAsia="Calibri" w:hAnsi="Times New Roman" w:cs="Times New Roman"/>
          <w:noProof/>
        </w:rPr>
      </w:pPr>
    </w:p>
    <w:p w14:paraId="5953AD30" w14:textId="77777777" w:rsidR="00011DE9" w:rsidRDefault="00011DE9">
      <w:pPr>
        <w:pStyle w:val="P68B1DB1-NumPar176"/>
        <w:numPr>
          <w:ilvl w:val="0"/>
          <w:numId w:val="209"/>
        </w:numPr>
        <w:rPr>
          <w:rFonts w:cs="Times New Roman"/>
          <w:noProof/>
        </w:rPr>
      </w:pPr>
      <w:r>
        <w:rPr>
          <w:noProof/>
        </w:rPr>
        <w:t>Măsuri pentru asigurarea accesului deplin al Comisiei la datele subiacente</w:t>
      </w:r>
    </w:p>
    <w:p w14:paraId="7A27E553" w14:textId="77777777" w:rsidR="00011DE9" w:rsidRDefault="00011DE9">
      <w:pPr>
        <w:pStyle w:val="P68B1DB1-Normal16"/>
        <w:spacing w:before="120" w:after="120" w:line="240" w:lineRule="auto"/>
        <w:jc w:val="both"/>
        <w:rPr>
          <w:rFonts w:cs="Times New Roman"/>
          <w:noProof/>
        </w:rPr>
      </w:pPr>
      <w:r>
        <w:rPr>
          <w:noProof/>
        </w:rPr>
        <w:t>Pentru a oferi Comisiei acces deplin la datele subiacente relevante, Spania trebuie să dispună de următoarele măsuri:</w:t>
      </w:r>
    </w:p>
    <w:p w14:paraId="679587A7" w14:textId="77777777" w:rsidR="00011DE9" w:rsidRDefault="00011DE9">
      <w:pPr>
        <w:pStyle w:val="P68B1DB1-Normal16"/>
        <w:spacing w:before="120" w:after="120" w:line="240" w:lineRule="auto"/>
        <w:jc w:val="both"/>
        <w:rPr>
          <w:rFonts w:cs="Times New Roman"/>
          <w:noProof/>
        </w:rPr>
      </w:pPr>
      <w:r>
        <w:rPr>
          <w:noProof/>
        </w:rPr>
        <w:t xml:space="preserve">Secretariatul General pentru Fonduri Europene (Ministerul Finanțelor), în calitate de coordonator pentru planul de redresare și reziliență al Spaniei, este responsabil de implementarea generală a planurilor de redresare și reziliență modificate, de asigurarea coordonării cu alte autorități relevante din țară (inclusiv de asigurarea coerenței în ceea ce privește utilizarea altor fonduri ale UE), de monitorizarea progreselor înregistrate în ceea ce privește jaloanele și țintele, de supravegherea și asigurarea punerii în aplicare a măsurilor de control și audit, precum și de furnizarea tuturor rapoartelor și cererilor de plată necesare și a declarației de gestiune care le însoțește. Secretariatul General pentru Fonduri Europene se bazează pe un sistem informatic („Cafea”) care permite ministerelor și altor organisme de punere în aplicare, de control și de audit să codifice toate informațiile relevante, inclusiv raportarea jaloanelor și a țintelor și a indicatorilor de monitorizare, rapoartele de control și de audit și rapoartele de gestiune ale organismelor de punere în aplicare care se preconizează că vor servi drept bază pentru declarațiile de gestiune care însoțesc cererile de plată. Sistemul permite, de asemenea, înregistrarea informațiilor financiare calitative și a altor date, cum ar fi cele privind destinatarii finali, contractanții și subcontractanții. De asemenea, autoritățile colectează și stochează datele privind beneficiarii reali care sunt găzduite de Agenția Fiscală Națională. </w:t>
      </w:r>
    </w:p>
    <w:p w14:paraId="6E81FE16" w14:textId="77777777" w:rsidR="00011DE9" w:rsidRDefault="00011DE9">
      <w:pPr>
        <w:pStyle w:val="P68B1DB1-Normal16"/>
        <w:spacing w:before="120" w:after="120" w:line="240" w:lineRule="auto"/>
        <w:jc w:val="both"/>
        <w:rPr>
          <w:rFonts w:cs="Times New Roman"/>
          <w:noProof/>
        </w:rPr>
      </w:pPr>
      <w:r>
        <w:rPr>
          <w:noProof/>
        </w:rPr>
        <w:t>În plus, în ceea ce privește jalonul 173 și angajamentele privind auditul și controalele care au fost asumate în contextul primei cereri de plată, Spania a încheiat două acorduri pentru a facilita schimbul de informații privind beneficiarii reali ai societăților străine: unul între Consiliul General al Notarilor și Agenția Fiscală și altul între aceasta din urmă și Colegiul registratorilor de proprietăți. În plus, Spania a emis un ordin ministerial (Ordinul HFP/55/2023) care împuternicește autoritățile responsabile cu organizarea apelurilor să solicite date privind beneficiarii reali de la societăți străine pentru care autoritățile naționale nu dispun de informații în bazele lor de date.</w:t>
      </w:r>
    </w:p>
    <w:p w14:paraId="0BFD8BD4" w14:textId="77777777" w:rsidR="00011DE9" w:rsidRDefault="00011DE9">
      <w:pPr>
        <w:pStyle w:val="P68B1DB1-Normal16"/>
        <w:spacing w:before="120" w:after="120" w:line="240" w:lineRule="auto"/>
        <w:jc w:val="both"/>
        <w:rPr>
          <w:rFonts w:cs="Times New Roman"/>
          <w:noProof/>
        </w:rPr>
      </w:pPr>
      <w:r>
        <w:rPr>
          <w:noProof/>
        </w:rPr>
        <w:t>În plus, Spania a îmbunătățit accesul la informațiile privind beneficiarii reali în scopuri de control. În special, autoritățile spaniole au creat și au pus în funcțiune un instrument informatic de evaluare a riscurilor denumit „MINERVA” pentru controlul sistematic și prevenirea conflictelor de interese, utilizând datele beneficiarilor reali.</w:t>
      </w:r>
    </w:p>
    <w:p w14:paraId="18EA04FB" w14:textId="77777777" w:rsidR="00011DE9" w:rsidRDefault="00011DE9">
      <w:pPr>
        <w:pStyle w:val="P68B1DB1-Normal16"/>
        <w:spacing w:before="120" w:after="120" w:line="240" w:lineRule="auto"/>
        <w:jc w:val="both"/>
        <w:rPr>
          <w:rFonts w:cs="Times New Roman"/>
          <w:noProof/>
        </w:rPr>
      </w:pPr>
      <w:r>
        <w:rPr>
          <w:noProof/>
        </w:rPr>
        <w:t>În conformitate cu articolul 24 alineatul (2) din Regulamentul (UE) 2021/241, la îndeplinirea jaloanelor și a țintelor relevante convenite în secțiunea 2.1 din prezenta anexă, Spania prezintă Comisiei o cerere justificată în mod corespunzător de plată a contribuției financiare. Spania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p>
    <w:p w14:paraId="64CDD72A" w14:textId="77777777" w:rsidR="00011DE9" w:rsidRDefault="00011DE9">
      <w:pPr>
        <w:rPr>
          <w:rFonts w:ascii="Times New Roman" w:hAnsi="Times New Roman"/>
          <w:b/>
          <w:noProof/>
          <w:sz w:val="28"/>
          <w:szCs w:val="28"/>
        </w:rPr>
      </w:pPr>
    </w:p>
    <w:p w14:paraId="47C4591F" w14:textId="77777777" w:rsidR="00011DE9" w:rsidRDefault="00011DE9">
      <w:pPr>
        <w:rPr>
          <w:noProof/>
        </w:rPr>
      </w:pPr>
    </w:p>
    <w:p w14:paraId="137E5C76" w14:textId="77777777" w:rsidR="00D924EA" w:rsidRDefault="00D924EA">
      <w:pPr>
        <w:keepNext/>
        <w:spacing w:before="360" w:after="360" w:line="240" w:lineRule="auto"/>
        <w:jc w:val="center"/>
        <w:outlineLvl w:val="0"/>
        <w:rPr>
          <w:rFonts w:ascii="Times New Roman" w:hAnsi="Times New Roman"/>
          <w:b/>
          <w:noProof/>
          <w:sz w:val="28"/>
          <w:szCs w:val="28"/>
        </w:rPr>
      </w:pPr>
    </w:p>
    <w:sectPr w:rsidR="00D924EA" w:rsidSect="00011DE9">
      <w:headerReference w:type="default" r:id="rId442"/>
      <w:footerReference w:type="default" r:id="rId443"/>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3133C9" w14:textId="77777777" w:rsidR="00D924EA" w:rsidRDefault="00011DE9">
      <w:pPr>
        <w:spacing w:after="0" w:line="240" w:lineRule="auto"/>
      </w:pPr>
      <w:r>
        <w:separator/>
      </w:r>
    </w:p>
  </w:endnote>
  <w:endnote w:type="continuationSeparator" w:id="0">
    <w:p w14:paraId="10AB7A90" w14:textId="77777777" w:rsidR="00D924EA" w:rsidRDefault="00011DE9">
      <w:pPr>
        <w:spacing w:after="0" w:line="240" w:lineRule="auto"/>
      </w:pPr>
      <w:r>
        <w:continuationSeparator/>
      </w:r>
    </w:p>
  </w:endnote>
  <w:endnote w:type="continuationNotice" w:id="1">
    <w:p w14:paraId="4641C500" w14:textId="77777777" w:rsidR="00D924EA" w:rsidRDefault="00D924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Arial New Roman">
    <w:altName w:val="Arial"/>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EC Square Sans Pro">
    <w:altName w:val="Segoe UI"/>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D9A08" w14:textId="099721DB" w:rsidR="004F7195" w:rsidRPr="004F7195" w:rsidRDefault="004F7195" w:rsidP="004F7195">
    <w:pPr>
      <w:pStyle w:val="FooterCoverPage"/>
      <w:rPr>
        <w:rFonts w:ascii="Arial" w:hAnsi="Arial" w:cs="Arial"/>
        <w:b/>
        <w:sz w:val="48"/>
      </w:rPr>
    </w:pPr>
    <w:r w:rsidRPr="004F7195">
      <w:rPr>
        <w:rFonts w:ascii="Arial" w:hAnsi="Arial" w:cs="Arial"/>
        <w:b/>
        <w:sz w:val="48"/>
      </w:rPr>
      <w:t>RO</w:t>
    </w:r>
    <w:r w:rsidRPr="004F7195">
      <w:rPr>
        <w:rFonts w:ascii="Arial" w:hAnsi="Arial" w:cs="Arial"/>
        <w:b/>
        <w:sz w:val="48"/>
      </w:rPr>
      <w:tab/>
    </w:r>
    <w:r w:rsidRPr="004F7195">
      <w:rPr>
        <w:rFonts w:ascii="Arial" w:hAnsi="Arial" w:cs="Arial"/>
        <w:b/>
        <w:sz w:val="48"/>
      </w:rPr>
      <w:tab/>
    </w:r>
    <w:r w:rsidRPr="004F7195">
      <w:tab/>
    </w:r>
    <w:r w:rsidRPr="004F719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3E072" w14:textId="64508E42" w:rsidR="004F7195" w:rsidRPr="004F7195" w:rsidRDefault="004F7195" w:rsidP="004F7195">
    <w:pPr>
      <w:pStyle w:val="FooterCoverPage"/>
      <w:rPr>
        <w:rFonts w:ascii="Arial" w:hAnsi="Arial" w:cs="Arial"/>
        <w:b/>
        <w:sz w:val="48"/>
      </w:rPr>
    </w:pPr>
    <w:r w:rsidRPr="004F7195">
      <w:rPr>
        <w:rFonts w:ascii="Arial" w:hAnsi="Arial" w:cs="Arial"/>
        <w:b/>
        <w:sz w:val="48"/>
      </w:rPr>
      <w:t>RO</w:t>
    </w:r>
    <w:r w:rsidRPr="004F7195">
      <w:rPr>
        <w:rFonts w:ascii="Arial" w:hAnsi="Arial" w:cs="Arial"/>
        <w:b/>
        <w:sz w:val="48"/>
      </w:rPr>
      <w:tab/>
    </w:r>
    <w:r w:rsidRPr="004F7195">
      <w:rPr>
        <w:rFonts w:ascii="Arial" w:hAnsi="Arial" w:cs="Arial"/>
        <w:b/>
        <w:sz w:val="48"/>
      </w:rPr>
      <w:tab/>
    </w:r>
    <w:r w:rsidRPr="004F7195">
      <w:tab/>
    </w:r>
    <w:r w:rsidRPr="004F719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C6DC5" w14:textId="77777777" w:rsidR="004F7195" w:rsidRPr="004F7195" w:rsidRDefault="004F7195" w:rsidP="004F719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67BFA" w14:textId="77777777" w:rsidR="00D924EA" w:rsidRDefault="00D924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473874"/>
      <w:docPartObj>
        <w:docPartGallery w:val="Page Numbers (Bottom of Page)"/>
        <w:docPartUnique/>
      </w:docPartObj>
    </w:sdtPr>
    <w:sdtEndPr>
      <w:rPr>
        <w:noProof/>
      </w:rPr>
    </w:sdtEndPr>
    <w:sdtContent>
      <w:p w14:paraId="59A79657" w14:textId="48E0FDC3" w:rsidR="00D924EA" w:rsidRDefault="00011DE9">
        <w:pPr>
          <w:pStyle w:val="Footer"/>
          <w:jc w:val="center"/>
        </w:pPr>
        <w:r>
          <w:fldChar w:fldCharType="begin"/>
        </w:r>
        <w:r>
          <w:instrText xml:space="preserve"> PAGE   \* MERGEFORMAT </w:instrText>
        </w:r>
        <w:r>
          <w:fldChar w:fldCharType="separate"/>
        </w:r>
        <w:r w:rsidR="004F7195">
          <w:rPr>
            <w:noProof/>
          </w:rPr>
          <w:t>1</w:t>
        </w:r>
        <w:r>
          <w:fldChar w:fldCharType="end"/>
        </w:r>
      </w:p>
    </w:sdtContent>
  </w:sdt>
  <w:p w14:paraId="0D3F724F" w14:textId="77777777" w:rsidR="00D924EA" w:rsidRDefault="00D924E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9A778" w14:textId="77777777" w:rsidR="00D924EA" w:rsidRDefault="00D924E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4429749"/>
      <w:docPartObj>
        <w:docPartGallery w:val="Page Numbers (Bottom of Page)"/>
        <w:docPartUnique/>
      </w:docPartObj>
    </w:sdtPr>
    <w:sdtEndPr>
      <w:rPr>
        <w:noProof/>
      </w:rPr>
    </w:sdtEndPr>
    <w:sdtContent>
      <w:p w14:paraId="0F4DFC03" w14:textId="6C0A6238" w:rsidR="00D924EA" w:rsidRDefault="00011DE9">
        <w:pPr>
          <w:pStyle w:val="Footer"/>
          <w:jc w:val="center"/>
        </w:pPr>
        <w:r>
          <w:fldChar w:fldCharType="begin"/>
        </w:r>
        <w:r>
          <w:instrText xml:space="preserve"> PAGE   \* MERGEFORMAT </w:instrText>
        </w:r>
        <w:r>
          <w:fldChar w:fldCharType="separate"/>
        </w:r>
        <w:r w:rsidR="004F7195">
          <w:rPr>
            <w:noProof/>
          </w:rPr>
          <w:t>3</w:t>
        </w:r>
        <w:r>
          <w:fldChar w:fldCharType="end"/>
        </w:r>
      </w:p>
    </w:sdtContent>
  </w:sdt>
  <w:p w14:paraId="3DC9A78D" w14:textId="77777777" w:rsidR="00D924EA" w:rsidRDefault="00D924E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50780" w14:textId="77777777" w:rsidR="00D924EA" w:rsidRDefault="00D924E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238186"/>
      <w:docPartObj>
        <w:docPartGallery w:val="Page Numbers (Bottom of Page)"/>
        <w:docPartUnique/>
      </w:docPartObj>
    </w:sdtPr>
    <w:sdtEndPr>
      <w:rPr>
        <w:noProof/>
      </w:rPr>
    </w:sdtEndPr>
    <w:sdtContent>
      <w:p w14:paraId="7CD9E701" w14:textId="0A9E7E31" w:rsidR="00D924EA" w:rsidRDefault="00011DE9">
        <w:pPr>
          <w:pStyle w:val="Footer"/>
          <w:jc w:val="center"/>
        </w:pPr>
        <w:r>
          <w:fldChar w:fldCharType="begin"/>
        </w:r>
        <w:r>
          <w:instrText xml:space="preserve"> PAGE   \* MERGEFORMAT </w:instrText>
        </w:r>
        <w:r>
          <w:fldChar w:fldCharType="separate"/>
        </w:r>
        <w:r w:rsidR="004F7195">
          <w:rPr>
            <w:noProof/>
          </w:rPr>
          <w:t>5</w:t>
        </w:r>
        <w:r>
          <w:fldChar w:fldCharType="end"/>
        </w:r>
      </w:p>
    </w:sdtContent>
  </w:sdt>
  <w:p w14:paraId="4E7FFE3C" w14:textId="77777777" w:rsidR="00D924EA" w:rsidRDefault="00D924E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74015" w14:textId="77777777" w:rsidR="00D924EA" w:rsidRDefault="00D924E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B3B33" w14:textId="77777777" w:rsidR="00D924EA" w:rsidRDefault="00D924E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0935339"/>
      <w:docPartObj>
        <w:docPartGallery w:val="Page Numbers (Bottom of Page)"/>
        <w:docPartUnique/>
      </w:docPartObj>
    </w:sdtPr>
    <w:sdtEndPr>
      <w:rPr>
        <w:noProof/>
      </w:rPr>
    </w:sdtEndPr>
    <w:sdtContent>
      <w:p w14:paraId="24D772DB" w14:textId="45C006C3" w:rsidR="00D924EA" w:rsidRDefault="00011DE9">
        <w:pPr>
          <w:pStyle w:val="Footer"/>
          <w:jc w:val="center"/>
        </w:pPr>
        <w:r>
          <w:fldChar w:fldCharType="begin"/>
        </w:r>
        <w:r>
          <w:instrText xml:space="preserve"> PAGE   \* MERGEFORMAT </w:instrText>
        </w:r>
        <w:r>
          <w:fldChar w:fldCharType="separate"/>
        </w:r>
        <w:r w:rsidR="00A32E85">
          <w:rPr>
            <w:noProof/>
          </w:rPr>
          <w:t>8</w:t>
        </w:r>
        <w:r>
          <w:fldChar w:fldCharType="end"/>
        </w:r>
      </w:p>
    </w:sdtContent>
  </w:sdt>
  <w:p w14:paraId="785DFDDE" w14:textId="77777777" w:rsidR="00D924EA" w:rsidRDefault="00D924E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7A71D" w14:textId="77777777" w:rsidR="00D924EA" w:rsidRDefault="00D924E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8EF87" w14:textId="77777777" w:rsidR="00D924EA" w:rsidRDefault="00D924E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7442439"/>
      <w:docPartObj>
        <w:docPartGallery w:val="Page Numbers (Bottom of Page)"/>
        <w:docPartUnique/>
      </w:docPartObj>
    </w:sdtPr>
    <w:sdtEndPr>
      <w:rPr>
        <w:noProof/>
      </w:rPr>
    </w:sdtEndPr>
    <w:sdtContent>
      <w:p w14:paraId="71DEE669" w14:textId="0F3E22F1" w:rsidR="00D924EA" w:rsidRDefault="00011DE9">
        <w:pPr>
          <w:pStyle w:val="Footer"/>
          <w:jc w:val="center"/>
        </w:pPr>
        <w:r>
          <w:fldChar w:fldCharType="begin"/>
        </w:r>
        <w:r>
          <w:instrText xml:space="preserve"> PAGE   \* MERGEFORMAT </w:instrText>
        </w:r>
        <w:r>
          <w:fldChar w:fldCharType="separate"/>
        </w:r>
        <w:r w:rsidR="00A32E85">
          <w:rPr>
            <w:noProof/>
          </w:rPr>
          <w:t>9</w:t>
        </w:r>
        <w:r>
          <w:fldChar w:fldCharType="end"/>
        </w:r>
      </w:p>
    </w:sdtContent>
  </w:sdt>
  <w:p w14:paraId="0F3A3D2A" w14:textId="77777777" w:rsidR="00D924EA" w:rsidRDefault="00D924E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D0F9E" w14:textId="77777777" w:rsidR="00D924EA" w:rsidRDefault="00D924E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8819737"/>
      <w:docPartObj>
        <w:docPartGallery w:val="Page Numbers (Bottom of Page)"/>
        <w:docPartUnique/>
      </w:docPartObj>
    </w:sdtPr>
    <w:sdtEndPr>
      <w:rPr>
        <w:noProof/>
      </w:rPr>
    </w:sdtEndPr>
    <w:sdtContent>
      <w:p w14:paraId="24F4F6CF" w14:textId="157E56FB" w:rsidR="00D924EA" w:rsidRDefault="00011DE9">
        <w:pPr>
          <w:pStyle w:val="Footer"/>
          <w:jc w:val="center"/>
        </w:pPr>
        <w:r>
          <w:fldChar w:fldCharType="begin"/>
        </w:r>
        <w:r>
          <w:instrText xml:space="preserve"> PAGE   \* MERGEFORMAT </w:instrText>
        </w:r>
        <w:r>
          <w:fldChar w:fldCharType="separate"/>
        </w:r>
        <w:r w:rsidR="00A32E85">
          <w:rPr>
            <w:noProof/>
          </w:rPr>
          <w:t>11</w:t>
        </w:r>
        <w:r>
          <w:fldChar w:fldCharType="end"/>
        </w:r>
      </w:p>
    </w:sdtContent>
  </w:sdt>
  <w:p w14:paraId="64AD2968" w14:textId="77777777" w:rsidR="00D924EA" w:rsidRDefault="00D924E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4DFBC" w14:textId="77777777" w:rsidR="00D924EA" w:rsidRDefault="00D924E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926551"/>
      <w:docPartObj>
        <w:docPartGallery w:val="Page Numbers (Bottom of Page)"/>
        <w:docPartUnique/>
      </w:docPartObj>
    </w:sdtPr>
    <w:sdtEndPr>
      <w:rPr>
        <w:noProof/>
      </w:rPr>
    </w:sdtEndPr>
    <w:sdtContent>
      <w:p w14:paraId="76A24C12" w14:textId="77777777" w:rsidR="00D924EA" w:rsidRDefault="00011DE9">
        <w:pPr>
          <w:pStyle w:val="Footer"/>
          <w:jc w:val="center"/>
        </w:pPr>
        <w:r>
          <w:fldChar w:fldCharType="begin"/>
        </w:r>
        <w:r>
          <w:instrText xml:space="preserve"> PAGE   \* MERGEFORMAT </w:instrText>
        </w:r>
        <w:r>
          <w:fldChar w:fldCharType="separate"/>
        </w:r>
        <w:r>
          <w:t>28</w:t>
        </w:r>
        <w:r>
          <w:fldChar w:fldCharType="end"/>
        </w:r>
      </w:p>
    </w:sdtContent>
  </w:sdt>
  <w:p w14:paraId="4B4D587B" w14:textId="77777777" w:rsidR="00D924EA" w:rsidRDefault="00D924E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9B811" w14:textId="77777777" w:rsidR="00D924EA" w:rsidRDefault="00D924E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AB032" w14:textId="77777777" w:rsidR="00D924EA" w:rsidRDefault="00D924E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728086"/>
      <w:docPartObj>
        <w:docPartGallery w:val="Page Numbers (Bottom of Page)"/>
        <w:docPartUnique/>
      </w:docPartObj>
    </w:sdtPr>
    <w:sdtEndPr>
      <w:rPr>
        <w:noProof/>
      </w:rPr>
    </w:sdtEndPr>
    <w:sdtContent>
      <w:p w14:paraId="4B818DDF"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442C905C" w14:textId="77777777" w:rsidR="00D924EA" w:rsidRDefault="00D924E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98FD1" w14:textId="77777777" w:rsidR="00D924EA" w:rsidRDefault="00D924E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97782" w14:textId="77777777" w:rsidR="00D924EA" w:rsidRDefault="00D924E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011918"/>
      <w:docPartObj>
        <w:docPartGallery w:val="Page Numbers (Bottom of Page)"/>
        <w:docPartUnique/>
      </w:docPartObj>
    </w:sdtPr>
    <w:sdtEndPr>
      <w:rPr>
        <w:noProof/>
      </w:rPr>
    </w:sdtEndPr>
    <w:sdtContent>
      <w:p w14:paraId="51E12754"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45AEA445" w14:textId="77777777" w:rsidR="00D924EA" w:rsidRDefault="00D924E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6DDE6" w14:textId="77777777" w:rsidR="00D924EA" w:rsidRDefault="00D924E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9273655"/>
      <w:docPartObj>
        <w:docPartGallery w:val="Page Numbers (Bottom of Page)"/>
        <w:docPartUnique/>
      </w:docPartObj>
    </w:sdtPr>
    <w:sdtEndPr>
      <w:rPr>
        <w:noProof/>
      </w:rPr>
    </w:sdtEndPr>
    <w:sdtContent>
      <w:p w14:paraId="20F38DBF"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3A918E1C" w14:textId="77777777" w:rsidR="00D924EA" w:rsidRDefault="00D924E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E3104" w14:textId="77777777" w:rsidR="00D924EA" w:rsidRDefault="00D924E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2807518"/>
      <w:docPartObj>
        <w:docPartGallery w:val="Page Numbers (Bottom of Page)"/>
        <w:docPartUnique/>
      </w:docPartObj>
    </w:sdtPr>
    <w:sdtEndPr>
      <w:rPr>
        <w:noProof/>
      </w:rPr>
    </w:sdtEndPr>
    <w:sdtContent>
      <w:p w14:paraId="4919AD4B"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7919F254" w14:textId="77777777" w:rsidR="00D924EA" w:rsidRDefault="00D924E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64799" w14:textId="77777777" w:rsidR="00D924EA" w:rsidRDefault="00D924E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FC0F7" w14:textId="77777777" w:rsidR="00D924EA" w:rsidRDefault="00D924E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829387"/>
      <w:docPartObj>
        <w:docPartGallery w:val="Page Numbers (Bottom of Page)"/>
        <w:docPartUnique/>
      </w:docPartObj>
    </w:sdtPr>
    <w:sdtEndPr>
      <w:rPr>
        <w:noProof/>
      </w:rPr>
    </w:sdtEndPr>
    <w:sdtContent>
      <w:p w14:paraId="5F0F11CF"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602B133B" w14:textId="77777777" w:rsidR="00D924EA" w:rsidRDefault="00D924E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4CC27" w14:textId="77777777" w:rsidR="00D924EA" w:rsidRDefault="00D924E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9125864"/>
      <w:docPartObj>
        <w:docPartGallery w:val="Page Numbers (Bottom of Page)"/>
        <w:docPartUnique/>
      </w:docPartObj>
    </w:sdtPr>
    <w:sdtEndPr>
      <w:rPr>
        <w:noProof/>
      </w:rPr>
    </w:sdtEndPr>
    <w:sdtContent>
      <w:p w14:paraId="7E508E00"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73648A96" w14:textId="77777777" w:rsidR="00D924EA" w:rsidRDefault="00D924E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110529"/>
      <w:docPartObj>
        <w:docPartGallery w:val="Page Numbers (Bottom of Page)"/>
        <w:docPartUnique/>
      </w:docPartObj>
    </w:sdtPr>
    <w:sdtEndPr>
      <w:rPr>
        <w:noProof/>
      </w:rPr>
    </w:sdtEndPr>
    <w:sdtContent>
      <w:p w14:paraId="5FDEDBA0"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039C7D6B" w14:textId="77777777" w:rsidR="00D924EA" w:rsidRDefault="00D924E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2109254"/>
      <w:docPartObj>
        <w:docPartGallery w:val="Page Numbers (Bottom of Page)"/>
        <w:docPartUnique/>
      </w:docPartObj>
    </w:sdtPr>
    <w:sdtEndPr>
      <w:rPr>
        <w:noProof/>
      </w:rPr>
    </w:sdtEndPr>
    <w:sdtContent>
      <w:p w14:paraId="372F431A"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2B2E1251" w14:textId="77777777" w:rsidR="00D924EA" w:rsidRDefault="00D924E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168011"/>
      <w:docPartObj>
        <w:docPartGallery w:val="Page Numbers (Bottom of Page)"/>
        <w:docPartUnique/>
      </w:docPartObj>
    </w:sdtPr>
    <w:sdtEndPr>
      <w:rPr>
        <w:noProof/>
      </w:rPr>
    </w:sdtEndPr>
    <w:sdtContent>
      <w:p w14:paraId="69A27C1A"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197FEC7B" w14:textId="77777777" w:rsidR="00D924EA" w:rsidRDefault="00D924E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4068B" w14:textId="77777777" w:rsidR="00D924EA" w:rsidRDefault="00D924E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237840"/>
      <w:docPartObj>
        <w:docPartGallery w:val="Page Numbers (Bottom of Page)"/>
        <w:docPartUnique/>
      </w:docPartObj>
    </w:sdtPr>
    <w:sdtEndPr>
      <w:rPr>
        <w:noProof/>
      </w:rPr>
    </w:sdtEndPr>
    <w:sdtContent>
      <w:p w14:paraId="5506501A"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6E3BD02E" w14:textId="77777777" w:rsidR="00D924EA" w:rsidRDefault="00D924E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5D481" w14:textId="77777777" w:rsidR="00D924EA" w:rsidRDefault="00D924E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8625058"/>
      <w:docPartObj>
        <w:docPartGallery w:val="Page Numbers (Bottom of Page)"/>
        <w:docPartUnique/>
      </w:docPartObj>
    </w:sdtPr>
    <w:sdtEndPr>
      <w:rPr>
        <w:noProof/>
      </w:rPr>
    </w:sdtEndPr>
    <w:sdtContent>
      <w:p w14:paraId="0375C5EE"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5836FC93" w14:textId="77777777" w:rsidR="00D924EA" w:rsidRDefault="00D924E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B3BF1" w14:textId="77777777" w:rsidR="00D924EA" w:rsidRDefault="00D924E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126585"/>
      <w:docPartObj>
        <w:docPartGallery w:val="Page Numbers (Bottom of Page)"/>
        <w:docPartUnique/>
      </w:docPartObj>
    </w:sdtPr>
    <w:sdtEndPr>
      <w:rPr>
        <w:noProof/>
      </w:rPr>
    </w:sdtEndPr>
    <w:sdtContent>
      <w:p w14:paraId="772BE269"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6999D55F" w14:textId="77777777" w:rsidR="00D924EA" w:rsidRDefault="00D924E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7CCF8" w14:textId="77777777" w:rsidR="00D924EA" w:rsidRDefault="00D924E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0513309"/>
      <w:docPartObj>
        <w:docPartGallery w:val="Page Numbers (Bottom of Page)"/>
        <w:docPartUnique/>
      </w:docPartObj>
    </w:sdtPr>
    <w:sdtEndPr>
      <w:rPr>
        <w:noProof/>
      </w:rPr>
    </w:sdtEndPr>
    <w:sdtContent>
      <w:p w14:paraId="4F3CC82C"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69D8121B" w14:textId="77777777" w:rsidR="00D924EA" w:rsidRDefault="00D924E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6C436" w14:textId="77777777" w:rsidR="00D924EA" w:rsidRDefault="00D924E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6057982"/>
      <w:docPartObj>
        <w:docPartGallery w:val="Page Numbers (Bottom of Page)"/>
        <w:docPartUnique/>
      </w:docPartObj>
    </w:sdtPr>
    <w:sdtEndPr>
      <w:rPr>
        <w:noProof/>
      </w:rPr>
    </w:sdtEndPr>
    <w:sdtContent>
      <w:p w14:paraId="30560329"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6EC3FBF5" w14:textId="77777777" w:rsidR="00D924EA" w:rsidRDefault="00D924E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6FDE7" w14:textId="77777777" w:rsidR="00D924EA" w:rsidRDefault="00D924E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918855"/>
      <w:docPartObj>
        <w:docPartGallery w:val="Page Numbers (Bottom of Page)"/>
        <w:docPartUnique/>
      </w:docPartObj>
    </w:sdtPr>
    <w:sdtEndPr>
      <w:rPr>
        <w:noProof/>
      </w:rPr>
    </w:sdtEndPr>
    <w:sdtContent>
      <w:p w14:paraId="6EF13EFA"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3809E593" w14:textId="77777777" w:rsidR="00D924EA" w:rsidRDefault="00D924E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80D2B" w14:textId="77777777" w:rsidR="00D924EA" w:rsidRDefault="00D924E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550936"/>
      <w:docPartObj>
        <w:docPartGallery w:val="Page Numbers (Bottom of Page)"/>
        <w:docPartUnique/>
      </w:docPartObj>
    </w:sdtPr>
    <w:sdtEndPr>
      <w:rPr>
        <w:noProof/>
      </w:rPr>
    </w:sdtEndPr>
    <w:sdtContent>
      <w:p w14:paraId="4A67EA14"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0F8BECCA" w14:textId="77777777" w:rsidR="00D924EA" w:rsidRDefault="00D924EA">
    <w:pPr>
      <w:pStyle w:val="FooterCouncil"/>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097D3" w14:textId="77777777" w:rsidR="00D924EA" w:rsidRDefault="00D924E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3832241"/>
      <w:docPartObj>
        <w:docPartGallery w:val="Page Numbers (Bottom of Page)"/>
        <w:docPartUnique/>
      </w:docPartObj>
    </w:sdtPr>
    <w:sdtEndPr>
      <w:rPr>
        <w:noProof/>
      </w:rPr>
    </w:sdtEndPr>
    <w:sdtContent>
      <w:p w14:paraId="64381930"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572B2406" w14:textId="77777777" w:rsidR="00D924EA" w:rsidRDefault="00D924EA">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52791" w14:textId="77777777" w:rsidR="00D924EA" w:rsidRDefault="00D924E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186705"/>
      <w:docPartObj>
        <w:docPartGallery w:val="Page Numbers (Bottom of Page)"/>
        <w:docPartUnique/>
      </w:docPartObj>
    </w:sdtPr>
    <w:sdtEndPr>
      <w:rPr>
        <w:noProof/>
      </w:rPr>
    </w:sdtEndPr>
    <w:sdtContent>
      <w:p w14:paraId="2D05F757"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58EE9527" w14:textId="77777777" w:rsidR="00D924EA" w:rsidRDefault="00D924E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B3603" w14:textId="77777777" w:rsidR="00D924EA" w:rsidRDefault="00D924E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EAA1A" w14:textId="77777777" w:rsidR="00D924EA" w:rsidRDefault="00D924E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1923663"/>
      <w:docPartObj>
        <w:docPartGallery w:val="Page Numbers (Bottom of Page)"/>
        <w:docPartUnique/>
      </w:docPartObj>
    </w:sdtPr>
    <w:sdtEndPr>
      <w:rPr>
        <w:noProof/>
      </w:rPr>
    </w:sdtEndPr>
    <w:sdtContent>
      <w:p w14:paraId="274071AC"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6E558DB3" w14:textId="77777777" w:rsidR="00D924EA" w:rsidRDefault="00D924E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02EBE" w14:textId="77777777" w:rsidR="00D924EA" w:rsidRDefault="00D924E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CC27E" w14:textId="77777777" w:rsidR="00D924EA" w:rsidRDefault="00D924E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4450681"/>
      <w:docPartObj>
        <w:docPartGallery w:val="Page Numbers (Bottom of Page)"/>
        <w:docPartUnique/>
      </w:docPartObj>
    </w:sdtPr>
    <w:sdtEndPr>
      <w:rPr>
        <w:noProof/>
      </w:rPr>
    </w:sdtEndPr>
    <w:sdtContent>
      <w:p w14:paraId="25D7B6AE"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5F87E6C8" w14:textId="77777777" w:rsidR="00D924EA" w:rsidRDefault="00D924E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34096" w14:textId="77777777" w:rsidR="00D924EA" w:rsidRDefault="00D924E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874957"/>
      <w:docPartObj>
        <w:docPartGallery w:val="Page Numbers (Bottom of Page)"/>
        <w:docPartUnique/>
      </w:docPartObj>
    </w:sdtPr>
    <w:sdtEndPr>
      <w:rPr>
        <w:noProof/>
      </w:rPr>
    </w:sdtEndPr>
    <w:sdtContent>
      <w:p w14:paraId="41922F31"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20292F23" w14:textId="77777777" w:rsidR="00D924EA" w:rsidRDefault="00D924E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E3B46" w14:textId="77777777" w:rsidR="00D924EA" w:rsidRDefault="00D924E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5498663"/>
      <w:docPartObj>
        <w:docPartGallery w:val="Page Numbers (Bottom of Page)"/>
        <w:docPartUnique/>
      </w:docPartObj>
    </w:sdtPr>
    <w:sdtEndPr>
      <w:rPr>
        <w:noProof/>
      </w:rPr>
    </w:sdtEndPr>
    <w:sdtContent>
      <w:p w14:paraId="6D0F1AC3"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7782978F" w14:textId="77777777" w:rsidR="00D924EA" w:rsidRDefault="00D924E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B5DFB" w14:textId="77777777" w:rsidR="00D924EA" w:rsidRDefault="00D924E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C13B2" w14:textId="77777777" w:rsidR="00D924EA" w:rsidRDefault="00D924E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7274567"/>
      <w:docPartObj>
        <w:docPartGallery w:val="Page Numbers (Bottom of Page)"/>
        <w:docPartUnique/>
      </w:docPartObj>
    </w:sdtPr>
    <w:sdtEndPr>
      <w:rPr>
        <w:noProof/>
      </w:rPr>
    </w:sdtEndPr>
    <w:sdtContent>
      <w:p w14:paraId="211852AD"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3D288C57" w14:textId="77777777" w:rsidR="00D924EA" w:rsidRDefault="00D924E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872FC" w14:textId="77777777" w:rsidR="00D924EA" w:rsidRDefault="00D924E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BADE7" w14:textId="77777777" w:rsidR="00D924EA" w:rsidRDefault="00D924E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98729"/>
      <w:docPartObj>
        <w:docPartGallery w:val="Page Numbers (Bottom of Page)"/>
        <w:docPartUnique/>
      </w:docPartObj>
    </w:sdtPr>
    <w:sdtEndPr>
      <w:rPr>
        <w:noProof/>
      </w:rPr>
    </w:sdtEndPr>
    <w:sdtContent>
      <w:p w14:paraId="1FF6E6C2"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5DFF5ED1" w14:textId="77777777" w:rsidR="00D924EA" w:rsidRDefault="00D924E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90168" w14:textId="77777777" w:rsidR="00D924EA" w:rsidRDefault="00D924E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98227" w14:textId="77777777" w:rsidR="00D924EA" w:rsidRDefault="00D924E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9871785"/>
      <w:docPartObj>
        <w:docPartGallery w:val="Page Numbers (Bottom of Page)"/>
        <w:docPartUnique/>
      </w:docPartObj>
    </w:sdtPr>
    <w:sdtEndPr>
      <w:rPr>
        <w:noProof/>
      </w:rPr>
    </w:sdtEndPr>
    <w:sdtContent>
      <w:p w14:paraId="689FCCF2"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55865912" w14:textId="77777777" w:rsidR="00D924EA" w:rsidRDefault="00D924E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5C4A7" w14:textId="77777777" w:rsidR="00D924EA" w:rsidRDefault="00D924EA">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DB19D" w14:textId="77777777" w:rsidR="00D924EA" w:rsidRDefault="00D924EA">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393306"/>
      <w:docPartObj>
        <w:docPartGallery w:val="Page Numbers (Bottom of Page)"/>
        <w:docPartUnique/>
      </w:docPartObj>
    </w:sdtPr>
    <w:sdtEndPr>
      <w:rPr>
        <w:noProof/>
      </w:rPr>
    </w:sdtEndPr>
    <w:sdtContent>
      <w:p w14:paraId="7E3C0613"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5FC20348" w14:textId="77777777" w:rsidR="00D924EA" w:rsidRDefault="00D924EA">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D10ED" w14:textId="77777777" w:rsidR="00D924EA" w:rsidRDefault="00D924EA">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42611" w14:textId="77777777" w:rsidR="00D924EA" w:rsidRDefault="00D924EA">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6329291"/>
      <w:docPartObj>
        <w:docPartGallery w:val="Page Numbers (Bottom of Page)"/>
        <w:docPartUnique/>
      </w:docPartObj>
    </w:sdtPr>
    <w:sdtEndPr>
      <w:rPr>
        <w:noProof/>
      </w:rPr>
    </w:sdtEndPr>
    <w:sdtContent>
      <w:p w14:paraId="62B24181"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6B87DBA9" w14:textId="77777777" w:rsidR="00D924EA" w:rsidRDefault="00D924EA">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0A424" w14:textId="77777777" w:rsidR="00D924EA" w:rsidRDefault="00D924EA">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A87A5" w14:textId="77777777" w:rsidR="00D924EA" w:rsidRDefault="00D924EA">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3778649"/>
      <w:docPartObj>
        <w:docPartGallery w:val="Page Numbers (Bottom of Page)"/>
        <w:docPartUnique/>
      </w:docPartObj>
    </w:sdtPr>
    <w:sdtEndPr>
      <w:rPr>
        <w:noProof/>
      </w:rPr>
    </w:sdtEndPr>
    <w:sdtContent>
      <w:p w14:paraId="6FA271D6" w14:textId="77777777" w:rsidR="00D924EA" w:rsidRDefault="00011DE9">
        <w:pPr>
          <w:pStyle w:val="Footer1"/>
          <w:jc w:val="center"/>
        </w:pPr>
        <w:r>
          <w:fldChar w:fldCharType="begin"/>
        </w:r>
        <w:r>
          <w:instrText xml:space="preserve"> PAGE   \* MERGEFORMAT </w:instrText>
        </w:r>
        <w:r>
          <w:fldChar w:fldCharType="separate"/>
        </w:r>
        <w:r>
          <w:t>2</w:t>
        </w:r>
        <w:r>
          <w:fldChar w:fldCharType="end"/>
        </w:r>
      </w:p>
    </w:sdtContent>
  </w:sdt>
  <w:p w14:paraId="45F61F9E" w14:textId="77777777" w:rsidR="00D924EA" w:rsidRDefault="00D924EA">
    <w:pPr>
      <w:pStyle w:val="Footer1"/>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E8298" w14:textId="77777777" w:rsidR="00D924EA" w:rsidRDefault="00D924EA">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422990"/>
      <w:docPartObj>
        <w:docPartGallery w:val="Page Numbers (Bottom of Page)"/>
        <w:docPartUnique/>
      </w:docPartObj>
    </w:sdtPr>
    <w:sdtEndPr>
      <w:rPr>
        <w:noProof/>
      </w:rPr>
    </w:sdtEndPr>
    <w:sdtContent>
      <w:p w14:paraId="21A7FC50" w14:textId="77777777" w:rsidR="00D924EA" w:rsidRDefault="00011DE9">
        <w:pPr>
          <w:pStyle w:val="Footer1"/>
          <w:jc w:val="center"/>
        </w:pPr>
        <w:r>
          <w:fldChar w:fldCharType="begin"/>
        </w:r>
        <w:r>
          <w:instrText xml:space="preserve"> PAGE   \* MERGEFORMAT </w:instrText>
        </w:r>
        <w:r>
          <w:fldChar w:fldCharType="separate"/>
        </w:r>
        <w:r>
          <w:t>2</w:t>
        </w:r>
        <w:r>
          <w:fldChar w:fldCharType="end"/>
        </w:r>
      </w:p>
    </w:sdtContent>
  </w:sdt>
  <w:p w14:paraId="44875557" w14:textId="77777777" w:rsidR="00D924EA" w:rsidRDefault="00D924EA">
    <w:pPr>
      <w:pStyle w:val="Footer1"/>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3D326" w14:textId="77777777" w:rsidR="00D924EA" w:rsidRDefault="00D924EA">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961476"/>
      <w:docPartObj>
        <w:docPartGallery w:val="Page Numbers (Bottom of Page)"/>
        <w:docPartUnique/>
      </w:docPartObj>
    </w:sdtPr>
    <w:sdtEndPr>
      <w:rPr>
        <w:noProof/>
      </w:rPr>
    </w:sdtEndPr>
    <w:sdtContent>
      <w:p w14:paraId="49F661C6"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0C11B476" w14:textId="77777777" w:rsidR="00D924EA" w:rsidRDefault="00D924EA">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0E50D" w14:textId="77777777" w:rsidR="00D924EA" w:rsidRDefault="00D924EA">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2582891"/>
      <w:docPartObj>
        <w:docPartGallery w:val="Page Numbers (Bottom of Page)"/>
        <w:docPartUnique/>
      </w:docPartObj>
    </w:sdtPr>
    <w:sdtEndPr>
      <w:rPr>
        <w:noProof/>
      </w:rPr>
    </w:sdtEndPr>
    <w:sdtContent>
      <w:p w14:paraId="344C237A"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67F9D603" w14:textId="77777777" w:rsidR="00D924EA" w:rsidRDefault="00D924EA">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7853885"/>
      <w:docPartObj>
        <w:docPartGallery w:val="Page Numbers (Bottom of Page)"/>
        <w:docPartUnique/>
      </w:docPartObj>
    </w:sdtPr>
    <w:sdtEndPr>
      <w:rPr>
        <w:noProof/>
      </w:rPr>
    </w:sdtEndPr>
    <w:sdtContent>
      <w:p w14:paraId="65BFC6AC"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0935ABD9" w14:textId="77777777" w:rsidR="00D924EA" w:rsidRDefault="00D924EA">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C6B6A" w14:textId="77777777" w:rsidR="00D924EA" w:rsidRDefault="00D924EA">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8310805"/>
      <w:docPartObj>
        <w:docPartGallery w:val="Page Numbers (Bottom of Page)"/>
        <w:docPartUnique/>
      </w:docPartObj>
    </w:sdtPr>
    <w:sdtEndPr>
      <w:rPr>
        <w:noProof/>
      </w:rPr>
    </w:sdtEndPr>
    <w:sdtContent>
      <w:p w14:paraId="380A3DE0" w14:textId="77777777" w:rsidR="00D924EA" w:rsidRDefault="00011DE9">
        <w:pPr>
          <w:pStyle w:val="Footer"/>
          <w:jc w:val="center"/>
        </w:pPr>
        <w:r>
          <w:fldChar w:fldCharType="begin"/>
        </w:r>
        <w:r>
          <w:instrText xml:space="preserve"> PAGE   \* MERGEFORMAT </w:instrText>
        </w:r>
        <w:r>
          <w:fldChar w:fldCharType="separate"/>
        </w:r>
        <w:r>
          <w:t>2</w:t>
        </w:r>
        <w:r>
          <w:fldChar w:fldCharType="end"/>
        </w:r>
      </w:p>
    </w:sdtContent>
  </w:sdt>
  <w:p w14:paraId="7BF48EAA" w14:textId="77777777" w:rsidR="00D924EA" w:rsidRDefault="00D924EA">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80F2C" w14:textId="77777777" w:rsidR="00D924EA" w:rsidRDefault="00D924EA">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875665"/>
      <w:docPartObj>
        <w:docPartGallery w:val="Page Numbers (Bottom of Page)"/>
        <w:docPartUnique/>
      </w:docPartObj>
    </w:sdtPr>
    <w:sdtEndPr>
      <w:rPr>
        <w:noProof/>
      </w:rPr>
    </w:sdtEndPr>
    <w:sdtContent>
      <w:p w14:paraId="0470D814"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781E1AA1" w14:textId="77777777" w:rsidR="00011DE9" w:rsidRDefault="00011DE9">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3ACC5" w14:textId="77777777" w:rsidR="00011DE9" w:rsidRDefault="00011DE9">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9593034"/>
      <w:docPartObj>
        <w:docPartGallery w:val="Page Numbers (Bottom of Page)"/>
        <w:docPartUnique/>
      </w:docPartObj>
    </w:sdtPr>
    <w:sdtEndPr>
      <w:rPr>
        <w:noProof/>
      </w:rPr>
    </w:sdtEndPr>
    <w:sdtContent>
      <w:p w14:paraId="3964F251"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70B0D607" w14:textId="77777777" w:rsidR="00011DE9" w:rsidRDefault="00011DE9">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FA58" w14:textId="77777777" w:rsidR="00011DE9" w:rsidRDefault="00011DE9">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0256331"/>
      <w:docPartObj>
        <w:docPartGallery w:val="Page Numbers (Bottom of Page)"/>
        <w:docPartUnique/>
      </w:docPartObj>
    </w:sdtPr>
    <w:sdtEndPr>
      <w:rPr>
        <w:noProof/>
      </w:rPr>
    </w:sdtEndPr>
    <w:sdtContent>
      <w:p w14:paraId="4F9B37B1"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10B463D6" w14:textId="77777777" w:rsidR="00011DE9" w:rsidRDefault="00011DE9">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490E2" w14:textId="77777777" w:rsidR="00011DE9" w:rsidRDefault="00011DE9">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5460415"/>
      <w:docPartObj>
        <w:docPartGallery w:val="Page Numbers (Bottom of Page)"/>
        <w:docPartUnique/>
      </w:docPartObj>
    </w:sdtPr>
    <w:sdtEndPr>
      <w:rPr>
        <w:noProof/>
      </w:rPr>
    </w:sdtEndPr>
    <w:sdtContent>
      <w:p w14:paraId="7A60D984"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70859C8E" w14:textId="77777777" w:rsidR="00011DE9" w:rsidRDefault="00011DE9">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0B37E" w14:textId="77777777" w:rsidR="00011DE9" w:rsidRDefault="00011DE9">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BA278" w14:textId="77777777" w:rsidR="00011DE9" w:rsidRDefault="00011DE9">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2956800"/>
      <w:docPartObj>
        <w:docPartGallery w:val="Page Numbers (Bottom of Page)"/>
        <w:docPartUnique/>
      </w:docPartObj>
    </w:sdtPr>
    <w:sdtEndPr>
      <w:rPr>
        <w:noProof/>
      </w:rPr>
    </w:sdtEndPr>
    <w:sdtContent>
      <w:p w14:paraId="795AC6AD"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2A84E6E4" w14:textId="77777777" w:rsidR="00011DE9" w:rsidRDefault="00011DE9">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E9BD2" w14:textId="77777777" w:rsidR="00011DE9" w:rsidRDefault="00011DE9">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3359E" w14:textId="77777777" w:rsidR="00011DE9" w:rsidRDefault="00011DE9">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6036133"/>
      <w:docPartObj>
        <w:docPartGallery w:val="Page Numbers (Bottom of Page)"/>
        <w:docPartUnique/>
      </w:docPartObj>
    </w:sdtPr>
    <w:sdtEndPr>
      <w:rPr>
        <w:noProof/>
      </w:rPr>
    </w:sdtEndPr>
    <w:sdtContent>
      <w:p w14:paraId="3AAD4DF1"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2593EE72" w14:textId="77777777" w:rsidR="00011DE9" w:rsidRDefault="00011DE9">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DECBF" w14:textId="77777777" w:rsidR="00011DE9" w:rsidRDefault="00011DE9">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1444216"/>
      <w:docPartObj>
        <w:docPartGallery w:val="Page Numbers (Bottom of Page)"/>
        <w:docPartUnique/>
      </w:docPartObj>
    </w:sdtPr>
    <w:sdtEndPr>
      <w:rPr>
        <w:noProof/>
      </w:rPr>
    </w:sdtEndPr>
    <w:sdtContent>
      <w:p w14:paraId="183DFC93"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1D0F5125" w14:textId="77777777" w:rsidR="00011DE9" w:rsidRDefault="00011DE9">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039DB" w14:textId="77777777" w:rsidR="00011DE9" w:rsidRDefault="00011DE9">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776381"/>
      <w:docPartObj>
        <w:docPartGallery w:val="Page Numbers (Bottom of Page)"/>
        <w:docPartUnique/>
      </w:docPartObj>
    </w:sdtPr>
    <w:sdtEndPr>
      <w:rPr>
        <w:noProof/>
      </w:rPr>
    </w:sdtEndPr>
    <w:sdtContent>
      <w:p w14:paraId="047719F0"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682AC62E" w14:textId="77777777" w:rsidR="00011DE9" w:rsidRDefault="00011DE9">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15FAA" w14:textId="77777777" w:rsidR="00011DE9" w:rsidRDefault="00011DE9">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129119"/>
      <w:docPartObj>
        <w:docPartGallery w:val="Page Numbers (Bottom of Page)"/>
        <w:docPartUnique/>
      </w:docPartObj>
    </w:sdtPr>
    <w:sdtEndPr>
      <w:rPr>
        <w:noProof/>
      </w:rPr>
    </w:sdtEndPr>
    <w:sdtContent>
      <w:p w14:paraId="08F1AE1F"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3AB19AF4" w14:textId="77777777" w:rsidR="00011DE9" w:rsidRDefault="00011DE9">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AE1E1" w14:textId="77777777" w:rsidR="00011DE9" w:rsidRDefault="00011DE9">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8771012"/>
      <w:docPartObj>
        <w:docPartGallery w:val="Page Numbers (Bottom of Page)"/>
        <w:docPartUnique/>
      </w:docPartObj>
    </w:sdtPr>
    <w:sdtEndPr>
      <w:rPr>
        <w:noProof/>
      </w:rPr>
    </w:sdtEndPr>
    <w:sdtContent>
      <w:p w14:paraId="2E005256"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5D637074" w14:textId="77777777" w:rsidR="00011DE9" w:rsidRDefault="00011DE9">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0F867" w14:textId="77777777" w:rsidR="00011DE9" w:rsidRDefault="00011DE9">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3A199" w14:textId="77777777" w:rsidR="00011DE9" w:rsidRDefault="00011DE9">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2015449"/>
      <w:docPartObj>
        <w:docPartGallery w:val="Page Numbers (Bottom of Page)"/>
        <w:docPartUnique/>
      </w:docPartObj>
    </w:sdtPr>
    <w:sdtEndPr>
      <w:rPr>
        <w:noProof/>
      </w:rPr>
    </w:sdtEndPr>
    <w:sdtContent>
      <w:p w14:paraId="4F8D0186"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6F804D64" w14:textId="77777777" w:rsidR="00011DE9" w:rsidRDefault="00011DE9">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FEB66" w14:textId="77777777" w:rsidR="00011DE9" w:rsidRDefault="00011DE9">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66A8B" w14:textId="77777777" w:rsidR="00011DE9" w:rsidRDefault="00011DE9">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8833982"/>
      <w:docPartObj>
        <w:docPartGallery w:val="Page Numbers (Bottom of Page)"/>
        <w:docPartUnique/>
      </w:docPartObj>
    </w:sdtPr>
    <w:sdtEndPr>
      <w:rPr>
        <w:noProof/>
      </w:rPr>
    </w:sdtEndPr>
    <w:sdtContent>
      <w:p w14:paraId="4D463EC7"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1AE34444" w14:textId="77777777" w:rsidR="00011DE9" w:rsidRDefault="00011DE9">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781E7" w14:textId="77777777" w:rsidR="00011DE9" w:rsidRDefault="00011DE9">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7751520"/>
      <w:docPartObj>
        <w:docPartGallery w:val="Page Numbers (Bottom of Page)"/>
        <w:docPartUnique/>
      </w:docPartObj>
    </w:sdtPr>
    <w:sdtEndPr>
      <w:rPr>
        <w:noProof/>
      </w:rPr>
    </w:sdtEndPr>
    <w:sdtContent>
      <w:p w14:paraId="2A1EE59F"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7E5BD023" w14:textId="77777777" w:rsidR="00011DE9" w:rsidRDefault="00011DE9">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6DED8" w14:textId="77777777" w:rsidR="00011DE9" w:rsidRDefault="00011DE9">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734048"/>
      <w:docPartObj>
        <w:docPartGallery w:val="Page Numbers (Bottom of Page)"/>
        <w:docPartUnique/>
      </w:docPartObj>
    </w:sdtPr>
    <w:sdtEndPr>
      <w:rPr>
        <w:noProof/>
      </w:rPr>
    </w:sdtEndPr>
    <w:sdtContent>
      <w:p w14:paraId="10393474"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7D9DFB09" w14:textId="77777777" w:rsidR="00011DE9" w:rsidRDefault="00011DE9">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21097" w14:textId="77777777" w:rsidR="00011DE9" w:rsidRDefault="00011DE9">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DD64C" w14:textId="77777777" w:rsidR="00011DE9" w:rsidRDefault="00011DE9">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3679041"/>
      <w:docPartObj>
        <w:docPartGallery w:val="Page Numbers (Bottom of Page)"/>
        <w:docPartUnique/>
      </w:docPartObj>
    </w:sdtPr>
    <w:sdtEndPr>
      <w:rPr>
        <w:noProof/>
      </w:rPr>
    </w:sdtEndPr>
    <w:sdtContent>
      <w:p w14:paraId="204211DD"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21B40C53" w14:textId="77777777" w:rsidR="00011DE9" w:rsidRDefault="00011DE9">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006AF" w14:textId="77777777" w:rsidR="00011DE9" w:rsidRDefault="00011DE9">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639D1" w14:textId="77777777" w:rsidR="00011DE9" w:rsidRDefault="00011DE9">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873423"/>
      <w:docPartObj>
        <w:docPartGallery w:val="Page Numbers (Bottom of Page)"/>
        <w:docPartUnique/>
      </w:docPartObj>
    </w:sdtPr>
    <w:sdtEndPr>
      <w:rPr>
        <w:noProof/>
      </w:rPr>
    </w:sdtEndPr>
    <w:sdtContent>
      <w:p w14:paraId="6670FFDC"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18147F67" w14:textId="77777777" w:rsidR="00011DE9" w:rsidRDefault="00011DE9">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98D71" w14:textId="77777777" w:rsidR="00011DE9" w:rsidRDefault="00011DE9">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04146" w14:textId="77777777" w:rsidR="00011DE9" w:rsidRDefault="00011DE9">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1962261"/>
      <w:docPartObj>
        <w:docPartGallery w:val="Page Numbers (Bottom of Page)"/>
        <w:docPartUnique/>
      </w:docPartObj>
    </w:sdtPr>
    <w:sdtEndPr>
      <w:rPr>
        <w:noProof/>
      </w:rPr>
    </w:sdtEndPr>
    <w:sdtContent>
      <w:p w14:paraId="6B846C59"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523D85CC" w14:textId="77777777" w:rsidR="00011DE9" w:rsidRDefault="00011DE9">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B5B06" w14:textId="77777777" w:rsidR="00011DE9" w:rsidRDefault="00011DE9">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3A746" w14:textId="77777777" w:rsidR="00011DE9" w:rsidRDefault="00011DE9">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531479"/>
      <w:docPartObj>
        <w:docPartGallery w:val="Page Numbers (Bottom of Page)"/>
        <w:docPartUnique/>
      </w:docPartObj>
    </w:sdtPr>
    <w:sdtEndPr>
      <w:rPr>
        <w:noProof/>
      </w:rPr>
    </w:sdtEndPr>
    <w:sdtContent>
      <w:p w14:paraId="1BA1F878"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2FC5C86B" w14:textId="77777777" w:rsidR="00011DE9" w:rsidRDefault="00011DE9">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3372F" w14:textId="77777777" w:rsidR="00011DE9" w:rsidRDefault="00011DE9">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40C8C" w14:textId="77777777" w:rsidR="00011DE9" w:rsidRDefault="00011DE9">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2187561"/>
      <w:docPartObj>
        <w:docPartGallery w:val="Page Numbers (Bottom of Page)"/>
        <w:docPartUnique/>
      </w:docPartObj>
    </w:sdtPr>
    <w:sdtEndPr>
      <w:rPr>
        <w:noProof/>
      </w:rPr>
    </w:sdtEndPr>
    <w:sdtContent>
      <w:p w14:paraId="379BF060"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74616BD0" w14:textId="77777777" w:rsidR="00011DE9" w:rsidRDefault="00011DE9">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E6C73" w14:textId="77777777" w:rsidR="00011DE9" w:rsidRDefault="00011DE9">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4366B" w14:textId="77777777" w:rsidR="00011DE9" w:rsidRDefault="00011DE9">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1324528"/>
      <w:docPartObj>
        <w:docPartGallery w:val="Page Numbers (Bottom of Page)"/>
        <w:docPartUnique/>
      </w:docPartObj>
    </w:sdtPr>
    <w:sdtEndPr>
      <w:rPr>
        <w:noProof/>
      </w:rPr>
    </w:sdtEndPr>
    <w:sdtContent>
      <w:p w14:paraId="16CE46EC"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02839492" w14:textId="77777777" w:rsidR="00011DE9" w:rsidRDefault="00011DE9">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FC446" w14:textId="77777777" w:rsidR="00011DE9" w:rsidRDefault="00011DE9">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3AA6F" w14:textId="77777777" w:rsidR="00011DE9" w:rsidRDefault="00011DE9">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270224"/>
      <w:docPartObj>
        <w:docPartGallery w:val="Page Numbers (Bottom of Page)"/>
        <w:docPartUnique/>
      </w:docPartObj>
    </w:sdtPr>
    <w:sdtEndPr>
      <w:rPr>
        <w:noProof/>
      </w:rPr>
    </w:sdtEndPr>
    <w:sdtContent>
      <w:p w14:paraId="0C59F5C2"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7235CED1" w14:textId="77777777" w:rsidR="00011DE9" w:rsidRDefault="00011DE9">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6A789" w14:textId="77777777" w:rsidR="00011DE9" w:rsidRDefault="00011DE9">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9F84C" w14:textId="77777777" w:rsidR="00011DE9" w:rsidRDefault="00011DE9">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4126199"/>
      <w:docPartObj>
        <w:docPartGallery w:val="Page Numbers (Bottom of Page)"/>
        <w:docPartUnique/>
      </w:docPartObj>
    </w:sdtPr>
    <w:sdtEndPr>
      <w:rPr>
        <w:noProof/>
      </w:rPr>
    </w:sdtEndPr>
    <w:sdtContent>
      <w:p w14:paraId="5CC860AB"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0E316D38" w14:textId="77777777" w:rsidR="00011DE9" w:rsidRDefault="00011DE9">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8F05F" w14:textId="77777777" w:rsidR="00011DE9" w:rsidRDefault="00011DE9">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1FD7A" w14:textId="77777777" w:rsidR="00011DE9" w:rsidRDefault="00011DE9">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049228"/>
      <w:docPartObj>
        <w:docPartGallery w:val="Page Numbers (Bottom of Page)"/>
        <w:docPartUnique/>
      </w:docPartObj>
    </w:sdtPr>
    <w:sdtEndPr>
      <w:rPr>
        <w:noProof/>
      </w:rPr>
    </w:sdtEndPr>
    <w:sdtContent>
      <w:p w14:paraId="10FD3604"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5D0DF725" w14:textId="77777777" w:rsidR="00011DE9" w:rsidRDefault="00011DE9">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70C46" w14:textId="77777777" w:rsidR="00011DE9" w:rsidRDefault="00011DE9">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68939" w14:textId="77777777" w:rsidR="00011DE9" w:rsidRDefault="00011DE9">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6937689"/>
      <w:docPartObj>
        <w:docPartGallery w:val="Page Numbers (Bottom of Page)"/>
        <w:docPartUnique/>
      </w:docPartObj>
    </w:sdtPr>
    <w:sdtEndPr>
      <w:rPr>
        <w:noProof/>
      </w:rPr>
    </w:sdtEndPr>
    <w:sdtContent>
      <w:p w14:paraId="09E72CD3"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04AF40DF" w14:textId="77777777" w:rsidR="00011DE9" w:rsidRDefault="00011DE9">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D7653" w14:textId="77777777" w:rsidR="00011DE9" w:rsidRDefault="00011DE9">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056193"/>
      <w:docPartObj>
        <w:docPartGallery w:val="Page Numbers (Bottom of Page)"/>
        <w:docPartUnique/>
      </w:docPartObj>
    </w:sdtPr>
    <w:sdtEndPr>
      <w:rPr>
        <w:noProof/>
      </w:rPr>
    </w:sdtEndPr>
    <w:sdtContent>
      <w:p w14:paraId="1A74DCF7"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104DB2A5" w14:textId="77777777" w:rsidR="00011DE9" w:rsidRDefault="00011DE9">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E5BF7" w14:textId="77777777" w:rsidR="00011DE9" w:rsidRDefault="00011DE9">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0040165"/>
      <w:docPartObj>
        <w:docPartGallery w:val="Page Numbers (Bottom of Page)"/>
        <w:docPartUnique/>
      </w:docPartObj>
    </w:sdtPr>
    <w:sdtEndPr>
      <w:rPr>
        <w:noProof/>
      </w:rPr>
    </w:sdtEndPr>
    <w:sdtContent>
      <w:p w14:paraId="729573F0"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6A8DB4DF" w14:textId="77777777" w:rsidR="00011DE9" w:rsidRDefault="00011DE9">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C228D" w14:textId="77777777" w:rsidR="00011DE9" w:rsidRDefault="00011DE9">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7366E" w14:textId="77777777" w:rsidR="00011DE9" w:rsidRDefault="00011DE9">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179306"/>
      <w:docPartObj>
        <w:docPartGallery w:val="Page Numbers (Bottom of Page)"/>
        <w:docPartUnique/>
      </w:docPartObj>
    </w:sdtPr>
    <w:sdtEndPr>
      <w:rPr>
        <w:noProof/>
      </w:rPr>
    </w:sdtEndPr>
    <w:sdtContent>
      <w:p w14:paraId="2F45D652"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253BC635" w14:textId="77777777" w:rsidR="00011DE9" w:rsidRDefault="00011DE9">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B6C97" w14:textId="77777777" w:rsidR="00011DE9" w:rsidRDefault="00011DE9">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E34A6" w14:textId="77777777" w:rsidR="00011DE9" w:rsidRDefault="00011DE9">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470121"/>
      <w:docPartObj>
        <w:docPartGallery w:val="Page Numbers (Bottom of Page)"/>
        <w:docPartUnique/>
      </w:docPartObj>
    </w:sdtPr>
    <w:sdtEndPr>
      <w:rPr>
        <w:noProof/>
      </w:rPr>
    </w:sdtEndPr>
    <w:sdtContent>
      <w:p w14:paraId="1424C215"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61365833" w14:textId="77777777" w:rsidR="00011DE9" w:rsidRDefault="00011DE9">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A19B5" w14:textId="77777777" w:rsidR="00011DE9" w:rsidRDefault="00011DE9">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293075"/>
      <w:docPartObj>
        <w:docPartGallery w:val="Page Numbers (Bottom of Page)"/>
        <w:docPartUnique/>
      </w:docPartObj>
    </w:sdtPr>
    <w:sdtEndPr>
      <w:rPr>
        <w:noProof/>
      </w:rPr>
    </w:sdtEndPr>
    <w:sdtContent>
      <w:p w14:paraId="51CA1D90"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51DD0157" w14:textId="77777777" w:rsidR="00011DE9" w:rsidRDefault="00011DE9">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0448422"/>
      <w:docPartObj>
        <w:docPartGallery w:val="Page Numbers (Bottom of Page)"/>
        <w:docPartUnique/>
      </w:docPartObj>
    </w:sdtPr>
    <w:sdtEndPr>
      <w:rPr>
        <w:noProof/>
      </w:rPr>
    </w:sdtEndPr>
    <w:sdtContent>
      <w:p w14:paraId="02FD30BA"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4642F363" w14:textId="77777777" w:rsidR="00011DE9" w:rsidRDefault="00011DE9">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52E11" w14:textId="77777777" w:rsidR="00011DE9" w:rsidRDefault="00011DE9">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229980"/>
      <w:docPartObj>
        <w:docPartGallery w:val="Page Numbers (Bottom of Page)"/>
        <w:docPartUnique/>
      </w:docPartObj>
    </w:sdtPr>
    <w:sdtEndPr>
      <w:rPr>
        <w:noProof/>
      </w:rPr>
    </w:sdtEndPr>
    <w:sdtContent>
      <w:p w14:paraId="7286A1A8"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31F49E9F" w14:textId="77777777" w:rsidR="00011DE9" w:rsidRDefault="00011DE9">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F077D" w14:textId="77777777" w:rsidR="00011DE9" w:rsidRDefault="00011DE9">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D2D91" w14:textId="77777777" w:rsidR="00011DE9" w:rsidRDefault="00011DE9">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0121077"/>
      <w:docPartObj>
        <w:docPartGallery w:val="Page Numbers (Bottom of Page)"/>
        <w:docPartUnique/>
      </w:docPartObj>
    </w:sdtPr>
    <w:sdtEndPr>
      <w:rPr>
        <w:noProof/>
      </w:rPr>
    </w:sdtEndPr>
    <w:sdtContent>
      <w:p w14:paraId="7B6D08B8"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20F48217" w14:textId="77777777" w:rsidR="00011DE9" w:rsidRDefault="00011DE9">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9FC62" w14:textId="77777777" w:rsidR="00011DE9" w:rsidRDefault="00011DE9">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901701"/>
      <w:docPartObj>
        <w:docPartGallery w:val="Page Numbers (Bottom of Page)"/>
        <w:docPartUnique/>
      </w:docPartObj>
    </w:sdtPr>
    <w:sdtEndPr>
      <w:rPr>
        <w:noProof/>
      </w:rPr>
    </w:sdtEndPr>
    <w:sdtContent>
      <w:p w14:paraId="67F654F7"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702663F7" w14:textId="77777777" w:rsidR="00011DE9" w:rsidRDefault="00011DE9">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CE32F" w14:textId="77777777" w:rsidR="00011DE9" w:rsidRDefault="00011DE9">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338699"/>
      <w:docPartObj>
        <w:docPartGallery w:val="Page Numbers (Bottom of Page)"/>
        <w:docPartUnique/>
      </w:docPartObj>
    </w:sdtPr>
    <w:sdtEndPr>
      <w:rPr>
        <w:noProof/>
      </w:rPr>
    </w:sdtEndPr>
    <w:sdtContent>
      <w:p w14:paraId="74098B15"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2D299207" w14:textId="77777777" w:rsidR="00011DE9" w:rsidRDefault="00011DE9">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2E86D" w14:textId="77777777" w:rsidR="00011DE9" w:rsidRDefault="00011DE9">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FD329" w14:textId="77777777" w:rsidR="00011DE9" w:rsidRDefault="00011DE9">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7483127"/>
      <w:docPartObj>
        <w:docPartGallery w:val="Page Numbers (Bottom of Page)"/>
        <w:docPartUnique/>
      </w:docPartObj>
    </w:sdtPr>
    <w:sdtEndPr>
      <w:rPr>
        <w:noProof/>
      </w:rPr>
    </w:sdtEndPr>
    <w:sdtContent>
      <w:p w14:paraId="24551869"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6F964776" w14:textId="77777777" w:rsidR="00011DE9" w:rsidRDefault="00011DE9">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A7617" w14:textId="77777777" w:rsidR="00011DE9" w:rsidRDefault="00011DE9">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8CE62" w14:textId="77777777" w:rsidR="00011DE9" w:rsidRDefault="00011DE9">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0554491"/>
      <w:docPartObj>
        <w:docPartGallery w:val="Page Numbers (Bottom of Page)"/>
        <w:docPartUnique/>
      </w:docPartObj>
    </w:sdtPr>
    <w:sdtEndPr>
      <w:rPr>
        <w:noProof/>
      </w:rPr>
    </w:sdtEndPr>
    <w:sdtContent>
      <w:p w14:paraId="59E148E5"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32B65DF9" w14:textId="77777777" w:rsidR="00011DE9" w:rsidRDefault="00011DE9">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1241A" w14:textId="77777777" w:rsidR="00011DE9" w:rsidRDefault="00011DE9">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160D0" w14:textId="77777777" w:rsidR="00011DE9" w:rsidRDefault="00011DE9">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1118100"/>
      <w:docPartObj>
        <w:docPartGallery w:val="Page Numbers (Bottom of Page)"/>
        <w:docPartUnique/>
      </w:docPartObj>
    </w:sdtPr>
    <w:sdtEndPr>
      <w:rPr>
        <w:noProof/>
      </w:rPr>
    </w:sdtEndPr>
    <w:sdtContent>
      <w:p w14:paraId="62DAE1FF"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021CD533" w14:textId="77777777" w:rsidR="00011DE9" w:rsidRDefault="00011DE9">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D449A" w14:textId="77777777" w:rsidR="00011DE9" w:rsidRDefault="00011DE9">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FDF1B" w14:textId="77777777" w:rsidR="00011DE9" w:rsidRDefault="00011DE9">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018144"/>
      <w:docPartObj>
        <w:docPartGallery w:val="Page Numbers (Bottom of Page)"/>
        <w:docPartUnique/>
      </w:docPartObj>
    </w:sdtPr>
    <w:sdtEndPr>
      <w:rPr>
        <w:noProof/>
      </w:rPr>
    </w:sdtEndPr>
    <w:sdtContent>
      <w:p w14:paraId="6659987F"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163C2704" w14:textId="77777777" w:rsidR="00011DE9" w:rsidRDefault="00011DE9">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B7C02" w14:textId="77777777" w:rsidR="00011DE9" w:rsidRDefault="00011DE9">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50FB9" w14:textId="77777777" w:rsidR="00011DE9" w:rsidRDefault="00011DE9">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269963"/>
      <w:docPartObj>
        <w:docPartGallery w:val="Page Numbers (Bottom of Page)"/>
        <w:docPartUnique/>
      </w:docPartObj>
    </w:sdtPr>
    <w:sdtEndPr>
      <w:rPr>
        <w:noProof/>
      </w:rPr>
    </w:sdtEndPr>
    <w:sdtContent>
      <w:p w14:paraId="11A8B852"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10B3DCB0" w14:textId="77777777" w:rsidR="00011DE9" w:rsidRDefault="00011DE9">
    <w:pPr>
      <w:pStyle w:val="Footer"/>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10BE" w14:textId="77777777" w:rsidR="00011DE9" w:rsidRDefault="00011DE9">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4838F" w14:textId="77777777" w:rsidR="00011DE9" w:rsidRDefault="00011DE9">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2222361"/>
      <w:docPartObj>
        <w:docPartGallery w:val="Page Numbers (Bottom of Page)"/>
        <w:docPartUnique/>
      </w:docPartObj>
    </w:sdtPr>
    <w:sdtEndPr>
      <w:rPr>
        <w:noProof/>
      </w:rPr>
    </w:sdtEndPr>
    <w:sdtContent>
      <w:p w14:paraId="763CC986"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150C10F8" w14:textId="77777777" w:rsidR="00011DE9" w:rsidRDefault="00011DE9">
    <w:pPr>
      <w:pStyle w:val="Footer"/>
    </w:pP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38085" w14:textId="77777777" w:rsidR="00011DE9" w:rsidRDefault="00011DE9">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002B7" w14:textId="77777777" w:rsidR="00011DE9" w:rsidRDefault="00011DE9">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6574242"/>
      <w:docPartObj>
        <w:docPartGallery w:val="Page Numbers (Bottom of Page)"/>
        <w:docPartUnique/>
      </w:docPartObj>
    </w:sdtPr>
    <w:sdtEndPr>
      <w:rPr>
        <w:noProof/>
      </w:rPr>
    </w:sdtEndPr>
    <w:sdtContent>
      <w:p w14:paraId="4506D404"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32007FE9" w14:textId="77777777" w:rsidR="00011DE9" w:rsidRDefault="00011DE9">
    <w:pPr>
      <w:pStyle w:val="Footer"/>
    </w:pP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59F70" w14:textId="77777777" w:rsidR="00011DE9" w:rsidRDefault="00011DE9">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4685E" w14:textId="77777777" w:rsidR="00011DE9" w:rsidRDefault="00011DE9">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231832"/>
      <w:docPartObj>
        <w:docPartGallery w:val="Page Numbers (Bottom of Page)"/>
        <w:docPartUnique/>
      </w:docPartObj>
    </w:sdtPr>
    <w:sdtEndPr>
      <w:rPr>
        <w:noProof/>
      </w:rPr>
    </w:sdtEndPr>
    <w:sdtContent>
      <w:p w14:paraId="6F3E1453"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3B9EA8AB" w14:textId="77777777" w:rsidR="00011DE9" w:rsidRDefault="00011DE9">
    <w:pPr>
      <w:pStyle w:val="Footer"/>
    </w:pP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F3CB4" w14:textId="77777777" w:rsidR="00011DE9" w:rsidRDefault="00011DE9">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BF4D5" w14:textId="77777777" w:rsidR="00011DE9" w:rsidRDefault="00011DE9">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244970"/>
      <w:docPartObj>
        <w:docPartGallery w:val="Page Numbers (Bottom of Page)"/>
        <w:docPartUnique/>
      </w:docPartObj>
    </w:sdtPr>
    <w:sdtEndPr>
      <w:rPr>
        <w:noProof/>
      </w:rPr>
    </w:sdtEndPr>
    <w:sdtContent>
      <w:p w14:paraId="3DE272DE"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335D9108" w14:textId="77777777" w:rsidR="00011DE9" w:rsidRDefault="00011DE9">
    <w:pPr>
      <w:pStyle w:val="FooterCouncil"/>
    </w:pP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AEFD1" w14:textId="77777777" w:rsidR="00011DE9" w:rsidRDefault="00011DE9">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5831557"/>
      <w:docPartObj>
        <w:docPartGallery w:val="Page Numbers (Bottom of Page)"/>
        <w:docPartUnique/>
      </w:docPartObj>
    </w:sdtPr>
    <w:sdtEndPr>
      <w:rPr>
        <w:noProof/>
      </w:rPr>
    </w:sdtEndPr>
    <w:sdtContent>
      <w:p w14:paraId="53D456E9"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1417081B" w14:textId="77777777" w:rsidR="00011DE9" w:rsidRDefault="00011DE9">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751F0" w14:textId="77777777" w:rsidR="00011DE9" w:rsidRDefault="00011DE9">
    <w:pPr>
      <w:pStyle w:val="Footer"/>
    </w:pP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8299048"/>
      <w:docPartObj>
        <w:docPartGallery w:val="Page Numbers (Bottom of Page)"/>
        <w:docPartUnique/>
      </w:docPartObj>
    </w:sdtPr>
    <w:sdtEndPr>
      <w:rPr>
        <w:noProof/>
      </w:rPr>
    </w:sdtEndPr>
    <w:sdtContent>
      <w:p w14:paraId="7EEF4751"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3C8FF2C0" w14:textId="77777777" w:rsidR="00011DE9" w:rsidRDefault="00011DE9">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58C95" w14:textId="77777777" w:rsidR="00011DE9" w:rsidRDefault="00011DE9">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1671407"/>
      <w:docPartObj>
        <w:docPartGallery w:val="Page Numbers (Bottom of Page)"/>
        <w:docPartUnique/>
      </w:docPartObj>
    </w:sdtPr>
    <w:sdtEndPr>
      <w:rPr>
        <w:noProof/>
      </w:rPr>
    </w:sdtEndPr>
    <w:sdtContent>
      <w:p w14:paraId="4DC1EE38"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23DCAB7E" w14:textId="77777777" w:rsidR="00011DE9" w:rsidRDefault="00011DE9">
    <w:pPr>
      <w:pStyle w:val="Footer"/>
    </w:pP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ABEEB" w14:textId="77777777" w:rsidR="00011DE9" w:rsidRDefault="00011DE9">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879208"/>
      <w:docPartObj>
        <w:docPartGallery w:val="Page Numbers (Bottom of Page)"/>
        <w:docPartUnique/>
      </w:docPartObj>
    </w:sdtPr>
    <w:sdtEndPr>
      <w:rPr>
        <w:noProof/>
      </w:rPr>
    </w:sdtEndPr>
    <w:sdtContent>
      <w:p w14:paraId="7F1E9D6E"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548A907B" w14:textId="77777777" w:rsidR="00011DE9" w:rsidRDefault="00011DE9">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E7328" w14:textId="77777777" w:rsidR="00011DE9" w:rsidRDefault="00011DE9">
    <w:pPr>
      <w:pStyle w:val="Footer"/>
    </w:pPr>
  </w:p>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720EF" w14:textId="77777777" w:rsidR="00011DE9" w:rsidRDefault="00011DE9">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461710"/>
      <w:docPartObj>
        <w:docPartGallery w:val="Page Numbers (Bottom of Page)"/>
        <w:docPartUnique/>
      </w:docPartObj>
    </w:sdtPr>
    <w:sdtEndPr>
      <w:rPr>
        <w:noProof/>
      </w:rPr>
    </w:sdtEndPr>
    <w:sdtContent>
      <w:p w14:paraId="7895A8D4"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207ABD69" w14:textId="77777777" w:rsidR="00011DE9" w:rsidRDefault="00011DE9">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4201D" w14:textId="77777777" w:rsidR="00011DE9" w:rsidRDefault="00011DE9">
    <w:pPr>
      <w:pStyle w:val="Footer"/>
    </w:pPr>
  </w:p>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132373"/>
      <w:docPartObj>
        <w:docPartGallery w:val="Page Numbers (Bottom of Page)"/>
        <w:docPartUnique/>
      </w:docPartObj>
    </w:sdtPr>
    <w:sdtEndPr>
      <w:rPr>
        <w:noProof/>
      </w:rPr>
    </w:sdtEndPr>
    <w:sdtContent>
      <w:p w14:paraId="51BB4282" w14:textId="77777777" w:rsidR="00011DE9" w:rsidRDefault="00011DE9">
        <w:pPr>
          <w:pStyle w:val="Footer"/>
          <w:jc w:val="center"/>
        </w:pPr>
        <w:r>
          <w:fldChar w:fldCharType="begin"/>
        </w:r>
        <w:r>
          <w:instrText xml:space="preserve"> PAGE   \* MERGEFORMAT </w:instrText>
        </w:r>
        <w:r>
          <w:fldChar w:fldCharType="separate"/>
        </w:r>
        <w:r>
          <w:t>2</w:t>
        </w:r>
        <w:r>
          <w:fldChar w:fldCharType="end"/>
        </w:r>
      </w:p>
    </w:sdtContent>
  </w:sdt>
  <w:p w14:paraId="17F35E81" w14:textId="77777777" w:rsidR="00011DE9" w:rsidRDefault="00011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49D9D1" w14:textId="77777777" w:rsidR="00D924EA" w:rsidRDefault="00011DE9">
      <w:pPr>
        <w:spacing w:after="0" w:line="240" w:lineRule="auto"/>
      </w:pPr>
      <w:r>
        <w:separator/>
      </w:r>
    </w:p>
  </w:footnote>
  <w:footnote w:type="continuationSeparator" w:id="0">
    <w:p w14:paraId="6F025C53" w14:textId="77777777" w:rsidR="00D924EA" w:rsidRDefault="00011DE9">
      <w:pPr>
        <w:spacing w:after="0" w:line="240" w:lineRule="auto"/>
      </w:pPr>
      <w:r>
        <w:continuationSeparator/>
      </w:r>
    </w:p>
  </w:footnote>
  <w:footnote w:type="continuationNotice" w:id="1">
    <w:p w14:paraId="45371B60" w14:textId="77777777" w:rsidR="00D924EA" w:rsidRDefault="00D924EA">
      <w:pPr>
        <w:spacing w:after="0" w:line="240" w:lineRule="auto"/>
      </w:pPr>
    </w:p>
  </w:footnote>
  <w:footnote w:id="2">
    <w:p w14:paraId="162477EE" w14:textId="6DE299CB" w:rsidR="00D924EA" w:rsidRDefault="00011DE9">
      <w:pPr>
        <w:pStyle w:val="FootnoteText"/>
        <w:jc w:val="both"/>
      </w:pPr>
      <w:r>
        <w:rPr>
          <w:rStyle w:val="FootnoteReference"/>
        </w:rPr>
        <w:footnoteRef/>
      </w:r>
      <w:r>
        <w:t xml:space="preserve"> </w:t>
      </w:r>
      <w:r>
        <w:rPr>
          <w:rFonts w:ascii="Times New Roman" w:hAnsi="Times New Roman"/>
        </w:rP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3">
    <w:p w14:paraId="10199D10" w14:textId="21E99C5C" w:rsidR="00D924EA" w:rsidRDefault="00011DE9">
      <w:pPr>
        <w:pStyle w:val="FootnoteText"/>
        <w:jc w:val="both"/>
      </w:pPr>
      <w:r>
        <w:rPr>
          <w:rStyle w:val="FootnoteReference"/>
        </w:rPr>
        <w:footnoteRef/>
      </w:r>
      <w:r>
        <w:t xml:space="preserve"> În </w:t>
      </w:r>
      <w:r>
        <w:rPr>
          <w:rFonts w:ascii="Times New Roman" w:hAnsi="Times New Roman"/>
        </w:rPr>
        <w:t xml:space="preserve">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4">
    <w:p w14:paraId="41AB19BF" w14:textId="5EF32F8B" w:rsidR="00D924EA" w:rsidRDefault="00011DE9">
      <w:pPr>
        <w:pStyle w:val="FootnoteText"/>
        <w:jc w:val="both"/>
      </w:pPr>
      <w:r>
        <w:rPr>
          <w:rStyle w:val="FootnoteReference"/>
        </w:rPr>
        <w:footnoteRef/>
      </w:r>
      <w:r>
        <w:t xml:space="preserve"> Această </w:t>
      </w:r>
      <w:r>
        <w:rPr>
          <w:rFonts w:ascii="Times New Roman" w:hAnsi="Times New Roman"/>
        </w:rPr>
        <w:t>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5">
    <w:p w14:paraId="5C07914C" w14:textId="2133CABB" w:rsidR="00D924EA" w:rsidRDefault="00011DE9">
      <w:pPr>
        <w:pStyle w:val="FootnoteText"/>
        <w:jc w:val="both"/>
      </w:pPr>
      <w:r>
        <w:rPr>
          <w:rStyle w:val="FootnoteReference"/>
        </w:rPr>
        <w:footnoteRef/>
      </w:r>
      <w:r>
        <w:t xml:space="preserve"> Această </w:t>
      </w:r>
      <w:r>
        <w:rPr>
          <w:rFonts w:ascii="Times New Roman" w:hAnsi="Times New Roman"/>
        </w:rPr>
        <w:t>excludere nu se aplică acțiunilor întreprinse în temeiul acestei măsuri în stațiile de tratare mecano-biologică existente, în cazul în care acțiunile din cadrul acestei măsuri au scopul de a spori eficiența utilizării resurselor sau de a moderniza operațiunile de reciclare a deșeurilor separate pentru a composta deșeurile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6">
    <w:p w14:paraId="295DF371" w14:textId="34A1CE85" w:rsidR="00D924EA" w:rsidRDefault="00011DE9">
      <w:pPr>
        <w:pStyle w:val="FootnoteText"/>
        <w:jc w:val="both"/>
      </w:pPr>
      <w:r>
        <w:rPr>
          <w:rStyle w:val="FootnoteReference"/>
        </w:rPr>
        <w:footnoteRef/>
      </w:r>
      <w:r>
        <w:t xml:space="preserve"> </w:t>
      </w:r>
      <w:r>
        <w:rPr>
          <w:rFonts w:ascii="Times New Roman" w:hAnsi="Times New Roman"/>
        </w:rPr>
        <w:t xml:space="preserve">Beneficiarii finali ai împrumuturilor, ai împrumuturilor participative, ai obligațiunilor pentru finanțarea proiectelor, ai garanțiilor sau ai instrumentelor echivalente asociate unor proiecte specifice au obligația de a furniza o justificare a domeniului de intervenție selectat pentru fiecare proiect sprijinit, împreună cu o descriere a proiectului. Partenerul de implementare are, de asemenea, obligația de a furniza statului membru un raport semestrial privind punerea în aplicare a fiecărui proiect/fiecărei activități. </w:t>
      </w:r>
    </w:p>
  </w:footnote>
  <w:footnote w:id="7">
    <w:p w14:paraId="1450FFEF"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proiectelor din cadrul acestei măsuri în domeniul producerii de energie electrică și/sau termică, precum și al infrastructurii aferente de transport și distribuție, care utilizează gaze naturale, care respectă condițiile stabilite în anexa III la Orientările tehnice „A nu prejudicia în mod semnificativ” (2021/C58/01).</w:t>
      </w:r>
    </w:p>
  </w:footnote>
  <w:footnote w:id="8">
    <w:p w14:paraId="02772B0D"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9">
    <w:p w14:paraId="30BB402E"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0">
    <w:p w14:paraId="1A99EFDE"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1">
    <w:p w14:paraId="1E93E93F" w14:textId="77777777" w:rsidR="00D924EA" w:rsidRDefault="00011DE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proiectelor din cadrul acestei măsuri în domeniul producerii de energie electrică și/sau termică, precum și al infrastructurii aferente de transport și distribuție, care utilizează gaze naturale, care respectă condițiile stabilite în anexa III la Orientările tehnice „A nu prejudicia în mod semnificativ” (2021/C58/01).</w:t>
      </w:r>
    </w:p>
  </w:footnote>
  <w:footnote w:id="12">
    <w:p w14:paraId="2B67E84F" w14:textId="77777777" w:rsidR="00D924EA" w:rsidRDefault="00011DE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3">
    <w:p w14:paraId="4C47F10C" w14:textId="77777777" w:rsidR="00D924EA" w:rsidRDefault="00011DE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4">
    <w:p w14:paraId="7EF724BC" w14:textId="77777777" w:rsidR="00D924EA" w:rsidRDefault="00011DE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5">
    <w:p w14:paraId="6A493628" w14:textId="77777777" w:rsidR="00D924EA" w:rsidRDefault="00011DE9">
      <w:pPr>
        <w:pStyle w:val="FootnoteText"/>
        <w:jc w:val="both"/>
        <w:rPr>
          <w:rFonts w:ascii="Times New Roman" w:hAnsi="Times New Roman"/>
        </w:rPr>
      </w:pPr>
      <w:r>
        <w:rPr>
          <w:rStyle w:val="FootnoteReference"/>
          <w:rFonts w:ascii="Times New Roman" w:hAnsi="Times New Roman"/>
          <w:sz w:val="18"/>
        </w:rPr>
        <w:footnoteRef/>
      </w:r>
      <w:r>
        <w:rPr>
          <w:rFonts w:ascii="Times New Roman" w:hAnsi="Times New Roman"/>
        </w:rPr>
        <w:t xml:space="preserve"> 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16">
    <w:p w14:paraId="15AF9219" w14:textId="77777777" w:rsidR="00D924EA" w:rsidRDefault="00011DE9">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Cu excepția (a) activelor și activităților de producere a energiei electrice și/sau termice, precum și a infrastructurii aferente de transport și distribuție care utilizează gaze naturale, care respectă condițiile prevăzute în anexa III la Orientările tehnice privind aplicarea principiului de „a nu prejudicia în mod semnificativ” (2021/C58/01); și (b) activitățile și activele menționate la punctul (ii) pentru care utilizarea combustibililor fosili este temporară și inevitabilă din punct de vedere tehnic pentru tranziția în timp util către o operațiune fără combustibili fosili.</w:t>
      </w:r>
    </w:p>
  </w:footnote>
  <w:footnote w:id="17">
    <w:p w14:paraId="0B847C56" w14:textId="054B9CA2" w:rsidR="00D924EA" w:rsidRDefault="00011DE9">
      <w:pPr>
        <w:pStyle w:val="FootnoteText"/>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Valorile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8">
    <w:p w14:paraId="74A2AC02" w14:textId="77777777" w:rsidR="00D924EA" w:rsidRDefault="00011DE9">
      <w:pPr>
        <w:pStyle w:val="FootnoteText"/>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Vehiculele poluante sunt definite ca vehicule fără emisii zero.</w:t>
      </w:r>
    </w:p>
  </w:footnote>
  <w:footnote w:id="19">
    <w:p w14:paraId="1FADAE7B" w14:textId="4944E812" w:rsidR="00D924EA" w:rsidRDefault="00011DE9">
      <w:pPr>
        <w:pStyle w:val="FootnoteText"/>
        <w:jc w:val="both"/>
      </w:pPr>
      <w:r>
        <w:rPr>
          <w:rStyle w:val="FootnoteReference"/>
        </w:rPr>
        <w:footnoteRef/>
      </w:r>
      <w:r>
        <w:t xml:space="preserve"> Această </w:t>
      </w:r>
      <w:r>
        <w:rPr>
          <w:rFonts w:ascii="Times New Roman" w:hAnsi="Times New Roman"/>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20">
    <w:p w14:paraId="650B71EF" w14:textId="7387C64A" w:rsidR="00D924EA" w:rsidRDefault="00011DE9">
      <w:pPr>
        <w:pStyle w:val="FootnoteText"/>
        <w:jc w:val="both"/>
      </w:pPr>
      <w:r>
        <w:rPr>
          <w:rStyle w:val="FootnoteReference"/>
        </w:rPr>
        <w:footnoteRef/>
      </w:r>
      <w:r>
        <w:t xml:space="preserve"> </w:t>
      </w:r>
      <w:r>
        <w:rPr>
          <w:rFonts w:ascii="Times New Roman" w:hAnsi="Times New Roman"/>
        </w:rPr>
        <w:t>Partenerul de implementare are, de asemenea, obligația de a furniza statului membru un raport semestrial privind punerea în aplicare a fiecărui proiect/fiecărei activități.</w:t>
      </w:r>
    </w:p>
  </w:footnote>
  <w:footnote w:id="21">
    <w:p w14:paraId="4267EA2A" w14:textId="77777777" w:rsidR="00D924EA" w:rsidRDefault="00011DE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Sub 50 gCO2/km, în conformitate cu categoria „vehicule nepoluante” din Directiva 2009/33/CE revizuită privind vehiculele nepoluante.</w:t>
      </w:r>
    </w:p>
  </w:footnote>
  <w:footnote w:id="22">
    <w:p w14:paraId="1C9EC4D8"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23">
    <w:p w14:paraId="11F25E60"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temeiul acestei măsuri în stațiile de tratare mecano-biologică existente, în cazul în care acțiunile din cadrul acestei măsuri au scopul de a spori eficiența utilizării resurselor sau de a moderniza operațiunile de reciclare a deșeurilor separate pentru a composta deșeurile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24">
    <w:p w14:paraId="1A1B3C6E" w14:textId="775885AF" w:rsidR="00D924EA" w:rsidRDefault="00011DE9">
      <w:pPr>
        <w:pStyle w:val="FootnoteText"/>
        <w:jc w:val="both"/>
        <w:rPr>
          <w:rFonts w:eastAsia="Times New Roman" w:cs="Times New Roman"/>
        </w:rPr>
      </w:pPr>
      <w:r>
        <w:rPr>
          <w:rStyle w:val="FootnoteReference"/>
          <w:rFonts w:cs="Times New Roman"/>
        </w:rPr>
        <w:footnoteRef/>
      </w:r>
      <w:r>
        <w:t xml:space="preserve"> </w:t>
      </w:r>
      <w:r>
        <w:rPr>
          <w:rFonts w:ascii="Times New Roman" w:hAnsi="Times New Roman"/>
        </w:rPr>
        <w:t>Se consideră că un beneficiar final are un „accent substanțial” pe un sector sau o activitate comercială dacă venitul brut generat de sectorul sau activitatea restricționată depășește 50 % din venitul brut.</w:t>
      </w:r>
    </w:p>
  </w:footnote>
  <w:footnote w:id="25">
    <w:p w14:paraId="21E9FA3D" w14:textId="77777777" w:rsidR="00D924EA" w:rsidRDefault="00011DE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26">
    <w:p w14:paraId="2831CB6E" w14:textId="77777777" w:rsidR="00D924EA" w:rsidRDefault="00011DE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r>
        <w:rPr>
          <w:rFonts w:ascii="Times New Roman" w:hAnsi="Times New Roman"/>
          <w:sz w:val="20"/>
          <w:szCs w:val="20"/>
        </w:rPr>
        <w:t>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27">
    <w:p w14:paraId="19560990" w14:textId="77777777" w:rsidR="00D924EA" w:rsidRDefault="00011DE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Vehiculele poluante sunt definite ca vehicule fără emisii zero.</w:t>
      </w:r>
    </w:p>
  </w:footnote>
  <w:footnote w:id="28">
    <w:p w14:paraId="14B9A18C" w14:textId="62362739" w:rsidR="00D924EA" w:rsidRDefault="00011DE9">
      <w:pPr>
        <w:pStyle w:val="FootnoteText"/>
        <w:jc w:val="both"/>
        <w:rPr>
          <w:rFonts w:eastAsia="Times New Roman" w:cs="Times New Roman"/>
        </w:rPr>
      </w:pPr>
      <w:r>
        <w:rPr>
          <w:rStyle w:val="FootnoteReference"/>
          <w:rFonts w:ascii="Times New Roman" w:hAnsi="Times New Roman" w:cs="Times New Roman"/>
        </w:rPr>
        <w:footnoteRef/>
      </w:r>
      <w:r>
        <w:t>Această</w:t>
      </w:r>
      <w:r w:rsidR="00971820">
        <w:t xml:space="preserve"> </w:t>
      </w:r>
      <w:r>
        <w:rPr>
          <w:rFonts w:ascii="Times New Roman" w:hAnsi="Times New Roman"/>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r>
        <w:t>.</w:t>
      </w:r>
    </w:p>
  </w:footnote>
  <w:footnote w:id="29">
    <w:p w14:paraId="30772F3C" w14:textId="4FD7F67A" w:rsidR="00D924EA" w:rsidRDefault="00011DE9">
      <w:pPr>
        <w:pStyle w:val="FootnoteText"/>
        <w:jc w:val="both"/>
        <w:rPr>
          <w:rFonts w:ascii="Times New Roman" w:eastAsia="Times New Roman" w:hAnsi="Times New Roman" w:cs="Times New Roman"/>
        </w:rPr>
      </w:pPr>
      <w:r>
        <w:rPr>
          <w:rStyle w:val="FootnoteReference"/>
        </w:rPr>
        <w:footnoteRef/>
      </w:r>
      <w:r>
        <w:rPr>
          <w:rFonts w:ascii="Times New Roman" w:hAnsi="Times New Roman"/>
        </w:rP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în domeniul climei, în cazul capitalului propriu, al cvasicapitalului, al obligațiunilor corporative sau al instrumentelor echivalente care nu vizează proiecte specifice, se utilizează criterii pentru a impune ca cel puțin 90 % din veniturile destinatarului din exercițiul financiar precedent sau din veniturile viitoare conform unui plan de afaceri să fie/vor fi generate dintr-o activitate care respectă criteriile relevante care decurg din domeniile de intervenție aplicabile din anexa VI la Regulamentul privind MRR. Beneficiarii finali din titluri de capital, cvasititluri de 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r w:rsidR="00971820">
        <w:rPr>
          <w:rFonts w:ascii="Times New Roman" w:hAnsi="Times New Roman"/>
        </w:rPr>
        <w:t xml:space="preserve"> </w:t>
      </w:r>
    </w:p>
    <w:p w14:paraId="675BCD30" w14:textId="77777777" w:rsidR="00D924EA" w:rsidRDefault="00D924EA">
      <w:pPr>
        <w:pStyle w:val="FootnoteText"/>
        <w:rPr>
          <w:rFonts w:ascii="Times New Roman" w:eastAsia="Times New Roman" w:hAnsi="Times New Roman" w:cs="Times New Roman"/>
        </w:rPr>
      </w:pPr>
    </w:p>
  </w:footnote>
  <w:footnote w:id="30">
    <w:p w14:paraId="47DB93B6"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(a) proiectelor din cadrul acestei măsuri în domeniul producerii de energie electrică și/sau termică, precum și al infrastructurii conexe de transport și distribuție, care utilizează gaze naturale, care respectă condițiile stabilite în anexa III la Orientările tehnice de „a nu prejudicia în mod semnificativ” (2021/C58/01) și (b) a activităților și activelor de la punctul (ii) pentru care utilizarea combustibililor fosili este temporară și inevitabilă din punct de vedere tehnic pentru tranziția în timp util către o operațiune fără combustibili fosili.</w:t>
      </w:r>
    </w:p>
  </w:footnote>
  <w:footnote w:id="31">
    <w:p w14:paraId="4DBE8ED3"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32">
    <w:p w14:paraId="227A0919"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33">
    <w:p w14:paraId="3EBBD2C2"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temeiul acestei măsuri în stațiile de tratare mecano-biologică existente, în cazul în care acțiunile din cadrul acestei măsuri au scopul de a spori eficiența utilizării resurselor sau de a moderniza operațiunile de reciclare a deșeurilor separate pentru a composta deșeurile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34">
    <w:p w14:paraId="46912BAD" w14:textId="53944964" w:rsidR="00D924EA" w:rsidRDefault="00011DE9">
      <w:pPr>
        <w:pStyle w:val="FootnoteText"/>
        <w:jc w:val="both"/>
      </w:pPr>
      <w:r>
        <w:rPr>
          <w:rStyle w:val="FootnoteReference"/>
        </w:rPr>
        <w:footnoteRef/>
      </w:r>
      <w:r>
        <w:t xml:space="preserve"> </w:t>
      </w:r>
      <w:r>
        <w:rPr>
          <w:rFonts w:ascii="Times New Roman" w:hAnsi="Times New Roman"/>
        </w:rPr>
        <w:t>Beneficiarii finali ai împrumuturilor, ai împrumuturilor participative, ai obligațiunilor pentru finanțarea proiectelor, ai garanțiilor sau ai instrumentelor echivalente asociate unor proiecte specifice au obligația de a furniza o justificare a domeniului de intervenție selectat pentru fiecare proiect sprijinit, împreună cu o descriere a proiectului. Partenerul de implementare are, de asemenea, obligația de a furniza statului membru un raport semestrial privind punerea în aplicare a fiecărui proiect/fiecărei activități.</w:t>
      </w:r>
    </w:p>
  </w:footnote>
  <w:footnote w:id="35">
    <w:p w14:paraId="4A456576"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36">
    <w:p w14:paraId="635242FF" w14:textId="77777777" w:rsidR="00D924EA" w:rsidRDefault="00011DE9">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temeiul acestei măsuri în stațiile de tratare mecano-biologică existente, în cazul în care acțiunile din cadrul acestei măsuri au scopul de a spori eficiența utilizării resurselor sau de a moderniza operațiunile de reciclare a deșeurilor separate pentru a composta deșeurile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37">
    <w:p w14:paraId="65E11663" w14:textId="77777777" w:rsidR="00D924EA" w:rsidRDefault="00011DE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Style w:val="normaltextrun"/>
          <w:rFonts w:ascii="Times New Roman" w:hAnsi="Times New Roman"/>
        </w:rP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38">
    <w:p w14:paraId="0724C76F" w14:textId="763F99A3" w:rsidR="00D924EA" w:rsidRDefault="00011DE9">
      <w:pPr>
        <w:pStyle w:val="FootnoteText"/>
        <w:jc w:val="both"/>
      </w:pPr>
      <w:r>
        <w:rPr>
          <w:rStyle w:val="FootnoteReference"/>
        </w:rPr>
        <w:footnoteRef/>
      </w:r>
      <w:r>
        <w:t xml:space="preserve"> În </w:t>
      </w:r>
      <w:r>
        <w:rPr>
          <w:rFonts w:ascii="Times New Roman" w:hAnsi="Times New Roman"/>
        </w:rPr>
        <w:t xml:space="preserve">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39">
    <w:p w14:paraId="29039D48" w14:textId="424E5787" w:rsidR="00D924EA" w:rsidRDefault="00011DE9">
      <w:pPr>
        <w:pStyle w:val="FootnoteText"/>
        <w:jc w:val="both"/>
      </w:pPr>
      <w:r>
        <w:rPr>
          <w:rStyle w:val="FootnoteReference"/>
        </w:rPr>
        <w:footnoteRef/>
      </w:r>
      <w:r>
        <w:rPr>
          <w:rStyle w:val="FootnoteReference"/>
        </w:rPr>
        <w:t>Această</w:t>
      </w:r>
      <w:r w:rsidR="00971820">
        <w:rPr>
          <w:rStyle w:val="FootnoteReference"/>
        </w:rPr>
        <w:t xml:space="preserve"> </w:t>
      </w:r>
      <w:r>
        <w:rPr>
          <w:rFonts w:ascii="Times New Roman" w:hAnsi="Times New Roman"/>
        </w:rPr>
        <w:t>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40">
    <w:p w14:paraId="0AB5903A" w14:textId="77777777" w:rsidR="00D924EA" w:rsidRDefault="00011DE9">
      <w:pPr>
        <w:pStyle w:val="P68B1DB1-FootnoteText84"/>
        <w:jc w:val="both"/>
        <w:rPr>
          <w:rFonts w:cs="Times New Roman"/>
        </w:rPr>
      </w:pPr>
      <w:r>
        <w:t xml:space="preserve">Această </w:t>
      </w:r>
      <w:r>
        <w:footnoteRef/>
      </w:r>
      <w:r>
        <w:t xml:space="preserve"> excludere nu se aplică acțiunilor întreprinse în temeiul acestei măsuri în stațiile de tratare mecano-biologică existente, în cazul în care acțiunile din cadrul acestei măsuri au scopul de a spori eficiența utilizării resurselor sau de a moderniza operațiunile de reciclare a deșeurilor separate pentru a composta deșeurile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41">
    <w:p w14:paraId="726AB5F8" w14:textId="45E0D96C" w:rsidR="00D924EA" w:rsidRDefault="00011DE9">
      <w:pPr>
        <w:pStyle w:val="FootnoteText"/>
        <w:jc w:val="both"/>
      </w:pPr>
      <w:r>
        <w:rPr>
          <w:rStyle w:val="FootnoteReference"/>
        </w:rPr>
        <w:footnoteRef/>
      </w:r>
      <w:r>
        <w:t xml:space="preserve"> </w:t>
      </w:r>
      <w:r>
        <w:rPr>
          <w:rFonts w:ascii="Times New Roman" w:hAnsi="Times New Roman"/>
        </w:rPr>
        <w:t>Beneficiarii finali au obligația de a furniza o justificare a domeniului de intervenție selectat pentru fiecare proiect sprijinit, împreună cu o descriere a proiectului. Partenerul de implementare are, de asemenea, obligația de a furniza statului membru un raport semestrial privind punerea în aplicare a fiecărui proiect/fiecărei activități.</w:t>
      </w:r>
    </w:p>
  </w:footnote>
  <w:footnote w:id="42">
    <w:p w14:paraId="49E62462" w14:textId="77777777" w:rsidR="00D924EA" w:rsidRDefault="00011DE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43">
    <w:p w14:paraId="1D0EAC47" w14:textId="77777777" w:rsidR="00D924EA" w:rsidRDefault="00011DE9">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44">
    <w:p w14:paraId="56F3F01D"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45">
    <w:p w14:paraId="674F7DF2" w14:textId="77777777" w:rsidR="00D924EA" w:rsidRDefault="00011DE9">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46">
    <w:p w14:paraId="23B5667B" w14:textId="77777777" w:rsidR="00D924EA" w:rsidRDefault="00011DE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47">
    <w:p w14:paraId="01293C27" w14:textId="77777777" w:rsidR="00D924EA" w:rsidRDefault="00011DE9">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48">
    <w:p w14:paraId="25F551E0"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49">
    <w:p w14:paraId="4F52D092"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50">
    <w:p w14:paraId="37186059" w14:textId="77777777" w:rsidR="00D924EA" w:rsidRDefault="00011DE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51">
    <w:p w14:paraId="3D34F652" w14:textId="77777777" w:rsidR="00D924EA" w:rsidRDefault="00011DE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52">
    <w:p w14:paraId="3DA6B961" w14:textId="77777777" w:rsidR="00D924EA" w:rsidRDefault="00011DE9">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53">
    <w:p w14:paraId="615E0724" w14:textId="77777777" w:rsidR="00D924EA" w:rsidRDefault="00011DE9">
      <w:pPr>
        <w:pStyle w:val="P68B1DB1-FootnoteText85"/>
        <w:jc w:val="both"/>
        <w:rPr>
          <w:rFonts w:eastAsia="Times New Roman"/>
        </w:rPr>
      </w:pPr>
      <w:r>
        <w:footnoteRef/>
      </w:r>
      <w:r>
        <w:t xml:space="preserve"> Vehiculele poluante sunt definite ca vehicule fără emisii zero.</w:t>
      </w:r>
    </w:p>
  </w:footnote>
  <w:footnote w:id="54">
    <w:p w14:paraId="4022A2DE" w14:textId="77777777" w:rsidR="00D924EA" w:rsidRDefault="00011DE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55">
    <w:p w14:paraId="1774132B" w14:textId="77777777" w:rsidR="00D924EA" w:rsidRDefault="00011DE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Style w:val="normaltextrun"/>
          <w:rFonts w:ascii="Times New Roman" w:hAnsi="Times New Roman"/>
        </w:rP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56">
    <w:p w14:paraId="5B1026FF" w14:textId="4EBB4C07" w:rsidR="00D924EA" w:rsidRDefault="00011DE9">
      <w:pPr>
        <w:pStyle w:val="FootnoteText"/>
        <w:jc w:val="both"/>
      </w:pPr>
      <w:r>
        <w:rPr>
          <w:rStyle w:val="FootnoteReference"/>
        </w:rPr>
        <w:footnoteRef/>
      </w:r>
      <w:r>
        <w:t xml:space="preserve"> În </w:t>
      </w:r>
      <w:r>
        <w:rPr>
          <w:rFonts w:ascii="Times New Roman" w:hAnsi="Times New Roman"/>
        </w:rPr>
        <w:t xml:space="preserve">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57">
    <w:p w14:paraId="15B4DE54" w14:textId="2F18F511" w:rsidR="00D924EA" w:rsidRDefault="00011DE9">
      <w:pPr>
        <w:pStyle w:val="FootnoteText"/>
        <w:jc w:val="both"/>
      </w:pPr>
      <w:r>
        <w:rPr>
          <w:rStyle w:val="FootnoteReference"/>
        </w:rPr>
        <w:footnoteRef/>
      </w:r>
      <w:r>
        <w:rPr>
          <w:rStyle w:val="FootnoteReference"/>
        </w:rPr>
        <w:t>Această</w:t>
      </w:r>
      <w:r w:rsidR="00971820">
        <w:rPr>
          <w:rStyle w:val="FootnoteReference"/>
        </w:rPr>
        <w:t xml:space="preserve"> </w:t>
      </w:r>
      <w:r>
        <w:rPr>
          <w:rFonts w:ascii="Times New Roman" w:hAnsi="Times New Roman"/>
        </w:rPr>
        <w:t>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58">
    <w:p w14:paraId="56C20040" w14:textId="77777777" w:rsidR="00D924EA" w:rsidRDefault="00011DE9">
      <w:pPr>
        <w:pStyle w:val="P68B1DB1-FootnoteText84"/>
        <w:jc w:val="both"/>
        <w:rPr>
          <w:rFonts w:cs="Times New Roman"/>
        </w:rPr>
      </w:pPr>
      <w:r>
        <w:t xml:space="preserve">Această </w:t>
      </w:r>
      <w:r>
        <w:footnoteRef/>
      </w:r>
      <w:r>
        <w:t xml:space="preserve"> excludere nu se aplică acțiunilor întreprinse în temeiul acestei măsuri în stațiile de tratare mecano-biologică existente, în cazul în care acțiunile din cadrul acestei măsuri au scopul de a spori eficiența utilizării resurselor sau de a moderniza operațiunile de reciclare a deșeurilor separate pentru a composta deșeurile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59">
    <w:p w14:paraId="6B9078E1" w14:textId="4A62C7B0" w:rsidR="00D924EA" w:rsidRDefault="00011DE9">
      <w:pPr>
        <w:pStyle w:val="FootnoteText"/>
        <w:jc w:val="both"/>
      </w:pPr>
      <w:r>
        <w:rPr>
          <w:rStyle w:val="FootnoteReference"/>
        </w:rPr>
        <w:footnoteRef/>
      </w:r>
      <w:r>
        <w:t xml:space="preserve"> </w:t>
      </w:r>
      <w:r>
        <w:rPr>
          <w:rFonts w:ascii="Times New Roman" w:hAnsi="Times New Roman"/>
        </w:rPr>
        <w:t>Directiva 2013/34/UE este modificată prin Directiva (UE) 2022/2464 privind raportarea de către întreprinderi de informații privind durabilitatea.</w:t>
      </w:r>
    </w:p>
  </w:footnote>
  <w:footnote w:id="60">
    <w:p w14:paraId="207A4394" w14:textId="1A145B0E" w:rsidR="00D924EA" w:rsidRDefault="00011DE9">
      <w:pPr>
        <w:pStyle w:val="FootnoteText"/>
        <w:jc w:val="both"/>
      </w:pPr>
      <w:r>
        <w:rPr>
          <w:rStyle w:val="FootnoteReference"/>
        </w:rPr>
        <w:footnoteRef/>
      </w:r>
      <w:r>
        <w:t xml:space="preserve"> </w:t>
      </w:r>
      <w:r>
        <w:rPr>
          <w:rFonts w:ascii="Times New Roman" w:hAnsi="Times New Roman"/>
        </w:rPr>
        <w:t>Cu excepția (a) proiectelor din cadrul acestei măsuri în domeniul producerii de energie electrică și/sau termică, precum și al infrastructurii conexe de transport și distribuție, care utilizează gaze naturale, care respectă condițiile stabilite în anexa III la Orientările tehnice de „a nu prejudicia în mod semnificativ” (2021/C58/01) și (b) a activităților și activelor menționate la punctul (ii) pentru care utilizarea combustibililor fosili este temporară și inevitabilă din punct de vedere tehnic pentru tranziția în timp util către o operațiune fără combustibili fosili, eliminând treptat, în timp, combustibilii fosili</w:t>
      </w:r>
    </w:p>
  </w:footnote>
  <w:footnote w:id="61">
    <w:p w14:paraId="0D7F57B7" w14:textId="09288726" w:rsidR="00D924EA" w:rsidRDefault="00011DE9">
      <w:pPr>
        <w:pStyle w:val="FootnoteText"/>
        <w:jc w:val="both"/>
      </w:pPr>
      <w:r>
        <w:rPr>
          <w:rStyle w:val="FootnoteReference"/>
        </w:rPr>
        <w:footnoteRef/>
      </w:r>
      <w:r>
        <w:t xml:space="preserve"> În </w:t>
      </w:r>
      <w:r>
        <w:rPr>
          <w:rFonts w:ascii="Times New Roman" w:hAnsi="Times New Roman"/>
        </w:rPr>
        <w:t>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62">
    <w:p w14:paraId="6954BDE0" w14:textId="04188B1D" w:rsidR="00D924EA" w:rsidRDefault="00011DE9">
      <w:pPr>
        <w:pStyle w:val="FootnoteText"/>
        <w:jc w:val="both"/>
      </w:pPr>
      <w:r>
        <w:rPr>
          <w:rStyle w:val="FootnoteReference"/>
        </w:rPr>
        <w:footnoteRef/>
      </w:r>
      <w:r>
        <w:t xml:space="preserve"> Această </w:t>
      </w:r>
      <w:r>
        <w:rPr>
          <w:rFonts w:ascii="Times New Roman" w:hAnsi="Times New Roman"/>
        </w:rPr>
        <w:t>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63">
    <w:p w14:paraId="730535A1" w14:textId="01D6D02E" w:rsidR="00D924EA" w:rsidRDefault="00011DE9">
      <w:pPr>
        <w:pStyle w:val="FootnoteText"/>
        <w:jc w:val="both"/>
      </w:pPr>
      <w:r>
        <w:rPr>
          <w:rStyle w:val="FootnoteReference"/>
        </w:rPr>
        <w:footnoteRef/>
      </w:r>
      <w:r>
        <w:t xml:space="preserve"> Această </w:t>
      </w:r>
      <w:r>
        <w:rPr>
          <w:rFonts w:ascii="Times New Roman" w:hAnsi="Times New Roman"/>
        </w:rPr>
        <w:t>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64">
    <w:p w14:paraId="29E759FA" w14:textId="14B63733" w:rsidR="00D924EA" w:rsidRDefault="00011DE9">
      <w:pPr>
        <w:pStyle w:val="FootnoteText"/>
        <w:jc w:val="both"/>
      </w:pPr>
      <w:r>
        <w:rPr>
          <w:rStyle w:val="FootnoteReference"/>
        </w:rPr>
        <w:footnoteRef/>
      </w:r>
      <w:r>
        <w:t xml:space="preserve"> </w:t>
      </w:r>
      <w:r>
        <w:rPr>
          <w:rFonts w:ascii="Times New Roman" w:hAnsi="Times New Roman"/>
        </w:rPr>
        <w:t xml:space="preserve">Beneficiarii finali ai împrumuturilor, ai împrumuturilor participative, ai obligațiunilor pentru finanțarea proiectelor, ai garanțiilor sau ai instrumentelor echivalente asociate unor proiecte specifice au obligația de a furniza o justificare a domeniului de intervenție selectat pentru fiecare proiect sprijinit, împreună cu o descriere a proiectului. În scopul calculării contribuției în domeniul climei, în cazul capitalului propriu, al cvasicapitalului, al obligațiunilor corporative sau al instrumentelor echivalente care nu vizează proiecte specifice, se utilizează criterii pentru a impune ca cel puțin 90 % din veniturile destinatarului din exercițiul financiar precedent sau din veniturile viitoare conform unui plan de afaceri să fie/vor fi generate dintr-o activitate care respectă criteriile relevante care decurg din domeniile de intervenție aplicabile din anexa VI la Regulamentul privind MRR. Beneficiarii finali din titluri de capital, cvasititluri de 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 </w:t>
      </w:r>
    </w:p>
  </w:footnote>
  <w:footnote w:id="65">
    <w:p w14:paraId="2B73824B" w14:textId="77777777" w:rsidR="00D924EA" w:rsidRDefault="00011DE9">
      <w:pPr>
        <w:pStyle w:val="FootnoteText"/>
        <w:jc w:val="both"/>
      </w:pPr>
      <w:r>
        <w:rPr>
          <w:rStyle w:val="FootnoteReference"/>
        </w:rPr>
        <w:footnoteRef/>
      </w:r>
      <w:r>
        <w:rPr>
          <w:rStyle w:val="normaltextrun"/>
          <w:rFonts w:ascii="Times New Roman" w:hAnsi="Times New Roman"/>
        </w:rP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66">
    <w:p w14:paraId="095A531D" w14:textId="68F87081" w:rsidR="00D924EA" w:rsidRDefault="00011DE9">
      <w:pPr>
        <w:pStyle w:val="FootnoteText"/>
        <w:jc w:val="both"/>
      </w:pPr>
      <w:r>
        <w:rPr>
          <w:rStyle w:val="FootnoteReference"/>
        </w:rPr>
        <w:footnoteRef/>
      </w:r>
      <w:r>
        <w:rPr>
          <w:rStyle w:val="FootnoteReference"/>
        </w:rPr>
        <w:t>În</w:t>
      </w:r>
      <w:r w:rsidR="00971820">
        <w:rPr>
          <w:rStyle w:val="FootnoteReference"/>
        </w:rPr>
        <w:t xml:space="preserve"> </w:t>
      </w:r>
      <w:r>
        <w:rPr>
          <w:rStyle w:val="normaltextrun"/>
          <w:rFonts w:ascii="Times New Roman" w:hAnsi="Times New Roman"/>
        </w:rPr>
        <w:t xml:space="preserve">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67">
    <w:p w14:paraId="6933272C" w14:textId="27A2350F" w:rsidR="00D924EA" w:rsidRDefault="00011DE9">
      <w:pPr>
        <w:pStyle w:val="FootnoteText"/>
        <w:jc w:val="both"/>
      </w:pPr>
      <w:r>
        <w:rPr>
          <w:rStyle w:val="FootnoteReference"/>
        </w:rPr>
        <w:footnoteRef/>
      </w:r>
      <w:r>
        <w:rPr>
          <w:rStyle w:val="FootnoteReference"/>
        </w:rPr>
        <w:t>Această</w:t>
      </w:r>
      <w:r w:rsidR="00971820">
        <w:rPr>
          <w:rStyle w:val="FootnoteReference"/>
        </w:rPr>
        <w:t xml:space="preserve"> </w:t>
      </w:r>
      <w:r>
        <w:rPr>
          <w:rFonts w:ascii="Times New Roman" w:hAnsi="Times New Roman"/>
        </w:rPr>
        <w:t>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68">
    <w:p w14:paraId="6A72A031" w14:textId="77777777" w:rsidR="00D924EA" w:rsidRDefault="00011DE9">
      <w:pPr>
        <w:pStyle w:val="P68B1DB1-FootnoteText84"/>
        <w:jc w:val="both"/>
        <w:rPr>
          <w:rFonts w:cs="Times New Roman"/>
        </w:rPr>
      </w:pPr>
      <w:r>
        <w:t xml:space="preserve">Această </w:t>
      </w:r>
      <w:r>
        <w:footnoteRef/>
      </w:r>
      <w:r>
        <w:t xml:space="preserve"> excludere nu se aplică acțiunilor întreprinse în temeiul acestei măsuri în stațiile de tratare mecano-biologică existente, în cazul în care acțiunile din cadrul acestei măsuri au scopul de a spori eficiența utilizării resurselor sau de a moderniza operațiunile de reciclare a deșeurilor separate pentru a composta deșeurile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69">
    <w:p w14:paraId="4A787681" w14:textId="496F3C0F" w:rsidR="00D924EA" w:rsidRDefault="00011DE9">
      <w:pPr>
        <w:pStyle w:val="FootnoteText"/>
        <w:jc w:val="both"/>
      </w:pPr>
      <w:r>
        <w:rPr>
          <w:rStyle w:val="FootnoteReference"/>
        </w:rPr>
        <w:footnoteRef/>
      </w:r>
      <w:r>
        <w:t xml:space="preserve"> </w:t>
      </w:r>
      <w:r>
        <w:rPr>
          <w:rFonts w:ascii="Times New Roman" w:hAnsi="Times New Roman"/>
        </w:rPr>
        <w:t>Directiva 2013/34/UE este modificată prin Directiva (UE) 2022/2464 privind raportarea de către întreprinderi de informații privind durabilitatea.</w:t>
      </w:r>
    </w:p>
  </w:footnote>
  <w:footnote w:id="70">
    <w:p w14:paraId="0A6712A0" w14:textId="3BE5D749" w:rsidR="00D924EA" w:rsidRDefault="00011DE9">
      <w:pPr>
        <w:pStyle w:val="FootnoteText"/>
        <w:jc w:val="both"/>
      </w:pPr>
      <w:r>
        <w:rPr>
          <w:rStyle w:val="FootnoteReference"/>
        </w:rPr>
        <w:footnoteRef/>
      </w:r>
      <w:r>
        <w:rPr>
          <w:rStyle w:val="normaltextrun"/>
          <w:rFonts w:ascii="Times New Roman" w:hAnsi="Times New Roman"/>
        </w:rP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71">
    <w:p w14:paraId="2F423CD9" w14:textId="182B8BC8" w:rsidR="00D924EA" w:rsidRDefault="00011DE9">
      <w:pPr>
        <w:pStyle w:val="FootnoteText"/>
        <w:jc w:val="both"/>
      </w:pPr>
      <w:r>
        <w:rPr>
          <w:rStyle w:val="FootnoteReference"/>
        </w:rPr>
        <w:footnoteRef/>
      </w:r>
      <w:r>
        <w:t xml:space="preserve"> În </w:t>
      </w:r>
      <w:r>
        <w:rPr>
          <w:rFonts w:ascii="Times New Roman" w:hAnsi="Times New Roman"/>
        </w:rPr>
        <w:t>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72">
    <w:p w14:paraId="1B251791" w14:textId="25AFB498" w:rsidR="00D924EA" w:rsidRDefault="00011DE9">
      <w:pPr>
        <w:pStyle w:val="FootnoteText"/>
        <w:jc w:val="both"/>
      </w:pPr>
      <w:r>
        <w:rPr>
          <w:rStyle w:val="FootnoteReference"/>
        </w:rPr>
        <w:footnoteRef/>
      </w:r>
      <w:r>
        <w:t xml:space="preserve"> Această </w:t>
      </w:r>
      <w:r>
        <w:rPr>
          <w:rFonts w:ascii="Times New Roman" w:hAnsi="Times New Roman"/>
        </w:rPr>
        <w:t>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73">
    <w:p w14:paraId="7905DB22" w14:textId="5616234D" w:rsidR="00D924EA" w:rsidRDefault="00011DE9">
      <w:pPr>
        <w:pStyle w:val="FootnoteText"/>
        <w:jc w:val="both"/>
      </w:pPr>
      <w:r>
        <w:rPr>
          <w:rStyle w:val="FootnoteReference"/>
        </w:rPr>
        <w:footnoteRef/>
      </w:r>
      <w:r>
        <w:t xml:space="preserve"> Această </w:t>
      </w:r>
      <w:r>
        <w:rPr>
          <w:rFonts w:ascii="Times New Roman" w:hAnsi="Times New Roman"/>
        </w:rPr>
        <w:t>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74">
    <w:p w14:paraId="59FD8D67" w14:textId="77777777" w:rsidR="00D924EA" w:rsidRDefault="00011DE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2013/34/UE este modificată prin Directiva (UE) 2022/2464 privind raportarea de către întreprinderi de informații privind durabilitatea.</w:t>
      </w:r>
    </w:p>
  </w:footnote>
  <w:footnote w:id="75">
    <w:p w14:paraId="6F2691D7"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(a) proiectelor din cadrul acestei măsuri în domeniul producerii de energie electrică și/sau termică, precum și al infrastructurii conexe de transport și distribuție, care utilizează gaze naturale, care respectă condițiile stabilite în anexa III la Orientările tehnice de „a nu prejudicia în mod semnificativ” (2021/C58/01) și (b) a activităților și activelor menționate la punctul (ii) pentru care utilizarea combustibililor fosili este temporară și inevitabilă din punct de vedere tehnic pentru tranziția în timp util către o operațiune fără combustibili fosili, eliminând treptat combustibilii fosili în întregime în timp.</w:t>
      </w:r>
    </w:p>
  </w:footnote>
  <w:footnote w:id="76">
    <w:p w14:paraId="35B5D4C0"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77">
    <w:p w14:paraId="1BAF961B"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78">
    <w:p w14:paraId="3A1E40CF" w14:textId="77777777" w:rsidR="00D924EA" w:rsidRDefault="00011DE9">
      <w:pPr>
        <w:pStyle w:val="FootnoteText"/>
        <w:jc w:val="both"/>
        <w:rPr>
          <w:rFonts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79">
    <w:p w14:paraId="35A9051D" w14:textId="5F7DCBEE"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scopul calculării contribuției digitale, în cazul capitalului propriu, al cvasicapitalului, al obligațiunilor corporative sau al instrumentelor echivalente care nu vizează proiecte specifice, se utilizează criterii pentru a impune ca cel puțin 90 % din veniturile destinatarului din exercițiul financiar precedent sau din veniturile viitoare conform unui plan de afaceri să fie/vor fi generate dintr-o activitate care respectă criteriile relevante care decurg din domeniile de intervenție aplicabile din anexa VII la Regulamentul privind MRR. </w:t>
      </w:r>
    </w:p>
  </w:footnote>
  <w:footnote w:id="80">
    <w:p w14:paraId="3036010D" w14:textId="77777777" w:rsidR="00D924EA" w:rsidRDefault="00011DE9">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r>
        <w:rPr>
          <w:rFonts w:ascii="Times New Roman" w:hAnsi="Times New Roman"/>
          <w:sz w:val="20"/>
          <w:szCs w:val="20"/>
        </w:rPr>
        <w:t xml:space="preserve">Grupul de cooperare NIS, Securitatea cibernetică a rețelelor 5G Setul de instrumente al UE cu măsuri de atenuare a riscurilor, 01/2020, </w:t>
      </w:r>
      <w:hyperlink r:id="rId1" w:history="1">
        <w:r>
          <w:rPr>
            <w:rStyle w:val="Hyperlink"/>
            <w:rFonts w:ascii="Times New Roman" w:hAnsi="Times New Roman"/>
            <w:sz w:val="20"/>
            <w:szCs w:val="20"/>
          </w:rPr>
          <w:t>https://ec.europa.eu/newsroom/dae/document.cfm?doc_id=64468</w:t>
        </w:r>
      </w:hyperlink>
    </w:p>
  </w:footnote>
  <w:footnote w:id="81">
    <w:p w14:paraId="22D32F8F" w14:textId="77777777" w:rsidR="00D924EA" w:rsidRDefault="00011DE9">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Regulamentul (UE) 2021/697 al Parlamentului European și al Consiliului din 29 aprilie 2021 de instituire a Fondului european de apărare</w:t>
      </w:r>
    </w:p>
  </w:footnote>
  <w:footnote w:id="82">
    <w:p w14:paraId="1AD440A4" w14:textId="77777777" w:rsidR="00D924EA" w:rsidRDefault="00011DE9">
      <w:pPr>
        <w:spacing w:after="0" w:line="240" w:lineRule="auto"/>
        <w:jc w:val="both"/>
        <w:rPr>
          <w:sz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Regulamentul (UE) 2021/696 de instituire a Programului spațial al UE și a Agenției Uniunii Europene pentru Programul spațial</w:t>
      </w:r>
    </w:p>
  </w:footnote>
  <w:footnote w:id="83">
    <w:p w14:paraId="5BC09630" w14:textId="19DD145A" w:rsidR="00D924EA" w:rsidRDefault="00011DE9">
      <w:pPr>
        <w:spacing w:after="0" w:line="240" w:lineRule="auto"/>
        <w:jc w:val="both"/>
        <w:rPr>
          <w:rFonts w:ascii="Times New Roman" w:hAnsi="Times New Roman"/>
          <w:sz w:val="20"/>
        </w:rPr>
      </w:pPr>
      <w:r>
        <w:rPr>
          <w:rStyle w:val="FootnoteReference"/>
          <w:sz w:val="20"/>
        </w:rPr>
        <w:footnoteRef/>
      </w:r>
      <w:r>
        <w:rPr>
          <w:rFonts w:ascii="Times New Roman" w:hAnsi="Times New Roman"/>
          <w:sz w:val="20"/>
          <w:szCs w:val="20"/>
        </w:rP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84">
    <w:p w14:paraId="064E9BA3" w14:textId="51627C1D" w:rsidR="00D924EA" w:rsidRDefault="00011DE9">
      <w:pPr>
        <w:spacing w:after="0" w:line="240" w:lineRule="auto"/>
        <w:jc w:val="both"/>
        <w:rPr>
          <w:rFonts w:ascii="Times New Roman" w:hAnsi="Times New Roman"/>
          <w:sz w:val="20"/>
          <w:shd w:val="clear" w:color="auto" w:fill="FFFFFF"/>
        </w:rPr>
      </w:pPr>
      <w:r>
        <w:rPr>
          <w:rStyle w:val="FootnoteReference"/>
          <w:sz w:val="20"/>
        </w:rPr>
        <w:footnoteRef/>
      </w:r>
      <w:r>
        <w:rPr>
          <w:rFonts w:ascii="Times New Roman" w:hAnsi="Times New Roman"/>
          <w:sz w:val="20"/>
        </w:rPr>
        <w:t xml:space="preserve"> 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w:t>
      </w:r>
      <w:r>
        <w:rPr>
          <w:rFonts w:ascii="Times New Roman" w:hAnsi="Times New Roman"/>
          <w:sz w:val="20"/>
          <w:szCs w:val="20"/>
        </w:rPr>
        <w:t>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85">
    <w:p w14:paraId="10B57AC8" w14:textId="7D32E745" w:rsidR="00D924EA" w:rsidRDefault="00011DE9">
      <w:pPr>
        <w:pStyle w:val="FootnoteText"/>
        <w:jc w:val="both"/>
      </w:pPr>
      <w:r>
        <w:rPr>
          <w:rStyle w:val="FootnoteReference"/>
        </w:rPr>
        <w:footnoteRef/>
      </w:r>
      <w:r>
        <w:t xml:space="preserve"> Această </w:t>
      </w:r>
      <w:r>
        <w:rPr>
          <w:rFonts w:ascii="Times New Roman" w:hAnsi="Times New Roman"/>
        </w:rPr>
        <w:t>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86">
    <w:p w14:paraId="1D3417D6" w14:textId="23182D29" w:rsidR="00D924EA" w:rsidRDefault="00011DE9">
      <w:pPr>
        <w:pStyle w:val="FootnoteText"/>
        <w:jc w:val="both"/>
      </w:pPr>
      <w:r>
        <w:rPr>
          <w:rStyle w:val="FootnoteReference"/>
        </w:rPr>
        <w:footnoteRef/>
      </w:r>
      <w:r>
        <w:t xml:space="preserve"> Această </w:t>
      </w:r>
      <w:r>
        <w:rPr>
          <w:rFonts w:ascii="Times New Roman" w:hAnsi="Times New Roman"/>
        </w:rPr>
        <w:t>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87">
    <w:p w14:paraId="728323A9" w14:textId="77777777" w:rsidR="00D924EA" w:rsidRDefault="00011DE9">
      <w:pPr>
        <w:spacing w:after="0" w:line="240" w:lineRule="auto"/>
        <w:jc w:val="both"/>
        <w:rPr>
          <w:sz w:val="20"/>
        </w:rPr>
      </w:pPr>
      <w:r>
        <w:rPr>
          <w:rStyle w:val="FootnoteReference"/>
          <w:sz w:val="20"/>
        </w:rPr>
        <w:footnoteRef/>
      </w:r>
      <w:r>
        <w:rPr>
          <w:sz w:val="20"/>
        </w:rPr>
        <w:t xml:space="preserve"> </w:t>
      </w:r>
      <w:r>
        <w:rPr>
          <w:rFonts w:ascii="Times New Roman" w:hAnsi="Times New Roman"/>
          <w:sz w:val="20"/>
          <w:szCs w:val="20"/>
        </w:rPr>
        <w:t>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88">
    <w:p w14:paraId="2BFC1011" w14:textId="3B9BC89E" w:rsidR="00D924EA" w:rsidRDefault="00011DE9">
      <w:pPr>
        <w:pStyle w:val="FootnoteText"/>
        <w:jc w:val="both"/>
      </w:pPr>
      <w:r>
        <w:rPr>
          <w:rStyle w:val="FootnoteReference"/>
        </w:rPr>
        <w:footnoteRef/>
      </w:r>
      <w:r>
        <w:t xml:space="preserve"> </w:t>
      </w:r>
      <w:r>
        <w:rPr>
          <w:rFonts w:ascii="Times New Roman" w:hAnsi="Times New Roman"/>
        </w:rP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89">
    <w:p w14:paraId="000137D1" w14:textId="6B4BC99B" w:rsidR="00D924EA" w:rsidRDefault="00011DE9">
      <w:pPr>
        <w:pStyle w:val="FootnoteText"/>
        <w:jc w:val="both"/>
      </w:pPr>
      <w:r>
        <w:rPr>
          <w:rStyle w:val="FootnoteReference"/>
        </w:rPr>
        <w:footnoteRef/>
      </w:r>
      <w:r>
        <w:t xml:space="preserve"> </w:t>
      </w:r>
      <w:r>
        <w:rPr>
          <w:rFonts w:ascii="Times New Roman" w:hAnsi="Times New Roman"/>
        </w:rPr>
        <w:t>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90">
    <w:p w14:paraId="49C70605" w14:textId="428B5514" w:rsidR="00D924EA" w:rsidRDefault="00011DE9">
      <w:pPr>
        <w:pStyle w:val="FootnoteText"/>
        <w:jc w:val="both"/>
      </w:pPr>
      <w:r>
        <w:rPr>
          <w:rStyle w:val="FootnoteReference"/>
        </w:rPr>
        <w:footnoteRef/>
      </w:r>
      <w:r>
        <w:t xml:space="preserve"> </w:t>
      </w:r>
      <w:r>
        <w:rPr>
          <w:rFonts w:ascii="Times New Roman" w:hAnsi="Times New Roman"/>
        </w:rPr>
        <w:t>Vehiculele poluante sunt definite ca vehicule fără emisii zero.</w:t>
      </w:r>
    </w:p>
  </w:footnote>
  <w:footnote w:id="91">
    <w:p w14:paraId="733ED764" w14:textId="53B37E05" w:rsidR="00D924EA" w:rsidRDefault="00011DE9">
      <w:pPr>
        <w:pStyle w:val="FootnoteText"/>
        <w:jc w:val="both"/>
      </w:pPr>
      <w:r>
        <w:rPr>
          <w:rStyle w:val="FootnoteReference"/>
        </w:rPr>
        <w:footnoteRef/>
      </w:r>
      <w:r>
        <w:t xml:space="preserve"> Această </w:t>
      </w:r>
      <w:r>
        <w:rPr>
          <w:rFonts w:ascii="Times New Roman" w:hAnsi="Times New Roman"/>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92">
    <w:p w14:paraId="4CD9FC68"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93">
    <w:p w14:paraId="61B4FCF8" w14:textId="3D92FF31" w:rsidR="00D924EA" w:rsidRDefault="00011DE9">
      <w:pPr>
        <w:pStyle w:val="FootnoteText"/>
        <w:jc w:val="both"/>
      </w:pPr>
      <w:r>
        <w:rPr>
          <w:rFonts w:ascii="Times New Roman" w:hAnsi="Times New Roman"/>
        </w:rPr>
        <w:t xml:space="preserve">În </w:t>
      </w:r>
      <w:r>
        <w:rPr>
          <w:rStyle w:val="FootnoteReference"/>
          <w:rFonts w:ascii="Times New Roman" w:hAnsi="Times New Roman"/>
        </w:rPr>
        <w:footnoteRef/>
      </w:r>
      <w:r>
        <w:rPr>
          <w:rStyle w:val="FootnoteReference"/>
          <w:rFonts w:ascii="Times New Roman" w:hAnsi="Times New Roman"/>
        </w:rPr>
        <w:t xml:space="preserve"> </w:t>
      </w:r>
      <w:r>
        <w:rPr>
          <w:rFonts w:ascii="Times New Roman" w:hAnsi="Times New Roman"/>
        </w:rPr>
        <w:t>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94">
    <w:p w14:paraId="7759921A" w14:textId="77777777" w:rsidR="00D924EA" w:rsidRDefault="00011DE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95">
    <w:p w14:paraId="4246F1BF" w14:textId="68804CCC" w:rsidR="00D924EA" w:rsidRDefault="00011DE9">
      <w:pPr>
        <w:spacing w:after="0" w:line="240" w:lineRule="auto"/>
        <w:jc w:val="both"/>
        <w:rPr>
          <w:rFonts w:ascii="Times New Roman" w:eastAsia="Times New Roman" w:hAnsi="Times New Roman" w:cs="Times New Roman"/>
          <w:sz w:val="20"/>
          <w:szCs w:val="20"/>
          <w:shd w:val="clear" w:color="auto" w:fill="FFFFFF"/>
        </w:rPr>
      </w:pPr>
      <w:r>
        <w:rPr>
          <w:rStyle w:val="FootnoteReference"/>
          <w:rFonts w:ascii="Times New Roman" w:hAnsi="Times New Roman" w:cs="Times New Roman"/>
          <w:sz w:val="20"/>
          <w:szCs w:val="20"/>
        </w:rPr>
        <w:footnoteRef/>
      </w:r>
      <w:r>
        <w:rPr>
          <w:rFonts w:ascii="Times New Roman" w:hAnsi="Times New Roman"/>
          <w:sz w:val="20"/>
        </w:rPr>
        <w:t xml:space="preserve"> 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96">
    <w:p w14:paraId="36B5016E" w14:textId="29A0200D"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97">
    <w:p w14:paraId="5904B905" w14:textId="7EFA53AF" w:rsidR="00D924EA" w:rsidRDefault="00011DE9">
      <w:pPr>
        <w:pStyle w:val="FootnoteText"/>
        <w:jc w:val="both"/>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98">
    <w:p w14:paraId="253AC96A" w14:textId="64694CEB" w:rsidR="00D924EA" w:rsidRDefault="00011DE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Directiva 2013/34/UE este modificată prin Directiva (UE) 2022/2464 privind raportarea de către întreprinderi de informații privind durabilitatea.</w:t>
      </w:r>
    </w:p>
  </w:footnote>
  <w:footnote w:id="99">
    <w:p w14:paraId="5B4D9DC1" w14:textId="77777777" w:rsidR="00D924EA" w:rsidRDefault="00011DE9">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Cu excepția (a) proiectelor din cadrul acestei măsuri în domeniul producerii de energie electrică și/sau termică, precum și al infrastructurii conexe de transport și distribuție, care utilizează gaze naturale, care respectă condițiile stabilite în anexa III la Orientările tehnice de „a nu prejudicia în mod semnificativ” (2021/C58/01) și (b) a activităților și activelor menționate la punctul (ii) pentru care utilizarea combustibililor fosili este temporară și inevitabilă din punct de vedere tehnic pentru tranziția în timp util către o operațiune fără combustibili fosili, eliminând treptat, în timp, combustibilii fosili</w:t>
      </w:r>
    </w:p>
  </w:footnote>
  <w:footnote w:id="100">
    <w:p w14:paraId="4BA9E26F" w14:textId="36B8C663"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01">
    <w:p w14:paraId="4F6096B0" w14:textId="699F96D5"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02">
    <w:p w14:paraId="4781BA06" w14:textId="77777777" w:rsidR="00D924EA" w:rsidRDefault="00011DE9">
      <w:pPr>
        <w:pStyle w:val="ListParagraph"/>
        <w:spacing w:after="0" w:line="240" w:lineRule="auto"/>
        <w:ind w:left="0"/>
        <w:jc w:val="both"/>
      </w:pPr>
      <w:r>
        <w:rPr>
          <w:rStyle w:val="FootnoteReference"/>
          <w:rFonts w:ascii="Times New Roman" w:hAnsi="Times New Roman" w:cs="Times New Roman"/>
          <w:sz w:val="20"/>
          <w:szCs w:val="20"/>
        </w:rPr>
        <w:footnoteRef/>
      </w:r>
      <w:r>
        <w:rPr>
          <w:rFonts w:ascii="Times New Roman" w:hAnsi="Times New Roman"/>
          <w:sz w:val="20"/>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03">
    <w:p w14:paraId="56CA5B15" w14:textId="2487585A"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Beneficiarii finali ai împrumuturilor, ai împrumuturilor participative, ai obligațiunilor pentru finanțarea proiectelor, ai garanțiilor sau ai instrumentelor echivalente asociate unor proiecte specifice au obligația de a furniza o justificare a domeniului de intervenție selectat pentru fiecare proiect sprijinit, împreună cu o descriere a proiectului. În scopul calculării contribuției în domeniul climei, în cazul capitalului propriu, al cvasicapitalului, al obligațiunilor corporative sau al instrumentelor echivalente care nu vizează proiecte specifice, se utilizează criterii pentru a impune ca cel puțin 90 % din veniturile destinatarului din exercițiul financiar precedent sau din veniturile viitoare conform unui plan de afaceri să fie/vor fi generate dintr-o activitate care respectă criteriile relevante care decurg din domeniile de intervenție aplicabile din anexa VI la Regulamentul privind MRR. Beneficiarii finali din titluri de capital, cvasititluri de 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104">
    <w:p w14:paraId="2C152BD7" w14:textId="77777777" w:rsidR="00D924EA" w:rsidRDefault="00011DE9">
      <w:pPr>
        <w:spacing w:after="0" w:line="240" w:lineRule="auto"/>
        <w:jc w:val="both"/>
        <w:rPr>
          <w:rFonts w:ascii="Times New Roman" w:eastAsia="Times New Roman" w:hAnsi="Times New Roman" w:cs="Times New Roman"/>
        </w:rPr>
      </w:pPr>
      <w:r>
        <w:rPr>
          <w:rStyle w:val="FootnoteReference"/>
        </w:rPr>
        <w:footnoteRef/>
      </w:r>
      <w:r>
        <w:t xml:space="preserve"> </w:t>
      </w:r>
      <w:r>
        <w:rPr>
          <w:rFonts w:ascii="Times New Roman" w:hAnsi="Times New Roman"/>
          <w:sz w:val="20"/>
        </w:rPr>
        <w:t>Cu excepția (a) proiectelor de producere a energiei electrice și/sau termice, precum și a infrastructurii aferente de transport și distribuție, care utilizează gaze naturale, care respectă condițiile stabilite în anexa III la Orientările tehnice de „a nu prejudicia în mod semnificativ” (2021/C58/01) și (b) a activităților și activelor de la punctul (ii) pentru care utilizarea combustibililor fosili este temporară și inevitabilă din punct de vedere tehnic pentru tranziția în timp util către o operațiune fără combustibili fosili.</w:t>
      </w:r>
    </w:p>
  </w:footnote>
  <w:footnote w:id="105">
    <w:p w14:paraId="433FB092" w14:textId="1D0F276C" w:rsidR="00D924EA" w:rsidRDefault="00011DE9">
      <w:pPr>
        <w:pStyle w:val="FootnoteText"/>
        <w:jc w:val="both"/>
      </w:pPr>
      <w:r>
        <w:rPr>
          <w:rStyle w:val="FootnoteReference"/>
        </w:rPr>
        <w:footnoteRef/>
      </w:r>
      <w:r>
        <w:t xml:space="preserve"> În </w:t>
      </w:r>
      <w:r>
        <w:rPr>
          <w:rFonts w:ascii="Times New Roman" w:hAnsi="Times New Roman"/>
        </w:rPr>
        <w:t>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06">
    <w:p w14:paraId="7D65A63B" w14:textId="12DB9334" w:rsidR="00D924EA" w:rsidRDefault="00011DE9">
      <w:pPr>
        <w:pStyle w:val="FootnoteText"/>
        <w:jc w:val="both"/>
      </w:pPr>
      <w:r>
        <w:rPr>
          <w:rStyle w:val="FootnoteReference"/>
        </w:rPr>
        <w:footnoteRef/>
      </w:r>
      <w:r>
        <w:t xml:space="preserve"> Această </w:t>
      </w:r>
      <w:r>
        <w:rPr>
          <w:rFonts w:ascii="Times New Roman" w:hAnsi="Times New Roman"/>
        </w:rPr>
        <w:t>excludere nu se aplică acțiunilor întreprinse în instalații destinate exclusiv tratării deșeurilor periculoase nereciclabile și în instalații existente, în cazul în care acțiunile vizează sporirea eficienței energetice, captarea gazelor de evacuare pentru depozitare ori utilizare sau recuperarea materialelor din cenușa de incinerare, cu condiția ca astfel de acțiuni să nu conducă la o sporire a capacității instalațiilor de a prelucra deșeuri sau la o prelungire a duratei de viață a instalațiilor, pentru care se furnizează dovezi la nivel de instalație.</w:t>
      </w:r>
      <w:r w:rsidR="00971820">
        <w:rPr>
          <w:rFonts w:ascii="Times New Roman" w:hAnsi="Times New Roman"/>
        </w:rPr>
        <w:t xml:space="preserve"> </w:t>
      </w:r>
    </w:p>
  </w:footnote>
  <w:footnote w:id="107">
    <w:p w14:paraId="3FA7136E" w14:textId="002AD083" w:rsidR="00D924EA" w:rsidRDefault="00011DE9">
      <w:pPr>
        <w:pStyle w:val="FootnoteText"/>
        <w:jc w:val="both"/>
      </w:pPr>
      <w:r>
        <w:rPr>
          <w:rStyle w:val="FootnoteReference"/>
        </w:rPr>
        <w:footnoteRef/>
      </w:r>
      <w:r>
        <w:t xml:space="preserve"> Această </w:t>
      </w:r>
      <w:r>
        <w:rPr>
          <w:rFonts w:ascii="Times New Roman" w:hAnsi="Times New Roman"/>
        </w:rPr>
        <w:t>excludere nu se aplică acțiunilor întreprinse în instalații existente de tratare mecano-biologică, în cazul în care acțiunile vizează sporirea eficienței energetice sau modernizarea operațiunilor de reciclare a deșeurilor separate pentru compostarea biodeșeurilor și digestia anaerobă a biodeșeurilor, cu condiția ca astfel de acțiuni să nu conducă la o sporire a capacității instalațiilor de a prelucra deșeuri sau la o prelungire a duratei de viață a instalațiilor, pentru care se furnizează dovezi la nivel de instalație.</w:t>
      </w:r>
    </w:p>
  </w:footnote>
  <w:footnote w:id="108">
    <w:p w14:paraId="07A12F51" w14:textId="77777777" w:rsidR="00D924EA" w:rsidRDefault="00011DE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09">
    <w:p w14:paraId="4DA0ED6C" w14:textId="77777777" w:rsidR="00D924EA" w:rsidRDefault="00011DE9">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110">
    <w:p w14:paraId="31C12E83"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11">
    <w:p w14:paraId="5B222F1B" w14:textId="77777777" w:rsidR="00D924EA"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12">
    <w:p w14:paraId="4975FEA4" w14:textId="77777777" w:rsidR="00D924EA" w:rsidRDefault="00011DE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113">
    <w:p w14:paraId="4EB6BFA1" w14:textId="77777777" w:rsidR="00D924EA" w:rsidRDefault="00011DE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14">
    <w:p w14:paraId="53E26C76" w14:textId="77777777" w:rsidR="00D924EA" w:rsidRDefault="00011DE9">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15">
    <w:p w14:paraId="3067D711" w14:textId="77777777" w:rsidR="00D924EA" w:rsidRDefault="00011DE9">
      <w:pPr>
        <w:pStyle w:val="P68B1DB1-FootnoteText85"/>
        <w:jc w:val="both"/>
        <w:rPr>
          <w:rFonts w:eastAsia="Times New Roman"/>
        </w:rPr>
      </w:pPr>
      <w:r>
        <w:footnoteRef/>
      </w:r>
      <w:r>
        <w:t xml:space="preserve"> Vehiculele poluante sunt definite ca vehicule fără emisii zero.</w:t>
      </w:r>
    </w:p>
  </w:footnote>
  <w:footnote w:id="116">
    <w:p w14:paraId="1AB265BE" w14:textId="77777777" w:rsidR="00D924EA" w:rsidRDefault="00011DE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17">
    <w:p w14:paraId="529BE58F" w14:textId="77777777" w:rsidR="00011DE9" w:rsidRDefault="00011DE9">
      <w:pPr>
        <w:pStyle w:val="FootnoteText"/>
        <w:jc w:val="both"/>
      </w:pPr>
      <w:r>
        <w:rPr>
          <w:rStyle w:val="FootnoteReference"/>
        </w:rPr>
        <w:footnoteRef/>
      </w:r>
      <w:r>
        <w:t xml:space="preserve"> </w:t>
      </w:r>
      <w:r>
        <w:rPr>
          <w:rFonts w:ascii="Times New Roman" w:hAnsi="Times New Roman"/>
        </w:rPr>
        <w:t>În scopul calculării contribuției digitale, în cazul capitalului propriu, al cvasicapitalului, al obligațiunilor corporative sau al instrumentelor echivalente care nu vizează proiecte specifice, politica de investiții impune ca cel puțin 90 % din veniturile destinatarului din exercițiul financiar precedent sau din veniturile viitoare, conform planului de afaceri, să fie generate de o activitate aliniată la domeniile de intervenție aplicabile din anexa VII la Regulamentul privind MRR.</w:t>
      </w:r>
    </w:p>
  </w:footnote>
  <w:footnote w:id="118">
    <w:p w14:paraId="41C27CFC"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proiectelor din cadrul acestei măsuri în domeniul producerii de energie electrică și/sau termică, precum și al infrastructurii aferente de transport și distribuție, care utilizează gaze naturale, care respectă condițiile stabilite în anexa III la Orientările tehnice „A nu prejudicia în mod semnificativ” (2021/C58/01).</w:t>
      </w:r>
    </w:p>
  </w:footnote>
  <w:footnote w:id="119">
    <w:p w14:paraId="5D41A7D0"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20">
    <w:p w14:paraId="3ACFAF5A"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21">
    <w:p w14:paraId="4C86F2E6"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22">
    <w:p w14:paraId="70214E46"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proiectelor din cadrul acestei măsuri în domeniul producerii de energie electrică și/sau termică, precum și al infrastructurii aferente de transport și distribuție, care utilizează gaze naturale, care respectă condițiile stabilite în anexa III la Orientările tehnice „A nu prejudicia în mod semnificativ” (2021/C58/01).</w:t>
      </w:r>
    </w:p>
  </w:footnote>
  <w:footnote w:id="123">
    <w:p w14:paraId="48C4C2C6"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24">
    <w:p w14:paraId="3F70FCC6"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25">
    <w:p w14:paraId="6C9DFF69"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26">
    <w:p w14:paraId="045C43ED"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Cu excepția (a) proiectelor din cadrul acestei măsuri în domeniul producerii de energie electrică și/sau termică, precum și al infrastructurii conexe de transport și distribuție, care utilizează gaze naturale, care respectă condițiile stabilite în anexa III la Orientările tehnice de „a nu prejudicia în mod semnificativ” (2021/C58/01) și (b) a activităților și activelor de la punctul (ii) pentru care utilizarea combustibililor fosili este temporară și inevitabilă din punct de vedere tehnic pentru tranziția în timp util către o operațiune fără combustibili fosili.</w:t>
      </w:r>
    </w:p>
  </w:footnote>
  <w:footnote w:id="127">
    <w:p w14:paraId="62A69A69"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w:t>
      </w:r>
      <w:r>
        <w:rPr>
          <w:rStyle w:val="normaltextrun"/>
          <w:rFonts w:ascii="Times New Roman" w:hAnsi="Times New Roman"/>
          <w:shd w:val="clear" w:color="auto" w:fill="FFFFFF"/>
        </w:rPr>
        <w:t>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28">
    <w:p w14:paraId="2C7E9AA4" w14:textId="77777777" w:rsidR="00011DE9" w:rsidRDefault="00011DE9">
      <w:pPr>
        <w:pStyle w:val="FootnoteText"/>
        <w:jc w:val="both"/>
        <w:rPr>
          <w:rStyle w:val="normaltextrun"/>
          <w:rFonts w:ascii="Times New Roman" w:hAnsi="Times New Roman"/>
          <w:shd w:val="clear" w:color="auto" w:fill="FFFFFF"/>
        </w:rPr>
      </w:pPr>
      <w:r>
        <w:rPr>
          <w:rStyle w:val="FootnoteReference"/>
        </w:rPr>
        <w:footnoteRef/>
      </w:r>
      <w:r>
        <w:t xml:space="preserve">Această </w:t>
      </w:r>
      <w:r>
        <w:rPr>
          <w:rStyle w:val="normaltextrun"/>
          <w:rFonts w:ascii="Times New Roman" w:hAnsi="Times New Roman"/>
          <w:shd w:val="clear" w:color="auto" w:fill="FFFFFF"/>
        </w:rPr>
        <w:t>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29">
    <w:p w14:paraId="0FFF6005"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w:t>
      </w:r>
      <w:r>
        <w:rPr>
          <w:rStyle w:val="normaltextrun"/>
          <w:rFonts w:ascii="Times New Roman" w:hAnsi="Times New Roman"/>
          <w:shd w:val="clear" w:color="auto" w:fill="FFFFFF"/>
        </w:rPr>
        <w:t xml:space="preserve">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30">
    <w:p w14:paraId="53135C82"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w:t>
      </w:r>
      <w:r>
        <w:rPr>
          <w:rStyle w:val="normaltextrun"/>
          <w:rFonts w:ascii="Times New Roman" w:hAnsi="Times New Roman"/>
          <w:shd w:val="clear" w:color="auto" w:fill="FFFFFF"/>
        </w:rPr>
        <w:t>cazul în care activitatea sprijinită generează emisii de gaze cu efect de seră preconizate care nu sunt semnificativ mai scăzute decât valorile de referință relevante, ar trebui furnizată o explicație a motivelor pentru care acest lucru nu este posibil. Valori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31">
    <w:p w14:paraId="28D0C603" w14:textId="77777777" w:rsidR="00011DE9" w:rsidRDefault="00011DE9">
      <w:pPr>
        <w:pStyle w:val="FootnoteText"/>
        <w:jc w:val="both"/>
      </w:pPr>
      <w:r>
        <w:rPr>
          <w:rStyle w:val="FootnoteReference"/>
          <w:rFonts w:cs="Times New Roman"/>
        </w:rPr>
        <w:t xml:space="preserve">Această </w:t>
      </w:r>
      <w:r>
        <w:rPr>
          <w:rStyle w:val="FootnoteReference"/>
          <w:rFonts w:cs="Times New Roman"/>
        </w:rPr>
        <w:footnoteRef/>
      </w:r>
      <w:r>
        <w:rPr>
          <w:rStyle w:val="normaltextrun"/>
          <w:rFonts w:ascii="Times New Roman" w:hAnsi="Times New Roman"/>
          <w:shd w:val="clear" w:color="auto" w:fill="FFFFFF"/>
        </w:rPr>
        <w:t>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32">
    <w:p w14:paraId="6C49324F"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w:t>
      </w:r>
      <w:r>
        <w:rPr>
          <w:rStyle w:val="normaltextrun"/>
          <w:rFonts w:ascii="Times New Roman" w:hAnsi="Times New Roman"/>
          <w:shd w:val="clear" w:color="auto" w:fill="FFFFFF"/>
        </w:rPr>
        <w:t xml:space="preserve">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33">
    <w:p w14:paraId="4F1BFD01" w14:textId="77777777" w:rsidR="00011DE9" w:rsidRDefault="00011DE9">
      <w:pPr>
        <w:spacing w:after="0" w:line="240" w:lineRule="auto"/>
        <w:jc w:val="both"/>
        <w:rPr>
          <w:rFonts w:ascii="Times New Roman" w:hAnsi="Times New Roman"/>
          <w:sz w:val="20"/>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sz w:val="20"/>
          <w:szCs w:val="20"/>
        </w:rP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34">
    <w:p w14:paraId="7FC5F663" w14:textId="77777777" w:rsidR="00011DE9" w:rsidRDefault="00011DE9">
      <w:pPr>
        <w:spacing w:after="0" w:line="240" w:lineRule="auto"/>
        <w:jc w:val="both"/>
        <w:rPr>
          <w:rFonts w:ascii="Times New Roman" w:hAnsi="Times New Roman"/>
          <w:sz w:val="20"/>
          <w:shd w:val="clear" w:color="auto" w:fill="FFFFFF"/>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sz w:val="20"/>
          <w:szCs w:val="20"/>
        </w:rPr>
        <w:t>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35">
    <w:p w14:paraId="688A2ACD" w14:textId="77777777" w:rsidR="00011DE9" w:rsidRDefault="00011DE9">
      <w:pPr>
        <w:spacing w:after="0" w:line="240" w:lineRule="auto"/>
        <w:jc w:val="both"/>
        <w:rPr>
          <w:rFonts w:ascii="Times New Roman" w:hAnsi="Times New Roman"/>
          <w:sz w:val="20"/>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sz w:val="20"/>
          <w:szCs w:val="20"/>
        </w:rPr>
        <w:t>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136">
    <w:p w14:paraId="1798D79C" w14:textId="77777777" w:rsidR="00011DE9" w:rsidRDefault="00011DE9">
      <w:pPr>
        <w:pStyle w:val="FootnoteText"/>
        <w:jc w:val="both"/>
      </w:pPr>
      <w:r>
        <w:rPr>
          <w:rStyle w:val="FootnoteReference"/>
        </w:rPr>
        <w:footnoteRef/>
      </w:r>
      <w:r>
        <w:t xml:space="preserve"> </w:t>
      </w:r>
      <w:r>
        <w:rPr>
          <w:rFonts w:ascii="Times New Roman" w:hAnsi="Times New Roman"/>
        </w:rP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37">
    <w:p w14:paraId="5D944D0B" w14:textId="77777777" w:rsidR="00011DE9" w:rsidRDefault="00011DE9">
      <w:pPr>
        <w:pStyle w:val="FootnoteText"/>
        <w:jc w:val="both"/>
      </w:pPr>
      <w:r>
        <w:rPr>
          <w:rStyle w:val="FootnoteReference"/>
        </w:rPr>
        <w:footnoteRef/>
      </w:r>
      <w:r>
        <w:t xml:space="preserve"> </w:t>
      </w:r>
      <w:r>
        <w:rPr>
          <w:rFonts w:ascii="Times New Roman" w:hAnsi="Times New Roman"/>
        </w:rPr>
        <w:t>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38">
    <w:p w14:paraId="1D5C82E1" w14:textId="77777777" w:rsidR="00011DE9" w:rsidRDefault="00011DE9">
      <w:pPr>
        <w:pStyle w:val="FootnoteText"/>
        <w:jc w:val="both"/>
      </w:pPr>
      <w:r>
        <w:rPr>
          <w:rStyle w:val="FootnoteReference"/>
        </w:rPr>
        <w:footnoteRef/>
      </w:r>
      <w:r>
        <w:t xml:space="preserve"> </w:t>
      </w:r>
      <w:r>
        <w:rPr>
          <w:rFonts w:ascii="Times New Roman" w:hAnsi="Times New Roman"/>
        </w:rPr>
        <w:t>Vehiculele poluante sunt definite ca vehicule fără emisii zero.</w:t>
      </w:r>
    </w:p>
  </w:footnote>
  <w:footnote w:id="139">
    <w:p w14:paraId="0115AA17" w14:textId="77777777" w:rsidR="00011DE9" w:rsidRDefault="00011DE9">
      <w:pPr>
        <w:pStyle w:val="FootnoteText"/>
        <w:jc w:val="both"/>
      </w:pPr>
      <w:r>
        <w:rPr>
          <w:rStyle w:val="FootnoteReference"/>
        </w:rPr>
        <w:footnoteRef/>
      </w:r>
      <w:r>
        <w:t xml:space="preserve"> Această </w:t>
      </w:r>
      <w:r>
        <w:rPr>
          <w:rFonts w:ascii="Times New Roman" w:hAnsi="Times New Roman"/>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40">
    <w:p w14:paraId="372AD83F"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proiectelor din cadrul acestei măsuri în domeniul producerii de energie electrică și/sau termică, precum și al infrastructurii aferente de transport și distribuție, care utilizează gaze naturale, care respectă condițiile stabilite în anexa III la Orientările tehnice „A nu prejudicia în mod semnificativ” (2021/C58/01).</w:t>
      </w:r>
    </w:p>
  </w:footnote>
  <w:footnote w:id="141">
    <w:p w14:paraId="01B6C2F5"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42">
    <w:p w14:paraId="5B61D651"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43">
    <w:p w14:paraId="5367CCCD"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44">
    <w:p w14:paraId="5028AA1D" w14:textId="77777777" w:rsidR="00011DE9" w:rsidRDefault="00011DE9">
      <w:pPr>
        <w:pStyle w:val="FootnoteText"/>
        <w:jc w:val="both"/>
      </w:pPr>
      <w:r>
        <w:rPr>
          <w:rStyle w:val="FootnoteReference"/>
        </w:rPr>
        <w:footnoteRef/>
      </w:r>
      <w:r>
        <w:rPr>
          <w:rFonts w:ascii="Times New Roman" w:hAnsi="Times New Roman"/>
        </w:rPr>
        <w:t>În scopul calculării contribuției digitale, în cazul capitalului propriu, al cvasicapitalului, al obligațiunilor corporative sau al instrumentelor echivalente care nu vizează proiecte specifice, se utilizează criterii pentru a impune ca cel puțin 90 % din veniturile destinatarului din exercițiul financiar precedent sau din veniturile viitoare conform unui plan de afaceri să fie/vor fi generate dintr-o activitate care respectă criteriile relevante care decurg din domeniile de intervenție aplicabile din anexa VII la Regulamentul privind MRR.</w:t>
      </w:r>
    </w:p>
  </w:footnote>
  <w:footnote w:id="145">
    <w:p w14:paraId="43130BFA" w14:textId="77777777" w:rsidR="00011DE9" w:rsidRDefault="00011DE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Recomandările Pactului de la Toledo au fost publicate în Jurnalul Oficial la 10 noiembrie 2020: </w:t>
      </w:r>
      <w:hyperlink r:id="rId2" w:history="1">
        <w:r>
          <w:rPr>
            <w:rStyle w:val="Hyperlink"/>
            <w:rFonts w:ascii="Times New Roman" w:hAnsi="Times New Roman"/>
          </w:rPr>
          <w:t>https://www.congreso.es/public_oficiales/L14/CONG/BOCG/D/BOCG-14-D-175.PDF</w:t>
        </w:r>
      </w:hyperlink>
      <w:r>
        <w:rPr>
          <w:rFonts w:ascii="Times New Roman" w:hAnsi="Times New Roman"/>
        </w:rPr>
        <w:t xml:space="preserve">. </w:t>
      </w:r>
    </w:p>
  </w:footnote>
  <w:footnote w:id="146">
    <w:p w14:paraId="4CBF4FCF" w14:textId="77777777" w:rsidR="00011DE9" w:rsidRDefault="00011DE9">
      <w:pPr>
        <w:pStyle w:val="FootnoteText"/>
        <w:jc w:val="both"/>
        <w:rPr>
          <w:rFonts w:eastAsia="Times New Roman" w:cs="Times New Roman"/>
        </w:rPr>
      </w:pPr>
      <w:r>
        <w:rPr>
          <w:rStyle w:val="FootnoteReference"/>
          <w:rFonts w:cs="Times New Roman"/>
        </w:rPr>
        <w:footnoteRef/>
      </w:r>
      <w:r>
        <w:t xml:space="preserve"> </w:t>
      </w:r>
      <w:r>
        <w:rPr>
          <w:rFonts w:ascii="Times New Roman" w:hAnsi="Times New Roman"/>
        </w:rPr>
        <w:t>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147">
    <w:p w14:paraId="626597CE" w14:textId="77777777" w:rsidR="00011DE9" w:rsidRDefault="00011DE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Cu excepția (a) activelor și activităților de producere a energiei electrice și/sau termice, precum și a infrastructurii aferente de transport și distribuție care utilizează gaze naturale, care respectă condițiile prevăzute în anexa III la Orientările tehnice privind aplicarea principiului de „a nu prejudicia în mod semnificativ” (2021/C58/01); și (b) activitățile și activele menționate la punctul (ii) pentru care utilizarea combustibililor fosili este temporară și inevitabilă din punct de vedere tehnic pentru tranziția în timp util către o operațiune fără combustibili fosili.</w:t>
      </w:r>
    </w:p>
  </w:footnote>
  <w:footnote w:id="148">
    <w:p w14:paraId="6E7DB158" w14:textId="77777777" w:rsidR="00011DE9" w:rsidRDefault="00011DE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49">
    <w:p w14:paraId="6709724E" w14:textId="77777777" w:rsidR="00011DE9" w:rsidRDefault="00011DE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Vehiculele poluante sunt definite ca vehicule fără emisii zero.</w:t>
      </w:r>
    </w:p>
  </w:footnote>
  <w:footnote w:id="150">
    <w:p w14:paraId="7073058E" w14:textId="77777777" w:rsidR="00011DE9" w:rsidRDefault="00011DE9">
      <w:pPr>
        <w:pStyle w:val="FootnoteText"/>
        <w:jc w:val="both"/>
        <w:rPr>
          <w:rFonts w:eastAsia="Times New Roman" w:cs="Times New Roman"/>
        </w:rPr>
      </w:pPr>
      <w:r>
        <w:rPr>
          <w:rStyle w:val="FootnoteReference"/>
          <w:rFonts w:cs="Times New Roman"/>
        </w:rPr>
        <w:footnoteRef/>
      </w:r>
      <w:r>
        <w:t xml:space="preserve"> Această </w:t>
      </w:r>
      <w:r>
        <w:rPr>
          <w:rFonts w:ascii="Times New Roman" w:hAnsi="Times New Roman"/>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51">
    <w:p w14:paraId="07A91605"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în domeniul climei, în cazul capitalului propriu, al cvasicapitalului, al obligațiunilor corporative sau al instrumentelor echivalente care nu vizează proiecte specifice, se utilizează criterii pentru a impune ca cel puțin 90 % din veniturile destinatarului din exercițiul financiar precedent sau din veniturile viitoare conform unui plan de afaceri să fie/vor fi generate dintr-o activitate care respectă criteriile relevante care decurg din domeniile de intervenție aplicabile din anexa VI la Regulamentul privind MRR. Beneficiarii finali din titluri de capital, cvasititluri de 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152">
    <w:p w14:paraId="7CBE73FC"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(a) proiectelor din cadrul acestei măsuri în domeniul producerii de energie electrică și/sau termică, precum și al infrastructurii aferente de transport și distribuție, care utilizează gaze naturale, care respectă condițiile stabilite în anexa III la Orientările tehnice privind aplicarea principiului de „a nu prejudicia în mod semnificativ” (2021/C58/01); și (b) activitățile și activele menționate la punctul (ii) pentru care utilizarea combustibililor fosili este temporară și inevitabilă din punct de vedere tehnic pentru tranziția în timp util către o operațiune fără combustibili fosili.</w:t>
      </w:r>
    </w:p>
  </w:footnote>
  <w:footnote w:id="153">
    <w:p w14:paraId="31749743"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54">
    <w:p w14:paraId="60DBC3F9"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55">
    <w:p w14:paraId="69FA111B"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întreprinse în temeiul acestei măsuri în stațiile de tratare mecano-biologică existente, în cazul în care acțiunile din cadrul acestei măsuri au scopul de a spori eficiența utilizării resurselor sau de a moderniza operațiunile de reciclare a deșeurilor separate pentru a composta deșeurile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56">
    <w:p w14:paraId="396F16FF" w14:textId="77777777" w:rsidR="00011DE9" w:rsidRDefault="00011DE9">
      <w:pPr>
        <w:pStyle w:val="FootnoteText"/>
        <w:jc w:val="both"/>
        <w:rPr>
          <w:rFonts w:eastAsia="Times New Roman" w:cs="Times New Roman"/>
        </w:rPr>
      </w:pPr>
      <w:r>
        <w:rPr>
          <w:rStyle w:val="FootnoteReference"/>
          <w:rFonts w:cs="Times New Roman"/>
        </w:rPr>
        <w:footnoteRef/>
      </w:r>
      <w:r>
        <w:t xml:space="preserve"> </w:t>
      </w:r>
      <w:r>
        <w:rPr>
          <w:rFonts w:ascii="Times New Roman" w:hAnsi="Times New Roman"/>
        </w:rPr>
        <w:t>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157">
    <w:p w14:paraId="75D1F479" w14:textId="77777777" w:rsidR="00011DE9" w:rsidRDefault="00011DE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Cu excepția (a) activelor și activităților de producere a energiei electrice și/sau termice, precum și a infrastructurii aferente de transport și distribuție care utilizează gaze naturale, care respectă condițiile prevăzute în anexa III la Orientările tehnice privind aplicarea principiului de „a nu prejudicia în mod semnificativ” (2021/C58/01); și (b) activitățile și activele menționate la punctul (ii) pentru care utilizarea combustibililor fosili este temporară și inevitabilă din punct de vedere tehnic pentru tranziția în timp util către o operațiune fără combustibili fosili.</w:t>
      </w:r>
    </w:p>
  </w:footnote>
  <w:footnote w:id="158">
    <w:p w14:paraId="129CBCDF" w14:textId="77777777" w:rsidR="00011DE9" w:rsidRDefault="00011DE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59">
    <w:p w14:paraId="220674AE" w14:textId="77777777" w:rsidR="00011DE9" w:rsidRDefault="00011DE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Vehiculele poluante sunt definite ca vehicule fără emisii zero.</w:t>
      </w:r>
    </w:p>
  </w:footnote>
  <w:footnote w:id="160">
    <w:p w14:paraId="6CB6FD7E" w14:textId="77777777" w:rsidR="00011DE9" w:rsidRDefault="00011DE9">
      <w:pPr>
        <w:pStyle w:val="FootnoteText"/>
        <w:jc w:val="both"/>
        <w:rPr>
          <w:rFonts w:eastAsia="Times New Roman" w:cs="Times New Roman"/>
        </w:rPr>
      </w:pPr>
      <w:r>
        <w:rPr>
          <w:rStyle w:val="FootnoteReference"/>
          <w:rFonts w:cs="Times New Roman"/>
        </w:rPr>
        <w:footnoteRef/>
      </w:r>
      <w:r>
        <w:t xml:space="preserve"> Această </w:t>
      </w:r>
      <w:r>
        <w:rPr>
          <w:rFonts w:ascii="Times New Roman" w:hAnsi="Times New Roman"/>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r>
        <w:t>.</w:t>
      </w:r>
    </w:p>
  </w:footnote>
  <w:footnote w:id="161">
    <w:p w14:paraId="4327B326"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bdr w:val="none" w:sz="0" w:space="0" w:color="auto" w:frame="1"/>
        </w:rPr>
        <w:t xml:space="preserve">Beneficiarii finali asociați unor proiecte specifice au obligația de a furniza o justificare a domeniului de intervenție selectat pentru fiecare proiect sprijinit, împreună cu o descriere a proiectului, în scopul calculării contribuției în domeniul climei. În </w:t>
      </w:r>
      <w:r>
        <w:rPr>
          <w:rFonts w:ascii="Times New Roman" w:hAnsi="Times New Roman"/>
        </w:rPr>
        <w:t>scopul calculării contribuției în domeniul climei, în cazul capitalului propriu, al cvasicapitalului, al obligațiunilor corporative sau al instrumentelor echivalente care nu vizează proiecte specifice, se utilizează criterii pentru a impune ca cel puțin 90 % din veniturile destinatarului din exercițiul financiar precedent sau din veniturile viitoare conform unui plan de afaceri să fie/vor fi generate dintr-o activitate care respectă criteriile relevante care decurg din domeniile de intervenție aplicabile din anexa VI la Regulamentul privind MRR. Beneficiarii finali din titluri de capital, cvasititluri de 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162">
    <w:p w14:paraId="651093B1"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63">
    <w:p w14:paraId="47FED3CD" w14:textId="1367963D"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(a) proiectelor din cadrul acestei măsuri în domeniul producerii de energie electrică și/sau termică, precum și al infrastructurii aferente de transport și distribuție, care utilizează gaze naturale, care respectă condițiile stabilite în anexa III la Orientările tehnice privind aplicarea principiului de „a nu prejudicia în mod semnificativ” (2021/C58/01); și (b) activitățile și activele menționate la punctul (i) pentru care utilizarea combustibililor fosili este temporară și inevitabilă din punct de vedere tehnic pentru tranziția în timp util către o operațiune fără combustibili fosili.</w:t>
      </w:r>
      <w:r w:rsidR="00971820">
        <w:rPr>
          <w:rFonts w:ascii="Times New Roman" w:hAnsi="Times New Roman"/>
        </w:rPr>
        <w:t xml:space="preserve"> </w:t>
      </w:r>
    </w:p>
  </w:footnote>
  <w:footnote w:id="164">
    <w:p w14:paraId="16104BE6" w14:textId="77777777" w:rsidR="00011DE9" w:rsidRDefault="00011DE9">
      <w:pPr>
        <w:pStyle w:val="FootnoteText"/>
        <w:jc w:val="both"/>
      </w:pPr>
      <w:r>
        <w:rPr>
          <w:rStyle w:val="FootnoteReference"/>
        </w:rPr>
        <w:footnoteRef/>
      </w:r>
      <w:r>
        <w:t xml:space="preserve"> </w:t>
      </w:r>
      <w:r>
        <w:rPr>
          <w:rFonts w:ascii="Times New Roman" w:hAnsi="Times New Roman"/>
        </w:rPr>
        <w:t>Beneficiarii finali ai împrumuturilor, ai împrumuturilor participative, ai obligațiunilor pentru finanțarea proiectelor, ai garanțiilor sau ai instrumentelor echivalente asociate unor proiecte specifice au obligația de a furniza o justificare a domeniului de intervenție selectat pentru fiecare proiect sprijinit, împreună cu o descriere a proiectului. Partenerul de implementare are, de asemenea, obligația de a furniza statului membru un raport semestrial privind punerea în aplicare a fiecărui proiect/fiecărei activități.</w:t>
      </w:r>
    </w:p>
  </w:footnote>
  <w:footnote w:id="165">
    <w:p w14:paraId="0A3C63AA" w14:textId="77777777" w:rsidR="00011DE9" w:rsidRDefault="00011DE9">
      <w:pPr>
        <w:spacing w:after="0" w:line="240" w:lineRule="auto"/>
        <w:jc w:val="both"/>
        <w:rPr>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66">
    <w:p w14:paraId="49C83192" w14:textId="77777777" w:rsidR="00011DE9" w:rsidRDefault="00011DE9">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167">
    <w:p w14:paraId="20228C73" w14:textId="77777777" w:rsidR="00011DE9" w:rsidRDefault="00011DE9">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68">
    <w:p w14:paraId="6872EC85" w14:textId="77777777" w:rsidR="00011DE9" w:rsidRDefault="00011DE9">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69">
    <w:p w14:paraId="1BE894DE" w14:textId="77777777" w:rsidR="00011DE9" w:rsidRDefault="00011DE9">
      <w:pPr>
        <w:spacing w:after="0" w:line="240" w:lineRule="auto"/>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Partenerul de implementare are, de asemenea, obligația de a furniza statului membru un raport semestrial privind punerea în aplicare a fiecărui proiect/fiecărei activități.</w:t>
      </w:r>
    </w:p>
  </w:footnote>
  <w:footnote w:id="170">
    <w:p w14:paraId="44A3C75D" w14:textId="77777777" w:rsidR="00011DE9" w:rsidRDefault="00011DE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Cu excepția (a) activelor și activităților de producere a energiei electrice și/sau termice, precum și a infrastructurii aferente de transport și distribuție care utilizează gaze naturale, care respectă condițiile prevăzute în anexa III la Orientările tehnice privind aplicarea principiului de „a nu prejudicia în mod semnificativ” (2021/C58/01); (b) activitățile și activele menționate la punctul (ii) pentru care utilizarea combustibililor fosili este temporară și inevitabilă din punct de vedere tehnic pentru tranziția în timp util către o operațiune fără combustibili fosili;</w:t>
      </w:r>
      <w:r>
        <w:rPr>
          <w:rFonts w:ascii="Times New Roman" w:hAnsi="Times New Roman" w:cs="Times New Roman"/>
          <w:sz w:val="22"/>
          <w:szCs w:val="22"/>
        </w:rPr>
        <w:t xml:space="preserve"> </w:t>
      </w:r>
      <w:r>
        <w:rPr>
          <w:rFonts w:ascii="Times New Roman" w:eastAsia="Times New Roman" w:hAnsi="Times New Roman" w:cs="Times New Roman"/>
        </w:rPr>
        <w:t>(c) aeronavele utilizate pentru protecția civilă sau pentru stingerea incendiilor și vehiculele cu destinație specială care se bazează pe cele mai bune niveluri disponibile de performanță de mediu în acest sector.</w:t>
      </w:r>
    </w:p>
  </w:footnote>
  <w:footnote w:id="171">
    <w:p w14:paraId="5A2415E6" w14:textId="77777777" w:rsidR="00011DE9" w:rsidRDefault="00011DE9">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172">
    <w:p w14:paraId="3568ED99"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73">
    <w:p w14:paraId="156FE6A5" w14:textId="77777777" w:rsidR="00011DE9" w:rsidRDefault="00011D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7F05C" w14:textId="77777777" w:rsidR="004F7195" w:rsidRPr="004F7195" w:rsidRDefault="004F7195" w:rsidP="004F719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DEAB4" w14:textId="77777777" w:rsidR="004F7195" w:rsidRPr="004F7195" w:rsidRDefault="004F7195" w:rsidP="004F719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22C72" w14:textId="77777777" w:rsidR="004F7195" w:rsidRPr="004F7195" w:rsidRDefault="004F7195" w:rsidP="004F719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22CAB" w14:textId="77777777" w:rsidR="00D924EA" w:rsidRDefault="00D924E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7E1FD" w14:textId="77777777" w:rsidR="00D924EA" w:rsidRDefault="00D924E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0404C" w14:textId="77777777" w:rsidR="00D924EA" w:rsidRDefault="00D924E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50976" w14:textId="77777777" w:rsidR="00D924EA" w:rsidRDefault="00D924E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6A572" w14:textId="77777777" w:rsidR="00D924EA" w:rsidRDefault="00D924E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79F96" w14:textId="77777777" w:rsidR="00D924EA" w:rsidRDefault="00D924E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58CCD" w14:textId="77777777" w:rsidR="00D924EA" w:rsidRDefault="00D924E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C2A76" w14:textId="77777777" w:rsidR="00D924EA" w:rsidRDefault="00D924E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13DB3" w14:textId="77777777" w:rsidR="00D924EA" w:rsidRDefault="00D924E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BC64C" w14:textId="77777777" w:rsidR="00D924EA" w:rsidRDefault="00D924E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77DE8" w14:textId="77777777" w:rsidR="00D924EA" w:rsidRDefault="00D924E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17FF4" w14:textId="77777777" w:rsidR="00D924EA" w:rsidRDefault="00D924E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DB4DE" w14:textId="77777777" w:rsidR="00D924EA" w:rsidRDefault="00D924E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FF2C7" w14:textId="77777777" w:rsidR="00D924EA" w:rsidRDefault="00D924E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BC2A9" w14:textId="77777777" w:rsidR="00D924EA" w:rsidRDefault="00D924E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14EE7" w14:textId="77777777" w:rsidR="00D924EA" w:rsidRDefault="00D924E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04BB5" w14:textId="77777777" w:rsidR="00D924EA" w:rsidRDefault="00D924E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659AD" w14:textId="77777777" w:rsidR="00D924EA" w:rsidRDefault="00D924E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4CFEE" w14:textId="77777777" w:rsidR="00D924EA" w:rsidRDefault="00D924E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7A08" w14:textId="77777777" w:rsidR="00D924EA" w:rsidRDefault="00D924EA">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3D8AF" w14:textId="77777777" w:rsidR="00D924EA" w:rsidRDefault="00D924E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19298" w14:textId="77777777" w:rsidR="00D924EA" w:rsidRDefault="00D924E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EEF4F" w14:textId="77777777" w:rsidR="00D924EA" w:rsidRDefault="00D924EA">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327AD" w14:textId="77777777" w:rsidR="00D924EA" w:rsidRDefault="00D924E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C3654" w14:textId="77777777" w:rsidR="00D924EA" w:rsidRDefault="00D924E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2FCC3" w14:textId="77777777" w:rsidR="00D924EA" w:rsidRDefault="00D924EA">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B4DF" w14:textId="77777777" w:rsidR="00D924EA" w:rsidRDefault="00D924E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62F3B" w14:textId="77777777" w:rsidR="00D924EA" w:rsidRDefault="00D924E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C831A" w14:textId="77777777" w:rsidR="00D924EA" w:rsidRDefault="00D924EA">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2183B" w14:textId="77777777" w:rsidR="00D924EA" w:rsidRDefault="00D924E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20513" w14:textId="77777777" w:rsidR="00D924EA" w:rsidRDefault="00D924E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71B21" w14:textId="77777777" w:rsidR="00D924EA" w:rsidRDefault="00D924EA">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BBA00" w14:textId="77777777" w:rsidR="00D924EA" w:rsidRDefault="00D924E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B1847" w14:textId="77777777" w:rsidR="00D924EA" w:rsidRDefault="00D924E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512CB" w14:textId="77777777" w:rsidR="00D924EA" w:rsidRDefault="00D924EA">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CA274" w14:textId="77777777" w:rsidR="00D924EA" w:rsidRDefault="00D924E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72907" w14:textId="77777777" w:rsidR="00D924EA" w:rsidRDefault="00D924E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705DA" w14:textId="77777777" w:rsidR="00D924EA" w:rsidRDefault="00D924EA">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083C3" w14:textId="77777777" w:rsidR="00D924EA" w:rsidRDefault="00D924E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00889" w14:textId="77777777" w:rsidR="00D924EA" w:rsidRDefault="00D924E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6ECEA" w14:textId="77777777" w:rsidR="00D924EA" w:rsidRDefault="00D924EA">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C6B32" w14:textId="77777777" w:rsidR="00D924EA" w:rsidRDefault="00D924E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D0ABF" w14:textId="77777777" w:rsidR="00D924EA" w:rsidRDefault="00D924E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E58DF" w14:textId="77777777" w:rsidR="00D924EA" w:rsidRDefault="00D924EA">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B1F3F" w14:textId="77777777" w:rsidR="00D924EA" w:rsidRDefault="00D924E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74FD7" w14:textId="77777777" w:rsidR="00D924EA" w:rsidRDefault="00D924E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F7128" w14:textId="77777777" w:rsidR="00D924EA" w:rsidRDefault="00D924EA">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2A8D3" w14:textId="77777777" w:rsidR="00D924EA" w:rsidRDefault="00D924E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52244" w14:textId="77777777" w:rsidR="00D924EA" w:rsidRDefault="00D924E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F3842" w14:textId="77777777" w:rsidR="00D924EA" w:rsidRDefault="00D924EA">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98256" w14:textId="77777777" w:rsidR="00D924EA" w:rsidRDefault="00D924E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81091" w14:textId="77777777" w:rsidR="00D924EA" w:rsidRDefault="00D924E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BD3F0" w14:textId="77777777" w:rsidR="00D924EA" w:rsidRDefault="00D924EA">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A0E3A" w14:textId="77777777" w:rsidR="00D924EA" w:rsidRDefault="00D924E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F56A7" w14:textId="77777777" w:rsidR="00D924EA" w:rsidRDefault="00D924E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A5C2E" w14:textId="77777777" w:rsidR="00D924EA" w:rsidRDefault="00D924EA">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EA42B" w14:textId="77777777" w:rsidR="00D924EA" w:rsidRDefault="00D924E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5DED0" w14:textId="77777777" w:rsidR="00D924EA" w:rsidRDefault="00D924E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0A000" w14:textId="77777777" w:rsidR="00D924EA" w:rsidRDefault="00D924EA">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8FF20" w14:textId="77777777" w:rsidR="00D924EA" w:rsidRDefault="00D924E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8B208" w14:textId="77777777" w:rsidR="00D924EA" w:rsidRDefault="00D924E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BE665" w14:textId="77777777" w:rsidR="00D924EA" w:rsidRDefault="00D924EA">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84BE1" w14:textId="77777777" w:rsidR="00D924EA" w:rsidRDefault="00D924E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6AE95" w14:textId="77777777" w:rsidR="00D924EA" w:rsidRDefault="00D924E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1A207" w14:textId="77777777" w:rsidR="00D924EA" w:rsidRDefault="00D924EA">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C1967" w14:textId="77777777" w:rsidR="00D924EA" w:rsidRDefault="00D924E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60512" w14:textId="77777777" w:rsidR="00D924EA" w:rsidRDefault="00D924E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2BB13" w14:textId="77777777" w:rsidR="00D924EA" w:rsidRDefault="00D924EA">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6959A" w14:textId="77777777" w:rsidR="00D924EA" w:rsidRDefault="00D924E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4EC88" w14:textId="77777777" w:rsidR="00D924EA" w:rsidRDefault="00D924E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3812F" w14:textId="77777777" w:rsidR="00D924EA" w:rsidRDefault="00D924EA">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348B4" w14:textId="77777777" w:rsidR="00D924EA" w:rsidRDefault="00D924EA">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F1097" w14:textId="77777777" w:rsidR="00D924EA" w:rsidRDefault="00D924EA">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6A8D1" w14:textId="77777777" w:rsidR="00D924EA" w:rsidRDefault="00D924EA">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8F7A7" w14:textId="77777777" w:rsidR="00D924EA" w:rsidRDefault="00D924EA">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06201" w14:textId="77777777" w:rsidR="00D924EA" w:rsidRDefault="00D924EA">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13CB7" w14:textId="77777777" w:rsidR="00D924EA" w:rsidRDefault="00D924EA">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97BFD" w14:textId="77777777" w:rsidR="00D924EA" w:rsidRDefault="00D924EA">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0E518" w14:textId="77777777" w:rsidR="00D924EA" w:rsidRDefault="00D924EA">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5B3B9" w14:textId="77777777" w:rsidR="00D924EA" w:rsidRDefault="00D924EA">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33BE6" w14:textId="77777777" w:rsidR="00D924EA" w:rsidRDefault="00D924EA">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9C89C" w14:textId="77777777" w:rsidR="00D924EA" w:rsidRDefault="00D924EA">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56F45" w14:textId="77777777" w:rsidR="00D924EA" w:rsidRDefault="00D924EA">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67ECE" w14:textId="77777777" w:rsidR="00D924EA" w:rsidRDefault="00D924EA">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3E96F" w14:textId="77777777" w:rsidR="00D924EA" w:rsidRDefault="00D924EA">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6ED68" w14:textId="77777777" w:rsidR="00D924EA" w:rsidRDefault="00D924EA">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CBFFC" w14:textId="77777777" w:rsidR="00D924EA" w:rsidRDefault="00D924EA">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08BF7" w14:textId="77777777" w:rsidR="00D924EA" w:rsidRDefault="00D924EA">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F3CB7" w14:textId="77777777" w:rsidR="00D924EA" w:rsidRDefault="00D924EA">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7EB27" w14:textId="77777777" w:rsidR="00D924EA" w:rsidRDefault="00D924EA">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50DE5" w14:textId="77777777" w:rsidR="00011DE9" w:rsidRDefault="00011DE9">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173A2" w14:textId="77777777" w:rsidR="00011DE9" w:rsidRDefault="00011DE9">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7849C" w14:textId="77777777" w:rsidR="00011DE9" w:rsidRDefault="00011DE9">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0326A" w14:textId="77777777" w:rsidR="00011DE9" w:rsidRDefault="00011DE9">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03A5D" w14:textId="77777777" w:rsidR="00011DE9" w:rsidRDefault="00011DE9">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DAB75" w14:textId="77777777" w:rsidR="00011DE9" w:rsidRDefault="00011DE9">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2A9C4" w14:textId="77777777" w:rsidR="00011DE9" w:rsidRDefault="00011DE9">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B0A19" w14:textId="77777777" w:rsidR="00011DE9" w:rsidRDefault="00011DE9">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8FA31" w14:textId="77777777" w:rsidR="00011DE9" w:rsidRDefault="00011DE9">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19946" w14:textId="77777777" w:rsidR="00011DE9" w:rsidRDefault="00011DE9">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85DAE" w14:textId="77777777" w:rsidR="00011DE9" w:rsidRDefault="00011DE9">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CD7D4" w14:textId="77777777" w:rsidR="00011DE9" w:rsidRDefault="00011DE9">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60094" w14:textId="77777777" w:rsidR="00011DE9" w:rsidRDefault="00011DE9">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B5E3C" w14:textId="77777777" w:rsidR="00011DE9" w:rsidRDefault="00011DE9">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F3DFF" w14:textId="77777777" w:rsidR="00011DE9" w:rsidRDefault="00011DE9">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4FB8E" w14:textId="77777777" w:rsidR="00011DE9" w:rsidRDefault="00011DE9">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AB4AE" w14:textId="77777777" w:rsidR="00011DE9" w:rsidRDefault="00011DE9">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87D6" w14:textId="77777777" w:rsidR="00011DE9" w:rsidRDefault="00011DE9">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F972D" w14:textId="77777777" w:rsidR="00011DE9" w:rsidRDefault="00011DE9">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79472" w14:textId="77777777" w:rsidR="00011DE9" w:rsidRDefault="00011DE9">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10326" w14:textId="77777777" w:rsidR="00011DE9" w:rsidRDefault="00011DE9">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E3262" w14:textId="77777777" w:rsidR="00011DE9" w:rsidRDefault="00011DE9">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A9AA6" w14:textId="77777777" w:rsidR="00011DE9" w:rsidRDefault="00011DE9">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259AF" w14:textId="77777777" w:rsidR="00011DE9" w:rsidRDefault="00011DE9">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C60A4" w14:textId="77777777" w:rsidR="00011DE9" w:rsidRDefault="00011DE9">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71378" w14:textId="77777777" w:rsidR="00011DE9" w:rsidRDefault="00011DE9">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98C0B" w14:textId="77777777" w:rsidR="00011DE9" w:rsidRDefault="00011DE9">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81D1B" w14:textId="77777777" w:rsidR="00011DE9" w:rsidRDefault="00011DE9">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306BA" w14:textId="77777777" w:rsidR="00011DE9" w:rsidRDefault="00011DE9">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E30F7" w14:textId="77777777" w:rsidR="00011DE9" w:rsidRDefault="00011DE9">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90C19" w14:textId="77777777" w:rsidR="00011DE9" w:rsidRDefault="00011DE9">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30BEE" w14:textId="77777777" w:rsidR="00011DE9" w:rsidRDefault="00011DE9">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1E322" w14:textId="77777777" w:rsidR="00011DE9" w:rsidRDefault="00011DE9">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6B2E3" w14:textId="77777777" w:rsidR="00011DE9" w:rsidRDefault="00011DE9">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36931" w14:textId="77777777" w:rsidR="00011DE9" w:rsidRDefault="00011DE9">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0353E" w14:textId="77777777" w:rsidR="00011DE9" w:rsidRDefault="00011DE9">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BFE8A" w14:textId="77777777" w:rsidR="00011DE9" w:rsidRDefault="00011DE9">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3ED73" w14:textId="77777777" w:rsidR="00011DE9" w:rsidRDefault="00011DE9">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228F3" w14:textId="77777777" w:rsidR="00011DE9" w:rsidRDefault="00011DE9">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39B30" w14:textId="77777777" w:rsidR="00011DE9" w:rsidRDefault="00011DE9">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34DE6" w14:textId="77777777" w:rsidR="00011DE9" w:rsidRDefault="00011DE9">
    <w:pPr>
      <w:pStyle w:val="Header"/>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71004" w14:textId="77777777" w:rsidR="00011DE9" w:rsidRDefault="00011DE9">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03848" w14:textId="77777777" w:rsidR="00011DE9" w:rsidRDefault="00011DE9">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79609" w14:textId="77777777" w:rsidR="00011DE9" w:rsidRDefault="00011DE9">
    <w:pPr>
      <w:pStyle w:val="Header"/>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14F6F" w14:textId="77777777" w:rsidR="00011DE9" w:rsidRDefault="00011DE9">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C4E0D" w14:textId="77777777" w:rsidR="00011DE9" w:rsidRDefault="00011DE9">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20D05" w14:textId="77777777" w:rsidR="00011DE9" w:rsidRDefault="00011DE9">
    <w:pPr>
      <w:pStyle w:val="Header"/>
    </w:pP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70300" w14:textId="77777777" w:rsidR="00011DE9" w:rsidRDefault="00011DE9">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84640" w14:textId="77777777" w:rsidR="00011DE9" w:rsidRDefault="00011DE9">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C2F1E" w14:textId="77777777" w:rsidR="00011DE9" w:rsidRDefault="00011DE9">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1B201" w14:textId="77777777" w:rsidR="00011DE9" w:rsidRDefault="00011DE9">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D48AA" w14:textId="77777777" w:rsidR="00011DE9" w:rsidRDefault="00011DE9">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D550C" w14:textId="77777777" w:rsidR="00011DE9" w:rsidRDefault="00011DE9">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15DA9" w14:textId="77777777" w:rsidR="00011DE9" w:rsidRDefault="00011DE9">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0A4AC" w14:textId="77777777" w:rsidR="00011DE9" w:rsidRDefault="00011DE9">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91AED" w14:textId="77777777" w:rsidR="00011DE9" w:rsidRDefault="00011DE9">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F98F7" w14:textId="77777777" w:rsidR="00011DE9" w:rsidRDefault="00011DE9">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6B69E" w14:textId="77777777" w:rsidR="00011DE9" w:rsidRDefault="00011DE9">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D9C37" w14:textId="77777777" w:rsidR="00011DE9" w:rsidRDefault="00011DE9">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B3F24" w14:textId="77777777" w:rsidR="00011DE9" w:rsidRDefault="00011DE9">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B4787" w14:textId="77777777" w:rsidR="00011DE9" w:rsidRDefault="00011DE9">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70B24" w14:textId="77777777" w:rsidR="00011DE9" w:rsidRDefault="00011DE9">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89E21" w14:textId="77777777" w:rsidR="00011DE9" w:rsidRDefault="00011DE9">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C07F6" w14:textId="77777777" w:rsidR="00011DE9" w:rsidRDefault="00011DE9">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E2E21" w14:textId="77777777" w:rsidR="00011DE9" w:rsidRDefault="00011DE9">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C5546" w14:textId="77777777" w:rsidR="00011DE9" w:rsidRDefault="00011DE9">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AF649" w14:textId="77777777" w:rsidR="00011DE9" w:rsidRDefault="00011DE9">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5983B" w14:textId="77777777" w:rsidR="00011DE9" w:rsidRDefault="00011DE9">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02D4E" w14:textId="77777777" w:rsidR="00011DE9" w:rsidRDefault="00011DE9">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1A69E" w14:textId="77777777" w:rsidR="00011DE9" w:rsidRDefault="00011DE9">
    <w:pPr>
      <w:pStyle w:val="Header"/>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9E6DE" w14:textId="77777777" w:rsidR="00011DE9" w:rsidRDefault="00011DE9">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FDCA4" w14:textId="77777777" w:rsidR="00011DE9" w:rsidRDefault="00011DE9">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D7097" w14:textId="77777777" w:rsidR="00011DE9" w:rsidRDefault="00011DE9">
    <w:pPr>
      <w:pStyle w:val="Header"/>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BA69F" w14:textId="77777777" w:rsidR="00011DE9" w:rsidRDefault="00011DE9">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97126" w14:textId="77777777" w:rsidR="00011DE9" w:rsidRDefault="00011DE9">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4C7F5" w14:textId="77777777" w:rsidR="00011DE9" w:rsidRDefault="00011DE9">
    <w:pPr>
      <w:pStyle w:val="Header"/>
    </w:pP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E64EF" w14:textId="77777777" w:rsidR="00011DE9" w:rsidRDefault="00011DE9">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4102B" w14:textId="77777777" w:rsidR="00011DE9" w:rsidRDefault="00011DE9">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9517E" w14:textId="77777777" w:rsidR="00011DE9" w:rsidRDefault="00011DE9">
    <w:pPr>
      <w:pStyle w:val="Header"/>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2C6E4" w14:textId="77777777" w:rsidR="00011DE9" w:rsidRDefault="00011DE9">
    <w:pPr>
      <w:pStyle w:val="Header"/>
    </w:pP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D9DD7" w14:textId="77777777" w:rsidR="00011DE9" w:rsidRDefault="00011DE9">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B2F29" w14:textId="77777777" w:rsidR="00011DE9" w:rsidRDefault="00011DE9">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3747B" w14:textId="77777777" w:rsidR="00011DE9" w:rsidRDefault="00011DE9">
    <w:pPr>
      <w:pStyle w:val="Header"/>
    </w:pP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EBEBA" w14:textId="77777777" w:rsidR="00011DE9" w:rsidRDefault="00011DE9">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A4976" w14:textId="77777777" w:rsidR="00011DE9" w:rsidRDefault="00011DE9">
    <w:pPr>
      <w:pStyle w:val="Header"/>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2E370" w14:textId="77777777" w:rsidR="00011DE9" w:rsidRDefault="00011DE9">
    <w:pPr>
      <w:pStyle w:val="Header"/>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0D753" w14:textId="77777777" w:rsidR="00011DE9" w:rsidRDefault="00011DE9">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93FFD" w14:textId="77777777" w:rsidR="00011DE9" w:rsidRDefault="00011DE9">
    <w:pPr>
      <w:pStyle w:val="Header"/>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35A90" w14:textId="77777777" w:rsidR="00011DE9" w:rsidRDefault="00011DE9">
    <w:pPr>
      <w:pStyle w:val="Header"/>
    </w:pP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90A31" w14:textId="77777777" w:rsidR="00011DE9" w:rsidRDefault="00011DE9">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81A72" w14:textId="77777777" w:rsidR="00011DE9" w:rsidRDefault="00011DE9">
    <w:pPr>
      <w:pStyle w:val="Header"/>
    </w:pP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31B37" w14:textId="77777777" w:rsidR="00011DE9" w:rsidRDefault="00011DE9">
    <w:pPr>
      <w:pStyle w:val="Header"/>
    </w:pP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F8E67" w14:textId="77777777" w:rsidR="00011DE9" w:rsidRDefault="00011DE9">
    <w:pPr>
      <w:pStyle w:val="Header"/>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5B752" w14:textId="77777777" w:rsidR="00011DE9" w:rsidRDefault="00011DE9">
    <w:pPr>
      <w:pStyle w:val="Header"/>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67F79" w14:textId="77777777" w:rsidR="00011DE9" w:rsidRDefault="00011DE9">
    <w:pPr>
      <w:pStyle w:val="Header"/>
    </w:pP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47D23" w14:textId="77777777" w:rsidR="00011DE9" w:rsidRDefault="00011DE9">
    <w:pPr>
      <w:pStyle w:val="Header"/>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94C8A" w14:textId="77777777" w:rsidR="00011DE9" w:rsidRDefault="00011DE9">
    <w:pPr>
      <w:pStyle w:val="Header"/>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31B57" w14:textId="77777777" w:rsidR="00011DE9" w:rsidRDefault="00011DE9">
    <w:pPr>
      <w:pStyle w:val="Header"/>
    </w:pP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12671" w14:textId="77777777" w:rsidR="00011DE9" w:rsidRDefault="00011DE9">
    <w:pPr>
      <w:pStyle w:val="Header"/>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46B2F" w14:textId="77777777" w:rsidR="00011DE9" w:rsidRDefault="00011DE9">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6222C" w14:textId="77777777" w:rsidR="00011DE9" w:rsidRDefault="00011DE9">
    <w:pPr>
      <w:pStyle w:val="Header"/>
    </w:pP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E2C6A" w14:textId="77777777" w:rsidR="00011DE9" w:rsidRDefault="00011DE9">
    <w:pPr>
      <w:pStyle w:val="Header"/>
    </w:pP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7DC57" w14:textId="77777777" w:rsidR="00011DE9" w:rsidRDefault="00011DE9">
    <w:pPr>
      <w:pStyle w:val="Header"/>
    </w:pP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DFA39" w14:textId="77777777" w:rsidR="00011DE9" w:rsidRDefault="00011DE9">
    <w:pPr>
      <w:pStyle w:val="Header"/>
      <w:jc w:val="center"/>
    </w:pPr>
  </w:p>
  <w:p w14:paraId="09E51714" w14:textId="77777777" w:rsidR="00011DE9" w:rsidRDefault="00011DE9">
    <w:pPr>
      <w:pStyle w:val="Header"/>
    </w:pP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B272F" w14:textId="77777777" w:rsidR="00011DE9" w:rsidRDefault="00011DE9">
    <w:pPr>
      <w:pStyle w:val="Header"/>
    </w:pP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E3A17" w14:textId="77777777" w:rsidR="00011DE9" w:rsidRDefault="00011DE9">
    <w:pPr>
      <w:pStyle w:val="Header"/>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874EA" w14:textId="77777777" w:rsidR="00011DE9" w:rsidRDefault="00011DE9">
    <w:pPr>
      <w:pStyle w:val="Header"/>
    </w:pP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6B03F" w14:textId="77777777" w:rsidR="00011DE9" w:rsidRDefault="00011DE9">
    <w:pPr>
      <w:pStyle w:val="Header"/>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B29D5" w14:textId="77777777" w:rsidR="00011DE9" w:rsidRDefault="00011DE9">
    <w:pPr>
      <w:pStyle w:val="Header"/>
    </w:pP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E757D" w14:textId="77777777" w:rsidR="00011DE9" w:rsidRDefault="00011DE9">
    <w:pPr>
      <w:pStyle w:val="Header"/>
    </w:pP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7278E" w14:textId="77777777" w:rsidR="00011DE9" w:rsidRDefault="00011DE9">
    <w:pPr>
      <w:pStyle w:val="Header"/>
    </w:pPr>
  </w:p>
</w:hdr>
</file>

<file path=word/header2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97E11" w14:textId="77777777" w:rsidR="00011DE9" w:rsidRDefault="00011DE9">
    <w:pPr>
      <w:pStyle w:val="Header"/>
      <w:jc w:val="center"/>
    </w:pPr>
  </w:p>
  <w:p w14:paraId="1E35F3E5" w14:textId="77777777" w:rsidR="00011DE9" w:rsidRDefault="00011DE9">
    <w:pPr>
      <w:pStyle w:val="Header"/>
    </w:pPr>
  </w:p>
</w:hdr>
</file>

<file path=word/header2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01209" w14:textId="77777777" w:rsidR="00011DE9" w:rsidRDefault="00011DE9">
    <w:pPr>
      <w:pStyle w:val="Header"/>
    </w:pPr>
  </w:p>
</w:hdr>
</file>

<file path=word/header2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C529B" w14:textId="77777777" w:rsidR="00011DE9" w:rsidRDefault="00011DE9">
    <w:pPr>
      <w:pStyle w:val="Header"/>
    </w:pPr>
  </w:p>
</w:hdr>
</file>

<file path=word/header2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94604" w14:textId="77777777" w:rsidR="00011DE9" w:rsidRDefault="00011DE9">
    <w:pPr>
      <w:pStyle w:val="Header"/>
    </w:pPr>
  </w:p>
</w:hdr>
</file>

<file path=word/header2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394AE" w14:textId="77777777" w:rsidR="00011DE9" w:rsidRDefault="00011DE9">
    <w:pPr>
      <w:pStyle w:val="Header"/>
    </w:pPr>
  </w:p>
</w:hdr>
</file>

<file path=word/header2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DBD75" w14:textId="77777777" w:rsidR="00011DE9" w:rsidRDefault="00011DE9">
    <w:pPr>
      <w:pStyle w:val="Header"/>
    </w:pPr>
  </w:p>
</w:hdr>
</file>

<file path=word/header2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0BB44" w14:textId="77777777" w:rsidR="00011DE9" w:rsidRDefault="00011DE9">
    <w:pPr>
      <w:pStyle w:val="Header"/>
    </w:pPr>
  </w:p>
</w:hdr>
</file>

<file path=word/header2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AEA82" w14:textId="77777777" w:rsidR="00011DE9" w:rsidRDefault="00011DE9">
    <w:pPr>
      <w:pStyle w:val="Header"/>
    </w:pPr>
  </w:p>
</w:hdr>
</file>

<file path=word/header2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3FFEE" w14:textId="77777777" w:rsidR="00011DE9" w:rsidRDefault="00011DE9">
    <w:pPr>
      <w:pStyle w:val="Header"/>
    </w:pPr>
  </w:p>
</w:hdr>
</file>

<file path=word/header2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BF584" w14:textId="77777777" w:rsidR="00011DE9" w:rsidRDefault="00011DE9">
    <w:pPr>
      <w:pStyle w:val="Header"/>
    </w:pPr>
  </w:p>
</w:hdr>
</file>

<file path=word/header2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0BEE9" w14:textId="77777777" w:rsidR="00011DE9" w:rsidRDefault="00011DE9">
    <w:pPr>
      <w:pStyle w:val="Header"/>
    </w:pPr>
  </w:p>
</w:hdr>
</file>

<file path=word/header2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3AD4E" w14:textId="77777777" w:rsidR="00011DE9" w:rsidRDefault="00011D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9189F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4A61CD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000A9C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9587EC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6B68E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6C082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EB79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2544C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3D8C6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5845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17A79"/>
    <w:multiLevelType w:val="hybridMultilevel"/>
    <w:tmpl w:val="B1C8EDC6"/>
    <w:lvl w:ilvl="0" w:tplc="35DC93F8">
      <w:start w:val="1"/>
      <w:numFmt w:val="lowerRoman"/>
      <w:lvlText w:val="%1."/>
      <w:lvlJc w:val="right"/>
      <w:pPr>
        <w:ind w:left="720" w:hanging="360"/>
      </w:pPr>
    </w:lvl>
    <w:lvl w:ilvl="1" w:tplc="26DAC0E0" w:tentative="1">
      <w:start w:val="1"/>
      <w:numFmt w:val="bullet"/>
      <w:lvlText w:val="o"/>
      <w:lvlJc w:val="left"/>
      <w:pPr>
        <w:ind w:left="1440" w:hanging="360"/>
      </w:pPr>
      <w:rPr>
        <w:rFonts w:ascii="Courier New" w:hAnsi="Courier New" w:hint="default"/>
      </w:rPr>
    </w:lvl>
    <w:lvl w:ilvl="2" w:tplc="C172E0E6" w:tentative="1">
      <w:start w:val="1"/>
      <w:numFmt w:val="bullet"/>
      <w:lvlText w:val=""/>
      <w:lvlJc w:val="left"/>
      <w:pPr>
        <w:ind w:left="2160" w:hanging="360"/>
      </w:pPr>
      <w:rPr>
        <w:rFonts w:ascii="Cambria Math" w:hAnsi="Cambria Math" w:hint="default"/>
      </w:rPr>
    </w:lvl>
    <w:lvl w:ilvl="3" w:tplc="78A255BC" w:tentative="1">
      <w:start w:val="1"/>
      <w:numFmt w:val="bullet"/>
      <w:lvlText w:val=""/>
      <w:lvlJc w:val="left"/>
      <w:pPr>
        <w:ind w:left="2880" w:hanging="360"/>
      </w:pPr>
      <w:rPr>
        <w:rFonts w:ascii="Segoe UI" w:hAnsi="Segoe UI" w:hint="default"/>
      </w:rPr>
    </w:lvl>
    <w:lvl w:ilvl="4" w:tplc="A18AD784" w:tentative="1">
      <w:start w:val="1"/>
      <w:numFmt w:val="bullet"/>
      <w:lvlText w:val="o"/>
      <w:lvlJc w:val="left"/>
      <w:pPr>
        <w:ind w:left="3600" w:hanging="360"/>
      </w:pPr>
      <w:rPr>
        <w:rFonts w:ascii="Courier New" w:hAnsi="Courier New" w:hint="default"/>
      </w:rPr>
    </w:lvl>
    <w:lvl w:ilvl="5" w:tplc="7F58FB92" w:tentative="1">
      <w:start w:val="1"/>
      <w:numFmt w:val="bullet"/>
      <w:lvlText w:val=""/>
      <w:lvlJc w:val="left"/>
      <w:pPr>
        <w:ind w:left="4320" w:hanging="360"/>
      </w:pPr>
      <w:rPr>
        <w:rFonts w:ascii="Cambria Math" w:hAnsi="Cambria Math" w:hint="default"/>
      </w:rPr>
    </w:lvl>
    <w:lvl w:ilvl="6" w:tplc="DC24FE2A" w:tentative="1">
      <w:start w:val="1"/>
      <w:numFmt w:val="bullet"/>
      <w:lvlText w:val=""/>
      <w:lvlJc w:val="left"/>
      <w:pPr>
        <w:ind w:left="5040" w:hanging="360"/>
      </w:pPr>
      <w:rPr>
        <w:rFonts w:ascii="Segoe UI" w:hAnsi="Segoe UI" w:hint="default"/>
      </w:rPr>
    </w:lvl>
    <w:lvl w:ilvl="7" w:tplc="5D1464E4" w:tentative="1">
      <w:start w:val="1"/>
      <w:numFmt w:val="bullet"/>
      <w:lvlText w:val="o"/>
      <w:lvlJc w:val="left"/>
      <w:pPr>
        <w:ind w:left="5760" w:hanging="360"/>
      </w:pPr>
      <w:rPr>
        <w:rFonts w:ascii="Courier New" w:hAnsi="Courier New" w:hint="default"/>
      </w:rPr>
    </w:lvl>
    <w:lvl w:ilvl="8" w:tplc="F4CAB448" w:tentative="1">
      <w:start w:val="1"/>
      <w:numFmt w:val="bullet"/>
      <w:lvlText w:val=""/>
      <w:lvlJc w:val="left"/>
      <w:pPr>
        <w:ind w:left="6480" w:hanging="360"/>
      </w:pPr>
      <w:rPr>
        <w:rFonts w:ascii="Cambria Math" w:hAnsi="Cambria Math" w:hint="default"/>
      </w:rPr>
    </w:lvl>
  </w:abstractNum>
  <w:abstractNum w:abstractNumId="11" w15:restartNumberingAfterBreak="0">
    <w:nsid w:val="00BFE2A1"/>
    <w:multiLevelType w:val="hybridMultilevel"/>
    <w:tmpl w:val="FFFFFFFF"/>
    <w:lvl w:ilvl="0" w:tplc="086C97F6">
      <w:start w:val="1"/>
      <w:numFmt w:val="bullet"/>
      <w:lvlText w:val="-"/>
      <w:lvlJc w:val="left"/>
      <w:pPr>
        <w:ind w:left="720" w:hanging="360"/>
      </w:pPr>
      <w:rPr>
        <w:rFonts w:ascii="Aptos" w:hAnsi="Aptos" w:hint="default"/>
      </w:rPr>
    </w:lvl>
    <w:lvl w:ilvl="1" w:tplc="4002F83C">
      <w:start w:val="1"/>
      <w:numFmt w:val="bullet"/>
      <w:lvlText w:val="o"/>
      <w:lvlJc w:val="left"/>
      <w:pPr>
        <w:ind w:left="1440" w:hanging="360"/>
      </w:pPr>
      <w:rPr>
        <w:rFonts w:ascii="Courier New" w:hAnsi="Courier New" w:hint="default"/>
      </w:rPr>
    </w:lvl>
    <w:lvl w:ilvl="2" w:tplc="E15AF3E0">
      <w:start w:val="1"/>
      <w:numFmt w:val="bullet"/>
      <w:lvlText w:val=""/>
      <w:lvlJc w:val="left"/>
      <w:pPr>
        <w:ind w:left="2160" w:hanging="360"/>
      </w:pPr>
      <w:rPr>
        <w:rFonts w:ascii="Wingdings" w:hAnsi="Wingdings" w:hint="default"/>
      </w:rPr>
    </w:lvl>
    <w:lvl w:ilvl="3" w:tplc="9C84E2E6">
      <w:start w:val="1"/>
      <w:numFmt w:val="bullet"/>
      <w:lvlText w:val=""/>
      <w:lvlJc w:val="left"/>
      <w:pPr>
        <w:ind w:left="2880" w:hanging="360"/>
      </w:pPr>
      <w:rPr>
        <w:rFonts w:ascii="Symbol" w:hAnsi="Symbol" w:hint="default"/>
      </w:rPr>
    </w:lvl>
    <w:lvl w:ilvl="4" w:tplc="3BC436DC">
      <w:start w:val="1"/>
      <w:numFmt w:val="bullet"/>
      <w:lvlText w:val="o"/>
      <w:lvlJc w:val="left"/>
      <w:pPr>
        <w:ind w:left="3600" w:hanging="360"/>
      </w:pPr>
      <w:rPr>
        <w:rFonts w:ascii="Courier New" w:hAnsi="Courier New" w:hint="default"/>
      </w:rPr>
    </w:lvl>
    <w:lvl w:ilvl="5" w:tplc="E78A484C">
      <w:start w:val="1"/>
      <w:numFmt w:val="bullet"/>
      <w:lvlText w:val=""/>
      <w:lvlJc w:val="left"/>
      <w:pPr>
        <w:ind w:left="4320" w:hanging="360"/>
      </w:pPr>
      <w:rPr>
        <w:rFonts w:ascii="Wingdings" w:hAnsi="Wingdings" w:hint="default"/>
      </w:rPr>
    </w:lvl>
    <w:lvl w:ilvl="6" w:tplc="12F251AC">
      <w:start w:val="1"/>
      <w:numFmt w:val="bullet"/>
      <w:lvlText w:val=""/>
      <w:lvlJc w:val="left"/>
      <w:pPr>
        <w:ind w:left="5040" w:hanging="360"/>
      </w:pPr>
      <w:rPr>
        <w:rFonts w:ascii="Symbol" w:hAnsi="Symbol" w:hint="default"/>
      </w:rPr>
    </w:lvl>
    <w:lvl w:ilvl="7" w:tplc="A08E05DA">
      <w:start w:val="1"/>
      <w:numFmt w:val="bullet"/>
      <w:lvlText w:val="o"/>
      <w:lvlJc w:val="left"/>
      <w:pPr>
        <w:ind w:left="5760" w:hanging="360"/>
      </w:pPr>
      <w:rPr>
        <w:rFonts w:ascii="Courier New" w:hAnsi="Courier New" w:hint="default"/>
      </w:rPr>
    </w:lvl>
    <w:lvl w:ilvl="8" w:tplc="E56C277E">
      <w:start w:val="1"/>
      <w:numFmt w:val="bullet"/>
      <w:lvlText w:val=""/>
      <w:lvlJc w:val="left"/>
      <w:pPr>
        <w:ind w:left="6480" w:hanging="360"/>
      </w:pPr>
      <w:rPr>
        <w:rFonts w:ascii="Wingdings" w:hAnsi="Wingdings" w:hint="default"/>
      </w:rPr>
    </w:lvl>
  </w:abstractNum>
  <w:abstractNum w:abstractNumId="12" w15:restartNumberingAfterBreak="0">
    <w:nsid w:val="01CF0F7B"/>
    <w:multiLevelType w:val="hybridMultilevel"/>
    <w:tmpl w:val="8E643414"/>
    <w:lvl w:ilvl="0" w:tplc="1934333E">
      <w:start w:val="1"/>
      <w:numFmt w:val="bullet"/>
      <w:lvlText w:val=""/>
      <w:lvlJc w:val="left"/>
      <w:pPr>
        <w:ind w:left="720" w:hanging="360"/>
      </w:pPr>
      <w:rPr>
        <w:rFonts w:ascii="Symbol" w:hAnsi="Symbol" w:hint="default"/>
        <w:b/>
        <w:bCs/>
      </w:rPr>
    </w:lvl>
    <w:lvl w:ilvl="1" w:tplc="59ACB2AE">
      <w:start w:val="1"/>
      <w:numFmt w:val="lowerLetter"/>
      <w:lvlText w:val="%2."/>
      <w:lvlJc w:val="left"/>
      <w:pPr>
        <w:ind w:left="1440" w:hanging="360"/>
      </w:pPr>
    </w:lvl>
    <w:lvl w:ilvl="2" w:tplc="2ED4FC3A" w:tentative="1">
      <w:start w:val="1"/>
      <w:numFmt w:val="bullet"/>
      <w:lvlText w:val=""/>
      <w:lvlJc w:val="left"/>
      <w:pPr>
        <w:ind w:left="2160" w:hanging="360"/>
      </w:pPr>
      <w:rPr>
        <w:rFonts w:ascii="Wingdings" w:hAnsi="Wingdings" w:hint="default"/>
      </w:rPr>
    </w:lvl>
    <w:lvl w:ilvl="3" w:tplc="FC8C50E8" w:tentative="1">
      <w:start w:val="1"/>
      <w:numFmt w:val="bullet"/>
      <w:lvlText w:val=""/>
      <w:lvlJc w:val="left"/>
      <w:pPr>
        <w:ind w:left="2880" w:hanging="360"/>
      </w:pPr>
      <w:rPr>
        <w:rFonts w:ascii="Symbol" w:hAnsi="Symbol" w:hint="default"/>
      </w:rPr>
    </w:lvl>
    <w:lvl w:ilvl="4" w:tplc="3AF8C656" w:tentative="1">
      <w:start w:val="1"/>
      <w:numFmt w:val="bullet"/>
      <w:lvlText w:val="o"/>
      <w:lvlJc w:val="left"/>
      <w:pPr>
        <w:ind w:left="3600" w:hanging="360"/>
      </w:pPr>
      <w:rPr>
        <w:rFonts w:ascii="Courier New" w:hAnsi="Courier New" w:hint="default"/>
      </w:rPr>
    </w:lvl>
    <w:lvl w:ilvl="5" w:tplc="5474585C" w:tentative="1">
      <w:start w:val="1"/>
      <w:numFmt w:val="bullet"/>
      <w:lvlText w:val=""/>
      <w:lvlJc w:val="left"/>
      <w:pPr>
        <w:ind w:left="4320" w:hanging="360"/>
      </w:pPr>
      <w:rPr>
        <w:rFonts w:ascii="Wingdings" w:hAnsi="Wingdings" w:hint="default"/>
      </w:rPr>
    </w:lvl>
    <w:lvl w:ilvl="6" w:tplc="2C3424CA" w:tentative="1">
      <w:start w:val="1"/>
      <w:numFmt w:val="bullet"/>
      <w:lvlText w:val=""/>
      <w:lvlJc w:val="left"/>
      <w:pPr>
        <w:ind w:left="5040" w:hanging="360"/>
      </w:pPr>
      <w:rPr>
        <w:rFonts w:ascii="Symbol" w:hAnsi="Symbol" w:hint="default"/>
      </w:rPr>
    </w:lvl>
    <w:lvl w:ilvl="7" w:tplc="E26CC486" w:tentative="1">
      <w:start w:val="1"/>
      <w:numFmt w:val="bullet"/>
      <w:lvlText w:val="o"/>
      <w:lvlJc w:val="left"/>
      <w:pPr>
        <w:ind w:left="5760" w:hanging="360"/>
      </w:pPr>
      <w:rPr>
        <w:rFonts w:ascii="Courier New" w:hAnsi="Courier New" w:hint="default"/>
      </w:rPr>
    </w:lvl>
    <w:lvl w:ilvl="8" w:tplc="E96C514A" w:tentative="1">
      <w:start w:val="1"/>
      <w:numFmt w:val="bullet"/>
      <w:lvlText w:val=""/>
      <w:lvlJc w:val="left"/>
      <w:pPr>
        <w:ind w:left="6480" w:hanging="360"/>
      </w:pPr>
      <w:rPr>
        <w:rFonts w:ascii="Wingdings" w:hAnsi="Wingdings" w:hint="default"/>
      </w:rPr>
    </w:lvl>
  </w:abstractNum>
  <w:abstractNum w:abstractNumId="13" w15:restartNumberingAfterBreak="0">
    <w:nsid w:val="01E15330"/>
    <w:multiLevelType w:val="hybridMultilevel"/>
    <w:tmpl w:val="85F45C06"/>
    <w:lvl w:ilvl="0" w:tplc="08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23E2662"/>
    <w:multiLevelType w:val="hybridMultilevel"/>
    <w:tmpl w:val="8A30D2AE"/>
    <w:lvl w:ilvl="0" w:tplc="701AEEEE">
      <w:start w:val="1"/>
      <w:numFmt w:val="bullet"/>
      <w:lvlText w:val=""/>
      <w:lvlJc w:val="left"/>
      <w:pPr>
        <w:ind w:left="720" w:hanging="360"/>
      </w:pPr>
      <w:rPr>
        <w:rFonts w:ascii="Segoe UI" w:hAnsi="Segoe UI" w:hint="default"/>
      </w:rPr>
    </w:lvl>
    <w:lvl w:ilvl="1" w:tplc="E376D1C2" w:tentative="1">
      <w:start w:val="1"/>
      <w:numFmt w:val="bullet"/>
      <w:lvlText w:val="o"/>
      <w:lvlJc w:val="left"/>
      <w:pPr>
        <w:ind w:left="1440" w:hanging="360"/>
      </w:pPr>
      <w:rPr>
        <w:rFonts w:ascii="Courier New" w:hAnsi="Courier New" w:hint="default"/>
      </w:rPr>
    </w:lvl>
    <w:lvl w:ilvl="2" w:tplc="79B0D7B8" w:tentative="1">
      <w:start w:val="1"/>
      <w:numFmt w:val="bullet"/>
      <w:lvlText w:val=""/>
      <w:lvlJc w:val="left"/>
      <w:pPr>
        <w:ind w:left="2160" w:hanging="360"/>
      </w:pPr>
      <w:rPr>
        <w:rFonts w:ascii="Cambria Math" w:hAnsi="Cambria Math" w:hint="default"/>
      </w:rPr>
    </w:lvl>
    <w:lvl w:ilvl="3" w:tplc="29D05B8A" w:tentative="1">
      <w:start w:val="1"/>
      <w:numFmt w:val="bullet"/>
      <w:lvlText w:val=""/>
      <w:lvlJc w:val="left"/>
      <w:pPr>
        <w:ind w:left="2880" w:hanging="360"/>
      </w:pPr>
      <w:rPr>
        <w:rFonts w:ascii="Segoe UI" w:hAnsi="Segoe UI" w:hint="default"/>
      </w:rPr>
    </w:lvl>
    <w:lvl w:ilvl="4" w:tplc="1EC49054" w:tentative="1">
      <w:start w:val="1"/>
      <w:numFmt w:val="bullet"/>
      <w:lvlText w:val="o"/>
      <w:lvlJc w:val="left"/>
      <w:pPr>
        <w:ind w:left="3600" w:hanging="360"/>
      </w:pPr>
      <w:rPr>
        <w:rFonts w:ascii="Courier New" w:hAnsi="Courier New" w:hint="default"/>
      </w:rPr>
    </w:lvl>
    <w:lvl w:ilvl="5" w:tplc="6ACA2014" w:tentative="1">
      <w:start w:val="1"/>
      <w:numFmt w:val="bullet"/>
      <w:lvlText w:val=""/>
      <w:lvlJc w:val="left"/>
      <w:pPr>
        <w:ind w:left="4320" w:hanging="360"/>
      </w:pPr>
      <w:rPr>
        <w:rFonts w:ascii="Cambria Math" w:hAnsi="Cambria Math" w:hint="default"/>
      </w:rPr>
    </w:lvl>
    <w:lvl w:ilvl="6" w:tplc="F4168344" w:tentative="1">
      <w:start w:val="1"/>
      <w:numFmt w:val="bullet"/>
      <w:lvlText w:val=""/>
      <w:lvlJc w:val="left"/>
      <w:pPr>
        <w:ind w:left="5040" w:hanging="360"/>
      </w:pPr>
      <w:rPr>
        <w:rFonts w:ascii="Segoe UI" w:hAnsi="Segoe UI" w:hint="default"/>
      </w:rPr>
    </w:lvl>
    <w:lvl w:ilvl="7" w:tplc="2656F914" w:tentative="1">
      <w:start w:val="1"/>
      <w:numFmt w:val="bullet"/>
      <w:lvlText w:val="o"/>
      <w:lvlJc w:val="left"/>
      <w:pPr>
        <w:ind w:left="5760" w:hanging="360"/>
      </w:pPr>
      <w:rPr>
        <w:rFonts w:ascii="Courier New" w:hAnsi="Courier New" w:hint="default"/>
      </w:rPr>
    </w:lvl>
    <w:lvl w:ilvl="8" w:tplc="F716C38A" w:tentative="1">
      <w:start w:val="1"/>
      <w:numFmt w:val="bullet"/>
      <w:lvlText w:val=""/>
      <w:lvlJc w:val="left"/>
      <w:pPr>
        <w:ind w:left="6480" w:hanging="360"/>
      </w:pPr>
      <w:rPr>
        <w:rFonts w:ascii="Cambria Math" w:hAnsi="Cambria Math" w:hint="default"/>
      </w:rPr>
    </w:lvl>
  </w:abstractNum>
  <w:abstractNum w:abstractNumId="15" w15:restartNumberingAfterBreak="0">
    <w:nsid w:val="028A27D7"/>
    <w:multiLevelType w:val="hybridMultilevel"/>
    <w:tmpl w:val="39B426FC"/>
    <w:lvl w:ilvl="0" w:tplc="07C21E56">
      <w:start w:val="1"/>
      <w:numFmt w:val="decimal"/>
      <w:lvlText w:val="%1."/>
      <w:lvlJc w:val="left"/>
      <w:pPr>
        <w:ind w:left="720" w:hanging="360"/>
      </w:pPr>
    </w:lvl>
    <w:lvl w:ilvl="1" w:tplc="3BD6ECC2">
      <w:start w:val="1"/>
      <w:numFmt w:val="decimal"/>
      <w:lvlText w:val="%2."/>
      <w:lvlJc w:val="left"/>
      <w:pPr>
        <w:ind w:left="720" w:hanging="360"/>
      </w:pPr>
    </w:lvl>
    <w:lvl w:ilvl="2" w:tplc="5C48A956">
      <w:start w:val="1"/>
      <w:numFmt w:val="decimal"/>
      <w:lvlText w:val="%3."/>
      <w:lvlJc w:val="left"/>
      <w:pPr>
        <w:ind w:left="720" w:hanging="360"/>
      </w:pPr>
    </w:lvl>
    <w:lvl w:ilvl="3" w:tplc="D1FE7864">
      <w:start w:val="1"/>
      <w:numFmt w:val="decimal"/>
      <w:lvlText w:val="%4."/>
      <w:lvlJc w:val="left"/>
      <w:pPr>
        <w:ind w:left="720" w:hanging="360"/>
      </w:pPr>
    </w:lvl>
    <w:lvl w:ilvl="4" w:tplc="39EEB52A">
      <w:start w:val="1"/>
      <w:numFmt w:val="decimal"/>
      <w:lvlText w:val="%5."/>
      <w:lvlJc w:val="left"/>
      <w:pPr>
        <w:ind w:left="720" w:hanging="360"/>
      </w:pPr>
    </w:lvl>
    <w:lvl w:ilvl="5" w:tplc="853CCE56">
      <w:start w:val="1"/>
      <w:numFmt w:val="decimal"/>
      <w:lvlText w:val="%6."/>
      <w:lvlJc w:val="left"/>
      <w:pPr>
        <w:ind w:left="720" w:hanging="360"/>
      </w:pPr>
    </w:lvl>
    <w:lvl w:ilvl="6" w:tplc="6778DA6A">
      <w:start w:val="1"/>
      <w:numFmt w:val="decimal"/>
      <w:lvlText w:val="%7."/>
      <w:lvlJc w:val="left"/>
      <w:pPr>
        <w:ind w:left="720" w:hanging="360"/>
      </w:pPr>
    </w:lvl>
    <w:lvl w:ilvl="7" w:tplc="A650DC36">
      <w:start w:val="1"/>
      <w:numFmt w:val="decimal"/>
      <w:lvlText w:val="%8."/>
      <w:lvlJc w:val="left"/>
      <w:pPr>
        <w:ind w:left="720" w:hanging="360"/>
      </w:pPr>
    </w:lvl>
    <w:lvl w:ilvl="8" w:tplc="A982576E">
      <w:start w:val="1"/>
      <w:numFmt w:val="decimal"/>
      <w:lvlText w:val="%9."/>
      <w:lvlJc w:val="left"/>
      <w:pPr>
        <w:ind w:left="720" w:hanging="360"/>
      </w:pPr>
    </w:lvl>
  </w:abstractNum>
  <w:abstractNum w:abstractNumId="16" w15:restartNumberingAfterBreak="0">
    <w:nsid w:val="03046ADA"/>
    <w:multiLevelType w:val="multilevel"/>
    <w:tmpl w:val="144893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03406DD5"/>
    <w:multiLevelType w:val="hybridMultilevel"/>
    <w:tmpl w:val="89087F68"/>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15:restartNumberingAfterBreak="0">
    <w:nsid w:val="050E1257"/>
    <w:multiLevelType w:val="hybridMultilevel"/>
    <w:tmpl w:val="C87E44E6"/>
    <w:lvl w:ilvl="0" w:tplc="08090017">
      <w:start w:val="1"/>
      <w:numFmt w:val="lowerLetter"/>
      <w:lvlText w:val="%1)"/>
      <w:lvlJc w:val="left"/>
      <w:pPr>
        <w:ind w:left="1080" w:hanging="360"/>
      </w:pPr>
    </w:lvl>
    <w:lvl w:ilvl="1" w:tplc="7C46020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05BC1A19"/>
    <w:multiLevelType w:val="hybridMultilevel"/>
    <w:tmpl w:val="AF3AB1D0"/>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066F7625"/>
    <w:multiLevelType w:val="hybridMultilevel"/>
    <w:tmpl w:val="55064DD2"/>
    <w:lvl w:ilvl="0" w:tplc="FFFFFFFF">
      <w:start w:val="1"/>
      <w:numFmt w:val="decimal"/>
      <w:lvlText w:val="%1."/>
      <w:lvlJc w:val="left"/>
      <w:pPr>
        <w:ind w:left="720" w:hanging="360"/>
      </w:pPr>
    </w:lvl>
    <w:lvl w:ilvl="1" w:tplc="18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78935CE"/>
    <w:multiLevelType w:val="hybridMultilevel"/>
    <w:tmpl w:val="2C982D38"/>
    <w:lvl w:ilvl="0" w:tplc="492CB18C">
      <w:start w:val="1"/>
      <w:numFmt w:val="decimal"/>
      <w:lvlText w:val="%1."/>
      <w:lvlJc w:val="left"/>
      <w:pPr>
        <w:ind w:left="360" w:hanging="360"/>
      </w:pPr>
    </w:lvl>
    <w:lvl w:ilvl="1" w:tplc="F0EE5E98">
      <w:start w:val="1"/>
      <w:numFmt w:val="lowerLetter"/>
      <w:lvlText w:val="%2."/>
      <w:lvlJc w:val="left"/>
      <w:pPr>
        <w:ind w:left="1080" w:hanging="360"/>
      </w:pPr>
    </w:lvl>
    <w:lvl w:ilvl="2" w:tplc="5BBCB2D2">
      <w:numFmt w:val="bullet"/>
      <w:lvlText w:val="•"/>
      <w:lvlJc w:val="left"/>
      <w:pPr>
        <w:ind w:left="2340" w:hanging="720"/>
      </w:pPr>
      <w:rPr>
        <w:rFonts w:ascii="Times New Roman" w:hAnsi="Times New Roman" w:hint="default"/>
      </w:rPr>
    </w:lvl>
    <w:lvl w:ilvl="3" w:tplc="A37C66EE" w:tentative="1">
      <w:start w:val="1"/>
      <w:numFmt w:val="decimal"/>
      <w:lvlText w:val="%4."/>
      <w:lvlJc w:val="left"/>
      <w:pPr>
        <w:ind w:left="2520" w:hanging="360"/>
      </w:pPr>
    </w:lvl>
    <w:lvl w:ilvl="4" w:tplc="41501FB2" w:tentative="1">
      <w:start w:val="1"/>
      <w:numFmt w:val="lowerLetter"/>
      <w:lvlText w:val="%5."/>
      <w:lvlJc w:val="left"/>
      <w:pPr>
        <w:ind w:left="3240" w:hanging="360"/>
      </w:pPr>
    </w:lvl>
    <w:lvl w:ilvl="5" w:tplc="658ADBE0" w:tentative="1">
      <w:start w:val="1"/>
      <w:numFmt w:val="lowerRoman"/>
      <w:lvlText w:val="%6."/>
      <w:lvlJc w:val="right"/>
      <w:pPr>
        <w:ind w:left="3960" w:hanging="180"/>
      </w:pPr>
    </w:lvl>
    <w:lvl w:ilvl="6" w:tplc="B45E0A78" w:tentative="1">
      <w:start w:val="1"/>
      <w:numFmt w:val="decimal"/>
      <w:lvlText w:val="%7."/>
      <w:lvlJc w:val="left"/>
      <w:pPr>
        <w:ind w:left="4680" w:hanging="360"/>
      </w:pPr>
    </w:lvl>
    <w:lvl w:ilvl="7" w:tplc="12C09164" w:tentative="1">
      <w:start w:val="1"/>
      <w:numFmt w:val="lowerLetter"/>
      <w:lvlText w:val="%8."/>
      <w:lvlJc w:val="left"/>
      <w:pPr>
        <w:ind w:left="5400" w:hanging="360"/>
      </w:pPr>
    </w:lvl>
    <w:lvl w:ilvl="8" w:tplc="3D067BEC" w:tentative="1">
      <w:start w:val="1"/>
      <w:numFmt w:val="lowerRoman"/>
      <w:lvlText w:val="%9."/>
      <w:lvlJc w:val="right"/>
      <w:pPr>
        <w:ind w:left="6120" w:hanging="180"/>
      </w:pPr>
    </w:lvl>
  </w:abstractNum>
  <w:abstractNum w:abstractNumId="22" w15:restartNumberingAfterBreak="0">
    <w:nsid w:val="07FB552C"/>
    <w:multiLevelType w:val="hybridMultilevel"/>
    <w:tmpl w:val="653062C2"/>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08915652"/>
    <w:multiLevelType w:val="hybridMultilevel"/>
    <w:tmpl w:val="B1C8EDC6"/>
    <w:lvl w:ilvl="0" w:tplc="C23033DC">
      <w:start w:val="1"/>
      <w:numFmt w:val="lowerRoman"/>
      <w:lvlText w:val="%1."/>
      <w:lvlJc w:val="right"/>
      <w:pPr>
        <w:ind w:left="720" w:hanging="360"/>
      </w:pPr>
    </w:lvl>
    <w:lvl w:ilvl="1" w:tplc="C79A08AC" w:tentative="1">
      <w:start w:val="1"/>
      <w:numFmt w:val="bullet"/>
      <w:lvlText w:val="o"/>
      <w:lvlJc w:val="left"/>
      <w:pPr>
        <w:ind w:left="1440" w:hanging="360"/>
      </w:pPr>
      <w:rPr>
        <w:rFonts w:ascii="Courier New" w:hAnsi="Courier New" w:hint="default"/>
      </w:rPr>
    </w:lvl>
    <w:lvl w:ilvl="2" w:tplc="256853D2" w:tentative="1">
      <w:start w:val="1"/>
      <w:numFmt w:val="bullet"/>
      <w:lvlText w:val=""/>
      <w:lvlJc w:val="left"/>
      <w:pPr>
        <w:ind w:left="2160" w:hanging="360"/>
      </w:pPr>
      <w:rPr>
        <w:rFonts w:ascii="Cambria Math" w:hAnsi="Cambria Math" w:hint="default"/>
      </w:rPr>
    </w:lvl>
    <w:lvl w:ilvl="3" w:tplc="FCCA93D0" w:tentative="1">
      <w:start w:val="1"/>
      <w:numFmt w:val="bullet"/>
      <w:lvlText w:val=""/>
      <w:lvlJc w:val="left"/>
      <w:pPr>
        <w:ind w:left="2880" w:hanging="360"/>
      </w:pPr>
      <w:rPr>
        <w:rFonts w:ascii="Segoe UI" w:hAnsi="Segoe UI" w:hint="default"/>
      </w:rPr>
    </w:lvl>
    <w:lvl w:ilvl="4" w:tplc="1646F7A6" w:tentative="1">
      <w:start w:val="1"/>
      <w:numFmt w:val="bullet"/>
      <w:lvlText w:val="o"/>
      <w:lvlJc w:val="left"/>
      <w:pPr>
        <w:ind w:left="3600" w:hanging="360"/>
      </w:pPr>
      <w:rPr>
        <w:rFonts w:ascii="Courier New" w:hAnsi="Courier New" w:hint="default"/>
      </w:rPr>
    </w:lvl>
    <w:lvl w:ilvl="5" w:tplc="44549B0E" w:tentative="1">
      <w:start w:val="1"/>
      <w:numFmt w:val="bullet"/>
      <w:lvlText w:val=""/>
      <w:lvlJc w:val="left"/>
      <w:pPr>
        <w:ind w:left="4320" w:hanging="360"/>
      </w:pPr>
      <w:rPr>
        <w:rFonts w:ascii="Cambria Math" w:hAnsi="Cambria Math" w:hint="default"/>
      </w:rPr>
    </w:lvl>
    <w:lvl w:ilvl="6" w:tplc="E17CDB0E" w:tentative="1">
      <w:start w:val="1"/>
      <w:numFmt w:val="bullet"/>
      <w:lvlText w:val=""/>
      <w:lvlJc w:val="left"/>
      <w:pPr>
        <w:ind w:left="5040" w:hanging="360"/>
      </w:pPr>
      <w:rPr>
        <w:rFonts w:ascii="Segoe UI" w:hAnsi="Segoe UI" w:hint="default"/>
      </w:rPr>
    </w:lvl>
    <w:lvl w:ilvl="7" w:tplc="4986F13E" w:tentative="1">
      <w:start w:val="1"/>
      <w:numFmt w:val="bullet"/>
      <w:lvlText w:val="o"/>
      <w:lvlJc w:val="left"/>
      <w:pPr>
        <w:ind w:left="5760" w:hanging="360"/>
      </w:pPr>
      <w:rPr>
        <w:rFonts w:ascii="Courier New" w:hAnsi="Courier New" w:hint="default"/>
      </w:rPr>
    </w:lvl>
    <w:lvl w:ilvl="8" w:tplc="79D8E8BA" w:tentative="1">
      <w:start w:val="1"/>
      <w:numFmt w:val="bullet"/>
      <w:lvlText w:val=""/>
      <w:lvlJc w:val="left"/>
      <w:pPr>
        <w:ind w:left="6480" w:hanging="360"/>
      </w:pPr>
      <w:rPr>
        <w:rFonts w:ascii="Cambria Math" w:hAnsi="Cambria Math" w:hint="default"/>
      </w:rPr>
    </w:lvl>
  </w:abstractNum>
  <w:abstractNum w:abstractNumId="24" w15:restartNumberingAfterBreak="0">
    <w:nsid w:val="09F123B6"/>
    <w:multiLevelType w:val="hybridMultilevel"/>
    <w:tmpl w:val="4A8E832E"/>
    <w:lvl w:ilvl="0" w:tplc="D8C0D6EA">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0A0E2471"/>
    <w:multiLevelType w:val="hybridMultilevel"/>
    <w:tmpl w:val="568E187C"/>
    <w:lvl w:ilvl="0" w:tplc="9D40386A">
      <w:start w:val="1"/>
      <w:numFmt w:val="lowerLetter"/>
      <w:lvlText w:val="%1."/>
      <w:lvlJc w:val="left"/>
      <w:pPr>
        <w:ind w:left="720" w:hanging="360"/>
      </w:pPr>
    </w:lvl>
    <w:lvl w:ilvl="1" w:tplc="9F227132">
      <w:start w:val="1"/>
      <w:numFmt w:val="lowerLetter"/>
      <w:lvlText w:val="%2."/>
      <w:lvlJc w:val="left"/>
      <w:pPr>
        <w:ind w:left="1440" w:hanging="360"/>
      </w:pPr>
    </w:lvl>
    <w:lvl w:ilvl="2" w:tplc="F3A81FA2">
      <w:start w:val="1"/>
      <w:numFmt w:val="lowerRoman"/>
      <w:lvlText w:val="%3."/>
      <w:lvlJc w:val="right"/>
      <w:pPr>
        <w:ind w:left="2160" w:hanging="180"/>
      </w:pPr>
    </w:lvl>
    <w:lvl w:ilvl="3" w:tplc="EA207C22">
      <w:start w:val="1"/>
      <w:numFmt w:val="decimal"/>
      <w:lvlText w:val="%4."/>
      <w:lvlJc w:val="left"/>
      <w:pPr>
        <w:ind w:left="2880" w:hanging="360"/>
      </w:pPr>
    </w:lvl>
    <w:lvl w:ilvl="4" w:tplc="A5BE1394">
      <w:start w:val="1"/>
      <w:numFmt w:val="lowerLetter"/>
      <w:lvlText w:val="%5."/>
      <w:lvlJc w:val="left"/>
      <w:pPr>
        <w:ind w:left="3600" w:hanging="360"/>
      </w:pPr>
    </w:lvl>
    <w:lvl w:ilvl="5" w:tplc="5272538A">
      <w:start w:val="1"/>
      <w:numFmt w:val="lowerRoman"/>
      <w:lvlText w:val="%6."/>
      <w:lvlJc w:val="right"/>
      <w:pPr>
        <w:ind w:left="4320" w:hanging="180"/>
      </w:pPr>
    </w:lvl>
    <w:lvl w:ilvl="6" w:tplc="6B4A5DDE">
      <w:start w:val="1"/>
      <w:numFmt w:val="decimal"/>
      <w:lvlText w:val="%7."/>
      <w:lvlJc w:val="left"/>
      <w:pPr>
        <w:ind w:left="5040" w:hanging="360"/>
      </w:pPr>
    </w:lvl>
    <w:lvl w:ilvl="7" w:tplc="60C4CA12">
      <w:start w:val="1"/>
      <w:numFmt w:val="lowerLetter"/>
      <w:lvlText w:val="%8."/>
      <w:lvlJc w:val="left"/>
      <w:pPr>
        <w:ind w:left="5760" w:hanging="360"/>
      </w:pPr>
    </w:lvl>
    <w:lvl w:ilvl="8" w:tplc="9FBEC0B2">
      <w:start w:val="1"/>
      <w:numFmt w:val="lowerRoman"/>
      <w:lvlText w:val="%9."/>
      <w:lvlJc w:val="right"/>
      <w:pPr>
        <w:ind w:left="6480" w:hanging="180"/>
      </w:pPr>
    </w:lvl>
  </w:abstractNum>
  <w:abstractNum w:abstractNumId="26" w15:restartNumberingAfterBreak="0">
    <w:nsid w:val="0A7E4021"/>
    <w:multiLevelType w:val="hybridMultilevel"/>
    <w:tmpl w:val="EA1CB52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15:restartNumberingAfterBreak="0">
    <w:nsid w:val="0B0B67BF"/>
    <w:multiLevelType w:val="hybridMultilevel"/>
    <w:tmpl w:val="AC1C581E"/>
    <w:lvl w:ilvl="0" w:tplc="BBA077C4">
      <w:start w:val="1"/>
      <w:numFmt w:val="bullet"/>
      <w:lvlText w:val=""/>
      <w:lvlJc w:val="left"/>
      <w:pPr>
        <w:ind w:left="720" w:hanging="360"/>
      </w:pPr>
      <w:rPr>
        <w:rFonts w:ascii="Symbol" w:hAnsi="Symbol" w:hint="default"/>
      </w:rPr>
    </w:lvl>
    <w:lvl w:ilvl="1" w:tplc="F87E8678" w:tentative="1">
      <w:start w:val="1"/>
      <w:numFmt w:val="bullet"/>
      <w:lvlText w:val="o"/>
      <w:lvlJc w:val="left"/>
      <w:pPr>
        <w:ind w:left="1440" w:hanging="360"/>
      </w:pPr>
      <w:rPr>
        <w:rFonts w:ascii="Courier New" w:hAnsi="Courier New" w:hint="default"/>
      </w:rPr>
    </w:lvl>
    <w:lvl w:ilvl="2" w:tplc="4AB4699A" w:tentative="1">
      <w:start w:val="1"/>
      <w:numFmt w:val="bullet"/>
      <w:lvlText w:val=""/>
      <w:lvlJc w:val="left"/>
      <w:pPr>
        <w:ind w:left="2160" w:hanging="360"/>
      </w:pPr>
      <w:rPr>
        <w:rFonts w:ascii="Wingdings" w:hAnsi="Wingdings" w:hint="default"/>
      </w:rPr>
    </w:lvl>
    <w:lvl w:ilvl="3" w:tplc="A2AAEDB2" w:tentative="1">
      <w:start w:val="1"/>
      <w:numFmt w:val="bullet"/>
      <w:lvlText w:val=""/>
      <w:lvlJc w:val="left"/>
      <w:pPr>
        <w:ind w:left="2880" w:hanging="360"/>
      </w:pPr>
      <w:rPr>
        <w:rFonts w:ascii="Symbol" w:hAnsi="Symbol" w:hint="default"/>
      </w:rPr>
    </w:lvl>
    <w:lvl w:ilvl="4" w:tplc="6C382066" w:tentative="1">
      <w:start w:val="1"/>
      <w:numFmt w:val="bullet"/>
      <w:lvlText w:val="o"/>
      <w:lvlJc w:val="left"/>
      <w:pPr>
        <w:ind w:left="3600" w:hanging="360"/>
      </w:pPr>
      <w:rPr>
        <w:rFonts w:ascii="Courier New" w:hAnsi="Courier New" w:hint="default"/>
      </w:rPr>
    </w:lvl>
    <w:lvl w:ilvl="5" w:tplc="43707E10" w:tentative="1">
      <w:start w:val="1"/>
      <w:numFmt w:val="bullet"/>
      <w:lvlText w:val=""/>
      <w:lvlJc w:val="left"/>
      <w:pPr>
        <w:ind w:left="4320" w:hanging="360"/>
      </w:pPr>
      <w:rPr>
        <w:rFonts w:ascii="Wingdings" w:hAnsi="Wingdings" w:hint="default"/>
      </w:rPr>
    </w:lvl>
    <w:lvl w:ilvl="6" w:tplc="A0045F8E" w:tentative="1">
      <w:start w:val="1"/>
      <w:numFmt w:val="bullet"/>
      <w:lvlText w:val=""/>
      <w:lvlJc w:val="left"/>
      <w:pPr>
        <w:ind w:left="5040" w:hanging="360"/>
      </w:pPr>
      <w:rPr>
        <w:rFonts w:ascii="Symbol" w:hAnsi="Symbol" w:hint="default"/>
      </w:rPr>
    </w:lvl>
    <w:lvl w:ilvl="7" w:tplc="29782FC0" w:tentative="1">
      <w:start w:val="1"/>
      <w:numFmt w:val="bullet"/>
      <w:lvlText w:val="o"/>
      <w:lvlJc w:val="left"/>
      <w:pPr>
        <w:ind w:left="5760" w:hanging="360"/>
      </w:pPr>
      <w:rPr>
        <w:rFonts w:ascii="Courier New" w:hAnsi="Courier New" w:hint="default"/>
      </w:rPr>
    </w:lvl>
    <w:lvl w:ilvl="8" w:tplc="3392D932" w:tentative="1">
      <w:start w:val="1"/>
      <w:numFmt w:val="bullet"/>
      <w:lvlText w:val=""/>
      <w:lvlJc w:val="left"/>
      <w:pPr>
        <w:ind w:left="6480" w:hanging="360"/>
      </w:pPr>
      <w:rPr>
        <w:rFonts w:ascii="Wingdings" w:hAnsi="Wingdings" w:hint="default"/>
      </w:rPr>
    </w:lvl>
  </w:abstractNum>
  <w:abstractNum w:abstractNumId="28" w15:restartNumberingAfterBreak="0">
    <w:nsid w:val="0BF72E00"/>
    <w:multiLevelType w:val="hybridMultilevel"/>
    <w:tmpl w:val="DD2CA332"/>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0CADF933"/>
    <w:multiLevelType w:val="hybridMultilevel"/>
    <w:tmpl w:val="FFFFFFFF"/>
    <w:lvl w:ilvl="0" w:tplc="43D21D2C">
      <w:start w:val="1"/>
      <w:numFmt w:val="bullet"/>
      <w:lvlText w:val=""/>
      <w:lvlJc w:val="left"/>
      <w:pPr>
        <w:ind w:left="720" w:hanging="360"/>
      </w:pPr>
      <w:rPr>
        <w:rFonts w:ascii="Symbol" w:hAnsi="Symbol" w:hint="default"/>
      </w:rPr>
    </w:lvl>
    <w:lvl w:ilvl="1" w:tplc="8E605A44">
      <w:start w:val="1"/>
      <w:numFmt w:val="bullet"/>
      <w:lvlText w:val="o"/>
      <w:lvlJc w:val="left"/>
      <w:pPr>
        <w:ind w:left="1440" w:hanging="360"/>
      </w:pPr>
      <w:rPr>
        <w:rFonts w:ascii="Courier New" w:hAnsi="Courier New" w:hint="default"/>
      </w:rPr>
    </w:lvl>
    <w:lvl w:ilvl="2" w:tplc="671052A8">
      <w:start w:val="1"/>
      <w:numFmt w:val="bullet"/>
      <w:lvlText w:val=""/>
      <w:lvlJc w:val="left"/>
      <w:pPr>
        <w:ind w:left="2160" w:hanging="360"/>
      </w:pPr>
      <w:rPr>
        <w:rFonts w:ascii="Wingdings" w:hAnsi="Wingdings" w:hint="default"/>
      </w:rPr>
    </w:lvl>
    <w:lvl w:ilvl="3" w:tplc="5C3A8554">
      <w:start w:val="1"/>
      <w:numFmt w:val="bullet"/>
      <w:lvlText w:val=""/>
      <w:lvlJc w:val="left"/>
      <w:pPr>
        <w:ind w:left="2880" w:hanging="360"/>
      </w:pPr>
      <w:rPr>
        <w:rFonts w:ascii="Symbol" w:hAnsi="Symbol" w:hint="default"/>
      </w:rPr>
    </w:lvl>
    <w:lvl w:ilvl="4" w:tplc="6554A2CC">
      <w:start w:val="1"/>
      <w:numFmt w:val="bullet"/>
      <w:lvlText w:val="o"/>
      <w:lvlJc w:val="left"/>
      <w:pPr>
        <w:ind w:left="3600" w:hanging="360"/>
      </w:pPr>
      <w:rPr>
        <w:rFonts w:ascii="Courier New" w:hAnsi="Courier New" w:hint="default"/>
      </w:rPr>
    </w:lvl>
    <w:lvl w:ilvl="5" w:tplc="0AF6D1D4">
      <w:start w:val="1"/>
      <w:numFmt w:val="bullet"/>
      <w:lvlText w:val=""/>
      <w:lvlJc w:val="left"/>
      <w:pPr>
        <w:ind w:left="4320" w:hanging="360"/>
      </w:pPr>
      <w:rPr>
        <w:rFonts w:ascii="Wingdings" w:hAnsi="Wingdings" w:hint="default"/>
      </w:rPr>
    </w:lvl>
    <w:lvl w:ilvl="6" w:tplc="3AF2A014">
      <w:start w:val="1"/>
      <w:numFmt w:val="bullet"/>
      <w:lvlText w:val=""/>
      <w:lvlJc w:val="left"/>
      <w:pPr>
        <w:ind w:left="5040" w:hanging="360"/>
      </w:pPr>
      <w:rPr>
        <w:rFonts w:ascii="Symbol" w:hAnsi="Symbol" w:hint="default"/>
      </w:rPr>
    </w:lvl>
    <w:lvl w:ilvl="7" w:tplc="AE4AC69A">
      <w:start w:val="1"/>
      <w:numFmt w:val="bullet"/>
      <w:lvlText w:val="o"/>
      <w:lvlJc w:val="left"/>
      <w:pPr>
        <w:ind w:left="5760" w:hanging="360"/>
      </w:pPr>
      <w:rPr>
        <w:rFonts w:ascii="Courier New" w:hAnsi="Courier New" w:hint="default"/>
      </w:rPr>
    </w:lvl>
    <w:lvl w:ilvl="8" w:tplc="AFF49730">
      <w:start w:val="1"/>
      <w:numFmt w:val="bullet"/>
      <w:lvlText w:val=""/>
      <w:lvlJc w:val="left"/>
      <w:pPr>
        <w:ind w:left="6480" w:hanging="360"/>
      </w:pPr>
      <w:rPr>
        <w:rFonts w:ascii="Wingdings" w:hAnsi="Wingdings" w:hint="default"/>
      </w:rPr>
    </w:lvl>
  </w:abstractNum>
  <w:abstractNum w:abstractNumId="30" w15:restartNumberingAfterBreak="0">
    <w:nsid w:val="0D12CD5A"/>
    <w:multiLevelType w:val="hybridMultilevel"/>
    <w:tmpl w:val="FFFFFFFF"/>
    <w:lvl w:ilvl="0" w:tplc="E6E68A70">
      <w:start w:val="1"/>
      <w:numFmt w:val="lowerRoman"/>
      <w:lvlText w:val="%1."/>
      <w:lvlJc w:val="left"/>
      <w:pPr>
        <w:ind w:left="720" w:hanging="360"/>
      </w:pPr>
    </w:lvl>
    <w:lvl w:ilvl="1" w:tplc="7D0809C0">
      <w:start w:val="1"/>
      <w:numFmt w:val="lowerLetter"/>
      <w:lvlText w:val="%2."/>
      <w:lvlJc w:val="left"/>
      <w:pPr>
        <w:ind w:left="1440" w:hanging="360"/>
      </w:pPr>
    </w:lvl>
    <w:lvl w:ilvl="2" w:tplc="69AC889C">
      <w:start w:val="1"/>
      <w:numFmt w:val="lowerRoman"/>
      <w:lvlText w:val="%3."/>
      <w:lvlJc w:val="right"/>
      <w:pPr>
        <w:ind w:left="2160" w:hanging="180"/>
      </w:pPr>
    </w:lvl>
    <w:lvl w:ilvl="3" w:tplc="35FC8ADC">
      <w:start w:val="1"/>
      <w:numFmt w:val="decimal"/>
      <w:lvlText w:val="%4."/>
      <w:lvlJc w:val="left"/>
      <w:pPr>
        <w:ind w:left="2880" w:hanging="360"/>
      </w:pPr>
    </w:lvl>
    <w:lvl w:ilvl="4" w:tplc="85B01F8E">
      <w:start w:val="1"/>
      <w:numFmt w:val="lowerLetter"/>
      <w:lvlText w:val="%5."/>
      <w:lvlJc w:val="left"/>
      <w:pPr>
        <w:ind w:left="3600" w:hanging="360"/>
      </w:pPr>
    </w:lvl>
    <w:lvl w:ilvl="5" w:tplc="F8A8E4E4">
      <w:start w:val="1"/>
      <w:numFmt w:val="lowerRoman"/>
      <w:lvlText w:val="%6."/>
      <w:lvlJc w:val="right"/>
      <w:pPr>
        <w:ind w:left="4320" w:hanging="180"/>
      </w:pPr>
    </w:lvl>
    <w:lvl w:ilvl="6" w:tplc="913C497C">
      <w:start w:val="1"/>
      <w:numFmt w:val="decimal"/>
      <w:lvlText w:val="%7."/>
      <w:lvlJc w:val="left"/>
      <w:pPr>
        <w:ind w:left="5040" w:hanging="360"/>
      </w:pPr>
    </w:lvl>
    <w:lvl w:ilvl="7" w:tplc="A6823A76">
      <w:start w:val="1"/>
      <w:numFmt w:val="lowerLetter"/>
      <w:lvlText w:val="%8."/>
      <w:lvlJc w:val="left"/>
      <w:pPr>
        <w:ind w:left="5760" w:hanging="360"/>
      </w:pPr>
    </w:lvl>
    <w:lvl w:ilvl="8" w:tplc="30EA03E2">
      <w:start w:val="1"/>
      <w:numFmt w:val="lowerRoman"/>
      <w:lvlText w:val="%9."/>
      <w:lvlJc w:val="right"/>
      <w:pPr>
        <w:ind w:left="6480" w:hanging="180"/>
      </w:pPr>
    </w:lvl>
  </w:abstractNum>
  <w:abstractNum w:abstractNumId="31" w15:restartNumberingAfterBreak="0">
    <w:nsid w:val="0DE41DAE"/>
    <w:multiLevelType w:val="hybridMultilevel"/>
    <w:tmpl w:val="C97C37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0E6325FC"/>
    <w:multiLevelType w:val="hybridMultilevel"/>
    <w:tmpl w:val="F00C8CD6"/>
    <w:lvl w:ilvl="0" w:tplc="6EF0828C">
      <w:numFmt w:val="bullet"/>
      <w:lvlText w:val="-"/>
      <w:lvlJc w:val="left"/>
      <w:pPr>
        <w:ind w:left="720" w:hanging="360"/>
      </w:pPr>
      <w:rPr>
        <w:rFonts w:ascii="Calibri" w:hAnsi="Calibri" w:hint="default"/>
      </w:rPr>
    </w:lvl>
    <w:lvl w:ilvl="1" w:tplc="CE0C2AC6" w:tentative="1">
      <w:start w:val="1"/>
      <w:numFmt w:val="bullet"/>
      <w:lvlText w:val="o"/>
      <w:lvlJc w:val="left"/>
      <w:pPr>
        <w:ind w:left="1440" w:hanging="360"/>
      </w:pPr>
      <w:rPr>
        <w:rFonts w:ascii="Courier New" w:hAnsi="Courier New" w:hint="default"/>
      </w:rPr>
    </w:lvl>
    <w:lvl w:ilvl="2" w:tplc="3DEE2B98" w:tentative="1">
      <w:start w:val="1"/>
      <w:numFmt w:val="bullet"/>
      <w:lvlText w:val=""/>
      <w:lvlJc w:val="left"/>
      <w:pPr>
        <w:ind w:left="2160" w:hanging="360"/>
      </w:pPr>
      <w:rPr>
        <w:rFonts w:ascii="Wingdings" w:hAnsi="Wingdings" w:hint="default"/>
      </w:rPr>
    </w:lvl>
    <w:lvl w:ilvl="3" w:tplc="B32ACE6C" w:tentative="1">
      <w:start w:val="1"/>
      <w:numFmt w:val="bullet"/>
      <w:lvlText w:val=""/>
      <w:lvlJc w:val="left"/>
      <w:pPr>
        <w:ind w:left="2880" w:hanging="360"/>
      </w:pPr>
      <w:rPr>
        <w:rFonts w:ascii="Symbol" w:hAnsi="Symbol" w:hint="default"/>
      </w:rPr>
    </w:lvl>
    <w:lvl w:ilvl="4" w:tplc="8FD439C4" w:tentative="1">
      <w:start w:val="1"/>
      <w:numFmt w:val="bullet"/>
      <w:lvlText w:val="o"/>
      <w:lvlJc w:val="left"/>
      <w:pPr>
        <w:ind w:left="3600" w:hanging="360"/>
      </w:pPr>
      <w:rPr>
        <w:rFonts w:ascii="Courier New" w:hAnsi="Courier New" w:hint="default"/>
      </w:rPr>
    </w:lvl>
    <w:lvl w:ilvl="5" w:tplc="8F180EBE" w:tentative="1">
      <w:start w:val="1"/>
      <w:numFmt w:val="bullet"/>
      <w:lvlText w:val=""/>
      <w:lvlJc w:val="left"/>
      <w:pPr>
        <w:ind w:left="4320" w:hanging="360"/>
      </w:pPr>
      <w:rPr>
        <w:rFonts w:ascii="Wingdings" w:hAnsi="Wingdings" w:hint="default"/>
      </w:rPr>
    </w:lvl>
    <w:lvl w:ilvl="6" w:tplc="07C443E2" w:tentative="1">
      <w:start w:val="1"/>
      <w:numFmt w:val="bullet"/>
      <w:lvlText w:val=""/>
      <w:lvlJc w:val="left"/>
      <w:pPr>
        <w:ind w:left="5040" w:hanging="360"/>
      </w:pPr>
      <w:rPr>
        <w:rFonts w:ascii="Symbol" w:hAnsi="Symbol" w:hint="default"/>
      </w:rPr>
    </w:lvl>
    <w:lvl w:ilvl="7" w:tplc="C70E1600" w:tentative="1">
      <w:start w:val="1"/>
      <w:numFmt w:val="bullet"/>
      <w:lvlText w:val="o"/>
      <w:lvlJc w:val="left"/>
      <w:pPr>
        <w:ind w:left="5760" w:hanging="360"/>
      </w:pPr>
      <w:rPr>
        <w:rFonts w:ascii="Courier New" w:hAnsi="Courier New" w:hint="default"/>
      </w:rPr>
    </w:lvl>
    <w:lvl w:ilvl="8" w:tplc="41943952" w:tentative="1">
      <w:start w:val="1"/>
      <w:numFmt w:val="bullet"/>
      <w:lvlText w:val=""/>
      <w:lvlJc w:val="left"/>
      <w:pPr>
        <w:ind w:left="6480" w:hanging="360"/>
      </w:pPr>
      <w:rPr>
        <w:rFonts w:ascii="Wingdings" w:hAnsi="Wingdings" w:hint="default"/>
      </w:rPr>
    </w:lvl>
  </w:abstractNum>
  <w:abstractNum w:abstractNumId="33" w15:restartNumberingAfterBreak="0">
    <w:nsid w:val="0FC4125E"/>
    <w:multiLevelType w:val="hybridMultilevel"/>
    <w:tmpl w:val="954E79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FF01C52"/>
    <w:multiLevelType w:val="hybridMultilevel"/>
    <w:tmpl w:val="7C065C00"/>
    <w:lvl w:ilvl="0" w:tplc="D514ECD2">
      <w:start w:val="1"/>
      <w:numFmt w:val="decimal"/>
      <w:lvlText w:val="%1."/>
      <w:lvlJc w:val="left"/>
      <w:pPr>
        <w:ind w:left="1020" w:hanging="360"/>
      </w:pPr>
    </w:lvl>
    <w:lvl w:ilvl="1" w:tplc="FDF2F704">
      <w:start w:val="1"/>
      <w:numFmt w:val="decimal"/>
      <w:lvlText w:val="%2."/>
      <w:lvlJc w:val="left"/>
      <w:pPr>
        <w:ind w:left="1020" w:hanging="360"/>
      </w:pPr>
    </w:lvl>
    <w:lvl w:ilvl="2" w:tplc="005AE91A">
      <w:start w:val="1"/>
      <w:numFmt w:val="decimal"/>
      <w:lvlText w:val="%3."/>
      <w:lvlJc w:val="left"/>
      <w:pPr>
        <w:ind w:left="1020" w:hanging="360"/>
      </w:pPr>
    </w:lvl>
    <w:lvl w:ilvl="3" w:tplc="26E47548">
      <w:start w:val="1"/>
      <w:numFmt w:val="decimal"/>
      <w:lvlText w:val="%4."/>
      <w:lvlJc w:val="left"/>
      <w:pPr>
        <w:ind w:left="1020" w:hanging="360"/>
      </w:pPr>
    </w:lvl>
    <w:lvl w:ilvl="4" w:tplc="DB38AFCA">
      <w:start w:val="1"/>
      <w:numFmt w:val="decimal"/>
      <w:lvlText w:val="%5."/>
      <w:lvlJc w:val="left"/>
      <w:pPr>
        <w:ind w:left="1020" w:hanging="360"/>
      </w:pPr>
    </w:lvl>
    <w:lvl w:ilvl="5" w:tplc="652494EC">
      <w:start w:val="1"/>
      <w:numFmt w:val="decimal"/>
      <w:lvlText w:val="%6."/>
      <w:lvlJc w:val="left"/>
      <w:pPr>
        <w:ind w:left="1020" w:hanging="360"/>
      </w:pPr>
    </w:lvl>
    <w:lvl w:ilvl="6" w:tplc="B6AECFC8">
      <w:start w:val="1"/>
      <w:numFmt w:val="decimal"/>
      <w:lvlText w:val="%7."/>
      <w:lvlJc w:val="left"/>
      <w:pPr>
        <w:ind w:left="1020" w:hanging="360"/>
      </w:pPr>
    </w:lvl>
    <w:lvl w:ilvl="7" w:tplc="CF6C0C4A">
      <w:start w:val="1"/>
      <w:numFmt w:val="decimal"/>
      <w:lvlText w:val="%8."/>
      <w:lvlJc w:val="left"/>
      <w:pPr>
        <w:ind w:left="1020" w:hanging="360"/>
      </w:pPr>
    </w:lvl>
    <w:lvl w:ilvl="8" w:tplc="DF4E4CA8">
      <w:start w:val="1"/>
      <w:numFmt w:val="decimal"/>
      <w:lvlText w:val="%9."/>
      <w:lvlJc w:val="left"/>
      <w:pPr>
        <w:ind w:left="1020" w:hanging="360"/>
      </w:pPr>
    </w:lvl>
  </w:abstractNum>
  <w:abstractNum w:abstractNumId="35" w15:restartNumberingAfterBreak="0">
    <w:nsid w:val="105F45AC"/>
    <w:multiLevelType w:val="hybridMultilevel"/>
    <w:tmpl w:val="0FA44F02"/>
    <w:lvl w:ilvl="0" w:tplc="9FECB072">
      <w:start w:val="1"/>
      <w:numFmt w:val="bullet"/>
      <w:lvlText w:val="-"/>
      <w:lvlJc w:val="left"/>
      <w:pPr>
        <w:ind w:left="720" w:hanging="360"/>
      </w:pPr>
      <w:rPr>
        <w:rFonts w:ascii="Cambria" w:hAnsi="Cambria" w:hint="default"/>
        <w:color w:val="auto"/>
      </w:rPr>
    </w:lvl>
    <w:lvl w:ilvl="1" w:tplc="AAAAB0DA" w:tentative="1">
      <w:start w:val="1"/>
      <w:numFmt w:val="bullet"/>
      <w:lvlText w:val="o"/>
      <w:lvlJc w:val="left"/>
      <w:pPr>
        <w:ind w:left="1440" w:hanging="360"/>
      </w:pPr>
      <w:rPr>
        <w:rFonts w:ascii="Courier New" w:hAnsi="Courier New" w:hint="default"/>
      </w:rPr>
    </w:lvl>
    <w:lvl w:ilvl="2" w:tplc="4154B7AA" w:tentative="1">
      <w:start w:val="1"/>
      <w:numFmt w:val="bullet"/>
      <w:lvlText w:val=""/>
      <w:lvlJc w:val="left"/>
      <w:pPr>
        <w:ind w:left="2160" w:hanging="360"/>
      </w:pPr>
      <w:rPr>
        <w:rFonts w:ascii="Cambria Math" w:hAnsi="Cambria Math" w:hint="default"/>
      </w:rPr>
    </w:lvl>
    <w:lvl w:ilvl="3" w:tplc="6ADCF19A" w:tentative="1">
      <w:start w:val="1"/>
      <w:numFmt w:val="bullet"/>
      <w:lvlText w:val=""/>
      <w:lvlJc w:val="left"/>
      <w:pPr>
        <w:ind w:left="2880" w:hanging="360"/>
      </w:pPr>
      <w:rPr>
        <w:rFonts w:ascii="Segoe UI" w:hAnsi="Segoe UI" w:hint="default"/>
      </w:rPr>
    </w:lvl>
    <w:lvl w:ilvl="4" w:tplc="398C0DA6" w:tentative="1">
      <w:start w:val="1"/>
      <w:numFmt w:val="bullet"/>
      <w:lvlText w:val="o"/>
      <w:lvlJc w:val="left"/>
      <w:pPr>
        <w:ind w:left="3600" w:hanging="360"/>
      </w:pPr>
      <w:rPr>
        <w:rFonts w:ascii="Courier New" w:hAnsi="Courier New" w:hint="default"/>
      </w:rPr>
    </w:lvl>
    <w:lvl w:ilvl="5" w:tplc="FF12EA54" w:tentative="1">
      <w:start w:val="1"/>
      <w:numFmt w:val="bullet"/>
      <w:lvlText w:val=""/>
      <w:lvlJc w:val="left"/>
      <w:pPr>
        <w:ind w:left="4320" w:hanging="360"/>
      </w:pPr>
      <w:rPr>
        <w:rFonts w:ascii="Cambria Math" w:hAnsi="Cambria Math" w:hint="default"/>
      </w:rPr>
    </w:lvl>
    <w:lvl w:ilvl="6" w:tplc="4652094A" w:tentative="1">
      <w:start w:val="1"/>
      <w:numFmt w:val="bullet"/>
      <w:lvlText w:val=""/>
      <w:lvlJc w:val="left"/>
      <w:pPr>
        <w:ind w:left="5040" w:hanging="360"/>
      </w:pPr>
      <w:rPr>
        <w:rFonts w:ascii="Segoe UI" w:hAnsi="Segoe UI" w:hint="default"/>
      </w:rPr>
    </w:lvl>
    <w:lvl w:ilvl="7" w:tplc="A8BA937A" w:tentative="1">
      <w:start w:val="1"/>
      <w:numFmt w:val="bullet"/>
      <w:lvlText w:val="o"/>
      <w:lvlJc w:val="left"/>
      <w:pPr>
        <w:ind w:left="5760" w:hanging="360"/>
      </w:pPr>
      <w:rPr>
        <w:rFonts w:ascii="Courier New" w:hAnsi="Courier New" w:hint="default"/>
      </w:rPr>
    </w:lvl>
    <w:lvl w:ilvl="8" w:tplc="1C4E2CE4" w:tentative="1">
      <w:start w:val="1"/>
      <w:numFmt w:val="bullet"/>
      <w:lvlText w:val=""/>
      <w:lvlJc w:val="left"/>
      <w:pPr>
        <w:ind w:left="6480" w:hanging="360"/>
      </w:pPr>
      <w:rPr>
        <w:rFonts w:ascii="Cambria Math" w:hAnsi="Cambria Math" w:hint="default"/>
      </w:rPr>
    </w:lvl>
  </w:abstractNum>
  <w:abstractNum w:abstractNumId="36" w15:restartNumberingAfterBreak="0">
    <w:nsid w:val="107AF82E"/>
    <w:multiLevelType w:val="hybridMultilevel"/>
    <w:tmpl w:val="FFFFFFFF"/>
    <w:lvl w:ilvl="0" w:tplc="EF1EFAC4">
      <w:start w:val="1"/>
      <w:numFmt w:val="bullet"/>
      <w:lvlText w:val="-"/>
      <w:lvlJc w:val="left"/>
      <w:pPr>
        <w:ind w:left="360" w:hanging="360"/>
      </w:pPr>
      <w:rPr>
        <w:rFonts w:ascii="Aptos" w:hAnsi="Aptos" w:hint="default"/>
      </w:rPr>
    </w:lvl>
    <w:lvl w:ilvl="1" w:tplc="F01E34B4">
      <w:start w:val="1"/>
      <w:numFmt w:val="bullet"/>
      <w:lvlText w:val="o"/>
      <w:lvlJc w:val="left"/>
      <w:pPr>
        <w:ind w:left="1080" w:hanging="360"/>
      </w:pPr>
      <w:rPr>
        <w:rFonts w:ascii="Courier New" w:hAnsi="Courier New" w:hint="default"/>
      </w:rPr>
    </w:lvl>
    <w:lvl w:ilvl="2" w:tplc="48706588">
      <w:start w:val="1"/>
      <w:numFmt w:val="bullet"/>
      <w:lvlText w:val=""/>
      <w:lvlJc w:val="left"/>
      <w:pPr>
        <w:ind w:left="1800" w:hanging="360"/>
      </w:pPr>
      <w:rPr>
        <w:rFonts w:ascii="Wingdings" w:hAnsi="Wingdings" w:hint="default"/>
      </w:rPr>
    </w:lvl>
    <w:lvl w:ilvl="3" w:tplc="78EC8662">
      <w:start w:val="1"/>
      <w:numFmt w:val="bullet"/>
      <w:lvlText w:val=""/>
      <w:lvlJc w:val="left"/>
      <w:pPr>
        <w:ind w:left="2520" w:hanging="360"/>
      </w:pPr>
      <w:rPr>
        <w:rFonts w:ascii="Symbol" w:hAnsi="Symbol" w:hint="default"/>
      </w:rPr>
    </w:lvl>
    <w:lvl w:ilvl="4" w:tplc="D3982BB6">
      <w:start w:val="1"/>
      <w:numFmt w:val="bullet"/>
      <w:lvlText w:val="o"/>
      <w:lvlJc w:val="left"/>
      <w:pPr>
        <w:ind w:left="3240" w:hanging="360"/>
      </w:pPr>
      <w:rPr>
        <w:rFonts w:ascii="Courier New" w:hAnsi="Courier New" w:hint="default"/>
      </w:rPr>
    </w:lvl>
    <w:lvl w:ilvl="5" w:tplc="382C7986">
      <w:start w:val="1"/>
      <w:numFmt w:val="bullet"/>
      <w:lvlText w:val=""/>
      <w:lvlJc w:val="left"/>
      <w:pPr>
        <w:ind w:left="3960" w:hanging="360"/>
      </w:pPr>
      <w:rPr>
        <w:rFonts w:ascii="Wingdings" w:hAnsi="Wingdings" w:hint="default"/>
      </w:rPr>
    </w:lvl>
    <w:lvl w:ilvl="6" w:tplc="8872EAFE">
      <w:start w:val="1"/>
      <w:numFmt w:val="bullet"/>
      <w:lvlText w:val=""/>
      <w:lvlJc w:val="left"/>
      <w:pPr>
        <w:ind w:left="4680" w:hanging="360"/>
      </w:pPr>
      <w:rPr>
        <w:rFonts w:ascii="Symbol" w:hAnsi="Symbol" w:hint="default"/>
      </w:rPr>
    </w:lvl>
    <w:lvl w:ilvl="7" w:tplc="B26C609C">
      <w:start w:val="1"/>
      <w:numFmt w:val="bullet"/>
      <w:lvlText w:val="o"/>
      <w:lvlJc w:val="left"/>
      <w:pPr>
        <w:ind w:left="5400" w:hanging="360"/>
      </w:pPr>
      <w:rPr>
        <w:rFonts w:ascii="Courier New" w:hAnsi="Courier New" w:hint="default"/>
      </w:rPr>
    </w:lvl>
    <w:lvl w:ilvl="8" w:tplc="E034D122">
      <w:start w:val="1"/>
      <w:numFmt w:val="bullet"/>
      <w:lvlText w:val=""/>
      <w:lvlJc w:val="left"/>
      <w:pPr>
        <w:ind w:left="6120" w:hanging="360"/>
      </w:pPr>
      <w:rPr>
        <w:rFonts w:ascii="Wingdings" w:hAnsi="Wingdings" w:hint="default"/>
      </w:rPr>
    </w:lvl>
  </w:abstractNum>
  <w:abstractNum w:abstractNumId="37" w15:restartNumberingAfterBreak="0">
    <w:nsid w:val="10BADC80"/>
    <w:multiLevelType w:val="hybridMultilevel"/>
    <w:tmpl w:val="CE307D88"/>
    <w:lvl w:ilvl="0" w:tplc="49ACB862">
      <w:start w:val="1"/>
      <w:numFmt w:val="decimal"/>
      <w:lvlText w:val="%1."/>
      <w:lvlJc w:val="left"/>
      <w:pPr>
        <w:ind w:left="720" w:hanging="360"/>
      </w:pPr>
    </w:lvl>
    <w:lvl w:ilvl="1" w:tplc="055AD01E">
      <w:start w:val="1"/>
      <w:numFmt w:val="lowerLetter"/>
      <w:lvlText w:val="%2."/>
      <w:lvlJc w:val="left"/>
      <w:pPr>
        <w:ind w:left="1440" w:hanging="360"/>
      </w:pPr>
    </w:lvl>
    <w:lvl w:ilvl="2" w:tplc="9500C590">
      <w:start w:val="1"/>
      <w:numFmt w:val="lowerRoman"/>
      <w:lvlText w:val="%3."/>
      <w:lvlJc w:val="right"/>
      <w:pPr>
        <w:ind w:left="2160" w:hanging="180"/>
      </w:pPr>
    </w:lvl>
    <w:lvl w:ilvl="3" w:tplc="AA1A3D0C">
      <w:start w:val="1"/>
      <w:numFmt w:val="decimal"/>
      <w:lvlText w:val="%4."/>
      <w:lvlJc w:val="left"/>
      <w:pPr>
        <w:ind w:left="2880" w:hanging="360"/>
      </w:pPr>
    </w:lvl>
    <w:lvl w:ilvl="4" w:tplc="80F83650">
      <w:start w:val="1"/>
      <w:numFmt w:val="lowerLetter"/>
      <w:lvlText w:val="%5."/>
      <w:lvlJc w:val="left"/>
      <w:pPr>
        <w:ind w:left="3600" w:hanging="360"/>
      </w:pPr>
    </w:lvl>
    <w:lvl w:ilvl="5" w:tplc="E6C81B20">
      <w:start w:val="1"/>
      <w:numFmt w:val="lowerRoman"/>
      <w:lvlText w:val="%6."/>
      <w:lvlJc w:val="right"/>
      <w:pPr>
        <w:ind w:left="4320" w:hanging="180"/>
      </w:pPr>
    </w:lvl>
    <w:lvl w:ilvl="6" w:tplc="2032A320">
      <w:start w:val="1"/>
      <w:numFmt w:val="decimal"/>
      <w:lvlText w:val="%7."/>
      <w:lvlJc w:val="left"/>
      <w:pPr>
        <w:ind w:left="5040" w:hanging="360"/>
      </w:pPr>
    </w:lvl>
    <w:lvl w:ilvl="7" w:tplc="868C41F6">
      <w:start w:val="1"/>
      <w:numFmt w:val="lowerLetter"/>
      <w:lvlText w:val="%8."/>
      <w:lvlJc w:val="left"/>
      <w:pPr>
        <w:ind w:left="5760" w:hanging="360"/>
      </w:pPr>
    </w:lvl>
    <w:lvl w:ilvl="8" w:tplc="D68C541E">
      <w:start w:val="1"/>
      <w:numFmt w:val="lowerRoman"/>
      <w:lvlText w:val="%9."/>
      <w:lvlJc w:val="right"/>
      <w:pPr>
        <w:ind w:left="6480" w:hanging="180"/>
      </w:pPr>
    </w:lvl>
  </w:abstractNum>
  <w:abstractNum w:abstractNumId="38" w15:restartNumberingAfterBreak="0">
    <w:nsid w:val="10D4510F"/>
    <w:multiLevelType w:val="hybridMultilevel"/>
    <w:tmpl w:val="620A8790"/>
    <w:lvl w:ilvl="0" w:tplc="FFFFFFFF">
      <w:start w:val="1"/>
      <w:numFmt w:val="decimal"/>
      <w:lvlText w:val="%1."/>
      <w:lvlJc w:val="left"/>
      <w:pPr>
        <w:ind w:left="720" w:hanging="360"/>
      </w:pPr>
    </w:lvl>
    <w:lvl w:ilvl="1" w:tplc="18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1743401"/>
    <w:multiLevelType w:val="hybridMultilevel"/>
    <w:tmpl w:val="CDDADF36"/>
    <w:lvl w:ilvl="0" w:tplc="37DE8C22">
      <w:start w:val="1"/>
      <w:numFmt w:val="lowerLetter"/>
      <w:lvlText w:val="%1)"/>
      <w:lvlJc w:val="left"/>
      <w:pPr>
        <w:ind w:left="1444" w:hanging="735"/>
      </w:pPr>
    </w:lvl>
    <w:lvl w:ilvl="1" w:tplc="56DCA680">
      <w:numFmt w:val="bullet"/>
      <w:lvlText w:val="•"/>
      <w:lvlJc w:val="left"/>
      <w:pPr>
        <w:ind w:left="1815" w:hanging="735"/>
      </w:pPr>
      <w:rPr>
        <w:rFonts w:ascii="Symbol" w:hAnsi="Symbol" w:hint="default"/>
      </w:rPr>
    </w:lvl>
    <w:lvl w:ilvl="2" w:tplc="FE8AAD00" w:tentative="1">
      <w:start w:val="1"/>
      <w:numFmt w:val="bullet"/>
      <w:lvlText w:val=""/>
      <w:lvlJc w:val="left"/>
      <w:pPr>
        <w:ind w:left="2160" w:hanging="360"/>
      </w:pPr>
      <w:rPr>
        <w:rFonts w:ascii="Cambria Math" w:hAnsi="Cambria Math" w:hint="default"/>
      </w:rPr>
    </w:lvl>
    <w:lvl w:ilvl="3" w:tplc="5B901776" w:tentative="1">
      <w:start w:val="1"/>
      <w:numFmt w:val="bullet"/>
      <w:lvlText w:val=""/>
      <w:lvlJc w:val="left"/>
      <w:pPr>
        <w:ind w:left="2880" w:hanging="360"/>
      </w:pPr>
      <w:rPr>
        <w:rFonts w:ascii="Segoe UI" w:hAnsi="Segoe UI" w:hint="default"/>
      </w:rPr>
    </w:lvl>
    <w:lvl w:ilvl="4" w:tplc="5EB84A54" w:tentative="1">
      <w:start w:val="1"/>
      <w:numFmt w:val="bullet"/>
      <w:lvlText w:val="o"/>
      <w:lvlJc w:val="left"/>
      <w:pPr>
        <w:ind w:left="3600" w:hanging="360"/>
      </w:pPr>
      <w:rPr>
        <w:rFonts w:ascii="Courier New" w:hAnsi="Courier New" w:hint="default"/>
      </w:rPr>
    </w:lvl>
    <w:lvl w:ilvl="5" w:tplc="118C749A" w:tentative="1">
      <w:start w:val="1"/>
      <w:numFmt w:val="bullet"/>
      <w:lvlText w:val=""/>
      <w:lvlJc w:val="left"/>
      <w:pPr>
        <w:ind w:left="4320" w:hanging="360"/>
      </w:pPr>
      <w:rPr>
        <w:rFonts w:ascii="Cambria Math" w:hAnsi="Cambria Math" w:hint="default"/>
      </w:rPr>
    </w:lvl>
    <w:lvl w:ilvl="6" w:tplc="AD529C66" w:tentative="1">
      <w:start w:val="1"/>
      <w:numFmt w:val="bullet"/>
      <w:lvlText w:val=""/>
      <w:lvlJc w:val="left"/>
      <w:pPr>
        <w:ind w:left="5040" w:hanging="360"/>
      </w:pPr>
      <w:rPr>
        <w:rFonts w:ascii="Segoe UI" w:hAnsi="Segoe UI" w:hint="default"/>
      </w:rPr>
    </w:lvl>
    <w:lvl w:ilvl="7" w:tplc="787EF6A4" w:tentative="1">
      <w:start w:val="1"/>
      <w:numFmt w:val="bullet"/>
      <w:lvlText w:val="o"/>
      <w:lvlJc w:val="left"/>
      <w:pPr>
        <w:ind w:left="5760" w:hanging="360"/>
      </w:pPr>
      <w:rPr>
        <w:rFonts w:ascii="Courier New" w:hAnsi="Courier New" w:hint="default"/>
      </w:rPr>
    </w:lvl>
    <w:lvl w:ilvl="8" w:tplc="B8EA8AE6" w:tentative="1">
      <w:start w:val="1"/>
      <w:numFmt w:val="bullet"/>
      <w:lvlText w:val=""/>
      <w:lvlJc w:val="left"/>
      <w:pPr>
        <w:ind w:left="6480" w:hanging="360"/>
      </w:pPr>
      <w:rPr>
        <w:rFonts w:ascii="Cambria Math" w:hAnsi="Cambria Math" w:hint="default"/>
      </w:rPr>
    </w:lvl>
  </w:abstractNum>
  <w:abstractNum w:abstractNumId="40" w15:restartNumberingAfterBreak="0">
    <w:nsid w:val="12B29CC8"/>
    <w:multiLevelType w:val="hybridMultilevel"/>
    <w:tmpl w:val="FFFFFFFF"/>
    <w:lvl w:ilvl="0" w:tplc="16A2BBB4">
      <w:start w:val="1"/>
      <w:numFmt w:val="bullet"/>
      <w:lvlText w:val="-"/>
      <w:lvlJc w:val="left"/>
      <w:pPr>
        <w:ind w:left="720" w:hanging="360"/>
      </w:pPr>
      <w:rPr>
        <w:rFonts w:ascii="Times New Roman" w:hAnsi="Times New Roman" w:hint="default"/>
      </w:rPr>
    </w:lvl>
    <w:lvl w:ilvl="1" w:tplc="7D4C53B8">
      <w:start w:val="1"/>
      <w:numFmt w:val="bullet"/>
      <w:lvlText w:val="o"/>
      <w:lvlJc w:val="left"/>
      <w:pPr>
        <w:ind w:left="1440" w:hanging="360"/>
      </w:pPr>
      <w:rPr>
        <w:rFonts w:ascii="Courier New" w:hAnsi="Courier New" w:hint="default"/>
      </w:rPr>
    </w:lvl>
    <w:lvl w:ilvl="2" w:tplc="1D0215B4">
      <w:start w:val="1"/>
      <w:numFmt w:val="bullet"/>
      <w:lvlText w:val=""/>
      <w:lvlJc w:val="left"/>
      <w:pPr>
        <w:ind w:left="2160" w:hanging="360"/>
      </w:pPr>
      <w:rPr>
        <w:rFonts w:ascii="Wingdings" w:hAnsi="Wingdings" w:hint="default"/>
      </w:rPr>
    </w:lvl>
    <w:lvl w:ilvl="3" w:tplc="EB50036C">
      <w:start w:val="1"/>
      <w:numFmt w:val="bullet"/>
      <w:lvlText w:val=""/>
      <w:lvlJc w:val="left"/>
      <w:pPr>
        <w:ind w:left="2880" w:hanging="360"/>
      </w:pPr>
      <w:rPr>
        <w:rFonts w:ascii="Symbol" w:hAnsi="Symbol" w:hint="default"/>
      </w:rPr>
    </w:lvl>
    <w:lvl w:ilvl="4" w:tplc="C6FC388A">
      <w:start w:val="1"/>
      <w:numFmt w:val="bullet"/>
      <w:lvlText w:val="o"/>
      <w:lvlJc w:val="left"/>
      <w:pPr>
        <w:ind w:left="3600" w:hanging="360"/>
      </w:pPr>
      <w:rPr>
        <w:rFonts w:ascii="Courier New" w:hAnsi="Courier New" w:hint="default"/>
      </w:rPr>
    </w:lvl>
    <w:lvl w:ilvl="5" w:tplc="81E22EFE">
      <w:start w:val="1"/>
      <w:numFmt w:val="bullet"/>
      <w:lvlText w:val=""/>
      <w:lvlJc w:val="left"/>
      <w:pPr>
        <w:ind w:left="4320" w:hanging="360"/>
      </w:pPr>
      <w:rPr>
        <w:rFonts w:ascii="Wingdings" w:hAnsi="Wingdings" w:hint="default"/>
      </w:rPr>
    </w:lvl>
    <w:lvl w:ilvl="6" w:tplc="17323E42">
      <w:start w:val="1"/>
      <w:numFmt w:val="bullet"/>
      <w:lvlText w:val=""/>
      <w:lvlJc w:val="left"/>
      <w:pPr>
        <w:ind w:left="5040" w:hanging="360"/>
      </w:pPr>
      <w:rPr>
        <w:rFonts w:ascii="Symbol" w:hAnsi="Symbol" w:hint="default"/>
      </w:rPr>
    </w:lvl>
    <w:lvl w:ilvl="7" w:tplc="BA109A92">
      <w:start w:val="1"/>
      <w:numFmt w:val="bullet"/>
      <w:lvlText w:val="o"/>
      <w:lvlJc w:val="left"/>
      <w:pPr>
        <w:ind w:left="5760" w:hanging="360"/>
      </w:pPr>
      <w:rPr>
        <w:rFonts w:ascii="Courier New" w:hAnsi="Courier New" w:hint="default"/>
      </w:rPr>
    </w:lvl>
    <w:lvl w:ilvl="8" w:tplc="733E9AB8">
      <w:start w:val="1"/>
      <w:numFmt w:val="bullet"/>
      <w:lvlText w:val=""/>
      <w:lvlJc w:val="left"/>
      <w:pPr>
        <w:ind w:left="6480" w:hanging="360"/>
      </w:pPr>
      <w:rPr>
        <w:rFonts w:ascii="Wingdings" w:hAnsi="Wingdings" w:hint="default"/>
      </w:rPr>
    </w:lvl>
  </w:abstractNum>
  <w:abstractNum w:abstractNumId="41" w15:restartNumberingAfterBreak="0">
    <w:nsid w:val="132D68F1"/>
    <w:multiLevelType w:val="hybridMultilevel"/>
    <w:tmpl w:val="72546D48"/>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42" w15:restartNumberingAfterBreak="0">
    <w:nsid w:val="137E057A"/>
    <w:multiLevelType w:val="hybridMultilevel"/>
    <w:tmpl w:val="81844CA8"/>
    <w:lvl w:ilvl="0" w:tplc="462ED10C">
      <w:start w:val="1"/>
      <w:numFmt w:val="decimal"/>
      <w:lvlText w:val="%1."/>
      <w:lvlJc w:val="left"/>
      <w:pPr>
        <w:ind w:left="1020" w:hanging="360"/>
      </w:pPr>
    </w:lvl>
    <w:lvl w:ilvl="1" w:tplc="6554B9BA">
      <w:start w:val="1"/>
      <w:numFmt w:val="decimal"/>
      <w:lvlText w:val="%2."/>
      <w:lvlJc w:val="left"/>
      <w:pPr>
        <w:ind w:left="1020" w:hanging="360"/>
      </w:pPr>
    </w:lvl>
    <w:lvl w:ilvl="2" w:tplc="CABAC828">
      <w:start w:val="1"/>
      <w:numFmt w:val="decimal"/>
      <w:lvlText w:val="%3."/>
      <w:lvlJc w:val="left"/>
      <w:pPr>
        <w:ind w:left="1020" w:hanging="360"/>
      </w:pPr>
    </w:lvl>
    <w:lvl w:ilvl="3" w:tplc="3D86C882">
      <w:start w:val="1"/>
      <w:numFmt w:val="decimal"/>
      <w:lvlText w:val="%4."/>
      <w:lvlJc w:val="left"/>
      <w:pPr>
        <w:ind w:left="1020" w:hanging="360"/>
      </w:pPr>
    </w:lvl>
    <w:lvl w:ilvl="4" w:tplc="9F5C21E6">
      <w:start w:val="1"/>
      <w:numFmt w:val="decimal"/>
      <w:lvlText w:val="%5."/>
      <w:lvlJc w:val="left"/>
      <w:pPr>
        <w:ind w:left="1020" w:hanging="360"/>
      </w:pPr>
    </w:lvl>
    <w:lvl w:ilvl="5" w:tplc="C8FABCDC">
      <w:start w:val="1"/>
      <w:numFmt w:val="decimal"/>
      <w:lvlText w:val="%6."/>
      <w:lvlJc w:val="left"/>
      <w:pPr>
        <w:ind w:left="1020" w:hanging="360"/>
      </w:pPr>
    </w:lvl>
    <w:lvl w:ilvl="6" w:tplc="D5129A08">
      <w:start w:val="1"/>
      <w:numFmt w:val="decimal"/>
      <w:lvlText w:val="%7."/>
      <w:lvlJc w:val="left"/>
      <w:pPr>
        <w:ind w:left="1020" w:hanging="360"/>
      </w:pPr>
    </w:lvl>
    <w:lvl w:ilvl="7" w:tplc="BF1C5114">
      <w:start w:val="1"/>
      <w:numFmt w:val="decimal"/>
      <w:lvlText w:val="%8."/>
      <w:lvlJc w:val="left"/>
      <w:pPr>
        <w:ind w:left="1020" w:hanging="360"/>
      </w:pPr>
    </w:lvl>
    <w:lvl w:ilvl="8" w:tplc="C2F4AAD6">
      <w:start w:val="1"/>
      <w:numFmt w:val="decimal"/>
      <w:lvlText w:val="%9."/>
      <w:lvlJc w:val="left"/>
      <w:pPr>
        <w:ind w:left="1020" w:hanging="360"/>
      </w:pPr>
    </w:lvl>
  </w:abstractNum>
  <w:abstractNum w:abstractNumId="43" w15:restartNumberingAfterBreak="0">
    <w:nsid w:val="143D2CF2"/>
    <w:multiLevelType w:val="hybridMultilevel"/>
    <w:tmpl w:val="E5E082A8"/>
    <w:lvl w:ilvl="0" w:tplc="08090017">
      <w:start w:val="1"/>
      <w:numFmt w:val="lowerLetter"/>
      <w:lvlText w:val="%1)"/>
      <w:lvlJc w:val="left"/>
      <w:pPr>
        <w:ind w:left="360" w:hanging="360"/>
      </w:pPr>
    </w:lvl>
    <w:lvl w:ilvl="1" w:tplc="0410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14FD5DB3"/>
    <w:multiLevelType w:val="hybridMultilevel"/>
    <w:tmpl w:val="A6A24092"/>
    <w:lvl w:ilvl="0" w:tplc="9A04348C">
      <w:start w:val="1"/>
      <w:numFmt w:val="decimal"/>
      <w:lvlText w:val="%1."/>
      <w:lvlJc w:val="left"/>
      <w:pPr>
        <w:ind w:left="720" w:hanging="360"/>
      </w:pPr>
    </w:lvl>
    <w:lvl w:ilvl="1" w:tplc="32322D4A">
      <w:start w:val="1"/>
      <w:numFmt w:val="decimal"/>
      <w:lvlText w:val="%2."/>
      <w:lvlJc w:val="left"/>
      <w:pPr>
        <w:ind w:left="720" w:hanging="360"/>
      </w:pPr>
    </w:lvl>
    <w:lvl w:ilvl="2" w:tplc="E2405F5E">
      <w:start w:val="1"/>
      <w:numFmt w:val="decimal"/>
      <w:lvlText w:val="%3."/>
      <w:lvlJc w:val="left"/>
      <w:pPr>
        <w:ind w:left="720" w:hanging="360"/>
      </w:pPr>
    </w:lvl>
    <w:lvl w:ilvl="3" w:tplc="18E8E950">
      <w:start w:val="1"/>
      <w:numFmt w:val="decimal"/>
      <w:lvlText w:val="%4."/>
      <w:lvlJc w:val="left"/>
      <w:pPr>
        <w:ind w:left="720" w:hanging="360"/>
      </w:pPr>
    </w:lvl>
    <w:lvl w:ilvl="4" w:tplc="5A108E8E">
      <w:start w:val="1"/>
      <w:numFmt w:val="decimal"/>
      <w:lvlText w:val="%5."/>
      <w:lvlJc w:val="left"/>
      <w:pPr>
        <w:ind w:left="720" w:hanging="360"/>
      </w:pPr>
    </w:lvl>
    <w:lvl w:ilvl="5" w:tplc="4FE69074">
      <w:start w:val="1"/>
      <w:numFmt w:val="decimal"/>
      <w:lvlText w:val="%6."/>
      <w:lvlJc w:val="left"/>
      <w:pPr>
        <w:ind w:left="720" w:hanging="360"/>
      </w:pPr>
    </w:lvl>
    <w:lvl w:ilvl="6" w:tplc="41BE95C6">
      <w:start w:val="1"/>
      <w:numFmt w:val="decimal"/>
      <w:lvlText w:val="%7."/>
      <w:lvlJc w:val="left"/>
      <w:pPr>
        <w:ind w:left="720" w:hanging="360"/>
      </w:pPr>
    </w:lvl>
    <w:lvl w:ilvl="7" w:tplc="7C24DB62">
      <w:start w:val="1"/>
      <w:numFmt w:val="decimal"/>
      <w:lvlText w:val="%8."/>
      <w:lvlJc w:val="left"/>
      <w:pPr>
        <w:ind w:left="720" w:hanging="360"/>
      </w:pPr>
    </w:lvl>
    <w:lvl w:ilvl="8" w:tplc="E2B60C2A">
      <w:start w:val="1"/>
      <w:numFmt w:val="decimal"/>
      <w:lvlText w:val="%9."/>
      <w:lvlJc w:val="left"/>
      <w:pPr>
        <w:ind w:left="720" w:hanging="360"/>
      </w:pPr>
    </w:lvl>
  </w:abstractNum>
  <w:abstractNum w:abstractNumId="45" w15:restartNumberingAfterBreak="0">
    <w:nsid w:val="15621213"/>
    <w:multiLevelType w:val="hybridMultilevel"/>
    <w:tmpl w:val="4176DAD0"/>
    <w:lvl w:ilvl="0" w:tplc="164E0388">
      <w:start w:val="1"/>
      <w:numFmt w:val="decimal"/>
      <w:lvlText w:val="%1."/>
      <w:lvlJc w:val="left"/>
      <w:pPr>
        <w:ind w:left="1020" w:hanging="360"/>
      </w:pPr>
    </w:lvl>
    <w:lvl w:ilvl="1" w:tplc="BD700CB8">
      <w:start w:val="1"/>
      <w:numFmt w:val="decimal"/>
      <w:lvlText w:val="%2."/>
      <w:lvlJc w:val="left"/>
      <w:pPr>
        <w:ind w:left="1020" w:hanging="360"/>
      </w:pPr>
    </w:lvl>
    <w:lvl w:ilvl="2" w:tplc="2BE0995C">
      <w:start w:val="1"/>
      <w:numFmt w:val="decimal"/>
      <w:lvlText w:val="%3."/>
      <w:lvlJc w:val="left"/>
      <w:pPr>
        <w:ind w:left="1020" w:hanging="360"/>
      </w:pPr>
    </w:lvl>
    <w:lvl w:ilvl="3" w:tplc="E206B004">
      <w:start w:val="1"/>
      <w:numFmt w:val="decimal"/>
      <w:lvlText w:val="%4."/>
      <w:lvlJc w:val="left"/>
      <w:pPr>
        <w:ind w:left="1020" w:hanging="360"/>
      </w:pPr>
    </w:lvl>
    <w:lvl w:ilvl="4" w:tplc="1F823718">
      <w:start w:val="1"/>
      <w:numFmt w:val="decimal"/>
      <w:lvlText w:val="%5."/>
      <w:lvlJc w:val="left"/>
      <w:pPr>
        <w:ind w:left="1020" w:hanging="360"/>
      </w:pPr>
    </w:lvl>
    <w:lvl w:ilvl="5" w:tplc="EB4C4F4E">
      <w:start w:val="1"/>
      <w:numFmt w:val="decimal"/>
      <w:lvlText w:val="%6."/>
      <w:lvlJc w:val="left"/>
      <w:pPr>
        <w:ind w:left="1020" w:hanging="360"/>
      </w:pPr>
    </w:lvl>
    <w:lvl w:ilvl="6" w:tplc="C1B4A4B4">
      <w:start w:val="1"/>
      <w:numFmt w:val="decimal"/>
      <w:lvlText w:val="%7."/>
      <w:lvlJc w:val="left"/>
      <w:pPr>
        <w:ind w:left="1020" w:hanging="360"/>
      </w:pPr>
    </w:lvl>
    <w:lvl w:ilvl="7" w:tplc="2AF417E2">
      <w:start w:val="1"/>
      <w:numFmt w:val="decimal"/>
      <w:lvlText w:val="%8."/>
      <w:lvlJc w:val="left"/>
      <w:pPr>
        <w:ind w:left="1020" w:hanging="360"/>
      </w:pPr>
    </w:lvl>
    <w:lvl w:ilvl="8" w:tplc="7BF4D37C">
      <w:start w:val="1"/>
      <w:numFmt w:val="decimal"/>
      <w:lvlText w:val="%9."/>
      <w:lvlJc w:val="left"/>
      <w:pPr>
        <w:ind w:left="1020" w:hanging="360"/>
      </w:pPr>
    </w:lvl>
  </w:abstractNum>
  <w:abstractNum w:abstractNumId="46" w15:restartNumberingAfterBreak="0">
    <w:nsid w:val="1697510B"/>
    <w:multiLevelType w:val="hybridMultilevel"/>
    <w:tmpl w:val="FD88D5BA"/>
    <w:lvl w:ilvl="0" w:tplc="84A8C37A">
      <w:start w:val="1"/>
      <w:numFmt w:val="lowerLetter"/>
      <w:lvlText w:val="%1)"/>
      <w:lvlJc w:val="left"/>
      <w:pPr>
        <w:ind w:left="1146" w:hanging="360"/>
      </w:pPr>
    </w:lvl>
    <w:lvl w:ilvl="1" w:tplc="B12C8068" w:tentative="1">
      <w:start w:val="1"/>
      <w:numFmt w:val="bullet"/>
      <w:lvlText w:val="o"/>
      <w:lvlJc w:val="left"/>
      <w:pPr>
        <w:ind w:left="1866" w:hanging="360"/>
      </w:pPr>
      <w:rPr>
        <w:rFonts w:ascii="Courier New" w:hAnsi="Courier New" w:hint="default"/>
      </w:rPr>
    </w:lvl>
    <w:lvl w:ilvl="2" w:tplc="AB5A50E8" w:tentative="1">
      <w:start w:val="1"/>
      <w:numFmt w:val="bullet"/>
      <w:lvlText w:val=""/>
      <w:lvlJc w:val="left"/>
      <w:pPr>
        <w:ind w:left="2586" w:hanging="360"/>
      </w:pPr>
      <w:rPr>
        <w:rFonts w:ascii="Cambria Math" w:hAnsi="Cambria Math" w:hint="default"/>
      </w:rPr>
    </w:lvl>
    <w:lvl w:ilvl="3" w:tplc="4AE0D6FC" w:tentative="1">
      <w:start w:val="1"/>
      <w:numFmt w:val="bullet"/>
      <w:lvlText w:val=""/>
      <w:lvlJc w:val="left"/>
      <w:pPr>
        <w:ind w:left="3306" w:hanging="360"/>
      </w:pPr>
      <w:rPr>
        <w:rFonts w:ascii="Segoe UI" w:hAnsi="Segoe UI" w:hint="default"/>
      </w:rPr>
    </w:lvl>
    <w:lvl w:ilvl="4" w:tplc="04322F6A" w:tentative="1">
      <w:start w:val="1"/>
      <w:numFmt w:val="bullet"/>
      <w:lvlText w:val="o"/>
      <w:lvlJc w:val="left"/>
      <w:pPr>
        <w:ind w:left="4026" w:hanging="360"/>
      </w:pPr>
      <w:rPr>
        <w:rFonts w:ascii="Courier New" w:hAnsi="Courier New" w:hint="default"/>
      </w:rPr>
    </w:lvl>
    <w:lvl w:ilvl="5" w:tplc="4A5032D0" w:tentative="1">
      <w:start w:val="1"/>
      <w:numFmt w:val="bullet"/>
      <w:lvlText w:val=""/>
      <w:lvlJc w:val="left"/>
      <w:pPr>
        <w:ind w:left="4746" w:hanging="360"/>
      </w:pPr>
      <w:rPr>
        <w:rFonts w:ascii="Cambria Math" w:hAnsi="Cambria Math" w:hint="default"/>
      </w:rPr>
    </w:lvl>
    <w:lvl w:ilvl="6" w:tplc="9EC6A0B0" w:tentative="1">
      <w:start w:val="1"/>
      <w:numFmt w:val="bullet"/>
      <w:lvlText w:val=""/>
      <w:lvlJc w:val="left"/>
      <w:pPr>
        <w:ind w:left="5466" w:hanging="360"/>
      </w:pPr>
      <w:rPr>
        <w:rFonts w:ascii="Segoe UI" w:hAnsi="Segoe UI" w:hint="default"/>
      </w:rPr>
    </w:lvl>
    <w:lvl w:ilvl="7" w:tplc="0930FAFA" w:tentative="1">
      <w:start w:val="1"/>
      <w:numFmt w:val="bullet"/>
      <w:lvlText w:val="o"/>
      <w:lvlJc w:val="left"/>
      <w:pPr>
        <w:ind w:left="6186" w:hanging="360"/>
      </w:pPr>
      <w:rPr>
        <w:rFonts w:ascii="Courier New" w:hAnsi="Courier New" w:hint="default"/>
      </w:rPr>
    </w:lvl>
    <w:lvl w:ilvl="8" w:tplc="D1C885B0" w:tentative="1">
      <w:start w:val="1"/>
      <w:numFmt w:val="bullet"/>
      <w:lvlText w:val=""/>
      <w:lvlJc w:val="left"/>
      <w:pPr>
        <w:ind w:left="6906" w:hanging="360"/>
      </w:pPr>
      <w:rPr>
        <w:rFonts w:ascii="Cambria Math" w:hAnsi="Cambria Math" w:hint="default"/>
      </w:rPr>
    </w:lvl>
  </w:abstractNum>
  <w:abstractNum w:abstractNumId="47" w15:restartNumberingAfterBreak="0">
    <w:nsid w:val="17CA5D72"/>
    <w:multiLevelType w:val="hybridMultilevel"/>
    <w:tmpl w:val="31DC2798"/>
    <w:lvl w:ilvl="0" w:tplc="4C38535E">
      <w:start w:val="1"/>
      <w:numFmt w:val="decimal"/>
      <w:lvlText w:val="%1."/>
      <w:lvlJc w:val="left"/>
      <w:pPr>
        <w:ind w:left="720" w:hanging="360"/>
      </w:pPr>
    </w:lvl>
    <w:lvl w:ilvl="1" w:tplc="9AA8B278">
      <w:start w:val="1"/>
      <w:numFmt w:val="decimal"/>
      <w:lvlText w:val="%2."/>
      <w:lvlJc w:val="left"/>
      <w:pPr>
        <w:ind w:left="720" w:hanging="360"/>
      </w:pPr>
    </w:lvl>
    <w:lvl w:ilvl="2" w:tplc="1C5A0A52">
      <w:start w:val="1"/>
      <w:numFmt w:val="decimal"/>
      <w:lvlText w:val="%3."/>
      <w:lvlJc w:val="left"/>
      <w:pPr>
        <w:ind w:left="720" w:hanging="360"/>
      </w:pPr>
    </w:lvl>
    <w:lvl w:ilvl="3" w:tplc="38A2317E">
      <w:start w:val="1"/>
      <w:numFmt w:val="decimal"/>
      <w:lvlText w:val="%4."/>
      <w:lvlJc w:val="left"/>
      <w:pPr>
        <w:ind w:left="720" w:hanging="360"/>
      </w:pPr>
    </w:lvl>
    <w:lvl w:ilvl="4" w:tplc="2A963FB4">
      <w:start w:val="1"/>
      <w:numFmt w:val="decimal"/>
      <w:lvlText w:val="%5."/>
      <w:lvlJc w:val="left"/>
      <w:pPr>
        <w:ind w:left="720" w:hanging="360"/>
      </w:pPr>
    </w:lvl>
    <w:lvl w:ilvl="5" w:tplc="2B3281EE">
      <w:start w:val="1"/>
      <w:numFmt w:val="decimal"/>
      <w:lvlText w:val="%6."/>
      <w:lvlJc w:val="left"/>
      <w:pPr>
        <w:ind w:left="720" w:hanging="360"/>
      </w:pPr>
    </w:lvl>
    <w:lvl w:ilvl="6" w:tplc="1AD60810">
      <w:start w:val="1"/>
      <w:numFmt w:val="decimal"/>
      <w:lvlText w:val="%7."/>
      <w:lvlJc w:val="left"/>
      <w:pPr>
        <w:ind w:left="720" w:hanging="360"/>
      </w:pPr>
    </w:lvl>
    <w:lvl w:ilvl="7" w:tplc="92E27D04">
      <w:start w:val="1"/>
      <w:numFmt w:val="decimal"/>
      <w:lvlText w:val="%8."/>
      <w:lvlJc w:val="left"/>
      <w:pPr>
        <w:ind w:left="720" w:hanging="360"/>
      </w:pPr>
    </w:lvl>
    <w:lvl w:ilvl="8" w:tplc="965E262E">
      <w:start w:val="1"/>
      <w:numFmt w:val="decimal"/>
      <w:lvlText w:val="%9."/>
      <w:lvlJc w:val="left"/>
      <w:pPr>
        <w:ind w:left="720" w:hanging="360"/>
      </w:pPr>
    </w:lvl>
  </w:abstractNum>
  <w:abstractNum w:abstractNumId="48" w15:restartNumberingAfterBreak="0">
    <w:nsid w:val="18220F9B"/>
    <w:multiLevelType w:val="hybridMultilevel"/>
    <w:tmpl w:val="BCACA684"/>
    <w:lvl w:ilvl="0" w:tplc="18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8664206"/>
    <w:multiLevelType w:val="multilevel"/>
    <w:tmpl w:val="638E9E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1911A4DB"/>
    <w:multiLevelType w:val="hybridMultilevel"/>
    <w:tmpl w:val="FFFFFFFF"/>
    <w:lvl w:ilvl="0" w:tplc="455EA81A">
      <w:start w:val="1"/>
      <w:numFmt w:val="bullet"/>
      <w:lvlText w:val=""/>
      <w:lvlJc w:val="left"/>
      <w:pPr>
        <w:ind w:left="720" w:hanging="360"/>
      </w:pPr>
      <w:rPr>
        <w:rFonts w:ascii="Symbol" w:hAnsi="Symbol" w:hint="default"/>
      </w:rPr>
    </w:lvl>
    <w:lvl w:ilvl="1" w:tplc="65FCEC66">
      <w:start w:val="1"/>
      <w:numFmt w:val="bullet"/>
      <w:lvlText w:val="o"/>
      <w:lvlJc w:val="left"/>
      <w:pPr>
        <w:ind w:left="1440" w:hanging="360"/>
      </w:pPr>
      <w:rPr>
        <w:rFonts w:ascii="Courier New" w:hAnsi="Courier New" w:hint="default"/>
      </w:rPr>
    </w:lvl>
    <w:lvl w:ilvl="2" w:tplc="A6220DF8">
      <w:start w:val="1"/>
      <w:numFmt w:val="bullet"/>
      <w:lvlText w:val="§"/>
      <w:lvlJc w:val="left"/>
      <w:pPr>
        <w:ind w:left="2160" w:hanging="360"/>
      </w:pPr>
      <w:rPr>
        <w:rFonts w:ascii="Wingdings" w:hAnsi="Wingdings" w:hint="default"/>
      </w:rPr>
    </w:lvl>
    <w:lvl w:ilvl="3" w:tplc="5CBCEBAA">
      <w:start w:val="1"/>
      <w:numFmt w:val="bullet"/>
      <w:lvlText w:val=""/>
      <w:lvlJc w:val="left"/>
      <w:pPr>
        <w:ind w:left="2880" w:hanging="360"/>
      </w:pPr>
      <w:rPr>
        <w:rFonts w:ascii="Symbol" w:hAnsi="Symbol" w:hint="default"/>
      </w:rPr>
    </w:lvl>
    <w:lvl w:ilvl="4" w:tplc="766A6638">
      <w:start w:val="1"/>
      <w:numFmt w:val="bullet"/>
      <w:lvlText w:val="o"/>
      <w:lvlJc w:val="left"/>
      <w:pPr>
        <w:ind w:left="3600" w:hanging="360"/>
      </w:pPr>
      <w:rPr>
        <w:rFonts w:ascii="Courier New" w:hAnsi="Courier New" w:hint="default"/>
      </w:rPr>
    </w:lvl>
    <w:lvl w:ilvl="5" w:tplc="C7D6D318">
      <w:start w:val="1"/>
      <w:numFmt w:val="bullet"/>
      <w:lvlText w:val=""/>
      <w:lvlJc w:val="left"/>
      <w:pPr>
        <w:ind w:left="4320" w:hanging="360"/>
      </w:pPr>
      <w:rPr>
        <w:rFonts w:ascii="Wingdings" w:hAnsi="Wingdings" w:hint="default"/>
      </w:rPr>
    </w:lvl>
    <w:lvl w:ilvl="6" w:tplc="D5326C18">
      <w:start w:val="1"/>
      <w:numFmt w:val="bullet"/>
      <w:lvlText w:val=""/>
      <w:lvlJc w:val="left"/>
      <w:pPr>
        <w:ind w:left="5040" w:hanging="360"/>
      </w:pPr>
      <w:rPr>
        <w:rFonts w:ascii="Symbol" w:hAnsi="Symbol" w:hint="default"/>
      </w:rPr>
    </w:lvl>
    <w:lvl w:ilvl="7" w:tplc="379A8996">
      <w:start w:val="1"/>
      <w:numFmt w:val="bullet"/>
      <w:lvlText w:val="o"/>
      <w:lvlJc w:val="left"/>
      <w:pPr>
        <w:ind w:left="5760" w:hanging="360"/>
      </w:pPr>
      <w:rPr>
        <w:rFonts w:ascii="Courier New" w:hAnsi="Courier New" w:hint="default"/>
      </w:rPr>
    </w:lvl>
    <w:lvl w:ilvl="8" w:tplc="D89EA68C">
      <w:start w:val="1"/>
      <w:numFmt w:val="bullet"/>
      <w:lvlText w:val=""/>
      <w:lvlJc w:val="left"/>
      <w:pPr>
        <w:ind w:left="6480" w:hanging="360"/>
      </w:pPr>
      <w:rPr>
        <w:rFonts w:ascii="Wingdings" w:hAnsi="Wingdings" w:hint="default"/>
      </w:rPr>
    </w:lvl>
  </w:abstractNum>
  <w:abstractNum w:abstractNumId="51" w15:restartNumberingAfterBreak="0">
    <w:nsid w:val="197B3DD8"/>
    <w:multiLevelType w:val="hybridMultilevel"/>
    <w:tmpl w:val="87288680"/>
    <w:lvl w:ilvl="0" w:tplc="4606A368">
      <w:start w:val="1"/>
      <w:numFmt w:val="decimal"/>
      <w:lvlText w:val="%1."/>
      <w:lvlJc w:val="left"/>
      <w:pPr>
        <w:ind w:left="1020" w:hanging="360"/>
      </w:pPr>
    </w:lvl>
    <w:lvl w:ilvl="1" w:tplc="5328B266">
      <w:start w:val="1"/>
      <w:numFmt w:val="decimal"/>
      <w:lvlText w:val="%2."/>
      <w:lvlJc w:val="left"/>
      <w:pPr>
        <w:ind w:left="1020" w:hanging="360"/>
      </w:pPr>
    </w:lvl>
    <w:lvl w:ilvl="2" w:tplc="8D940280">
      <w:start w:val="1"/>
      <w:numFmt w:val="decimal"/>
      <w:lvlText w:val="%3."/>
      <w:lvlJc w:val="left"/>
      <w:pPr>
        <w:ind w:left="1020" w:hanging="360"/>
      </w:pPr>
    </w:lvl>
    <w:lvl w:ilvl="3" w:tplc="3BF6D72E">
      <w:start w:val="1"/>
      <w:numFmt w:val="decimal"/>
      <w:lvlText w:val="%4."/>
      <w:lvlJc w:val="left"/>
      <w:pPr>
        <w:ind w:left="1020" w:hanging="360"/>
      </w:pPr>
    </w:lvl>
    <w:lvl w:ilvl="4" w:tplc="8F52C398">
      <w:start w:val="1"/>
      <w:numFmt w:val="decimal"/>
      <w:lvlText w:val="%5."/>
      <w:lvlJc w:val="left"/>
      <w:pPr>
        <w:ind w:left="1020" w:hanging="360"/>
      </w:pPr>
    </w:lvl>
    <w:lvl w:ilvl="5" w:tplc="17FA592E">
      <w:start w:val="1"/>
      <w:numFmt w:val="decimal"/>
      <w:lvlText w:val="%6."/>
      <w:lvlJc w:val="left"/>
      <w:pPr>
        <w:ind w:left="1020" w:hanging="360"/>
      </w:pPr>
    </w:lvl>
    <w:lvl w:ilvl="6" w:tplc="AC723492">
      <w:start w:val="1"/>
      <w:numFmt w:val="decimal"/>
      <w:lvlText w:val="%7."/>
      <w:lvlJc w:val="left"/>
      <w:pPr>
        <w:ind w:left="1020" w:hanging="360"/>
      </w:pPr>
    </w:lvl>
    <w:lvl w:ilvl="7" w:tplc="280478E6">
      <w:start w:val="1"/>
      <w:numFmt w:val="decimal"/>
      <w:lvlText w:val="%8."/>
      <w:lvlJc w:val="left"/>
      <w:pPr>
        <w:ind w:left="1020" w:hanging="360"/>
      </w:pPr>
    </w:lvl>
    <w:lvl w:ilvl="8" w:tplc="AECC6D6A">
      <w:start w:val="1"/>
      <w:numFmt w:val="decimal"/>
      <w:lvlText w:val="%9."/>
      <w:lvlJc w:val="left"/>
      <w:pPr>
        <w:ind w:left="1020" w:hanging="360"/>
      </w:pPr>
    </w:lvl>
  </w:abstractNum>
  <w:abstractNum w:abstractNumId="52" w15:restartNumberingAfterBreak="0">
    <w:nsid w:val="1AB540A8"/>
    <w:multiLevelType w:val="hybridMultilevel"/>
    <w:tmpl w:val="D06E840E"/>
    <w:lvl w:ilvl="0" w:tplc="7B281CE4">
      <w:start w:val="1"/>
      <w:numFmt w:val="lowerRoman"/>
      <w:lvlText w:val="%1."/>
      <w:lvlJc w:val="right"/>
      <w:pPr>
        <w:ind w:left="1440" w:hanging="360"/>
      </w:pPr>
      <w:rPr>
        <w:b w:val="0"/>
        <w:bCs/>
        <w:color w:val="auto"/>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4" w15:restartNumberingAfterBreak="0">
    <w:nsid w:val="1BD572EE"/>
    <w:multiLevelType w:val="hybridMultilevel"/>
    <w:tmpl w:val="C2BE819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1DC17AA4"/>
    <w:multiLevelType w:val="hybridMultilevel"/>
    <w:tmpl w:val="FFFFFFFF"/>
    <w:lvl w:ilvl="0" w:tplc="1DF0C1C8">
      <w:start w:val="1"/>
      <w:numFmt w:val="bullet"/>
      <w:lvlText w:val=""/>
      <w:lvlJc w:val="left"/>
      <w:pPr>
        <w:ind w:left="720" w:hanging="360"/>
      </w:pPr>
      <w:rPr>
        <w:rFonts w:ascii="Symbol" w:hAnsi="Symbol" w:hint="default"/>
      </w:rPr>
    </w:lvl>
    <w:lvl w:ilvl="1" w:tplc="CFBE2B5C">
      <w:start w:val="1"/>
      <w:numFmt w:val="bullet"/>
      <w:lvlText w:val="o"/>
      <w:lvlJc w:val="left"/>
      <w:pPr>
        <w:ind w:left="1440" w:hanging="360"/>
      </w:pPr>
      <w:rPr>
        <w:rFonts w:ascii="Courier New" w:hAnsi="Courier New" w:hint="default"/>
      </w:rPr>
    </w:lvl>
    <w:lvl w:ilvl="2" w:tplc="E1AE82BE">
      <w:start w:val="1"/>
      <w:numFmt w:val="bullet"/>
      <w:lvlText w:val=""/>
      <w:lvlJc w:val="left"/>
      <w:pPr>
        <w:ind w:left="2160" w:hanging="360"/>
      </w:pPr>
      <w:rPr>
        <w:rFonts w:ascii="Wingdings" w:hAnsi="Wingdings" w:hint="default"/>
      </w:rPr>
    </w:lvl>
    <w:lvl w:ilvl="3" w:tplc="25302BBE">
      <w:start w:val="1"/>
      <w:numFmt w:val="bullet"/>
      <w:lvlText w:val=""/>
      <w:lvlJc w:val="left"/>
      <w:pPr>
        <w:ind w:left="2880" w:hanging="360"/>
      </w:pPr>
      <w:rPr>
        <w:rFonts w:ascii="Symbol" w:hAnsi="Symbol" w:hint="default"/>
      </w:rPr>
    </w:lvl>
    <w:lvl w:ilvl="4" w:tplc="777C3C68">
      <w:start w:val="1"/>
      <w:numFmt w:val="bullet"/>
      <w:lvlText w:val="o"/>
      <w:lvlJc w:val="left"/>
      <w:pPr>
        <w:ind w:left="3600" w:hanging="360"/>
      </w:pPr>
      <w:rPr>
        <w:rFonts w:ascii="Courier New" w:hAnsi="Courier New" w:hint="default"/>
      </w:rPr>
    </w:lvl>
    <w:lvl w:ilvl="5" w:tplc="E286D97A">
      <w:start w:val="1"/>
      <w:numFmt w:val="bullet"/>
      <w:lvlText w:val=""/>
      <w:lvlJc w:val="left"/>
      <w:pPr>
        <w:ind w:left="4320" w:hanging="360"/>
      </w:pPr>
      <w:rPr>
        <w:rFonts w:ascii="Wingdings" w:hAnsi="Wingdings" w:hint="default"/>
      </w:rPr>
    </w:lvl>
    <w:lvl w:ilvl="6" w:tplc="CC821F8E">
      <w:start w:val="1"/>
      <w:numFmt w:val="bullet"/>
      <w:lvlText w:val=""/>
      <w:lvlJc w:val="left"/>
      <w:pPr>
        <w:ind w:left="5040" w:hanging="360"/>
      </w:pPr>
      <w:rPr>
        <w:rFonts w:ascii="Symbol" w:hAnsi="Symbol" w:hint="default"/>
      </w:rPr>
    </w:lvl>
    <w:lvl w:ilvl="7" w:tplc="1228F2C0">
      <w:start w:val="1"/>
      <w:numFmt w:val="bullet"/>
      <w:lvlText w:val="o"/>
      <w:lvlJc w:val="left"/>
      <w:pPr>
        <w:ind w:left="5760" w:hanging="360"/>
      </w:pPr>
      <w:rPr>
        <w:rFonts w:ascii="Courier New" w:hAnsi="Courier New" w:hint="default"/>
      </w:rPr>
    </w:lvl>
    <w:lvl w:ilvl="8" w:tplc="503205EC">
      <w:start w:val="1"/>
      <w:numFmt w:val="bullet"/>
      <w:lvlText w:val=""/>
      <w:lvlJc w:val="left"/>
      <w:pPr>
        <w:ind w:left="6480" w:hanging="360"/>
      </w:pPr>
      <w:rPr>
        <w:rFonts w:ascii="Wingdings" w:hAnsi="Wingdings" w:hint="default"/>
      </w:rPr>
    </w:lvl>
  </w:abstractNum>
  <w:abstractNum w:abstractNumId="56" w15:restartNumberingAfterBreak="0">
    <w:nsid w:val="1E832D1B"/>
    <w:multiLevelType w:val="hybridMultilevel"/>
    <w:tmpl w:val="254E87B4"/>
    <w:lvl w:ilvl="0" w:tplc="18090001">
      <w:start w:val="1"/>
      <w:numFmt w:val="bullet"/>
      <w:lvlText w:val=""/>
      <w:lvlJc w:val="left"/>
      <w:pPr>
        <w:ind w:left="1080" w:hanging="360"/>
      </w:pPr>
      <w:rPr>
        <w:rFonts w:ascii="Symbol" w:hAnsi="Symbol" w:hint="default"/>
        <w:sz w:val="24"/>
        <w:szCs w:val="24"/>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1EAA26B3"/>
    <w:multiLevelType w:val="hybridMultilevel"/>
    <w:tmpl w:val="AFC2569C"/>
    <w:lvl w:ilvl="0" w:tplc="4352286A">
      <w:start w:val="1"/>
      <w:numFmt w:val="decimal"/>
      <w:lvlText w:val="%1)"/>
      <w:lvlJc w:val="left"/>
      <w:pPr>
        <w:ind w:left="360" w:hanging="360"/>
      </w:pPr>
    </w:lvl>
    <w:lvl w:ilvl="1" w:tplc="D1227F5A" w:tentative="1">
      <w:start w:val="1"/>
      <w:numFmt w:val="bullet"/>
      <w:lvlText w:val="o"/>
      <w:lvlJc w:val="left"/>
      <w:pPr>
        <w:ind w:left="1080" w:hanging="360"/>
      </w:pPr>
      <w:rPr>
        <w:rFonts w:ascii="Courier New" w:hAnsi="Courier New" w:hint="default"/>
      </w:rPr>
    </w:lvl>
    <w:lvl w:ilvl="2" w:tplc="3034B092" w:tentative="1">
      <w:start w:val="1"/>
      <w:numFmt w:val="bullet"/>
      <w:lvlText w:val=""/>
      <w:lvlJc w:val="left"/>
      <w:pPr>
        <w:ind w:left="1800" w:hanging="360"/>
      </w:pPr>
      <w:rPr>
        <w:rFonts w:ascii="Cambria Math" w:hAnsi="Cambria Math" w:hint="default"/>
      </w:rPr>
    </w:lvl>
    <w:lvl w:ilvl="3" w:tplc="5128C212" w:tentative="1">
      <w:start w:val="1"/>
      <w:numFmt w:val="bullet"/>
      <w:lvlText w:val=""/>
      <w:lvlJc w:val="left"/>
      <w:pPr>
        <w:ind w:left="2520" w:hanging="360"/>
      </w:pPr>
      <w:rPr>
        <w:rFonts w:ascii="Segoe UI" w:hAnsi="Segoe UI" w:hint="default"/>
      </w:rPr>
    </w:lvl>
    <w:lvl w:ilvl="4" w:tplc="D9D0816A" w:tentative="1">
      <w:start w:val="1"/>
      <w:numFmt w:val="bullet"/>
      <w:lvlText w:val="o"/>
      <w:lvlJc w:val="left"/>
      <w:pPr>
        <w:ind w:left="3240" w:hanging="360"/>
      </w:pPr>
      <w:rPr>
        <w:rFonts w:ascii="Courier New" w:hAnsi="Courier New" w:hint="default"/>
      </w:rPr>
    </w:lvl>
    <w:lvl w:ilvl="5" w:tplc="49E65A7A" w:tentative="1">
      <w:start w:val="1"/>
      <w:numFmt w:val="bullet"/>
      <w:lvlText w:val=""/>
      <w:lvlJc w:val="left"/>
      <w:pPr>
        <w:ind w:left="3960" w:hanging="360"/>
      </w:pPr>
      <w:rPr>
        <w:rFonts w:ascii="Cambria Math" w:hAnsi="Cambria Math" w:hint="default"/>
      </w:rPr>
    </w:lvl>
    <w:lvl w:ilvl="6" w:tplc="799267C0" w:tentative="1">
      <w:start w:val="1"/>
      <w:numFmt w:val="bullet"/>
      <w:lvlText w:val=""/>
      <w:lvlJc w:val="left"/>
      <w:pPr>
        <w:ind w:left="4680" w:hanging="360"/>
      </w:pPr>
      <w:rPr>
        <w:rFonts w:ascii="Segoe UI" w:hAnsi="Segoe UI" w:hint="default"/>
      </w:rPr>
    </w:lvl>
    <w:lvl w:ilvl="7" w:tplc="A4D2BB0A" w:tentative="1">
      <w:start w:val="1"/>
      <w:numFmt w:val="bullet"/>
      <w:lvlText w:val="o"/>
      <w:lvlJc w:val="left"/>
      <w:pPr>
        <w:ind w:left="5400" w:hanging="360"/>
      </w:pPr>
      <w:rPr>
        <w:rFonts w:ascii="Courier New" w:hAnsi="Courier New" w:hint="default"/>
      </w:rPr>
    </w:lvl>
    <w:lvl w:ilvl="8" w:tplc="E26623A0" w:tentative="1">
      <w:start w:val="1"/>
      <w:numFmt w:val="bullet"/>
      <w:lvlText w:val=""/>
      <w:lvlJc w:val="left"/>
      <w:pPr>
        <w:ind w:left="6120" w:hanging="360"/>
      </w:pPr>
      <w:rPr>
        <w:rFonts w:ascii="Cambria Math" w:hAnsi="Cambria Math" w:hint="default"/>
      </w:rPr>
    </w:lvl>
  </w:abstractNum>
  <w:abstractNum w:abstractNumId="58" w15:restartNumberingAfterBreak="0">
    <w:nsid w:val="1FC57EB4"/>
    <w:multiLevelType w:val="hybridMultilevel"/>
    <w:tmpl w:val="82DCD27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9" w15:restartNumberingAfterBreak="0">
    <w:nsid w:val="1FE2A96D"/>
    <w:multiLevelType w:val="hybridMultilevel"/>
    <w:tmpl w:val="FFFFFFFF"/>
    <w:lvl w:ilvl="0" w:tplc="4C105798">
      <w:start w:val="1"/>
      <w:numFmt w:val="bullet"/>
      <w:lvlText w:val="·"/>
      <w:lvlJc w:val="left"/>
      <w:pPr>
        <w:ind w:left="720" w:hanging="360"/>
      </w:pPr>
      <w:rPr>
        <w:rFonts w:ascii="Symbol" w:hAnsi="Symbol" w:hint="default"/>
      </w:rPr>
    </w:lvl>
    <w:lvl w:ilvl="1" w:tplc="BBD2FF70">
      <w:start w:val="1"/>
      <w:numFmt w:val="bullet"/>
      <w:lvlText w:val="o"/>
      <w:lvlJc w:val="left"/>
      <w:pPr>
        <w:ind w:left="1440" w:hanging="360"/>
      </w:pPr>
      <w:rPr>
        <w:rFonts w:ascii="Courier New" w:hAnsi="Courier New" w:hint="default"/>
      </w:rPr>
    </w:lvl>
    <w:lvl w:ilvl="2" w:tplc="3A068084">
      <w:start w:val="1"/>
      <w:numFmt w:val="bullet"/>
      <w:pStyle w:val="LegalNumPar3"/>
      <w:lvlText w:val=""/>
      <w:lvlJc w:val="left"/>
      <w:pPr>
        <w:ind w:left="2160" w:hanging="360"/>
      </w:pPr>
      <w:rPr>
        <w:rFonts w:ascii="Wingdings" w:hAnsi="Wingdings" w:hint="default"/>
      </w:rPr>
    </w:lvl>
    <w:lvl w:ilvl="3" w:tplc="DF5C69DE">
      <w:start w:val="1"/>
      <w:numFmt w:val="bullet"/>
      <w:lvlText w:val=""/>
      <w:lvlJc w:val="left"/>
      <w:pPr>
        <w:ind w:left="2880" w:hanging="360"/>
      </w:pPr>
      <w:rPr>
        <w:rFonts w:ascii="Symbol" w:hAnsi="Symbol" w:hint="default"/>
      </w:rPr>
    </w:lvl>
    <w:lvl w:ilvl="4" w:tplc="0A7ECCBC">
      <w:start w:val="1"/>
      <w:numFmt w:val="bullet"/>
      <w:lvlText w:val="o"/>
      <w:lvlJc w:val="left"/>
      <w:pPr>
        <w:ind w:left="3600" w:hanging="360"/>
      </w:pPr>
      <w:rPr>
        <w:rFonts w:ascii="Courier New" w:hAnsi="Courier New" w:hint="default"/>
      </w:rPr>
    </w:lvl>
    <w:lvl w:ilvl="5" w:tplc="C48E069A">
      <w:start w:val="1"/>
      <w:numFmt w:val="bullet"/>
      <w:lvlText w:val=""/>
      <w:lvlJc w:val="left"/>
      <w:pPr>
        <w:ind w:left="4320" w:hanging="360"/>
      </w:pPr>
      <w:rPr>
        <w:rFonts w:ascii="Wingdings" w:hAnsi="Wingdings" w:hint="default"/>
      </w:rPr>
    </w:lvl>
    <w:lvl w:ilvl="6" w:tplc="C5E21020">
      <w:start w:val="1"/>
      <w:numFmt w:val="bullet"/>
      <w:lvlText w:val=""/>
      <w:lvlJc w:val="left"/>
      <w:pPr>
        <w:ind w:left="5040" w:hanging="360"/>
      </w:pPr>
      <w:rPr>
        <w:rFonts w:ascii="Symbol" w:hAnsi="Symbol" w:hint="default"/>
      </w:rPr>
    </w:lvl>
    <w:lvl w:ilvl="7" w:tplc="0100CFE2">
      <w:start w:val="1"/>
      <w:numFmt w:val="bullet"/>
      <w:lvlText w:val="o"/>
      <w:lvlJc w:val="left"/>
      <w:pPr>
        <w:ind w:left="5760" w:hanging="360"/>
      </w:pPr>
      <w:rPr>
        <w:rFonts w:ascii="Courier New" w:hAnsi="Courier New" w:hint="default"/>
      </w:rPr>
    </w:lvl>
    <w:lvl w:ilvl="8" w:tplc="9D56902C">
      <w:start w:val="1"/>
      <w:numFmt w:val="bullet"/>
      <w:lvlText w:val=""/>
      <w:lvlJc w:val="left"/>
      <w:pPr>
        <w:ind w:left="6480" w:hanging="360"/>
      </w:pPr>
      <w:rPr>
        <w:rFonts w:ascii="Wingdings" w:hAnsi="Wingdings" w:hint="default"/>
      </w:rPr>
    </w:lvl>
  </w:abstractNum>
  <w:abstractNum w:abstractNumId="60" w15:restartNumberingAfterBreak="0">
    <w:nsid w:val="20CA250E"/>
    <w:multiLevelType w:val="hybridMultilevel"/>
    <w:tmpl w:val="89BC98DE"/>
    <w:lvl w:ilvl="0" w:tplc="0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1" w15:restartNumberingAfterBreak="0">
    <w:nsid w:val="2168403C"/>
    <w:multiLevelType w:val="hybridMultilevel"/>
    <w:tmpl w:val="E99CBD8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2" w15:restartNumberingAfterBreak="0">
    <w:nsid w:val="21D929E5"/>
    <w:multiLevelType w:val="hybridMultilevel"/>
    <w:tmpl w:val="BC08F7F4"/>
    <w:lvl w:ilvl="0" w:tplc="1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25A1901"/>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225BAEB2"/>
    <w:multiLevelType w:val="hybridMultilevel"/>
    <w:tmpl w:val="AB7EB6C8"/>
    <w:lvl w:ilvl="0" w:tplc="9EB06766">
      <w:start w:val="1"/>
      <w:numFmt w:val="bullet"/>
      <w:lvlText w:val="-"/>
      <w:lvlJc w:val="left"/>
      <w:pPr>
        <w:ind w:left="720" w:hanging="360"/>
      </w:pPr>
      <w:rPr>
        <w:rFonts w:ascii="Symbol" w:hAnsi="Symbol" w:hint="default"/>
      </w:rPr>
    </w:lvl>
    <w:lvl w:ilvl="1" w:tplc="0B842BD4">
      <w:start w:val="1"/>
      <w:numFmt w:val="bullet"/>
      <w:lvlText w:val="o"/>
      <w:lvlJc w:val="left"/>
      <w:pPr>
        <w:ind w:left="1440" w:hanging="360"/>
      </w:pPr>
      <w:rPr>
        <w:rFonts w:ascii="Courier New" w:hAnsi="Courier New" w:hint="default"/>
      </w:rPr>
    </w:lvl>
    <w:lvl w:ilvl="2" w:tplc="EB7A46CC">
      <w:start w:val="1"/>
      <w:numFmt w:val="bullet"/>
      <w:lvlText w:val=""/>
      <w:lvlJc w:val="left"/>
      <w:pPr>
        <w:ind w:left="2160" w:hanging="360"/>
      </w:pPr>
      <w:rPr>
        <w:rFonts w:ascii="Wingdings" w:hAnsi="Wingdings" w:hint="default"/>
      </w:rPr>
    </w:lvl>
    <w:lvl w:ilvl="3" w:tplc="812CD752">
      <w:start w:val="1"/>
      <w:numFmt w:val="bullet"/>
      <w:lvlText w:val=""/>
      <w:lvlJc w:val="left"/>
      <w:pPr>
        <w:ind w:left="2880" w:hanging="360"/>
      </w:pPr>
      <w:rPr>
        <w:rFonts w:ascii="Symbol" w:hAnsi="Symbol" w:hint="default"/>
      </w:rPr>
    </w:lvl>
    <w:lvl w:ilvl="4" w:tplc="1CBE133A">
      <w:start w:val="1"/>
      <w:numFmt w:val="bullet"/>
      <w:lvlText w:val="o"/>
      <w:lvlJc w:val="left"/>
      <w:pPr>
        <w:ind w:left="3600" w:hanging="360"/>
      </w:pPr>
      <w:rPr>
        <w:rFonts w:ascii="Courier New" w:hAnsi="Courier New" w:hint="default"/>
      </w:rPr>
    </w:lvl>
    <w:lvl w:ilvl="5" w:tplc="E7B6AD7A">
      <w:start w:val="1"/>
      <w:numFmt w:val="bullet"/>
      <w:lvlText w:val=""/>
      <w:lvlJc w:val="left"/>
      <w:pPr>
        <w:ind w:left="4320" w:hanging="360"/>
      </w:pPr>
      <w:rPr>
        <w:rFonts w:ascii="Wingdings" w:hAnsi="Wingdings" w:hint="default"/>
      </w:rPr>
    </w:lvl>
    <w:lvl w:ilvl="6" w:tplc="D45C4A9E">
      <w:start w:val="1"/>
      <w:numFmt w:val="bullet"/>
      <w:lvlText w:val=""/>
      <w:lvlJc w:val="left"/>
      <w:pPr>
        <w:ind w:left="5040" w:hanging="360"/>
      </w:pPr>
      <w:rPr>
        <w:rFonts w:ascii="Symbol" w:hAnsi="Symbol" w:hint="default"/>
      </w:rPr>
    </w:lvl>
    <w:lvl w:ilvl="7" w:tplc="E3E8E42C">
      <w:start w:val="1"/>
      <w:numFmt w:val="bullet"/>
      <w:lvlText w:val="o"/>
      <w:lvlJc w:val="left"/>
      <w:pPr>
        <w:ind w:left="5760" w:hanging="360"/>
      </w:pPr>
      <w:rPr>
        <w:rFonts w:ascii="Courier New" w:hAnsi="Courier New" w:hint="default"/>
      </w:rPr>
    </w:lvl>
    <w:lvl w:ilvl="8" w:tplc="2506B31C">
      <w:start w:val="1"/>
      <w:numFmt w:val="bullet"/>
      <w:lvlText w:val=""/>
      <w:lvlJc w:val="left"/>
      <w:pPr>
        <w:ind w:left="6480" w:hanging="360"/>
      </w:pPr>
      <w:rPr>
        <w:rFonts w:ascii="Wingdings" w:hAnsi="Wingdings" w:hint="default"/>
      </w:rPr>
    </w:lvl>
  </w:abstractNum>
  <w:abstractNum w:abstractNumId="65" w15:restartNumberingAfterBreak="0">
    <w:nsid w:val="22E44180"/>
    <w:multiLevelType w:val="multilevel"/>
    <w:tmpl w:val="4B16EF00"/>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6236"/>
        </w:tabs>
        <w:ind w:left="6236"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6" w15:restartNumberingAfterBreak="0">
    <w:nsid w:val="2494C848"/>
    <w:multiLevelType w:val="hybridMultilevel"/>
    <w:tmpl w:val="FFFFFFFF"/>
    <w:lvl w:ilvl="0" w:tplc="5F328E78">
      <w:start w:val="1"/>
      <w:numFmt w:val="decimal"/>
      <w:lvlText w:val="%1)"/>
      <w:lvlJc w:val="left"/>
      <w:pPr>
        <w:ind w:left="720" w:hanging="360"/>
      </w:pPr>
    </w:lvl>
    <w:lvl w:ilvl="1" w:tplc="13564B42">
      <w:start w:val="1"/>
      <w:numFmt w:val="lowerLetter"/>
      <w:lvlText w:val="%2."/>
      <w:lvlJc w:val="left"/>
      <w:pPr>
        <w:ind w:left="1440" w:hanging="360"/>
      </w:pPr>
    </w:lvl>
    <w:lvl w:ilvl="2" w:tplc="8668E534">
      <w:start w:val="1"/>
      <w:numFmt w:val="lowerRoman"/>
      <w:lvlText w:val="%3."/>
      <w:lvlJc w:val="right"/>
      <w:pPr>
        <w:ind w:left="2160" w:hanging="180"/>
      </w:pPr>
    </w:lvl>
    <w:lvl w:ilvl="3" w:tplc="A30C9548">
      <w:start w:val="1"/>
      <w:numFmt w:val="decimal"/>
      <w:lvlText w:val="%4."/>
      <w:lvlJc w:val="left"/>
      <w:pPr>
        <w:ind w:left="2880" w:hanging="360"/>
      </w:pPr>
    </w:lvl>
    <w:lvl w:ilvl="4" w:tplc="67C8F23C">
      <w:start w:val="1"/>
      <w:numFmt w:val="lowerLetter"/>
      <w:lvlText w:val="%5."/>
      <w:lvlJc w:val="left"/>
      <w:pPr>
        <w:ind w:left="3600" w:hanging="360"/>
      </w:pPr>
    </w:lvl>
    <w:lvl w:ilvl="5" w:tplc="8C32C8A0">
      <w:start w:val="1"/>
      <w:numFmt w:val="lowerRoman"/>
      <w:lvlText w:val="%6."/>
      <w:lvlJc w:val="right"/>
      <w:pPr>
        <w:ind w:left="4320" w:hanging="180"/>
      </w:pPr>
    </w:lvl>
    <w:lvl w:ilvl="6" w:tplc="1ADE28DA">
      <w:start w:val="1"/>
      <w:numFmt w:val="decimal"/>
      <w:lvlText w:val="%7."/>
      <w:lvlJc w:val="left"/>
      <w:pPr>
        <w:ind w:left="5040" w:hanging="360"/>
      </w:pPr>
    </w:lvl>
    <w:lvl w:ilvl="7" w:tplc="C130E88C">
      <w:start w:val="1"/>
      <w:numFmt w:val="lowerLetter"/>
      <w:lvlText w:val="%8."/>
      <w:lvlJc w:val="left"/>
      <w:pPr>
        <w:ind w:left="5760" w:hanging="360"/>
      </w:pPr>
    </w:lvl>
    <w:lvl w:ilvl="8" w:tplc="DBFAA8CE">
      <w:start w:val="1"/>
      <w:numFmt w:val="lowerRoman"/>
      <w:lvlText w:val="%9."/>
      <w:lvlJc w:val="right"/>
      <w:pPr>
        <w:ind w:left="6480" w:hanging="180"/>
      </w:pPr>
    </w:lvl>
  </w:abstractNum>
  <w:abstractNum w:abstractNumId="67" w15:restartNumberingAfterBreak="0">
    <w:nsid w:val="25404E49"/>
    <w:multiLevelType w:val="hybridMultilevel"/>
    <w:tmpl w:val="19064A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267E785F"/>
    <w:multiLevelType w:val="hybridMultilevel"/>
    <w:tmpl w:val="701E8B0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6AC4092"/>
    <w:multiLevelType w:val="hybridMultilevel"/>
    <w:tmpl w:val="B1FCB97A"/>
    <w:lvl w:ilvl="0" w:tplc="53625492">
      <w:start w:val="1"/>
      <w:numFmt w:val="bullet"/>
      <w:lvlText w:val=""/>
      <w:lvlJc w:val="left"/>
      <w:pPr>
        <w:ind w:left="360" w:hanging="360"/>
      </w:pPr>
      <w:rPr>
        <w:rFonts w:ascii="Symbol" w:hAnsi="Symbol" w:hint="default"/>
      </w:rPr>
    </w:lvl>
    <w:lvl w:ilvl="1" w:tplc="EAF8AFC2" w:tentative="1">
      <w:start w:val="1"/>
      <w:numFmt w:val="bullet"/>
      <w:lvlText w:val="o"/>
      <w:lvlJc w:val="left"/>
      <w:pPr>
        <w:ind w:left="1080" w:hanging="360"/>
      </w:pPr>
      <w:rPr>
        <w:rFonts w:ascii="Courier New" w:hAnsi="Courier New" w:hint="default"/>
      </w:rPr>
    </w:lvl>
    <w:lvl w:ilvl="2" w:tplc="46D01440" w:tentative="1">
      <w:start w:val="1"/>
      <w:numFmt w:val="bullet"/>
      <w:lvlText w:val=""/>
      <w:lvlJc w:val="left"/>
      <w:pPr>
        <w:ind w:left="1800" w:hanging="360"/>
      </w:pPr>
      <w:rPr>
        <w:rFonts w:ascii="Wingdings" w:hAnsi="Wingdings" w:hint="default"/>
      </w:rPr>
    </w:lvl>
    <w:lvl w:ilvl="3" w:tplc="3C2EFADE" w:tentative="1">
      <w:start w:val="1"/>
      <w:numFmt w:val="bullet"/>
      <w:lvlText w:val=""/>
      <w:lvlJc w:val="left"/>
      <w:pPr>
        <w:ind w:left="2520" w:hanging="360"/>
      </w:pPr>
      <w:rPr>
        <w:rFonts w:ascii="Symbol" w:hAnsi="Symbol" w:hint="default"/>
      </w:rPr>
    </w:lvl>
    <w:lvl w:ilvl="4" w:tplc="C03A07D8" w:tentative="1">
      <w:start w:val="1"/>
      <w:numFmt w:val="bullet"/>
      <w:lvlText w:val="o"/>
      <w:lvlJc w:val="left"/>
      <w:pPr>
        <w:ind w:left="3240" w:hanging="360"/>
      </w:pPr>
      <w:rPr>
        <w:rFonts w:ascii="Courier New" w:hAnsi="Courier New" w:hint="default"/>
      </w:rPr>
    </w:lvl>
    <w:lvl w:ilvl="5" w:tplc="460EF91A" w:tentative="1">
      <w:start w:val="1"/>
      <w:numFmt w:val="bullet"/>
      <w:lvlText w:val=""/>
      <w:lvlJc w:val="left"/>
      <w:pPr>
        <w:ind w:left="3960" w:hanging="360"/>
      </w:pPr>
      <w:rPr>
        <w:rFonts w:ascii="Wingdings" w:hAnsi="Wingdings" w:hint="default"/>
      </w:rPr>
    </w:lvl>
    <w:lvl w:ilvl="6" w:tplc="E7C62C5A" w:tentative="1">
      <w:start w:val="1"/>
      <w:numFmt w:val="bullet"/>
      <w:lvlText w:val=""/>
      <w:lvlJc w:val="left"/>
      <w:pPr>
        <w:ind w:left="4680" w:hanging="360"/>
      </w:pPr>
      <w:rPr>
        <w:rFonts w:ascii="Symbol" w:hAnsi="Symbol" w:hint="default"/>
      </w:rPr>
    </w:lvl>
    <w:lvl w:ilvl="7" w:tplc="DD443222" w:tentative="1">
      <w:start w:val="1"/>
      <w:numFmt w:val="bullet"/>
      <w:lvlText w:val="o"/>
      <w:lvlJc w:val="left"/>
      <w:pPr>
        <w:ind w:left="5400" w:hanging="360"/>
      </w:pPr>
      <w:rPr>
        <w:rFonts w:ascii="Courier New" w:hAnsi="Courier New" w:hint="default"/>
      </w:rPr>
    </w:lvl>
    <w:lvl w:ilvl="8" w:tplc="C22A4A18" w:tentative="1">
      <w:start w:val="1"/>
      <w:numFmt w:val="bullet"/>
      <w:lvlText w:val=""/>
      <w:lvlJc w:val="left"/>
      <w:pPr>
        <w:ind w:left="6120" w:hanging="360"/>
      </w:pPr>
      <w:rPr>
        <w:rFonts w:ascii="Wingdings" w:hAnsi="Wingdings" w:hint="default"/>
      </w:rPr>
    </w:lvl>
  </w:abstractNum>
  <w:abstractNum w:abstractNumId="70" w15:restartNumberingAfterBreak="0">
    <w:nsid w:val="27936A4A"/>
    <w:multiLevelType w:val="hybridMultilevel"/>
    <w:tmpl w:val="24041264"/>
    <w:lvl w:ilvl="0" w:tplc="B77A7ACA">
      <w:start w:val="1"/>
      <w:numFmt w:val="bullet"/>
      <w:lvlText w:val=""/>
      <w:lvlJc w:val="left"/>
      <w:pPr>
        <w:ind w:left="720" w:hanging="360"/>
      </w:pPr>
      <w:rPr>
        <w:rFonts w:ascii="Symbol" w:hAnsi="Symbol" w:hint="default"/>
      </w:rPr>
    </w:lvl>
    <w:lvl w:ilvl="1" w:tplc="391429C6" w:tentative="1">
      <w:start w:val="1"/>
      <w:numFmt w:val="bullet"/>
      <w:lvlText w:val="o"/>
      <w:lvlJc w:val="left"/>
      <w:pPr>
        <w:ind w:left="1440" w:hanging="360"/>
      </w:pPr>
      <w:rPr>
        <w:rFonts w:ascii="Courier New" w:hAnsi="Courier New" w:hint="default"/>
      </w:rPr>
    </w:lvl>
    <w:lvl w:ilvl="2" w:tplc="F9328D7A" w:tentative="1">
      <w:start w:val="1"/>
      <w:numFmt w:val="bullet"/>
      <w:lvlText w:val=""/>
      <w:lvlJc w:val="left"/>
      <w:pPr>
        <w:ind w:left="2160" w:hanging="360"/>
      </w:pPr>
      <w:rPr>
        <w:rFonts w:ascii="Wingdings" w:hAnsi="Wingdings" w:hint="default"/>
      </w:rPr>
    </w:lvl>
    <w:lvl w:ilvl="3" w:tplc="2056EC0E" w:tentative="1">
      <w:start w:val="1"/>
      <w:numFmt w:val="bullet"/>
      <w:lvlText w:val=""/>
      <w:lvlJc w:val="left"/>
      <w:pPr>
        <w:ind w:left="2880" w:hanging="360"/>
      </w:pPr>
      <w:rPr>
        <w:rFonts w:ascii="Symbol" w:hAnsi="Symbol" w:hint="default"/>
      </w:rPr>
    </w:lvl>
    <w:lvl w:ilvl="4" w:tplc="714A93EE" w:tentative="1">
      <w:start w:val="1"/>
      <w:numFmt w:val="bullet"/>
      <w:lvlText w:val="o"/>
      <w:lvlJc w:val="left"/>
      <w:pPr>
        <w:ind w:left="3600" w:hanging="360"/>
      </w:pPr>
      <w:rPr>
        <w:rFonts w:ascii="Courier New" w:hAnsi="Courier New" w:hint="default"/>
      </w:rPr>
    </w:lvl>
    <w:lvl w:ilvl="5" w:tplc="A982728E" w:tentative="1">
      <w:start w:val="1"/>
      <w:numFmt w:val="bullet"/>
      <w:lvlText w:val=""/>
      <w:lvlJc w:val="left"/>
      <w:pPr>
        <w:ind w:left="4320" w:hanging="360"/>
      </w:pPr>
      <w:rPr>
        <w:rFonts w:ascii="Wingdings" w:hAnsi="Wingdings" w:hint="default"/>
      </w:rPr>
    </w:lvl>
    <w:lvl w:ilvl="6" w:tplc="29A64872" w:tentative="1">
      <w:start w:val="1"/>
      <w:numFmt w:val="bullet"/>
      <w:lvlText w:val=""/>
      <w:lvlJc w:val="left"/>
      <w:pPr>
        <w:ind w:left="5040" w:hanging="360"/>
      </w:pPr>
      <w:rPr>
        <w:rFonts w:ascii="Symbol" w:hAnsi="Symbol" w:hint="default"/>
      </w:rPr>
    </w:lvl>
    <w:lvl w:ilvl="7" w:tplc="CDC0EB3A" w:tentative="1">
      <w:start w:val="1"/>
      <w:numFmt w:val="bullet"/>
      <w:lvlText w:val="o"/>
      <w:lvlJc w:val="left"/>
      <w:pPr>
        <w:ind w:left="5760" w:hanging="360"/>
      </w:pPr>
      <w:rPr>
        <w:rFonts w:ascii="Courier New" w:hAnsi="Courier New" w:hint="default"/>
      </w:rPr>
    </w:lvl>
    <w:lvl w:ilvl="8" w:tplc="AC20BA32" w:tentative="1">
      <w:start w:val="1"/>
      <w:numFmt w:val="bullet"/>
      <w:lvlText w:val=""/>
      <w:lvlJc w:val="left"/>
      <w:pPr>
        <w:ind w:left="6480" w:hanging="360"/>
      </w:pPr>
      <w:rPr>
        <w:rFonts w:ascii="Wingdings" w:hAnsi="Wingdings" w:hint="default"/>
      </w:rPr>
    </w:lvl>
  </w:abstractNum>
  <w:abstractNum w:abstractNumId="71" w15:restartNumberingAfterBreak="0">
    <w:nsid w:val="2872466F"/>
    <w:multiLevelType w:val="hybridMultilevel"/>
    <w:tmpl w:val="EC1C7060"/>
    <w:lvl w:ilvl="0" w:tplc="F51CFA46">
      <w:start w:val="1"/>
      <w:numFmt w:val="bullet"/>
      <w:lvlText w:val=""/>
      <w:lvlJc w:val="left"/>
      <w:pPr>
        <w:ind w:left="720" w:hanging="360"/>
      </w:pPr>
      <w:rPr>
        <w:rFonts w:ascii="Symbol" w:hAnsi="Symbol" w:hint="default"/>
      </w:rPr>
    </w:lvl>
    <w:lvl w:ilvl="1" w:tplc="14160DB0" w:tentative="1">
      <w:start w:val="1"/>
      <w:numFmt w:val="bullet"/>
      <w:lvlText w:val="o"/>
      <w:lvlJc w:val="left"/>
      <w:pPr>
        <w:ind w:left="1440" w:hanging="360"/>
      </w:pPr>
      <w:rPr>
        <w:rFonts w:ascii="Courier New" w:hAnsi="Courier New" w:hint="default"/>
      </w:rPr>
    </w:lvl>
    <w:lvl w:ilvl="2" w:tplc="63729968" w:tentative="1">
      <w:start w:val="1"/>
      <w:numFmt w:val="bullet"/>
      <w:lvlText w:val=""/>
      <w:lvlJc w:val="left"/>
      <w:pPr>
        <w:ind w:left="2160" w:hanging="360"/>
      </w:pPr>
      <w:rPr>
        <w:rFonts w:ascii="Cambria Math" w:hAnsi="Cambria Math" w:hint="default"/>
      </w:rPr>
    </w:lvl>
    <w:lvl w:ilvl="3" w:tplc="AC5253CC" w:tentative="1">
      <w:start w:val="1"/>
      <w:numFmt w:val="bullet"/>
      <w:lvlText w:val=""/>
      <w:lvlJc w:val="left"/>
      <w:pPr>
        <w:ind w:left="2880" w:hanging="360"/>
      </w:pPr>
      <w:rPr>
        <w:rFonts w:ascii="Segoe UI" w:hAnsi="Segoe UI" w:hint="default"/>
      </w:rPr>
    </w:lvl>
    <w:lvl w:ilvl="4" w:tplc="2C8C6CEC" w:tentative="1">
      <w:start w:val="1"/>
      <w:numFmt w:val="bullet"/>
      <w:lvlText w:val="o"/>
      <w:lvlJc w:val="left"/>
      <w:pPr>
        <w:ind w:left="3600" w:hanging="360"/>
      </w:pPr>
      <w:rPr>
        <w:rFonts w:ascii="Courier New" w:hAnsi="Courier New" w:hint="default"/>
      </w:rPr>
    </w:lvl>
    <w:lvl w:ilvl="5" w:tplc="F6F0EBE8" w:tentative="1">
      <w:start w:val="1"/>
      <w:numFmt w:val="bullet"/>
      <w:lvlText w:val=""/>
      <w:lvlJc w:val="left"/>
      <w:pPr>
        <w:ind w:left="4320" w:hanging="360"/>
      </w:pPr>
      <w:rPr>
        <w:rFonts w:ascii="Cambria Math" w:hAnsi="Cambria Math" w:hint="default"/>
      </w:rPr>
    </w:lvl>
    <w:lvl w:ilvl="6" w:tplc="DC6480C6" w:tentative="1">
      <w:start w:val="1"/>
      <w:numFmt w:val="bullet"/>
      <w:lvlText w:val=""/>
      <w:lvlJc w:val="left"/>
      <w:pPr>
        <w:ind w:left="5040" w:hanging="360"/>
      </w:pPr>
      <w:rPr>
        <w:rFonts w:ascii="Segoe UI" w:hAnsi="Segoe UI" w:hint="default"/>
      </w:rPr>
    </w:lvl>
    <w:lvl w:ilvl="7" w:tplc="969C42E6" w:tentative="1">
      <w:start w:val="1"/>
      <w:numFmt w:val="bullet"/>
      <w:lvlText w:val="o"/>
      <w:lvlJc w:val="left"/>
      <w:pPr>
        <w:ind w:left="5760" w:hanging="360"/>
      </w:pPr>
      <w:rPr>
        <w:rFonts w:ascii="Courier New" w:hAnsi="Courier New" w:hint="default"/>
      </w:rPr>
    </w:lvl>
    <w:lvl w:ilvl="8" w:tplc="FE163C7C" w:tentative="1">
      <w:start w:val="1"/>
      <w:numFmt w:val="bullet"/>
      <w:lvlText w:val=""/>
      <w:lvlJc w:val="left"/>
      <w:pPr>
        <w:ind w:left="6480" w:hanging="360"/>
      </w:pPr>
      <w:rPr>
        <w:rFonts w:ascii="Cambria Math" w:hAnsi="Cambria Math" w:hint="default"/>
      </w:rPr>
    </w:lvl>
  </w:abstractNum>
  <w:abstractNum w:abstractNumId="72" w15:restartNumberingAfterBreak="0">
    <w:nsid w:val="28AD3912"/>
    <w:multiLevelType w:val="hybridMultilevel"/>
    <w:tmpl w:val="CE284AF6"/>
    <w:lvl w:ilvl="0" w:tplc="6B68E4D6">
      <w:start w:val="1"/>
      <w:numFmt w:val="decimal"/>
      <w:lvlText w:val="%1)"/>
      <w:lvlJc w:val="left"/>
      <w:pPr>
        <w:ind w:left="360" w:hanging="360"/>
      </w:pPr>
      <w:rPr>
        <w:rFonts w:ascii="Times New Roman" w:hAnsi="Times New Roman" w:hint="default"/>
        <w:color w:val="auto"/>
      </w:rPr>
    </w:lvl>
    <w:lvl w:ilvl="1" w:tplc="852A2D4A" w:tentative="1">
      <w:start w:val="1"/>
      <w:numFmt w:val="bullet"/>
      <w:lvlText w:val="o"/>
      <w:lvlJc w:val="left"/>
      <w:pPr>
        <w:ind w:left="1080" w:hanging="360"/>
      </w:pPr>
      <w:rPr>
        <w:rFonts w:ascii="Courier New" w:hAnsi="Courier New" w:hint="default"/>
      </w:rPr>
    </w:lvl>
    <w:lvl w:ilvl="2" w:tplc="ECECA8A2" w:tentative="1">
      <w:start w:val="1"/>
      <w:numFmt w:val="bullet"/>
      <w:lvlText w:val=""/>
      <w:lvlJc w:val="left"/>
      <w:pPr>
        <w:ind w:left="1800" w:hanging="360"/>
      </w:pPr>
      <w:rPr>
        <w:rFonts w:ascii="Cambria Math" w:hAnsi="Cambria Math" w:hint="default"/>
      </w:rPr>
    </w:lvl>
    <w:lvl w:ilvl="3" w:tplc="E138D416" w:tentative="1">
      <w:start w:val="1"/>
      <w:numFmt w:val="bullet"/>
      <w:lvlText w:val=""/>
      <w:lvlJc w:val="left"/>
      <w:pPr>
        <w:ind w:left="2520" w:hanging="360"/>
      </w:pPr>
      <w:rPr>
        <w:rFonts w:ascii="Segoe UI" w:hAnsi="Segoe UI" w:hint="default"/>
      </w:rPr>
    </w:lvl>
    <w:lvl w:ilvl="4" w:tplc="D6F87596" w:tentative="1">
      <w:start w:val="1"/>
      <w:numFmt w:val="bullet"/>
      <w:lvlText w:val="o"/>
      <w:lvlJc w:val="left"/>
      <w:pPr>
        <w:ind w:left="3240" w:hanging="360"/>
      </w:pPr>
      <w:rPr>
        <w:rFonts w:ascii="Courier New" w:hAnsi="Courier New" w:hint="default"/>
      </w:rPr>
    </w:lvl>
    <w:lvl w:ilvl="5" w:tplc="894E0DC4" w:tentative="1">
      <w:start w:val="1"/>
      <w:numFmt w:val="bullet"/>
      <w:lvlText w:val=""/>
      <w:lvlJc w:val="left"/>
      <w:pPr>
        <w:ind w:left="3960" w:hanging="360"/>
      </w:pPr>
      <w:rPr>
        <w:rFonts w:ascii="Cambria Math" w:hAnsi="Cambria Math" w:hint="default"/>
      </w:rPr>
    </w:lvl>
    <w:lvl w:ilvl="6" w:tplc="59EC3D2E" w:tentative="1">
      <w:start w:val="1"/>
      <w:numFmt w:val="bullet"/>
      <w:lvlText w:val=""/>
      <w:lvlJc w:val="left"/>
      <w:pPr>
        <w:ind w:left="4680" w:hanging="360"/>
      </w:pPr>
      <w:rPr>
        <w:rFonts w:ascii="Segoe UI" w:hAnsi="Segoe UI" w:hint="default"/>
      </w:rPr>
    </w:lvl>
    <w:lvl w:ilvl="7" w:tplc="634CD85E" w:tentative="1">
      <w:start w:val="1"/>
      <w:numFmt w:val="bullet"/>
      <w:lvlText w:val="o"/>
      <w:lvlJc w:val="left"/>
      <w:pPr>
        <w:ind w:left="5400" w:hanging="360"/>
      </w:pPr>
      <w:rPr>
        <w:rFonts w:ascii="Courier New" w:hAnsi="Courier New" w:hint="default"/>
      </w:rPr>
    </w:lvl>
    <w:lvl w:ilvl="8" w:tplc="235CCB2C" w:tentative="1">
      <w:start w:val="1"/>
      <w:numFmt w:val="bullet"/>
      <w:lvlText w:val=""/>
      <w:lvlJc w:val="left"/>
      <w:pPr>
        <w:ind w:left="6120" w:hanging="360"/>
      </w:pPr>
      <w:rPr>
        <w:rFonts w:ascii="Cambria Math" w:hAnsi="Cambria Math" w:hint="default"/>
      </w:rPr>
    </w:lvl>
  </w:abstractNum>
  <w:abstractNum w:abstractNumId="73" w15:restartNumberingAfterBreak="0">
    <w:nsid w:val="29AA1EDE"/>
    <w:multiLevelType w:val="hybridMultilevel"/>
    <w:tmpl w:val="B1C8EDC6"/>
    <w:lvl w:ilvl="0" w:tplc="2D686FDC">
      <w:start w:val="1"/>
      <w:numFmt w:val="lowerRoman"/>
      <w:lvlText w:val="%1."/>
      <w:lvlJc w:val="right"/>
      <w:pPr>
        <w:ind w:left="720" w:hanging="360"/>
      </w:pPr>
    </w:lvl>
    <w:lvl w:ilvl="1" w:tplc="D5581A9C">
      <w:start w:val="1"/>
      <w:numFmt w:val="bullet"/>
      <w:lvlText w:val="o"/>
      <w:lvlJc w:val="left"/>
      <w:pPr>
        <w:ind w:left="1440" w:hanging="360"/>
      </w:pPr>
      <w:rPr>
        <w:rFonts w:ascii="Courier New" w:hAnsi="Courier New" w:hint="default"/>
      </w:rPr>
    </w:lvl>
    <w:lvl w:ilvl="2" w:tplc="2A9E3B42" w:tentative="1">
      <w:start w:val="1"/>
      <w:numFmt w:val="bullet"/>
      <w:lvlText w:val=""/>
      <w:lvlJc w:val="left"/>
      <w:pPr>
        <w:ind w:left="2160" w:hanging="360"/>
      </w:pPr>
      <w:rPr>
        <w:rFonts w:ascii="Cambria Math" w:hAnsi="Cambria Math" w:hint="default"/>
      </w:rPr>
    </w:lvl>
    <w:lvl w:ilvl="3" w:tplc="9B3AADA8" w:tentative="1">
      <w:start w:val="1"/>
      <w:numFmt w:val="bullet"/>
      <w:lvlText w:val=""/>
      <w:lvlJc w:val="left"/>
      <w:pPr>
        <w:ind w:left="2880" w:hanging="360"/>
      </w:pPr>
      <w:rPr>
        <w:rFonts w:ascii="Segoe UI" w:hAnsi="Segoe UI" w:hint="default"/>
      </w:rPr>
    </w:lvl>
    <w:lvl w:ilvl="4" w:tplc="A0D8FF5A" w:tentative="1">
      <w:start w:val="1"/>
      <w:numFmt w:val="bullet"/>
      <w:lvlText w:val="o"/>
      <w:lvlJc w:val="left"/>
      <w:pPr>
        <w:ind w:left="3600" w:hanging="360"/>
      </w:pPr>
      <w:rPr>
        <w:rFonts w:ascii="Courier New" w:hAnsi="Courier New" w:hint="default"/>
      </w:rPr>
    </w:lvl>
    <w:lvl w:ilvl="5" w:tplc="DC0AF754" w:tentative="1">
      <w:start w:val="1"/>
      <w:numFmt w:val="bullet"/>
      <w:lvlText w:val=""/>
      <w:lvlJc w:val="left"/>
      <w:pPr>
        <w:ind w:left="4320" w:hanging="360"/>
      </w:pPr>
      <w:rPr>
        <w:rFonts w:ascii="Cambria Math" w:hAnsi="Cambria Math" w:hint="default"/>
      </w:rPr>
    </w:lvl>
    <w:lvl w:ilvl="6" w:tplc="EA2C612E" w:tentative="1">
      <w:start w:val="1"/>
      <w:numFmt w:val="bullet"/>
      <w:lvlText w:val=""/>
      <w:lvlJc w:val="left"/>
      <w:pPr>
        <w:ind w:left="5040" w:hanging="360"/>
      </w:pPr>
      <w:rPr>
        <w:rFonts w:ascii="Segoe UI" w:hAnsi="Segoe UI" w:hint="default"/>
      </w:rPr>
    </w:lvl>
    <w:lvl w:ilvl="7" w:tplc="9E409A6C" w:tentative="1">
      <w:start w:val="1"/>
      <w:numFmt w:val="bullet"/>
      <w:lvlText w:val="o"/>
      <w:lvlJc w:val="left"/>
      <w:pPr>
        <w:ind w:left="5760" w:hanging="360"/>
      </w:pPr>
      <w:rPr>
        <w:rFonts w:ascii="Courier New" w:hAnsi="Courier New" w:hint="default"/>
      </w:rPr>
    </w:lvl>
    <w:lvl w:ilvl="8" w:tplc="8E9A2808" w:tentative="1">
      <w:start w:val="1"/>
      <w:numFmt w:val="bullet"/>
      <w:lvlText w:val=""/>
      <w:lvlJc w:val="left"/>
      <w:pPr>
        <w:ind w:left="6480" w:hanging="360"/>
      </w:pPr>
      <w:rPr>
        <w:rFonts w:ascii="Cambria Math" w:hAnsi="Cambria Math" w:hint="default"/>
      </w:rPr>
    </w:lvl>
  </w:abstractNum>
  <w:abstractNum w:abstractNumId="74" w15:restartNumberingAfterBreak="0">
    <w:nsid w:val="29AAAA44"/>
    <w:multiLevelType w:val="hybridMultilevel"/>
    <w:tmpl w:val="FFFFFFFF"/>
    <w:lvl w:ilvl="0" w:tplc="C6065F00">
      <w:start w:val="2"/>
      <w:numFmt w:val="lowerRoman"/>
      <w:lvlText w:val="%1."/>
      <w:lvlJc w:val="right"/>
      <w:pPr>
        <w:ind w:left="720" w:hanging="360"/>
      </w:pPr>
    </w:lvl>
    <w:lvl w:ilvl="1" w:tplc="086EA46C">
      <w:start w:val="1"/>
      <w:numFmt w:val="lowerLetter"/>
      <w:lvlText w:val="%2."/>
      <w:lvlJc w:val="left"/>
      <w:pPr>
        <w:ind w:left="1440" w:hanging="360"/>
      </w:pPr>
    </w:lvl>
    <w:lvl w:ilvl="2" w:tplc="591A99E0">
      <w:start w:val="1"/>
      <w:numFmt w:val="lowerRoman"/>
      <w:lvlText w:val="%3."/>
      <w:lvlJc w:val="right"/>
      <w:pPr>
        <w:ind w:left="2160" w:hanging="180"/>
      </w:pPr>
    </w:lvl>
    <w:lvl w:ilvl="3" w:tplc="9A6CB3B4">
      <w:start w:val="1"/>
      <w:numFmt w:val="decimal"/>
      <w:lvlText w:val="%4."/>
      <w:lvlJc w:val="left"/>
      <w:pPr>
        <w:ind w:left="2880" w:hanging="360"/>
      </w:pPr>
    </w:lvl>
    <w:lvl w:ilvl="4" w:tplc="95DA641C">
      <w:start w:val="1"/>
      <w:numFmt w:val="lowerLetter"/>
      <w:lvlText w:val="%5."/>
      <w:lvlJc w:val="left"/>
      <w:pPr>
        <w:ind w:left="3600" w:hanging="360"/>
      </w:pPr>
    </w:lvl>
    <w:lvl w:ilvl="5" w:tplc="F8C436AC">
      <w:start w:val="1"/>
      <w:numFmt w:val="lowerRoman"/>
      <w:lvlText w:val="%6."/>
      <w:lvlJc w:val="right"/>
      <w:pPr>
        <w:ind w:left="4320" w:hanging="180"/>
      </w:pPr>
    </w:lvl>
    <w:lvl w:ilvl="6" w:tplc="D558097C">
      <w:start w:val="1"/>
      <w:numFmt w:val="decimal"/>
      <w:lvlText w:val="%7."/>
      <w:lvlJc w:val="left"/>
      <w:pPr>
        <w:ind w:left="5040" w:hanging="360"/>
      </w:pPr>
    </w:lvl>
    <w:lvl w:ilvl="7" w:tplc="1C46081A">
      <w:start w:val="1"/>
      <w:numFmt w:val="lowerLetter"/>
      <w:lvlText w:val="%8."/>
      <w:lvlJc w:val="left"/>
      <w:pPr>
        <w:ind w:left="5760" w:hanging="360"/>
      </w:pPr>
    </w:lvl>
    <w:lvl w:ilvl="8" w:tplc="4CD85690">
      <w:start w:val="1"/>
      <w:numFmt w:val="lowerRoman"/>
      <w:lvlText w:val="%9."/>
      <w:lvlJc w:val="right"/>
      <w:pPr>
        <w:ind w:left="6480" w:hanging="180"/>
      </w:pPr>
    </w:lvl>
  </w:abstractNum>
  <w:abstractNum w:abstractNumId="75" w15:restartNumberingAfterBreak="0">
    <w:nsid w:val="2A0961C6"/>
    <w:multiLevelType w:val="hybridMultilevel"/>
    <w:tmpl w:val="6D609A46"/>
    <w:lvl w:ilvl="0" w:tplc="DECA710E">
      <w:start w:val="1"/>
      <w:numFmt w:val="decimal"/>
      <w:lvlText w:val="%1."/>
      <w:lvlJc w:val="left"/>
      <w:pPr>
        <w:ind w:left="1020" w:hanging="360"/>
      </w:pPr>
    </w:lvl>
    <w:lvl w:ilvl="1" w:tplc="C5E8FC58">
      <w:start w:val="1"/>
      <w:numFmt w:val="decimal"/>
      <w:lvlText w:val="%2."/>
      <w:lvlJc w:val="left"/>
      <w:pPr>
        <w:ind w:left="1020" w:hanging="360"/>
      </w:pPr>
    </w:lvl>
    <w:lvl w:ilvl="2" w:tplc="8410CC50">
      <w:start w:val="1"/>
      <w:numFmt w:val="decimal"/>
      <w:lvlText w:val="%3."/>
      <w:lvlJc w:val="left"/>
      <w:pPr>
        <w:ind w:left="1020" w:hanging="360"/>
      </w:pPr>
    </w:lvl>
    <w:lvl w:ilvl="3" w:tplc="B5306D6C">
      <w:start w:val="1"/>
      <w:numFmt w:val="decimal"/>
      <w:lvlText w:val="%4."/>
      <w:lvlJc w:val="left"/>
      <w:pPr>
        <w:ind w:left="1020" w:hanging="360"/>
      </w:pPr>
    </w:lvl>
    <w:lvl w:ilvl="4" w:tplc="57BE708C">
      <w:start w:val="1"/>
      <w:numFmt w:val="decimal"/>
      <w:lvlText w:val="%5."/>
      <w:lvlJc w:val="left"/>
      <w:pPr>
        <w:ind w:left="1020" w:hanging="360"/>
      </w:pPr>
    </w:lvl>
    <w:lvl w:ilvl="5" w:tplc="340C36EC">
      <w:start w:val="1"/>
      <w:numFmt w:val="decimal"/>
      <w:lvlText w:val="%6."/>
      <w:lvlJc w:val="left"/>
      <w:pPr>
        <w:ind w:left="1020" w:hanging="360"/>
      </w:pPr>
    </w:lvl>
    <w:lvl w:ilvl="6" w:tplc="4288C816">
      <w:start w:val="1"/>
      <w:numFmt w:val="decimal"/>
      <w:lvlText w:val="%7."/>
      <w:lvlJc w:val="left"/>
      <w:pPr>
        <w:ind w:left="1020" w:hanging="360"/>
      </w:pPr>
    </w:lvl>
    <w:lvl w:ilvl="7" w:tplc="7B4227B8">
      <w:start w:val="1"/>
      <w:numFmt w:val="decimal"/>
      <w:lvlText w:val="%8."/>
      <w:lvlJc w:val="left"/>
      <w:pPr>
        <w:ind w:left="1020" w:hanging="360"/>
      </w:pPr>
    </w:lvl>
    <w:lvl w:ilvl="8" w:tplc="4028D002">
      <w:start w:val="1"/>
      <w:numFmt w:val="decimal"/>
      <w:lvlText w:val="%9."/>
      <w:lvlJc w:val="left"/>
      <w:pPr>
        <w:ind w:left="1020" w:hanging="360"/>
      </w:pPr>
    </w:lvl>
  </w:abstractNum>
  <w:abstractNum w:abstractNumId="76" w15:restartNumberingAfterBreak="0">
    <w:nsid w:val="2A9A0C23"/>
    <w:multiLevelType w:val="hybridMultilevel"/>
    <w:tmpl w:val="87DA39C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7" w15:restartNumberingAfterBreak="0">
    <w:nsid w:val="2AC454D0"/>
    <w:multiLevelType w:val="hybridMultilevel"/>
    <w:tmpl w:val="D1F2D384"/>
    <w:lvl w:ilvl="0" w:tplc="08090019">
      <w:start w:val="1"/>
      <w:numFmt w:val="lowerLetter"/>
      <w:lvlText w:val="%1."/>
      <w:lvlJc w:val="left"/>
      <w:pPr>
        <w:ind w:left="1429" w:hanging="360"/>
      </w:pPr>
    </w:lvl>
    <w:lvl w:ilvl="1" w:tplc="0809001B">
      <w:start w:val="1"/>
      <w:numFmt w:val="lowerRoman"/>
      <w:lvlText w:val="%2."/>
      <w:lvlJc w:val="righ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78" w15:restartNumberingAfterBreak="0">
    <w:nsid w:val="2B3C5D07"/>
    <w:multiLevelType w:val="hybridMultilevel"/>
    <w:tmpl w:val="96BE8BFE"/>
    <w:lvl w:ilvl="0" w:tplc="18090001">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9" w15:restartNumberingAfterBreak="0">
    <w:nsid w:val="2B9E0268"/>
    <w:multiLevelType w:val="hybridMultilevel"/>
    <w:tmpl w:val="007AB2AA"/>
    <w:lvl w:ilvl="0" w:tplc="0C0A001B">
      <w:start w:val="1"/>
      <w:numFmt w:val="lowerRoman"/>
      <w:lvlText w:val="%1."/>
      <w:lvlJc w:val="righ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0" w15:restartNumberingAfterBreak="0">
    <w:nsid w:val="2CB01324"/>
    <w:multiLevelType w:val="hybridMultilevel"/>
    <w:tmpl w:val="8CDC6962"/>
    <w:lvl w:ilvl="0" w:tplc="A3A0AB94">
      <w:start w:val="1"/>
      <w:numFmt w:val="lowerRoman"/>
      <w:lvlText w:val="%1)"/>
      <w:lvlJc w:val="left"/>
      <w:pPr>
        <w:ind w:left="1080" w:hanging="720"/>
      </w:pPr>
    </w:lvl>
    <w:lvl w:ilvl="1" w:tplc="E7A669F0" w:tentative="1">
      <w:start w:val="1"/>
      <w:numFmt w:val="lowerLetter"/>
      <w:lvlText w:val="%2."/>
      <w:lvlJc w:val="left"/>
      <w:pPr>
        <w:ind w:left="1440" w:hanging="360"/>
      </w:pPr>
    </w:lvl>
    <w:lvl w:ilvl="2" w:tplc="B5C4A778" w:tentative="1">
      <w:start w:val="1"/>
      <w:numFmt w:val="lowerRoman"/>
      <w:lvlText w:val="%3."/>
      <w:lvlJc w:val="right"/>
      <w:pPr>
        <w:ind w:left="2160" w:hanging="180"/>
      </w:pPr>
    </w:lvl>
    <w:lvl w:ilvl="3" w:tplc="1186AC42" w:tentative="1">
      <w:start w:val="1"/>
      <w:numFmt w:val="decimal"/>
      <w:lvlText w:val="%4."/>
      <w:lvlJc w:val="left"/>
      <w:pPr>
        <w:ind w:left="2880" w:hanging="360"/>
      </w:pPr>
    </w:lvl>
    <w:lvl w:ilvl="4" w:tplc="E2F0CD66" w:tentative="1">
      <w:start w:val="1"/>
      <w:numFmt w:val="lowerLetter"/>
      <w:lvlText w:val="%5."/>
      <w:lvlJc w:val="left"/>
      <w:pPr>
        <w:ind w:left="3600" w:hanging="360"/>
      </w:pPr>
    </w:lvl>
    <w:lvl w:ilvl="5" w:tplc="7EB6A418" w:tentative="1">
      <w:start w:val="1"/>
      <w:numFmt w:val="lowerRoman"/>
      <w:lvlText w:val="%6."/>
      <w:lvlJc w:val="right"/>
      <w:pPr>
        <w:ind w:left="4320" w:hanging="180"/>
      </w:pPr>
    </w:lvl>
    <w:lvl w:ilvl="6" w:tplc="DD14DBD2" w:tentative="1">
      <w:start w:val="1"/>
      <w:numFmt w:val="decimal"/>
      <w:lvlText w:val="%7."/>
      <w:lvlJc w:val="left"/>
      <w:pPr>
        <w:ind w:left="5040" w:hanging="360"/>
      </w:pPr>
    </w:lvl>
    <w:lvl w:ilvl="7" w:tplc="965EFA98" w:tentative="1">
      <w:start w:val="1"/>
      <w:numFmt w:val="lowerLetter"/>
      <w:lvlText w:val="%8."/>
      <w:lvlJc w:val="left"/>
      <w:pPr>
        <w:ind w:left="5760" w:hanging="360"/>
      </w:pPr>
    </w:lvl>
    <w:lvl w:ilvl="8" w:tplc="4F0ACAFA" w:tentative="1">
      <w:start w:val="1"/>
      <w:numFmt w:val="lowerRoman"/>
      <w:lvlText w:val="%9."/>
      <w:lvlJc w:val="right"/>
      <w:pPr>
        <w:ind w:left="6480" w:hanging="180"/>
      </w:pPr>
    </w:lvl>
  </w:abstractNum>
  <w:abstractNum w:abstractNumId="8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egoe UI" w:hAnsi="Segoe UI" w:hint="default"/>
      </w:rPr>
    </w:lvl>
  </w:abstractNum>
  <w:abstractNum w:abstractNumId="8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3" w15:restartNumberingAfterBreak="0">
    <w:nsid w:val="2D432C75"/>
    <w:multiLevelType w:val="hybridMultilevel"/>
    <w:tmpl w:val="348AFCAE"/>
    <w:lvl w:ilvl="0" w:tplc="B4801126">
      <w:start w:val="1"/>
      <w:numFmt w:val="lowerRoman"/>
      <w:lvlText w:val="%1)"/>
      <w:lvlJc w:val="left"/>
      <w:pPr>
        <w:ind w:left="765" w:hanging="720"/>
      </w:pPr>
      <w:rPr>
        <w:rFonts w:hint="default"/>
      </w:rPr>
    </w:lvl>
    <w:lvl w:ilvl="1" w:tplc="0C0A0019" w:tentative="1">
      <w:start w:val="1"/>
      <w:numFmt w:val="lowerLetter"/>
      <w:lvlText w:val="%2."/>
      <w:lvlJc w:val="left"/>
      <w:pPr>
        <w:ind w:left="1125" w:hanging="360"/>
      </w:pPr>
    </w:lvl>
    <w:lvl w:ilvl="2" w:tplc="0C0A001B" w:tentative="1">
      <w:start w:val="1"/>
      <w:numFmt w:val="lowerRoman"/>
      <w:lvlText w:val="%3."/>
      <w:lvlJc w:val="right"/>
      <w:pPr>
        <w:ind w:left="1845" w:hanging="180"/>
      </w:pPr>
    </w:lvl>
    <w:lvl w:ilvl="3" w:tplc="0C0A000F" w:tentative="1">
      <w:start w:val="1"/>
      <w:numFmt w:val="decimal"/>
      <w:lvlText w:val="%4."/>
      <w:lvlJc w:val="left"/>
      <w:pPr>
        <w:ind w:left="2565" w:hanging="360"/>
      </w:pPr>
    </w:lvl>
    <w:lvl w:ilvl="4" w:tplc="0C0A0019" w:tentative="1">
      <w:start w:val="1"/>
      <w:numFmt w:val="lowerLetter"/>
      <w:lvlText w:val="%5."/>
      <w:lvlJc w:val="left"/>
      <w:pPr>
        <w:ind w:left="3285" w:hanging="360"/>
      </w:pPr>
    </w:lvl>
    <w:lvl w:ilvl="5" w:tplc="0C0A001B" w:tentative="1">
      <w:start w:val="1"/>
      <w:numFmt w:val="lowerRoman"/>
      <w:lvlText w:val="%6."/>
      <w:lvlJc w:val="right"/>
      <w:pPr>
        <w:ind w:left="4005" w:hanging="180"/>
      </w:pPr>
    </w:lvl>
    <w:lvl w:ilvl="6" w:tplc="0C0A000F" w:tentative="1">
      <w:start w:val="1"/>
      <w:numFmt w:val="decimal"/>
      <w:lvlText w:val="%7."/>
      <w:lvlJc w:val="left"/>
      <w:pPr>
        <w:ind w:left="4725" w:hanging="360"/>
      </w:pPr>
    </w:lvl>
    <w:lvl w:ilvl="7" w:tplc="0C0A0019" w:tentative="1">
      <w:start w:val="1"/>
      <w:numFmt w:val="lowerLetter"/>
      <w:lvlText w:val="%8."/>
      <w:lvlJc w:val="left"/>
      <w:pPr>
        <w:ind w:left="5445" w:hanging="360"/>
      </w:pPr>
    </w:lvl>
    <w:lvl w:ilvl="8" w:tplc="0C0A001B" w:tentative="1">
      <w:start w:val="1"/>
      <w:numFmt w:val="lowerRoman"/>
      <w:lvlText w:val="%9."/>
      <w:lvlJc w:val="right"/>
      <w:pPr>
        <w:ind w:left="6165" w:hanging="180"/>
      </w:pPr>
    </w:lvl>
  </w:abstractNum>
  <w:abstractNum w:abstractNumId="84" w15:restartNumberingAfterBreak="0">
    <w:nsid w:val="2D7B7DD8"/>
    <w:multiLevelType w:val="hybridMultilevel"/>
    <w:tmpl w:val="B1C8EDC6"/>
    <w:lvl w:ilvl="0" w:tplc="B6FC5684">
      <w:start w:val="1"/>
      <w:numFmt w:val="lowerRoman"/>
      <w:lvlText w:val="%1."/>
      <w:lvlJc w:val="right"/>
      <w:pPr>
        <w:ind w:left="720" w:hanging="360"/>
      </w:pPr>
    </w:lvl>
    <w:lvl w:ilvl="1" w:tplc="69A0B560" w:tentative="1">
      <w:start w:val="1"/>
      <w:numFmt w:val="bullet"/>
      <w:lvlText w:val="o"/>
      <w:lvlJc w:val="left"/>
      <w:pPr>
        <w:ind w:left="1440" w:hanging="360"/>
      </w:pPr>
      <w:rPr>
        <w:rFonts w:ascii="Courier New" w:hAnsi="Courier New" w:hint="default"/>
      </w:rPr>
    </w:lvl>
    <w:lvl w:ilvl="2" w:tplc="ADEA8B86" w:tentative="1">
      <w:start w:val="1"/>
      <w:numFmt w:val="bullet"/>
      <w:lvlText w:val=""/>
      <w:lvlJc w:val="left"/>
      <w:pPr>
        <w:ind w:left="2160" w:hanging="360"/>
      </w:pPr>
      <w:rPr>
        <w:rFonts w:ascii="Cambria Math" w:hAnsi="Cambria Math" w:hint="default"/>
      </w:rPr>
    </w:lvl>
    <w:lvl w:ilvl="3" w:tplc="27F8DA8C" w:tentative="1">
      <w:start w:val="1"/>
      <w:numFmt w:val="bullet"/>
      <w:lvlText w:val=""/>
      <w:lvlJc w:val="left"/>
      <w:pPr>
        <w:ind w:left="2880" w:hanging="360"/>
      </w:pPr>
      <w:rPr>
        <w:rFonts w:ascii="Segoe UI" w:hAnsi="Segoe UI" w:hint="default"/>
      </w:rPr>
    </w:lvl>
    <w:lvl w:ilvl="4" w:tplc="B798B3BC" w:tentative="1">
      <w:start w:val="1"/>
      <w:numFmt w:val="bullet"/>
      <w:lvlText w:val="o"/>
      <w:lvlJc w:val="left"/>
      <w:pPr>
        <w:ind w:left="3600" w:hanging="360"/>
      </w:pPr>
      <w:rPr>
        <w:rFonts w:ascii="Courier New" w:hAnsi="Courier New" w:hint="default"/>
      </w:rPr>
    </w:lvl>
    <w:lvl w:ilvl="5" w:tplc="C50A8878" w:tentative="1">
      <w:start w:val="1"/>
      <w:numFmt w:val="bullet"/>
      <w:lvlText w:val=""/>
      <w:lvlJc w:val="left"/>
      <w:pPr>
        <w:ind w:left="4320" w:hanging="360"/>
      </w:pPr>
      <w:rPr>
        <w:rFonts w:ascii="Cambria Math" w:hAnsi="Cambria Math" w:hint="default"/>
      </w:rPr>
    </w:lvl>
    <w:lvl w:ilvl="6" w:tplc="000AB87E" w:tentative="1">
      <w:start w:val="1"/>
      <w:numFmt w:val="bullet"/>
      <w:lvlText w:val=""/>
      <w:lvlJc w:val="left"/>
      <w:pPr>
        <w:ind w:left="5040" w:hanging="360"/>
      </w:pPr>
      <w:rPr>
        <w:rFonts w:ascii="Segoe UI" w:hAnsi="Segoe UI" w:hint="default"/>
      </w:rPr>
    </w:lvl>
    <w:lvl w:ilvl="7" w:tplc="33EEA55C" w:tentative="1">
      <w:start w:val="1"/>
      <w:numFmt w:val="bullet"/>
      <w:lvlText w:val="o"/>
      <w:lvlJc w:val="left"/>
      <w:pPr>
        <w:ind w:left="5760" w:hanging="360"/>
      </w:pPr>
      <w:rPr>
        <w:rFonts w:ascii="Courier New" w:hAnsi="Courier New" w:hint="default"/>
      </w:rPr>
    </w:lvl>
    <w:lvl w:ilvl="8" w:tplc="2A9270DA" w:tentative="1">
      <w:start w:val="1"/>
      <w:numFmt w:val="bullet"/>
      <w:lvlText w:val=""/>
      <w:lvlJc w:val="left"/>
      <w:pPr>
        <w:ind w:left="6480" w:hanging="360"/>
      </w:pPr>
      <w:rPr>
        <w:rFonts w:ascii="Cambria Math" w:hAnsi="Cambria Math" w:hint="default"/>
      </w:rPr>
    </w:lvl>
  </w:abstractNum>
  <w:abstractNum w:abstractNumId="85" w15:restartNumberingAfterBreak="0">
    <w:nsid w:val="2D972AD3"/>
    <w:multiLevelType w:val="hybridMultilevel"/>
    <w:tmpl w:val="5CC689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2E360B7E"/>
    <w:multiLevelType w:val="hybridMultilevel"/>
    <w:tmpl w:val="2356F73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2E7F064A"/>
    <w:multiLevelType w:val="hybridMultilevel"/>
    <w:tmpl w:val="0C5A429A"/>
    <w:lvl w:ilvl="0" w:tplc="319233EA">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30334966"/>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3048683C"/>
    <w:multiLevelType w:val="multilevel"/>
    <w:tmpl w:val="CAB28D5A"/>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0" w15:restartNumberingAfterBreak="0">
    <w:nsid w:val="304E5DDC"/>
    <w:multiLevelType w:val="hybridMultilevel"/>
    <w:tmpl w:val="101696EE"/>
    <w:lvl w:ilvl="0" w:tplc="182E0066">
      <w:start w:val="1"/>
      <w:numFmt w:val="bullet"/>
      <w:lvlText w:val=""/>
      <w:lvlJc w:val="left"/>
      <w:pPr>
        <w:ind w:left="720" w:hanging="360"/>
      </w:pPr>
      <w:rPr>
        <w:rFonts w:ascii="Symbol" w:hAnsi="Symbol" w:hint="default"/>
      </w:rPr>
    </w:lvl>
    <w:lvl w:ilvl="1" w:tplc="A41A170A" w:tentative="1">
      <w:start w:val="1"/>
      <w:numFmt w:val="bullet"/>
      <w:lvlText w:val="o"/>
      <w:lvlJc w:val="left"/>
      <w:pPr>
        <w:ind w:left="1440" w:hanging="360"/>
      </w:pPr>
      <w:rPr>
        <w:rFonts w:ascii="Courier New" w:hAnsi="Courier New" w:hint="default"/>
      </w:rPr>
    </w:lvl>
    <w:lvl w:ilvl="2" w:tplc="318EA480" w:tentative="1">
      <w:start w:val="1"/>
      <w:numFmt w:val="bullet"/>
      <w:lvlText w:val=""/>
      <w:lvlJc w:val="left"/>
      <w:pPr>
        <w:ind w:left="2160" w:hanging="360"/>
      </w:pPr>
      <w:rPr>
        <w:rFonts w:ascii="Wingdings" w:hAnsi="Wingdings" w:hint="default"/>
      </w:rPr>
    </w:lvl>
    <w:lvl w:ilvl="3" w:tplc="36D4B966" w:tentative="1">
      <w:start w:val="1"/>
      <w:numFmt w:val="bullet"/>
      <w:lvlText w:val=""/>
      <w:lvlJc w:val="left"/>
      <w:pPr>
        <w:ind w:left="2880" w:hanging="360"/>
      </w:pPr>
      <w:rPr>
        <w:rFonts w:ascii="Symbol" w:hAnsi="Symbol" w:hint="default"/>
      </w:rPr>
    </w:lvl>
    <w:lvl w:ilvl="4" w:tplc="10E6B46C" w:tentative="1">
      <w:start w:val="1"/>
      <w:numFmt w:val="bullet"/>
      <w:lvlText w:val="o"/>
      <w:lvlJc w:val="left"/>
      <w:pPr>
        <w:ind w:left="3600" w:hanging="360"/>
      </w:pPr>
      <w:rPr>
        <w:rFonts w:ascii="Courier New" w:hAnsi="Courier New" w:hint="default"/>
      </w:rPr>
    </w:lvl>
    <w:lvl w:ilvl="5" w:tplc="0038DF90" w:tentative="1">
      <w:start w:val="1"/>
      <w:numFmt w:val="bullet"/>
      <w:lvlText w:val=""/>
      <w:lvlJc w:val="left"/>
      <w:pPr>
        <w:ind w:left="4320" w:hanging="360"/>
      </w:pPr>
      <w:rPr>
        <w:rFonts w:ascii="Wingdings" w:hAnsi="Wingdings" w:hint="default"/>
      </w:rPr>
    </w:lvl>
    <w:lvl w:ilvl="6" w:tplc="325C7348" w:tentative="1">
      <w:start w:val="1"/>
      <w:numFmt w:val="bullet"/>
      <w:lvlText w:val=""/>
      <w:lvlJc w:val="left"/>
      <w:pPr>
        <w:ind w:left="5040" w:hanging="360"/>
      </w:pPr>
      <w:rPr>
        <w:rFonts w:ascii="Symbol" w:hAnsi="Symbol" w:hint="default"/>
      </w:rPr>
    </w:lvl>
    <w:lvl w:ilvl="7" w:tplc="F16448FE" w:tentative="1">
      <w:start w:val="1"/>
      <w:numFmt w:val="bullet"/>
      <w:lvlText w:val="o"/>
      <w:lvlJc w:val="left"/>
      <w:pPr>
        <w:ind w:left="5760" w:hanging="360"/>
      </w:pPr>
      <w:rPr>
        <w:rFonts w:ascii="Courier New" w:hAnsi="Courier New" w:hint="default"/>
      </w:rPr>
    </w:lvl>
    <w:lvl w:ilvl="8" w:tplc="C2CCACB8" w:tentative="1">
      <w:start w:val="1"/>
      <w:numFmt w:val="bullet"/>
      <w:lvlText w:val=""/>
      <w:lvlJc w:val="left"/>
      <w:pPr>
        <w:ind w:left="6480" w:hanging="360"/>
      </w:pPr>
      <w:rPr>
        <w:rFonts w:ascii="Wingdings" w:hAnsi="Wingdings" w:hint="default"/>
      </w:rPr>
    </w:lvl>
  </w:abstractNum>
  <w:abstractNum w:abstractNumId="91" w15:restartNumberingAfterBreak="0">
    <w:nsid w:val="308B074D"/>
    <w:multiLevelType w:val="hybridMultilevel"/>
    <w:tmpl w:val="7DF0D0F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44E692C8">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30BD0203"/>
    <w:multiLevelType w:val="multilevel"/>
    <w:tmpl w:val="CAB28D5A"/>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3" w15:restartNumberingAfterBreak="0">
    <w:nsid w:val="30EA3C3E"/>
    <w:multiLevelType w:val="hybridMultilevel"/>
    <w:tmpl w:val="AA728CC0"/>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4" w15:restartNumberingAfterBreak="0">
    <w:nsid w:val="30FC79B2"/>
    <w:multiLevelType w:val="hybridMultilevel"/>
    <w:tmpl w:val="9670F212"/>
    <w:lvl w:ilvl="0" w:tplc="BAAA99CA">
      <w:start w:val="1"/>
      <w:numFmt w:val="bullet"/>
      <w:lvlText w:val=""/>
      <w:lvlJc w:val="left"/>
      <w:pPr>
        <w:ind w:left="720" w:hanging="360"/>
      </w:pPr>
      <w:rPr>
        <w:rFonts w:ascii="Symbol" w:hAnsi="Symbol" w:hint="default"/>
      </w:rPr>
    </w:lvl>
    <w:lvl w:ilvl="1" w:tplc="7A6056A4" w:tentative="1">
      <w:start w:val="1"/>
      <w:numFmt w:val="bullet"/>
      <w:lvlText w:val="o"/>
      <w:lvlJc w:val="left"/>
      <w:pPr>
        <w:ind w:left="1440" w:hanging="360"/>
      </w:pPr>
      <w:rPr>
        <w:rFonts w:ascii="Courier New" w:hAnsi="Courier New" w:hint="default"/>
      </w:rPr>
    </w:lvl>
    <w:lvl w:ilvl="2" w:tplc="4EAA584A" w:tentative="1">
      <w:start w:val="1"/>
      <w:numFmt w:val="bullet"/>
      <w:lvlText w:val=""/>
      <w:lvlJc w:val="left"/>
      <w:pPr>
        <w:ind w:left="2160" w:hanging="360"/>
      </w:pPr>
      <w:rPr>
        <w:rFonts w:ascii="Wingdings" w:hAnsi="Wingdings" w:hint="default"/>
      </w:rPr>
    </w:lvl>
    <w:lvl w:ilvl="3" w:tplc="90F0B144" w:tentative="1">
      <w:start w:val="1"/>
      <w:numFmt w:val="bullet"/>
      <w:lvlText w:val=""/>
      <w:lvlJc w:val="left"/>
      <w:pPr>
        <w:ind w:left="2880" w:hanging="360"/>
      </w:pPr>
      <w:rPr>
        <w:rFonts w:ascii="Symbol" w:hAnsi="Symbol" w:hint="default"/>
      </w:rPr>
    </w:lvl>
    <w:lvl w:ilvl="4" w:tplc="359C2FB0" w:tentative="1">
      <w:start w:val="1"/>
      <w:numFmt w:val="bullet"/>
      <w:lvlText w:val="o"/>
      <w:lvlJc w:val="left"/>
      <w:pPr>
        <w:ind w:left="3600" w:hanging="360"/>
      </w:pPr>
      <w:rPr>
        <w:rFonts w:ascii="Courier New" w:hAnsi="Courier New" w:hint="default"/>
      </w:rPr>
    </w:lvl>
    <w:lvl w:ilvl="5" w:tplc="C3BA6A44" w:tentative="1">
      <w:start w:val="1"/>
      <w:numFmt w:val="bullet"/>
      <w:lvlText w:val=""/>
      <w:lvlJc w:val="left"/>
      <w:pPr>
        <w:ind w:left="4320" w:hanging="360"/>
      </w:pPr>
      <w:rPr>
        <w:rFonts w:ascii="Wingdings" w:hAnsi="Wingdings" w:hint="default"/>
      </w:rPr>
    </w:lvl>
    <w:lvl w:ilvl="6" w:tplc="1BA2683C" w:tentative="1">
      <w:start w:val="1"/>
      <w:numFmt w:val="bullet"/>
      <w:lvlText w:val=""/>
      <w:lvlJc w:val="left"/>
      <w:pPr>
        <w:ind w:left="5040" w:hanging="360"/>
      </w:pPr>
      <w:rPr>
        <w:rFonts w:ascii="Symbol" w:hAnsi="Symbol" w:hint="default"/>
      </w:rPr>
    </w:lvl>
    <w:lvl w:ilvl="7" w:tplc="5DCA959E" w:tentative="1">
      <w:start w:val="1"/>
      <w:numFmt w:val="bullet"/>
      <w:lvlText w:val="o"/>
      <w:lvlJc w:val="left"/>
      <w:pPr>
        <w:ind w:left="5760" w:hanging="360"/>
      </w:pPr>
      <w:rPr>
        <w:rFonts w:ascii="Courier New" w:hAnsi="Courier New" w:hint="default"/>
      </w:rPr>
    </w:lvl>
    <w:lvl w:ilvl="8" w:tplc="731208F2" w:tentative="1">
      <w:start w:val="1"/>
      <w:numFmt w:val="bullet"/>
      <w:lvlText w:val=""/>
      <w:lvlJc w:val="left"/>
      <w:pPr>
        <w:ind w:left="6480" w:hanging="360"/>
      </w:pPr>
      <w:rPr>
        <w:rFonts w:ascii="Wingdings" w:hAnsi="Wingdings" w:hint="default"/>
      </w:rPr>
    </w:lvl>
  </w:abstractNum>
  <w:abstractNum w:abstractNumId="95" w15:restartNumberingAfterBreak="0">
    <w:nsid w:val="314C7F92"/>
    <w:multiLevelType w:val="multilevel"/>
    <w:tmpl w:val="04090023"/>
    <w:styleLink w:val="ArticleSection"/>
    <w:lvl w:ilvl="0">
      <w:start w:val="1"/>
      <w:numFmt w:val="upperRoman"/>
      <w:lvlText w:val="Article %1."/>
      <w:lvlJc w:val="left"/>
      <w:pPr>
        <w:ind w:left="0" w:firstLine="0"/>
      </w:pPr>
    </w:lvl>
    <w:lvl w:ilvl="1">
      <w:start w:val="1"/>
      <w:numFmt w:val="decima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6" w15:restartNumberingAfterBreak="0">
    <w:nsid w:val="31BB13B6"/>
    <w:multiLevelType w:val="hybridMultilevel"/>
    <w:tmpl w:val="48067D60"/>
    <w:lvl w:ilvl="0" w:tplc="9702A538">
      <w:start w:val="1"/>
      <w:numFmt w:val="bullet"/>
      <w:lvlText w:val=""/>
      <w:lvlJc w:val="left"/>
      <w:pPr>
        <w:ind w:left="720" w:hanging="360"/>
      </w:pPr>
      <w:rPr>
        <w:rFonts w:ascii="Symbol" w:hAnsi="Symbol" w:hint="default"/>
      </w:rPr>
    </w:lvl>
    <w:lvl w:ilvl="1" w:tplc="E23A4F12" w:tentative="1">
      <w:start w:val="1"/>
      <w:numFmt w:val="bullet"/>
      <w:lvlText w:val="o"/>
      <w:lvlJc w:val="left"/>
      <w:pPr>
        <w:ind w:left="1440" w:hanging="360"/>
      </w:pPr>
      <w:rPr>
        <w:rFonts w:ascii="Courier New" w:hAnsi="Courier New" w:hint="default"/>
      </w:rPr>
    </w:lvl>
    <w:lvl w:ilvl="2" w:tplc="CBEEE2E0" w:tentative="1">
      <w:start w:val="1"/>
      <w:numFmt w:val="bullet"/>
      <w:lvlText w:val=""/>
      <w:lvlJc w:val="left"/>
      <w:pPr>
        <w:ind w:left="2160" w:hanging="360"/>
      </w:pPr>
      <w:rPr>
        <w:rFonts w:ascii="Cambria Math" w:hAnsi="Cambria Math" w:hint="default"/>
      </w:rPr>
    </w:lvl>
    <w:lvl w:ilvl="3" w:tplc="525C2B2A" w:tentative="1">
      <w:start w:val="1"/>
      <w:numFmt w:val="bullet"/>
      <w:lvlText w:val=""/>
      <w:lvlJc w:val="left"/>
      <w:pPr>
        <w:ind w:left="2880" w:hanging="360"/>
      </w:pPr>
      <w:rPr>
        <w:rFonts w:ascii="Segoe UI" w:hAnsi="Segoe UI" w:hint="default"/>
      </w:rPr>
    </w:lvl>
    <w:lvl w:ilvl="4" w:tplc="6DDC30E2" w:tentative="1">
      <w:start w:val="1"/>
      <w:numFmt w:val="bullet"/>
      <w:lvlText w:val="o"/>
      <w:lvlJc w:val="left"/>
      <w:pPr>
        <w:ind w:left="3600" w:hanging="360"/>
      </w:pPr>
      <w:rPr>
        <w:rFonts w:ascii="Courier New" w:hAnsi="Courier New" w:hint="default"/>
      </w:rPr>
    </w:lvl>
    <w:lvl w:ilvl="5" w:tplc="CF9AEAC2" w:tentative="1">
      <w:start w:val="1"/>
      <w:numFmt w:val="bullet"/>
      <w:lvlText w:val=""/>
      <w:lvlJc w:val="left"/>
      <w:pPr>
        <w:ind w:left="4320" w:hanging="360"/>
      </w:pPr>
      <w:rPr>
        <w:rFonts w:ascii="Cambria Math" w:hAnsi="Cambria Math" w:hint="default"/>
      </w:rPr>
    </w:lvl>
    <w:lvl w:ilvl="6" w:tplc="929C0796" w:tentative="1">
      <w:start w:val="1"/>
      <w:numFmt w:val="bullet"/>
      <w:lvlText w:val=""/>
      <w:lvlJc w:val="left"/>
      <w:pPr>
        <w:ind w:left="5040" w:hanging="360"/>
      </w:pPr>
      <w:rPr>
        <w:rFonts w:ascii="Segoe UI" w:hAnsi="Segoe UI" w:hint="default"/>
      </w:rPr>
    </w:lvl>
    <w:lvl w:ilvl="7" w:tplc="750847C8" w:tentative="1">
      <w:start w:val="1"/>
      <w:numFmt w:val="bullet"/>
      <w:lvlText w:val="o"/>
      <w:lvlJc w:val="left"/>
      <w:pPr>
        <w:ind w:left="5760" w:hanging="360"/>
      </w:pPr>
      <w:rPr>
        <w:rFonts w:ascii="Courier New" w:hAnsi="Courier New" w:hint="default"/>
      </w:rPr>
    </w:lvl>
    <w:lvl w:ilvl="8" w:tplc="289E79D6" w:tentative="1">
      <w:start w:val="1"/>
      <w:numFmt w:val="bullet"/>
      <w:lvlText w:val=""/>
      <w:lvlJc w:val="left"/>
      <w:pPr>
        <w:ind w:left="6480" w:hanging="360"/>
      </w:pPr>
      <w:rPr>
        <w:rFonts w:ascii="Cambria Math" w:hAnsi="Cambria Math" w:hint="default"/>
      </w:rPr>
    </w:lvl>
  </w:abstractNum>
  <w:abstractNum w:abstractNumId="97" w15:restartNumberingAfterBreak="0">
    <w:nsid w:val="32CA2E3B"/>
    <w:multiLevelType w:val="hybridMultilevel"/>
    <w:tmpl w:val="8D2086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8" w15:restartNumberingAfterBreak="0">
    <w:nsid w:val="32F05DCD"/>
    <w:multiLevelType w:val="hybridMultilevel"/>
    <w:tmpl w:val="A89E2CCE"/>
    <w:lvl w:ilvl="0" w:tplc="1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330A5240"/>
    <w:multiLevelType w:val="multilevel"/>
    <w:tmpl w:val="74D0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3E63B41"/>
    <w:multiLevelType w:val="hybridMultilevel"/>
    <w:tmpl w:val="D05616CC"/>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4B83759"/>
    <w:multiLevelType w:val="hybridMultilevel"/>
    <w:tmpl w:val="582E430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2" w15:restartNumberingAfterBreak="0">
    <w:nsid w:val="35205951"/>
    <w:multiLevelType w:val="hybridMultilevel"/>
    <w:tmpl w:val="96969A3A"/>
    <w:lvl w:ilvl="0" w:tplc="C3365FD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3" w15:restartNumberingAfterBreak="0">
    <w:nsid w:val="3553699C"/>
    <w:multiLevelType w:val="hybridMultilevel"/>
    <w:tmpl w:val="B24C8EE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4" w15:restartNumberingAfterBreak="0">
    <w:nsid w:val="358437C0"/>
    <w:multiLevelType w:val="hybridMultilevel"/>
    <w:tmpl w:val="06206E40"/>
    <w:lvl w:ilvl="0" w:tplc="2182F972">
      <w:start w:val="1"/>
      <w:numFmt w:val="decimal"/>
      <w:lvlText w:val="%1."/>
      <w:lvlJc w:val="left"/>
      <w:pPr>
        <w:ind w:left="720" w:hanging="360"/>
      </w:pPr>
    </w:lvl>
    <w:lvl w:ilvl="1" w:tplc="12662228">
      <w:start w:val="1"/>
      <w:numFmt w:val="decimal"/>
      <w:lvlText w:val="%2."/>
      <w:lvlJc w:val="left"/>
      <w:pPr>
        <w:ind w:left="720" w:hanging="360"/>
      </w:pPr>
    </w:lvl>
    <w:lvl w:ilvl="2" w:tplc="B674056A">
      <w:start w:val="1"/>
      <w:numFmt w:val="decimal"/>
      <w:lvlText w:val="%3."/>
      <w:lvlJc w:val="left"/>
      <w:pPr>
        <w:ind w:left="720" w:hanging="360"/>
      </w:pPr>
    </w:lvl>
    <w:lvl w:ilvl="3" w:tplc="1478A87C">
      <w:start w:val="1"/>
      <w:numFmt w:val="decimal"/>
      <w:lvlText w:val="%4."/>
      <w:lvlJc w:val="left"/>
      <w:pPr>
        <w:ind w:left="720" w:hanging="360"/>
      </w:pPr>
    </w:lvl>
    <w:lvl w:ilvl="4" w:tplc="48E83DDA">
      <w:start w:val="1"/>
      <w:numFmt w:val="decimal"/>
      <w:lvlText w:val="%5."/>
      <w:lvlJc w:val="left"/>
      <w:pPr>
        <w:ind w:left="720" w:hanging="360"/>
      </w:pPr>
    </w:lvl>
    <w:lvl w:ilvl="5" w:tplc="53CADADE">
      <w:start w:val="1"/>
      <w:numFmt w:val="decimal"/>
      <w:lvlText w:val="%6."/>
      <w:lvlJc w:val="left"/>
      <w:pPr>
        <w:ind w:left="720" w:hanging="360"/>
      </w:pPr>
    </w:lvl>
    <w:lvl w:ilvl="6" w:tplc="18A60BF6">
      <w:start w:val="1"/>
      <w:numFmt w:val="decimal"/>
      <w:lvlText w:val="%7."/>
      <w:lvlJc w:val="left"/>
      <w:pPr>
        <w:ind w:left="720" w:hanging="360"/>
      </w:pPr>
    </w:lvl>
    <w:lvl w:ilvl="7" w:tplc="4C8C1504">
      <w:start w:val="1"/>
      <w:numFmt w:val="decimal"/>
      <w:lvlText w:val="%8."/>
      <w:lvlJc w:val="left"/>
      <w:pPr>
        <w:ind w:left="720" w:hanging="360"/>
      </w:pPr>
    </w:lvl>
    <w:lvl w:ilvl="8" w:tplc="88EE7F00">
      <w:start w:val="1"/>
      <w:numFmt w:val="decimal"/>
      <w:lvlText w:val="%9."/>
      <w:lvlJc w:val="left"/>
      <w:pPr>
        <w:ind w:left="720" w:hanging="360"/>
      </w:pPr>
    </w:lvl>
  </w:abstractNum>
  <w:abstractNum w:abstractNumId="105" w15:restartNumberingAfterBreak="0">
    <w:nsid w:val="35B64F34"/>
    <w:multiLevelType w:val="hybridMultilevel"/>
    <w:tmpl w:val="B9AC7494"/>
    <w:lvl w:ilvl="0" w:tplc="13249802">
      <w:start w:val="1"/>
      <w:numFmt w:val="bullet"/>
      <w:lvlText w:val=""/>
      <w:lvlJc w:val="left"/>
      <w:pPr>
        <w:ind w:left="720" w:hanging="360"/>
      </w:pPr>
      <w:rPr>
        <w:rFonts w:ascii="Symbol" w:hAnsi="Symbol" w:hint="default"/>
      </w:rPr>
    </w:lvl>
    <w:lvl w:ilvl="1" w:tplc="22B25742" w:tentative="1">
      <w:start w:val="1"/>
      <w:numFmt w:val="bullet"/>
      <w:lvlText w:val="o"/>
      <w:lvlJc w:val="left"/>
      <w:pPr>
        <w:ind w:left="1440" w:hanging="360"/>
      </w:pPr>
      <w:rPr>
        <w:rFonts w:ascii="Courier New" w:hAnsi="Courier New" w:hint="default"/>
      </w:rPr>
    </w:lvl>
    <w:lvl w:ilvl="2" w:tplc="046A9E18" w:tentative="1">
      <w:start w:val="1"/>
      <w:numFmt w:val="bullet"/>
      <w:lvlText w:val=""/>
      <w:lvlJc w:val="left"/>
      <w:pPr>
        <w:ind w:left="2160" w:hanging="360"/>
      </w:pPr>
      <w:rPr>
        <w:rFonts w:ascii="Cambria Math" w:hAnsi="Cambria Math" w:hint="default"/>
      </w:rPr>
    </w:lvl>
    <w:lvl w:ilvl="3" w:tplc="B07C0BF6" w:tentative="1">
      <w:start w:val="1"/>
      <w:numFmt w:val="bullet"/>
      <w:lvlText w:val=""/>
      <w:lvlJc w:val="left"/>
      <w:pPr>
        <w:ind w:left="2880" w:hanging="360"/>
      </w:pPr>
      <w:rPr>
        <w:rFonts w:ascii="Segoe UI" w:hAnsi="Segoe UI" w:hint="default"/>
      </w:rPr>
    </w:lvl>
    <w:lvl w:ilvl="4" w:tplc="4A761632" w:tentative="1">
      <w:start w:val="1"/>
      <w:numFmt w:val="bullet"/>
      <w:lvlText w:val="o"/>
      <w:lvlJc w:val="left"/>
      <w:pPr>
        <w:ind w:left="3600" w:hanging="360"/>
      </w:pPr>
      <w:rPr>
        <w:rFonts w:ascii="Courier New" w:hAnsi="Courier New" w:hint="default"/>
      </w:rPr>
    </w:lvl>
    <w:lvl w:ilvl="5" w:tplc="BBA2C8AA" w:tentative="1">
      <w:start w:val="1"/>
      <w:numFmt w:val="bullet"/>
      <w:lvlText w:val=""/>
      <w:lvlJc w:val="left"/>
      <w:pPr>
        <w:ind w:left="4320" w:hanging="360"/>
      </w:pPr>
      <w:rPr>
        <w:rFonts w:ascii="Cambria Math" w:hAnsi="Cambria Math" w:hint="default"/>
      </w:rPr>
    </w:lvl>
    <w:lvl w:ilvl="6" w:tplc="BC44F372" w:tentative="1">
      <w:start w:val="1"/>
      <w:numFmt w:val="bullet"/>
      <w:lvlText w:val=""/>
      <w:lvlJc w:val="left"/>
      <w:pPr>
        <w:ind w:left="5040" w:hanging="360"/>
      </w:pPr>
      <w:rPr>
        <w:rFonts w:ascii="Segoe UI" w:hAnsi="Segoe UI" w:hint="default"/>
      </w:rPr>
    </w:lvl>
    <w:lvl w:ilvl="7" w:tplc="1264E0F0" w:tentative="1">
      <w:start w:val="1"/>
      <w:numFmt w:val="bullet"/>
      <w:lvlText w:val="o"/>
      <w:lvlJc w:val="left"/>
      <w:pPr>
        <w:ind w:left="5760" w:hanging="360"/>
      </w:pPr>
      <w:rPr>
        <w:rFonts w:ascii="Courier New" w:hAnsi="Courier New" w:hint="default"/>
      </w:rPr>
    </w:lvl>
    <w:lvl w:ilvl="8" w:tplc="FC8E9286" w:tentative="1">
      <w:start w:val="1"/>
      <w:numFmt w:val="bullet"/>
      <w:lvlText w:val=""/>
      <w:lvlJc w:val="left"/>
      <w:pPr>
        <w:ind w:left="6480" w:hanging="360"/>
      </w:pPr>
      <w:rPr>
        <w:rFonts w:ascii="Cambria Math" w:hAnsi="Cambria Math" w:hint="default"/>
      </w:rPr>
    </w:lvl>
  </w:abstractNum>
  <w:abstractNum w:abstractNumId="106" w15:restartNumberingAfterBreak="0">
    <w:nsid w:val="35E02DE3"/>
    <w:multiLevelType w:val="hybridMultilevel"/>
    <w:tmpl w:val="FFFFFFFF"/>
    <w:lvl w:ilvl="0" w:tplc="8BEA220A">
      <w:start w:val="1"/>
      <w:numFmt w:val="bullet"/>
      <w:lvlText w:val="-"/>
      <w:lvlJc w:val="left"/>
      <w:pPr>
        <w:ind w:left="720" w:hanging="360"/>
      </w:pPr>
      <w:rPr>
        <w:rFonts w:ascii="Aptos" w:hAnsi="Aptos" w:hint="default"/>
      </w:rPr>
    </w:lvl>
    <w:lvl w:ilvl="1" w:tplc="5EC8B84E">
      <w:start w:val="1"/>
      <w:numFmt w:val="bullet"/>
      <w:lvlText w:val="o"/>
      <w:lvlJc w:val="left"/>
      <w:pPr>
        <w:ind w:left="1440" w:hanging="360"/>
      </w:pPr>
      <w:rPr>
        <w:rFonts w:ascii="Courier New" w:hAnsi="Courier New" w:hint="default"/>
      </w:rPr>
    </w:lvl>
    <w:lvl w:ilvl="2" w:tplc="3B50FC04">
      <w:start w:val="1"/>
      <w:numFmt w:val="bullet"/>
      <w:lvlText w:val=""/>
      <w:lvlJc w:val="left"/>
      <w:pPr>
        <w:ind w:left="2160" w:hanging="360"/>
      </w:pPr>
      <w:rPr>
        <w:rFonts w:ascii="Wingdings" w:hAnsi="Wingdings" w:hint="default"/>
      </w:rPr>
    </w:lvl>
    <w:lvl w:ilvl="3" w:tplc="EDE04BD0">
      <w:start w:val="1"/>
      <w:numFmt w:val="bullet"/>
      <w:lvlText w:val=""/>
      <w:lvlJc w:val="left"/>
      <w:pPr>
        <w:ind w:left="2880" w:hanging="360"/>
      </w:pPr>
      <w:rPr>
        <w:rFonts w:ascii="Symbol" w:hAnsi="Symbol" w:hint="default"/>
      </w:rPr>
    </w:lvl>
    <w:lvl w:ilvl="4" w:tplc="BFE2C0F0">
      <w:start w:val="1"/>
      <w:numFmt w:val="bullet"/>
      <w:lvlText w:val="o"/>
      <w:lvlJc w:val="left"/>
      <w:pPr>
        <w:ind w:left="3600" w:hanging="360"/>
      </w:pPr>
      <w:rPr>
        <w:rFonts w:ascii="Courier New" w:hAnsi="Courier New" w:hint="default"/>
      </w:rPr>
    </w:lvl>
    <w:lvl w:ilvl="5" w:tplc="308E2998">
      <w:start w:val="1"/>
      <w:numFmt w:val="bullet"/>
      <w:lvlText w:val=""/>
      <w:lvlJc w:val="left"/>
      <w:pPr>
        <w:ind w:left="4320" w:hanging="360"/>
      </w:pPr>
      <w:rPr>
        <w:rFonts w:ascii="Wingdings" w:hAnsi="Wingdings" w:hint="default"/>
      </w:rPr>
    </w:lvl>
    <w:lvl w:ilvl="6" w:tplc="F15043FE">
      <w:start w:val="1"/>
      <w:numFmt w:val="bullet"/>
      <w:lvlText w:val=""/>
      <w:lvlJc w:val="left"/>
      <w:pPr>
        <w:ind w:left="5040" w:hanging="360"/>
      </w:pPr>
      <w:rPr>
        <w:rFonts w:ascii="Symbol" w:hAnsi="Symbol" w:hint="default"/>
      </w:rPr>
    </w:lvl>
    <w:lvl w:ilvl="7" w:tplc="E730CFCE">
      <w:start w:val="1"/>
      <w:numFmt w:val="bullet"/>
      <w:lvlText w:val="o"/>
      <w:lvlJc w:val="left"/>
      <w:pPr>
        <w:ind w:left="5760" w:hanging="360"/>
      </w:pPr>
      <w:rPr>
        <w:rFonts w:ascii="Courier New" w:hAnsi="Courier New" w:hint="default"/>
      </w:rPr>
    </w:lvl>
    <w:lvl w:ilvl="8" w:tplc="C200F3E2">
      <w:start w:val="1"/>
      <w:numFmt w:val="bullet"/>
      <w:lvlText w:val=""/>
      <w:lvlJc w:val="left"/>
      <w:pPr>
        <w:ind w:left="6480" w:hanging="360"/>
      </w:pPr>
      <w:rPr>
        <w:rFonts w:ascii="Wingdings" w:hAnsi="Wingdings" w:hint="default"/>
      </w:rPr>
    </w:lvl>
  </w:abstractNum>
  <w:abstractNum w:abstractNumId="107" w15:restartNumberingAfterBreak="0">
    <w:nsid w:val="35F073E6"/>
    <w:multiLevelType w:val="hybridMultilevel"/>
    <w:tmpl w:val="6AD00EE2"/>
    <w:lvl w:ilvl="0" w:tplc="B96CD22C">
      <w:start w:val="5"/>
      <w:numFmt w:val="upperLetter"/>
      <w:lvlText w:val="%1."/>
      <w:lvlJc w:val="left"/>
      <w:pPr>
        <w:ind w:left="720" w:hanging="360"/>
      </w:pPr>
      <w:rPr>
        <w:rFonts w:eastAsiaTheme="minorHAnsi" w:cstheme="minorBidi" w:hint="default"/>
        <w:b w:val="0"/>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3758C3CB"/>
    <w:multiLevelType w:val="hybridMultilevel"/>
    <w:tmpl w:val="4DFC13A4"/>
    <w:lvl w:ilvl="0" w:tplc="BA84E760">
      <w:start w:val="1"/>
      <w:numFmt w:val="bullet"/>
      <w:lvlText w:val=""/>
      <w:lvlJc w:val="left"/>
      <w:pPr>
        <w:ind w:left="1080" w:hanging="360"/>
      </w:pPr>
      <w:rPr>
        <w:rFonts w:ascii="Symbol" w:hAnsi="Symbol" w:hint="default"/>
      </w:rPr>
    </w:lvl>
    <w:lvl w:ilvl="1" w:tplc="ED1A8E8E">
      <w:start w:val="1"/>
      <w:numFmt w:val="bullet"/>
      <w:lvlText w:val="o"/>
      <w:lvlJc w:val="left"/>
      <w:pPr>
        <w:ind w:left="1800" w:hanging="360"/>
      </w:pPr>
      <w:rPr>
        <w:rFonts w:ascii="Courier New" w:hAnsi="Courier New" w:hint="default"/>
      </w:rPr>
    </w:lvl>
    <w:lvl w:ilvl="2" w:tplc="67B85CAA">
      <w:start w:val="1"/>
      <w:numFmt w:val="bullet"/>
      <w:lvlText w:val=""/>
      <w:lvlJc w:val="left"/>
      <w:pPr>
        <w:ind w:left="2520" w:hanging="360"/>
      </w:pPr>
      <w:rPr>
        <w:rFonts w:ascii="Wingdings" w:hAnsi="Wingdings" w:hint="default"/>
      </w:rPr>
    </w:lvl>
    <w:lvl w:ilvl="3" w:tplc="39DE89E6">
      <w:start w:val="1"/>
      <w:numFmt w:val="bullet"/>
      <w:lvlText w:val=""/>
      <w:lvlJc w:val="left"/>
      <w:pPr>
        <w:ind w:left="3240" w:hanging="360"/>
      </w:pPr>
      <w:rPr>
        <w:rFonts w:ascii="Symbol" w:hAnsi="Symbol" w:hint="default"/>
      </w:rPr>
    </w:lvl>
    <w:lvl w:ilvl="4" w:tplc="D560473C">
      <w:start w:val="1"/>
      <w:numFmt w:val="bullet"/>
      <w:lvlText w:val="o"/>
      <w:lvlJc w:val="left"/>
      <w:pPr>
        <w:ind w:left="3960" w:hanging="360"/>
      </w:pPr>
      <w:rPr>
        <w:rFonts w:ascii="Courier New" w:hAnsi="Courier New" w:hint="default"/>
      </w:rPr>
    </w:lvl>
    <w:lvl w:ilvl="5" w:tplc="5ACE0484">
      <w:start w:val="1"/>
      <w:numFmt w:val="bullet"/>
      <w:lvlText w:val=""/>
      <w:lvlJc w:val="left"/>
      <w:pPr>
        <w:ind w:left="4680" w:hanging="360"/>
      </w:pPr>
      <w:rPr>
        <w:rFonts w:ascii="Wingdings" w:hAnsi="Wingdings" w:hint="default"/>
      </w:rPr>
    </w:lvl>
    <w:lvl w:ilvl="6" w:tplc="8E560066">
      <w:start w:val="1"/>
      <w:numFmt w:val="bullet"/>
      <w:lvlText w:val=""/>
      <w:lvlJc w:val="left"/>
      <w:pPr>
        <w:ind w:left="5400" w:hanging="360"/>
      </w:pPr>
      <w:rPr>
        <w:rFonts w:ascii="Symbol" w:hAnsi="Symbol" w:hint="default"/>
      </w:rPr>
    </w:lvl>
    <w:lvl w:ilvl="7" w:tplc="8D743554">
      <w:start w:val="1"/>
      <w:numFmt w:val="bullet"/>
      <w:lvlText w:val="o"/>
      <w:lvlJc w:val="left"/>
      <w:pPr>
        <w:ind w:left="6120" w:hanging="360"/>
      </w:pPr>
      <w:rPr>
        <w:rFonts w:ascii="Courier New" w:hAnsi="Courier New" w:hint="default"/>
      </w:rPr>
    </w:lvl>
    <w:lvl w:ilvl="8" w:tplc="40A0AD42">
      <w:start w:val="1"/>
      <w:numFmt w:val="bullet"/>
      <w:lvlText w:val=""/>
      <w:lvlJc w:val="left"/>
      <w:pPr>
        <w:ind w:left="6840" w:hanging="360"/>
      </w:pPr>
      <w:rPr>
        <w:rFonts w:ascii="Wingdings" w:hAnsi="Wingdings" w:hint="default"/>
      </w:rPr>
    </w:lvl>
  </w:abstractNum>
  <w:abstractNum w:abstractNumId="109" w15:restartNumberingAfterBreak="0">
    <w:nsid w:val="382356CE"/>
    <w:multiLevelType w:val="hybridMultilevel"/>
    <w:tmpl w:val="87DA39CC"/>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0" w15:restartNumberingAfterBreak="0">
    <w:nsid w:val="382D639E"/>
    <w:multiLevelType w:val="hybridMultilevel"/>
    <w:tmpl w:val="F30240C8"/>
    <w:lvl w:ilvl="0" w:tplc="08090017">
      <w:start w:val="1"/>
      <w:numFmt w:val="lowerLetter"/>
      <w:lvlText w:val="%1)"/>
      <w:lvlJc w:val="left"/>
      <w:pPr>
        <w:ind w:left="720" w:hanging="360"/>
      </w:pPr>
    </w:lvl>
    <w:lvl w:ilvl="1" w:tplc="1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3842A305"/>
    <w:multiLevelType w:val="hybridMultilevel"/>
    <w:tmpl w:val="A3BCCE9E"/>
    <w:lvl w:ilvl="0" w:tplc="2020D75A">
      <w:start w:val="1"/>
      <w:numFmt w:val="bullet"/>
      <w:lvlText w:val=""/>
      <w:lvlJc w:val="left"/>
      <w:pPr>
        <w:ind w:left="720" w:hanging="360"/>
      </w:pPr>
      <w:rPr>
        <w:rFonts w:ascii="Symbol" w:hAnsi="Symbol" w:hint="default"/>
      </w:rPr>
    </w:lvl>
    <w:lvl w:ilvl="1" w:tplc="52AAC7E0">
      <w:start w:val="1"/>
      <w:numFmt w:val="bullet"/>
      <w:lvlText w:val="o"/>
      <w:lvlJc w:val="left"/>
      <w:pPr>
        <w:ind w:left="1440" w:hanging="360"/>
      </w:pPr>
      <w:rPr>
        <w:rFonts w:ascii="Courier New" w:hAnsi="Courier New" w:hint="default"/>
      </w:rPr>
    </w:lvl>
    <w:lvl w:ilvl="2" w:tplc="8DA80010">
      <w:start w:val="1"/>
      <w:numFmt w:val="bullet"/>
      <w:lvlText w:val=""/>
      <w:lvlJc w:val="left"/>
      <w:pPr>
        <w:ind w:left="2160" w:hanging="360"/>
      </w:pPr>
      <w:rPr>
        <w:rFonts w:ascii="Wingdings" w:hAnsi="Wingdings" w:hint="default"/>
      </w:rPr>
    </w:lvl>
    <w:lvl w:ilvl="3" w:tplc="C0180904">
      <w:start w:val="1"/>
      <w:numFmt w:val="bullet"/>
      <w:lvlText w:val=""/>
      <w:lvlJc w:val="left"/>
      <w:pPr>
        <w:ind w:left="2880" w:hanging="360"/>
      </w:pPr>
      <w:rPr>
        <w:rFonts w:ascii="Symbol" w:hAnsi="Symbol" w:hint="default"/>
      </w:rPr>
    </w:lvl>
    <w:lvl w:ilvl="4" w:tplc="339AF1A4">
      <w:start w:val="1"/>
      <w:numFmt w:val="bullet"/>
      <w:lvlText w:val="o"/>
      <w:lvlJc w:val="left"/>
      <w:pPr>
        <w:ind w:left="3600" w:hanging="360"/>
      </w:pPr>
      <w:rPr>
        <w:rFonts w:ascii="Courier New" w:hAnsi="Courier New" w:hint="default"/>
      </w:rPr>
    </w:lvl>
    <w:lvl w:ilvl="5" w:tplc="C2049D9E">
      <w:start w:val="1"/>
      <w:numFmt w:val="bullet"/>
      <w:lvlText w:val=""/>
      <w:lvlJc w:val="left"/>
      <w:pPr>
        <w:ind w:left="4320" w:hanging="360"/>
      </w:pPr>
      <w:rPr>
        <w:rFonts w:ascii="Wingdings" w:hAnsi="Wingdings" w:hint="default"/>
      </w:rPr>
    </w:lvl>
    <w:lvl w:ilvl="6" w:tplc="1E26E3DE">
      <w:start w:val="1"/>
      <w:numFmt w:val="bullet"/>
      <w:lvlText w:val=""/>
      <w:lvlJc w:val="left"/>
      <w:pPr>
        <w:ind w:left="5040" w:hanging="360"/>
      </w:pPr>
      <w:rPr>
        <w:rFonts w:ascii="Symbol" w:hAnsi="Symbol" w:hint="default"/>
      </w:rPr>
    </w:lvl>
    <w:lvl w:ilvl="7" w:tplc="682A6A0E">
      <w:start w:val="1"/>
      <w:numFmt w:val="bullet"/>
      <w:lvlText w:val="o"/>
      <w:lvlJc w:val="left"/>
      <w:pPr>
        <w:ind w:left="5760" w:hanging="360"/>
      </w:pPr>
      <w:rPr>
        <w:rFonts w:ascii="Courier New" w:hAnsi="Courier New" w:hint="default"/>
      </w:rPr>
    </w:lvl>
    <w:lvl w:ilvl="8" w:tplc="11BA8574">
      <w:start w:val="1"/>
      <w:numFmt w:val="bullet"/>
      <w:lvlText w:val=""/>
      <w:lvlJc w:val="left"/>
      <w:pPr>
        <w:ind w:left="6480" w:hanging="360"/>
      </w:pPr>
      <w:rPr>
        <w:rFonts w:ascii="Wingdings" w:hAnsi="Wingdings" w:hint="default"/>
      </w:rPr>
    </w:lvl>
  </w:abstractNum>
  <w:abstractNum w:abstractNumId="112" w15:restartNumberingAfterBreak="0">
    <w:nsid w:val="38596246"/>
    <w:multiLevelType w:val="hybridMultilevel"/>
    <w:tmpl w:val="D0C6C9E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3" w15:restartNumberingAfterBreak="0">
    <w:nsid w:val="38E7320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38F269BC"/>
    <w:multiLevelType w:val="hybridMultilevel"/>
    <w:tmpl w:val="BCACA684"/>
    <w:lvl w:ilvl="0" w:tplc="FFFFFFFF">
      <w:start w:val="1"/>
      <w:numFmt w:val="decimal"/>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39413C2D"/>
    <w:multiLevelType w:val="hybridMultilevel"/>
    <w:tmpl w:val="8B4A3DF8"/>
    <w:lvl w:ilvl="0" w:tplc="A2B0D148">
      <w:start w:val="1"/>
      <w:numFmt w:val="decimal"/>
      <w:lvlText w:val="%1."/>
      <w:lvlJc w:val="left"/>
      <w:pPr>
        <w:ind w:left="1020" w:hanging="360"/>
      </w:pPr>
    </w:lvl>
    <w:lvl w:ilvl="1" w:tplc="6A1E644A">
      <w:start w:val="1"/>
      <w:numFmt w:val="decimal"/>
      <w:lvlText w:val="%2."/>
      <w:lvlJc w:val="left"/>
      <w:pPr>
        <w:ind w:left="1020" w:hanging="360"/>
      </w:pPr>
    </w:lvl>
    <w:lvl w:ilvl="2" w:tplc="CFEC10A4">
      <w:start w:val="1"/>
      <w:numFmt w:val="decimal"/>
      <w:lvlText w:val="%3."/>
      <w:lvlJc w:val="left"/>
      <w:pPr>
        <w:ind w:left="1020" w:hanging="360"/>
      </w:pPr>
    </w:lvl>
    <w:lvl w:ilvl="3" w:tplc="D6DEAC7A">
      <w:start w:val="1"/>
      <w:numFmt w:val="decimal"/>
      <w:lvlText w:val="%4."/>
      <w:lvlJc w:val="left"/>
      <w:pPr>
        <w:ind w:left="1020" w:hanging="360"/>
      </w:pPr>
    </w:lvl>
    <w:lvl w:ilvl="4" w:tplc="64FEC458">
      <w:start w:val="1"/>
      <w:numFmt w:val="decimal"/>
      <w:lvlText w:val="%5."/>
      <w:lvlJc w:val="left"/>
      <w:pPr>
        <w:ind w:left="1020" w:hanging="360"/>
      </w:pPr>
    </w:lvl>
    <w:lvl w:ilvl="5" w:tplc="02E8F440">
      <w:start w:val="1"/>
      <w:numFmt w:val="decimal"/>
      <w:lvlText w:val="%6."/>
      <w:lvlJc w:val="left"/>
      <w:pPr>
        <w:ind w:left="1020" w:hanging="360"/>
      </w:pPr>
    </w:lvl>
    <w:lvl w:ilvl="6" w:tplc="FB0A74DC">
      <w:start w:val="1"/>
      <w:numFmt w:val="decimal"/>
      <w:lvlText w:val="%7."/>
      <w:lvlJc w:val="left"/>
      <w:pPr>
        <w:ind w:left="1020" w:hanging="360"/>
      </w:pPr>
    </w:lvl>
    <w:lvl w:ilvl="7" w:tplc="9CC84F58">
      <w:start w:val="1"/>
      <w:numFmt w:val="decimal"/>
      <w:lvlText w:val="%8."/>
      <w:lvlJc w:val="left"/>
      <w:pPr>
        <w:ind w:left="1020" w:hanging="360"/>
      </w:pPr>
    </w:lvl>
    <w:lvl w:ilvl="8" w:tplc="746E41D0">
      <w:start w:val="1"/>
      <w:numFmt w:val="decimal"/>
      <w:lvlText w:val="%9."/>
      <w:lvlJc w:val="left"/>
      <w:pPr>
        <w:ind w:left="1020" w:hanging="360"/>
      </w:pPr>
    </w:lvl>
  </w:abstractNum>
  <w:abstractNum w:abstractNumId="116" w15:restartNumberingAfterBreak="0">
    <w:nsid w:val="39A82B28"/>
    <w:multiLevelType w:val="hybridMultilevel"/>
    <w:tmpl w:val="8CF89BE6"/>
    <w:lvl w:ilvl="0" w:tplc="08090017">
      <w:start w:val="1"/>
      <w:numFmt w:val="lowerLetter"/>
      <w:lvlText w:val="%1)"/>
      <w:lvlJc w:val="left"/>
      <w:pPr>
        <w:ind w:left="2704" w:hanging="360"/>
      </w:pPr>
    </w:lvl>
    <w:lvl w:ilvl="1" w:tplc="04090019" w:tentative="1">
      <w:start w:val="1"/>
      <w:numFmt w:val="lowerLetter"/>
      <w:lvlText w:val="%2."/>
      <w:lvlJc w:val="left"/>
      <w:pPr>
        <w:ind w:left="3424" w:hanging="360"/>
      </w:pPr>
    </w:lvl>
    <w:lvl w:ilvl="2" w:tplc="0409001B" w:tentative="1">
      <w:start w:val="1"/>
      <w:numFmt w:val="lowerRoman"/>
      <w:lvlText w:val="%3."/>
      <w:lvlJc w:val="right"/>
      <w:pPr>
        <w:ind w:left="4144" w:hanging="180"/>
      </w:pPr>
    </w:lvl>
    <w:lvl w:ilvl="3" w:tplc="0409000F" w:tentative="1">
      <w:start w:val="1"/>
      <w:numFmt w:val="decimal"/>
      <w:lvlText w:val="%4."/>
      <w:lvlJc w:val="left"/>
      <w:pPr>
        <w:ind w:left="4864" w:hanging="360"/>
      </w:pPr>
    </w:lvl>
    <w:lvl w:ilvl="4" w:tplc="04090019" w:tentative="1">
      <w:start w:val="1"/>
      <w:numFmt w:val="lowerLetter"/>
      <w:lvlText w:val="%5."/>
      <w:lvlJc w:val="left"/>
      <w:pPr>
        <w:ind w:left="5584" w:hanging="360"/>
      </w:pPr>
    </w:lvl>
    <w:lvl w:ilvl="5" w:tplc="0409001B" w:tentative="1">
      <w:start w:val="1"/>
      <w:numFmt w:val="lowerRoman"/>
      <w:lvlText w:val="%6."/>
      <w:lvlJc w:val="right"/>
      <w:pPr>
        <w:ind w:left="6304" w:hanging="180"/>
      </w:pPr>
    </w:lvl>
    <w:lvl w:ilvl="6" w:tplc="0409000F" w:tentative="1">
      <w:start w:val="1"/>
      <w:numFmt w:val="decimal"/>
      <w:lvlText w:val="%7."/>
      <w:lvlJc w:val="left"/>
      <w:pPr>
        <w:ind w:left="7024" w:hanging="360"/>
      </w:pPr>
    </w:lvl>
    <w:lvl w:ilvl="7" w:tplc="04090019" w:tentative="1">
      <w:start w:val="1"/>
      <w:numFmt w:val="lowerLetter"/>
      <w:lvlText w:val="%8."/>
      <w:lvlJc w:val="left"/>
      <w:pPr>
        <w:ind w:left="7744" w:hanging="360"/>
      </w:pPr>
    </w:lvl>
    <w:lvl w:ilvl="8" w:tplc="0409001B" w:tentative="1">
      <w:start w:val="1"/>
      <w:numFmt w:val="lowerRoman"/>
      <w:lvlText w:val="%9."/>
      <w:lvlJc w:val="right"/>
      <w:pPr>
        <w:ind w:left="8464" w:hanging="180"/>
      </w:pPr>
    </w:lvl>
  </w:abstractNum>
  <w:abstractNum w:abstractNumId="117" w15:restartNumberingAfterBreak="0">
    <w:nsid w:val="39B21F2D"/>
    <w:multiLevelType w:val="hybridMultilevel"/>
    <w:tmpl w:val="84460BF8"/>
    <w:lvl w:ilvl="0" w:tplc="CA968804">
      <w:start w:val="1"/>
      <w:numFmt w:val="bullet"/>
      <w:lvlText w:val=""/>
      <w:lvlJc w:val="left"/>
      <w:pPr>
        <w:ind w:left="720" w:hanging="360"/>
      </w:pPr>
      <w:rPr>
        <w:rFonts w:ascii="Symbol" w:hAnsi="Symbol" w:hint="default"/>
      </w:rPr>
    </w:lvl>
    <w:lvl w:ilvl="1" w:tplc="6A9A1924" w:tentative="1">
      <w:start w:val="1"/>
      <w:numFmt w:val="bullet"/>
      <w:lvlText w:val="o"/>
      <w:lvlJc w:val="left"/>
      <w:pPr>
        <w:ind w:left="1440" w:hanging="360"/>
      </w:pPr>
      <w:rPr>
        <w:rFonts w:ascii="Courier New" w:hAnsi="Courier New" w:hint="default"/>
      </w:rPr>
    </w:lvl>
    <w:lvl w:ilvl="2" w:tplc="B7DC0E28" w:tentative="1">
      <w:start w:val="1"/>
      <w:numFmt w:val="bullet"/>
      <w:lvlText w:val=""/>
      <w:lvlJc w:val="left"/>
      <w:pPr>
        <w:ind w:left="2160" w:hanging="360"/>
      </w:pPr>
      <w:rPr>
        <w:rFonts w:ascii="Wingdings" w:hAnsi="Wingdings" w:hint="default"/>
      </w:rPr>
    </w:lvl>
    <w:lvl w:ilvl="3" w:tplc="625E251E" w:tentative="1">
      <w:start w:val="1"/>
      <w:numFmt w:val="bullet"/>
      <w:lvlText w:val=""/>
      <w:lvlJc w:val="left"/>
      <w:pPr>
        <w:ind w:left="2880" w:hanging="360"/>
      </w:pPr>
      <w:rPr>
        <w:rFonts w:ascii="Symbol" w:hAnsi="Symbol" w:hint="default"/>
      </w:rPr>
    </w:lvl>
    <w:lvl w:ilvl="4" w:tplc="72B2B0BC" w:tentative="1">
      <w:start w:val="1"/>
      <w:numFmt w:val="bullet"/>
      <w:lvlText w:val="o"/>
      <w:lvlJc w:val="left"/>
      <w:pPr>
        <w:ind w:left="3600" w:hanging="360"/>
      </w:pPr>
      <w:rPr>
        <w:rFonts w:ascii="Courier New" w:hAnsi="Courier New" w:hint="default"/>
      </w:rPr>
    </w:lvl>
    <w:lvl w:ilvl="5" w:tplc="BD40F2DC" w:tentative="1">
      <w:start w:val="1"/>
      <w:numFmt w:val="bullet"/>
      <w:lvlText w:val=""/>
      <w:lvlJc w:val="left"/>
      <w:pPr>
        <w:ind w:left="4320" w:hanging="360"/>
      </w:pPr>
      <w:rPr>
        <w:rFonts w:ascii="Wingdings" w:hAnsi="Wingdings" w:hint="default"/>
      </w:rPr>
    </w:lvl>
    <w:lvl w:ilvl="6" w:tplc="77D6E446" w:tentative="1">
      <w:start w:val="1"/>
      <w:numFmt w:val="bullet"/>
      <w:lvlText w:val=""/>
      <w:lvlJc w:val="left"/>
      <w:pPr>
        <w:ind w:left="5040" w:hanging="360"/>
      </w:pPr>
      <w:rPr>
        <w:rFonts w:ascii="Symbol" w:hAnsi="Symbol" w:hint="default"/>
      </w:rPr>
    </w:lvl>
    <w:lvl w:ilvl="7" w:tplc="F600199A" w:tentative="1">
      <w:start w:val="1"/>
      <w:numFmt w:val="bullet"/>
      <w:lvlText w:val="o"/>
      <w:lvlJc w:val="left"/>
      <w:pPr>
        <w:ind w:left="5760" w:hanging="360"/>
      </w:pPr>
      <w:rPr>
        <w:rFonts w:ascii="Courier New" w:hAnsi="Courier New" w:hint="default"/>
      </w:rPr>
    </w:lvl>
    <w:lvl w:ilvl="8" w:tplc="6B70062C" w:tentative="1">
      <w:start w:val="1"/>
      <w:numFmt w:val="bullet"/>
      <w:lvlText w:val=""/>
      <w:lvlJc w:val="left"/>
      <w:pPr>
        <w:ind w:left="6480" w:hanging="360"/>
      </w:pPr>
      <w:rPr>
        <w:rFonts w:ascii="Wingdings" w:hAnsi="Wingdings" w:hint="default"/>
      </w:rPr>
    </w:lvl>
  </w:abstractNum>
  <w:abstractNum w:abstractNumId="118" w15:restartNumberingAfterBreak="0">
    <w:nsid w:val="3A575E44"/>
    <w:multiLevelType w:val="hybridMultilevel"/>
    <w:tmpl w:val="E3B643F2"/>
    <w:lvl w:ilvl="0" w:tplc="503A3284">
      <w:start w:val="1"/>
      <w:numFmt w:val="decimal"/>
      <w:lvlText w:val="%1."/>
      <w:lvlJc w:val="left"/>
      <w:pPr>
        <w:ind w:left="720" w:hanging="360"/>
      </w:pPr>
      <w:rPr>
        <w:b w:val="0"/>
        <w:bCs w:val="0"/>
      </w:rPr>
    </w:lvl>
    <w:lvl w:ilvl="1" w:tplc="525E4FD4">
      <w:start w:val="1"/>
      <w:numFmt w:val="bullet"/>
      <w:lvlText w:val="o"/>
      <w:lvlJc w:val="left"/>
      <w:pPr>
        <w:ind w:left="1440" w:hanging="360"/>
      </w:pPr>
      <w:rPr>
        <w:rFonts w:ascii="Courier New" w:hAnsi="Courier New" w:hint="default"/>
      </w:rPr>
    </w:lvl>
    <w:lvl w:ilvl="2" w:tplc="E3F6EF6C" w:tentative="1">
      <w:start w:val="1"/>
      <w:numFmt w:val="bullet"/>
      <w:lvlText w:val=""/>
      <w:lvlJc w:val="left"/>
      <w:pPr>
        <w:ind w:left="2160" w:hanging="360"/>
      </w:pPr>
      <w:rPr>
        <w:rFonts w:ascii="Wingdings" w:hAnsi="Wingdings" w:hint="default"/>
      </w:rPr>
    </w:lvl>
    <w:lvl w:ilvl="3" w:tplc="CAA23FA8" w:tentative="1">
      <w:start w:val="1"/>
      <w:numFmt w:val="bullet"/>
      <w:lvlText w:val=""/>
      <w:lvlJc w:val="left"/>
      <w:pPr>
        <w:ind w:left="2880" w:hanging="360"/>
      </w:pPr>
      <w:rPr>
        <w:rFonts w:ascii="Symbol" w:hAnsi="Symbol" w:hint="default"/>
      </w:rPr>
    </w:lvl>
    <w:lvl w:ilvl="4" w:tplc="A224E258" w:tentative="1">
      <w:start w:val="1"/>
      <w:numFmt w:val="bullet"/>
      <w:lvlText w:val="o"/>
      <w:lvlJc w:val="left"/>
      <w:pPr>
        <w:ind w:left="3600" w:hanging="360"/>
      </w:pPr>
      <w:rPr>
        <w:rFonts w:ascii="Courier New" w:hAnsi="Courier New" w:hint="default"/>
      </w:rPr>
    </w:lvl>
    <w:lvl w:ilvl="5" w:tplc="CBA64E9E" w:tentative="1">
      <w:start w:val="1"/>
      <w:numFmt w:val="bullet"/>
      <w:lvlText w:val=""/>
      <w:lvlJc w:val="left"/>
      <w:pPr>
        <w:ind w:left="4320" w:hanging="360"/>
      </w:pPr>
      <w:rPr>
        <w:rFonts w:ascii="Wingdings" w:hAnsi="Wingdings" w:hint="default"/>
      </w:rPr>
    </w:lvl>
    <w:lvl w:ilvl="6" w:tplc="981613AE" w:tentative="1">
      <w:start w:val="1"/>
      <w:numFmt w:val="bullet"/>
      <w:lvlText w:val=""/>
      <w:lvlJc w:val="left"/>
      <w:pPr>
        <w:ind w:left="5040" w:hanging="360"/>
      </w:pPr>
      <w:rPr>
        <w:rFonts w:ascii="Symbol" w:hAnsi="Symbol" w:hint="default"/>
      </w:rPr>
    </w:lvl>
    <w:lvl w:ilvl="7" w:tplc="37C6133E" w:tentative="1">
      <w:start w:val="1"/>
      <w:numFmt w:val="bullet"/>
      <w:lvlText w:val="o"/>
      <w:lvlJc w:val="left"/>
      <w:pPr>
        <w:ind w:left="5760" w:hanging="360"/>
      </w:pPr>
      <w:rPr>
        <w:rFonts w:ascii="Courier New" w:hAnsi="Courier New" w:hint="default"/>
      </w:rPr>
    </w:lvl>
    <w:lvl w:ilvl="8" w:tplc="AFF27116" w:tentative="1">
      <w:start w:val="1"/>
      <w:numFmt w:val="bullet"/>
      <w:lvlText w:val=""/>
      <w:lvlJc w:val="left"/>
      <w:pPr>
        <w:ind w:left="6480" w:hanging="360"/>
      </w:pPr>
      <w:rPr>
        <w:rFonts w:ascii="Wingdings" w:hAnsi="Wingdings" w:hint="default"/>
      </w:rPr>
    </w:lvl>
  </w:abstractNum>
  <w:abstractNum w:abstractNumId="119" w15:restartNumberingAfterBreak="0">
    <w:nsid w:val="3A7C5413"/>
    <w:multiLevelType w:val="hybridMultilevel"/>
    <w:tmpl w:val="E9A63D52"/>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20" w15:restartNumberingAfterBreak="0">
    <w:nsid w:val="3ACD0EAB"/>
    <w:multiLevelType w:val="hybridMultilevel"/>
    <w:tmpl w:val="7FBE429C"/>
    <w:lvl w:ilvl="0" w:tplc="49F4684A">
      <w:start w:val="1"/>
      <w:numFmt w:val="bullet"/>
      <w:lvlText w:val=""/>
      <w:lvlJc w:val="left"/>
      <w:pPr>
        <w:ind w:left="720" w:hanging="360"/>
      </w:pPr>
      <w:rPr>
        <w:rFonts w:ascii="Symbol" w:hAnsi="Symbol" w:hint="default"/>
      </w:rPr>
    </w:lvl>
    <w:lvl w:ilvl="1" w:tplc="7B10B6AA" w:tentative="1">
      <w:start w:val="1"/>
      <w:numFmt w:val="bullet"/>
      <w:lvlText w:val="o"/>
      <w:lvlJc w:val="left"/>
      <w:pPr>
        <w:ind w:left="1440" w:hanging="360"/>
      </w:pPr>
      <w:rPr>
        <w:rFonts w:ascii="Courier New" w:hAnsi="Courier New" w:hint="default"/>
      </w:rPr>
    </w:lvl>
    <w:lvl w:ilvl="2" w:tplc="34343254" w:tentative="1">
      <w:start w:val="1"/>
      <w:numFmt w:val="bullet"/>
      <w:lvlText w:val=""/>
      <w:lvlJc w:val="left"/>
      <w:pPr>
        <w:ind w:left="2160" w:hanging="360"/>
      </w:pPr>
      <w:rPr>
        <w:rFonts w:ascii="Wingdings" w:hAnsi="Wingdings" w:hint="default"/>
      </w:rPr>
    </w:lvl>
    <w:lvl w:ilvl="3" w:tplc="49D00C28" w:tentative="1">
      <w:start w:val="1"/>
      <w:numFmt w:val="bullet"/>
      <w:lvlText w:val=""/>
      <w:lvlJc w:val="left"/>
      <w:pPr>
        <w:ind w:left="2880" w:hanging="360"/>
      </w:pPr>
      <w:rPr>
        <w:rFonts w:ascii="Symbol" w:hAnsi="Symbol" w:hint="default"/>
      </w:rPr>
    </w:lvl>
    <w:lvl w:ilvl="4" w:tplc="9BC69F2A" w:tentative="1">
      <w:start w:val="1"/>
      <w:numFmt w:val="bullet"/>
      <w:lvlText w:val="o"/>
      <w:lvlJc w:val="left"/>
      <w:pPr>
        <w:ind w:left="3600" w:hanging="360"/>
      </w:pPr>
      <w:rPr>
        <w:rFonts w:ascii="Courier New" w:hAnsi="Courier New" w:hint="default"/>
      </w:rPr>
    </w:lvl>
    <w:lvl w:ilvl="5" w:tplc="99F851B6" w:tentative="1">
      <w:start w:val="1"/>
      <w:numFmt w:val="bullet"/>
      <w:lvlText w:val=""/>
      <w:lvlJc w:val="left"/>
      <w:pPr>
        <w:ind w:left="4320" w:hanging="360"/>
      </w:pPr>
      <w:rPr>
        <w:rFonts w:ascii="Wingdings" w:hAnsi="Wingdings" w:hint="default"/>
      </w:rPr>
    </w:lvl>
    <w:lvl w:ilvl="6" w:tplc="3BAE1040" w:tentative="1">
      <w:start w:val="1"/>
      <w:numFmt w:val="bullet"/>
      <w:lvlText w:val=""/>
      <w:lvlJc w:val="left"/>
      <w:pPr>
        <w:ind w:left="5040" w:hanging="360"/>
      </w:pPr>
      <w:rPr>
        <w:rFonts w:ascii="Symbol" w:hAnsi="Symbol" w:hint="default"/>
      </w:rPr>
    </w:lvl>
    <w:lvl w:ilvl="7" w:tplc="C404686A" w:tentative="1">
      <w:start w:val="1"/>
      <w:numFmt w:val="bullet"/>
      <w:lvlText w:val="o"/>
      <w:lvlJc w:val="left"/>
      <w:pPr>
        <w:ind w:left="5760" w:hanging="360"/>
      </w:pPr>
      <w:rPr>
        <w:rFonts w:ascii="Courier New" w:hAnsi="Courier New" w:hint="default"/>
      </w:rPr>
    </w:lvl>
    <w:lvl w:ilvl="8" w:tplc="2520A086" w:tentative="1">
      <w:start w:val="1"/>
      <w:numFmt w:val="bullet"/>
      <w:lvlText w:val=""/>
      <w:lvlJc w:val="left"/>
      <w:pPr>
        <w:ind w:left="6480" w:hanging="360"/>
      </w:pPr>
      <w:rPr>
        <w:rFonts w:ascii="Wingdings" w:hAnsi="Wingdings" w:hint="default"/>
      </w:rPr>
    </w:lvl>
  </w:abstractNum>
  <w:abstractNum w:abstractNumId="121" w15:restartNumberingAfterBreak="0">
    <w:nsid w:val="3B3B0D0E"/>
    <w:multiLevelType w:val="hybridMultilevel"/>
    <w:tmpl w:val="0B4EEFA4"/>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22" w15:restartNumberingAfterBreak="0">
    <w:nsid w:val="3B57295C"/>
    <w:multiLevelType w:val="hybridMultilevel"/>
    <w:tmpl w:val="B53C2B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3" w15:restartNumberingAfterBreak="0">
    <w:nsid w:val="3C111795"/>
    <w:multiLevelType w:val="hybridMultilevel"/>
    <w:tmpl w:val="EA404980"/>
    <w:lvl w:ilvl="0" w:tplc="84D43B16">
      <w:start w:val="1"/>
      <w:numFmt w:val="lowerLetter"/>
      <w:lvlText w:val="%1."/>
      <w:lvlJc w:val="left"/>
      <w:pPr>
        <w:ind w:left="1440" w:hanging="360"/>
      </w:pPr>
      <w:rPr>
        <w:rFonts w:ascii="Times New Roman" w:hAnsi="Times New Roman" w:hint="default"/>
      </w:rPr>
    </w:lvl>
    <w:lvl w:ilvl="1" w:tplc="3350E3F2" w:tentative="1">
      <w:start w:val="1"/>
      <w:numFmt w:val="lowerLetter"/>
      <w:lvlText w:val="%2."/>
      <w:lvlJc w:val="left"/>
      <w:pPr>
        <w:ind w:left="1440" w:hanging="360"/>
      </w:pPr>
    </w:lvl>
    <w:lvl w:ilvl="2" w:tplc="78280252" w:tentative="1">
      <w:start w:val="1"/>
      <w:numFmt w:val="lowerRoman"/>
      <w:lvlText w:val="%3."/>
      <w:lvlJc w:val="right"/>
      <w:pPr>
        <w:ind w:left="2160" w:hanging="180"/>
      </w:pPr>
    </w:lvl>
    <w:lvl w:ilvl="3" w:tplc="61406574" w:tentative="1">
      <w:start w:val="1"/>
      <w:numFmt w:val="decimal"/>
      <w:lvlText w:val="%4."/>
      <w:lvlJc w:val="left"/>
      <w:pPr>
        <w:ind w:left="2880" w:hanging="360"/>
      </w:pPr>
    </w:lvl>
    <w:lvl w:ilvl="4" w:tplc="9F784BE4" w:tentative="1">
      <w:start w:val="1"/>
      <w:numFmt w:val="lowerLetter"/>
      <w:lvlText w:val="%5."/>
      <w:lvlJc w:val="left"/>
      <w:pPr>
        <w:ind w:left="3600" w:hanging="360"/>
      </w:pPr>
    </w:lvl>
    <w:lvl w:ilvl="5" w:tplc="EED4C2F6" w:tentative="1">
      <w:start w:val="1"/>
      <w:numFmt w:val="lowerRoman"/>
      <w:lvlText w:val="%6."/>
      <w:lvlJc w:val="right"/>
      <w:pPr>
        <w:ind w:left="4320" w:hanging="180"/>
      </w:pPr>
    </w:lvl>
    <w:lvl w:ilvl="6" w:tplc="CC5EE874" w:tentative="1">
      <w:start w:val="1"/>
      <w:numFmt w:val="decimal"/>
      <w:lvlText w:val="%7."/>
      <w:lvlJc w:val="left"/>
      <w:pPr>
        <w:ind w:left="5040" w:hanging="360"/>
      </w:pPr>
    </w:lvl>
    <w:lvl w:ilvl="7" w:tplc="3F68FCA8" w:tentative="1">
      <w:start w:val="1"/>
      <w:numFmt w:val="lowerLetter"/>
      <w:lvlText w:val="%8."/>
      <w:lvlJc w:val="left"/>
      <w:pPr>
        <w:ind w:left="5760" w:hanging="360"/>
      </w:pPr>
    </w:lvl>
    <w:lvl w:ilvl="8" w:tplc="768091F2" w:tentative="1">
      <w:start w:val="1"/>
      <w:numFmt w:val="lowerRoman"/>
      <w:lvlText w:val="%9."/>
      <w:lvlJc w:val="right"/>
      <w:pPr>
        <w:ind w:left="6480" w:hanging="180"/>
      </w:pPr>
    </w:lvl>
  </w:abstractNum>
  <w:abstractNum w:abstractNumId="124" w15:restartNumberingAfterBreak="0">
    <w:nsid w:val="3C525F88"/>
    <w:multiLevelType w:val="hybridMultilevel"/>
    <w:tmpl w:val="719CF70E"/>
    <w:lvl w:ilvl="0" w:tplc="75C0B32A">
      <w:start w:val="1"/>
      <w:numFmt w:val="bullet"/>
      <w:lvlText w:val=""/>
      <w:lvlJc w:val="left"/>
      <w:pPr>
        <w:ind w:left="720" w:hanging="360"/>
      </w:pPr>
      <w:rPr>
        <w:rFonts w:ascii="Symbol" w:hAnsi="Symbol"/>
      </w:rPr>
    </w:lvl>
    <w:lvl w:ilvl="1" w:tplc="0600AA72">
      <w:start w:val="1"/>
      <w:numFmt w:val="bullet"/>
      <w:lvlText w:val=""/>
      <w:lvlJc w:val="left"/>
      <w:pPr>
        <w:ind w:left="720" w:hanging="360"/>
      </w:pPr>
      <w:rPr>
        <w:rFonts w:ascii="Symbol" w:hAnsi="Symbol"/>
      </w:rPr>
    </w:lvl>
    <w:lvl w:ilvl="2" w:tplc="7CA68260">
      <w:start w:val="1"/>
      <w:numFmt w:val="bullet"/>
      <w:lvlText w:val=""/>
      <w:lvlJc w:val="left"/>
      <w:pPr>
        <w:ind w:left="720" w:hanging="360"/>
      </w:pPr>
      <w:rPr>
        <w:rFonts w:ascii="Symbol" w:hAnsi="Symbol"/>
      </w:rPr>
    </w:lvl>
    <w:lvl w:ilvl="3" w:tplc="16E811F2">
      <w:start w:val="1"/>
      <w:numFmt w:val="bullet"/>
      <w:lvlText w:val=""/>
      <w:lvlJc w:val="left"/>
      <w:pPr>
        <w:ind w:left="720" w:hanging="360"/>
      </w:pPr>
      <w:rPr>
        <w:rFonts w:ascii="Symbol" w:hAnsi="Symbol"/>
      </w:rPr>
    </w:lvl>
    <w:lvl w:ilvl="4" w:tplc="F460B32E">
      <w:start w:val="1"/>
      <w:numFmt w:val="bullet"/>
      <w:lvlText w:val=""/>
      <w:lvlJc w:val="left"/>
      <w:pPr>
        <w:ind w:left="720" w:hanging="360"/>
      </w:pPr>
      <w:rPr>
        <w:rFonts w:ascii="Symbol" w:hAnsi="Symbol"/>
      </w:rPr>
    </w:lvl>
    <w:lvl w:ilvl="5" w:tplc="8D125C64">
      <w:start w:val="1"/>
      <w:numFmt w:val="bullet"/>
      <w:lvlText w:val=""/>
      <w:lvlJc w:val="left"/>
      <w:pPr>
        <w:ind w:left="720" w:hanging="360"/>
      </w:pPr>
      <w:rPr>
        <w:rFonts w:ascii="Symbol" w:hAnsi="Symbol"/>
      </w:rPr>
    </w:lvl>
    <w:lvl w:ilvl="6" w:tplc="F2EC0BF0">
      <w:start w:val="1"/>
      <w:numFmt w:val="bullet"/>
      <w:lvlText w:val=""/>
      <w:lvlJc w:val="left"/>
      <w:pPr>
        <w:ind w:left="720" w:hanging="360"/>
      </w:pPr>
      <w:rPr>
        <w:rFonts w:ascii="Symbol" w:hAnsi="Symbol"/>
      </w:rPr>
    </w:lvl>
    <w:lvl w:ilvl="7" w:tplc="54B4FC5A">
      <w:start w:val="1"/>
      <w:numFmt w:val="bullet"/>
      <w:lvlText w:val=""/>
      <w:lvlJc w:val="left"/>
      <w:pPr>
        <w:ind w:left="720" w:hanging="360"/>
      </w:pPr>
      <w:rPr>
        <w:rFonts w:ascii="Symbol" w:hAnsi="Symbol"/>
      </w:rPr>
    </w:lvl>
    <w:lvl w:ilvl="8" w:tplc="D08E4D1A">
      <w:start w:val="1"/>
      <w:numFmt w:val="bullet"/>
      <w:lvlText w:val=""/>
      <w:lvlJc w:val="left"/>
      <w:pPr>
        <w:ind w:left="720" w:hanging="360"/>
      </w:pPr>
      <w:rPr>
        <w:rFonts w:ascii="Symbol" w:hAnsi="Symbol"/>
      </w:rPr>
    </w:lvl>
  </w:abstractNum>
  <w:abstractNum w:abstractNumId="125" w15:restartNumberingAfterBreak="0">
    <w:nsid w:val="3D3C77D2"/>
    <w:multiLevelType w:val="hybridMultilevel"/>
    <w:tmpl w:val="F8D25CF6"/>
    <w:lvl w:ilvl="0" w:tplc="08090019">
      <w:start w:val="1"/>
      <w:numFmt w:val="lowerLetter"/>
      <w:lvlText w:val="%1."/>
      <w:lvlJc w:val="left"/>
      <w:pPr>
        <w:ind w:left="1429" w:hanging="360"/>
      </w:pPr>
    </w:lvl>
    <w:lvl w:ilvl="1" w:tplc="08090019">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26" w15:restartNumberingAfterBreak="0">
    <w:nsid w:val="3E267AD6"/>
    <w:multiLevelType w:val="hybridMultilevel"/>
    <w:tmpl w:val="923A1DD2"/>
    <w:lvl w:ilvl="0" w:tplc="0809000F">
      <w:start w:val="1"/>
      <w:numFmt w:val="decimal"/>
      <w:lvlText w:val="%1."/>
      <w:lvlJc w:val="left"/>
      <w:pPr>
        <w:ind w:left="1429" w:hanging="360"/>
      </w:pPr>
    </w:lvl>
    <w:lvl w:ilvl="1" w:tplc="08090019">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27" w15:restartNumberingAfterBreak="0">
    <w:nsid w:val="3EA27F64"/>
    <w:multiLevelType w:val="hybridMultilevel"/>
    <w:tmpl w:val="FBCC6D5E"/>
    <w:lvl w:ilvl="0" w:tplc="91FACB0C">
      <w:start w:val="1"/>
      <w:numFmt w:val="bullet"/>
      <w:lvlText w:val=""/>
      <w:lvlJc w:val="left"/>
      <w:pPr>
        <w:ind w:left="720" w:hanging="360"/>
      </w:pPr>
      <w:rPr>
        <w:rFonts w:ascii="Symbol" w:hAnsi="Symbol" w:hint="default"/>
      </w:rPr>
    </w:lvl>
    <w:lvl w:ilvl="1" w:tplc="21A29992" w:tentative="1">
      <w:start w:val="1"/>
      <w:numFmt w:val="bullet"/>
      <w:lvlText w:val="o"/>
      <w:lvlJc w:val="left"/>
      <w:pPr>
        <w:ind w:left="1440" w:hanging="360"/>
      </w:pPr>
      <w:rPr>
        <w:rFonts w:ascii="Courier New" w:hAnsi="Courier New" w:hint="default"/>
      </w:rPr>
    </w:lvl>
    <w:lvl w:ilvl="2" w:tplc="177C3708" w:tentative="1">
      <w:start w:val="1"/>
      <w:numFmt w:val="bullet"/>
      <w:lvlText w:val=""/>
      <w:lvlJc w:val="left"/>
      <w:pPr>
        <w:ind w:left="2160" w:hanging="360"/>
      </w:pPr>
      <w:rPr>
        <w:rFonts w:ascii="Wingdings" w:hAnsi="Wingdings" w:hint="default"/>
      </w:rPr>
    </w:lvl>
    <w:lvl w:ilvl="3" w:tplc="7B96B28E" w:tentative="1">
      <w:start w:val="1"/>
      <w:numFmt w:val="bullet"/>
      <w:lvlText w:val=""/>
      <w:lvlJc w:val="left"/>
      <w:pPr>
        <w:ind w:left="2880" w:hanging="360"/>
      </w:pPr>
      <w:rPr>
        <w:rFonts w:ascii="Symbol" w:hAnsi="Symbol" w:hint="default"/>
      </w:rPr>
    </w:lvl>
    <w:lvl w:ilvl="4" w:tplc="A98A93D6" w:tentative="1">
      <w:start w:val="1"/>
      <w:numFmt w:val="bullet"/>
      <w:lvlText w:val="o"/>
      <w:lvlJc w:val="left"/>
      <w:pPr>
        <w:ind w:left="3600" w:hanging="360"/>
      </w:pPr>
      <w:rPr>
        <w:rFonts w:ascii="Courier New" w:hAnsi="Courier New" w:hint="default"/>
      </w:rPr>
    </w:lvl>
    <w:lvl w:ilvl="5" w:tplc="F5242C30" w:tentative="1">
      <w:start w:val="1"/>
      <w:numFmt w:val="bullet"/>
      <w:lvlText w:val=""/>
      <w:lvlJc w:val="left"/>
      <w:pPr>
        <w:ind w:left="4320" w:hanging="360"/>
      </w:pPr>
      <w:rPr>
        <w:rFonts w:ascii="Wingdings" w:hAnsi="Wingdings" w:hint="default"/>
      </w:rPr>
    </w:lvl>
    <w:lvl w:ilvl="6" w:tplc="7FBA788C" w:tentative="1">
      <w:start w:val="1"/>
      <w:numFmt w:val="bullet"/>
      <w:lvlText w:val=""/>
      <w:lvlJc w:val="left"/>
      <w:pPr>
        <w:ind w:left="5040" w:hanging="360"/>
      </w:pPr>
      <w:rPr>
        <w:rFonts w:ascii="Symbol" w:hAnsi="Symbol" w:hint="default"/>
      </w:rPr>
    </w:lvl>
    <w:lvl w:ilvl="7" w:tplc="052CAA42" w:tentative="1">
      <w:start w:val="1"/>
      <w:numFmt w:val="bullet"/>
      <w:lvlText w:val="o"/>
      <w:lvlJc w:val="left"/>
      <w:pPr>
        <w:ind w:left="5760" w:hanging="360"/>
      </w:pPr>
      <w:rPr>
        <w:rFonts w:ascii="Courier New" w:hAnsi="Courier New" w:hint="default"/>
      </w:rPr>
    </w:lvl>
    <w:lvl w:ilvl="8" w:tplc="1E7CC9BE" w:tentative="1">
      <w:start w:val="1"/>
      <w:numFmt w:val="bullet"/>
      <w:lvlText w:val=""/>
      <w:lvlJc w:val="left"/>
      <w:pPr>
        <w:ind w:left="6480" w:hanging="360"/>
      </w:pPr>
      <w:rPr>
        <w:rFonts w:ascii="Wingdings" w:hAnsi="Wingdings" w:hint="default"/>
      </w:rPr>
    </w:lvl>
  </w:abstractNum>
  <w:abstractNum w:abstractNumId="128" w15:restartNumberingAfterBreak="0">
    <w:nsid w:val="3F4C10D6"/>
    <w:multiLevelType w:val="hybridMultilevel"/>
    <w:tmpl w:val="175EF330"/>
    <w:lvl w:ilvl="0" w:tplc="0C0A0017">
      <w:start w:val="1"/>
      <w:numFmt w:val="lowerLetter"/>
      <w:lvlText w:val="%1)"/>
      <w:lvlJc w:val="left"/>
      <w:pPr>
        <w:ind w:left="720" w:hanging="360"/>
      </w:pPr>
      <w:rPr>
        <w:rFonts w:hint="default"/>
      </w:rPr>
    </w:lvl>
    <w:lvl w:ilvl="1" w:tplc="C0B0BEF8">
      <w:start w:val="1"/>
      <w:numFmt w:val="lowerRoman"/>
      <w:lvlText w:val="%2."/>
      <w:lvlJc w:val="left"/>
      <w:pPr>
        <w:ind w:left="1440" w:hanging="360"/>
      </w:pPr>
      <w:rPr>
        <w:rFonts w:hint="default"/>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9" w15:restartNumberingAfterBreak="0">
    <w:nsid w:val="3F73DD3B"/>
    <w:multiLevelType w:val="hybridMultilevel"/>
    <w:tmpl w:val="394A4B14"/>
    <w:lvl w:ilvl="0" w:tplc="BA888930">
      <w:start w:val="1"/>
      <w:numFmt w:val="lowerLetter"/>
      <w:lvlText w:val="%1)"/>
      <w:lvlJc w:val="left"/>
      <w:pPr>
        <w:ind w:left="720" w:hanging="360"/>
      </w:pPr>
    </w:lvl>
    <w:lvl w:ilvl="1" w:tplc="7CD200C2">
      <w:start w:val="1"/>
      <w:numFmt w:val="lowerLetter"/>
      <w:lvlText w:val="%2."/>
      <w:lvlJc w:val="left"/>
      <w:pPr>
        <w:ind w:left="1440" w:hanging="360"/>
      </w:pPr>
    </w:lvl>
    <w:lvl w:ilvl="2" w:tplc="5814482A">
      <w:start w:val="1"/>
      <w:numFmt w:val="lowerRoman"/>
      <w:lvlText w:val="%3."/>
      <w:lvlJc w:val="right"/>
      <w:pPr>
        <w:ind w:left="2160" w:hanging="180"/>
      </w:pPr>
    </w:lvl>
    <w:lvl w:ilvl="3" w:tplc="ED440DEC">
      <w:start w:val="1"/>
      <w:numFmt w:val="decimal"/>
      <w:lvlText w:val="%4."/>
      <w:lvlJc w:val="left"/>
      <w:pPr>
        <w:ind w:left="2880" w:hanging="360"/>
      </w:pPr>
    </w:lvl>
    <w:lvl w:ilvl="4" w:tplc="51CA1262">
      <w:start w:val="1"/>
      <w:numFmt w:val="lowerLetter"/>
      <w:lvlText w:val="%5."/>
      <w:lvlJc w:val="left"/>
      <w:pPr>
        <w:ind w:left="3600" w:hanging="360"/>
      </w:pPr>
    </w:lvl>
    <w:lvl w:ilvl="5" w:tplc="B3EACFCA">
      <w:start w:val="1"/>
      <w:numFmt w:val="lowerRoman"/>
      <w:lvlText w:val="%6."/>
      <w:lvlJc w:val="right"/>
      <w:pPr>
        <w:ind w:left="4320" w:hanging="180"/>
      </w:pPr>
    </w:lvl>
    <w:lvl w:ilvl="6" w:tplc="10B8BDE6">
      <w:start w:val="1"/>
      <w:numFmt w:val="decimal"/>
      <w:lvlText w:val="%7."/>
      <w:lvlJc w:val="left"/>
      <w:pPr>
        <w:ind w:left="5040" w:hanging="360"/>
      </w:pPr>
    </w:lvl>
    <w:lvl w:ilvl="7" w:tplc="AC4C7D8A">
      <w:start w:val="1"/>
      <w:numFmt w:val="lowerLetter"/>
      <w:lvlText w:val="%8."/>
      <w:lvlJc w:val="left"/>
      <w:pPr>
        <w:ind w:left="5760" w:hanging="360"/>
      </w:pPr>
    </w:lvl>
    <w:lvl w:ilvl="8" w:tplc="805CE7D8">
      <w:start w:val="1"/>
      <w:numFmt w:val="lowerRoman"/>
      <w:lvlText w:val="%9."/>
      <w:lvlJc w:val="right"/>
      <w:pPr>
        <w:ind w:left="6480" w:hanging="180"/>
      </w:pPr>
    </w:lvl>
  </w:abstractNum>
  <w:abstractNum w:abstractNumId="130" w15:restartNumberingAfterBreak="0">
    <w:nsid w:val="3FFF685F"/>
    <w:multiLevelType w:val="hybridMultilevel"/>
    <w:tmpl w:val="FFFFFFFF"/>
    <w:lvl w:ilvl="0" w:tplc="5B00A29A">
      <w:start w:val="1"/>
      <w:numFmt w:val="bullet"/>
      <w:lvlText w:val=""/>
      <w:lvlJc w:val="left"/>
      <w:pPr>
        <w:ind w:left="720" w:hanging="360"/>
      </w:pPr>
      <w:rPr>
        <w:rFonts w:ascii="Symbol" w:hAnsi="Symbol" w:hint="default"/>
      </w:rPr>
    </w:lvl>
    <w:lvl w:ilvl="1" w:tplc="8D047512">
      <w:start w:val="1"/>
      <w:numFmt w:val="bullet"/>
      <w:lvlText w:val="o"/>
      <w:lvlJc w:val="left"/>
      <w:pPr>
        <w:ind w:left="1440" w:hanging="360"/>
      </w:pPr>
      <w:rPr>
        <w:rFonts w:ascii="Courier New" w:hAnsi="Courier New" w:hint="default"/>
      </w:rPr>
    </w:lvl>
    <w:lvl w:ilvl="2" w:tplc="9F3C4056">
      <w:start w:val="1"/>
      <w:numFmt w:val="bullet"/>
      <w:lvlText w:val=""/>
      <w:lvlJc w:val="left"/>
      <w:pPr>
        <w:ind w:left="2160" w:hanging="360"/>
      </w:pPr>
      <w:rPr>
        <w:rFonts w:ascii="Wingdings" w:hAnsi="Wingdings" w:hint="default"/>
      </w:rPr>
    </w:lvl>
    <w:lvl w:ilvl="3" w:tplc="76B8F16E">
      <w:start w:val="1"/>
      <w:numFmt w:val="bullet"/>
      <w:lvlText w:val=""/>
      <w:lvlJc w:val="left"/>
      <w:pPr>
        <w:ind w:left="2880" w:hanging="360"/>
      </w:pPr>
      <w:rPr>
        <w:rFonts w:ascii="Symbol" w:hAnsi="Symbol" w:hint="default"/>
      </w:rPr>
    </w:lvl>
    <w:lvl w:ilvl="4" w:tplc="C114AC68">
      <w:start w:val="1"/>
      <w:numFmt w:val="bullet"/>
      <w:lvlText w:val="o"/>
      <w:lvlJc w:val="left"/>
      <w:pPr>
        <w:ind w:left="3600" w:hanging="360"/>
      </w:pPr>
      <w:rPr>
        <w:rFonts w:ascii="Courier New" w:hAnsi="Courier New" w:hint="default"/>
      </w:rPr>
    </w:lvl>
    <w:lvl w:ilvl="5" w:tplc="8710E7C6">
      <w:start w:val="1"/>
      <w:numFmt w:val="bullet"/>
      <w:lvlText w:val=""/>
      <w:lvlJc w:val="left"/>
      <w:pPr>
        <w:ind w:left="4320" w:hanging="360"/>
      </w:pPr>
      <w:rPr>
        <w:rFonts w:ascii="Wingdings" w:hAnsi="Wingdings" w:hint="default"/>
      </w:rPr>
    </w:lvl>
    <w:lvl w:ilvl="6" w:tplc="38CAF7F8">
      <w:start w:val="1"/>
      <w:numFmt w:val="bullet"/>
      <w:lvlText w:val=""/>
      <w:lvlJc w:val="left"/>
      <w:pPr>
        <w:ind w:left="5040" w:hanging="360"/>
      </w:pPr>
      <w:rPr>
        <w:rFonts w:ascii="Symbol" w:hAnsi="Symbol" w:hint="default"/>
      </w:rPr>
    </w:lvl>
    <w:lvl w:ilvl="7" w:tplc="7C2E760E">
      <w:start w:val="1"/>
      <w:numFmt w:val="bullet"/>
      <w:lvlText w:val="o"/>
      <w:lvlJc w:val="left"/>
      <w:pPr>
        <w:ind w:left="5760" w:hanging="360"/>
      </w:pPr>
      <w:rPr>
        <w:rFonts w:ascii="Courier New" w:hAnsi="Courier New" w:hint="default"/>
      </w:rPr>
    </w:lvl>
    <w:lvl w:ilvl="8" w:tplc="7610AFD6">
      <w:start w:val="1"/>
      <w:numFmt w:val="bullet"/>
      <w:lvlText w:val=""/>
      <w:lvlJc w:val="left"/>
      <w:pPr>
        <w:ind w:left="6480" w:hanging="360"/>
      </w:pPr>
      <w:rPr>
        <w:rFonts w:ascii="Wingdings" w:hAnsi="Wingdings" w:hint="default"/>
      </w:rPr>
    </w:lvl>
  </w:abstractNum>
  <w:abstractNum w:abstractNumId="131" w15:restartNumberingAfterBreak="0">
    <w:nsid w:val="40135D8C"/>
    <w:multiLevelType w:val="hybridMultilevel"/>
    <w:tmpl w:val="FFFFFFFF"/>
    <w:lvl w:ilvl="0" w:tplc="883A7DD6">
      <w:start w:val="1"/>
      <w:numFmt w:val="bullet"/>
      <w:lvlText w:val="-"/>
      <w:lvlJc w:val="left"/>
      <w:pPr>
        <w:ind w:left="360" w:hanging="360"/>
      </w:pPr>
      <w:rPr>
        <w:rFonts w:ascii="Aptos" w:hAnsi="Aptos" w:hint="default"/>
      </w:rPr>
    </w:lvl>
    <w:lvl w:ilvl="1" w:tplc="FBB882AC">
      <w:start w:val="1"/>
      <w:numFmt w:val="bullet"/>
      <w:lvlText w:val="o"/>
      <w:lvlJc w:val="left"/>
      <w:pPr>
        <w:ind w:left="1080" w:hanging="360"/>
      </w:pPr>
      <w:rPr>
        <w:rFonts w:ascii="Courier New" w:hAnsi="Courier New" w:hint="default"/>
      </w:rPr>
    </w:lvl>
    <w:lvl w:ilvl="2" w:tplc="A4221452">
      <w:start w:val="1"/>
      <w:numFmt w:val="bullet"/>
      <w:lvlText w:val=""/>
      <w:lvlJc w:val="left"/>
      <w:pPr>
        <w:ind w:left="1800" w:hanging="360"/>
      </w:pPr>
      <w:rPr>
        <w:rFonts w:ascii="Wingdings" w:hAnsi="Wingdings" w:hint="default"/>
      </w:rPr>
    </w:lvl>
    <w:lvl w:ilvl="3" w:tplc="CA62BFA8">
      <w:start w:val="1"/>
      <w:numFmt w:val="bullet"/>
      <w:lvlText w:val=""/>
      <w:lvlJc w:val="left"/>
      <w:pPr>
        <w:ind w:left="2520" w:hanging="360"/>
      </w:pPr>
      <w:rPr>
        <w:rFonts w:ascii="Symbol" w:hAnsi="Symbol" w:hint="default"/>
      </w:rPr>
    </w:lvl>
    <w:lvl w:ilvl="4" w:tplc="084A3A2A">
      <w:start w:val="1"/>
      <w:numFmt w:val="bullet"/>
      <w:lvlText w:val="o"/>
      <w:lvlJc w:val="left"/>
      <w:pPr>
        <w:ind w:left="3240" w:hanging="360"/>
      </w:pPr>
      <w:rPr>
        <w:rFonts w:ascii="Courier New" w:hAnsi="Courier New" w:hint="default"/>
      </w:rPr>
    </w:lvl>
    <w:lvl w:ilvl="5" w:tplc="CE44B5D6">
      <w:start w:val="1"/>
      <w:numFmt w:val="bullet"/>
      <w:lvlText w:val=""/>
      <w:lvlJc w:val="left"/>
      <w:pPr>
        <w:ind w:left="3960" w:hanging="360"/>
      </w:pPr>
      <w:rPr>
        <w:rFonts w:ascii="Wingdings" w:hAnsi="Wingdings" w:hint="default"/>
      </w:rPr>
    </w:lvl>
    <w:lvl w:ilvl="6" w:tplc="864EE4AE">
      <w:start w:val="1"/>
      <w:numFmt w:val="bullet"/>
      <w:lvlText w:val=""/>
      <w:lvlJc w:val="left"/>
      <w:pPr>
        <w:ind w:left="4680" w:hanging="360"/>
      </w:pPr>
      <w:rPr>
        <w:rFonts w:ascii="Symbol" w:hAnsi="Symbol" w:hint="default"/>
      </w:rPr>
    </w:lvl>
    <w:lvl w:ilvl="7" w:tplc="94227B52">
      <w:start w:val="1"/>
      <w:numFmt w:val="bullet"/>
      <w:lvlText w:val="o"/>
      <w:lvlJc w:val="left"/>
      <w:pPr>
        <w:ind w:left="5400" w:hanging="360"/>
      </w:pPr>
      <w:rPr>
        <w:rFonts w:ascii="Courier New" w:hAnsi="Courier New" w:hint="default"/>
      </w:rPr>
    </w:lvl>
    <w:lvl w:ilvl="8" w:tplc="6F6E4840">
      <w:start w:val="1"/>
      <w:numFmt w:val="bullet"/>
      <w:lvlText w:val=""/>
      <w:lvlJc w:val="left"/>
      <w:pPr>
        <w:ind w:left="6120" w:hanging="360"/>
      </w:pPr>
      <w:rPr>
        <w:rFonts w:ascii="Wingdings" w:hAnsi="Wingdings" w:hint="default"/>
      </w:rPr>
    </w:lvl>
  </w:abstractNum>
  <w:abstractNum w:abstractNumId="132" w15:restartNumberingAfterBreak="0">
    <w:nsid w:val="40C63169"/>
    <w:multiLevelType w:val="hybridMultilevel"/>
    <w:tmpl w:val="E1A28D56"/>
    <w:lvl w:ilvl="0" w:tplc="A9C465BC">
      <w:start w:val="1"/>
      <w:numFmt w:val="bullet"/>
      <w:lvlText w:val="-"/>
      <w:lvlJc w:val="left"/>
      <w:pPr>
        <w:ind w:left="720" w:hanging="360"/>
      </w:pPr>
      <w:rPr>
        <w:rFonts w:ascii="Calibri" w:hAnsi="Calibri" w:hint="default"/>
      </w:rPr>
    </w:lvl>
    <w:lvl w:ilvl="1" w:tplc="3E2ED97C" w:tentative="1">
      <w:start w:val="1"/>
      <w:numFmt w:val="bullet"/>
      <w:lvlText w:val="o"/>
      <w:lvlJc w:val="left"/>
      <w:pPr>
        <w:ind w:left="1091" w:hanging="360"/>
      </w:pPr>
      <w:rPr>
        <w:rFonts w:ascii="Courier New" w:hAnsi="Courier New" w:hint="default"/>
      </w:rPr>
    </w:lvl>
    <w:lvl w:ilvl="2" w:tplc="1FB2426C" w:tentative="1">
      <w:start w:val="1"/>
      <w:numFmt w:val="bullet"/>
      <w:lvlText w:val=""/>
      <w:lvlJc w:val="left"/>
      <w:pPr>
        <w:ind w:left="1811" w:hanging="360"/>
      </w:pPr>
      <w:rPr>
        <w:rFonts w:ascii="Cambria Math" w:hAnsi="Cambria Math" w:hint="default"/>
      </w:rPr>
    </w:lvl>
    <w:lvl w:ilvl="3" w:tplc="AB9AD800" w:tentative="1">
      <w:start w:val="1"/>
      <w:numFmt w:val="bullet"/>
      <w:lvlText w:val=""/>
      <w:lvlJc w:val="left"/>
      <w:pPr>
        <w:ind w:left="2531" w:hanging="360"/>
      </w:pPr>
      <w:rPr>
        <w:rFonts w:ascii="Segoe UI" w:hAnsi="Segoe UI" w:hint="default"/>
      </w:rPr>
    </w:lvl>
    <w:lvl w:ilvl="4" w:tplc="009E03CE" w:tentative="1">
      <w:start w:val="1"/>
      <w:numFmt w:val="bullet"/>
      <w:lvlText w:val="o"/>
      <w:lvlJc w:val="left"/>
      <w:pPr>
        <w:ind w:left="3251" w:hanging="360"/>
      </w:pPr>
      <w:rPr>
        <w:rFonts w:ascii="Courier New" w:hAnsi="Courier New" w:hint="default"/>
      </w:rPr>
    </w:lvl>
    <w:lvl w:ilvl="5" w:tplc="693238B6" w:tentative="1">
      <w:start w:val="1"/>
      <w:numFmt w:val="bullet"/>
      <w:lvlText w:val=""/>
      <w:lvlJc w:val="left"/>
      <w:pPr>
        <w:ind w:left="3971" w:hanging="360"/>
      </w:pPr>
      <w:rPr>
        <w:rFonts w:ascii="Cambria Math" w:hAnsi="Cambria Math" w:hint="default"/>
      </w:rPr>
    </w:lvl>
    <w:lvl w:ilvl="6" w:tplc="039A7CE4" w:tentative="1">
      <w:start w:val="1"/>
      <w:numFmt w:val="bullet"/>
      <w:lvlText w:val=""/>
      <w:lvlJc w:val="left"/>
      <w:pPr>
        <w:ind w:left="4691" w:hanging="360"/>
      </w:pPr>
      <w:rPr>
        <w:rFonts w:ascii="Segoe UI" w:hAnsi="Segoe UI" w:hint="default"/>
      </w:rPr>
    </w:lvl>
    <w:lvl w:ilvl="7" w:tplc="943C38A2" w:tentative="1">
      <w:start w:val="1"/>
      <w:numFmt w:val="bullet"/>
      <w:lvlText w:val="o"/>
      <w:lvlJc w:val="left"/>
      <w:pPr>
        <w:ind w:left="5411" w:hanging="360"/>
      </w:pPr>
      <w:rPr>
        <w:rFonts w:ascii="Courier New" w:hAnsi="Courier New" w:hint="default"/>
      </w:rPr>
    </w:lvl>
    <w:lvl w:ilvl="8" w:tplc="0AC2285A" w:tentative="1">
      <w:start w:val="1"/>
      <w:numFmt w:val="bullet"/>
      <w:lvlText w:val=""/>
      <w:lvlJc w:val="left"/>
      <w:pPr>
        <w:ind w:left="6131" w:hanging="360"/>
      </w:pPr>
      <w:rPr>
        <w:rFonts w:ascii="Cambria Math" w:hAnsi="Cambria Math" w:hint="default"/>
      </w:rPr>
    </w:lvl>
  </w:abstractNum>
  <w:abstractNum w:abstractNumId="133" w15:restartNumberingAfterBreak="0">
    <w:nsid w:val="41603705"/>
    <w:multiLevelType w:val="hybridMultilevel"/>
    <w:tmpl w:val="96D2966E"/>
    <w:lvl w:ilvl="0" w:tplc="9988994E">
      <w:start w:val="1"/>
      <w:numFmt w:val="bullet"/>
      <w:lvlText w:val=""/>
      <w:lvlJc w:val="left"/>
      <w:pPr>
        <w:ind w:left="720" w:hanging="360"/>
      </w:pPr>
      <w:rPr>
        <w:rFonts w:ascii="Symbol" w:hAnsi="Symbol" w:hint="default"/>
      </w:rPr>
    </w:lvl>
    <w:lvl w:ilvl="1" w:tplc="EE6AE05A" w:tentative="1">
      <w:start w:val="1"/>
      <w:numFmt w:val="bullet"/>
      <w:lvlText w:val="o"/>
      <w:lvlJc w:val="left"/>
      <w:pPr>
        <w:ind w:left="1440" w:hanging="360"/>
      </w:pPr>
      <w:rPr>
        <w:rFonts w:ascii="Courier New" w:hAnsi="Courier New" w:hint="default"/>
      </w:rPr>
    </w:lvl>
    <w:lvl w:ilvl="2" w:tplc="6D0241C8" w:tentative="1">
      <w:start w:val="1"/>
      <w:numFmt w:val="bullet"/>
      <w:lvlText w:val=""/>
      <w:lvlJc w:val="left"/>
      <w:pPr>
        <w:ind w:left="2160" w:hanging="360"/>
      </w:pPr>
      <w:rPr>
        <w:rFonts w:ascii="Wingdings" w:hAnsi="Wingdings" w:hint="default"/>
      </w:rPr>
    </w:lvl>
    <w:lvl w:ilvl="3" w:tplc="27289326" w:tentative="1">
      <w:start w:val="1"/>
      <w:numFmt w:val="bullet"/>
      <w:lvlText w:val=""/>
      <w:lvlJc w:val="left"/>
      <w:pPr>
        <w:ind w:left="2880" w:hanging="360"/>
      </w:pPr>
      <w:rPr>
        <w:rFonts w:ascii="Symbol" w:hAnsi="Symbol" w:hint="default"/>
      </w:rPr>
    </w:lvl>
    <w:lvl w:ilvl="4" w:tplc="818428A2" w:tentative="1">
      <w:start w:val="1"/>
      <w:numFmt w:val="bullet"/>
      <w:lvlText w:val="o"/>
      <w:lvlJc w:val="left"/>
      <w:pPr>
        <w:ind w:left="3600" w:hanging="360"/>
      </w:pPr>
      <w:rPr>
        <w:rFonts w:ascii="Courier New" w:hAnsi="Courier New" w:hint="default"/>
      </w:rPr>
    </w:lvl>
    <w:lvl w:ilvl="5" w:tplc="17C0818A" w:tentative="1">
      <w:start w:val="1"/>
      <w:numFmt w:val="bullet"/>
      <w:lvlText w:val=""/>
      <w:lvlJc w:val="left"/>
      <w:pPr>
        <w:ind w:left="4320" w:hanging="360"/>
      </w:pPr>
      <w:rPr>
        <w:rFonts w:ascii="Wingdings" w:hAnsi="Wingdings" w:hint="default"/>
      </w:rPr>
    </w:lvl>
    <w:lvl w:ilvl="6" w:tplc="10781442" w:tentative="1">
      <w:start w:val="1"/>
      <w:numFmt w:val="bullet"/>
      <w:lvlText w:val=""/>
      <w:lvlJc w:val="left"/>
      <w:pPr>
        <w:ind w:left="5040" w:hanging="360"/>
      </w:pPr>
      <w:rPr>
        <w:rFonts w:ascii="Symbol" w:hAnsi="Symbol" w:hint="default"/>
      </w:rPr>
    </w:lvl>
    <w:lvl w:ilvl="7" w:tplc="ACC454A6" w:tentative="1">
      <w:start w:val="1"/>
      <w:numFmt w:val="bullet"/>
      <w:lvlText w:val="o"/>
      <w:lvlJc w:val="left"/>
      <w:pPr>
        <w:ind w:left="5760" w:hanging="360"/>
      </w:pPr>
      <w:rPr>
        <w:rFonts w:ascii="Courier New" w:hAnsi="Courier New" w:hint="default"/>
      </w:rPr>
    </w:lvl>
    <w:lvl w:ilvl="8" w:tplc="C09CC3FE" w:tentative="1">
      <w:start w:val="1"/>
      <w:numFmt w:val="bullet"/>
      <w:lvlText w:val=""/>
      <w:lvlJc w:val="left"/>
      <w:pPr>
        <w:ind w:left="6480" w:hanging="360"/>
      </w:pPr>
      <w:rPr>
        <w:rFonts w:ascii="Wingdings" w:hAnsi="Wingdings" w:hint="default"/>
      </w:rPr>
    </w:lvl>
  </w:abstractNum>
  <w:abstractNum w:abstractNumId="134" w15:restartNumberingAfterBreak="0">
    <w:nsid w:val="41F92C60"/>
    <w:multiLevelType w:val="hybridMultilevel"/>
    <w:tmpl w:val="4C888C08"/>
    <w:lvl w:ilvl="0" w:tplc="B382F37A">
      <w:start w:val="1"/>
      <w:numFmt w:val="bullet"/>
      <w:lvlText w:val=""/>
      <w:lvlJc w:val="left"/>
      <w:pPr>
        <w:ind w:left="360" w:hanging="360"/>
      </w:pPr>
      <w:rPr>
        <w:rFonts w:ascii="Symbol" w:hAnsi="Symbol" w:hint="default"/>
      </w:rPr>
    </w:lvl>
    <w:lvl w:ilvl="1" w:tplc="18D02B08" w:tentative="1">
      <w:start w:val="1"/>
      <w:numFmt w:val="bullet"/>
      <w:lvlText w:val="o"/>
      <w:lvlJc w:val="left"/>
      <w:pPr>
        <w:ind w:left="1080" w:hanging="360"/>
      </w:pPr>
      <w:rPr>
        <w:rFonts w:ascii="Courier New" w:hAnsi="Courier New" w:hint="default"/>
      </w:rPr>
    </w:lvl>
    <w:lvl w:ilvl="2" w:tplc="34061252" w:tentative="1">
      <w:start w:val="1"/>
      <w:numFmt w:val="bullet"/>
      <w:lvlText w:val=""/>
      <w:lvlJc w:val="left"/>
      <w:pPr>
        <w:ind w:left="1800" w:hanging="360"/>
      </w:pPr>
      <w:rPr>
        <w:rFonts w:ascii="Wingdings" w:hAnsi="Wingdings" w:hint="default"/>
      </w:rPr>
    </w:lvl>
    <w:lvl w:ilvl="3" w:tplc="0F9ADC96" w:tentative="1">
      <w:start w:val="1"/>
      <w:numFmt w:val="bullet"/>
      <w:lvlText w:val=""/>
      <w:lvlJc w:val="left"/>
      <w:pPr>
        <w:ind w:left="2520" w:hanging="360"/>
      </w:pPr>
      <w:rPr>
        <w:rFonts w:ascii="Symbol" w:hAnsi="Symbol" w:hint="default"/>
      </w:rPr>
    </w:lvl>
    <w:lvl w:ilvl="4" w:tplc="EF1CCE10" w:tentative="1">
      <w:start w:val="1"/>
      <w:numFmt w:val="bullet"/>
      <w:lvlText w:val="o"/>
      <w:lvlJc w:val="left"/>
      <w:pPr>
        <w:ind w:left="3240" w:hanging="360"/>
      </w:pPr>
      <w:rPr>
        <w:rFonts w:ascii="Courier New" w:hAnsi="Courier New" w:hint="default"/>
      </w:rPr>
    </w:lvl>
    <w:lvl w:ilvl="5" w:tplc="BC9C65B6" w:tentative="1">
      <w:start w:val="1"/>
      <w:numFmt w:val="bullet"/>
      <w:lvlText w:val=""/>
      <w:lvlJc w:val="left"/>
      <w:pPr>
        <w:ind w:left="3960" w:hanging="360"/>
      </w:pPr>
      <w:rPr>
        <w:rFonts w:ascii="Wingdings" w:hAnsi="Wingdings" w:hint="default"/>
      </w:rPr>
    </w:lvl>
    <w:lvl w:ilvl="6" w:tplc="4DE8325E" w:tentative="1">
      <w:start w:val="1"/>
      <w:numFmt w:val="bullet"/>
      <w:lvlText w:val=""/>
      <w:lvlJc w:val="left"/>
      <w:pPr>
        <w:ind w:left="4680" w:hanging="360"/>
      </w:pPr>
      <w:rPr>
        <w:rFonts w:ascii="Symbol" w:hAnsi="Symbol" w:hint="default"/>
      </w:rPr>
    </w:lvl>
    <w:lvl w:ilvl="7" w:tplc="9384CD04" w:tentative="1">
      <w:start w:val="1"/>
      <w:numFmt w:val="bullet"/>
      <w:lvlText w:val="o"/>
      <w:lvlJc w:val="left"/>
      <w:pPr>
        <w:ind w:left="5400" w:hanging="360"/>
      </w:pPr>
      <w:rPr>
        <w:rFonts w:ascii="Courier New" w:hAnsi="Courier New" w:hint="default"/>
      </w:rPr>
    </w:lvl>
    <w:lvl w:ilvl="8" w:tplc="A448D5D2" w:tentative="1">
      <w:start w:val="1"/>
      <w:numFmt w:val="bullet"/>
      <w:lvlText w:val=""/>
      <w:lvlJc w:val="left"/>
      <w:pPr>
        <w:ind w:left="6120" w:hanging="360"/>
      </w:pPr>
      <w:rPr>
        <w:rFonts w:ascii="Wingdings" w:hAnsi="Wingdings" w:hint="default"/>
      </w:rPr>
    </w:lvl>
  </w:abstractNum>
  <w:abstractNum w:abstractNumId="135" w15:restartNumberingAfterBreak="0">
    <w:nsid w:val="421AECB3"/>
    <w:multiLevelType w:val="hybridMultilevel"/>
    <w:tmpl w:val="FFFFFFFF"/>
    <w:lvl w:ilvl="0" w:tplc="0A803AEC">
      <w:start w:val="1"/>
      <w:numFmt w:val="lowerRoman"/>
      <w:lvlText w:val="%1."/>
      <w:lvlJc w:val="right"/>
      <w:pPr>
        <w:ind w:left="720" w:hanging="360"/>
      </w:pPr>
    </w:lvl>
    <w:lvl w:ilvl="1" w:tplc="C1DA83EE">
      <w:start w:val="1"/>
      <w:numFmt w:val="lowerLetter"/>
      <w:lvlText w:val="%2."/>
      <w:lvlJc w:val="left"/>
      <w:pPr>
        <w:ind w:left="1440" w:hanging="360"/>
      </w:pPr>
    </w:lvl>
    <w:lvl w:ilvl="2" w:tplc="A2B6A256">
      <w:start w:val="1"/>
      <w:numFmt w:val="lowerRoman"/>
      <w:lvlText w:val="%3."/>
      <w:lvlJc w:val="right"/>
      <w:pPr>
        <w:ind w:left="2160" w:hanging="180"/>
      </w:pPr>
    </w:lvl>
    <w:lvl w:ilvl="3" w:tplc="5B2AE8F4">
      <w:start w:val="1"/>
      <w:numFmt w:val="decimal"/>
      <w:lvlText w:val="%4."/>
      <w:lvlJc w:val="left"/>
      <w:pPr>
        <w:ind w:left="2880" w:hanging="360"/>
      </w:pPr>
    </w:lvl>
    <w:lvl w:ilvl="4" w:tplc="9476E7B4">
      <w:start w:val="1"/>
      <w:numFmt w:val="lowerLetter"/>
      <w:lvlText w:val="%5."/>
      <w:lvlJc w:val="left"/>
      <w:pPr>
        <w:ind w:left="3600" w:hanging="360"/>
      </w:pPr>
    </w:lvl>
    <w:lvl w:ilvl="5" w:tplc="9C3C4F46">
      <w:start w:val="1"/>
      <w:numFmt w:val="lowerRoman"/>
      <w:lvlText w:val="%6."/>
      <w:lvlJc w:val="right"/>
      <w:pPr>
        <w:ind w:left="4320" w:hanging="180"/>
      </w:pPr>
    </w:lvl>
    <w:lvl w:ilvl="6" w:tplc="96C44BF6">
      <w:start w:val="1"/>
      <w:numFmt w:val="decimal"/>
      <w:lvlText w:val="%7."/>
      <w:lvlJc w:val="left"/>
      <w:pPr>
        <w:ind w:left="5040" w:hanging="360"/>
      </w:pPr>
    </w:lvl>
    <w:lvl w:ilvl="7" w:tplc="85BAC9C2">
      <w:start w:val="1"/>
      <w:numFmt w:val="lowerLetter"/>
      <w:lvlText w:val="%8."/>
      <w:lvlJc w:val="left"/>
      <w:pPr>
        <w:ind w:left="5760" w:hanging="360"/>
      </w:pPr>
    </w:lvl>
    <w:lvl w:ilvl="8" w:tplc="C0EA8B08">
      <w:start w:val="1"/>
      <w:numFmt w:val="lowerRoman"/>
      <w:lvlText w:val="%9."/>
      <w:lvlJc w:val="right"/>
      <w:pPr>
        <w:ind w:left="6480" w:hanging="180"/>
      </w:pPr>
    </w:lvl>
  </w:abstractNum>
  <w:abstractNum w:abstractNumId="136" w15:restartNumberingAfterBreak="0">
    <w:nsid w:val="425C18B6"/>
    <w:multiLevelType w:val="multilevel"/>
    <w:tmpl w:val="1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1494" w:hanging="360"/>
      </w:pPr>
      <w:rPr>
        <w:rFonts w:hint="default"/>
      </w:rPr>
    </w:lvl>
    <w:lvl w:ilvl="8">
      <w:start w:val="1"/>
      <w:numFmt w:val="lowerRoman"/>
      <w:lvlText w:val="%9."/>
      <w:lvlJc w:val="left"/>
      <w:pPr>
        <w:ind w:left="3240" w:hanging="360"/>
      </w:pPr>
      <w:rPr>
        <w:rFonts w:hint="default"/>
      </w:rPr>
    </w:lvl>
  </w:abstractNum>
  <w:abstractNum w:abstractNumId="13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8" w15:restartNumberingAfterBreak="0">
    <w:nsid w:val="42C25F88"/>
    <w:multiLevelType w:val="hybridMultilevel"/>
    <w:tmpl w:val="720E005E"/>
    <w:lvl w:ilvl="0" w:tplc="7D5A563A">
      <w:start w:val="1"/>
      <w:numFmt w:val="bullet"/>
      <w:lvlText w:val="-"/>
      <w:lvlJc w:val="left"/>
      <w:pPr>
        <w:ind w:left="720" w:hanging="360"/>
      </w:pPr>
      <w:rPr>
        <w:rFonts w:ascii="Calibri" w:hAnsi="Calibri" w:hint="default"/>
      </w:rPr>
    </w:lvl>
    <w:lvl w:ilvl="1" w:tplc="80FCB934" w:tentative="1">
      <w:start w:val="1"/>
      <w:numFmt w:val="bullet"/>
      <w:lvlText w:val="o"/>
      <w:lvlJc w:val="left"/>
      <w:pPr>
        <w:ind w:left="1440" w:hanging="360"/>
      </w:pPr>
      <w:rPr>
        <w:rFonts w:ascii="Courier New" w:hAnsi="Courier New" w:hint="default"/>
      </w:rPr>
    </w:lvl>
    <w:lvl w:ilvl="2" w:tplc="7BE44EB8" w:tentative="1">
      <w:start w:val="1"/>
      <w:numFmt w:val="bullet"/>
      <w:lvlText w:val=""/>
      <w:lvlJc w:val="left"/>
      <w:pPr>
        <w:ind w:left="2160" w:hanging="360"/>
      </w:pPr>
      <w:rPr>
        <w:rFonts w:ascii="Wingdings" w:hAnsi="Wingdings" w:hint="default"/>
      </w:rPr>
    </w:lvl>
    <w:lvl w:ilvl="3" w:tplc="72F6E8C0" w:tentative="1">
      <w:start w:val="1"/>
      <w:numFmt w:val="bullet"/>
      <w:lvlText w:val=""/>
      <w:lvlJc w:val="left"/>
      <w:pPr>
        <w:ind w:left="2880" w:hanging="360"/>
      </w:pPr>
      <w:rPr>
        <w:rFonts w:ascii="Symbol" w:hAnsi="Symbol" w:hint="default"/>
      </w:rPr>
    </w:lvl>
    <w:lvl w:ilvl="4" w:tplc="8E54A180" w:tentative="1">
      <w:start w:val="1"/>
      <w:numFmt w:val="bullet"/>
      <w:lvlText w:val="o"/>
      <w:lvlJc w:val="left"/>
      <w:pPr>
        <w:ind w:left="3600" w:hanging="360"/>
      </w:pPr>
      <w:rPr>
        <w:rFonts w:ascii="Courier New" w:hAnsi="Courier New" w:hint="default"/>
      </w:rPr>
    </w:lvl>
    <w:lvl w:ilvl="5" w:tplc="3A94C854" w:tentative="1">
      <w:start w:val="1"/>
      <w:numFmt w:val="bullet"/>
      <w:lvlText w:val=""/>
      <w:lvlJc w:val="left"/>
      <w:pPr>
        <w:ind w:left="4320" w:hanging="360"/>
      </w:pPr>
      <w:rPr>
        <w:rFonts w:ascii="Wingdings" w:hAnsi="Wingdings" w:hint="default"/>
      </w:rPr>
    </w:lvl>
    <w:lvl w:ilvl="6" w:tplc="C306771C" w:tentative="1">
      <w:start w:val="1"/>
      <w:numFmt w:val="bullet"/>
      <w:lvlText w:val=""/>
      <w:lvlJc w:val="left"/>
      <w:pPr>
        <w:ind w:left="5040" w:hanging="360"/>
      </w:pPr>
      <w:rPr>
        <w:rFonts w:ascii="Symbol" w:hAnsi="Symbol" w:hint="default"/>
      </w:rPr>
    </w:lvl>
    <w:lvl w:ilvl="7" w:tplc="EADECDDC" w:tentative="1">
      <w:start w:val="1"/>
      <w:numFmt w:val="bullet"/>
      <w:lvlText w:val="o"/>
      <w:lvlJc w:val="left"/>
      <w:pPr>
        <w:ind w:left="5760" w:hanging="360"/>
      </w:pPr>
      <w:rPr>
        <w:rFonts w:ascii="Courier New" w:hAnsi="Courier New" w:hint="default"/>
      </w:rPr>
    </w:lvl>
    <w:lvl w:ilvl="8" w:tplc="EB7693C4" w:tentative="1">
      <w:start w:val="1"/>
      <w:numFmt w:val="bullet"/>
      <w:lvlText w:val=""/>
      <w:lvlJc w:val="left"/>
      <w:pPr>
        <w:ind w:left="6480" w:hanging="360"/>
      </w:pPr>
      <w:rPr>
        <w:rFonts w:ascii="Wingdings" w:hAnsi="Wingdings" w:hint="default"/>
      </w:rPr>
    </w:lvl>
  </w:abstractNum>
  <w:abstractNum w:abstractNumId="13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0" w15:restartNumberingAfterBreak="0">
    <w:nsid w:val="43485A25"/>
    <w:multiLevelType w:val="hybridMultilevel"/>
    <w:tmpl w:val="BD0AC6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446F0980"/>
    <w:multiLevelType w:val="hybridMultilevel"/>
    <w:tmpl w:val="E91EE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44746AF7"/>
    <w:multiLevelType w:val="hybridMultilevel"/>
    <w:tmpl w:val="8BA6069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3" w15:restartNumberingAfterBreak="0">
    <w:nsid w:val="447F7BEE"/>
    <w:multiLevelType w:val="hybridMultilevel"/>
    <w:tmpl w:val="3A5A03CE"/>
    <w:lvl w:ilvl="0" w:tplc="7584E332">
      <w:start w:val="1"/>
      <w:numFmt w:val="decimal"/>
      <w:lvlText w:val="%1)"/>
      <w:lvlJc w:val="left"/>
      <w:pPr>
        <w:ind w:left="1020" w:hanging="360"/>
      </w:pPr>
    </w:lvl>
    <w:lvl w:ilvl="1" w:tplc="7CAC6D58">
      <w:start w:val="1"/>
      <w:numFmt w:val="decimal"/>
      <w:lvlText w:val="%2)"/>
      <w:lvlJc w:val="left"/>
      <w:pPr>
        <w:ind w:left="1020" w:hanging="360"/>
      </w:pPr>
    </w:lvl>
    <w:lvl w:ilvl="2" w:tplc="49E420DA">
      <w:start w:val="1"/>
      <w:numFmt w:val="decimal"/>
      <w:lvlText w:val="%3)"/>
      <w:lvlJc w:val="left"/>
      <w:pPr>
        <w:ind w:left="1020" w:hanging="360"/>
      </w:pPr>
    </w:lvl>
    <w:lvl w:ilvl="3" w:tplc="D23E1DE0">
      <w:start w:val="1"/>
      <w:numFmt w:val="decimal"/>
      <w:lvlText w:val="%4)"/>
      <w:lvlJc w:val="left"/>
      <w:pPr>
        <w:ind w:left="1020" w:hanging="360"/>
      </w:pPr>
    </w:lvl>
    <w:lvl w:ilvl="4" w:tplc="A3242284">
      <w:start w:val="1"/>
      <w:numFmt w:val="decimal"/>
      <w:lvlText w:val="%5)"/>
      <w:lvlJc w:val="left"/>
      <w:pPr>
        <w:ind w:left="1020" w:hanging="360"/>
      </w:pPr>
    </w:lvl>
    <w:lvl w:ilvl="5" w:tplc="656A2204">
      <w:start w:val="1"/>
      <w:numFmt w:val="decimal"/>
      <w:lvlText w:val="%6)"/>
      <w:lvlJc w:val="left"/>
      <w:pPr>
        <w:ind w:left="1020" w:hanging="360"/>
      </w:pPr>
    </w:lvl>
    <w:lvl w:ilvl="6" w:tplc="79E02B2C">
      <w:start w:val="1"/>
      <w:numFmt w:val="decimal"/>
      <w:lvlText w:val="%7)"/>
      <w:lvlJc w:val="left"/>
      <w:pPr>
        <w:ind w:left="1020" w:hanging="360"/>
      </w:pPr>
    </w:lvl>
    <w:lvl w:ilvl="7" w:tplc="A9ACCADA">
      <w:start w:val="1"/>
      <w:numFmt w:val="decimal"/>
      <w:lvlText w:val="%8)"/>
      <w:lvlJc w:val="left"/>
      <w:pPr>
        <w:ind w:left="1020" w:hanging="360"/>
      </w:pPr>
    </w:lvl>
    <w:lvl w:ilvl="8" w:tplc="B85E910E">
      <w:start w:val="1"/>
      <w:numFmt w:val="decimal"/>
      <w:lvlText w:val="%9)"/>
      <w:lvlJc w:val="left"/>
      <w:pPr>
        <w:ind w:left="1020" w:hanging="360"/>
      </w:pPr>
    </w:lvl>
  </w:abstractNum>
  <w:abstractNum w:abstractNumId="144" w15:restartNumberingAfterBreak="0">
    <w:nsid w:val="44F10CD8"/>
    <w:multiLevelType w:val="hybridMultilevel"/>
    <w:tmpl w:val="85F45C06"/>
    <w:lvl w:ilvl="0" w:tplc="08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5" w15:restartNumberingAfterBreak="0">
    <w:nsid w:val="453A952F"/>
    <w:multiLevelType w:val="hybridMultilevel"/>
    <w:tmpl w:val="FFFFFFFF"/>
    <w:lvl w:ilvl="0" w:tplc="CB563A50">
      <w:start w:val="1"/>
      <w:numFmt w:val="bullet"/>
      <w:lvlText w:val="o"/>
      <w:lvlJc w:val="left"/>
      <w:pPr>
        <w:ind w:left="720" w:hanging="360"/>
      </w:pPr>
      <w:rPr>
        <w:rFonts w:ascii="&quot;Courier New&quot;" w:hAnsi="&quot;Courier New&quot;" w:hint="default"/>
      </w:rPr>
    </w:lvl>
    <w:lvl w:ilvl="1" w:tplc="99107D2E">
      <w:start w:val="1"/>
      <w:numFmt w:val="bullet"/>
      <w:lvlText w:val="o"/>
      <w:lvlJc w:val="left"/>
      <w:pPr>
        <w:ind w:left="1440" w:hanging="360"/>
      </w:pPr>
      <w:rPr>
        <w:rFonts w:ascii="Courier New" w:hAnsi="Courier New" w:hint="default"/>
      </w:rPr>
    </w:lvl>
    <w:lvl w:ilvl="2" w:tplc="E8300AB8">
      <w:start w:val="1"/>
      <w:numFmt w:val="bullet"/>
      <w:lvlText w:val=""/>
      <w:lvlJc w:val="left"/>
      <w:pPr>
        <w:ind w:left="2160" w:hanging="360"/>
      </w:pPr>
      <w:rPr>
        <w:rFonts w:ascii="Wingdings" w:hAnsi="Wingdings" w:hint="default"/>
      </w:rPr>
    </w:lvl>
    <w:lvl w:ilvl="3" w:tplc="98E2AB34">
      <w:start w:val="1"/>
      <w:numFmt w:val="bullet"/>
      <w:lvlText w:val=""/>
      <w:lvlJc w:val="left"/>
      <w:pPr>
        <w:ind w:left="2880" w:hanging="360"/>
      </w:pPr>
      <w:rPr>
        <w:rFonts w:ascii="Symbol" w:hAnsi="Symbol" w:hint="default"/>
      </w:rPr>
    </w:lvl>
    <w:lvl w:ilvl="4" w:tplc="62FCD6FA">
      <w:start w:val="1"/>
      <w:numFmt w:val="bullet"/>
      <w:lvlText w:val="o"/>
      <w:lvlJc w:val="left"/>
      <w:pPr>
        <w:ind w:left="3600" w:hanging="360"/>
      </w:pPr>
      <w:rPr>
        <w:rFonts w:ascii="Courier New" w:hAnsi="Courier New" w:hint="default"/>
      </w:rPr>
    </w:lvl>
    <w:lvl w:ilvl="5" w:tplc="EC703CF2">
      <w:start w:val="1"/>
      <w:numFmt w:val="bullet"/>
      <w:lvlText w:val=""/>
      <w:lvlJc w:val="left"/>
      <w:pPr>
        <w:ind w:left="4320" w:hanging="360"/>
      </w:pPr>
      <w:rPr>
        <w:rFonts w:ascii="Wingdings" w:hAnsi="Wingdings" w:hint="default"/>
      </w:rPr>
    </w:lvl>
    <w:lvl w:ilvl="6" w:tplc="89E48626">
      <w:start w:val="1"/>
      <w:numFmt w:val="bullet"/>
      <w:lvlText w:val=""/>
      <w:lvlJc w:val="left"/>
      <w:pPr>
        <w:ind w:left="5040" w:hanging="360"/>
      </w:pPr>
      <w:rPr>
        <w:rFonts w:ascii="Symbol" w:hAnsi="Symbol" w:hint="default"/>
      </w:rPr>
    </w:lvl>
    <w:lvl w:ilvl="7" w:tplc="CF84975A">
      <w:start w:val="1"/>
      <w:numFmt w:val="bullet"/>
      <w:lvlText w:val="o"/>
      <w:lvlJc w:val="left"/>
      <w:pPr>
        <w:ind w:left="5760" w:hanging="360"/>
      </w:pPr>
      <w:rPr>
        <w:rFonts w:ascii="Courier New" w:hAnsi="Courier New" w:hint="default"/>
      </w:rPr>
    </w:lvl>
    <w:lvl w:ilvl="8" w:tplc="F3384326">
      <w:start w:val="1"/>
      <w:numFmt w:val="bullet"/>
      <w:lvlText w:val=""/>
      <w:lvlJc w:val="left"/>
      <w:pPr>
        <w:ind w:left="6480" w:hanging="360"/>
      </w:pPr>
      <w:rPr>
        <w:rFonts w:ascii="Wingdings" w:hAnsi="Wingdings" w:hint="default"/>
      </w:rPr>
    </w:lvl>
  </w:abstractNum>
  <w:abstractNum w:abstractNumId="146" w15:restartNumberingAfterBreak="0">
    <w:nsid w:val="454654C8"/>
    <w:multiLevelType w:val="hybridMultilevel"/>
    <w:tmpl w:val="8F7E77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egoe UI" w:hAnsi="Segoe UI" w:hint="default"/>
      </w:rPr>
    </w:lvl>
  </w:abstractNum>
  <w:abstractNum w:abstractNumId="148" w15:restartNumberingAfterBreak="0">
    <w:nsid w:val="45615454"/>
    <w:multiLevelType w:val="hybridMultilevel"/>
    <w:tmpl w:val="D714C75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9" w15:restartNumberingAfterBreak="0">
    <w:nsid w:val="45BC00BD"/>
    <w:multiLevelType w:val="hybridMultilevel"/>
    <w:tmpl w:val="2DC2D88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0"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1" w15:restartNumberingAfterBreak="0">
    <w:nsid w:val="46B12DBC"/>
    <w:multiLevelType w:val="hybridMultilevel"/>
    <w:tmpl w:val="922AE0C8"/>
    <w:lvl w:ilvl="0" w:tplc="EF924C1E">
      <w:start w:val="1"/>
      <w:numFmt w:val="decimal"/>
      <w:lvlText w:val="%1."/>
      <w:lvlJc w:val="left"/>
      <w:pPr>
        <w:ind w:left="1020" w:hanging="360"/>
      </w:pPr>
    </w:lvl>
    <w:lvl w:ilvl="1" w:tplc="9422572A">
      <w:start w:val="1"/>
      <w:numFmt w:val="decimal"/>
      <w:lvlText w:val="%2."/>
      <w:lvlJc w:val="left"/>
      <w:pPr>
        <w:ind w:left="1020" w:hanging="360"/>
      </w:pPr>
    </w:lvl>
    <w:lvl w:ilvl="2" w:tplc="4992EFE8">
      <w:start w:val="1"/>
      <w:numFmt w:val="decimal"/>
      <w:lvlText w:val="%3."/>
      <w:lvlJc w:val="left"/>
      <w:pPr>
        <w:ind w:left="1020" w:hanging="360"/>
      </w:pPr>
    </w:lvl>
    <w:lvl w:ilvl="3" w:tplc="251C1DC0">
      <w:start w:val="1"/>
      <w:numFmt w:val="decimal"/>
      <w:lvlText w:val="%4."/>
      <w:lvlJc w:val="left"/>
      <w:pPr>
        <w:ind w:left="1020" w:hanging="360"/>
      </w:pPr>
    </w:lvl>
    <w:lvl w:ilvl="4" w:tplc="A154C624">
      <w:start w:val="1"/>
      <w:numFmt w:val="decimal"/>
      <w:lvlText w:val="%5."/>
      <w:lvlJc w:val="left"/>
      <w:pPr>
        <w:ind w:left="1020" w:hanging="360"/>
      </w:pPr>
    </w:lvl>
    <w:lvl w:ilvl="5" w:tplc="E3FAA4DE">
      <w:start w:val="1"/>
      <w:numFmt w:val="decimal"/>
      <w:lvlText w:val="%6."/>
      <w:lvlJc w:val="left"/>
      <w:pPr>
        <w:ind w:left="1020" w:hanging="360"/>
      </w:pPr>
    </w:lvl>
    <w:lvl w:ilvl="6" w:tplc="872880FA">
      <w:start w:val="1"/>
      <w:numFmt w:val="decimal"/>
      <w:lvlText w:val="%7."/>
      <w:lvlJc w:val="left"/>
      <w:pPr>
        <w:ind w:left="1020" w:hanging="360"/>
      </w:pPr>
    </w:lvl>
    <w:lvl w:ilvl="7" w:tplc="818A165A">
      <w:start w:val="1"/>
      <w:numFmt w:val="decimal"/>
      <w:lvlText w:val="%8."/>
      <w:lvlJc w:val="left"/>
      <w:pPr>
        <w:ind w:left="1020" w:hanging="360"/>
      </w:pPr>
    </w:lvl>
    <w:lvl w:ilvl="8" w:tplc="BF965B68">
      <w:start w:val="1"/>
      <w:numFmt w:val="decimal"/>
      <w:lvlText w:val="%9."/>
      <w:lvlJc w:val="left"/>
      <w:pPr>
        <w:ind w:left="1020" w:hanging="360"/>
      </w:pPr>
    </w:lvl>
  </w:abstractNum>
  <w:abstractNum w:abstractNumId="152" w15:restartNumberingAfterBreak="0">
    <w:nsid w:val="471D56DD"/>
    <w:multiLevelType w:val="hybridMultilevel"/>
    <w:tmpl w:val="26D88BDE"/>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478F718B"/>
    <w:multiLevelType w:val="hybridMultilevel"/>
    <w:tmpl w:val="0C14B1DC"/>
    <w:lvl w:ilvl="0" w:tplc="67327046">
      <w:start w:val="1"/>
      <w:numFmt w:val="bullet"/>
      <w:lvlText w:val=""/>
      <w:lvlJc w:val="left"/>
      <w:pPr>
        <w:ind w:left="720" w:hanging="360"/>
      </w:pPr>
      <w:rPr>
        <w:rFonts w:ascii="Symbol" w:hAnsi="Symbol" w:hint="default"/>
      </w:rPr>
    </w:lvl>
    <w:lvl w:ilvl="1" w:tplc="B4CEFA82" w:tentative="1">
      <w:start w:val="1"/>
      <w:numFmt w:val="bullet"/>
      <w:lvlText w:val="o"/>
      <w:lvlJc w:val="left"/>
      <w:pPr>
        <w:ind w:left="1440" w:hanging="360"/>
      </w:pPr>
      <w:rPr>
        <w:rFonts w:ascii="Courier New" w:hAnsi="Courier New" w:hint="default"/>
      </w:rPr>
    </w:lvl>
    <w:lvl w:ilvl="2" w:tplc="F9C0FC32" w:tentative="1">
      <w:start w:val="1"/>
      <w:numFmt w:val="bullet"/>
      <w:lvlText w:val=""/>
      <w:lvlJc w:val="left"/>
      <w:pPr>
        <w:ind w:left="2160" w:hanging="360"/>
      </w:pPr>
      <w:rPr>
        <w:rFonts w:ascii="Cambria Math" w:hAnsi="Cambria Math" w:hint="default"/>
      </w:rPr>
    </w:lvl>
    <w:lvl w:ilvl="3" w:tplc="D7241F06" w:tentative="1">
      <w:start w:val="1"/>
      <w:numFmt w:val="bullet"/>
      <w:lvlText w:val=""/>
      <w:lvlJc w:val="left"/>
      <w:pPr>
        <w:ind w:left="2880" w:hanging="360"/>
      </w:pPr>
      <w:rPr>
        <w:rFonts w:ascii="Segoe UI" w:hAnsi="Segoe UI" w:hint="default"/>
      </w:rPr>
    </w:lvl>
    <w:lvl w:ilvl="4" w:tplc="78D4EDBC" w:tentative="1">
      <w:start w:val="1"/>
      <w:numFmt w:val="bullet"/>
      <w:lvlText w:val="o"/>
      <w:lvlJc w:val="left"/>
      <w:pPr>
        <w:ind w:left="3600" w:hanging="360"/>
      </w:pPr>
      <w:rPr>
        <w:rFonts w:ascii="Courier New" w:hAnsi="Courier New" w:hint="default"/>
      </w:rPr>
    </w:lvl>
    <w:lvl w:ilvl="5" w:tplc="CD746380" w:tentative="1">
      <w:start w:val="1"/>
      <w:numFmt w:val="bullet"/>
      <w:lvlText w:val=""/>
      <w:lvlJc w:val="left"/>
      <w:pPr>
        <w:ind w:left="4320" w:hanging="360"/>
      </w:pPr>
      <w:rPr>
        <w:rFonts w:ascii="Cambria Math" w:hAnsi="Cambria Math" w:hint="default"/>
      </w:rPr>
    </w:lvl>
    <w:lvl w:ilvl="6" w:tplc="9F68CEC4" w:tentative="1">
      <w:start w:val="1"/>
      <w:numFmt w:val="bullet"/>
      <w:lvlText w:val=""/>
      <w:lvlJc w:val="left"/>
      <w:pPr>
        <w:ind w:left="5040" w:hanging="360"/>
      </w:pPr>
      <w:rPr>
        <w:rFonts w:ascii="Segoe UI" w:hAnsi="Segoe UI" w:hint="default"/>
      </w:rPr>
    </w:lvl>
    <w:lvl w:ilvl="7" w:tplc="E8E8CE46" w:tentative="1">
      <w:start w:val="1"/>
      <w:numFmt w:val="bullet"/>
      <w:lvlText w:val="o"/>
      <w:lvlJc w:val="left"/>
      <w:pPr>
        <w:ind w:left="5760" w:hanging="360"/>
      </w:pPr>
      <w:rPr>
        <w:rFonts w:ascii="Courier New" w:hAnsi="Courier New" w:hint="default"/>
      </w:rPr>
    </w:lvl>
    <w:lvl w:ilvl="8" w:tplc="10E0A2B4" w:tentative="1">
      <w:start w:val="1"/>
      <w:numFmt w:val="bullet"/>
      <w:lvlText w:val=""/>
      <w:lvlJc w:val="left"/>
      <w:pPr>
        <w:ind w:left="6480" w:hanging="360"/>
      </w:pPr>
      <w:rPr>
        <w:rFonts w:ascii="Cambria Math" w:hAnsi="Cambria Math" w:hint="default"/>
      </w:rPr>
    </w:lvl>
  </w:abstractNum>
  <w:abstractNum w:abstractNumId="154" w15:restartNumberingAfterBreak="0">
    <w:nsid w:val="480854B4"/>
    <w:multiLevelType w:val="hybridMultilevel"/>
    <w:tmpl w:val="FFFFFFFF"/>
    <w:lvl w:ilvl="0" w:tplc="FBB4C000">
      <w:start w:val="1"/>
      <w:numFmt w:val="bullet"/>
      <w:lvlText w:val="-"/>
      <w:lvlJc w:val="left"/>
      <w:pPr>
        <w:ind w:left="720" w:hanging="360"/>
      </w:pPr>
      <w:rPr>
        <w:rFonts w:ascii="Aptos" w:hAnsi="Aptos" w:hint="default"/>
      </w:rPr>
    </w:lvl>
    <w:lvl w:ilvl="1" w:tplc="6E4CFA1C">
      <w:start w:val="1"/>
      <w:numFmt w:val="bullet"/>
      <w:lvlText w:val="o"/>
      <w:lvlJc w:val="left"/>
      <w:pPr>
        <w:ind w:left="1440" w:hanging="360"/>
      </w:pPr>
      <w:rPr>
        <w:rFonts w:ascii="Courier New" w:hAnsi="Courier New" w:hint="default"/>
      </w:rPr>
    </w:lvl>
    <w:lvl w:ilvl="2" w:tplc="9C921EEC">
      <w:start w:val="1"/>
      <w:numFmt w:val="bullet"/>
      <w:lvlText w:val=""/>
      <w:lvlJc w:val="left"/>
      <w:pPr>
        <w:ind w:left="2160" w:hanging="360"/>
      </w:pPr>
      <w:rPr>
        <w:rFonts w:ascii="Wingdings" w:hAnsi="Wingdings" w:hint="default"/>
      </w:rPr>
    </w:lvl>
    <w:lvl w:ilvl="3" w:tplc="92CC1038">
      <w:start w:val="1"/>
      <w:numFmt w:val="bullet"/>
      <w:lvlText w:val=""/>
      <w:lvlJc w:val="left"/>
      <w:pPr>
        <w:ind w:left="2880" w:hanging="360"/>
      </w:pPr>
      <w:rPr>
        <w:rFonts w:ascii="Symbol" w:hAnsi="Symbol" w:hint="default"/>
      </w:rPr>
    </w:lvl>
    <w:lvl w:ilvl="4" w:tplc="BA108210">
      <w:start w:val="1"/>
      <w:numFmt w:val="bullet"/>
      <w:lvlText w:val="o"/>
      <w:lvlJc w:val="left"/>
      <w:pPr>
        <w:ind w:left="3600" w:hanging="360"/>
      </w:pPr>
      <w:rPr>
        <w:rFonts w:ascii="Courier New" w:hAnsi="Courier New" w:hint="default"/>
      </w:rPr>
    </w:lvl>
    <w:lvl w:ilvl="5" w:tplc="3402B76C">
      <w:start w:val="1"/>
      <w:numFmt w:val="bullet"/>
      <w:lvlText w:val=""/>
      <w:lvlJc w:val="left"/>
      <w:pPr>
        <w:ind w:left="4320" w:hanging="360"/>
      </w:pPr>
      <w:rPr>
        <w:rFonts w:ascii="Wingdings" w:hAnsi="Wingdings" w:hint="default"/>
      </w:rPr>
    </w:lvl>
    <w:lvl w:ilvl="6" w:tplc="1CBA85B0">
      <w:start w:val="1"/>
      <w:numFmt w:val="bullet"/>
      <w:lvlText w:val=""/>
      <w:lvlJc w:val="left"/>
      <w:pPr>
        <w:ind w:left="5040" w:hanging="360"/>
      </w:pPr>
      <w:rPr>
        <w:rFonts w:ascii="Symbol" w:hAnsi="Symbol" w:hint="default"/>
      </w:rPr>
    </w:lvl>
    <w:lvl w:ilvl="7" w:tplc="21A63C00">
      <w:start w:val="1"/>
      <w:numFmt w:val="bullet"/>
      <w:lvlText w:val="o"/>
      <w:lvlJc w:val="left"/>
      <w:pPr>
        <w:ind w:left="5760" w:hanging="360"/>
      </w:pPr>
      <w:rPr>
        <w:rFonts w:ascii="Courier New" w:hAnsi="Courier New" w:hint="default"/>
      </w:rPr>
    </w:lvl>
    <w:lvl w:ilvl="8" w:tplc="3490E492">
      <w:start w:val="1"/>
      <w:numFmt w:val="bullet"/>
      <w:lvlText w:val=""/>
      <w:lvlJc w:val="left"/>
      <w:pPr>
        <w:ind w:left="6480" w:hanging="360"/>
      </w:pPr>
      <w:rPr>
        <w:rFonts w:ascii="Wingdings" w:hAnsi="Wingdings" w:hint="default"/>
      </w:rPr>
    </w:lvl>
  </w:abstractNum>
  <w:abstractNum w:abstractNumId="155" w15:restartNumberingAfterBreak="0">
    <w:nsid w:val="487B4A95"/>
    <w:multiLevelType w:val="hybridMultilevel"/>
    <w:tmpl w:val="D7FA092A"/>
    <w:lvl w:ilvl="0" w:tplc="EF6EEC0C">
      <w:start w:val="1"/>
      <w:numFmt w:val="lowerLetter"/>
      <w:lvlText w:val="%1)"/>
      <w:lvlJc w:val="lef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6" w15:restartNumberingAfterBreak="0">
    <w:nsid w:val="495C0E24"/>
    <w:multiLevelType w:val="hybridMultilevel"/>
    <w:tmpl w:val="D68A0C9A"/>
    <w:lvl w:ilvl="0" w:tplc="A704D7A0">
      <w:start w:val="1"/>
      <w:numFmt w:val="decimal"/>
      <w:lvlText w:val="%1)"/>
      <w:lvlJc w:val="left"/>
      <w:pPr>
        <w:ind w:left="360" w:hanging="360"/>
      </w:pPr>
    </w:lvl>
    <w:lvl w:ilvl="1" w:tplc="C95A172E" w:tentative="1">
      <w:start w:val="1"/>
      <w:numFmt w:val="bullet"/>
      <w:lvlText w:val="o"/>
      <w:lvlJc w:val="left"/>
      <w:pPr>
        <w:ind w:left="1080" w:hanging="360"/>
      </w:pPr>
      <w:rPr>
        <w:rFonts w:ascii="Courier New" w:hAnsi="Courier New" w:hint="default"/>
      </w:rPr>
    </w:lvl>
    <w:lvl w:ilvl="2" w:tplc="B8D68D68" w:tentative="1">
      <w:start w:val="1"/>
      <w:numFmt w:val="bullet"/>
      <w:lvlText w:val=""/>
      <w:lvlJc w:val="left"/>
      <w:pPr>
        <w:ind w:left="1800" w:hanging="360"/>
      </w:pPr>
      <w:rPr>
        <w:rFonts w:ascii="Cambria Math" w:hAnsi="Cambria Math" w:hint="default"/>
      </w:rPr>
    </w:lvl>
    <w:lvl w:ilvl="3" w:tplc="74D69122" w:tentative="1">
      <w:start w:val="1"/>
      <w:numFmt w:val="bullet"/>
      <w:lvlText w:val=""/>
      <w:lvlJc w:val="left"/>
      <w:pPr>
        <w:ind w:left="2520" w:hanging="360"/>
      </w:pPr>
      <w:rPr>
        <w:rFonts w:ascii="Segoe UI" w:hAnsi="Segoe UI" w:hint="default"/>
      </w:rPr>
    </w:lvl>
    <w:lvl w:ilvl="4" w:tplc="2C4009C0" w:tentative="1">
      <w:start w:val="1"/>
      <w:numFmt w:val="bullet"/>
      <w:lvlText w:val="o"/>
      <w:lvlJc w:val="left"/>
      <w:pPr>
        <w:ind w:left="3240" w:hanging="360"/>
      </w:pPr>
      <w:rPr>
        <w:rFonts w:ascii="Courier New" w:hAnsi="Courier New" w:hint="default"/>
      </w:rPr>
    </w:lvl>
    <w:lvl w:ilvl="5" w:tplc="78445DB0" w:tentative="1">
      <w:start w:val="1"/>
      <w:numFmt w:val="bullet"/>
      <w:lvlText w:val=""/>
      <w:lvlJc w:val="left"/>
      <w:pPr>
        <w:ind w:left="3960" w:hanging="360"/>
      </w:pPr>
      <w:rPr>
        <w:rFonts w:ascii="Cambria Math" w:hAnsi="Cambria Math" w:hint="default"/>
      </w:rPr>
    </w:lvl>
    <w:lvl w:ilvl="6" w:tplc="A1ACBEAE" w:tentative="1">
      <w:start w:val="1"/>
      <w:numFmt w:val="bullet"/>
      <w:lvlText w:val=""/>
      <w:lvlJc w:val="left"/>
      <w:pPr>
        <w:ind w:left="4680" w:hanging="360"/>
      </w:pPr>
      <w:rPr>
        <w:rFonts w:ascii="Segoe UI" w:hAnsi="Segoe UI" w:hint="default"/>
      </w:rPr>
    </w:lvl>
    <w:lvl w:ilvl="7" w:tplc="CF60547C" w:tentative="1">
      <w:start w:val="1"/>
      <w:numFmt w:val="bullet"/>
      <w:lvlText w:val="o"/>
      <w:lvlJc w:val="left"/>
      <w:pPr>
        <w:ind w:left="5400" w:hanging="360"/>
      </w:pPr>
      <w:rPr>
        <w:rFonts w:ascii="Courier New" w:hAnsi="Courier New" w:hint="default"/>
      </w:rPr>
    </w:lvl>
    <w:lvl w:ilvl="8" w:tplc="6DF84DD6" w:tentative="1">
      <w:start w:val="1"/>
      <w:numFmt w:val="bullet"/>
      <w:lvlText w:val=""/>
      <w:lvlJc w:val="left"/>
      <w:pPr>
        <w:ind w:left="6120" w:hanging="360"/>
      </w:pPr>
      <w:rPr>
        <w:rFonts w:ascii="Cambria Math" w:hAnsi="Cambria Math" w:hint="default"/>
      </w:rPr>
    </w:lvl>
  </w:abstractNum>
  <w:abstractNum w:abstractNumId="157" w15:restartNumberingAfterBreak="0">
    <w:nsid w:val="4A100B21"/>
    <w:multiLevelType w:val="hybridMultilevel"/>
    <w:tmpl w:val="E640C21C"/>
    <w:lvl w:ilvl="0" w:tplc="55400834">
      <w:start w:val="1"/>
      <w:numFmt w:val="decimal"/>
      <w:lvlText w:val="%1."/>
      <w:lvlJc w:val="left"/>
      <w:pPr>
        <w:ind w:left="720" w:hanging="360"/>
      </w:pPr>
    </w:lvl>
    <w:lvl w:ilvl="1" w:tplc="32322E5A">
      <w:start w:val="1"/>
      <w:numFmt w:val="decimal"/>
      <w:lvlText w:val="%2."/>
      <w:lvlJc w:val="left"/>
      <w:pPr>
        <w:ind w:left="1440" w:hanging="360"/>
      </w:pPr>
      <w:rPr>
        <w:rFonts w:ascii="Times New Roman" w:hAnsi="Times New Roman" w:hint="default"/>
        <w:lang w:val="en-IE"/>
      </w:rPr>
    </w:lvl>
    <w:lvl w:ilvl="2" w:tplc="979A68B4">
      <w:start w:val="1"/>
      <w:numFmt w:val="lowerRoman"/>
      <w:lvlText w:val="%3."/>
      <w:lvlJc w:val="right"/>
      <w:pPr>
        <w:ind w:left="2160" w:hanging="180"/>
      </w:pPr>
    </w:lvl>
    <w:lvl w:ilvl="3" w:tplc="332C73D6" w:tentative="1">
      <w:start w:val="1"/>
      <w:numFmt w:val="decimal"/>
      <w:lvlText w:val="%4."/>
      <w:lvlJc w:val="left"/>
      <w:pPr>
        <w:ind w:left="2880" w:hanging="360"/>
      </w:pPr>
    </w:lvl>
    <w:lvl w:ilvl="4" w:tplc="5542224C" w:tentative="1">
      <w:start w:val="1"/>
      <w:numFmt w:val="lowerLetter"/>
      <w:lvlText w:val="%5."/>
      <w:lvlJc w:val="left"/>
      <w:pPr>
        <w:ind w:left="3600" w:hanging="360"/>
      </w:pPr>
    </w:lvl>
    <w:lvl w:ilvl="5" w:tplc="3D569F2C" w:tentative="1">
      <w:start w:val="1"/>
      <w:numFmt w:val="lowerRoman"/>
      <w:lvlText w:val="%6."/>
      <w:lvlJc w:val="right"/>
      <w:pPr>
        <w:ind w:left="4320" w:hanging="180"/>
      </w:pPr>
    </w:lvl>
    <w:lvl w:ilvl="6" w:tplc="E6FCCD02" w:tentative="1">
      <w:start w:val="1"/>
      <w:numFmt w:val="decimal"/>
      <w:lvlText w:val="%7."/>
      <w:lvlJc w:val="left"/>
      <w:pPr>
        <w:ind w:left="5040" w:hanging="360"/>
      </w:pPr>
    </w:lvl>
    <w:lvl w:ilvl="7" w:tplc="3DBA8AF2" w:tentative="1">
      <w:start w:val="1"/>
      <w:numFmt w:val="lowerLetter"/>
      <w:lvlText w:val="%8."/>
      <w:lvlJc w:val="left"/>
      <w:pPr>
        <w:ind w:left="5760" w:hanging="360"/>
      </w:pPr>
    </w:lvl>
    <w:lvl w:ilvl="8" w:tplc="DF4049CC" w:tentative="1">
      <w:start w:val="1"/>
      <w:numFmt w:val="lowerRoman"/>
      <w:lvlText w:val="%9."/>
      <w:lvlJc w:val="right"/>
      <w:pPr>
        <w:ind w:left="6480" w:hanging="180"/>
      </w:pPr>
    </w:lvl>
  </w:abstractNum>
  <w:abstractNum w:abstractNumId="158" w15:restartNumberingAfterBreak="0">
    <w:nsid w:val="4A8B02C9"/>
    <w:multiLevelType w:val="hybridMultilevel"/>
    <w:tmpl w:val="E6108CFC"/>
    <w:lvl w:ilvl="0" w:tplc="52D63E30">
      <w:start w:val="2025"/>
      <w:numFmt w:val="bullet"/>
      <w:lvlText w:val="-"/>
      <w:lvlJc w:val="left"/>
      <w:pPr>
        <w:ind w:left="720" w:hanging="360"/>
      </w:pPr>
      <w:rPr>
        <w:rFonts w:ascii="Times New Roman" w:hAnsi="Times New Roman" w:hint="default"/>
      </w:rPr>
    </w:lvl>
    <w:lvl w:ilvl="1" w:tplc="34529574" w:tentative="1">
      <w:start w:val="1"/>
      <w:numFmt w:val="bullet"/>
      <w:lvlText w:val="o"/>
      <w:lvlJc w:val="left"/>
      <w:pPr>
        <w:ind w:left="1440" w:hanging="360"/>
      </w:pPr>
      <w:rPr>
        <w:rFonts w:ascii="Courier New" w:hAnsi="Courier New" w:hint="default"/>
      </w:rPr>
    </w:lvl>
    <w:lvl w:ilvl="2" w:tplc="2ACE7AE8" w:tentative="1">
      <w:start w:val="1"/>
      <w:numFmt w:val="bullet"/>
      <w:lvlText w:val=""/>
      <w:lvlJc w:val="left"/>
      <w:pPr>
        <w:ind w:left="2160" w:hanging="360"/>
      </w:pPr>
      <w:rPr>
        <w:rFonts w:ascii="Wingdings" w:hAnsi="Wingdings" w:hint="default"/>
      </w:rPr>
    </w:lvl>
    <w:lvl w:ilvl="3" w:tplc="9800D228" w:tentative="1">
      <w:start w:val="1"/>
      <w:numFmt w:val="bullet"/>
      <w:lvlText w:val=""/>
      <w:lvlJc w:val="left"/>
      <w:pPr>
        <w:ind w:left="2880" w:hanging="360"/>
      </w:pPr>
      <w:rPr>
        <w:rFonts w:ascii="Symbol" w:hAnsi="Symbol" w:hint="default"/>
      </w:rPr>
    </w:lvl>
    <w:lvl w:ilvl="4" w:tplc="EE1EBD5C" w:tentative="1">
      <w:start w:val="1"/>
      <w:numFmt w:val="bullet"/>
      <w:lvlText w:val="o"/>
      <w:lvlJc w:val="left"/>
      <w:pPr>
        <w:ind w:left="3600" w:hanging="360"/>
      </w:pPr>
      <w:rPr>
        <w:rFonts w:ascii="Courier New" w:hAnsi="Courier New" w:hint="default"/>
      </w:rPr>
    </w:lvl>
    <w:lvl w:ilvl="5" w:tplc="FE3A8E1C" w:tentative="1">
      <w:start w:val="1"/>
      <w:numFmt w:val="bullet"/>
      <w:lvlText w:val=""/>
      <w:lvlJc w:val="left"/>
      <w:pPr>
        <w:ind w:left="4320" w:hanging="360"/>
      </w:pPr>
      <w:rPr>
        <w:rFonts w:ascii="Wingdings" w:hAnsi="Wingdings" w:hint="default"/>
      </w:rPr>
    </w:lvl>
    <w:lvl w:ilvl="6" w:tplc="38DA4E12" w:tentative="1">
      <w:start w:val="1"/>
      <w:numFmt w:val="bullet"/>
      <w:lvlText w:val=""/>
      <w:lvlJc w:val="left"/>
      <w:pPr>
        <w:ind w:left="5040" w:hanging="360"/>
      </w:pPr>
      <w:rPr>
        <w:rFonts w:ascii="Symbol" w:hAnsi="Symbol" w:hint="default"/>
      </w:rPr>
    </w:lvl>
    <w:lvl w:ilvl="7" w:tplc="6F2C58AA" w:tentative="1">
      <w:start w:val="1"/>
      <w:numFmt w:val="bullet"/>
      <w:lvlText w:val="o"/>
      <w:lvlJc w:val="left"/>
      <w:pPr>
        <w:ind w:left="5760" w:hanging="360"/>
      </w:pPr>
      <w:rPr>
        <w:rFonts w:ascii="Courier New" w:hAnsi="Courier New" w:hint="default"/>
      </w:rPr>
    </w:lvl>
    <w:lvl w:ilvl="8" w:tplc="0632EC9E" w:tentative="1">
      <w:start w:val="1"/>
      <w:numFmt w:val="bullet"/>
      <w:lvlText w:val=""/>
      <w:lvlJc w:val="left"/>
      <w:pPr>
        <w:ind w:left="6480" w:hanging="360"/>
      </w:pPr>
      <w:rPr>
        <w:rFonts w:ascii="Wingdings" w:hAnsi="Wingdings" w:hint="default"/>
      </w:rPr>
    </w:lvl>
  </w:abstractNum>
  <w:abstractNum w:abstractNumId="159" w15:restartNumberingAfterBreak="0">
    <w:nsid w:val="4AD548DC"/>
    <w:multiLevelType w:val="hybridMultilevel"/>
    <w:tmpl w:val="AE185A4C"/>
    <w:lvl w:ilvl="0" w:tplc="73588B8A">
      <w:start w:val="1"/>
      <w:numFmt w:val="decimal"/>
      <w:lvlText w:val="%1."/>
      <w:lvlJc w:val="left"/>
      <w:pPr>
        <w:ind w:left="720" w:hanging="360"/>
      </w:pPr>
    </w:lvl>
    <w:lvl w:ilvl="1" w:tplc="C428BAE0">
      <w:start w:val="1"/>
      <w:numFmt w:val="lowerLetter"/>
      <w:lvlText w:val="%2."/>
      <w:lvlJc w:val="left"/>
      <w:pPr>
        <w:ind w:left="1440" w:hanging="360"/>
      </w:pPr>
    </w:lvl>
    <w:lvl w:ilvl="2" w:tplc="D1845CF6">
      <w:start w:val="1"/>
      <w:numFmt w:val="lowerRoman"/>
      <w:lvlText w:val="%3."/>
      <w:lvlJc w:val="right"/>
      <w:pPr>
        <w:ind w:left="2160" w:hanging="180"/>
      </w:pPr>
    </w:lvl>
    <w:lvl w:ilvl="3" w:tplc="9CCEFF8C">
      <w:start w:val="1"/>
      <w:numFmt w:val="decimal"/>
      <w:lvlText w:val="%4."/>
      <w:lvlJc w:val="left"/>
      <w:pPr>
        <w:ind w:left="2880" w:hanging="360"/>
      </w:pPr>
    </w:lvl>
    <w:lvl w:ilvl="4" w:tplc="27BC9ECC">
      <w:start w:val="1"/>
      <w:numFmt w:val="lowerLetter"/>
      <w:lvlText w:val="%5."/>
      <w:lvlJc w:val="left"/>
      <w:pPr>
        <w:ind w:left="3600" w:hanging="360"/>
      </w:pPr>
    </w:lvl>
    <w:lvl w:ilvl="5" w:tplc="846EFCE0">
      <w:start w:val="1"/>
      <w:numFmt w:val="lowerRoman"/>
      <w:lvlText w:val="%6."/>
      <w:lvlJc w:val="right"/>
      <w:pPr>
        <w:ind w:left="4320" w:hanging="180"/>
      </w:pPr>
    </w:lvl>
    <w:lvl w:ilvl="6" w:tplc="C2C203C0">
      <w:start w:val="1"/>
      <w:numFmt w:val="decimal"/>
      <w:lvlText w:val="%7."/>
      <w:lvlJc w:val="left"/>
      <w:pPr>
        <w:ind w:left="5040" w:hanging="360"/>
      </w:pPr>
    </w:lvl>
    <w:lvl w:ilvl="7" w:tplc="482C28C0">
      <w:start w:val="1"/>
      <w:numFmt w:val="lowerLetter"/>
      <w:lvlText w:val="%8."/>
      <w:lvlJc w:val="left"/>
      <w:pPr>
        <w:ind w:left="5760" w:hanging="360"/>
      </w:pPr>
    </w:lvl>
    <w:lvl w:ilvl="8" w:tplc="B80429F0">
      <w:start w:val="1"/>
      <w:numFmt w:val="lowerRoman"/>
      <w:lvlText w:val="%9."/>
      <w:lvlJc w:val="right"/>
      <w:pPr>
        <w:ind w:left="6480" w:hanging="180"/>
      </w:pPr>
    </w:lvl>
  </w:abstractNum>
  <w:abstractNum w:abstractNumId="160" w15:restartNumberingAfterBreak="0">
    <w:nsid w:val="4B401D32"/>
    <w:multiLevelType w:val="multilevel"/>
    <w:tmpl w:val="1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1" w15:restartNumberingAfterBreak="0">
    <w:nsid w:val="4C9E20EE"/>
    <w:multiLevelType w:val="hybridMultilevel"/>
    <w:tmpl w:val="611CEA0E"/>
    <w:lvl w:ilvl="0" w:tplc="C57CA6D2">
      <w:start w:val="1"/>
      <w:numFmt w:val="bullet"/>
      <w:lvlText w:val=""/>
      <w:lvlJc w:val="left"/>
      <w:pPr>
        <w:ind w:left="1440" w:hanging="360"/>
      </w:pPr>
      <w:rPr>
        <w:rFonts w:ascii="Symbol" w:hAnsi="Symbol" w:hint="default"/>
      </w:rPr>
    </w:lvl>
    <w:lvl w:ilvl="1" w:tplc="40881254" w:tentative="1">
      <w:start w:val="1"/>
      <w:numFmt w:val="bullet"/>
      <w:lvlText w:val="o"/>
      <w:lvlJc w:val="left"/>
      <w:pPr>
        <w:ind w:left="2160" w:hanging="360"/>
      </w:pPr>
      <w:rPr>
        <w:rFonts w:ascii="Courier New" w:hAnsi="Courier New" w:hint="default"/>
      </w:rPr>
    </w:lvl>
    <w:lvl w:ilvl="2" w:tplc="7F8A6142" w:tentative="1">
      <w:start w:val="1"/>
      <w:numFmt w:val="bullet"/>
      <w:lvlText w:val=""/>
      <w:lvlJc w:val="left"/>
      <w:pPr>
        <w:ind w:left="2880" w:hanging="360"/>
      </w:pPr>
      <w:rPr>
        <w:rFonts w:ascii="Wingdings" w:hAnsi="Wingdings" w:hint="default"/>
      </w:rPr>
    </w:lvl>
    <w:lvl w:ilvl="3" w:tplc="9FE49D32" w:tentative="1">
      <w:start w:val="1"/>
      <w:numFmt w:val="bullet"/>
      <w:lvlText w:val=""/>
      <w:lvlJc w:val="left"/>
      <w:pPr>
        <w:ind w:left="3600" w:hanging="360"/>
      </w:pPr>
      <w:rPr>
        <w:rFonts w:ascii="Symbol" w:hAnsi="Symbol" w:hint="default"/>
      </w:rPr>
    </w:lvl>
    <w:lvl w:ilvl="4" w:tplc="2F125420" w:tentative="1">
      <w:start w:val="1"/>
      <w:numFmt w:val="bullet"/>
      <w:lvlText w:val="o"/>
      <w:lvlJc w:val="left"/>
      <w:pPr>
        <w:ind w:left="4320" w:hanging="360"/>
      </w:pPr>
      <w:rPr>
        <w:rFonts w:ascii="Courier New" w:hAnsi="Courier New" w:hint="default"/>
      </w:rPr>
    </w:lvl>
    <w:lvl w:ilvl="5" w:tplc="B964E074" w:tentative="1">
      <w:start w:val="1"/>
      <w:numFmt w:val="bullet"/>
      <w:lvlText w:val=""/>
      <w:lvlJc w:val="left"/>
      <w:pPr>
        <w:ind w:left="5040" w:hanging="360"/>
      </w:pPr>
      <w:rPr>
        <w:rFonts w:ascii="Wingdings" w:hAnsi="Wingdings" w:hint="default"/>
      </w:rPr>
    </w:lvl>
    <w:lvl w:ilvl="6" w:tplc="58C60410" w:tentative="1">
      <w:start w:val="1"/>
      <w:numFmt w:val="bullet"/>
      <w:lvlText w:val=""/>
      <w:lvlJc w:val="left"/>
      <w:pPr>
        <w:ind w:left="5760" w:hanging="360"/>
      </w:pPr>
      <w:rPr>
        <w:rFonts w:ascii="Symbol" w:hAnsi="Symbol" w:hint="default"/>
      </w:rPr>
    </w:lvl>
    <w:lvl w:ilvl="7" w:tplc="2E32BCDE" w:tentative="1">
      <w:start w:val="1"/>
      <w:numFmt w:val="bullet"/>
      <w:lvlText w:val="o"/>
      <w:lvlJc w:val="left"/>
      <w:pPr>
        <w:ind w:left="6480" w:hanging="360"/>
      </w:pPr>
      <w:rPr>
        <w:rFonts w:ascii="Courier New" w:hAnsi="Courier New" w:hint="default"/>
      </w:rPr>
    </w:lvl>
    <w:lvl w:ilvl="8" w:tplc="33D285FC" w:tentative="1">
      <w:start w:val="1"/>
      <w:numFmt w:val="bullet"/>
      <w:lvlText w:val=""/>
      <w:lvlJc w:val="left"/>
      <w:pPr>
        <w:ind w:left="7200" w:hanging="360"/>
      </w:pPr>
      <w:rPr>
        <w:rFonts w:ascii="Wingdings" w:hAnsi="Wingdings" w:hint="default"/>
      </w:rPr>
    </w:lvl>
  </w:abstractNum>
  <w:abstractNum w:abstractNumId="162" w15:restartNumberingAfterBreak="0">
    <w:nsid w:val="4D4F09AB"/>
    <w:multiLevelType w:val="hybridMultilevel"/>
    <w:tmpl w:val="2C982D38"/>
    <w:lvl w:ilvl="0" w:tplc="2AC4261C">
      <w:start w:val="1"/>
      <w:numFmt w:val="decimal"/>
      <w:lvlText w:val="%1."/>
      <w:lvlJc w:val="left"/>
      <w:pPr>
        <w:ind w:left="360" w:hanging="360"/>
      </w:pPr>
    </w:lvl>
    <w:lvl w:ilvl="1" w:tplc="8DA09BB4">
      <w:start w:val="1"/>
      <w:numFmt w:val="lowerLetter"/>
      <w:lvlText w:val="%2."/>
      <w:lvlJc w:val="left"/>
      <w:pPr>
        <w:ind w:left="1080" w:hanging="360"/>
      </w:pPr>
    </w:lvl>
    <w:lvl w:ilvl="2" w:tplc="E7DED5E0">
      <w:numFmt w:val="bullet"/>
      <w:lvlText w:val="•"/>
      <w:lvlJc w:val="left"/>
      <w:pPr>
        <w:ind w:left="2340" w:hanging="720"/>
      </w:pPr>
      <w:rPr>
        <w:rFonts w:ascii="Times New Roman" w:hAnsi="Times New Roman" w:hint="default"/>
      </w:rPr>
    </w:lvl>
    <w:lvl w:ilvl="3" w:tplc="6AE2F6D8" w:tentative="1">
      <w:start w:val="1"/>
      <w:numFmt w:val="decimal"/>
      <w:lvlText w:val="%4."/>
      <w:lvlJc w:val="left"/>
      <w:pPr>
        <w:ind w:left="2520" w:hanging="360"/>
      </w:pPr>
    </w:lvl>
    <w:lvl w:ilvl="4" w:tplc="3DAC414E" w:tentative="1">
      <w:start w:val="1"/>
      <w:numFmt w:val="lowerLetter"/>
      <w:lvlText w:val="%5."/>
      <w:lvlJc w:val="left"/>
      <w:pPr>
        <w:ind w:left="3240" w:hanging="360"/>
      </w:pPr>
    </w:lvl>
    <w:lvl w:ilvl="5" w:tplc="B324FEDE" w:tentative="1">
      <w:start w:val="1"/>
      <w:numFmt w:val="lowerRoman"/>
      <w:lvlText w:val="%6."/>
      <w:lvlJc w:val="right"/>
      <w:pPr>
        <w:ind w:left="3960" w:hanging="180"/>
      </w:pPr>
    </w:lvl>
    <w:lvl w:ilvl="6" w:tplc="451CAD32" w:tentative="1">
      <w:start w:val="1"/>
      <w:numFmt w:val="decimal"/>
      <w:lvlText w:val="%7."/>
      <w:lvlJc w:val="left"/>
      <w:pPr>
        <w:ind w:left="4680" w:hanging="360"/>
      </w:pPr>
    </w:lvl>
    <w:lvl w:ilvl="7" w:tplc="00E46488" w:tentative="1">
      <w:start w:val="1"/>
      <w:numFmt w:val="lowerLetter"/>
      <w:lvlText w:val="%8."/>
      <w:lvlJc w:val="left"/>
      <w:pPr>
        <w:ind w:left="5400" w:hanging="360"/>
      </w:pPr>
    </w:lvl>
    <w:lvl w:ilvl="8" w:tplc="0C3258A8" w:tentative="1">
      <w:start w:val="1"/>
      <w:numFmt w:val="lowerRoman"/>
      <w:lvlText w:val="%9."/>
      <w:lvlJc w:val="right"/>
      <w:pPr>
        <w:ind w:left="6120" w:hanging="180"/>
      </w:pPr>
    </w:lvl>
  </w:abstractNum>
  <w:abstractNum w:abstractNumId="163" w15:restartNumberingAfterBreak="0">
    <w:nsid w:val="4DA4525B"/>
    <w:multiLevelType w:val="hybridMultilevel"/>
    <w:tmpl w:val="8DEC0CF8"/>
    <w:lvl w:ilvl="0" w:tplc="EBB649FA">
      <w:start w:val="1"/>
      <w:numFmt w:val="lowerRoman"/>
      <w:lvlText w:val="%1."/>
      <w:lvlJc w:val="right"/>
      <w:pPr>
        <w:ind w:left="1080" w:hanging="360"/>
      </w:pPr>
      <w:rPr>
        <w:rFonts w:ascii="Symbol" w:hAnsi="Symbol" w:hint="default"/>
        <w:sz w:val="24"/>
        <w:szCs w:val="24"/>
      </w:rPr>
    </w:lvl>
    <w:lvl w:ilvl="1" w:tplc="5CC0C4FC">
      <w:start w:val="1"/>
      <w:numFmt w:val="lowerLetter"/>
      <w:lvlText w:val="%2."/>
      <w:lvlJc w:val="left"/>
      <w:pPr>
        <w:ind w:left="1800" w:hanging="360"/>
      </w:pPr>
    </w:lvl>
    <w:lvl w:ilvl="2" w:tplc="82E892B8" w:tentative="1">
      <w:start w:val="1"/>
      <w:numFmt w:val="lowerRoman"/>
      <w:lvlText w:val="%3."/>
      <w:lvlJc w:val="right"/>
      <w:pPr>
        <w:ind w:left="2520" w:hanging="180"/>
      </w:pPr>
    </w:lvl>
    <w:lvl w:ilvl="3" w:tplc="1C1E0366" w:tentative="1">
      <w:start w:val="1"/>
      <w:numFmt w:val="decimal"/>
      <w:lvlText w:val="%4."/>
      <w:lvlJc w:val="left"/>
      <w:pPr>
        <w:ind w:left="3240" w:hanging="360"/>
      </w:pPr>
    </w:lvl>
    <w:lvl w:ilvl="4" w:tplc="A2F40B92" w:tentative="1">
      <w:start w:val="1"/>
      <w:numFmt w:val="lowerLetter"/>
      <w:lvlText w:val="%5."/>
      <w:lvlJc w:val="left"/>
      <w:pPr>
        <w:ind w:left="3960" w:hanging="360"/>
      </w:pPr>
    </w:lvl>
    <w:lvl w:ilvl="5" w:tplc="51EE71D4" w:tentative="1">
      <w:start w:val="1"/>
      <w:numFmt w:val="lowerRoman"/>
      <w:lvlText w:val="%6."/>
      <w:lvlJc w:val="right"/>
      <w:pPr>
        <w:ind w:left="4680" w:hanging="180"/>
      </w:pPr>
    </w:lvl>
    <w:lvl w:ilvl="6" w:tplc="4B9C3788" w:tentative="1">
      <w:start w:val="1"/>
      <w:numFmt w:val="decimal"/>
      <w:lvlText w:val="%7."/>
      <w:lvlJc w:val="left"/>
      <w:pPr>
        <w:ind w:left="5400" w:hanging="360"/>
      </w:pPr>
    </w:lvl>
    <w:lvl w:ilvl="7" w:tplc="B25AD12C" w:tentative="1">
      <w:start w:val="1"/>
      <w:numFmt w:val="lowerLetter"/>
      <w:lvlText w:val="%8."/>
      <w:lvlJc w:val="left"/>
      <w:pPr>
        <w:ind w:left="6120" w:hanging="360"/>
      </w:pPr>
    </w:lvl>
    <w:lvl w:ilvl="8" w:tplc="2B523E7C" w:tentative="1">
      <w:start w:val="1"/>
      <w:numFmt w:val="lowerRoman"/>
      <w:lvlText w:val="%9."/>
      <w:lvlJc w:val="right"/>
      <w:pPr>
        <w:ind w:left="6840" w:hanging="180"/>
      </w:pPr>
    </w:lvl>
  </w:abstractNum>
  <w:abstractNum w:abstractNumId="164" w15:restartNumberingAfterBreak="0">
    <w:nsid w:val="4DFE3F60"/>
    <w:multiLevelType w:val="hybridMultilevel"/>
    <w:tmpl w:val="0436031E"/>
    <w:lvl w:ilvl="0" w:tplc="4176CA12">
      <w:start w:val="1"/>
      <w:numFmt w:val="bullet"/>
      <w:lvlText w:val=""/>
      <w:lvlJc w:val="left"/>
      <w:pPr>
        <w:ind w:left="720" w:hanging="360"/>
      </w:pPr>
      <w:rPr>
        <w:rFonts w:ascii="Symbol" w:hAnsi="Symbol" w:hint="default"/>
      </w:rPr>
    </w:lvl>
    <w:lvl w:ilvl="1" w:tplc="B748C4C2" w:tentative="1">
      <w:start w:val="1"/>
      <w:numFmt w:val="bullet"/>
      <w:lvlText w:val="o"/>
      <w:lvlJc w:val="left"/>
      <w:pPr>
        <w:ind w:left="1014" w:hanging="360"/>
      </w:pPr>
      <w:rPr>
        <w:rFonts w:ascii="Courier New" w:hAnsi="Courier New" w:hint="default"/>
      </w:rPr>
    </w:lvl>
    <w:lvl w:ilvl="2" w:tplc="C11E511E" w:tentative="1">
      <w:start w:val="1"/>
      <w:numFmt w:val="bullet"/>
      <w:lvlText w:val=""/>
      <w:lvlJc w:val="left"/>
      <w:pPr>
        <w:ind w:left="1734" w:hanging="360"/>
      </w:pPr>
      <w:rPr>
        <w:rFonts w:ascii="Wingdings" w:hAnsi="Wingdings" w:hint="default"/>
      </w:rPr>
    </w:lvl>
    <w:lvl w:ilvl="3" w:tplc="6C8474E0" w:tentative="1">
      <w:start w:val="1"/>
      <w:numFmt w:val="bullet"/>
      <w:lvlText w:val=""/>
      <w:lvlJc w:val="left"/>
      <w:pPr>
        <w:ind w:left="2454" w:hanging="360"/>
      </w:pPr>
      <w:rPr>
        <w:rFonts w:ascii="Symbol" w:hAnsi="Symbol" w:hint="default"/>
      </w:rPr>
    </w:lvl>
    <w:lvl w:ilvl="4" w:tplc="2E525000" w:tentative="1">
      <w:start w:val="1"/>
      <w:numFmt w:val="bullet"/>
      <w:lvlText w:val="o"/>
      <w:lvlJc w:val="left"/>
      <w:pPr>
        <w:ind w:left="3174" w:hanging="360"/>
      </w:pPr>
      <w:rPr>
        <w:rFonts w:ascii="Courier New" w:hAnsi="Courier New" w:hint="default"/>
      </w:rPr>
    </w:lvl>
    <w:lvl w:ilvl="5" w:tplc="A8A42796" w:tentative="1">
      <w:start w:val="1"/>
      <w:numFmt w:val="bullet"/>
      <w:lvlText w:val=""/>
      <w:lvlJc w:val="left"/>
      <w:pPr>
        <w:ind w:left="3894" w:hanging="360"/>
      </w:pPr>
      <w:rPr>
        <w:rFonts w:ascii="Wingdings" w:hAnsi="Wingdings" w:hint="default"/>
      </w:rPr>
    </w:lvl>
    <w:lvl w:ilvl="6" w:tplc="F4A05AE0" w:tentative="1">
      <w:start w:val="1"/>
      <w:numFmt w:val="bullet"/>
      <w:lvlText w:val=""/>
      <w:lvlJc w:val="left"/>
      <w:pPr>
        <w:ind w:left="4614" w:hanging="360"/>
      </w:pPr>
      <w:rPr>
        <w:rFonts w:ascii="Symbol" w:hAnsi="Symbol" w:hint="default"/>
      </w:rPr>
    </w:lvl>
    <w:lvl w:ilvl="7" w:tplc="BC34A00E" w:tentative="1">
      <w:start w:val="1"/>
      <w:numFmt w:val="bullet"/>
      <w:lvlText w:val="o"/>
      <w:lvlJc w:val="left"/>
      <w:pPr>
        <w:ind w:left="5334" w:hanging="360"/>
      </w:pPr>
      <w:rPr>
        <w:rFonts w:ascii="Courier New" w:hAnsi="Courier New" w:hint="default"/>
      </w:rPr>
    </w:lvl>
    <w:lvl w:ilvl="8" w:tplc="BD4CC502" w:tentative="1">
      <w:start w:val="1"/>
      <w:numFmt w:val="bullet"/>
      <w:lvlText w:val=""/>
      <w:lvlJc w:val="left"/>
      <w:pPr>
        <w:ind w:left="6054" w:hanging="360"/>
      </w:pPr>
      <w:rPr>
        <w:rFonts w:ascii="Wingdings" w:hAnsi="Wingdings" w:hint="default"/>
      </w:rPr>
    </w:lvl>
  </w:abstractNum>
  <w:abstractNum w:abstractNumId="165" w15:restartNumberingAfterBreak="0">
    <w:nsid w:val="4E625C50"/>
    <w:multiLevelType w:val="hybridMultilevel"/>
    <w:tmpl w:val="49B87EE4"/>
    <w:lvl w:ilvl="0" w:tplc="9B24326A">
      <w:start w:val="1"/>
      <w:numFmt w:val="bullet"/>
      <w:lvlText w:val=""/>
      <w:lvlJc w:val="left"/>
      <w:pPr>
        <w:ind w:left="720" w:hanging="360"/>
      </w:pPr>
      <w:rPr>
        <w:rFonts w:ascii="Symbol" w:hAnsi="Symbol" w:hint="default"/>
      </w:rPr>
    </w:lvl>
    <w:lvl w:ilvl="1" w:tplc="64AA5D8A" w:tentative="1">
      <w:start w:val="1"/>
      <w:numFmt w:val="bullet"/>
      <w:lvlText w:val="o"/>
      <w:lvlJc w:val="left"/>
      <w:pPr>
        <w:ind w:left="1440" w:hanging="360"/>
      </w:pPr>
      <w:rPr>
        <w:rFonts w:ascii="Courier New" w:hAnsi="Courier New" w:hint="default"/>
      </w:rPr>
    </w:lvl>
    <w:lvl w:ilvl="2" w:tplc="F88CD65E" w:tentative="1">
      <w:start w:val="1"/>
      <w:numFmt w:val="bullet"/>
      <w:lvlText w:val=""/>
      <w:lvlJc w:val="left"/>
      <w:pPr>
        <w:ind w:left="2160" w:hanging="360"/>
      </w:pPr>
      <w:rPr>
        <w:rFonts w:ascii="Wingdings" w:hAnsi="Wingdings" w:hint="default"/>
      </w:rPr>
    </w:lvl>
    <w:lvl w:ilvl="3" w:tplc="83FE15AE" w:tentative="1">
      <w:start w:val="1"/>
      <w:numFmt w:val="bullet"/>
      <w:lvlText w:val=""/>
      <w:lvlJc w:val="left"/>
      <w:pPr>
        <w:ind w:left="2880" w:hanging="360"/>
      </w:pPr>
      <w:rPr>
        <w:rFonts w:ascii="Symbol" w:hAnsi="Symbol" w:hint="default"/>
      </w:rPr>
    </w:lvl>
    <w:lvl w:ilvl="4" w:tplc="1D103604" w:tentative="1">
      <w:start w:val="1"/>
      <w:numFmt w:val="bullet"/>
      <w:lvlText w:val="o"/>
      <w:lvlJc w:val="left"/>
      <w:pPr>
        <w:ind w:left="3600" w:hanging="360"/>
      </w:pPr>
      <w:rPr>
        <w:rFonts w:ascii="Courier New" w:hAnsi="Courier New" w:hint="default"/>
      </w:rPr>
    </w:lvl>
    <w:lvl w:ilvl="5" w:tplc="A9F80292" w:tentative="1">
      <w:start w:val="1"/>
      <w:numFmt w:val="bullet"/>
      <w:lvlText w:val=""/>
      <w:lvlJc w:val="left"/>
      <w:pPr>
        <w:ind w:left="4320" w:hanging="360"/>
      </w:pPr>
      <w:rPr>
        <w:rFonts w:ascii="Wingdings" w:hAnsi="Wingdings" w:hint="default"/>
      </w:rPr>
    </w:lvl>
    <w:lvl w:ilvl="6" w:tplc="F65E38A4" w:tentative="1">
      <w:start w:val="1"/>
      <w:numFmt w:val="bullet"/>
      <w:lvlText w:val=""/>
      <w:lvlJc w:val="left"/>
      <w:pPr>
        <w:ind w:left="5040" w:hanging="360"/>
      </w:pPr>
      <w:rPr>
        <w:rFonts w:ascii="Symbol" w:hAnsi="Symbol" w:hint="default"/>
      </w:rPr>
    </w:lvl>
    <w:lvl w:ilvl="7" w:tplc="7B34F550" w:tentative="1">
      <w:start w:val="1"/>
      <w:numFmt w:val="bullet"/>
      <w:lvlText w:val="o"/>
      <w:lvlJc w:val="left"/>
      <w:pPr>
        <w:ind w:left="5760" w:hanging="360"/>
      </w:pPr>
      <w:rPr>
        <w:rFonts w:ascii="Courier New" w:hAnsi="Courier New" w:hint="default"/>
      </w:rPr>
    </w:lvl>
    <w:lvl w:ilvl="8" w:tplc="9D7E9C88" w:tentative="1">
      <w:start w:val="1"/>
      <w:numFmt w:val="bullet"/>
      <w:lvlText w:val=""/>
      <w:lvlJc w:val="left"/>
      <w:pPr>
        <w:ind w:left="6480" w:hanging="360"/>
      </w:pPr>
      <w:rPr>
        <w:rFonts w:ascii="Wingdings" w:hAnsi="Wingdings" w:hint="default"/>
      </w:rPr>
    </w:lvl>
  </w:abstractNum>
  <w:abstractNum w:abstractNumId="166" w15:restartNumberingAfterBreak="0">
    <w:nsid w:val="4E9F2170"/>
    <w:multiLevelType w:val="hybridMultilevel"/>
    <w:tmpl w:val="8DBE3D40"/>
    <w:lvl w:ilvl="0" w:tplc="1ADE2418">
      <w:start w:val="1"/>
      <w:numFmt w:val="bullet"/>
      <w:lvlText w:val=""/>
      <w:lvlJc w:val="left"/>
      <w:pPr>
        <w:ind w:left="720" w:hanging="360"/>
      </w:pPr>
      <w:rPr>
        <w:rFonts w:ascii="Symbol" w:hAnsi="Symbol" w:hint="default"/>
      </w:rPr>
    </w:lvl>
    <w:lvl w:ilvl="1" w:tplc="0E38EEA2">
      <w:start w:val="1"/>
      <w:numFmt w:val="bullet"/>
      <w:lvlText w:val="o"/>
      <w:lvlJc w:val="left"/>
      <w:pPr>
        <w:ind w:left="1440" w:hanging="360"/>
      </w:pPr>
      <w:rPr>
        <w:rFonts w:ascii="Courier New" w:hAnsi="Courier New" w:hint="default"/>
      </w:rPr>
    </w:lvl>
    <w:lvl w:ilvl="2" w:tplc="6A9EA87C">
      <w:start w:val="1"/>
      <w:numFmt w:val="bullet"/>
      <w:lvlText w:val=""/>
      <w:lvlJc w:val="left"/>
      <w:pPr>
        <w:ind w:left="2160" w:hanging="360"/>
      </w:pPr>
      <w:rPr>
        <w:rFonts w:ascii="Wingdings" w:hAnsi="Wingdings" w:hint="default"/>
      </w:rPr>
    </w:lvl>
    <w:lvl w:ilvl="3" w:tplc="22A0BB68">
      <w:start w:val="1"/>
      <w:numFmt w:val="bullet"/>
      <w:lvlText w:val=""/>
      <w:lvlJc w:val="left"/>
      <w:pPr>
        <w:ind w:left="2880" w:hanging="360"/>
      </w:pPr>
      <w:rPr>
        <w:rFonts w:ascii="Symbol" w:hAnsi="Symbol" w:hint="default"/>
      </w:rPr>
    </w:lvl>
    <w:lvl w:ilvl="4" w:tplc="0DD2A91A">
      <w:start w:val="1"/>
      <w:numFmt w:val="bullet"/>
      <w:lvlText w:val="o"/>
      <w:lvlJc w:val="left"/>
      <w:pPr>
        <w:ind w:left="3600" w:hanging="360"/>
      </w:pPr>
      <w:rPr>
        <w:rFonts w:ascii="Courier New" w:hAnsi="Courier New" w:hint="default"/>
      </w:rPr>
    </w:lvl>
    <w:lvl w:ilvl="5" w:tplc="C13EDBD4">
      <w:start w:val="1"/>
      <w:numFmt w:val="bullet"/>
      <w:lvlText w:val=""/>
      <w:lvlJc w:val="left"/>
      <w:pPr>
        <w:ind w:left="4320" w:hanging="360"/>
      </w:pPr>
      <w:rPr>
        <w:rFonts w:ascii="Wingdings" w:hAnsi="Wingdings" w:hint="default"/>
      </w:rPr>
    </w:lvl>
    <w:lvl w:ilvl="6" w:tplc="CCF454A2">
      <w:start w:val="1"/>
      <w:numFmt w:val="bullet"/>
      <w:lvlText w:val=""/>
      <w:lvlJc w:val="left"/>
      <w:pPr>
        <w:ind w:left="5040" w:hanging="360"/>
      </w:pPr>
      <w:rPr>
        <w:rFonts w:ascii="Symbol" w:hAnsi="Symbol" w:hint="default"/>
      </w:rPr>
    </w:lvl>
    <w:lvl w:ilvl="7" w:tplc="2A100E1E">
      <w:start w:val="1"/>
      <w:numFmt w:val="bullet"/>
      <w:lvlText w:val="o"/>
      <w:lvlJc w:val="left"/>
      <w:pPr>
        <w:ind w:left="5760" w:hanging="360"/>
      </w:pPr>
      <w:rPr>
        <w:rFonts w:ascii="Courier New" w:hAnsi="Courier New" w:hint="default"/>
      </w:rPr>
    </w:lvl>
    <w:lvl w:ilvl="8" w:tplc="EEC0F1C4">
      <w:start w:val="1"/>
      <w:numFmt w:val="bullet"/>
      <w:lvlText w:val=""/>
      <w:lvlJc w:val="left"/>
      <w:pPr>
        <w:ind w:left="6480" w:hanging="360"/>
      </w:pPr>
      <w:rPr>
        <w:rFonts w:ascii="Wingdings" w:hAnsi="Wingdings" w:hint="default"/>
      </w:rPr>
    </w:lvl>
  </w:abstractNum>
  <w:abstractNum w:abstractNumId="167" w15:restartNumberingAfterBreak="0">
    <w:nsid w:val="4EB4C397"/>
    <w:multiLevelType w:val="hybridMultilevel"/>
    <w:tmpl w:val="142E8956"/>
    <w:lvl w:ilvl="0" w:tplc="2A44D3F2">
      <w:start w:val="1"/>
      <w:numFmt w:val="bullet"/>
      <w:lvlText w:val=""/>
      <w:lvlJc w:val="left"/>
      <w:pPr>
        <w:ind w:left="720" w:hanging="360"/>
      </w:pPr>
      <w:rPr>
        <w:rFonts w:ascii="Symbol" w:hAnsi="Symbol" w:hint="default"/>
      </w:rPr>
    </w:lvl>
    <w:lvl w:ilvl="1" w:tplc="8458C7F0">
      <w:start w:val="1"/>
      <w:numFmt w:val="bullet"/>
      <w:lvlText w:val="o"/>
      <w:lvlJc w:val="left"/>
      <w:pPr>
        <w:ind w:left="1440" w:hanging="360"/>
      </w:pPr>
      <w:rPr>
        <w:rFonts w:ascii="Courier New" w:hAnsi="Courier New" w:hint="default"/>
      </w:rPr>
    </w:lvl>
    <w:lvl w:ilvl="2" w:tplc="E86E53AA">
      <w:start w:val="1"/>
      <w:numFmt w:val="bullet"/>
      <w:lvlText w:val=""/>
      <w:lvlJc w:val="left"/>
      <w:pPr>
        <w:ind w:left="2160" w:hanging="360"/>
      </w:pPr>
      <w:rPr>
        <w:rFonts w:ascii="Wingdings" w:hAnsi="Wingdings" w:hint="default"/>
      </w:rPr>
    </w:lvl>
    <w:lvl w:ilvl="3" w:tplc="264A5EF4">
      <w:start w:val="1"/>
      <w:numFmt w:val="bullet"/>
      <w:lvlText w:val=""/>
      <w:lvlJc w:val="left"/>
      <w:pPr>
        <w:ind w:left="2880" w:hanging="360"/>
      </w:pPr>
      <w:rPr>
        <w:rFonts w:ascii="Symbol" w:hAnsi="Symbol" w:hint="default"/>
      </w:rPr>
    </w:lvl>
    <w:lvl w:ilvl="4" w:tplc="30FA46A0">
      <w:start w:val="1"/>
      <w:numFmt w:val="bullet"/>
      <w:lvlText w:val="o"/>
      <w:lvlJc w:val="left"/>
      <w:pPr>
        <w:ind w:left="3600" w:hanging="360"/>
      </w:pPr>
      <w:rPr>
        <w:rFonts w:ascii="Courier New" w:hAnsi="Courier New" w:hint="default"/>
      </w:rPr>
    </w:lvl>
    <w:lvl w:ilvl="5" w:tplc="CAD62638">
      <w:start w:val="1"/>
      <w:numFmt w:val="bullet"/>
      <w:lvlText w:val=""/>
      <w:lvlJc w:val="left"/>
      <w:pPr>
        <w:ind w:left="4320" w:hanging="360"/>
      </w:pPr>
      <w:rPr>
        <w:rFonts w:ascii="Wingdings" w:hAnsi="Wingdings" w:hint="default"/>
      </w:rPr>
    </w:lvl>
    <w:lvl w:ilvl="6" w:tplc="AC141A8A">
      <w:start w:val="1"/>
      <w:numFmt w:val="bullet"/>
      <w:lvlText w:val=""/>
      <w:lvlJc w:val="left"/>
      <w:pPr>
        <w:ind w:left="5040" w:hanging="360"/>
      </w:pPr>
      <w:rPr>
        <w:rFonts w:ascii="Symbol" w:hAnsi="Symbol" w:hint="default"/>
      </w:rPr>
    </w:lvl>
    <w:lvl w:ilvl="7" w:tplc="80D86F1E">
      <w:start w:val="1"/>
      <w:numFmt w:val="bullet"/>
      <w:lvlText w:val="o"/>
      <w:lvlJc w:val="left"/>
      <w:pPr>
        <w:ind w:left="5760" w:hanging="360"/>
      </w:pPr>
      <w:rPr>
        <w:rFonts w:ascii="Courier New" w:hAnsi="Courier New" w:hint="default"/>
      </w:rPr>
    </w:lvl>
    <w:lvl w:ilvl="8" w:tplc="5484E078">
      <w:start w:val="1"/>
      <w:numFmt w:val="bullet"/>
      <w:lvlText w:val=""/>
      <w:lvlJc w:val="left"/>
      <w:pPr>
        <w:ind w:left="6480" w:hanging="360"/>
      </w:pPr>
      <w:rPr>
        <w:rFonts w:ascii="Wingdings" w:hAnsi="Wingdings" w:hint="default"/>
      </w:rPr>
    </w:lvl>
  </w:abstractNum>
  <w:abstractNum w:abstractNumId="168" w15:restartNumberingAfterBreak="0">
    <w:nsid w:val="4EFE22A8"/>
    <w:multiLevelType w:val="hybridMultilevel"/>
    <w:tmpl w:val="661CBDB4"/>
    <w:lvl w:ilvl="0" w:tplc="331E661E">
      <w:start w:val="1"/>
      <w:numFmt w:val="decimal"/>
      <w:lvlText w:val="%1."/>
      <w:lvlJc w:val="left"/>
      <w:pPr>
        <w:ind w:left="1020" w:hanging="360"/>
      </w:pPr>
    </w:lvl>
    <w:lvl w:ilvl="1" w:tplc="E8F22ED4">
      <w:start w:val="1"/>
      <w:numFmt w:val="decimal"/>
      <w:lvlText w:val="%2."/>
      <w:lvlJc w:val="left"/>
      <w:pPr>
        <w:ind w:left="1020" w:hanging="360"/>
      </w:pPr>
    </w:lvl>
    <w:lvl w:ilvl="2" w:tplc="07DE18D8">
      <w:start w:val="1"/>
      <w:numFmt w:val="decimal"/>
      <w:lvlText w:val="%3."/>
      <w:lvlJc w:val="left"/>
      <w:pPr>
        <w:ind w:left="1020" w:hanging="360"/>
      </w:pPr>
    </w:lvl>
    <w:lvl w:ilvl="3" w:tplc="717E6424">
      <w:start w:val="1"/>
      <w:numFmt w:val="decimal"/>
      <w:lvlText w:val="%4."/>
      <w:lvlJc w:val="left"/>
      <w:pPr>
        <w:ind w:left="1020" w:hanging="360"/>
      </w:pPr>
    </w:lvl>
    <w:lvl w:ilvl="4" w:tplc="1FF43272">
      <w:start w:val="1"/>
      <w:numFmt w:val="decimal"/>
      <w:lvlText w:val="%5."/>
      <w:lvlJc w:val="left"/>
      <w:pPr>
        <w:ind w:left="1020" w:hanging="360"/>
      </w:pPr>
    </w:lvl>
    <w:lvl w:ilvl="5" w:tplc="A05A264E">
      <w:start w:val="1"/>
      <w:numFmt w:val="decimal"/>
      <w:lvlText w:val="%6."/>
      <w:lvlJc w:val="left"/>
      <w:pPr>
        <w:ind w:left="1020" w:hanging="360"/>
      </w:pPr>
    </w:lvl>
    <w:lvl w:ilvl="6" w:tplc="08FAA220">
      <w:start w:val="1"/>
      <w:numFmt w:val="decimal"/>
      <w:lvlText w:val="%7."/>
      <w:lvlJc w:val="left"/>
      <w:pPr>
        <w:ind w:left="1020" w:hanging="360"/>
      </w:pPr>
    </w:lvl>
    <w:lvl w:ilvl="7" w:tplc="2DDA4A46">
      <w:start w:val="1"/>
      <w:numFmt w:val="decimal"/>
      <w:lvlText w:val="%8."/>
      <w:lvlJc w:val="left"/>
      <w:pPr>
        <w:ind w:left="1020" w:hanging="360"/>
      </w:pPr>
    </w:lvl>
    <w:lvl w:ilvl="8" w:tplc="E932B4F6">
      <w:start w:val="1"/>
      <w:numFmt w:val="decimal"/>
      <w:lvlText w:val="%9."/>
      <w:lvlJc w:val="left"/>
      <w:pPr>
        <w:ind w:left="1020" w:hanging="360"/>
      </w:pPr>
    </w:lvl>
  </w:abstractNum>
  <w:abstractNum w:abstractNumId="169" w15:restartNumberingAfterBreak="0">
    <w:nsid w:val="4F381148"/>
    <w:multiLevelType w:val="hybridMultilevel"/>
    <w:tmpl w:val="FFFFFFFF"/>
    <w:lvl w:ilvl="0" w:tplc="FE3837F8">
      <w:start w:val="1"/>
      <w:numFmt w:val="bullet"/>
      <w:lvlText w:val=""/>
      <w:lvlJc w:val="left"/>
      <w:pPr>
        <w:ind w:left="720" w:hanging="360"/>
      </w:pPr>
      <w:rPr>
        <w:rFonts w:ascii="Symbol" w:hAnsi="Symbol" w:hint="default"/>
      </w:rPr>
    </w:lvl>
    <w:lvl w:ilvl="1" w:tplc="8820A552">
      <w:start w:val="1"/>
      <w:numFmt w:val="bullet"/>
      <w:lvlText w:val="o"/>
      <w:lvlJc w:val="left"/>
      <w:pPr>
        <w:ind w:left="1440" w:hanging="360"/>
      </w:pPr>
      <w:rPr>
        <w:rFonts w:ascii="Courier New" w:hAnsi="Courier New" w:hint="default"/>
      </w:rPr>
    </w:lvl>
    <w:lvl w:ilvl="2" w:tplc="C336974E">
      <w:start w:val="1"/>
      <w:numFmt w:val="bullet"/>
      <w:lvlText w:val=""/>
      <w:lvlJc w:val="left"/>
      <w:pPr>
        <w:ind w:left="2160" w:hanging="360"/>
      </w:pPr>
      <w:rPr>
        <w:rFonts w:ascii="Wingdings" w:hAnsi="Wingdings" w:hint="default"/>
      </w:rPr>
    </w:lvl>
    <w:lvl w:ilvl="3" w:tplc="0C0C68E8">
      <w:start w:val="1"/>
      <w:numFmt w:val="bullet"/>
      <w:lvlText w:val=""/>
      <w:lvlJc w:val="left"/>
      <w:pPr>
        <w:ind w:left="2880" w:hanging="360"/>
      </w:pPr>
      <w:rPr>
        <w:rFonts w:ascii="Symbol" w:hAnsi="Symbol" w:hint="default"/>
      </w:rPr>
    </w:lvl>
    <w:lvl w:ilvl="4" w:tplc="F224D27C">
      <w:start w:val="1"/>
      <w:numFmt w:val="bullet"/>
      <w:lvlText w:val="o"/>
      <w:lvlJc w:val="left"/>
      <w:pPr>
        <w:ind w:left="3600" w:hanging="360"/>
      </w:pPr>
      <w:rPr>
        <w:rFonts w:ascii="Courier New" w:hAnsi="Courier New" w:hint="default"/>
      </w:rPr>
    </w:lvl>
    <w:lvl w:ilvl="5" w:tplc="6AA48C32">
      <w:start w:val="1"/>
      <w:numFmt w:val="bullet"/>
      <w:lvlText w:val=""/>
      <w:lvlJc w:val="left"/>
      <w:pPr>
        <w:ind w:left="4320" w:hanging="360"/>
      </w:pPr>
      <w:rPr>
        <w:rFonts w:ascii="Wingdings" w:hAnsi="Wingdings" w:hint="default"/>
      </w:rPr>
    </w:lvl>
    <w:lvl w:ilvl="6" w:tplc="BDE45234">
      <w:start w:val="1"/>
      <w:numFmt w:val="bullet"/>
      <w:lvlText w:val=""/>
      <w:lvlJc w:val="left"/>
      <w:pPr>
        <w:ind w:left="5040" w:hanging="360"/>
      </w:pPr>
      <w:rPr>
        <w:rFonts w:ascii="Symbol" w:hAnsi="Symbol" w:hint="default"/>
      </w:rPr>
    </w:lvl>
    <w:lvl w:ilvl="7" w:tplc="11E8377C">
      <w:start w:val="1"/>
      <w:numFmt w:val="bullet"/>
      <w:lvlText w:val="o"/>
      <w:lvlJc w:val="left"/>
      <w:pPr>
        <w:ind w:left="5760" w:hanging="360"/>
      </w:pPr>
      <w:rPr>
        <w:rFonts w:ascii="Courier New" w:hAnsi="Courier New" w:hint="default"/>
      </w:rPr>
    </w:lvl>
    <w:lvl w:ilvl="8" w:tplc="0A829A30">
      <w:start w:val="1"/>
      <w:numFmt w:val="bullet"/>
      <w:lvlText w:val=""/>
      <w:lvlJc w:val="left"/>
      <w:pPr>
        <w:ind w:left="6480" w:hanging="360"/>
      </w:pPr>
      <w:rPr>
        <w:rFonts w:ascii="Wingdings" w:hAnsi="Wingdings" w:hint="default"/>
      </w:rPr>
    </w:lvl>
  </w:abstractNum>
  <w:abstractNum w:abstractNumId="170" w15:restartNumberingAfterBreak="0">
    <w:nsid w:val="4F676DD8"/>
    <w:multiLevelType w:val="hybridMultilevel"/>
    <w:tmpl w:val="67FA4728"/>
    <w:lvl w:ilvl="0" w:tplc="063A444E">
      <w:start w:val="1"/>
      <w:numFmt w:val="bullet"/>
      <w:lvlText w:val=""/>
      <w:lvlJc w:val="left"/>
      <w:pPr>
        <w:ind w:left="720" w:hanging="360"/>
      </w:pPr>
      <w:rPr>
        <w:rFonts w:ascii="Symbol" w:hAnsi="Symbol" w:hint="default"/>
      </w:rPr>
    </w:lvl>
    <w:lvl w:ilvl="1" w:tplc="DEE484FC" w:tentative="1">
      <w:start w:val="1"/>
      <w:numFmt w:val="bullet"/>
      <w:lvlText w:val="o"/>
      <w:lvlJc w:val="left"/>
      <w:pPr>
        <w:ind w:left="1440" w:hanging="360"/>
      </w:pPr>
      <w:rPr>
        <w:rFonts w:ascii="@MS Mincho" w:hAnsi="@MS Mincho" w:hint="default"/>
      </w:rPr>
    </w:lvl>
    <w:lvl w:ilvl="2" w:tplc="2CA2D022" w:tentative="1">
      <w:start w:val="1"/>
      <w:numFmt w:val="bullet"/>
      <w:lvlText w:val=""/>
      <w:lvlJc w:val="left"/>
      <w:pPr>
        <w:ind w:left="2160" w:hanging="360"/>
      </w:pPr>
      <w:rPr>
        <w:rFonts w:ascii="Symbol" w:hAnsi="Symbol" w:hint="default"/>
      </w:rPr>
    </w:lvl>
    <w:lvl w:ilvl="3" w:tplc="5F221B34" w:tentative="1">
      <w:start w:val="1"/>
      <w:numFmt w:val="bullet"/>
      <w:lvlText w:val=""/>
      <w:lvlJc w:val="left"/>
      <w:pPr>
        <w:ind w:left="2880" w:hanging="360"/>
      </w:pPr>
      <w:rPr>
        <w:rFonts w:ascii="Segoe UI" w:hAnsi="Segoe UI" w:hint="default"/>
      </w:rPr>
    </w:lvl>
    <w:lvl w:ilvl="4" w:tplc="100CDE0C" w:tentative="1">
      <w:start w:val="1"/>
      <w:numFmt w:val="bullet"/>
      <w:lvlText w:val="o"/>
      <w:lvlJc w:val="left"/>
      <w:pPr>
        <w:ind w:left="3600" w:hanging="360"/>
      </w:pPr>
      <w:rPr>
        <w:rFonts w:ascii="@MS Mincho" w:hAnsi="@MS Mincho" w:hint="default"/>
      </w:rPr>
    </w:lvl>
    <w:lvl w:ilvl="5" w:tplc="152220B8" w:tentative="1">
      <w:start w:val="1"/>
      <w:numFmt w:val="bullet"/>
      <w:lvlText w:val=""/>
      <w:lvlJc w:val="left"/>
      <w:pPr>
        <w:ind w:left="4320" w:hanging="360"/>
      </w:pPr>
      <w:rPr>
        <w:rFonts w:ascii="Symbol" w:hAnsi="Symbol" w:hint="default"/>
      </w:rPr>
    </w:lvl>
    <w:lvl w:ilvl="6" w:tplc="7538651C" w:tentative="1">
      <w:start w:val="1"/>
      <w:numFmt w:val="bullet"/>
      <w:lvlText w:val=""/>
      <w:lvlJc w:val="left"/>
      <w:pPr>
        <w:ind w:left="5040" w:hanging="360"/>
      </w:pPr>
      <w:rPr>
        <w:rFonts w:ascii="Segoe UI" w:hAnsi="Segoe UI" w:hint="default"/>
      </w:rPr>
    </w:lvl>
    <w:lvl w:ilvl="7" w:tplc="56080D84" w:tentative="1">
      <w:start w:val="1"/>
      <w:numFmt w:val="bullet"/>
      <w:lvlText w:val="o"/>
      <w:lvlJc w:val="left"/>
      <w:pPr>
        <w:ind w:left="5760" w:hanging="360"/>
      </w:pPr>
      <w:rPr>
        <w:rFonts w:ascii="@MS Mincho" w:hAnsi="@MS Mincho" w:hint="default"/>
      </w:rPr>
    </w:lvl>
    <w:lvl w:ilvl="8" w:tplc="D326FDDA" w:tentative="1">
      <w:start w:val="1"/>
      <w:numFmt w:val="bullet"/>
      <w:lvlText w:val=""/>
      <w:lvlJc w:val="left"/>
      <w:pPr>
        <w:ind w:left="6480" w:hanging="360"/>
      </w:pPr>
      <w:rPr>
        <w:rFonts w:ascii="Symbol" w:hAnsi="Symbol" w:hint="default"/>
      </w:rPr>
    </w:lvl>
  </w:abstractNum>
  <w:abstractNum w:abstractNumId="171" w15:restartNumberingAfterBreak="0">
    <w:nsid w:val="4F913A25"/>
    <w:multiLevelType w:val="hybridMultilevel"/>
    <w:tmpl w:val="D68A0C9A"/>
    <w:lvl w:ilvl="0" w:tplc="E0D86BCA">
      <w:start w:val="1"/>
      <w:numFmt w:val="decimal"/>
      <w:lvlText w:val="%1)"/>
      <w:lvlJc w:val="left"/>
      <w:pPr>
        <w:ind w:left="360" w:hanging="360"/>
      </w:pPr>
    </w:lvl>
    <w:lvl w:ilvl="1" w:tplc="A72CE846" w:tentative="1">
      <w:start w:val="1"/>
      <w:numFmt w:val="bullet"/>
      <w:lvlText w:val="o"/>
      <w:lvlJc w:val="left"/>
      <w:pPr>
        <w:ind w:left="1080" w:hanging="360"/>
      </w:pPr>
      <w:rPr>
        <w:rFonts w:ascii="Courier New" w:hAnsi="Courier New" w:hint="default"/>
      </w:rPr>
    </w:lvl>
    <w:lvl w:ilvl="2" w:tplc="6DF4B02C" w:tentative="1">
      <w:start w:val="1"/>
      <w:numFmt w:val="bullet"/>
      <w:lvlText w:val=""/>
      <w:lvlJc w:val="left"/>
      <w:pPr>
        <w:ind w:left="1800" w:hanging="360"/>
      </w:pPr>
      <w:rPr>
        <w:rFonts w:ascii="Cambria Math" w:hAnsi="Cambria Math" w:hint="default"/>
      </w:rPr>
    </w:lvl>
    <w:lvl w:ilvl="3" w:tplc="27AC7D2E" w:tentative="1">
      <w:start w:val="1"/>
      <w:numFmt w:val="bullet"/>
      <w:lvlText w:val=""/>
      <w:lvlJc w:val="left"/>
      <w:pPr>
        <w:ind w:left="2520" w:hanging="360"/>
      </w:pPr>
      <w:rPr>
        <w:rFonts w:ascii="Segoe UI" w:hAnsi="Segoe UI" w:hint="default"/>
      </w:rPr>
    </w:lvl>
    <w:lvl w:ilvl="4" w:tplc="F5C66CB2" w:tentative="1">
      <w:start w:val="1"/>
      <w:numFmt w:val="bullet"/>
      <w:lvlText w:val="o"/>
      <w:lvlJc w:val="left"/>
      <w:pPr>
        <w:ind w:left="3240" w:hanging="360"/>
      </w:pPr>
      <w:rPr>
        <w:rFonts w:ascii="Courier New" w:hAnsi="Courier New" w:hint="default"/>
      </w:rPr>
    </w:lvl>
    <w:lvl w:ilvl="5" w:tplc="5BEE3A42" w:tentative="1">
      <w:start w:val="1"/>
      <w:numFmt w:val="bullet"/>
      <w:lvlText w:val=""/>
      <w:lvlJc w:val="left"/>
      <w:pPr>
        <w:ind w:left="3960" w:hanging="360"/>
      </w:pPr>
      <w:rPr>
        <w:rFonts w:ascii="Cambria Math" w:hAnsi="Cambria Math" w:hint="default"/>
      </w:rPr>
    </w:lvl>
    <w:lvl w:ilvl="6" w:tplc="81A05F7A" w:tentative="1">
      <w:start w:val="1"/>
      <w:numFmt w:val="bullet"/>
      <w:lvlText w:val=""/>
      <w:lvlJc w:val="left"/>
      <w:pPr>
        <w:ind w:left="4680" w:hanging="360"/>
      </w:pPr>
      <w:rPr>
        <w:rFonts w:ascii="Segoe UI" w:hAnsi="Segoe UI" w:hint="default"/>
      </w:rPr>
    </w:lvl>
    <w:lvl w:ilvl="7" w:tplc="43B04A82" w:tentative="1">
      <w:start w:val="1"/>
      <w:numFmt w:val="bullet"/>
      <w:lvlText w:val="o"/>
      <w:lvlJc w:val="left"/>
      <w:pPr>
        <w:ind w:left="5400" w:hanging="360"/>
      </w:pPr>
      <w:rPr>
        <w:rFonts w:ascii="Courier New" w:hAnsi="Courier New" w:hint="default"/>
      </w:rPr>
    </w:lvl>
    <w:lvl w:ilvl="8" w:tplc="E91673DC" w:tentative="1">
      <w:start w:val="1"/>
      <w:numFmt w:val="bullet"/>
      <w:lvlText w:val=""/>
      <w:lvlJc w:val="left"/>
      <w:pPr>
        <w:ind w:left="6120" w:hanging="360"/>
      </w:pPr>
      <w:rPr>
        <w:rFonts w:ascii="Cambria Math" w:hAnsi="Cambria Math" w:hint="default"/>
      </w:rPr>
    </w:lvl>
  </w:abstractNum>
  <w:abstractNum w:abstractNumId="172" w15:restartNumberingAfterBreak="0">
    <w:nsid w:val="506330B7"/>
    <w:multiLevelType w:val="hybridMultilevel"/>
    <w:tmpl w:val="43AC80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51667B89"/>
    <w:multiLevelType w:val="hybridMultilevel"/>
    <w:tmpl w:val="2B222B1C"/>
    <w:lvl w:ilvl="0" w:tplc="0C0A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518D46EC"/>
    <w:multiLevelType w:val="hybridMultilevel"/>
    <w:tmpl w:val="09AA04B4"/>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5" w15:restartNumberingAfterBreak="0">
    <w:nsid w:val="51F9110D"/>
    <w:multiLevelType w:val="hybridMultilevel"/>
    <w:tmpl w:val="1CAAED56"/>
    <w:lvl w:ilvl="0" w:tplc="9F1CA212">
      <w:start w:val="5"/>
      <w:numFmt w:val="upperLetter"/>
      <w:lvlText w:val="%1."/>
      <w:lvlJc w:val="left"/>
      <w:pPr>
        <w:ind w:left="720" w:hanging="360"/>
      </w:pPr>
      <w:rPr>
        <w:rFonts w:eastAsiaTheme="minorHAnsi" w:cstheme="minorBidi" w:hint="default"/>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6" w15:restartNumberingAfterBreak="0">
    <w:nsid w:val="536649EB"/>
    <w:multiLevelType w:val="hybridMultilevel"/>
    <w:tmpl w:val="4B7655CA"/>
    <w:lvl w:ilvl="0" w:tplc="12884BC2">
      <w:start w:val="1"/>
      <w:numFmt w:val="bullet"/>
      <w:lvlText w:val=""/>
      <w:lvlJc w:val="left"/>
      <w:pPr>
        <w:ind w:left="720" w:hanging="360"/>
      </w:pPr>
      <w:rPr>
        <w:rFonts w:ascii="Symbol" w:hAnsi="Symbol" w:hint="default"/>
      </w:rPr>
    </w:lvl>
    <w:lvl w:ilvl="1" w:tplc="D728A716">
      <w:numFmt w:val="bullet"/>
      <w:pStyle w:val="bullet2"/>
      <w:lvlText w:val="-"/>
      <w:lvlJc w:val="left"/>
      <w:pPr>
        <w:ind w:left="1440" w:hanging="360"/>
      </w:pPr>
      <w:rPr>
        <w:rFonts w:ascii="Wingdings" w:hAnsi="Wingdings" w:hint="default"/>
      </w:rPr>
    </w:lvl>
    <w:lvl w:ilvl="2" w:tplc="691A77E8">
      <w:start w:val="1"/>
      <w:numFmt w:val="lowerLetter"/>
      <w:lvlText w:val="%3)"/>
      <w:lvlJc w:val="left"/>
      <w:pPr>
        <w:ind w:left="2160" w:hanging="360"/>
      </w:pPr>
    </w:lvl>
    <w:lvl w:ilvl="3" w:tplc="6EB8224E">
      <w:start w:val="1"/>
      <w:numFmt w:val="bullet"/>
      <w:lvlText w:val=""/>
      <w:lvlJc w:val="left"/>
      <w:pPr>
        <w:ind w:left="2880" w:hanging="360"/>
      </w:pPr>
      <w:rPr>
        <w:rFonts w:ascii="Segoe UI" w:hAnsi="Segoe UI" w:hint="default"/>
      </w:rPr>
    </w:lvl>
    <w:lvl w:ilvl="4" w:tplc="7DA82486">
      <w:start w:val="1"/>
      <w:numFmt w:val="bullet"/>
      <w:lvlText w:val="o"/>
      <w:lvlJc w:val="left"/>
      <w:pPr>
        <w:ind w:left="3600" w:hanging="360"/>
      </w:pPr>
      <w:rPr>
        <w:rFonts w:ascii="Courier New" w:hAnsi="Courier New" w:hint="default"/>
      </w:rPr>
    </w:lvl>
    <w:lvl w:ilvl="5" w:tplc="A9965A2E">
      <w:start w:val="1"/>
      <w:numFmt w:val="bullet"/>
      <w:lvlText w:val=""/>
      <w:lvlJc w:val="left"/>
      <w:pPr>
        <w:ind w:left="4320" w:hanging="360"/>
      </w:pPr>
      <w:rPr>
        <w:rFonts w:ascii="Cambria Math" w:hAnsi="Cambria Math" w:hint="default"/>
      </w:rPr>
    </w:lvl>
    <w:lvl w:ilvl="6" w:tplc="FFCE30FA">
      <w:start w:val="1"/>
      <w:numFmt w:val="bullet"/>
      <w:lvlText w:val=""/>
      <w:lvlJc w:val="left"/>
      <w:pPr>
        <w:ind w:left="5040" w:hanging="360"/>
      </w:pPr>
      <w:rPr>
        <w:rFonts w:ascii="Segoe UI" w:hAnsi="Segoe UI" w:hint="default"/>
      </w:rPr>
    </w:lvl>
    <w:lvl w:ilvl="7" w:tplc="6EE4BA8A">
      <w:start w:val="1"/>
      <w:numFmt w:val="bullet"/>
      <w:lvlText w:val="o"/>
      <w:lvlJc w:val="left"/>
      <w:pPr>
        <w:ind w:left="5760" w:hanging="360"/>
      </w:pPr>
      <w:rPr>
        <w:rFonts w:ascii="Courier New" w:hAnsi="Courier New" w:hint="default"/>
      </w:rPr>
    </w:lvl>
    <w:lvl w:ilvl="8" w:tplc="AE2C53CE">
      <w:start w:val="1"/>
      <w:numFmt w:val="bullet"/>
      <w:lvlText w:val=""/>
      <w:lvlJc w:val="left"/>
      <w:pPr>
        <w:ind w:left="6480" w:hanging="360"/>
      </w:pPr>
      <w:rPr>
        <w:rFonts w:ascii="Cambria Math" w:hAnsi="Cambria Math" w:hint="default"/>
      </w:rPr>
    </w:lvl>
  </w:abstractNum>
  <w:abstractNum w:abstractNumId="177" w15:restartNumberingAfterBreak="0">
    <w:nsid w:val="54551344"/>
    <w:multiLevelType w:val="multilevel"/>
    <w:tmpl w:val="929E4F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8" w15:restartNumberingAfterBreak="0">
    <w:nsid w:val="54C71877"/>
    <w:multiLevelType w:val="hybridMultilevel"/>
    <w:tmpl w:val="86864030"/>
    <w:lvl w:ilvl="0" w:tplc="4AFAB9D8">
      <w:start w:val="1"/>
      <w:numFmt w:val="bullet"/>
      <w:lvlText w:val=""/>
      <w:lvlJc w:val="left"/>
      <w:pPr>
        <w:ind w:left="787" w:hanging="360"/>
      </w:pPr>
      <w:rPr>
        <w:rFonts w:ascii="Symbol" w:hAnsi="Symbol" w:hint="default"/>
      </w:rPr>
    </w:lvl>
    <w:lvl w:ilvl="1" w:tplc="3D6E0270" w:tentative="1">
      <w:start w:val="1"/>
      <w:numFmt w:val="bullet"/>
      <w:lvlText w:val="o"/>
      <w:lvlJc w:val="left"/>
      <w:pPr>
        <w:ind w:left="1507" w:hanging="360"/>
      </w:pPr>
      <w:rPr>
        <w:rFonts w:ascii="Courier New" w:hAnsi="Courier New" w:hint="default"/>
      </w:rPr>
    </w:lvl>
    <w:lvl w:ilvl="2" w:tplc="DC9282FC" w:tentative="1">
      <w:start w:val="1"/>
      <w:numFmt w:val="bullet"/>
      <w:lvlText w:val=""/>
      <w:lvlJc w:val="left"/>
      <w:pPr>
        <w:ind w:left="2227" w:hanging="360"/>
      </w:pPr>
      <w:rPr>
        <w:rFonts w:ascii="Wingdings" w:hAnsi="Wingdings" w:hint="default"/>
      </w:rPr>
    </w:lvl>
    <w:lvl w:ilvl="3" w:tplc="67B047FE" w:tentative="1">
      <w:start w:val="1"/>
      <w:numFmt w:val="bullet"/>
      <w:lvlText w:val=""/>
      <w:lvlJc w:val="left"/>
      <w:pPr>
        <w:ind w:left="2947" w:hanging="360"/>
      </w:pPr>
      <w:rPr>
        <w:rFonts w:ascii="Symbol" w:hAnsi="Symbol" w:hint="default"/>
      </w:rPr>
    </w:lvl>
    <w:lvl w:ilvl="4" w:tplc="4426F0C2" w:tentative="1">
      <w:start w:val="1"/>
      <w:numFmt w:val="bullet"/>
      <w:lvlText w:val="o"/>
      <w:lvlJc w:val="left"/>
      <w:pPr>
        <w:ind w:left="3667" w:hanging="360"/>
      </w:pPr>
      <w:rPr>
        <w:rFonts w:ascii="Courier New" w:hAnsi="Courier New" w:hint="default"/>
      </w:rPr>
    </w:lvl>
    <w:lvl w:ilvl="5" w:tplc="FBCA1DA2" w:tentative="1">
      <w:start w:val="1"/>
      <w:numFmt w:val="bullet"/>
      <w:lvlText w:val=""/>
      <w:lvlJc w:val="left"/>
      <w:pPr>
        <w:ind w:left="4387" w:hanging="360"/>
      </w:pPr>
      <w:rPr>
        <w:rFonts w:ascii="Wingdings" w:hAnsi="Wingdings" w:hint="default"/>
      </w:rPr>
    </w:lvl>
    <w:lvl w:ilvl="6" w:tplc="4D681642" w:tentative="1">
      <w:start w:val="1"/>
      <w:numFmt w:val="bullet"/>
      <w:lvlText w:val=""/>
      <w:lvlJc w:val="left"/>
      <w:pPr>
        <w:ind w:left="5107" w:hanging="360"/>
      </w:pPr>
      <w:rPr>
        <w:rFonts w:ascii="Symbol" w:hAnsi="Symbol" w:hint="default"/>
      </w:rPr>
    </w:lvl>
    <w:lvl w:ilvl="7" w:tplc="57AE24BE" w:tentative="1">
      <w:start w:val="1"/>
      <w:numFmt w:val="bullet"/>
      <w:lvlText w:val="o"/>
      <w:lvlJc w:val="left"/>
      <w:pPr>
        <w:ind w:left="5827" w:hanging="360"/>
      </w:pPr>
      <w:rPr>
        <w:rFonts w:ascii="Courier New" w:hAnsi="Courier New" w:hint="default"/>
      </w:rPr>
    </w:lvl>
    <w:lvl w:ilvl="8" w:tplc="F00A67B2" w:tentative="1">
      <w:start w:val="1"/>
      <w:numFmt w:val="bullet"/>
      <w:lvlText w:val=""/>
      <w:lvlJc w:val="left"/>
      <w:pPr>
        <w:ind w:left="6547" w:hanging="360"/>
      </w:pPr>
      <w:rPr>
        <w:rFonts w:ascii="Wingdings" w:hAnsi="Wingdings" w:hint="default"/>
      </w:rPr>
    </w:lvl>
  </w:abstractNum>
  <w:abstractNum w:abstractNumId="179" w15:restartNumberingAfterBreak="0">
    <w:nsid w:val="55030F10"/>
    <w:multiLevelType w:val="hybridMultilevel"/>
    <w:tmpl w:val="F448278E"/>
    <w:lvl w:ilvl="0" w:tplc="EAA41C66">
      <w:start w:val="1"/>
      <w:numFmt w:val="decimal"/>
      <w:lvlText w:val="%1."/>
      <w:lvlJc w:val="left"/>
      <w:pPr>
        <w:ind w:left="1020" w:hanging="360"/>
      </w:pPr>
    </w:lvl>
    <w:lvl w:ilvl="1" w:tplc="CD42DED8">
      <w:start w:val="1"/>
      <w:numFmt w:val="decimal"/>
      <w:lvlText w:val="%2."/>
      <w:lvlJc w:val="left"/>
      <w:pPr>
        <w:ind w:left="1020" w:hanging="360"/>
      </w:pPr>
    </w:lvl>
    <w:lvl w:ilvl="2" w:tplc="82987D84">
      <w:start w:val="1"/>
      <w:numFmt w:val="decimal"/>
      <w:lvlText w:val="%3."/>
      <w:lvlJc w:val="left"/>
      <w:pPr>
        <w:ind w:left="1020" w:hanging="360"/>
      </w:pPr>
    </w:lvl>
    <w:lvl w:ilvl="3" w:tplc="A6F8164E">
      <w:start w:val="1"/>
      <w:numFmt w:val="decimal"/>
      <w:lvlText w:val="%4."/>
      <w:lvlJc w:val="left"/>
      <w:pPr>
        <w:ind w:left="1020" w:hanging="360"/>
      </w:pPr>
    </w:lvl>
    <w:lvl w:ilvl="4" w:tplc="202220CE">
      <w:start w:val="1"/>
      <w:numFmt w:val="decimal"/>
      <w:lvlText w:val="%5."/>
      <w:lvlJc w:val="left"/>
      <w:pPr>
        <w:ind w:left="1020" w:hanging="360"/>
      </w:pPr>
    </w:lvl>
    <w:lvl w:ilvl="5" w:tplc="F0626152">
      <w:start w:val="1"/>
      <w:numFmt w:val="decimal"/>
      <w:lvlText w:val="%6."/>
      <w:lvlJc w:val="left"/>
      <w:pPr>
        <w:ind w:left="1020" w:hanging="360"/>
      </w:pPr>
    </w:lvl>
    <w:lvl w:ilvl="6" w:tplc="18105FB0">
      <w:start w:val="1"/>
      <w:numFmt w:val="decimal"/>
      <w:lvlText w:val="%7."/>
      <w:lvlJc w:val="left"/>
      <w:pPr>
        <w:ind w:left="1020" w:hanging="360"/>
      </w:pPr>
    </w:lvl>
    <w:lvl w:ilvl="7" w:tplc="646CDD2A">
      <w:start w:val="1"/>
      <w:numFmt w:val="decimal"/>
      <w:lvlText w:val="%8."/>
      <w:lvlJc w:val="left"/>
      <w:pPr>
        <w:ind w:left="1020" w:hanging="360"/>
      </w:pPr>
    </w:lvl>
    <w:lvl w:ilvl="8" w:tplc="37E84A76">
      <w:start w:val="1"/>
      <w:numFmt w:val="decimal"/>
      <w:lvlText w:val="%9."/>
      <w:lvlJc w:val="left"/>
      <w:pPr>
        <w:ind w:left="1020" w:hanging="360"/>
      </w:pPr>
    </w:lvl>
  </w:abstractNum>
  <w:abstractNum w:abstractNumId="180" w15:restartNumberingAfterBreak="0">
    <w:nsid w:val="551C6B9F"/>
    <w:multiLevelType w:val="hybridMultilevel"/>
    <w:tmpl w:val="0636A3AA"/>
    <w:lvl w:ilvl="0" w:tplc="33EC6724">
      <w:start w:val="1"/>
      <w:numFmt w:val="bullet"/>
      <w:lvlText w:val=""/>
      <w:lvlJc w:val="left"/>
      <w:pPr>
        <w:ind w:left="720" w:hanging="360"/>
      </w:pPr>
      <w:rPr>
        <w:rFonts w:ascii="Symbol" w:hAnsi="Symbol" w:hint="default"/>
      </w:rPr>
    </w:lvl>
    <w:lvl w:ilvl="1" w:tplc="38DCCD18" w:tentative="1">
      <w:start w:val="1"/>
      <w:numFmt w:val="bullet"/>
      <w:lvlText w:val="o"/>
      <w:lvlJc w:val="left"/>
      <w:pPr>
        <w:ind w:left="1440" w:hanging="360"/>
      </w:pPr>
      <w:rPr>
        <w:rFonts w:ascii="Courier New" w:hAnsi="Courier New" w:hint="default"/>
      </w:rPr>
    </w:lvl>
    <w:lvl w:ilvl="2" w:tplc="AFF49E16" w:tentative="1">
      <w:start w:val="1"/>
      <w:numFmt w:val="bullet"/>
      <w:lvlText w:val=""/>
      <w:lvlJc w:val="left"/>
      <w:pPr>
        <w:ind w:left="2160" w:hanging="360"/>
      </w:pPr>
      <w:rPr>
        <w:rFonts w:ascii="Wingdings" w:hAnsi="Wingdings" w:hint="default"/>
      </w:rPr>
    </w:lvl>
    <w:lvl w:ilvl="3" w:tplc="2DD0F710" w:tentative="1">
      <w:start w:val="1"/>
      <w:numFmt w:val="bullet"/>
      <w:lvlText w:val=""/>
      <w:lvlJc w:val="left"/>
      <w:pPr>
        <w:ind w:left="2880" w:hanging="360"/>
      </w:pPr>
      <w:rPr>
        <w:rFonts w:ascii="Symbol" w:hAnsi="Symbol" w:hint="default"/>
      </w:rPr>
    </w:lvl>
    <w:lvl w:ilvl="4" w:tplc="E49831AA" w:tentative="1">
      <w:start w:val="1"/>
      <w:numFmt w:val="bullet"/>
      <w:lvlText w:val="o"/>
      <w:lvlJc w:val="left"/>
      <w:pPr>
        <w:ind w:left="3600" w:hanging="360"/>
      </w:pPr>
      <w:rPr>
        <w:rFonts w:ascii="Courier New" w:hAnsi="Courier New" w:hint="default"/>
      </w:rPr>
    </w:lvl>
    <w:lvl w:ilvl="5" w:tplc="AE6AC386" w:tentative="1">
      <w:start w:val="1"/>
      <w:numFmt w:val="bullet"/>
      <w:lvlText w:val=""/>
      <w:lvlJc w:val="left"/>
      <w:pPr>
        <w:ind w:left="4320" w:hanging="360"/>
      </w:pPr>
      <w:rPr>
        <w:rFonts w:ascii="Wingdings" w:hAnsi="Wingdings" w:hint="default"/>
      </w:rPr>
    </w:lvl>
    <w:lvl w:ilvl="6" w:tplc="946EA712" w:tentative="1">
      <w:start w:val="1"/>
      <w:numFmt w:val="bullet"/>
      <w:lvlText w:val=""/>
      <w:lvlJc w:val="left"/>
      <w:pPr>
        <w:ind w:left="5040" w:hanging="360"/>
      </w:pPr>
      <w:rPr>
        <w:rFonts w:ascii="Symbol" w:hAnsi="Symbol" w:hint="default"/>
      </w:rPr>
    </w:lvl>
    <w:lvl w:ilvl="7" w:tplc="CF6849A8" w:tentative="1">
      <w:start w:val="1"/>
      <w:numFmt w:val="bullet"/>
      <w:lvlText w:val="o"/>
      <w:lvlJc w:val="left"/>
      <w:pPr>
        <w:ind w:left="5760" w:hanging="360"/>
      </w:pPr>
      <w:rPr>
        <w:rFonts w:ascii="Courier New" w:hAnsi="Courier New" w:hint="default"/>
      </w:rPr>
    </w:lvl>
    <w:lvl w:ilvl="8" w:tplc="39F4C07A" w:tentative="1">
      <w:start w:val="1"/>
      <w:numFmt w:val="bullet"/>
      <w:lvlText w:val=""/>
      <w:lvlJc w:val="left"/>
      <w:pPr>
        <w:ind w:left="6480" w:hanging="360"/>
      </w:pPr>
      <w:rPr>
        <w:rFonts w:ascii="Wingdings" w:hAnsi="Wingdings" w:hint="default"/>
      </w:rPr>
    </w:lvl>
  </w:abstractNum>
  <w:abstractNum w:abstractNumId="181" w15:restartNumberingAfterBreak="0">
    <w:nsid w:val="55666125"/>
    <w:multiLevelType w:val="hybridMultilevel"/>
    <w:tmpl w:val="34BC7C10"/>
    <w:lvl w:ilvl="0" w:tplc="3F2A7D3A">
      <w:start w:val="1"/>
      <w:numFmt w:val="lowerLetter"/>
      <w:lvlText w:val="%1)"/>
      <w:lvlJc w:val="left"/>
      <w:pPr>
        <w:ind w:left="1444" w:hanging="7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egoe UI" w:hAnsi="Segoe UI" w:hint="default"/>
      </w:rPr>
    </w:lvl>
  </w:abstractNum>
  <w:abstractNum w:abstractNumId="183" w15:restartNumberingAfterBreak="0">
    <w:nsid w:val="557C33CE"/>
    <w:multiLevelType w:val="hybridMultilevel"/>
    <w:tmpl w:val="4372D5B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560C4BE4"/>
    <w:multiLevelType w:val="hybridMultilevel"/>
    <w:tmpl w:val="AE5A2B4A"/>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5" w15:restartNumberingAfterBreak="0">
    <w:nsid w:val="569579D0"/>
    <w:multiLevelType w:val="hybridMultilevel"/>
    <w:tmpl w:val="FFFFFFFF"/>
    <w:lvl w:ilvl="0" w:tplc="602AA5C8">
      <w:start w:val="3"/>
      <w:numFmt w:val="lowerRoman"/>
      <w:lvlText w:val="%1."/>
      <w:lvlJc w:val="right"/>
      <w:pPr>
        <w:ind w:left="720" w:hanging="360"/>
      </w:pPr>
    </w:lvl>
    <w:lvl w:ilvl="1" w:tplc="7B4218AC">
      <w:start w:val="1"/>
      <w:numFmt w:val="lowerLetter"/>
      <w:lvlText w:val="%2."/>
      <w:lvlJc w:val="left"/>
      <w:pPr>
        <w:ind w:left="1440" w:hanging="360"/>
      </w:pPr>
    </w:lvl>
    <w:lvl w:ilvl="2" w:tplc="CEAE7296">
      <w:start w:val="1"/>
      <w:numFmt w:val="lowerRoman"/>
      <w:lvlText w:val="%3."/>
      <w:lvlJc w:val="right"/>
      <w:pPr>
        <w:ind w:left="2160" w:hanging="180"/>
      </w:pPr>
    </w:lvl>
    <w:lvl w:ilvl="3" w:tplc="6A64E8E0">
      <w:start w:val="1"/>
      <w:numFmt w:val="decimal"/>
      <w:lvlText w:val="%4."/>
      <w:lvlJc w:val="left"/>
      <w:pPr>
        <w:ind w:left="2880" w:hanging="360"/>
      </w:pPr>
    </w:lvl>
    <w:lvl w:ilvl="4" w:tplc="5B903CBC">
      <w:start w:val="1"/>
      <w:numFmt w:val="lowerLetter"/>
      <w:lvlText w:val="%5."/>
      <w:lvlJc w:val="left"/>
      <w:pPr>
        <w:ind w:left="3600" w:hanging="360"/>
      </w:pPr>
    </w:lvl>
    <w:lvl w:ilvl="5" w:tplc="57802E62">
      <w:start w:val="1"/>
      <w:numFmt w:val="lowerRoman"/>
      <w:lvlText w:val="%6."/>
      <w:lvlJc w:val="right"/>
      <w:pPr>
        <w:ind w:left="4320" w:hanging="180"/>
      </w:pPr>
    </w:lvl>
    <w:lvl w:ilvl="6" w:tplc="ACE43A3A">
      <w:start w:val="1"/>
      <w:numFmt w:val="decimal"/>
      <w:lvlText w:val="%7."/>
      <w:lvlJc w:val="left"/>
      <w:pPr>
        <w:ind w:left="5040" w:hanging="360"/>
      </w:pPr>
    </w:lvl>
    <w:lvl w:ilvl="7" w:tplc="552E320C">
      <w:start w:val="1"/>
      <w:numFmt w:val="lowerLetter"/>
      <w:lvlText w:val="%8."/>
      <w:lvlJc w:val="left"/>
      <w:pPr>
        <w:ind w:left="5760" w:hanging="360"/>
      </w:pPr>
    </w:lvl>
    <w:lvl w:ilvl="8" w:tplc="76F29784">
      <w:start w:val="1"/>
      <w:numFmt w:val="lowerRoman"/>
      <w:lvlText w:val="%9."/>
      <w:lvlJc w:val="right"/>
      <w:pPr>
        <w:ind w:left="6480" w:hanging="180"/>
      </w:pPr>
    </w:lvl>
  </w:abstractNum>
  <w:abstractNum w:abstractNumId="186" w15:restartNumberingAfterBreak="0">
    <w:nsid w:val="57F812D0"/>
    <w:multiLevelType w:val="hybridMultilevel"/>
    <w:tmpl w:val="F8B0005E"/>
    <w:lvl w:ilvl="0" w:tplc="1240947C">
      <w:start w:val="1"/>
      <w:numFmt w:val="bullet"/>
      <w:lvlText w:val=""/>
      <w:lvlJc w:val="left"/>
      <w:pPr>
        <w:ind w:left="720" w:hanging="360"/>
      </w:pPr>
      <w:rPr>
        <w:rFonts w:ascii="Symbol" w:hAnsi="Symbol" w:hint="default"/>
      </w:rPr>
    </w:lvl>
    <w:lvl w:ilvl="1" w:tplc="C8EC80DC" w:tentative="1">
      <w:start w:val="1"/>
      <w:numFmt w:val="bullet"/>
      <w:lvlText w:val="o"/>
      <w:lvlJc w:val="left"/>
      <w:pPr>
        <w:ind w:left="1440" w:hanging="360"/>
      </w:pPr>
      <w:rPr>
        <w:rFonts w:ascii="Courier New" w:hAnsi="Courier New" w:hint="default"/>
      </w:rPr>
    </w:lvl>
    <w:lvl w:ilvl="2" w:tplc="1D3E1860" w:tentative="1">
      <w:start w:val="1"/>
      <w:numFmt w:val="bullet"/>
      <w:lvlText w:val=""/>
      <w:lvlJc w:val="left"/>
      <w:pPr>
        <w:ind w:left="2160" w:hanging="360"/>
      </w:pPr>
      <w:rPr>
        <w:rFonts w:ascii="Cambria Math" w:hAnsi="Cambria Math" w:hint="default"/>
      </w:rPr>
    </w:lvl>
    <w:lvl w:ilvl="3" w:tplc="94FE760C" w:tentative="1">
      <w:start w:val="1"/>
      <w:numFmt w:val="bullet"/>
      <w:lvlText w:val=""/>
      <w:lvlJc w:val="left"/>
      <w:pPr>
        <w:ind w:left="2880" w:hanging="360"/>
      </w:pPr>
      <w:rPr>
        <w:rFonts w:ascii="Segoe UI" w:hAnsi="Segoe UI" w:hint="default"/>
      </w:rPr>
    </w:lvl>
    <w:lvl w:ilvl="4" w:tplc="443ABDC6" w:tentative="1">
      <w:start w:val="1"/>
      <w:numFmt w:val="bullet"/>
      <w:lvlText w:val="o"/>
      <w:lvlJc w:val="left"/>
      <w:pPr>
        <w:ind w:left="3600" w:hanging="360"/>
      </w:pPr>
      <w:rPr>
        <w:rFonts w:ascii="Courier New" w:hAnsi="Courier New" w:hint="default"/>
      </w:rPr>
    </w:lvl>
    <w:lvl w:ilvl="5" w:tplc="EADCA4EC" w:tentative="1">
      <w:start w:val="1"/>
      <w:numFmt w:val="bullet"/>
      <w:lvlText w:val=""/>
      <w:lvlJc w:val="left"/>
      <w:pPr>
        <w:ind w:left="4320" w:hanging="360"/>
      </w:pPr>
      <w:rPr>
        <w:rFonts w:ascii="Cambria Math" w:hAnsi="Cambria Math" w:hint="default"/>
      </w:rPr>
    </w:lvl>
    <w:lvl w:ilvl="6" w:tplc="785A9646" w:tentative="1">
      <w:start w:val="1"/>
      <w:numFmt w:val="bullet"/>
      <w:lvlText w:val=""/>
      <w:lvlJc w:val="left"/>
      <w:pPr>
        <w:ind w:left="5040" w:hanging="360"/>
      </w:pPr>
      <w:rPr>
        <w:rFonts w:ascii="Segoe UI" w:hAnsi="Segoe UI" w:hint="default"/>
      </w:rPr>
    </w:lvl>
    <w:lvl w:ilvl="7" w:tplc="A8FC71A4" w:tentative="1">
      <w:start w:val="1"/>
      <w:numFmt w:val="bullet"/>
      <w:lvlText w:val="o"/>
      <w:lvlJc w:val="left"/>
      <w:pPr>
        <w:ind w:left="5760" w:hanging="360"/>
      </w:pPr>
      <w:rPr>
        <w:rFonts w:ascii="Courier New" w:hAnsi="Courier New" w:hint="default"/>
      </w:rPr>
    </w:lvl>
    <w:lvl w:ilvl="8" w:tplc="2CFE747E" w:tentative="1">
      <w:start w:val="1"/>
      <w:numFmt w:val="bullet"/>
      <w:lvlText w:val=""/>
      <w:lvlJc w:val="left"/>
      <w:pPr>
        <w:ind w:left="6480" w:hanging="360"/>
      </w:pPr>
      <w:rPr>
        <w:rFonts w:ascii="Cambria Math" w:hAnsi="Cambria Math" w:hint="default"/>
      </w:rPr>
    </w:lvl>
  </w:abstractNum>
  <w:abstractNum w:abstractNumId="187" w15:restartNumberingAfterBreak="0">
    <w:nsid w:val="583412C4"/>
    <w:multiLevelType w:val="hybridMultilevel"/>
    <w:tmpl w:val="A3349586"/>
    <w:lvl w:ilvl="0" w:tplc="49CECA34">
      <w:start w:val="5"/>
      <w:numFmt w:val="upperLetter"/>
      <w:lvlText w:val="%1."/>
      <w:lvlJc w:val="left"/>
      <w:pPr>
        <w:ind w:left="720" w:hanging="360"/>
      </w:pPr>
      <w:rPr>
        <w:rFonts w:eastAsiaTheme="minorHAnsi" w:cstheme="minorBidi" w:hint="default"/>
        <w:color w:val="auto"/>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8" w15:restartNumberingAfterBreak="0">
    <w:nsid w:val="584400F6"/>
    <w:multiLevelType w:val="hybridMultilevel"/>
    <w:tmpl w:val="EDC2F346"/>
    <w:lvl w:ilvl="0" w:tplc="FF90FDBE">
      <w:start w:val="5"/>
      <w:numFmt w:val="upperLetter"/>
      <w:lvlText w:val="(%1)"/>
      <w:lvlJc w:val="left"/>
      <w:pPr>
        <w:ind w:left="720" w:hanging="360"/>
      </w:pPr>
      <w:rPr>
        <w:rFonts w:hint="default"/>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9" w15:restartNumberingAfterBreak="0">
    <w:nsid w:val="58A4E6FE"/>
    <w:multiLevelType w:val="hybridMultilevel"/>
    <w:tmpl w:val="912E3942"/>
    <w:lvl w:ilvl="0" w:tplc="1694847E">
      <w:start w:val="2"/>
      <w:numFmt w:val="lowerRoman"/>
      <w:lvlText w:val="%1."/>
      <w:lvlJc w:val="right"/>
      <w:pPr>
        <w:ind w:left="720" w:hanging="360"/>
      </w:pPr>
    </w:lvl>
    <w:lvl w:ilvl="1" w:tplc="6DAAA322">
      <w:start w:val="1"/>
      <w:numFmt w:val="lowerLetter"/>
      <w:lvlText w:val="%2."/>
      <w:lvlJc w:val="left"/>
      <w:pPr>
        <w:ind w:left="1440" w:hanging="360"/>
      </w:pPr>
    </w:lvl>
    <w:lvl w:ilvl="2" w:tplc="C2B8B4C4">
      <w:start w:val="1"/>
      <w:numFmt w:val="lowerRoman"/>
      <w:lvlText w:val="%3."/>
      <w:lvlJc w:val="right"/>
      <w:pPr>
        <w:ind w:left="2160" w:hanging="180"/>
      </w:pPr>
    </w:lvl>
    <w:lvl w:ilvl="3" w:tplc="49A23434">
      <w:start w:val="1"/>
      <w:numFmt w:val="decimal"/>
      <w:lvlText w:val="%4."/>
      <w:lvlJc w:val="left"/>
      <w:pPr>
        <w:ind w:left="2880" w:hanging="360"/>
      </w:pPr>
    </w:lvl>
    <w:lvl w:ilvl="4" w:tplc="224287DA">
      <w:start w:val="1"/>
      <w:numFmt w:val="lowerLetter"/>
      <w:lvlText w:val="%5."/>
      <w:lvlJc w:val="left"/>
      <w:pPr>
        <w:ind w:left="3600" w:hanging="360"/>
      </w:pPr>
    </w:lvl>
    <w:lvl w:ilvl="5" w:tplc="1F24F904">
      <w:start w:val="1"/>
      <w:numFmt w:val="lowerRoman"/>
      <w:lvlText w:val="%6."/>
      <w:lvlJc w:val="right"/>
      <w:pPr>
        <w:ind w:left="4320" w:hanging="180"/>
      </w:pPr>
    </w:lvl>
    <w:lvl w:ilvl="6" w:tplc="C96480BE">
      <w:start w:val="1"/>
      <w:numFmt w:val="decimal"/>
      <w:lvlText w:val="%7."/>
      <w:lvlJc w:val="left"/>
      <w:pPr>
        <w:ind w:left="5040" w:hanging="360"/>
      </w:pPr>
    </w:lvl>
    <w:lvl w:ilvl="7" w:tplc="84B45902">
      <w:start w:val="1"/>
      <w:numFmt w:val="lowerLetter"/>
      <w:lvlText w:val="%8."/>
      <w:lvlJc w:val="left"/>
      <w:pPr>
        <w:ind w:left="5760" w:hanging="360"/>
      </w:pPr>
    </w:lvl>
    <w:lvl w:ilvl="8" w:tplc="3648E4D6">
      <w:start w:val="1"/>
      <w:numFmt w:val="lowerRoman"/>
      <w:lvlText w:val="%9."/>
      <w:lvlJc w:val="right"/>
      <w:pPr>
        <w:ind w:left="6480" w:hanging="180"/>
      </w:pPr>
    </w:lvl>
  </w:abstractNum>
  <w:abstractNum w:abstractNumId="190" w15:restartNumberingAfterBreak="0">
    <w:nsid w:val="59403D81"/>
    <w:multiLevelType w:val="hybridMultilevel"/>
    <w:tmpl w:val="7BB2F98A"/>
    <w:lvl w:ilvl="0" w:tplc="AEF80C36">
      <w:start w:val="1"/>
      <w:numFmt w:val="bullet"/>
      <w:lvlText w:val=""/>
      <w:lvlJc w:val="left"/>
      <w:pPr>
        <w:ind w:left="720" w:hanging="360"/>
      </w:pPr>
      <w:rPr>
        <w:rFonts w:ascii="Symbol" w:hAnsi="Symbol"/>
      </w:rPr>
    </w:lvl>
    <w:lvl w:ilvl="1" w:tplc="E40C430C">
      <w:start w:val="1"/>
      <w:numFmt w:val="bullet"/>
      <w:lvlText w:val=""/>
      <w:lvlJc w:val="left"/>
      <w:pPr>
        <w:ind w:left="720" w:hanging="360"/>
      </w:pPr>
      <w:rPr>
        <w:rFonts w:ascii="Symbol" w:hAnsi="Symbol"/>
      </w:rPr>
    </w:lvl>
    <w:lvl w:ilvl="2" w:tplc="80E6702C">
      <w:start w:val="1"/>
      <w:numFmt w:val="bullet"/>
      <w:lvlText w:val=""/>
      <w:lvlJc w:val="left"/>
      <w:pPr>
        <w:ind w:left="720" w:hanging="360"/>
      </w:pPr>
      <w:rPr>
        <w:rFonts w:ascii="Symbol" w:hAnsi="Symbol"/>
      </w:rPr>
    </w:lvl>
    <w:lvl w:ilvl="3" w:tplc="A7AC1526">
      <w:start w:val="1"/>
      <w:numFmt w:val="bullet"/>
      <w:lvlText w:val=""/>
      <w:lvlJc w:val="left"/>
      <w:pPr>
        <w:ind w:left="720" w:hanging="360"/>
      </w:pPr>
      <w:rPr>
        <w:rFonts w:ascii="Symbol" w:hAnsi="Symbol"/>
      </w:rPr>
    </w:lvl>
    <w:lvl w:ilvl="4" w:tplc="BCB06594">
      <w:start w:val="1"/>
      <w:numFmt w:val="bullet"/>
      <w:lvlText w:val=""/>
      <w:lvlJc w:val="left"/>
      <w:pPr>
        <w:ind w:left="720" w:hanging="360"/>
      </w:pPr>
      <w:rPr>
        <w:rFonts w:ascii="Symbol" w:hAnsi="Symbol"/>
      </w:rPr>
    </w:lvl>
    <w:lvl w:ilvl="5" w:tplc="3BC09382">
      <w:start w:val="1"/>
      <w:numFmt w:val="bullet"/>
      <w:lvlText w:val=""/>
      <w:lvlJc w:val="left"/>
      <w:pPr>
        <w:ind w:left="720" w:hanging="360"/>
      </w:pPr>
      <w:rPr>
        <w:rFonts w:ascii="Symbol" w:hAnsi="Symbol"/>
      </w:rPr>
    </w:lvl>
    <w:lvl w:ilvl="6" w:tplc="5EDEF2F0">
      <w:start w:val="1"/>
      <w:numFmt w:val="bullet"/>
      <w:lvlText w:val=""/>
      <w:lvlJc w:val="left"/>
      <w:pPr>
        <w:ind w:left="720" w:hanging="360"/>
      </w:pPr>
      <w:rPr>
        <w:rFonts w:ascii="Symbol" w:hAnsi="Symbol"/>
      </w:rPr>
    </w:lvl>
    <w:lvl w:ilvl="7" w:tplc="642C84DC">
      <w:start w:val="1"/>
      <w:numFmt w:val="bullet"/>
      <w:lvlText w:val=""/>
      <w:lvlJc w:val="left"/>
      <w:pPr>
        <w:ind w:left="720" w:hanging="360"/>
      </w:pPr>
      <w:rPr>
        <w:rFonts w:ascii="Symbol" w:hAnsi="Symbol"/>
      </w:rPr>
    </w:lvl>
    <w:lvl w:ilvl="8" w:tplc="64DCC344">
      <w:start w:val="1"/>
      <w:numFmt w:val="bullet"/>
      <w:lvlText w:val=""/>
      <w:lvlJc w:val="left"/>
      <w:pPr>
        <w:ind w:left="720" w:hanging="360"/>
      </w:pPr>
      <w:rPr>
        <w:rFonts w:ascii="Symbol" w:hAnsi="Symbol"/>
      </w:rPr>
    </w:lvl>
  </w:abstractNum>
  <w:abstractNum w:abstractNumId="191" w15:restartNumberingAfterBreak="0">
    <w:nsid w:val="596257A0"/>
    <w:multiLevelType w:val="hybridMultilevel"/>
    <w:tmpl w:val="A4EEEA2E"/>
    <w:lvl w:ilvl="0" w:tplc="6DC0DC64">
      <w:start w:val="1"/>
      <w:numFmt w:val="decimal"/>
      <w:lvlText w:val="%1."/>
      <w:lvlJc w:val="left"/>
      <w:pPr>
        <w:ind w:left="720" w:hanging="360"/>
      </w:pPr>
    </w:lvl>
    <w:lvl w:ilvl="1" w:tplc="83828D5C">
      <w:start w:val="1"/>
      <w:numFmt w:val="decimal"/>
      <w:lvlText w:val="%2."/>
      <w:lvlJc w:val="left"/>
      <w:pPr>
        <w:ind w:left="720" w:hanging="360"/>
      </w:pPr>
    </w:lvl>
    <w:lvl w:ilvl="2" w:tplc="990874B2">
      <w:start w:val="1"/>
      <w:numFmt w:val="decimal"/>
      <w:lvlText w:val="%3."/>
      <w:lvlJc w:val="left"/>
      <w:pPr>
        <w:ind w:left="720" w:hanging="360"/>
      </w:pPr>
    </w:lvl>
    <w:lvl w:ilvl="3" w:tplc="6E286192">
      <w:start w:val="1"/>
      <w:numFmt w:val="decimal"/>
      <w:lvlText w:val="%4."/>
      <w:lvlJc w:val="left"/>
      <w:pPr>
        <w:ind w:left="720" w:hanging="360"/>
      </w:pPr>
    </w:lvl>
    <w:lvl w:ilvl="4" w:tplc="9B7A31D8">
      <w:start w:val="1"/>
      <w:numFmt w:val="decimal"/>
      <w:lvlText w:val="%5."/>
      <w:lvlJc w:val="left"/>
      <w:pPr>
        <w:ind w:left="720" w:hanging="360"/>
      </w:pPr>
    </w:lvl>
    <w:lvl w:ilvl="5" w:tplc="817284B8">
      <w:start w:val="1"/>
      <w:numFmt w:val="decimal"/>
      <w:lvlText w:val="%6."/>
      <w:lvlJc w:val="left"/>
      <w:pPr>
        <w:ind w:left="720" w:hanging="360"/>
      </w:pPr>
    </w:lvl>
    <w:lvl w:ilvl="6" w:tplc="24B82FEC">
      <w:start w:val="1"/>
      <w:numFmt w:val="decimal"/>
      <w:lvlText w:val="%7."/>
      <w:lvlJc w:val="left"/>
      <w:pPr>
        <w:ind w:left="720" w:hanging="360"/>
      </w:pPr>
    </w:lvl>
    <w:lvl w:ilvl="7" w:tplc="F1A8809E">
      <w:start w:val="1"/>
      <w:numFmt w:val="decimal"/>
      <w:lvlText w:val="%8."/>
      <w:lvlJc w:val="left"/>
      <w:pPr>
        <w:ind w:left="720" w:hanging="360"/>
      </w:pPr>
    </w:lvl>
    <w:lvl w:ilvl="8" w:tplc="A70AB03C">
      <w:start w:val="1"/>
      <w:numFmt w:val="decimal"/>
      <w:lvlText w:val="%9."/>
      <w:lvlJc w:val="left"/>
      <w:pPr>
        <w:ind w:left="720" w:hanging="360"/>
      </w:pPr>
    </w:lvl>
  </w:abstractNum>
  <w:abstractNum w:abstractNumId="192" w15:restartNumberingAfterBreak="0">
    <w:nsid w:val="59B94A5E"/>
    <w:multiLevelType w:val="hybridMultilevel"/>
    <w:tmpl w:val="43D6BFB8"/>
    <w:lvl w:ilvl="0" w:tplc="A6687190">
      <w:start w:val="1"/>
      <w:numFmt w:val="decimal"/>
      <w:lvlText w:val="%1."/>
      <w:lvlJc w:val="left"/>
      <w:pPr>
        <w:ind w:left="360" w:hanging="360"/>
      </w:pPr>
      <w:rPr>
        <w:rFonts w:ascii="Times New Roman" w:hAnsi="Times New Roman" w:hint="default"/>
      </w:rPr>
    </w:lvl>
    <w:lvl w:ilvl="1" w:tplc="3A5A0B20" w:tentative="1">
      <w:start w:val="1"/>
      <w:numFmt w:val="bullet"/>
      <w:lvlText w:val="o"/>
      <w:lvlJc w:val="left"/>
      <w:pPr>
        <w:ind w:left="1080" w:hanging="360"/>
      </w:pPr>
      <w:rPr>
        <w:rFonts w:ascii="Courier New" w:hAnsi="Courier New" w:hint="default"/>
      </w:rPr>
    </w:lvl>
    <w:lvl w:ilvl="2" w:tplc="29168752" w:tentative="1">
      <w:start w:val="1"/>
      <w:numFmt w:val="bullet"/>
      <w:lvlText w:val=""/>
      <w:lvlJc w:val="left"/>
      <w:pPr>
        <w:ind w:left="1800" w:hanging="360"/>
      </w:pPr>
      <w:rPr>
        <w:rFonts w:ascii="Wingdings" w:hAnsi="Wingdings" w:hint="default"/>
      </w:rPr>
    </w:lvl>
    <w:lvl w:ilvl="3" w:tplc="BC721582" w:tentative="1">
      <w:start w:val="1"/>
      <w:numFmt w:val="bullet"/>
      <w:lvlText w:val=""/>
      <w:lvlJc w:val="left"/>
      <w:pPr>
        <w:ind w:left="2520" w:hanging="360"/>
      </w:pPr>
      <w:rPr>
        <w:rFonts w:ascii="Symbol" w:hAnsi="Symbol" w:hint="default"/>
      </w:rPr>
    </w:lvl>
    <w:lvl w:ilvl="4" w:tplc="8EF49616" w:tentative="1">
      <w:start w:val="1"/>
      <w:numFmt w:val="bullet"/>
      <w:lvlText w:val="o"/>
      <w:lvlJc w:val="left"/>
      <w:pPr>
        <w:ind w:left="3240" w:hanging="360"/>
      </w:pPr>
      <w:rPr>
        <w:rFonts w:ascii="Courier New" w:hAnsi="Courier New" w:hint="default"/>
      </w:rPr>
    </w:lvl>
    <w:lvl w:ilvl="5" w:tplc="6798A9D2" w:tentative="1">
      <w:start w:val="1"/>
      <w:numFmt w:val="bullet"/>
      <w:lvlText w:val=""/>
      <w:lvlJc w:val="left"/>
      <w:pPr>
        <w:ind w:left="3960" w:hanging="360"/>
      </w:pPr>
      <w:rPr>
        <w:rFonts w:ascii="Wingdings" w:hAnsi="Wingdings" w:hint="default"/>
      </w:rPr>
    </w:lvl>
    <w:lvl w:ilvl="6" w:tplc="923A489E" w:tentative="1">
      <w:start w:val="1"/>
      <w:numFmt w:val="bullet"/>
      <w:lvlText w:val=""/>
      <w:lvlJc w:val="left"/>
      <w:pPr>
        <w:ind w:left="4680" w:hanging="360"/>
      </w:pPr>
      <w:rPr>
        <w:rFonts w:ascii="Symbol" w:hAnsi="Symbol" w:hint="default"/>
      </w:rPr>
    </w:lvl>
    <w:lvl w:ilvl="7" w:tplc="27403592" w:tentative="1">
      <w:start w:val="1"/>
      <w:numFmt w:val="bullet"/>
      <w:lvlText w:val="o"/>
      <w:lvlJc w:val="left"/>
      <w:pPr>
        <w:ind w:left="5400" w:hanging="360"/>
      </w:pPr>
      <w:rPr>
        <w:rFonts w:ascii="Courier New" w:hAnsi="Courier New" w:hint="default"/>
      </w:rPr>
    </w:lvl>
    <w:lvl w:ilvl="8" w:tplc="7E84353A" w:tentative="1">
      <w:start w:val="1"/>
      <w:numFmt w:val="bullet"/>
      <w:lvlText w:val=""/>
      <w:lvlJc w:val="left"/>
      <w:pPr>
        <w:ind w:left="6120" w:hanging="360"/>
      </w:pPr>
      <w:rPr>
        <w:rFonts w:ascii="Wingdings" w:hAnsi="Wingdings" w:hint="default"/>
      </w:rPr>
    </w:lvl>
  </w:abstractNum>
  <w:abstractNum w:abstractNumId="193" w15:restartNumberingAfterBreak="0">
    <w:nsid w:val="59E333DF"/>
    <w:multiLevelType w:val="hybridMultilevel"/>
    <w:tmpl w:val="D54AFFAA"/>
    <w:lvl w:ilvl="0" w:tplc="18090001">
      <w:start w:val="1"/>
      <w:numFmt w:val="bullet"/>
      <w:lvlText w:val=""/>
      <w:lvlJc w:val="left"/>
      <w:pPr>
        <w:ind w:left="1080" w:hanging="360"/>
      </w:pPr>
      <w:rPr>
        <w:rFonts w:ascii="Symbol" w:hAnsi="Symbol" w:hint="default"/>
        <w:sz w:val="24"/>
        <w:szCs w:val="24"/>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4" w15:restartNumberingAfterBreak="0">
    <w:nsid w:val="5A165091"/>
    <w:multiLevelType w:val="hybridMultilevel"/>
    <w:tmpl w:val="A9803D1A"/>
    <w:lvl w:ilvl="0" w:tplc="C1741F90">
      <w:start w:val="1"/>
      <w:numFmt w:val="decimal"/>
      <w:lvlText w:val="%1."/>
      <w:lvlJc w:val="left"/>
      <w:pPr>
        <w:ind w:left="720" w:hanging="360"/>
      </w:pPr>
    </w:lvl>
    <w:lvl w:ilvl="1" w:tplc="3850CAA4" w:tentative="1">
      <w:start w:val="1"/>
      <w:numFmt w:val="bullet"/>
      <w:lvlText w:val="o"/>
      <w:lvlJc w:val="left"/>
      <w:pPr>
        <w:ind w:left="1440" w:hanging="360"/>
      </w:pPr>
      <w:rPr>
        <w:rFonts w:ascii="Courier New" w:hAnsi="Courier New" w:hint="default"/>
      </w:rPr>
    </w:lvl>
    <w:lvl w:ilvl="2" w:tplc="A7EC93AE" w:tentative="1">
      <w:start w:val="1"/>
      <w:numFmt w:val="bullet"/>
      <w:lvlText w:val=""/>
      <w:lvlJc w:val="left"/>
      <w:pPr>
        <w:ind w:left="2160" w:hanging="360"/>
      </w:pPr>
      <w:rPr>
        <w:rFonts w:ascii="Cambria Math" w:hAnsi="Cambria Math" w:hint="default"/>
      </w:rPr>
    </w:lvl>
    <w:lvl w:ilvl="3" w:tplc="EFA6665E" w:tentative="1">
      <w:start w:val="1"/>
      <w:numFmt w:val="bullet"/>
      <w:lvlText w:val=""/>
      <w:lvlJc w:val="left"/>
      <w:pPr>
        <w:ind w:left="2880" w:hanging="360"/>
      </w:pPr>
      <w:rPr>
        <w:rFonts w:ascii="Segoe UI" w:hAnsi="Segoe UI" w:hint="default"/>
      </w:rPr>
    </w:lvl>
    <w:lvl w:ilvl="4" w:tplc="831E90F0" w:tentative="1">
      <w:start w:val="1"/>
      <w:numFmt w:val="bullet"/>
      <w:lvlText w:val="o"/>
      <w:lvlJc w:val="left"/>
      <w:pPr>
        <w:ind w:left="3600" w:hanging="360"/>
      </w:pPr>
      <w:rPr>
        <w:rFonts w:ascii="Courier New" w:hAnsi="Courier New" w:hint="default"/>
      </w:rPr>
    </w:lvl>
    <w:lvl w:ilvl="5" w:tplc="E730D2DE" w:tentative="1">
      <w:start w:val="1"/>
      <w:numFmt w:val="bullet"/>
      <w:lvlText w:val=""/>
      <w:lvlJc w:val="left"/>
      <w:pPr>
        <w:ind w:left="4320" w:hanging="360"/>
      </w:pPr>
      <w:rPr>
        <w:rFonts w:ascii="Cambria Math" w:hAnsi="Cambria Math" w:hint="default"/>
      </w:rPr>
    </w:lvl>
    <w:lvl w:ilvl="6" w:tplc="40382806" w:tentative="1">
      <w:start w:val="1"/>
      <w:numFmt w:val="bullet"/>
      <w:lvlText w:val=""/>
      <w:lvlJc w:val="left"/>
      <w:pPr>
        <w:ind w:left="5040" w:hanging="360"/>
      </w:pPr>
      <w:rPr>
        <w:rFonts w:ascii="Segoe UI" w:hAnsi="Segoe UI" w:hint="default"/>
      </w:rPr>
    </w:lvl>
    <w:lvl w:ilvl="7" w:tplc="DCDECCE2" w:tentative="1">
      <w:start w:val="1"/>
      <w:numFmt w:val="bullet"/>
      <w:lvlText w:val="o"/>
      <w:lvlJc w:val="left"/>
      <w:pPr>
        <w:ind w:left="5760" w:hanging="360"/>
      </w:pPr>
      <w:rPr>
        <w:rFonts w:ascii="Courier New" w:hAnsi="Courier New" w:hint="default"/>
      </w:rPr>
    </w:lvl>
    <w:lvl w:ilvl="8" w:tplc="8AD0F7B4" w:tentative="1">
      <w:start w:val="1"/>
      <w:numFmt w:val="bullet"/>
      <w:lvlText w:val=""/>
      <w:lvlJc w:val="left"/>
      <w:pPr>
        <w:ind w:left="6480" w:hanging="360"/>
      </w:pPr>
      <w:rPr>
        <w:rFonts w:ascii="Cambria Math" w:hAnsi="Cambria Math" w:hint="default"/>
      </w:rPr>
    </w:lvl>
  </w:abstractNum>
  <w:abstractNum w:abstractNumId="19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egoe UI" w:hAnsi="Segoe UI" w:hint="default"/>
      </w:rPr>
    </w:lvl>
  </w:abstractNum>
  <w:abstractNum w:abstractNumId="196" w15:restartNumberingAfterBreak="0">
    <w:nsid w:val="5B72BA90"/>
    <w:multiLevelType w:val="hybridMultilevel"/>
    <w:tmpl w:val="FFFFFFFF"/>
    <w:lvl w:ilvl="0" w:tplc="F1447A98">
      <w:start w:val="1"/>
      <w:numFmt w:val="bullet"/>
      <w:lvlText w:val="-"/>
      <w:lvlJc w:val="left"/>
      <w:pPr>
        <w:ind w:left="720" w:hanging="360"/>
      </w:pPr>
      <w:rPr>
        <w:rFonts w:ascii="Aptos" w:hAnsi="Aptos" w:hint="default"/>
      </w:rPr>
    </w:lvl>
    <w:lvl w:ilvl="1" w:tplc="83EEA43E">
      <w:start w:val="1"/>
      <w:numFmt w:val="bullet"/>
      <w:lvlText w:val="o"/>
      <w:lvlJc w:val="left"/>
      <w:pPr>
        <w:ind w:left="1440" w:hanging="360"/>
      </w:pPr>
      <w:rPr>
        <w:rFonts w:ascii="Courier New" w:hAnsi="Courier New" w:hint="default"/>
      </w:rPr>
    </w:lvl>
    <w:lvl w:ilvl="2" w:tplc="61BE2868">
      <w:start w:val="1"/>
      <w:numFmt w:val="bullet"/>
      <w:lvlText w:val=""/>
      <w:lvlJc w:val="left"/>
      <w:pPr>
        <w:ind w:left="2160" w:hanging="360"/>
      </w:pPr>
      <w:rPr>
        <w:rFonts w:ascii="Wingdings" w:hAnsi="Wingdings" w:hint="default"/>
      </w:rPr>
    </w:lvl>
    <w:lvl w:ilvl="3" w:tplc="9D4CE092">
      <w:start w:val="1"/>
      <w:numFmt w:val="bullet"/>
      <w:lvlText w:val=""/>
      <w:lvlJc w:val="left"/>
      <w:pPr>
        <w:ind w:left="2880" w:hanging="360"/>
      </w:pPr>
      <w:rPr>
        <w:rFonts w:ascii="Symbol" w:hAnsi="Symbol" w:hint="default"/>
      </w:rPr>
    </w:lvl>
    <w:lvl w:ilvl="4" w:tplc="00B69FAC">
      <w:start w:val="1"/>
      <w:numFmt w:val="bullet"/>
      <w:lvlText w:val="o"/>
      <w:lvlJc w:val="left"/>
      <w:pPr>
        <w:ind w:left="3600" w:hanging="360"/>
      </w:pPr>
      <w:rPr>
        <w:rFonts w:ascii="Courier New" w:hAnsi="Courier New" w:hint="default"/>
      </w:rPr>
    </w:lvl>
    <w:lvl w:ilvl="5" w:tplc="208E6006">
      <w:start w:val="1"/>
      <w:numFmt w:val="bullet"/>
      <w:lvlText w:val=""/>
      <w:lvlJc w:val="left"/>
      <w:pPr>
        <w:ind w:left="4320" w:hanging="360"/>
      </w:pPr>
      <w:rPr>
        <w:rFonts w:ascii="Wingdings" w:hAnsi="Wingdings" w:hint="default"/>
      </w:rPr>
    </w:lvl>
    <w:lvl w:ilvl="6" w:tplc="35A8D5AE">
      <w:start w:val="1"/>
      <w:numFmt w:val="bullet"/>
      <w:lvlText w:val=""/>
      <w:lvlJc w:val="left"/>
      <w:pPr>
        <w:ind w:left="5040" w:hanging="360"/>
      </w:pPr>
      <w:rPr>
        <w:rFonts w:ascii="Symbol" w:hAnsi="Symbol" w:hint="default"/>
      </w:rPr>
    </w:lvl>
    <w:lvl w:ilvl="7" w:tplc="0394BB7E">
      <w:start w:val="1"/>
      <w:numFmt w:val="bullet"/>
      <w:lvlText w:val="o"/>
      <w:lvlJc w:val="left"/>
      <w:pPr>
        <w:ind w:left="5760" w:hanging="360"/>
      </w:pPr>
      <w:rPr>
        <w:rFonts w:ascii="Courier New" w:hAnsi="Courier New" w:hint="default"/>
      </w:rPr>
    </w:lvl>
    <w:lvl w:ilvl="8" w:tplc="585C121C">
      <w:start w:val="1"/>
      <w:numFmt w:val="bullet"/>
      <w:lvlText w:val=""/>
      <w:lvlJc w:val="left"/>
      <w:pPr>
        <w:ind w:left="6480" w:hanging="360"/>
      </w:pPr>
      <w:rPr>
        <w:rFonts w:ascii="Wingdings" w:hAnsi="Wingdings" w:hint="default"/>
      </w:rPr>
    </w:lvl>
  </w:abstractNum>
  <w:abstractNum w:abstractNumId="197" w15:restartNumberingAfterBreak="0">
    <w:nsid w:val="5B884D2E"/>
    <w:multiLevelType w:val="hybridMultilevel"/>
    <w:tmpl w:val="C84CB30E"/>
    <w:lvl w:ilvl="0" w:tplc="7FF2F3E4">
      <w:start w:val="1"/>
      <w:numFmt w:val="lowerLetter"/>
      <w:lvlText w:val="%1)"/>
      <w:lvlJc w:val="left"/>
      <w:pPr>
        <w:ind w:left="1080" w:hanging="360"/>
      </w:pPr>
    </w:lvl>
    <w:lvl w:ilvl="1" w:tplc="20444716">
      <w:start w:val="1"/>
      <w:numFmt w:val="bullet"/>
      <w:lvlText w:val="o"/>
      <w:lvlJc w:val="left"/>
      <w:pPr>
        <w:ind w:left="1800" w:hanging="360"/>
      </w:pPr>
      <w:rPr>
        <w:rFonts w:ascii="Courier New" w:hAnsi="Courier New" w:hint="default"/>
      </w:rPr>
    </w:lvl>
    <w:lvl w:ilvl="2" w:tplc="63123640" w:tentative="1">
      <w:start w:val="1"/>
      <w:numFmt w:val="bullet"/>
      <w:lvlText w:val=""/>
      <w:lvlJc w:val="left"/>
      <w:pPr>
        <w:ind w:left="2520" w:hanging="360"/>
      </w:pPr>
      <w:rPr>
        <w:rFonts w:ascii="Wingdings" w:hAnsi="Wingdings" w:hint="default"/>
      </w:rPr>
    </w:lvl>
    <w:lvl w:ilvl="3" w:tplc="96AAA144" w:tentative="1">
      <w:start w:val="1"/>
      <w:numFmt w:val="bullet"/>
      <w:lvlText w:val=""/>
      <w:lvlJc w:val="left"/>
      <w:pPr>
        <w:ind w:left="3240" w:hanging="360"/>
      </w:pPr>
      <w:rPr>
        <w:rFonts w:ascii="Symbol" w:hAnsi="Symbol" w:hint="default"/>
      </w:rPr>
    </w:lvl>
    <w:lvl w:ilvl="4" w:tplc="2E80433C" w:tentative="1">
      <w:start w:val="1"/>
      <w:numFmt w:val="bullet"/>
      <w:lvlText w:val="o"/>
      <w:lvlJc w:val="left"/>
      <w:pPr>
        <w:ind w:left="3960" w:hanging="360"/>
      </w:pPr>
      <w:rPr>
        <w:rFonts w:ascii="Courier New" w:hAnsi="Courier New" w:hint="default"/>
      </w:rPr>
    </w:lvl>
    <w:lvl w:ilvl="5" w:tplc="DDF0F080" w:tentative="1">
      <w:start w:val="1"/>
      <w:numFmt w:val="bullet"/>
      <w:lvlText w:val=""/>
      <w:lvlJc w:val="left"/>
      <w:pPr>
        <w:ind w:left="4680" w:hanging="360"/>
      </w:pPr>
      <w:rPr>
        <w:rFonts w:ascii="Wingdings" w:hAnsi="Wingdings" w:hint="default"/>
      </w:rPr>
    </w:lvl>
    <w:lvl w:ilvl="6" w:tplc="11FC50AC" w:tentative="1">
      <w:start w:val="1"/>
      <w:numFmt w:val="bullet"/>
      <w:lvlText w:val=""/>
      <w:lvlJc w:val="left"/>
      <w:pPr>
        <w:ind w:left="5400" w:hanging="360"/>
      </w:pPr>
      <w:rPr>
        <w:rFonts w:ascii="Symbol" w:hAnsi="Symbol" w:hint="default"/>
      </w:rPr>
    </w:lvl>
    <w:lvl w:ilvl="7" w:tplc="6642723E" w:tentative="1">
      <w:start w:val="1"/>
      <w:numFmt w:val="bullet"/>
      <w:lvlText w:val="o"/>
      <w:lvlJc w:val="left"/>
      <w:pPr>
        <w:ind w:left="6120" w:hanging="360"/>
      </w:pPr>
      <w:rPr>
        <w:rFonts w:ascii="Courier New" w:hAnsi="Courier New" w:hint="default"/>
      </w:rPr>
    </w:lvl>
    <w:lvl w:ilvl="8" w:tplc="3EA4A402" w:tentative="1">
      <w:start w:val="1"/>
      <w:numFmt w:val="bullet"/>
      <w:lvlText w:val=""/>
      <w:lvlJc w:val="left"/>
      <w:pPr>
        <w:ind w:left="6840" w:hanging="360"/>
      </w:pPr>
      <w:rPr>
        <w:rFonts w:ascii="Wingdings" w:hAnsi="Wingdings" w:hint="default"/>
      </w:rPr>
    </w:lvl>
  </w:abstractNum>
  <w:abstractNum w:abstractNumId="198" w15:restartNumberingAfterBreak="0">
    <w:nsid w:val="5C056EE5"/>
    <w:multiLevelType w:val="singleLevel"/>
    <w:tmpl w:val="3378D27C"/>
    <w:name w:val="Bullet 2"/>
    <w:lvl w:ilvl="0">
      <w:start w:val="1"/>
      <w:numFmt w:val="bullet"/>
      <w:lvlRestart w:val="0"/>
      <w:pStyle w:val="Bullet20"/>
      <w:lvlText w:val=""/>
      <w:lvlJc w:val="left"/>
      <w:pPr>
        <w:tabs>
          <w:tab w:val="num" w:pos="1984"/>
        </w:tabs>
        <w:ind w:left="1984" w:hanging="567"/>
      </w:pPr>
      <w:rPr>
        <w:rFonts w:ascii="Segoe UI" w:hAnsi="Segoe UI" w:hint="default"/>
      </w:rPr>
    </w:lvl>
  </w:abstractNum>
  <w:abstractNum w:abstractNumId="199" w15:restartNumberingAfterBreak="0">
    <w:nsid w:val="5C1845EE"/>
    <w:multiLevelType w:val="hybridMultilevel"/>
    <w:tmpl w:val="07D6D858"/>
    <w:lvl w:ilvl="0" w:tplc="996A0FEC">
      <w:start w:val="1"/>
      <w:numFmt w:val="bullet"/>
      <w:lvlText w:val=""/>
      <w:lvlJc w:val="left"/>
      <w:pPr>
        <w:ind w:left="720" w:hanging="360"/>
      </w:pPr>
      <w:rPr>
        <w:rFonts w:ascii="Symbol" w:hAnsi="Symbol" w:hint="default"/>
      </w:rPr>
    </w:lvl>
    <w:lvl w:ilvl="1" w:tplc="4D588D3A" w:tentative="1">
      <w:start w:val="1"/>
      <w:numFmt w:val="bullet"/>
      <w:lvlText w:val="o"/>
      <w:lvlJc w:val="left"/>
      <w:pPr>
        <w:ind w:left="1440" w:hanging="360"/>
      </w:pPr>
      <w:rPr>
        <w:rFonts w:ascii="Courier New" w:hAnsi="Courier New" w:hint="default"/>
      </w:rPr>
    </w:lvl>
    <w:lvl w:ilvl="2" w:tplc="4D9242DE" w:tentative="1">
      <w:start w:val="1"/>
      <w:numFmt w:val="bullet"/>
      <w:lvlText w:val=""/>
      <w:lvlJc w:val="left"/>
      <w:pPr>
        <w:ind w:left="2160" w:hanging="360"/>
      </w:pPr>
      <w:rPr>
        <w:rFonts w:ascii="Wingdings" w:hAnsi="Wingdings" w:hint="default"/>
      </w:rPr>
    </w:lvl>
    <w:lvl w:ilvl="3" w:tplc="A1DA94D0" w:tentative="1">
      <w:start w:val="1"/>
      <w:numFmt w:val="bullet"/>
      <w:lvlText w:val=""/>
      <w:lvlJc w:val="left"/>
      <w:pPr>
        <w:ind w:left="2880" w:hanging="360"/>
      </w:pPr>
      <w:rPr>
        <w:rFonts w:ascii="Symbol" w:hAnsi="Symbol" w:hint="default"/>
      </w:rPr>
    </w:lvl>
    <w:lvl w:ilvl="4" w:tplc="6624EF86" w:tentative="1">
      <w:start w:val="1"/>
      <w:numFmt w:val="bullet"/>
      <w:lvlText w:val="o"/>
      <w:lvlJc w:val="left"/>
      <w:pPr>
        <w:ind w:left="3600" w:hanging="360"/>
      </w:pPr>
      <w:rPr>
        <w:rFonts w:ascii="Courier New" w:hAnsi="Courier New" w:hint="default"/>
      </w:rPr>
    </w:lvl>
    <w:lvl w:ilvl="5" w:tplc="A5426764" w:tentative="1">
      <w:start w:val="1"/>
      <w:numFmt w:val="bullet"/>
      <w:lvlText w:val=""/>
      <w:lvlJc w:val="left"/>
      <w:pPr>
        <w:ind w:left="4320" w:hanging="360"/>
      </w:pPr>
      <w:rPr>
        <w:rFonts w:ascii="Wingdings" w:hAnsi="Wingdings" w:hint="default"/>
      </w:rPr>
    </w:lvl>
    <w:lvl w:ilvl="6" w:tplc="F7B8E19C" w:tentative="1">
      <w:start w:val="1"/>
      <w:numFmt w:val="bullet"/>
      <w:lvlText w:val=""/>
      <w:lvlJc w:val="left"/>
      <w:pPr>
        <w:ind w:left="5040" w:hanging="360"/>
      </w:pPr>
      <w:rPr>
        <w:rFonts w:ascii="Symbol" w:hAnsi="Symbol" w:hint="default"/>
      </w:rPr>
    </w:lvl>
    <w:lvl w:ilvl="7" w:tplc="DE143EA4" w:tentative="1">
      <w:start w:val="1"/>
      <w:numFmt w:val="bullet"/>
      <w:lvlText w:val="o"/>
      <w:lvlJc w:val="left"/>
      <w:pPr>
        <w:ind w:left="5760" w:hanging="360"/>
      </w:pPr>
      <w:rPr>
        <w:rFonts w:ascii="Courier New" w:hAnsi="Courier New" w:hint="default"/>
      </w:rPr>
    </w:lvl>
    <w:lvl w:ilvl="8" w:tplc="695E9C6C" w:tentative="1">
      <w:start w:val="1"/>
      <w:numFmt w:val="bullet"/>
      <w:lvlText w:val=""/>
      <w:lvlJc w:val="left"/>
      <w:pPr>
        <w:ind w:left="6480" w:hanging="360"/>
      </w:pPr>
      <w:rPr>
        <w:rFonts w:ascii="Wingdings" w:hAnsi="Wingdings" w:hint="default"/>
      </w:rPr>
    </w:lvl>
  </w:abstractNum>
  <w:abstractNum w:abstractNumId="200" w15:restartNumberingAfterBreak="0">
    <w:nsid w:val="5C3E0B76"/>
    <w:multiLevelType w:val="hybridMultilevel"/>
    <w:tmpl w:val="C6D4410A"/>
    <w:lvl w:ilvl="0" w:tplc="A5DED67C">
      <w:start w:val="1"/>
      <w:numFmt w:val="decimal"/>
      <w:lvlText w:val="%1)"/>
      <w:lvlJc w:val="left"/>
      <w:pPr>
        <w:ind w:left="1020" w:hanging="360"/>
      </w:pPr>
    </w:lvl>
    <w:lvl w:ilvl="1" w:tplc="FDCC0C90">
      <w:start w:val="1"/>
      <w:numFmt w:val="decimal"/>
      <w:lvlText w:val="%2)"/>
      <w:lvlJc w:val="left"/>
      <w:pPr>
        <w:ind w:left="1020" w:hanging="360"/>
      </w:pPr>
    </w:lvl>
    <w:lvl w:ilvl="2" w:tplc="2DD6E492">
      <w:start w:val="1"/>
      <w:numFmt w:val="decimal"/>
      <w:lvlText w:val="%3)"/>
      <w:lvlJc w:val="left"/>
      <w:pPr>
        <w:ind w:left="1020" w:hanging="360"/>
      </w:pPr>
    </w:lvl>
    <w:lvl w:ilvl="3" w:tplc="560EE7A8">
      <w:start w:val="1"/>
      <w:numFmt w:val="decimal"/>
      <w:lvlText w:val="%4)"/>
      <w:lvlJc w:val="left"/>
      <w:pPr>
        <w:ind w:left="1020" w:hanging="360"/>
      </w:pPr>
    </w:lvl>
    <w:lvl w:ilvl="4" w:tplc="A1246292">
      <w:start w:val="1"/>
      <w:numFmt w:val="decimal"/>
      <w:lvlText w:val="%5)"/>
      <w:lvlJc w:val="left"/>
      <w:pPr>
        <w:ind w:left="1020" w:hanging="360"/>
      </w:pPr>
    </w:lvl>
    <w:lvl w:ilvl="5" w:tplc="069CFF48">
      <w:start w:val="1"/>
      <w:numFmt w:val="decimal"/>
      <w:lvlText w:val="%6)"/>
      <w:lvlJc w:val="left"/>
      <w:pPr>
        <w:ind w:left="1020" w:hanging="360"/>
      </w:pPr>
    </w:lvl>
    <w:lvl w:ilvl="6" w:tplc="18DAD1F4">
      <w:start w:val="1"/>
      <w:numFmt w:val="decimal"/>
      <w:lvlText w:val="%7)"/>
      <w:lvlJc w:val="left"/>
      <w:pPr>
        <w:ind w:left="1020" w:hanging="360"/>
      </w:pPr>
    </w:lvl>
    <w:lvl w:ilvl="7" w:tplc="09D0E0DA">
      <w:start w:val="1"/>
      <w:numFmt w:val="decimal"/>
      <w:lvlText w:val="%8)"/>
      <w:lvlJc w:val="left"/>
      <w:pPr>
        <w:ind w:left="1020" w:hanging="360"/>
      </w:pPr>
    </w:lvl>
    <w:lvl w:ilvl="8" w:tplc="BEFC6516">
      <w:start w:val="1"/>
      <w:numFmt w:val="decimal"/>
      <w:lvlText w:val="%9)"/>
      <w:lvlJc w:val="left"/>
      <w:pPr>
        <w:ind w:left="1020" w:hanging="360"/>
      </w:pPr>
    </w:lvl>
  </w:abstractNum>
  <w:abstractNum w:abstractNumId="201" w15:restartNumberingAfterBreak="0">
    <w:nsid w:val="5C6F55BC"/>
    <w:multiLevelType w:val="hybridMultilevel"/>
    <w:tmpl w:val="AA40CE4A"/>
    <w:lvl w:ilvl="0" w:tplc="1809000F">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3" w15:restartNumberingAfterBreak="0">
    <w:nsid w:val="5CA57E7E"/>
    <w:multiLevelType w:val="hybridMultilevel"/>
    <w:tmpl w:val="887ED81A"/>
    <w:lvl w:ilvl="0" w:tplc="CA0A7744">
      <w:start w:val="1"/>
      <w:numFmt w:val="bullet"/>
      <w:lvlText w:val=""/>
      <w:lvlJc w:val="left"/>
      <w:pPr>
        <w:ind w:left="720" w:hanging="360"/>
      </w:pPr>
      <w:rPr>
        <w:rFonts w:ascii="Symbol" w:hAnsi="Symbol" w:hint="default"/>
      </w:rPr>
    </w:lvl>
    <w:lvl w:ilvl="1" w:tplc="D04697AA">
      <w:start w:val="1"/>
      <w:numFmt w:val="bullet"/>
      <w:lvlText w:val="o"/>
      <w:lvlJc w:val="left"/>
      <w:pPr>
        <w:ind w:left="1440" w:hanging="360"/>
      </w:pPr>
      <w:rPr>
        <w:rFonts w:ascii="Courier New" w:hAnsi="Courier New" w:hint="default"/>
      </w:rPr>
    </w:lvl>
    <w:lvl w:ilvl="2" w:tplc="E12A98B6" w:tentative="1">
      <w:start w:val="1"/>
      <w:numFmt w:val="bullet"/>
      <w:lvlText w:val=""/>
      <w:lvlJc w:val="left"/>
      <w:pPr>
        <w:ind w:left="2160" w:hanging="360"/>
      </w:pPr>
      <w:rPr>
        <w:rFonts w:ascii="Cambria Math" w:hAnsi="Cambria Math" w:hint="default"/>
      </w:rPr>
    </w:lvl>
    <w:lvl w:ilvl="3" w:tplc="F81CEF82" w:tentative="1">
      <w:start w:val="1"/>
      <w:numFmt w:val="bullet"/>
      <w:lvlText w:val=""/>
      <w:lvlJc w:val="left"/>
      <w:pPr>
        <w:ind w:left="2880" w:hanging="360"/>
      </w:pPr>
      <w:rPr>
        <w:rFonts w:ascii="Segoe UI" w:hAnsi="Segoe UI" w:hint="default"/>
      </w:rPr>
    </w:lvl>
    <w:lvl w:ilvl="4" w:tplc="E13EAB16" w:tentative="1">
      <w:start w:val="1"/>
      <w:numFmt w:val="bullet"/>
      <w:lvlText w:val="o"/>
      <w:lvlJc w:val="left"/>
      <w:pPr>
        <w:ind w:left="3600" w:hanging="360"/>
      </w:pPr>
      <w:rPr>
        <w:rFonts w:ascii="Courier New" w:hAnsi="Courier New" w:hint="default"/>
      </w:rPr>
    </w:lvl>
    <w:lvl w:ilvl="5" w:tplc="0B9CAC86" w:tentative="1">
      <w:start w:val="1"/>
      <w:numFmt w:val="bullet"/>
      <w:lvlText w:val=""/>
      <w:lvlJc w:val="left"/>
      <w:pPr>
        <w:ind w:left="4320" w:hanging="360"/>
      </w:pPr>
      <w:rPr>
        <w:rFonts w:ascii="Cambria Math" w:hAnsi="Cambria Math" w:hint="default"/>
      </w:rPr>
    </w:lvl>
    <w:lvl w:ilvl="6" w:tplc="30B84C9C" w:tentative="1">
      <w:start w:val="1"/>
      <w:numFmt w:val="bullet"/>
      <w:lvlText w:val=""/>
      <w:lvlJc w:val="left"/>
      <w:pPr>
        <w:ind w:left="5040" w:hanging="360"/>
      </w:pPr>
      <w:rPr>
        <w:rFonts w:ascii="Segoe UI" w:hAnsi="Segoe UI" w:hint="default"/>
      </w:rPr>
    </w:lvl>
    <w:lvl w:ilvl="7" w:tplc="79A88354" w:tentative="1">
      <w:start w:val="1"/>
      <w:numFmt w:val="bullet"/>
      <w:lvlText w:val="o"/>
      <w:lvlJc w:val="left"/>
      <w:pPr>
        <w:ind w:left="5760" w:hanging="360"/>
      </w:pPr>
      <w:rPr>
        <w:rFonts w:ascii="Courier New" w:hAnsi="Courier New" w:hint="default"/>
      </w:rPr>
    </w:lvl>
    <w:lvl w:ilvl="8" w:tplc="9836D478" w:tentative="1">
      <w:start w:val="1"/>
      <w:numFmt w:val="bullet"/>
      <w:lvlText w:val=""/>
      <w:lvlJc w:val="left"/>
      <w:pPr>
        <w:ind w:left="6480" w:hanging="360"/>
      </w:pPr>
      <w:rPr>
        <w:rFonts w:ascii="Cambria Math" w:hAnsi="Cambria Math" w:hint="default"/>
      </w:rPr>
    </w:lvl>
  </w:abstractNum>
  <w:abstractNum w:abstractNumId="204" w15:restartNumberingAfterBreak="0">
    <w:nsid w:val="5D060240"/>
    <w:multiLevelType w:val="hybridMultilevel"/>
    <w:tmpl w:val="1006120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5" w15:restartNumberingAfterBreak="0">
    <w:nsid w:val="5DA07DA8"/>
    <w:multiLevelType w:val="hybridMultilevel"/>
    <w:tmpl w:val="FFFFFFFF"/>
    <w:lvl w:ilvl="0" w:tplc="A484E5A4">
      <w:start w:val="1"/>
      <w:numFmt w:val="bullet"/>
      <w:lvlText w:val=""/>
      <w:lvlJc w:val="left"/>
      <w:pPr>
        <w:ind w:left="720" w:hanging="360"/>
      </w:pPr>
      <w:rPr>
        <w:rFonts w:ascii="Symbol" w:hAnsi="Symbol" w:hint="default"/>
      </w:rPr>
    </w:lvl>
    <w:lvl w:ilvl="1" w:tplc="73087B4E">
      <w:start w:val="1"/>
      <w:numFmt w:val="bullet"/>
      <w:lvlText w:val="-"/>
      <w:lvlJc w:val="left"/>
      <w:pPr>
        <w:ind w:left="1440" w:hanging="360"/>
      </w:pPr>
      <w:rPr>
        <w:rFonts w:ascii="Calibri" w:hAnsi="Calibri" w:hint="default"/>
      </w:rPr>
    </w:lvl>
    <w:lvl w:ilvl="2" w:tplc="E8CC8A8C">
      <w:start w:val="1"/>
      <w:numFmt w:val="bullet"/>
      <w:lvlText w:val=""/>
      <w:lvlJc w:val="left"/>
      <w:pPr>
        <w:ind w:left="2160" w:hanging="360"/>
      </w:pPr>
      <w:rPr>
        <w:rFonts w:ascii="Wingdings" w:hAnsi="Wingdings" w:hint="default"/>
      </w:rPr>
    </w:lvl>
    <w:lvl w:ilvl="3" w:tplc="A88ED84E">
      <w:start w:val="1"/>
      <w:numFmt w:val="bullet"/>
      <w:lvlText w:val=""/>
      <w:lvlJc w:val="left"/>
      <w:pPr>
        <w:ind w:left="2880" w:hanging="360"/>
      </w:pPr>
      <w:rPr>
        <w:rFonts w:ascii="Symbol" w:hAnsi="Symbol" w:hint="default"/>
      </w:rPr>
    </w:lvl>
    <w:lvl w:ilvl="4" w:tplc="AB1E3C84">
      <w:start w:val="1"/>
      <w:numFmt w:val="bullet"/>
      <w:lvlText w:val="o"/>
      <w:lvlJc w:val="left"/>
      <w:pPr>
        <w:ind w:left="3600" w:hanging="360"/>
      </w:pPr>
      <w:rPr>
        <w:rFonts w:ascii="Courier New" w:hAnsi="Courier New" w:hint="default"/>
      </w:rPr>
    </w:lvl>
    <w:lvl w:ilvl="5" w:tplc="F9748E36">
      <w:start w:val="1"/>
      <w:numFmt w:val="bullet"/>
      <w:lvlText w:val=""/>
      <w:lvlJc w:val="left"/>
      <w:pPr>
        <w:ind w:left="4320" w:hanging="360"/>
      </w:pPr>
      <w:rPr>
        <w:rFonts w:ascii="Wingdings" w:hAnsi="Wingdings" w:hint="default"/>
      </w:rPr>
    </w:lvl>
    <w:lvl w:ilvl="6" w:tplc="418ACFA0">
      <w:start w:val="1"/>
      <w:numFmt w:val="bullet"/>
      <w:lvlText w:val=""/>
      <w:lvlJc w:val="left"/>
      <w:pPr>
        <w:ind w:left="5040" w:hanging="360"/>
      </w:pPr>
      <w:rPr>
        <w:rFonts w:ascii="Symbol" w:hAnsi="Symbol" w:hint="default"/>
      </w:rPr>
    </w:lvl>
    <w:lvl w:ilvl="7" w:tplc="B9440862">
      <w:start w:val="1"/>
      <w:numFmt w:val="bullet"/>
      <w:lvlText w:val="o"/>
      <w:lvlJc w:val="left"/>
      <w:pPr>
        <w:ind w:left="5760" w:hanging="360"/>
      </w:pPr>
      <w:rPr>
        <w:rFonts w:ascii="Courier New" w:hAnsi="Courier New" w:hint="default"/>
      </w:rPr>
    </w:lvl>
    <w:lvl w:ilvl="8" w:tplc="E37A5E24">
      <w:start w:val="1"/>
      <w:numFmt w:val="bullet"/>
      <w:lvlText w:val=""/>
      <w:lvlJc w:val="left"/>
      <w:pPr>
        <w:ind w:left="6480" w:hanging="360"/>
      </w:pPr>
      <w:rPr>
        <w:rFonts w:ascii="Wingdings" w:hAnsi="Wingdings" w:hint="default"/>
      </w:rPr>
    </w:lvl>
  </w:abstractNum>
  <w:abstractNum w:abstractNumId="206" w15:restartNumberingAfterBreak="0">
    <w:nsid w:val="5DCDF669"/>
    <w:multiLevelType w:val="hybridMultilevel"/>
    <w:tmpl w:val="FFFFFFFF"/>
    <w:lvl w:ilvl="0" w:tplc="303CE6B6">
      <w:start w:val="1"/>
      <w:numFmt w:val="bullet"/>
      <w:lvlText w:val=""/>
      <w:lvlJc w:val="left"/>
      <w:pPr>
        <w:ind w:left="720" w:hanging="360"/>
      </w:pPr>
      <w:rPr>
        <w:rFonts w:ascii="Symbol" w:hAnsi="Symbol" w:hint="default"/>
      </w:rPr>
    </w:lvl>
    <w:lvl w:ilvl="1" w:tplc="70782C8C">
      <w:start w:val="1"/>
      <w:numFmt w:val="bullet"/>
      <w:lvlText w:val="o"/>
      <w:lvlJc w:val="left"/>
      <w:pPr>
        <w:ind w:left="1440" w:hanging="360"/>
      </w:pPr>
      <w:rPr>
        <w:rFonts w:ascii="Courier New" w:hAnsi="Courier New" w:hint="default"/>
      </w:rPr>
    </w:lvl>
    <w:lvl w:ilvl="2" w:tplc="5B30B4D0">
      <w:start w:val="1"/>
      <w:numFmt w:val="bullet"/>
      <w:lvlText w:val="§"/>
      <w:lvlJc w:val="left"/>
      <w:pPr>
        <w:ind w:left="2160" w:hanging="360"/>
      </w:pPr>
      <w:rPr>
        <w:rFonts w:ascii="Wingdings" w:hAnsi="Wingdings" w:hint="default"/>
      </w:rPr>
    </w:lvl>
    <w:lvl w:ilvl="3" w:tplc="1BCA7220">
      <w:start w:val="1"/>
      <w:numFmt w:val="bullet"/>
      <w:lvlText w:val=""/>
      <w:lvlJc w:val="left"/>
      <w:pPr>
        <w:ind w:left="2880" w:hanging="360"/>
      </w:pPr>
      <w:rPr>
        <w:rFonts w:ascii="Symbol" w:hAnsi="Symbol" w:hint="default"/>
      </w:rPr>
    </w:lvl>
    <w:lvl w:ilvl="4" w:tplc="A33E10E6">
      <w:start w:val="1"/>
      <w:numFmt w:val="bullet"/>
      <w:lvlText w:val="o"/>
      <w:lvlJc w:val="left"/>
      <w:pPr>
        <w:ind w:left="3600" w:hanging="360"/>
      </w:pPr>
      <w:rPr>
        <w:rFonts w:ascii="Courier New" w:hAnsi="Courier New" w:hint="default"/>
      </w:rPr>
    </w:lvl>
    <w:lvl w:ilvl="5" w:tplc="BB8C94B8">
      <w:start w:val="1"/>
      <w:numFmt w:val="bullet"/>
      <w:lvlText w:val=""/>
      <w:lvlJc w:val="left"/>
      <w:pPr>
        <w:ind w:left="4320" w:hanging="360"/>
      </w:pPr>
      <w:rPr>
        <w:rFonts w:ascii="Wingdings" w:hAnsi="Wingdings" w:hint="default"/>
      </w:rPr>
    </w:lvl>
    <w:lvl w:ilvl="6" w:tplc="020ABAD0">
      <w:start w:val="1"/>
      <w:numFmt w:val="bullet"/>
      <w:lvlText w:val=""/>
      <w:lvlJc w:val="left"/>
      <w:pPr>
        <w:ind w:left="5040" w:hanging="360"/>
      </w:pPr>
      <w:rPr>
        <w:rFonts w:ascii="Symbol" w:hAnsi="Symbol" w:hint="default"/>
      </w:rPr>
    </w:lvl>
    <w:lvl w:ilvl="7" w:tplc="59C696FC">
      <w:start w:val="1"/>
      <w:numFmt w:val="bullet"/>
      <w:lvlText w:val="o"/>
      <w:lvlJc w:val="left"/>
      <w:pPr>
        <w:ind w:left="5760" w:hanging="360"/>
      </w:pPr>
      <w:rPr>
        <w:rFonts w:ascii="Courier New" w:hAnsi="Courier New" w:hint="default"/>
      </w:rPr>
    </w:lvl>
    <w:lvl w:ilvl="8" w:tplc="CD34E486">
      <w:start w:val="1"/>
      <w:numFmt w:val="bullet"/>
      <w:lvlText w:val=""/>
      <w:lvlJc w:val="left"/>
      <w:pPr>
        <w:ind w:left="6480" w:hanging="360"/>
      </w:pPr>
      <w:rPr>
        <w:rFonts w:ascii="Wingdings" w:hAnsi="Wingdings" w:hint="default"/>
      </w:rPr>
    </w:lvl>
  </w:abstractNum>
  <w:abstractNum w:abstractNumId="207" w15:restartNumberingAfterBreak="0">
    <w:nsid w:val="5ECC7FFE"/>
    <w:multiLevelType w:val="hybridMultilevel"/>
    <w:tmpl w:val="AFC2569C"/>
    <w:lvl w:ilvl="0" w:tplc="D9D07BB4">
      <w:start w:val="1"/>
      <w:numFmt w:val="decimal"/>
      <w:lvlText w:val="%1)"/>
      <w:lvlJc w:val="left"/>
      <w:pPr>
        <w:ind w:left="360" w:hanging="360"/>
      </w:pPr>
    </w:lvl>
    <w:lvl w:ilvl="1" w:tplc="13B206CE" w:tentative="1">
      <w:start w:val="1"/>
      <w:numFmt w:val="bullet"/>
      <w:lvlText w:val="o"/>
      <w:lvlJc w:val="left"/>
      <w:pPr>
        <w:ind w:left="1080" w:hanging="360"/>
      </w:pPr>
      <w:rPr>
        <w:rFonts w:ascii="Courier New" w:hAnsi="Courier New" w:hint="default"/>
      </w:rPr>
    </w:lvl>
    <w:lvl w:ilvl="2" w:tplc="7986A428" w:tentative="1">
      <w:start w:val="1"/>
      <w:numFmt w:val="bullet"/>
      <w:lvlText w:val=""/>
      <w:lvlJc w:val="left"/>
      <w:pPr>
        <w:ind w:left="1800" w:hanging="360"/>
      </w:pPr>
      <w:rPr>
        <w:rFonts w:ascii="Cambria Math" w:hAnsi="Cambria Math" w:hint="default"/>
      </w:rPr>
    </w:lvl>
    <w:lvl w:ilvl="3" w:tplc="1B24BA42" w:tentative="1">
      <w:start w:val="1"/>
      <w:numFmt w:val="bullet"/>
      <w:lvlText w:val=""/>
      <w:lvlJc w:val="left"/>
      <w:pPr>
        <w:ind w:left="2520" w:hanging="360"/>
      </w:pPr>
      <w:rPr>
        <w:rFonts w:ascii="Segoe UI" w:hAnsi="Segoe UI" w:hint="default"/>
      </w:rPr>
    </w:lvl>
    <w:lvl w:ilvl="4" w:tplc="24E4C6DC" w:tentative="1">
      <w:start w:val="1"/>
      <w:numFmt w:val="bullet"/>
      <w:lvlText w:val="o"/>
      <w:lvlJc w:val="left"/>
      <w:pPr>
        <w:ind w:left="3240" w:hanging="360"/>
      </w:pPr>
      <w:rPr>
        <w:rFonts w:ascii="Courier New" w:hAnsi="Courier New" w:hint="default"/>
      </w:rPr>
    </w:lvl>
    <w:lvl w:ilvl="5" w:tplc="A0988FD4" w:tentative="1">
      <w:start w:val="1"/>
      <w:numFmt w:val="bullet"/>
      <w:lvlText w:val=""/>
      <w:lvlJc w:val="left"/>
      <w:pPr>
        <w:ind w:left="3960" w:hanging="360"/>
      </w:pPr>
      <w:rPr>
        <w:rFonts w:ascii="Cambria Math" w:hAnsi="Cambria Math" w:hint="default"/>
      </w:rPr>
    </w:lvl>
    <w:lvl w:ilvl="6" w:tplc="44389288" w:tentative="1">
      <w:start w:val="1"/>
      <w:numFmt w:val="bullet"/>
      <w:lvlText w:val=""/>
      <w:lvlJc w:val="left"/>
      <w:pPr>
        <w:ind w:left="4680" w:hanging="360"/>
      </w:pPr>
      <w:rPr>
        <w:rFonts w:ascii="Segoe UI" w:hAnsi="Segoe UI" w:hint="default"/>
      </w:rPr>
    </w:lvl>
    <w:lvl w:ilvl="7" w:tplc="F8B60586" w:tentative="1">
      <w:start w:val="1"/>
      <w:numFmt w:val="bullet"/>
      <w:lvlText w:val="o"/>
      <w:lvlJc w:val="left"/>
      <w:pPr>
        <w:ind w:left="5400" w:hanging="360"/>
      </w:pPr>
      <w:rPr>
        <w:rFonts w:ascii="Courier New" w:hAnsi="Courier New" w:hint="default"/>
      </w:rPr>
    </w:lvl>
    <w:lvl w:ilvl="8" w:tplc="42763F7E" w:tentative="1">
      <w:start w:val="1"/>
      <w:numFmt w:val="bullet"/>
      <w:lvlText w:val=""/>
      <w:lvlJc w:val="left"/>
      <w:pPr>
        <w:ind w:left="6120" w:hanging="360"/>
      </w:pPr>
      <w:rPr>
        <w:rFonts w:ascii="Cambria Math" w:hAnsi="Cambria Math" w:hint="default"/>
      </w:rPr>
    </w:lvl>
  </w:abstractNum>
  <w:abstractNum w:abstractNumId="208" w15:restartNumberingAfterBreak="0">
    <w:nsid w:val="5EF47B74"/>
    <w:multiLevelType w:val="hybridMultilevel"/>
    <w:tmpl w:val="C84CB30E"/>
    <w:lvl w:ilvl="0" w:tplc="7A98B6DA">
      <w:start w:val="1"/>
      <w:numFmt w:val="lowerLetter"/>
      <w:lvlText w:val="%1)"/>
      <w:lvlJc w:val="left"/>
      <w:pPr>
        <w:ind w:left="1080" w:hanging="360"/>
      </w:pPr>
    </w:lvl>
    <w:lvl w:ilvl="1" w:tplc="39E0D516">
      <w:start w:val="1"/>
      <w:numFmt w:val="bullet"/>
      <w:lvlText w:val="o"/>
      <w:lvlJc w:val="left"/>
      <w:pPr>
        <w:ind w:left="1800" w:hanging="360"/>
      </w:pPr>
      <w:rPr>
        <w:rFonts w:ascii="Courier New" w:hAnsi="Courier New" w:hint="default"/>
      </w:rPr>
    </w:lvl>
    <w:lvl w:ilvl="2" w:tplc="54C0E4E4" w:tentative="1">
      <w:start w:val="1"/>
      <w:numFmt w:val="bullet"/>
      <w:lvlText w:val=""/>
      <w:lvlJc w:val="left"/>
      <w:pPr>
        <w:ind w:left="2520" w:hanging="360"/>
      </w:pPr>
      <w:rPr>
        <w:rFonts w:ascii="Wingdings" w:hAnsi="Wingdings" w:hint="default"/>
      </w:rPr>
    </w:lvl>
    <w:lvl w:ilvl="3" w:tplc="B63004B6" w:tentative="1">
      <w:start w:val="1"/>
      <w:numFmt w:val="bullet"/>
      <w:lvlText w:val=""/>
      <w:lvlJc w:val="left"/>
      <w:pPr>
        <w:ind w:left="3240" w:hanging="360"/>
      </w:pPr>
      <w:rPr>
        <w:rFonts w:ascii="Symbol" w:hAnsi="Symbol" w:hint="default"/>
      </w:rPr>
    </w:lvl>
    <w:lvl w:ilvl="4" w:tplc="F2DCA23C" w:tentative="1">
      <w:start w:val="1"/>
      <w:numFmt w:val="bullet"/>
      <w:lvlText w:val="o"/>
      <w:lvlJc w:val="left"/>
      <w:pPr>
        <w:ind w:left="3960" w:hanging="360"/>
      </w:pPr>
      <w:rPr>
        <w:rFonts w:ascii="Courier New" w:hAnsi="Courier New" w:hint="default"/>
      </w:rPr>
    </w:lvl>
    <w:lvl w:ilvl="5" w:tplc="46D82FB8" w:tentative="1">
      <w:start w:val="1"/>
      <w:numFmt w:val="bullet"/>
      <w:lvlText w:val=""/>
      <w:lvlJc w:val="left"/>
      <w:pPr>
        <w:ind w:left="4680" w:hanging="360"/>
      </w:pPr>
      <w:rPr>
        <w:rFonts w:ascii="Wingdings" w:hAnsi="Wingdings" w:hint="default"/>
      </w:rPr>
    </w:lvl>
    <w:lvl w:ilvl="6" w:tplc="1AA69F72" w:tentative="1">
      <w:start w:val="1"/>
      <w:numFmt w:val="bullet"/>
      <w:lvlText w:val=""/>
      <w:lvlJc w:val="left"/>
      <w:pPr>
        <w:ind w:left="5400" w:hanging="360"/>
      </w:pPr>
      <w:rPr>
        <w:rFonts w:ascii="Symbol" w:hAnsi="Symbol" w:hint="default"/>
      </w:rPr>
    </w:lvl>
    <w:lvl w:ilvl="7" w:tplc="5BB254D6" w:tentative="1">
      <w:start w:val="1"/>
      <w:numFmt w:val="bullet"/>
      <w:lvlText w:val="o"/>
      <w:lvlJc w:val="left"/>
      <w:pPr>
        <w:ind w:left="6120" w:hanging="360"/>
      </w:pPr>
      <w:rPr>
        <w:rFonts w:ascii="Courier New" w:hAnsi="Courier New" w:hint="default"/>
      </w:rPr>
    </w:lvl>
    <w:lvl w:ilvl="8" w:tplc="076AA788" w:tentative="1">
      <w:start w:val="1"/>
      <w:numFmt w:val="bullet"/>
      <w:lvlText w:val=""/>
      <w:lvlJc w:val="left"/>
      <w:pPr>
        <w:ind w:left="6840" w:hanging="360"/>
      </w:pPr>
      <w:rPr>
        <w:rFonts w:ascii="Wingdings" w:hAnsi="Wingdings" w:hint="default"/>
      </w:rPr>
    </w:lvl>
  </w:abstractNum>
  <w:abstractNum w:abstractNumId="209" w15:restartNumberingAfterBreak="0">
    <w:nsid w:val="5F9812CB"/>
    <w:multiLevelType w:val="hybridMultilevel"/>
    <w:tmpl w:val="44ACDCA4"/>
    <w:lvl w:ilvl="0" w:tplc="06D69E00">
      <w:start w:val="1"/>
      <w:numFmt w:val="bullet"/>
      <w:lvlText w:val=""/>
      <w:lvlJc w:val="left"/>
      <w:pPr>
        <w:ind w:left="720" w:hanging="360"/>
      </w:pPr>
      <w:rPr>
        <w:rFonts w:ascii="Symbol" w:hAnsi="Symbol" w:hint="default"/>
      </w:rPr>
    </w:lvl>
    <w:lvl w:ilvl="1" w:tplc="D5CEC850" w:tentative="1">
      <w:start w:val="1"/>
      <w:numFmt w:val="bullet"/>
      <w:lvlText w:val="o"/>
      <w:lvlJc w:val="left"/>
      <w:pPr>
        <w:ind w:left="1440" w:hanging="360"/>
      </w:pPr>
      <w:rPr>
        <w:rFonts w:ascii="Courier New" w:hAnsi="Courier New" w:hint="default"/>
      </w:rPr>
    </w:lvl>
    <w:lvl w:ilvl="2" w:tplc="2C5AFCD8" w:tentative="1">
      <w:start w:val="1"/>
      <w:numFmt w:val="bullet"/>
      <w:lvlText w:val=""/>
      <w:lvlJc w:val="left"/>
      <w:pPr>
        <w:ind w:left="2160" w:hanging="360"/>
      </w:pPr>
      <w:rPr>
        <w:rFonts w:ascii="Wingdings" w:hAnsi="Wingdings" w:hint="default"/>
      </w:rPr>
    </w:lvl>
    <w:lvl w:ilvl="3" w:tplc="855A65CC" w:tentative="1">
      <w:start w:val="1"/>
      <w:numFmt w:val="bullet"/>
      <w:lvlText w:val=""/>
      <w:lvlJc w:val="left"/>
      <w:pPr>
        <w:ind w:left="2880" w:hanging="360"/>
      </w:pPr>
      <w:rPr>
        <w:rFonts w:ascii="Symbol" w:hAnsi="Symbol" w:hint="default"/>
      </w:rPr>
    </w:lvl>
    <w:lvl w:ilvl="4" w:tplc="B808B904" w:tentative="1">
      <w:start w:val="1"/>
      <w:numFmt w:val="bullet"/>
      <w:lvlText w:val="o"/>
      <w:lvlJc w:val="left"/>
      <w:pPr>
        <w:ind w:left="3600" w:hanging="360"/>
      </w:pPr>
      <w:rPr>
        <w:rFonts w:ascii="Courier New" w:hAnsi="Courier New" w:hint="default"/>
      </w:rPr>
    </w:lvl>
    <w:lvl w:ilvl="5" w:tplc="55DC4A14" w:tentative="1">
      <w:start w:val="1"/>
      <w:numFmt w:val="bullet"/>
      <w:lvlText w:val=""/>
      <w:lvlJc w:val="left"/>
      <w:pPr>
        <w:ind w:left="4320" w:hanging="360"/>
      </w:pPr>
      <w:rPr>
        <w:rFonts w:ascii="Wingdings" w:hAnsi="Wingdings" w:hint="default"/>
      </w:rPr>
    </w:lvl>
    <w:lvl w:ilvl="6" w:tplc="3BE408E6" w:tentative="1">
      <w:start w:val="1"/>
      <w:numFmt w:val="bullet"/>
      <w:lvlText w:val=""/>
      <w:lvlJc w:val="left"/>
      <w:pPr>
        <w:ind w:left="5040" w:hanging="360"/>
      </w:pPr>
      <w:rPr>
        <w:rFonts w:ascii="Symbol" w:hAnsi="Symbol" w:hint="default"/>
      </w:rPr>
    </w:lvl>
    <w:lvl w:ilvl="7" w:tplc="C9AE99DA" w:tentative="1">
      <w:start w:val="1"/>
      <w:numFmt w:val="bullet"/>
      <w:lvlText w:val="o"/>
      <w:lvlJc w:val="left"/>
      <w:pPr>
        <w:ind w:left="5760" w:hanging="360"/>
      </w:pPr>
      <w:rPr>
        <w:rFonts w:ascii="Courier New" w:hAnsi="Courier New" w:hint="default"/>
      </w:rPr>
    </w:lvl>
    <w:lvl w:ilvl="8" w:tplc="A7109C9C" w:tentative="1">
      <w:start w:val="1"/>
      <w:numFmt w:val="bullet"/>
      <w:lvlText w:val=""/>
      <w:lvlJc w:val="left"/>
      <w:pPr>
        <w:ind w:left="6480" w:hanging="360"/>
      </w:pPr>
      <w:rPr>
        <w:rFonts w:ascii="Wingdings" w:hAnsi="Wingdings" w:hint="default"/>
      </w:rPr>
    </w:lvl>
  </w:abstractNum>
  <w:abstractNum w:abstractNumId="210" w15:restartNumberingAfterBreak="0">
    <w:nsid w:val="60B37D7C"/>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1" w15:restartNumberingAfterBreak="0">
    <w:nsid w:val="60B41314"/>
    <w:multiLevelType w:val="hybridMultilevel"/>
    <w:tmpl w:val="B1C8EDC6"/>
    <w:lvl w:ilvl="0" w:tplc="0CB606B2">
      <w:start w:val="1"/>
      <w:numFmt w:val="lowerRoman"/>
      <w:lvlText w:val="%1."/>
      <w:lvlJc w:val="right"/>
      <w:pPr>
        <w:ind w:left="720" w:hanging="360"/>
      </w:pPr>
    </w:lvl>
    <w:lvl w:ilvl="1" w:tplc="4190A63C" w:tentative="1">
      <w:start w:val="1"/>
      <w:numFmt w:val="bullet"/>
      <w:lvlText w:val="o"/>
      <w:lvlJc w:val="left"/>
      <w:pPr>
        <w:ind w:left="1440" w:hanging="360"/>
      </w:pPr>
      <w:rPr>
        <w:rFonts w:ascii="Courier New" w:hAnsi="Courier New" w:hint="default"/>
      </w:rPr>
    </w:lvl>
    <w:lvl w:ilvl="2" w:tplc="F5927A84" w:tentative="1">
      <w:start w:val="1"/>
      <w:numFmt w:val="bullet"/>
      <w:lvlText w:val=""/>
      <w:lvlJc w:val="left"/>
      <w:pPr>
        <w:ind w:left="2160" w:hanging="360"/>
      </w:pPr>
      <w:rPr>
        <w:rFonts w:ascii="Cambria Math" w:hAnsi="Cambria Math" w:hint="default"/>
      </w:rPr>
    </w:lvl>
    <w:lvl w:ilvl="3" w:tplc="9806A1D8" w:tentative="1">
      <w:start w:val="1"/>
      <w:numFmt w:val="bullet"/>
      <w:lvlText w:val=""/>
      <w:lvlJc w:val="left"/>
      <w:pPr>
        <w:ind w:left="2880" w:hanging="360"/>
      </w:pPr>
      <w:rPr>
        <w:rFonts w:ascii="Segoe UI" w:hAnsi="Segoe UI" w:hint="default"/>
      </w:rPr>
    </w:lvl>
    <w:lvl w:ilvl="4" w:tplc="7166BE10" w:tentative="1">
      <w:start w:val="1"/>
      <w:numFmt w:val="bullet"/>
      <w:lvlText w:val="o"/>
      <w:lvlJc w:val="left"/>
      <w:pPr>
        <w:ind w:left="3600" w:hanging="360"/>
      </w:pPr>
      <w:rPr>
        <w:rFonts w:ascii="Courier New" w:hAnsi="Courier New" w:hint="default"/>
      </w:rPr>
    </w:lvl>
    <w:lvl w:ilvl="5" w:tplc="0FBE2A7E" w:tentative="1">
      <w:start w:val="1"/>
      <w:numFmt w:val="bullet"/>
      <w:lvlText w:val=""/>
      <w:lvlJc w:val="left"/>
      <w:pPr>
        <w:ind w:left="4320" w:hanging="360"/>
      </w:pPr>
      <w:rPr>
        <w:rFonts w:ascii="Cambria Math" w:hAnsi="Cambria Math" w:hint="default"/>
      </w:rPr>
    </w:lvl>
    <w:lvl w:ilvl="6" w:tplc="B0BE11A4" w:tentative="1">
      <w:start w:val="1"/>
      <w:numFmt w:val="bullet"/>
      <w:lvlText w:val=""/>
      <w:lvlJc w:val="left"/>
      <w:pPr>
        <w:ind w:left="5040" w:hanging="360"/>
      </w:pPr>
      <w:rPr>
        <w:rFonts w:ascii="Segoe UI" w:hAnsi="Segoe UI" w:hint="default"/>
      </w:rPr>
    </w:lvl>
    <w:lvl w:ilvl="7" w:tplc="05A03BB4" w:tentative="1">
      <w:start w:val="1"/>
      <w:numFmt w:val="bullet"/>
      <w:lvlText w:val="o"/>
      <w:lvlJc w:val="left"/>
      <w:pPr>
        <w:ind w:left="5760" w:hanging="360"/>
      </w:pPr>
      <w:rPr>
        <w:rFonts w:ascii="Courier New" w:hAnsi="Courier New" w:hint="default"/>
      </w:rPr>
    </w:lvl>
    <w:lvl w:ilvl="8" w:tplc="D598B854" w:tentative="1">
      <w:start w:val="1"/>
      <w:numFmt w:val="bullet"/>
      <w:lvlText w:val=""/>
      <w:lvlJc w:val="left"/>
      <w:pPr>
        <w:ind w:left="6480" w:hanging="360"/>
      </w:pPr>
      <w:rPr>
        <w:rFonts w:ascii="Cambria Math" w:hAnsi="Cambria Math" w:hint="default"/>
      </w:rPr>
    </w:lvl>
  </w:abstractNum>
  <w:abstractNum w:abstractNumId="212" w15:restartNumberingAfterBreak="0">
    <w:nsid w:val="60E16F6D"/>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15:restartNumberingAfterBreak="0">
    <w:nsid w:val="6104252A"/>
    <w:multiLevelType w:val="hybridMultilevel"/>
    <w:tmpl w:val="D1040396"/>
    <w:lvl w:ilvl="0" w:tplc="BA9A483E">
      <w:start w:val="1"/>
      <w:numFmt w:val="bullet"/>
      <w:lvlText w:val=""/>
      <w:lvlJc w:val="left"/>
      <w:pPr>
        <w:ind w:left="720" w:hanging="360"/>
      </w:pPr>
      <w:rPr>
        <w:rFonts w:ascii="Symbol" w:hAnsi="Symbol" w:hint="default"/>
      </w:rPr>
    </w:lvl>
    <w:lvl w:ilvl="1" w:tplc="F77E4836" w:tentative="1">
      <w:start w:val="1"/>
      <w:numFmt w:val="bullet"/>
      <w:lvlText w:val="o"/>
      <w:lvlJc w:val="left"/>
      <w:pPr>
        <w:ind w:left="1440" w:hanging="360"/>
      </w:pPr>
      <w:rPr>
        <w:rFonts w:ascii="Courier New" w:hAnsi="Courier New" w:hint="default"/>
      </w:rPr>
    </w:lvl>
    <w:lvl w:ilvl="2" w:tplc="A98ABA4A" w:tentative="1">
      <w:start w:val="1"/>
      <w:numFmt w:val="bullet"/>
      <w:lvlText w:val=""/>
      <w:lvlJc w:val="left"/>
      <w:pPr>
        <w:ind w:left="2160" w:hanging="360"/>
      </w:pPr>
      <w:rPr>
        <w:rFonts w:ascii="Wingdings" w:hAnsi="Wingdings" w:hint="default"/>
      </w:rPr>
    </w:lvl>
    <w:lvl w:ilvl="3" w:tplc="1BCCA9BE" w:tentative="1">
      <w:start w:val="1"/>
      <w:numFmt w:val="bullet"/>
      <w:lvlText w:val=""/>
      <w:lvlJc w:val="left"/>
      <w:pPr>
        <w:ind w:left="2880" w:hanging="360"/>
      </w:pPr>
      <w:rPr>
        <w:rFonts w:ascii="Symbol" w:hAnsi="Symbol" w:hint="default"/>
      </w:rPr>
    </w:lvl>
    <w:lvl w:ilvl="4" w:tplc="648CEDE2" w:tentative="1">
      <w:start w:val="1"/>
      <w:numFmt w:val="bullet"/>
      <w:lvlText w:val="o"/>
      <w:lvlJc w:val="left"/>
      <w:pPr>
        <w:ind w:left="3600" w:hanging="360"/>
      </w:pPr>
      <w:rPr>
        <w:rFonts w:ascii="Courier New" w:hAnsi="Courier New" w:hint="default"/>
      </w:rPr>
    </w:lvl>
    <w:lvl w:ilvl="5" w:tplc="A8764132" w:tentative="1">
      <w:start w:val="1"/>
      <w:numFmt w:val="bullet"/>
      <w:lvlText w:val=""/>
      <w:lvlJc w:val="left"/>
      <w:pPr>
        <w:ind w:left="4320" w:hanging="360"/>
      </w:pPr>
      <w:rPr>
        <w:rFonts w:ascii="Wingdings" w:hAnsi="Wingdings" w:hint="default"/>
      </w:rPr>
    </w:lvl>
    <w:lvl w:ilvl="6" w:tplc="AC920E24" w:tentative="1">
      <w:start w:val="1"/>
      <w:numFmt w:val="bullet"/>
      <w:lvlText w:val=""/>
      <w:lvlJc w:val="left"/>
      <w:pPr>
        <w:ind w:left="5040" w:hanging="360"/>
      </w:pPr>
      <w:rPr>
        <w:rFonts w:ascii="Symbol" w:hAnsi="Symbol" w:hint="default"/>
      </w:rPr>
    </w:lvl>
    <w:lvl w:ilvl="7" w:tplc="EBC2F25A" w:tentative="1">
      <w:start w:val="1"/>
      <w:numFmt w:val="bullet"/>
      <w:lvlText w:val="o"/>
      <w:lvlJc w:val="left"/>
      <w:pPr>
        <w:ind w:left="5760" w:hanging="360"/>
      </w:pPr>
      <w:rPr>
        <w:rFonts w:ascii="Courier New" w:hAnsi="Courier New" w:hint="default"/>
      </w:rPr>
    </w:lvl>
    <w:lvl w:ilvl="8" w:tplc="26560F14" w:tentative="1">
      <w:start w:val="1"/>
      <w:numFmt w:val="bullet"/>
      <w:lvlText w:val=""/>
      <w:lvlJc w:val="left"/>
      <w:pPr>
        <w:ind w:left="6480" w:hanging="360"/>
      </w:pPr>
      <w:rPr>
        <w:rFonts w:ascii="Wingdings" w:hAnsi="Wingdings" w:hint="default"/>
      </w:rPr>
    </w:lvl>
  </w:abstractNum>
  <w:abstractNum w:abstractNumId="214" w15:restartNumberingAfterBreak="0">
    <w:nsid w:val="62B16D26"/>
    <w:multiLevelType w:val="hybridMultilevel"/>
    <w:tmpl w:val="1B76E08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5" w15:restartNumberingAfterBreak="0">
    <w:nsid w:val="63087B6D"/>
    <w:multiLevelType w:val="hybridMultilevel"/>
    <w:tmpl w:val="C70CC2DC"/>
    <w:lvl w:ilvl="0" w:tplc="1809001B">
      <w:start w:val="1"/>
      <w:numFmt w:val="lowerRoman"/>
      <w:lvlText w:val="%1."/>
      <w:lvlJc w:val="righ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16" w15:restartNumberingAfterBreak="0">
    <w:nsid w:val="634DB19F"/>
    <w:multiLevelType w:val="hybridMultilevel"/>
    <w:tmpl w:val="FFFFFFFF"/>
    <w:lvl w:ilvl="0" w:tplc="93A4A3F4">
      <w:start w:val="1"/>
      <w:numFmt w:val="bullet"/>
      <w:lvlText w:val="-"/>
      <w:lvlJc w:val="left"/>
      <w:pPr>
        <w:ind w:left="720" w:hanging="360"/>
      </w:pPr>
      <w:rPr>
        <w:rFonts w:ascii="Aptos" w:hAnsi="Aptos" w:hint="default"/>
      </w:rPr>
    </w:lvl>
    <w:lvl w:ilvl="1" w:tplc="4E7083B6">
      <w:start w:val="1"/>
      <w:numFmt w:val="bullet"/>
      <w:lvlText w:val="o"/>
      <w:lvlJc w:val="left"/>
      <w:pPr>
        <w:ind w:left="1440" w:hanging="360"/>
      </w:pPr>
      <w:rPr>
        <w:rFonts w:ascii="Courier New" w:hAnsi="Courier New" w:hint="default"/>
      </w:rPr>
    </w:lvl>
    <w:lvl w:ilvl="2" w:tplc="4CE2DF34">
      <w:start w:val="1"/>
      <w:numFmt w:val="bullet"/>
      <w:lvlText w:val=""/>
      <w:lvlJc w:val="left"/>
      <w:pPr>
        <w:ind w:left="2160" w:hanging="360"/>
      </w:pPr>
      <w:rPr>
        <w:rFonts w:ascii="Wingdings" w:hAnsi="Wingdings" w:hint="default"/>
      </w:rPr>
    </w:lvl>
    <w:lvl w:ilvl="3" w:tplc="8904008A">
      <w:start w:val="1"/>
      <w:numFmt w:val="bullet"/>
      <w:lvlText w:val=""/>
      <w:lvlJc w:val="left"/>
      <w:pPr>
        <w:ind w:left="2880" w:hanging="360"/>
      </w:pPr>
      <w:rPr>
        <w:rFonts w:ascii="Symbol" w:hAnsi="Symbol" w:hint="default"/>
      </w:rPr>
    </w:lvl>
    <w:lvl w:ilvl="4" w:tplc="F0A229BE">
      <w:start w:val="1"/>
      <w:numFmt w:val="bullet"/>
      <w:lvlText w:val="o"/>
      <w:lvlJc w:val="left"/>
      <w:pPr>
        <w:ind w:left="3600" w:hanging="360"/>
      </w:pPr>
      <w:rPr>
        <w:rFonts w:ascii="Courier New" w:hAnsi="Courier New" w:hint="default"/>
      </w:rPr>
    </w:lvl>
    <w:lvl w:ilvl="5" w:tplc="A94C7AFA">
      <w:start w:val="1"/>
      <w:numFmt w:val="bullet"/>
      <w:lvlText w:val=""/>
      <w:lvlJc w:val="left"/>
      <w:pPr>
        <w:ind w:left="4320" w:hanging="360"/>
      </w:pPr>
      <w:rPr>
        <w:rFonts w:ascii="Wingdings" w:hAnsi="Wingdings" w:hint="default"/>
      </w:rPr>
    </w:lvl>
    <w:lvl w:ilvl="6" w:tplc="2E7E065A">
      <w:start w:val="1"/>
      <w:numFmt w:val="bullet"/>
      <w:lvlText w:val=""/>
      <w:lvlJc w:val="left"/>
      <w:pPr>
        <w:ind w:left="5040" w:hanging="360"/>
      </w:pPr>
      <w:rPr>
        <w:rFonts w:ascii="Symbol" w:hAnsi="Symbol" w:hint="default"/>
      </w:rPr>
    </w:lvl>
    <w:lvl w:ilvl="7" w:tplc="1ADCD69A">
      <w:start w:val="1"/>
      <w:numFmt w:val="bullet"/>
      <w:lvlText w:val="o"/>
      <w:lvlJc w:val="left"/>
      <w:pPr>
        <w:ind w:left="5760" w:hanging="360"/>
      </w:pPr>
      <w:rPr>
        <w:rFonts w:ascii="Courier New" w:hAnsi="Courier New" w:hint="default"/>
      </w:rPr>
    </w:lvl>
    <w:lvl w:ilvl="8" w:tplc="7E0611E2">
      <w:start w:val="1"/>
      <w:numFmt w:val="bullet"/>
      <w:lvlText w:val=""/>
      <w:lvlJc w:val="left"/>
      <w:pPr>
        <w:ind w:left="6480" w:hanging="360"/>
      </w:pPr>
      <w:rPr>
        <w:rFonts w:ascii="Wingdings" w:hAnsi="Wingdings" w:hint="default"/>
      </w:rPr>
    </w:lvl>
  </w:abstractNum>
  <w:abstractNum w:abstractNumId="217" w15:restartNumberingAfterBreak="0">
    <w:nsid w:val="64539AB4"/>
    <w:multiLevelType w:val="hybridMultilevel"/>
    <w:tmpl w:val="6CAA3520"/>
    <w:lvl w:ilvl="0" w:tplc="5CB28036">
      <w:start w:val="1"/>
      <w:numFmt w:val="lowerLetter"/>
      <w:lvlText w:val="%1)"/>
      <w:lvlJc w:val="left"/>
      <w:pPr>
        <w:ind w:left="720" w:hanging="360"/>
      </w:pPr>
    </w:lvl>
    <w:lvl w:ilvl="1" w:tplc="141275F8">
      <w:start w:val="1"/>
      <w:numFmt w:val="lowerLetter"/>
      <w:lvlText w:val="%2."/>
      <w:lvlJc w:val="left"/>
      <w:pPr>
        <w:ind w:left="1440" w:hanging="360"/>
      </w:pPr>
    </w:lvl>
    <w:lvl w:ilvl="2" w:tplc="1AC4374E">
      <w:start w:val="1"/>
      <w:numFmt w:val="lowerRoman"/>
      <w:lvlText w:val="%3."/>
      <w:lvlJc w:val="right"/>
      <w:pPr>
        <w:ind w:left="2160" w:hanging="180"/>
      </w:pPr>
    </w:lvl>
    <w:lvl w:ilvl="3" w:tplc="1EB21326">
      <w:start w:val="1"/>
      <w:numFmt w:val="decimal"/>
      <w:lvlText w:val="%4."/>
      <w:lvlJc w:val="left"/>
      <w:pPr>
        <w:ind w:left="2880" w:hanging="360"/>
      </w:pPr>
    </w:lvl>
    <w:lvl w:ilvl="4" w:tplc="E4CA95FE">
      <w:start w:val="1"/>
      <w:numFmt w:val="lowerLetter"/>
      <w:lvlText w:val="%5."/>
      <w:lvlJc w:val="left"/>
      <w:pPr>
        <w:ind w:left="3600" w:hanging="360"/>
      </w:pPr>
    </w:lvl>
    <w:lvl w:ilvl="5" w:tplc="BEBCCB5E">
      <w:start w:val="1"/>
      <w:numFmt w:val="lowerRoman"/>
      <w:lvlText w:val="%6."/>
      <w:lvlJc w:val="right"/>
      <w:pPr>
        <w:ind w:left="4320" w:hanging="180"/>
      </w:pPr>
    </w:lvl>
    <w:lvl w:ilvl="6" w:tplc="82AEC7C8">
      <w:start w:val="1"/>
      <w:numFmt w:val="decimal"/>
      <w:lvlText w:val="%7."/>
      <w:lvlJc w:val="left"/>
      <w:pPr>
        <w:ind w:left="5040" w:hanging="360"/>
      </w:pPr>
    </w:lvl>
    <w:lvl w:ilvl="7" w:tplc="B5C26AA2">
      <w:start w:val="1"/>
      <w:numFmt w:val="lowerLetter"/>
      <w:lvlText w:val="%8."/>
      <w:lvlJc w:val="left"/>
      <w:pPr>
        <w:ind w:left="5760" w:hanging="360"/>
      </w:pPr>
    </w:lvl>
    <w:lvl w:ilvl="8" w:tplc="28083F8E">
      <w:start w:val="1"/>
      <w:numFmt w:val="lowerRoman"/>
      <w:lvlText w:val="%9."/>
      <w:lvlJc w:val="right"/>
      <w:pPr>
        <w:ind w:left="6480" w:hanging="180"/>
      </w:pPr>
    </w:lvl>
  </w:abstractNum>
  <w:abstractNum w:abstractNumId="218" w15:restartNumberingAfterBreak="0">
    <w:nsid w:val="648A36A7"/>
    <w:multiLevelType w:val="hybridMultilevel"/>
    <w:tmpl w:val="007A82FC"/>
    <w:lvl w:ilvl="0" w:tplc="7DC0AED8">
      <w:start w:val="1"/>
      <w:numFmt w:val="lowerRoman"/>
      <w:lvlText w:val="%1."/>
      <w:lvlJc w:val="right"/>
      <w:pPr>
        <w:ind w:left="720" w:hanging="360"/>
      </w:pPr>
      <w:rPr>
        <w:color w:val="auto"/>
      </w:rPr>
    </w:lvl>
    <w:lvl w:ilvl="1" w:tplc="E0583D70">
      <w:start w:val="1"/>
      <w:numFmt w:val="lowerLetter"/>
      <w:lvlText w:val="%2."/>
      <w:lvlJc w:val="left"/>
      <w:pPr>
        <w:ind w:left="1440" w:hanging="360"/>
      </w:pPr>
    </w:lvl>
    <w:lvl w:ilvl="2" w:tplc="4CD0447A">
      <w:start w:val="1"/>
      <w:numFmt w:val="lowerRoman"/>
      <w:lvlText w:val="%3."/>
      <w:lvlJc w:val="right"/>
      <w:pPr>
        <w:ind w:left="2160" w:hanging="180"/>
      </w:pPr>
    </w:lvl>
    <w:lvl w:ilvl="3" w:tplc="814A5392">
      <w:start w:val="1"/>
      <w:numFmt w:val="decimal"/>
      <w:lvlText w:val="%4."/>
      <w:lvlJc w:val="left"/>
      <w:pPr>
        <w:ind w:left="2880" w:hanging="360"/>
      </w:pPr>
    </w:lvl>
    <w:lvl w:ilvl="4" w:tplc="8B34E246">
      <w:start w:val="1"/>
      <w:numFmt w:val="lowerLetter"/>
      <w:lvlText w:val="%5."/>
      <w:lvlJc w:val="left"/>
      <w:pPr>
        <w:ind w:left="3600" w:hanging="360"/>
      </w:pPr>
    </w:lvl>
    <w:lvl w:ilvl="5" w:tplc="28602E44">
      <w:start w:val="1"/>
      <w:numFmt w:val="lowerRoman"/>
      <w:lvlText w:val="%6."/>
      <w:lvlJc w:val="right"/>
      <w:pPr>
        <w:ind w:left="4320" w:hanging="180"/>
      </w:pPr>
    </w:lvl>
    <w:lvl w:ilvl="6" w:tplc="2B6E804C">
      <w:start w:val="1"/>
      <w:numFmt w:val="decimal"/>
      <w:lvlText w:val="%7."/>
      <w:lvlJc w:val="left"/>
      <w:pPr>
        <w:ind w:left="5040" w:hanging="360"/>
      </w:pPr>
    </w:lvl>
    <w:lvl w:ilvl="7" w:tplc="823232E8">
      <w:start w:val="1"/>
      <w:numFmt w:val="lowerLetter"/>
      <w:lvlText w:val="%8."/>
      <w:lvlJc w:val="left"/>
      <w:pPr>
        <w:ind w:left="5760" w:hanging="360"/>
      </w:pPr>
    </w:lvl>
    <w:lvl w:ilvl="8" w:tplc="363607DE">
      <w:start w:val="1"/>
      <w:numFmt w:val="lowerRoman"/>
      <w:lvlText w:val="%9."/>
      <w:lvlJc w:val="right"/>
      <w:pPr>
        <w:ind w:left="6480" w:hanging="180"/>
      </w:pPr>
    </w:lvl>
  </w:abstractNum>
  <w:abstractNum w:abstractNumId="219" w15:restartNumberingAfterBreak="0">
    <w:nsid w:val="656B771A"/>
    <w:multiLevelType w:val="hybridMultilevel"/>
    <w:tmpl w:val="0B4EEFA4"/>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20" w15:restartNumberingAfterBreak="0">
    <w:nsid w:val="66395C6A"/>
    <w:multiLevelType w:val="hybridMultilevel"/>
    <w:tmpl w:val="241E1636"/>
    <w:lvl w:ilvl="0" w:tplc="5F6417E6">
      <w:start w:val="1"/>
      <w:numFmt w:val="decimal"/>
      <w:lvlText w:val="%1."/>
      <w:lvlJc w:val="left"/>
      <w:pPr>
        <w:ind w:left="1020" w:hanging="360"/>
      </w:pPr>
    </w:lvl>
    <w:lvl w:ilvl="1" w:tplc="3608556A">
      <w:start w:val="1"/>
      <w:numFmt w:val="decimal"/>
      <w:lvlText w:val="%2."/>
      <w:lvlJc w:val="left"/>
      <w:pPr>
        <w:ind w:left="1020" w:hanging="360"/>
      </w:pPr>
    </w:lvl>
    <w:lvl w:ilvl="2" w:tplc="5AE6A952">
      <w:start w:val="1"/>
      <w:numFmt w:val="decimal"/>
      <w:lvlText w:val="%3."/>
      <w:lvlJc w:val="left"/>
      <w:pPr>
        <w:ind w:left="1020" w:hanging="360"/>
      </w:pPr>
    </w:lvl>
    <w:lvl w:ilvl="3" w:tplc="28DC0680">
      <w:start w:val="1"/>
      <w:numFmt w:val="decimal"/>
      <w:lvlText w:val="%4."/>
      <w:lvlJc w:val="left"/>
      <w:pPr>
        <w:ind w:left="1020" w:hanging="360"/>
      </w:pPr>
    </w:lvl>
    <w:lvl w:ilvl="4" w:tplc="9D96074E">
      <w:start w:val="1"/>
      <w:numFmt w:val="decimal"/>
      <w:lvlText w:val="%5."/>
      <w:lvlJc w:val="left"/>
      <w:pPr>
        <w:ind w:left="1020" w:hanging="360"/>
      </w:pPr>
    </w:lvl>
    <w:lvl w:ilvl="5" w:tplc="8D74422C">
      <w:start w:val="1"/>
      <w:numFmt w:val="decimal"/>
      <w:lvlText w:val="%6."/>
      <w:lvlJc w:val="left"/>
      <w:pPr>
        <w:ind w:left="1020" w:hanging="360"/>
      </w:pPr>
    </w:lvl>
    <w:lvl w:ilvl="6" w:tplc="DD6C2AA8">
      <w:start w:val="1"/>
      <w:numFmt w:val="decimal"/>
      <w:lvlText w:val="%7."/>
      <w:lvlJc w:val="left"/>
      <w:pPr>
        <w:ind w:left="1020" w:hanging="360"/>
      </w:pPr>
    </w:lvl>
    <w:lvl w:ilvl="7" w:tplc="CB54FDF2">
      <w:start w:val="1"/>
      <w:numFmt w:val="decimal"/>
      <w:lvlText w:val="%8."/>
      <w:lvlJc w:val="left"/>
      <w:pPr>
        <w:ind w:left="1020" w:hanging="360"/>
      </w:pPr>
    </w:lvl>
    <w:lvl w:ilvl="8" w:tplc="E1947B06">
      <w:start w:val="1"/>
      <w:numFmt w:val="decimal"/>
      <w:lvlText w:val="%9."/>
      <w:lvlJc w:val="left"/>
      <w:pPr>
        <w:ind w:left="1020" w:hanging="360"/>
      </w:pPr>
    </w:lvl>
  </w:abstractNum>
  <w:abstractNum w:abstractNumId="221" w15:restartNumberingAfterBreak="0">
    <w:nsid w:val="669B0B48"/>
    <w:multiLevelType w:val="hybridMultilevel"/>
    <w:tmpl w:val="F5741058"/>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2" w15:restartNumberingAfterBreak="0">
    <w:nsid w:val="669F3250"/>
    <w:multiLevelType w:val="hybridMultilevel"/>
    <w:tmpl w:val="BD0AC68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3" w15:restartNumberingAfterBreak="0">
    <w:nsid w:val="66F2106C"/>
    <w:multiLevelType w:val="multilevel"/>
    <w:tmpl w:val="FA7AD638"/>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4" w15:restartNumberingAfterBreak="0">
    <w:nsid w:val="66F879BE"/>
    <w:multiLevelType w:val="hybridMultilevel"/>
    <w:tmpl w:val="9838485C"/>
    <w:lvl w:ilvl="0" w:tplc="89BC70C0">
      <w:start w:val="1"/>
      <w:numFmt w:val="bullet"/>
      <w:lvlText w:val=""/>
      <w:lvlJc w:val="left"/>
      <w:pPr>
        <w:ind w:left="1080" w:hanging="360"/>
      </w:pPr>
      <w:rPr>
        <w:rFonts w:ascii="Symbol" w:hAnsi="Symbol"/>
      </w:rPr>
    </w:lvl>
    <w:lvl w:ilvl="1" w:tplc="004A5424">
      <w:start w:val="1"/>
      <w:numFmt w:val="bullet"/>
      <w:lvlText w:val=""/>
      <w:lvlJc w:val="left"/>
      <w:pPr>
        <w:ind w:left="1080" w:hanging="360"/>
      </w:pPr>
      <w:rPr>
        <w:rFonts w:ascii="Symbol" w:hAnsi="Symbol"/>
      </w:rPr>
    </w:lvl>
    <w:lvl w:ilvl="2" w:tplc="80909042">
      <w:start w:val="1"/>
      <w:numFmt w:val="bullet"/>
      <w:lvlText w:val=""/>
      <w:lvlJc w:val="left"/>
      <w:pPr>
        <w:ind w:left="1080" w:hanging="360"/>
      </w:pPr>
      <w:rPr>
        <w:rFonts w:ascii="Symbol" w:hAnsi="Symbol"/>
      </w:rPr>
    </w:lvl>
    <w:lvl w:ilvl="3" w:tplc="9F1A401E">
      <w:start w:val="1"/>
      <w:numFmt w:val="bullet"/>
      <w:lvlText w:val=""/>
      <w:lvlJc w:val="left"/>
      <w:pPr>
        <w:ind w:left="1080" w:hanging="360"/>
      </w:pPr>
      <w:rPr>
        <w:rFonts w:ascii="Symbol" w:hAnsi="Symbol"/>
      </w:rPr>
    </w:lvl>
    <w:lvl w:ilvl="4" w:tplc="3EDAB3B2">
      <w:start w:val="1"/>
      <w:numFmt w:val="bullet"/>
      <w:lvlText w:val=""/>
      <w:lvlJc w:val="left"/>
      <w:pPr>
        <w:ind w:left="1080" w:hanging="360"/>
      </w:pPr>
      <w:rPr>
        <w:rFonts w:ascii="Symbol" w:hAnsi="Symbol"/>
      </w:rPr>
    </w:lvl>
    <w:lvl w:ilvl="5" w:tplc="6B10C37C">
      <w:start w:val="1"/>
      <w:numFmt w:val="bullet"/>
      <w:lvlText w:val=""/>
      <w:lvlJc w:val="left"/>
      <w:pPr>
        <w:ind w:left="1080" w:hanging="360"/>
      </w:pPr>
      <w:rPr>
        <w:rFonts w:ascii="Symbol" w:hAnsi="Symbol"/>
      </w:rPr>
    </w:lvl>
    <w:lvl w:ilvl="6" w:tplc="F90CE1E6">
      <w:start w:val="1"/>
      <w:numFmt w:val="bullet"/>
      <w:lvlText w:val=""/>
      <w:lvlJc w:val="left"/>
      <w:pPr>
        <w:ind w:left="1080" w:hanging="360"/>
      </w:pPr>
      <w:rPr>
        <w:rFonts w:ascii="Symbol" w:hAnsi="Symbol"/>
      </w:rPr>
    </w:lvl>
    <w:lvl w:ilvl="7" w:tplc="BEDA34B2">
      <w:start w:val="1"/>
      <w:numFmt w:val="bullet"/>
      <w:lvlText w:val=""/>
      <w:lvlJc w:val="left"/>
      <w:pPr>
        <w:ind w:left="1080" w:hanging="360"/>
      </w:pPr>
      <w:rPr>
        <w:rFonts w:ascii="Symbol" w:hAnsi="Symbol"/>
      </w:rPr>
    </w:lvl>
    <w:lvl w:ilvl="8" w:tplc="F286A378">
      <w:start w:val="1"/>
      <w:numFmt w:val="bullet"/>
      <w:lvlText w:val=""/>
      <w:lvlJc w:val="left"/>
      <w:pPr>
        <w:ind w:left="1080" w:hanging="360"/>
      </w:pPr>
      <w:rPr>
        <w:rFonts w:ascii="Symbol" w:hAnsi="Symbol"/>
      </w:rPr>
    </w:lvl>
  </w:abstractNum>
  <w:abstractNum w:abstractNumId="2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6" w15:restartNumberingAfterBreak="0">
    <w:nsid w:val="67CA10CF"/>
    <w:multiLevelType w:val="hybridMultilevel"/>
    <w:tmpl w:val="9BACB9A2"/>
    <w:lvl w:ilvl="0" w:tplc="9F96B0CC">
      <w:start w:val="1"/>
      <w:numFmt w:val="bullet"/>
      <w:lvlText w:val=""/>
      <w:lvlJc w:val="left"/>
      <w:pPr>
        <w:ind w:left="720" w:hanging="360"/>
      </w:pPr>
      <w:rPr>
        <w:rFonts w:ascii="Symbol" w:hAnsi="Symbol" w:hint="default"/>
      </w:rPr>
    </w:lvl>
    <w:lvl w:ilvl="1" w:tplc="29FC16BC" w:tentative="1">
      <w:start w:val="1"/>
      <w:numFmt w:val="bullet"/>
      <w:lvlText w:val="o"/>
      <w:lvlJc w:val="left"/>
      <w:pPr>
        <w:ind w:left="1440" w:hanging="360"/>
      </w:pPr>
      <w:rPr>
        <w:rFonts w:ascii="Courier New" w:hAnsi="Courier New" w:hint="default"/>
      </w:rPr>
    </w:lvl>
    <w:lvl w:ilvl="2" w:tplc="A7D8893C" w:tentative="1">
      <w:start w:val="1"/>
      <w:numFmt w:val="bullet"/>
      <w:lvlText w:val=""/>
      <w:lvlJc w:val="left"/>
      <w:pPr>
        <w:ind w:left="2160" w:hanging="360"/>
      </w:pPr>
      <w:rPr>
        <w:rFonts w:ascii="Cambria Math" w:hAnsi="Cambria Math" w:hint="default"/>
      </w:rPr>
    </w:lvl>
    <w:lvl w:ilvl="3" w:tplc="30CA1744" w:tentative="1">
      <w:start w:val="1"/>
      <w:numFmt w:val="bullet"/>
      <w:lvlText w:val=""/>
      <w:lvlJc w:val="left"/>
      <w:pPr>
        <w:ind w:left="2880" w:hanging="360"/>
      </w:pPr>
      <w:rPr>
        <w:rFonts w:ascii="Segoe UI" w:hAnsi="Segoe UI" w:hint="default"/>
      </w:rPr>
    </w:lvl>
    <w:lvl w:ilvl="4" w:tplc="F0661F4E" w:tentative="1">
      <w:start w:val="1"/>
      <w:numFmt w:val="bullet"/>
      <w:lvlText w:val="o"/>
      <w:lvlJc w:val="left"/>
      <w:pPr>
        <w:ind w:left="3600" w:hanging="360"/>
      </w:pPr>
      <w:rPr>
        <w:rFonts w:ascii="Courier New" w:hAnsi="Courier New" w:hint="default"/>
      </w:rPr>
    </w:lvl>
    <w:lvl w:ilvl="5" w:tplc="6346E5F2" w:tentative="1">
      <w:start w:val="1"/>
      <w:numFmt w:val="bullet"/>
      <w:lvlText w:val=""/>
      <w:lvlJc w:val="left"/>
      <w:pPr>
        <w:ind w:left="4320" w:hanging="360"/>
      </w:pPr>
      <w:rPr>
        <w:rFonts w:ascii="Cambria Math" w:hAnsi="Cambria Math" w:hint="default"/>
      </w:rPr>
    </w:lvl>
    <w:lvl w:ilvl="6" w:tplc="2FF42A84" w:tentative="1">
      <w:start w:val="1"/>
      <w:numFmt w:val="bullet"/>
      <w:lvlText w:val=""/>
      <w:lvlJc w:val="left"/>
      <w:pPr>
        <w:ind w:left="5040" w:hanging="360"/>
      </w:pPr>
      <w:rPr>
        <w:rFonts w:ascii="Segoe UI" w:hAnsi="Segoe UI" w:hint="default"/>
      </w:rPr>
    </w:lvl>
    <w:lvl w:ilvl="7" w:tplc="8D8487F6" w:tentative="1">
      <w:start w:val="1"/>
      <w:numFmt w:val="bullet"/>
      <w:lvlText w:val="o"/>
      <w:lvlJc w:val="left"/>
      <w:pPr>
        <w:ind w:left="5760" w:hanging="360"/>
      </w:pPr>
      <w:rPr>
        <w:rFonts w:ascii="Courier New" w:hAnsi="Courier New" w:hint="default"/>
      </w:rPr>
    </w:lvl>
    <w:lvl w:ilvl="8" w:tplc="8BBACE04" w:tentative="1">
      <w:start w:val="1"/>
      <w:numFmt w:val="bullet"/>
      <w:lvlText w:val=""/>
      <w:lvlJc w:val="left"/>
      <w:pPr>
        <w:ind w:left="6480" w:hanging="360"/>
      </w:pPr>
      <w:rPr>
        <w:rFonts w:ascii="Cambria Math" w:hAnsi="Cambria Math" w:hint="default"/>
      </w:rPr>
    </w:lvl>
  </w:abstractNum>
  <w:abstractNum w:abstractNumId="227" w15:restartNumberingAfterBreak="0">
    <w:nsid w:val="685149A3"/>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8" w15:restartNumberingAfterBreak="0">
    <w:nsid w:val="68735CA3"/>
    <w:multiLevelType w:val="hybridMultilevel"/>
    <w:tmpl w:val="FF96D2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9" w15:restartNumberingAfterBreak="0">
    <w:nsid w:val="68B540B6"/>
    <w:multiLevelType w:val="hybridMultilevel"/>
    <w:tmpl w:val="894CCD62"/>
    <w:lvl w:ilvl="0" w:tplc="18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0" w15:restartNumberingAfterBreak="0">
    <w:nsid w:val="68C77467"/>
    <w:multiLevelType w:val="hybridMultilevel"/>
    <w:tmpl w:val="D41234CA"/>
    <w:lvl w:ilvl="0" w:tplc="924875EA">
      <w:start w:val="1"/>
      <w:numFmt w:val="bullet"/>
      <w:lvlText w:val=""/>
      <w:lvlJc w:val="left"/>
      <w:pPr>
        <w:ind w:left="1080" w:hanging="360"/>
      </w:pPr>
      <w:rPr>
        <w:rFonts w:ascii="Symbol" w:hAnsi="Symbol"/>
      </w:rPr>
    </w:lvl>
    <w:lvl w:ilvl="1" w:tplc="0CBCC658">
      <w:start w:val="1"/>
      <w:numFmt w:val="bullet"/>
      <w:lvlText w:val=""/>
      <w:lvlJc w:val="left"/>
      <w:pPr>
        <w:ind w:left="1080" w:hanging="360"/>
      </w:pPr>
      <w:rPr>
        <w:rFonts w:ascii="Symbol" w:hAnsi="Symbol"/>
      </w:rPr>
    </w:lvl>
    <w:lvl w:ilvl="2" w:tplc="AD88D166">
      <w:start w:val="1"/>
      <w:numFmt w:val="bullet"/>
      <w:lvlText w:val=""/>
      <w:lvlJc w:val="left"/>
      <w:pPr>
        <w:ind w:left="1080" w:hanging="360"/>
      </w:pPr>
      <w:rPr>
        <w:rFonts w:ascii="Symbol" w:hAnsi="Symbol"/>
      </w:rPr>
    </w:lvl>
    <w:lvl w:ilvl="3" w:tplc="ED7A16C0">
      <w:start w:val="1"/>
      <w:numFmt w:val="bullet"/>
      <w:lvlText w:val=""/>
      <w:lvlJc w:val="left"/>
      <w:pPr>
        <w:ind w:left="1080" w:hanging="360"/>
      </w:pPr>
      <w:rPr>
        <w:rFonts w:ascii="Symbol" w:hAnsi="Symbol"/>
      </w:rPr>
    </w:lvl>
    <w:lvl w:ilvl="4" w:tplc="31527A6E">
      <w:start w:val="1"/>
      <w:numFmt w:val="bullet"/>
      <w:lvlText w:val=""/>
      <w:lvlJc w:val="left"/>
      <w:pPr>
        <w:ind w:left="1080" w:hanging="360"/>
      </w:pPr>
      <w:rPr>
        <w:rFonts w:ascii="Symbol" w:hAnsi="Symbol"/>
      </w:rPr>
    </w:lvl>
    <w:lvl w:ilvl="5" w:tplc="5270FA80">
      <w:start w:val="1"/>
      <w:numFmt w:val="bullet"/>
      <w:lvlText w:val=""/>
      <w:lvlJc w:val="left"/>
      <w:pPr>
        <w:ind w:left="1080" w:hanging="360"/>
      </w:pPr>
      <w:rPr>
        <w:rFonts w:ascii="Symbol" w:hAnsi="Symbol"/>
      </w:rPr>
    </w:lvl>
    <w:lvl w:ilvl="6" w:tplc="87E25128">
      <w:start w:val="1"/>
      <w:numFmt w:val="bullet"/>
      <w:lvlText w:val=""/>
      <w:lvlJc w:val="left"/>
      <w:pPr>
        <w:ind w:left="1080" w:hanging="360"/>
      </w:pPr>
      <w:rPr>
        <w:rFonts w:ascii="Symbol" w:hAnsi="Symbol"/>
      </w:rPr>
    </w:lvl>
    <w:lvl w:ilvl="7" w:tplc="D9F2B532">
      <w:start w:val="1"/>
      <w:numFmt w:val="bullet"/>
      <w:lvlText w:val=""/>
      <w:lvlJc w:val="left"/>
      <w:pPr>
        <w:ind w:left="1080" w:hanging="360"/>
      </w:pPr>
      <w:rPr>
        <w:rFonts w:ascii="Symbol" w:hAnsi="Symbol"/>
      </w:rPr>
    </w:lvl>
    <w:lvl w:ilvl="8" w:tplc="BF4A1BC8">
      <w:start w:val="1"/>
      <w:numFmt w:val="bullet"/>
      <w:lvlText w:val=""/>
      <w:lvlJc w:val="left"/>
      <w:pPr>
        <w:ind w:left="1080" w:hanging="360"/>
      </w:pPr>
      <w:rPr>
        <w:rFonts w:ascii="Symbol" w:hAnsi="Symbol"/>
      </w:rPr>
    </w:lvl>
  </w:abstractNum>
  <w:abstractNum w:abstractNumId="231" w15:restartNumberingAfterBreak="0">
    <w:nsid w:val="6A0172F0"/>
    <w:multiLevelType w:val="hybridMultilevel"/>
    <w:tmpl w:val="888CFBC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2" w15:restartNumberingAfterBreak="0">
    <w:nsid w:val="6A4B91FB"/>
    <w:multiLevelType w:val="hybridMultilevel"/>
    <w:tmpl w:val="FFFFFFFF"/>
    <w:lvl w:ilvl="0" w:tplc="40AC887A">
      <w:start w:val="1"/>
      <w:numFmt w:val="bullet"/>
      <w:lvlText w:val="-"/>
      <w:lvlJc w:val="left"/>
      <w:pPr>
        <w:ind w:left="720" w:hanging="360"/>
      </w:pPr>
      <w:rPr>
        <w:rFonts w:ascii="Aptos" w:hAnsi="Aptos" w:hint="default"/>
      </w:rPr>
    </w:lvl>
    <w:lvl w:ilvl="1" w:tplc="596AB710">
      <w:start w:val="1"/>
      <w:numFmt w:val="bullet"/>
      <w:lvlText w:val="o"/>
      <w:lvlJc w:val="left"/>
      <w:pPr>
        <w:ind w:left="1440" w:hanging="360"/>
      </w:pPr>
      <w:rPr>
        <w:rFonts w:ascii="Courier New" w:hAnsi="Courier New" w:hint="default"/>
      </w:rPr>
    </w:lvl>
    <w:lvl w:ilvl="2" w:tplc="5CC0C680">
      <w:start w:val="1"/>
      <w:numFmt w:val="bullet"/>
      <w:lvlText w:val=""/>
      <w:lvlJc w:val="left"/>
      <w:pPr>
        <w:ind w:left="2160" w:hanging="360"/>
      </w:pPr>
      <w:rPr>
        <w:rFonts w:ascii="Wingdings" w:hAnsi="Wingdings" w:hint="default"/>
      </w:rPr>
    </w:lvl>
    <w:lvl w:ilvl="3" w:tplc="C0CCF77E">
      <w:start w:val="1"/>
      <w:numFmt w:val="bullet"/>
      <w:lvlText w:val=""/>
      <w:lvlJc w:val="left"/>
      <w:pPr>
        <w:ind w:left="2880" w:hanging="360"/>
      </w:pPr>
      <w:rPr>
        <w:rFonts w:ascii="Symbol" w:hAnsi="Symbol" w:hint="default"/>
      </w:rPr>
    </w:lvl>
    <w:lvl w:ilvl="4" w:tplc="382EACDA">
      <w:start w:val="1"/>
      <w:numFmt w:val="bullet"/>
      <w:lvlText w:val="o"/>
      <w:lvlJc w:val="left"/>
      <w:pPr>
        <w:ind w:left="3600" w:hanging="360"/>
      </w:pPr>
      <w:rPr>
        <w:rFonts w:ascii="Courier New" w:hAnsi="Courier New" w:hint="default"/>
      </w:rPr>
    </w:lvl>
    <w:lvl w:ilvl="5" w:tplc="CCA4673E">
      <w:start w:val="1"/>
      <w:numFmt w:val="bullet"/>
      <w:lvlText w:val=""/>
      <w:lvlJc w:val="left"/>
      <w:pPr>
        <w:ind w:left="4320" w:hanging="360"/>
      </w:pPr>
      <w:rPr>
        <w:rFonts w:ascii="Wingdings" w:hAnsi="Wingdings" w:hint="default"/>
      </w:rPr>
    </w:lvl>
    <w:lvl w:ilvl="6" w:tplc="0D3AD5EA">
      <w:start w:val="1"/>
      <w:numFmt w:val="bullet"/>
      <w:lvlText w:val=""/>
      <w:lvlJc w:val="left"/>
      <w:pPr>
        <w:ind w:left="5040" w:hanging="360"/>
      </w:pPr>
      <w:rPr>
        <w:rFonts w:ascii="Symbol" w:hAnsi="Symbol" w:hint="default"/>
      </w:rPr>
    </w:lvl>
    <w:lvl w:ilvl="7" w:tplc="09C4173C">
      <w:start w:val="1"/>
      <w:numFmt w:val="bullet"/>
      <w:lvlText w:val="o"/>
      <w:lvlJc w:val="left"/>
      <w:pPr>
        <w:ind w:left="5760" w:hanging="360"/>
      </w:pPr>
      <w:rPr>
        <w:rFonts w:ascii="Courier New" w:hAnsi="Courier New" w:hint="default"/>
      </w:rPr>
    </w:lvl>
    <w:lvl w:ilvl="8" w:tplc="AF9A1D76">
      <w:start w:val="1"/>
      <w:numFmt w:val="bullet"/>
      <w:lvlText w:val=""/>
      <w:lvlJc w:val="left"/>
      <w:pPr>
        <w:ind w:left="6480" w:hanging="360"/>
      </w:pPr>
      <w:rPr>
        <w:rFonts w:ascii="Wingdings" w:hAnsi="Wingdings" w:hint="default"/>
      </w:rPr>
    </w:lvl>
  </w:abstractNum>
  <w:abstractNum w:abstractNumId="233" w15:restartNumberingAfterBreak="0">
    <w:nsid w:val="6A563A2D"/>
    <w:multiLevelType w:val="hybridMultilevel"/>
    <w:tmpl w:val="080056A4"/>
    <w:lvl w:ilvl="0" w:tplc="039A7154">
      <w:start w:val="1"/>
      <w:numFmt w:val="bullet"/>
      <w:lvlText w:val=""/>
      <w:lvlJc w:val="left"/>
      <w:pPr>
        <w:ind w:left="720" w:hanging="360"/>
      </w:pPr>
      <w:rPr>
        <w:rFonts w:ascii="Symbol" w:hAnsi="Symbol" w:hint="default"/>
      </w:rPr>
    </w:lvl>
    <w:lvl w:ilvl="1" w:tplc="16BA6174" w:tentative="1">
      <w:start w:val="1"/>
      <w:numFmt w:val="bullet"/>
      <w:lvlText w:val="o"/>
      <w:lvlJc w:val="left"/>
      <w:pPr>
        <w:ind w:left="1440" w:hanging="360"/>
      </w:pPr>
      <w:rPr>
        <w:rFonts w:ascii="Courier New" w:hAnsi="Courier New" w:hint="default"/>
      </w:rPr>
    </w:lvl>
    <w:lvl w:ilvl="2" w:tplc="02B41FA2" w:tentative="1">
      <w:start w:val="1"/>
      <w:numFmt w:val="bullet"/>
      <w:lvlText w:val=""/>
      <w:lvlJc w:val="left"/>
      <w:pPr>
        <w:ind w:left="2160" w:hanging="360"/>
      </w:pPr>
      <w:rPr>
        <w:rFonts w:ascii="Cambria Math" w:hAnsi="Cambria Math" w:hint="default"/>
      </w:rPr>
    </w:lvl>
    <w:lvl w:ilvl="3" w:tplc="12AA5EA8" w:tentative="1">
      <w:start w:val="1"/>
      <w:numFmt w:val="bullet"/>
      <w:lvlText w:val=""/>
      <w:lvlJc w:val="left"/>
      <w:pPr>
        <w:ind w:left="2880" w:hanging="360"/>
      </w:pPr>
      <w:rPr>
        <w:rFonts w:ascii="Segoe UI" w:hAnsi="Segoe UI" w:hint="default"/>
      </w:rPr>
    </w:lvl>
    <w:lvl w:ilvl="4" w:tplc="C02E1DDE" w:tentative="1">
      <w:start w:val="1"/>
      <w:numFmt w:val="bullet"/>
      <w:lvlText w:val="o"/>
      <w:lvlJc w:val="left"/>
      <w:pPr>
        <w:ind w:left="3600" w:hanging="360"/>
      </w:pPr>
      <w:rPr>
        <w:rFonts w:ascii="Courier New" w:hAnsi="Courier New" w:hint="default"/>
      </w:rPr>
    </w:lvl>
    <w:lvl w:ilvl="5" w:tplc="2E3E66B0" w:tentative="1">
      <w:start w:val="1"/>
      <w:numFmt w:val="bullet"/>
      <w:lvlText w:val=""/>
      <w:lvlJc w:val="left"/>
      <w:pPr>
        <w:ind w:left="4320" w:hanging="360"/>
      </w:pPr>
      <w:rPr>
        <w:rFonts w:ascii="Cambria Math" w:hAnsi="Cambria Math" w:hint="default"/>
      </w:rPr>
    </w:lvl>
    <w:lvl w:ilvl="6" w:tplc="C7F22386" w:tentative="1">
      <w:start w:val="1"/>
      <w:numFmt w:val="bullet"/>
      <w:lvlText w:val=""/>
      <w:lvlJc w:val="left"/>
      <w:pPr>
        <w:ind w:left="5040" w:hanging="360"/>
      </w:pPr>
      <w:rPr>
        <w:rFonts w:ascii="Segoe UI" w:hAnsi="Segoe UI" w:hint="default"/>
      </w:rPr>
    </w:lvl>
    <w:lvl w:ilvl="7" w:tplc="1028252C" w:tentative="1">
      <w:start w:val="1"/>
      <w:numFmt w:val="bullet"/>
      <w:lvlText w:val="o"/>
      <w:lvlJc w:val="left"/>
      <w:pPr>
        <w:ind w:left="5760" w:hanging="360"/>
      </w:pPr>
      <w:rPr>
        <w:rFonts w:ascii="Courier New" w:hAnsi="Courier New" w:hint="default"/>
      </w:rPr>
    </w:lvl>
    <w:lvl w:ilvl="8" w:tplc="4C780A66" w:tentative="1">
      <w:start w:val="1"/>
      <w:numFmt w:val="bullet"/>
      <w:lvlText w:val=""/>
      <w:lvlJc w:val="left"/>
      <w:pPr>
        <w:ind w:left="6480" w:hanging="360"/>
      </w:pPr>
      <w:rPr>
        <w:rFonts w:ascii="Cambria Math" w:hAnsi="Cambria Math" w:hint="default"/>
      </w:rPr>
    </w:lvl>
  </w:abstractNum>
  <w:abstractNum w:abstractNumId="234" w15:restartNumberingAfterBreak="0">
    <w:nsid w:val="6AB606B0"/>
    <w:multiLevelType w:val="hybridMultilevel"/>
    <w:tmpl w:val="D3BAFE1E"/>
    <w:lvl w:ilvl="0" w:tplc="6078304C">
      <w:start w:val="1"/>
      <w:numFmt w:val="bullet"/>
      <w:lvlText w:val=""/>
      <w:lvlJc w:val="left"/>
      <w:pPr>
        <w:ind w:left="720" w:hanging="360"/>
      </w:pPr>
      <w:rPr>
        <w:rFonts w:ascii="Symbol" w:hAnsi="Symbol" w:hint="default"/>
        <w:b/>
        <w:bCs/>
      </w:rPr>
    </w:lvl>
    <w:lvl w:ilvl="1" w:tplc="4DC61CDC">
      <w:start w:val="1"/>
      <w:numFmt w:val="lowerLetter"/>
      <w:lvlText w:val="%2."/>
      <w:lvlJc w:val="left"/>
      <w:pPr>
        <w:ind w:left="1440" w:hanging="360"/>
      </w:pPr>
      <w:rPr>
        <w:rFonts w:ascii="Times New Roman" w:hAnsi="Times New Roman" w:hint="default"/>
      </w:rPr>
    </w:lvl>
    <w:lvl w:ilvl="2" w:tplc="779E6830" w:tentative="1">
      <w:start w:val="1"/>
      <w:numFmt w:val="bullet"/>
      <w:lvlText w:val=""/>
      <w:lvlJc w:val="left"/>
      <w:pPr>
        <w:ind w:left="2160" w:hanging="360"/>
      </w:pPr>
      <w:rPr>
        <w:rFonts w:ascii="Wingdings" w:hAnsi="Wingdings" w:hint="default"/>
      </w:rPr>
    </w:lvl>
    <w:lvl w:ilvl="3" w:tplc="69D6A394" w:tentative="1">
      <w:start w:val="1"/>
      <w:numFmt w:val="bullet"/>
      <w:lvlText w:val=""/>
      <w:lvlJc w:val="left"/>
      <w:pPr>
        <w:ind w:left="2880" w:hanging="360"/>
      </w:pPr>
      <w:rPr>
        <w:rFonts w:ascii="Symbol" w:hAnsi="Symbol" w:hint="default"/>
      </w:rPr>
    </w:lvl>
    <w:lvl w:ilvl="4" w:tplc="17E033EE" w:tentative="1">
      <w:start w:val="1"/>
      <w:numFmt w:val="bullet"/>
      <w:lvlText w:val="o"/>
      <w:lvlJc w:val="left"/>
      <w:pPr>
        <w:ind w:left="3600" w:hanging="360"/>
      </w:pPr>
      <w:rPr>
        <w:rFonts w:ascii="Courier New" w:hAnsi="Courier New" w:hint="default"/>
      </w:rPr>
    </w:lvl>
    <w:lvl w:ilvl="5" w:tplc="AFFC082A" w:tentative="1">
      <w:start w:val="1"/>
      <w:numFmt w:val="bullet"/>
      <w:lvlText w:val=""/>
      <w:lvlJc w:val="left"/>
      <w:pPr>
        <w:ind w:left="4320" w:hanging="360"/>
      </w:pPr>
      <w:rPr>
        <w:rFonts w:ascii="Wingdings" w:hAnsi="Wingdings" w:hint="default"/>
      </w:rPr>
    </w:lvl>
    <w:lvl w:ilvl="6" w:tplc="B4BE6DBA" w:tentative="1">
      <w:start w:val="1"/>
      <w:numFmt w:val="bullet"/>
      <w:lvlText w:val=""/>
      <w:lvlJc w:val="left"/>
      <w:pPr>
        <w:ind w:left="5040" w:hanging="360"/>
      </w:pPr>
      <w:rPr>
        <w:rFonts w:ascii="Symbol" w:hAnsi="Symbol" w:hint="default"/>
      </w:rPr>
    </w:lvl>
    <w:lvl w:ilvl="7" w:tplc="1400C42E" w:tentative="1">
      <w:start w:val="1"/>
      <w:numFmt w:val="bullet"/>
      <w:lvlText w:val="o"/>
      <w:lvlJc w:val="left"/>
      <w:pPr>
        <w:ind w:left="5760" w:hanging="360"/>
      </w:pPr>
      <w:rPr>
        <w:rFonts w:ascii="Courier New" w:hAnsi="Courier New" w:hint="default"/>
      </w:rPr>
    </w:lvl>
    <w:lvl w:ilvl="8" w:tplc="BB24D9D4" w:tentative="1">
      <w:start w:val="1"/>
      <w:numFmt w:val="bullet"/>
      <w:lvlText w:val=""/>
      <w:lvlJc w:val="left"/>
      <w:pPr>
        <w:ind w:left="6480" w:hanging="360"/>
      </w:pPr>
      <w:rPr>
        <w:rFonts w:ascii="Wingdings" w:hAnsi="Wingdings" w:hint="default"/>
      </w:rPr>
    </w:lvl>
  </w:abstractNum>
  <w:abstractNum w:abstractNumId="235" w15:restartNumberingAfterBreak="0">
    <w:nsid w:val="6AFA3C9B"/>
    <w:multiLevelType w:val="hybridMultilevel"/>
    <w:tmpl w:val="A33CCBC4"/>
    <w:lvl w:ilvl="0" w:tplc="C88C5672">
      <w:start w:val="1"/>
      <w:numFmt w:val="bullet"/>
      <w:lvlText w:val="-"/>
      <w:lvlJc w:val="left"/>
      <w:pPr>
        <w:ind w:left="720" w:hanging="360"/>
      </w:pPr>
      <w:rPr>
        <w:rFonts w:ascii="Aptos" w:hAnsi="Aptos" w:hint="default"/>
      </w:rPr>
    </w:lvl>
    <w:lvl w:ilvl="1" w:tplc="C110132C" w:tentative="1">
      <w:start w:val="1"/>
      <w:numFmt w:val="bullet"/>
      <w:lvlText w:val="o"/>
      <w:lvlJc w:val="left"/>
      <w:pPr>
        <w:ind w:left="1440" w:hanging="360"/>
      </w:pPr>
      <w:rPr>
        <w:rFonts w:ascii="Courier New" w:hAnsi="Courier New" w:hint="default"/>
      </w:rPr>
    </w:lvl>
    <w:lvl w:ilvl="2" w:tplc="BF1C3B8A" w:tentative="1">
      <w:start w:val="1"/>
      <w:numFmt w:val="bullet"/>
      <w:lvlText w:val=""/>
      <w:lvlJc w:val="left"/>
      <w:pPr>
        <w:ind w:left="2160" w:hanging="360"/>
      </w:pPr>
      <w:rPr>
        <w:rFonts w:ascii="Wingdings" w:hAnsi="Wingdings" w:hint="default"/>
      </w:rPr>
    </w:lvl>
    <w:lvl w:ilvl="3" w:tplc="8D904FFA" w:tentative="1">
      <w:start w:val="1"/>
      <w:numFmt w:val="bullet"/>
      <w:lvlText w:val=""/>
      <w:lvlJc w:val="left"/>
      <w:pPr>
        <w:ind w:left="2880" w:hanging="360"/>
      </w:pPr>
      <w:rPr>
        <w:rFonts w:ascii="Symbol" w:hAnsi="Symbol" w:hint="default"/>
      </w:rPr>
    </w:lvl>
    <w:lvl w:ilvl="4" w:tplc="8516218C" w:tentative="1">
      <w:start w:val="1"/>
      <w:numFmt w:val="bullet"/>
      <w:lvlText w:val="o"/>
      <w:lvlJc w:val="left"/>
      <w:pPr>
        <w:ind w:left="3600" w:hanging="360"/>
      </w:pPr>
      <w:rPr>
        <w:rFonts w:ascii="Courier New" w:hAnsi="Courier New" w:hint="default"/>
      </w:rPr>
    </w:lvl>
    <w:lvl w:ilvl="5" w:tplc="74045A80" w:tentative="1">
      <w:start w:val="1"/>
      <w:numFmt w:val="bullet"/>
      <w:lvlText w:val=""/>
      <w:lvlJc w:val="left"/>
      <w:pPr>
        <w:ind w:left="4320" w:hanging="360"/>
      </w:pPr>
      <w:rPr>
        <w:rFonts w:ascii="Wingdings" w:hAnsi="Wingdings" w:hint="default"/>
      </w:rPr>
    </w:lvl>
    <w:lvl w:ilvl="6" w:tplc="4A283DF8" w:tentative="1">
      <w:start w:val="1"/>
      <w:numFmt w:val="bullet"/>
      <w:lvlText w:val=""/>
      <w:lvlJc w:val="left"/>
      <w:pPr>
        <w:ind w:left="5040" w:hanging="360"/>
      </w:pPr>
      <w:rPr>
        <w:rFonts w:ascii="Symbol" w:hAnsi="Symbol" w:hint="default"/>
      </w:rPr>
    </w:lvl>
    <w:lvl w:ilvl="7" w:tplc="D6A8A624" w:tentative="1">
      <w:start w:val="1"/>
      <w:numFmt w:val="bullet"/>
      <w:lvlText w:val="o"/>
      <w:lvlJc w:val="left"/>
      <w:pPr>
        <w:ind w:left="5760" w:hanging="360"/>
      </w:pPr>
      <w:rPr>
        <w:rFonts w:ascii="Courier New" w:hAnsi="Courier New" w:hint="default"/>
      </w:rPr>
    </w:lvl>
    <w:lvl w:ilvl="8" w:tplc="493E22EC" w:tentative="1">
      <w:start w:val="1"/>
      <w:numFmt w:val="bullet"/>
      <w:lvlText w:val=""/>
      <w:lvlJc w:val="left"/>
      <w:pPr>
        <w:ind w:left="6480" w:hanging="360"/>
      </w:pPr>
      <w:rPr>
        <w:rFonts w:ascii="Wingdings" w:hAnsi="Wingdings" w:hint="default"/>
      </w:rPr>
    </w:lvl>
  </w:abstractNum>
  <w:abstractNum w:abstractNumId="236" w15:restartNumberingAfterBreak="0">
    <w:nsid w:val="6B002138"/>
    <w:multiLevelType w:val="hybridMultilevel"/>
    <w:tmpl w:val="D0303806"/>
    <w:lvl w:ilvl="0" w:tplc="85768B32">
      <w:start w:val="1"/>
      <w:numFmt w:val="lowerRoman"/>
      <w:lvlText w:val="%1."/>
      <w:lvlJc w:val="right"/>
      <w:pPr>
        <w:ind w:left="720" w:hanging="360"/>
      </w:pPr>
      <w:rPr>
        <w:color w:val="auto"/>
        <w:sz w:val="18"/>
        <w:szCs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7" w15:restartNumberingAfterBreak="0">
    <w:nsid w:val="6B8345B1"/>
    <w:multiLevelType w:val="hybridMultilevel"/>
    <w:tmpl w:val="B34877A4"/>
    <w:lvl w:ilvl="0" w:tplc="8326BC76">
      <w:start w:val="1"/>
      <w:numFmt w:val="bullet"/>
      <w:lvlText w:val=""/>
      <w:lvlJc w:val="left"/>
      <w:pPr>
        <w:ind w:left="720" w:hanging="360"/>
      </w:pPr>
      <w:rPr>
        <w:rFonts w:ascii="Symbol" w:hAnsi="Symbol" w:hint="default"/>
      </w:rPr>
    </w:lvl>
    <w:lvl w:ilvl="1" w:tplc="69B47882" w:tentative="1">
      <w:start w:val="1"/>
      <w:numFmt w:val="bullet"/>
      <w:lvlText w:val="o"/>
      <w:lvlJc w:val="left"/>
      <w:pPr>
        <w:ind w:left="1440" w:hanging="360"/>
      </w:pPr>
      <w:rPr>
        <w:rFonts w:ascii="Courier New" w:hAnsi="Courier New" w:hint="default"/>
      </w:rPr>
    </w:lvl>
    <w:lvl w:ilvl="2" w:tplc="6FA8FC1A" w:tentative="1">
      <w:start w:val="1"/>
      <w:numFmt w:val="bullet"/>
      <w:lvlText w:val=""/>
      <w:lvlJc w:val="left"/>
      <w:pPr>
        <w:ind w:left="2160" w:hanging="360"/>
      </w:pPr>
      <w:rPr>
        <w:rFonts w:ascii="Cambria Math" w:hAnsi="Cambria Math" w:hint="default"/>
      </w:rPr>
    </w:lvl>
    <w:lvl w:ilvl="3" w:tplc="3BAA6CDC" w:tentative="1">
      <w:start w:val="1"/>
      <w:numFmt w:val="bullet"/>
      <w:lvlText w:val=""/>
      <w:lvlJc w:val="left"/>
      <w:pPr>
        <w:ind w:left="2880" w:hanging="360"/>
      </w:pPr>
      <w:rPr>
        <w:rFonts w:ascii="Segoe UI" w:hAnsi="Segoe UI" w:hint="default"/>
      </w:rPr>
    </w:lvl>
    <w:lvl w:ilvl="4" w:tplc="BD7CB90A" w:tentative="1">
      <w:start w:val="1"/>
      <w:numFmt w:val="bullet"/>
      <w:lvlText w:val="o"/>
      <w:lvlJc w:val="left"/>
      <w:pPr>
        <w:ind w:left="3600" w:hanging="360"/>
      </w:pPr>
      <w:rPr>
        <w:rFonts w:ascii="Courier New" w:hAnsi="Courier New" w:hint="default"/>
      </w:rPr>
    </w:lvl>
    <w:lvl w:ilvl="5" w:tplc="549C4CFA" w:tentative="1">
      <w:start w:val="1"/>
      <w:numFmt w:val="bullet"/>
      <w:lvlText w:val=""/>
      <w:lvlJc w:val="left"/>
      <w:pPr>
        <w:ind w:left="4320" w:hanging="360"/>
      </w:pPr>
      <w:rPr>
        <w:rFonts w:ascii="Cambria Math" w:hAnsi="Cambria Math" w:hint="default"/>
      </w:rPr>
    </w:lvl>
    <w:lvl w:ilvl="6" w:tplc="7C509C0C" w:tentative="1">
      <w:start w:val="1"/>
      <w:numFmt w:val="bullet"/>
      <w:lvlText w:val=""/>
      <w:lvlJc w:val="left"/>
      <w:pPr>
        <w:ind w:left="5040" w:hanging="360"/>
      </w:pPr>
      <w:rPr>
        <w:rFonts w:ascii="Segoe UI" w:hAnsi="Segoe UI" w:hint="default"/>
      </w:rPr>
    </w:lvl>
    <w:lvl w:ilvl="7" w:tplc="25766F18" w:tentative="1">
      <w:start w:val="1"/>
      <w:numFmt w:val="bullet"/>
      <w:lvlText w:val="o"/>
      <w:lvlJc w:val="left"/>
      <w:pPr>
        <w:ind w:left="5760" w:hanging="360"/>
      </w:pPr>
      <w:rPr>
        <w:rFonts w:ascii="Courier New" w:hAnsi="Courier New" w:hint="default"/>
      </w:rPr>
    </w:lvl>
    <w:lvl w:ilvl="8" w:tplc="734A38C0" w:tentative="1">
      <w:start w:val="1"/>
      <w:numFmt w:val="bullet"/>
      <w:lvlText w:val=""/>
      <w:lvlJc w:val="left"/>
      <w:pPr>
        <w:ind w:left="6480" w:hanging="360"/>
      </w:pPr>
      <w:rPr>
        <w:rFonts w:ascii="Cambria Math" w:hAnsi="Cambria Math" w:hint="default"/>
      </w:rPr>
    </w:lvl>
  </w:abstractNum>
  <w:abstractNum w:abstractNumId="238" w15:restartNumberingAfterBreak="0">
    <w:nsid w:val="6B921634"/>
    <w:multiLevelType w:val="hybridMultilevel"/>
    <w:tmpl w:val="9A74D662"/>
    <w:lvl w:ilvl="0" w:tplc="083EB1F6">
      <w:start w:val="1"/>
      <w:numFmt w:val="decimal"/>
      <w:lvlText w:val="%1."/>
      <w:lvlJc w:val="left"/>
      <w:pPr>
        <w:ind w:left="720" w:hanging="360"/>
      </w:pPr>
    </w:lvl>
    <w:lvl w:ilvl="1" w:tplc="A94A2966">
      <w:start w:val="1"/>
      <w:numFmt w:val="bullet"/>
      <w:lvlText w:val="o"/>
      <w:lvlJc w:val="left"/>
      <w:pPr>
        <w:ind w:left="1440" w:hanging="360"/>
      </w:pPr>
      <w:rPr>
        <w:rFonts w:ascii="Courier New" w:hAnsi="Courier New" w:hint="default"/>
      </w:rPr>
    </w:lvl>
    <w:lvl w:ilvl="2" w:tplc="B4A48ACC">
      <w:start w:val="1"/>
      <w:numFmt w:val="bullet"/>
      <w:lvlText w:val=""/>
      <w:lvlJc w:val="left"/>
      <w:pPr>
        <w:ind w:left="2160" w:hanging="360"/>
      </w:pPr>
      <w:rPr>
        <w:rFonts w:ascii="Wingdings" w:hAnsi="Wingdings" w:hint="default"/>
      </w:rPr>
    </w:lvl>
    <w:lvl w:ilvl="3" w:tplc="4574C99E" w:tentative="1">
      <w:start w:val="1"/>
      <w:numFmt w:val="bullet"/>
      <w:lvlText w:val=""/>
      <w:lvlJc w:val="left"/>
      <w:pPr>
        <w:ind w:left="2880" w:hanging="360"/>
      </w:pPr>
      <w:rPr>
        <w:rFonts w:ascii="Symbol" w:hAnsi="Symbol" w:hint="default"/>
      </w:rPr>
    </w:lvl>
    <w:lvl w:ilvl="4" w:tplc="6406C18E" w:tentative="1">
      <w:start w:val="1"/>
      <w:numFmt w:val="bullet"/>
      <w:lvlText w:val="o"/>
      <w:lvlJc w:val="left"/>
      <w:pPr>
        <w:ind w:left="3600" w:hanging="360"/>
      </w:pPr>
      <w:rPr>
        <w:rFonts w:ascii="Courier New" w:hAnsi="Courier New" w:hint="default"/>
      </w:rPr>
    </w:lvl>
    <w:lvl w:ilvl="5" w:tplc="09BEFAAA" w:tentative="1">
      <w:start w:val="1"/>
      <w:numFmt w:val="bullet"/>
      <w:lvlText w:val=""/>
      <w:lvlJc w:val="left"/>
      <w:pPr>
        <w:ind w:left="4320" w:hanging="360"/>
      </w:pPr>
      <w:rPr>
        <w:rFonts w:ascii="Wingdings" w:hAnsi="Wingdings" w:hint="default"/>
      </w:rPr>
    </w:lvl>
    <w:lvl w:ilvl="6" w:tplc="FA16C72C" w:tentative="1">
      <w:start w:val="1"/>
      <w:numFmt w:val="bullet"/>
      <w:lvlText w:val=""/>
      <w:lvlJc w:val="left"/>
      <w:pPr>
        <w:ind w:left="5040" w:hanging="360"/>
      </w:pPr>
      <w:rPr>
        <w:rFonts w:ascii="Symbol" w:hAnsi="Symbol" w:hint="default"/>
      </w:rPr>
    </w:lvl>
    <w:lvl w:ilvl="7" w:tplc="908A8218" w:tentative="1">
      <w:start w:val="1"/>
      <w:numFmt w:val="bullet"/>
      <w:lvlText w:val="o"/>
      <w:lvlJc w:val="left"/>
      <w:pPr>
        <w:ind w:left="5760" w:hanging="360"/>
      </w:pPr>
      <w:rPr>
        <w:rFonts w:ascii="Courier New" w:hAnsi="Courier New" w:hint="default"/>
      </w:rPr>
    </w:lvl>
    <w:lvl w:ilvl="8" w:tplc="4D52C00A" w:tentative="1">
      <w:start w:val="1"/>
      <w:numFmt w:val="bullet"/>
      <w:lvlText w:val=""/>
      <w:lvlJc w:val="left"/>
      <w:pPr>
        <w:ind w:left="6480" w:hanging="360"/>
      </w:pPr>
      <w:rPr>
        <w:rFonts w:ascii="Wingdings" w:hAnsi="Wingdings" w:hint="default"/>
      </w:rPr>
    </w:lvl>
  </w:abstractNum>
  <w:abstractNum w:abstractNumId="239" w15:restartNumberingAfterBreak="0">
    <w:nsid w:val="6C293455"/>
    <w:multiLevelType w:val="hybridMultilevel"/>
    <w:tmpl w:val="CB90DECC"/>
    <w:lvl w:ilvl="0" w:tplc="D7F0B808">
      <w:start w:val="1"/>
      <w:numFmt w:val="decimal"/>
      <w:lvlText w:val="%1."/>
      <w:lvlJc w:val="left"/>
      <w:pPr>
        <w:ind w:left="1020" w:hanging="360"/>
      </w:pPr>
    </w:lvl>
    <w:lvl w:ilvl="1" w:tplc="8A40536C">
      <w:start w:val="1"/>
      <w:numFmt w:val="decimal"/>
      <w:lvlText w:val="%2."/>
      <w:lvlJc w:val="left"/>
      <w:pPr>
        <w:ind w:left="1020" w:hanging="360"/>
      </w:pPr>
    </w:lvl>
    <w:lvl w:ilvl="2" w:tplc="D1CE5A3E">
      <w:start w:val="1"/>
      <w:numFmt w:val="decimal"/>
      <w:lvlText w:val="%3."/>
      <w:lvlJc w:val="left"/>
      <w:pPr>
        <w:ind w:left="1020" w:hanging="360"/>
      </w:pPr>
    </w:lvl>
    <w:lvl w:ilvl="3" w:tplc="5ED0C678">
      <w:start w:val="1"/>
      <w:numFmt w:val="decimal"/>
      <w:lvlText w:val="%4."/>
      <w:lvlJc w:val="left"/>
      <w:pPr>
        <w:ind w:left="1020" w:hanging="360"/>
      </w:pPr>
    </w:lvl>
    <w:lvl w:ilvl="4" w:tplc="7D523DB0">
      <w:start w:val="1"/>
      <w:numFmt w:val="decimal"/>
      <w:lvlText w:val="%5."/>
      <w:lvlJc w:val="left"/>
      <w:pPr>
        <w:ind w:left="1020" w:hanging="360"/>
      </w:pPr>
    </w:lvl>
    <w:lvl w:ilvl="5" w:tplc="DBFC05F6">
      <w:start w:val="1"/>
      <w:numFmt w:val="decimal"/>
      <w:lvlText w:val="%6."/>
      <w:lvlJc w:val="left"/>
      <w:pPr>
        <w:ind w:left="1020" w:hanging="360"/>
      </w:pPr>
    </w:lvl>
    <w:lvl w:ilvl="6" w:tplc="1C9030CC">
      <w:start w:val="1"/>
      <w:numFmt w:val="decimal"/>
      <w:lvlText w:val="%7."/>
      <w:lvlJc w:val="left"/>
      <w:pPr>
        <w:ind w:left="1020" w:hanging="360"/>
      </w:pPr>
    </w:lvl>
    <w:lvl w:ilvl="7" w:tplc="90AA7100">
      <w:start w:val="1"/>
      <w:numFmt w:val="decimal"/>
      <w:lvlText w:val="%8."/>
      <w:lvlJc w:val="left"/>
      <w:pPr>
        <w:ind w:left="1020" w:hanging="360"/>
      </w:pPr>
    </w:lvl>
    <w:lvl w:ilvl="8" w:tplc="A0FAFDC6">
      <w:start w:val="1"/>
      <w:numFmt w:val="decimal"/>
      <w:lvlText w:val="%9."/>
      <w:lvlJc w:val="left"/>
      <w:pPr>
        <w:ind w:left="1020" w:hanging="360"/>
      </w:pPr>
    </w:lvl>
  </w:abstractNum>
  <w:abstractNum w:abstractNumId="240" w15:restartNumberingAfterBreak="0">
    <w:nsid w:val="6C7D3549"/>
    <w:multiLevelType w:val="hybridMultilevel"/>
    <w:tmpl w:val="FDD6BEBC"/>
    <w:lvl w:ilvl="0" w:tplc="6272088A">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41" w15:restartNumberingAfterBreak="0">
    <w:nsid w:val="6E1D2B0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2" w15:restartNumberingAfterBreak="0">
    <w:nsid w:val="6E3D7768"/>
    <w:multiLevelType w:val="hybridMultilevel"/>
    <w:tmpl w:val="3806BF5E"/>
    <w:lvl w:ilvl="0" w:tplc="EF60DE4C">
      <w:start w:val="1"/>
      <w:numFmt w:val="bullet"/>
      <w:lvlText w:val=""/>
      <w:lvlJc w:val="left"/>
      <w:pPr>
        <w:ind w:left="720" w:hanging="360"/>
      </w:pPr>
      <w:rPr>
        <w:rFonts w:ascii="Symbol" w:hAnsi="Symbol" w:hint="default"/>
      </w:rPr>
    </w:lvl>
    <w:lvl w:ilvl="1" w:tplc="8FA058FA" w:tentative="1">
      <w:start w:val="1"/>
      <w:numFmt w:val="bullet"/>
      <w:lvlText w:val="o"/>
      <w:lvlJc w:val="left"/>
      <w:pPr>
        <w:ind w:left="1440" w:hanging="360"/>
      </w:pPr>
      <w:rPr>
        <w:rFonts w:ascii="Courier New" w:hAnsi="Courier New" w:hint="default"/>
      </w:rPr>
    </w:lvl>
    <w:lvl w:ilvl="2" w:tplc="DA7441FA" w:tentative="1">
      <w:start w:val="1"/>
      <w:numFmt w:val="bullet"/>
      <w:lvlText w:val=""/>
      <w:lvlJc w:val="left"/>
      <w:pPr>
        <w:ind w:left="2160" w:hanging="360"/>
      </w:pPr>
      <w:rPr>
        <w:rFonts w:ascii="Wingdings" w:hAnsi="Wingdings" w:hint="default"/>
      </w:rPr>
    </w:lvl>
    <w:lvl w:ilvl="3" w:tplc="9882355C" w:tentative="1">
      <w:start w:val="1"/>
      <w:numFmt w:val="bullet"/>
      <w:lvlText w:val=""/>
      <w:lvlJc w:val="left"/>
      <w:pPr>
        <w:ind w:left="2880" w:hanging="360"/>
      </w:pPr>
      <w:rPr>
        <w:rFonts w:ascii="Symbol" w:hAnsi="Symbol" w:hint="default"/>
      </w:rPr>
    </w:lvl>
    <w:lvl w:ilvl="4" w:tplc="5C92A73A" w:tentative="1">
      <w:start w:val="1"/>
      <w:numFmt w:val="bullet"/>
      <w:lvlText w:val="o"/>
      <w:lvlJc w:val="left"/>
      <w:pPr>
        <w:ind w:left="3600" w:hanging="360"/>
      </w:pPr>
      <w:rPr>
        <w:rFonts w:ascii="Courier New" w:hAnsi="Courier New" w:hint="default"/>
      </w:rPr>
    </w:lvl>
    <w:lvl w:ilvl="5" w:tplc="038C6020" w:tentative="1">
      <w:start w:val="1"/>
      <w:numFmt w:val="bullet"/>
      <w:lvlText w:val=""/>
      <w:lvlJc w:val="left"/>
      <w:pPr>
        <w:ind w:left="4320" w:hanging="360"/>
      </w:pPr>
      <w:rPr>
        <w:rFonts w:ascii="Wingdings" w:hAnsi="Wingdings" w:hint="default"/>
      </w:rPr>
    </w:lvl>
    <w:lvl w:ilvl="6" w:tplc="3BE2A632" w:tentative="1">
      <w:start w:val="1"/>
      <w:numFmt w:val="bullet"/>
      <w:lvlText w:val=""/>
      <w:lvlJc w:val="left"/>
      <w:pPr>
        <w:ind w:left="5040" w:hanging="360"/>
      </w:pPr>
      <w:rPr>
        <w:rFonts w:ascii="Symbol" w:hAnsi="Symbol" w:hint="default"/>
      </w:rPr>
    </w:lvl>
    <w:lvl w:ilvl="7" w:tplc="6FEE8CC4" w:tentative="1">
      <w:start w:val="1"/>
      <w:numFmt w:val="bullet"/>
      <w:lvlText w:val="o"/>
      <w:lvlJc w:val="left"/>
      <w:pPr>
        <w:ind w:left="5760" w:hanging="360"/>
      </w:pPr>
      <w:rPr>
        <w:rFonts w:ascii="Courier New" w:hAnsi="Courier New" w:hint="default"/>
      </w:rPr>
    </w:lvl>
    <w:lvl w:ilvl="8" w:tplc="CC324F20" w:tentative="1">
      <w:start w:val="1"/>
      <w:numFmt w:val="bullet"/>
      <w:lvlText w:val=""/>
      <w:lvlJc w:val="left"/>
      <w:pPr>
        <w:ind w:left="6480" w:hanging="360"/>
      </w:pPr>
      <w:rPr>
        <w:rFonts w:ascii="Wingdings" w:hAnsi="Wingdings" w:hint="default"/>
      </w:rPr>
    </w:lvl>
  </w:abstractNum>
  <w:abstractNum w:abstractNumId="243" w15:restartNumberingAfterBreak="0">
    <w:nsid w:val="6E4E734A"/>
    <w:multiLevelType w:val="hybridMultilevel"/>
    <w:tmpl w:val="C70CC2DC"/>
    <w:lvl w:ilvl="0" w:tplc="FFFFFFFF">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4" w15:restartNumberingAfterBreak="0">
    <w:nsid w:val="6F927ACE"/>
    <w:multiLevelType w:val="hybridMultilevel"/>
    <w:tmpl w:val="1C2E6EC8"/>
    <w:lvl w:ilvl="0" w:tplc="4E989E78">
      <w:start w:val="1"/>
      <w:numFmt w:val="decimal"/>
      <w:lvlText w:val="%1."/>
      <w:lvlJc w:val="left"/>
      <w:pPr>
        <w:ind w:left="1020" w:hanging="360"/>
      </w:pPr>
    </w:lvl>
    <w:lvl w:ilvl="1" w:tplc="FEAC9E70">
      <w:start w:val="1"/>
      <w:numFmt w:val="decimal"/>
      <w:lvlText w:val="%2."/>
      <w:lvlJc w:val="left"/>
      <w:pPr>
        <w:ind w:left="1020" w:hanging="360"/>
      </w:pPr>
    </w:lvl>
    <w:lvl w:ilvl="2" w:tplc="B76E8B32">
      <w:start w:val="1"/>
      <w:numFmt w:val="decimal"/>
      <w:lvlText w:val="%3."/>
      <w:lvlJc w:val="left"/>
      <w:pPr>
        <w:ind w:left="1020" w:hanging="360"/>
      </w:pPr>
    </w:lvl>
    <w:lvl w:ilvl="3" w:tplc="9FF4C536">
      <w:start w:val="1"/>
      <w:numFmt w:val="decimal"/>
      <w:lvlText w:val="%4."/>
      <w:lvlJc w:val="left"/>
      <w:pPr>
        <w:ind w:left="1020" w:hanging="360"/>
      </w:pPr>
    </w:lvl>
    <w:lvl w:ilvl="4" w:tplc="501EF7AA">
      <w:start w:val="1"/>
      <w:numFmt w:val="decimal"/>
      <w:lvlText w:val="%5."/>
      <w:lvlJc w:val="left"/>
      <w:pPr>
        <w:ind w:left="1020" w:hanging="360"/>
      </w:pPr>
    </w:lvl>
    <w:lvl w:ilvl="5" w:tplc="E984077A">
      <w:start w:val="1"/>
      <w:numFmt w:val="decimal"/>
      <w:lvlText w:val="%6."/>
      <w:lvlJc w:val="left"/>
      <w:pPr>
        <w:ind w:left="1020" w:hanging="360"/>
      </w:pPr>
    </w:lvl>
    <w:lvl w:ilvl="6" w:tplc="1DFCA5B0">
      <w:start w:val="1"/>
      <w:numFmt w:val="decimal"/>
      <w:lvlText w:val="%7."/>
      <w:lvlJc w:val="left"/>
      <w:pPr>
        <w:ind w:left="1020" w:hanging="360"/>
      </w:pPr>
    </w:lvl>
    <w:lvl w:ilvl="7" w:tplc="C0F2B476">
      <w:start w:val="1"/>
      <w:numFmt w:val="decimal"/>
      <w:lvlText w:val="%8."/>
      <w:lvlJc w:val="left"/>
      <w:pPr>
        <w:ind w:left="1020" w:hanging="360"/>
      </w:pPr>
    </w:lvl>
    <w:lvl w:ilvl="8" w:tplc="AB3EEC86">
      <w:start w:val="1"/>
      <w:numFmt w:val="decimal"/>
      <w:lvlText w:val="%9."/>
      <w:lvlJc w:val="left"/>
      <w:pPr>
        <w:ind w:left="1020" w:hanging="360"/>
      </w:pPr>
    </w:lvl>
  </w:abstractNum>
  <w:abstractNum w:abstractNumId="245" w15:restartNumberingAfterBreak="0">
    <w:nsid w:val="6F9C0D1B"/>
    <w:multiLevelType w:val="hybridMultilevel"/>
    <w:tmpl w:val="E91EE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6" w15:restartNumberingAfterBreak="0">
    <w:nsid w:val="700D6F1F"/>
    <w:multiLevelType w:val="hybridMultilevel"/>
    <w:tmpl w:val="795664E8"/>
    <w:lvl w:ilvl="0" w:tplc="F7BCA798">
      <w:start w:val="1"/>
      <w:numFmt w:val="bullet"/>
      <w:lvlText w:val=""/>
      <w:lvlJc w:val="left"/>
      <w:pPr>
        <w:ind w:left="720" w:hanging="360"/>
      </w:pPr>
      <w:rPr>
        <w:rFonts w:ascii="Symbol" w:hAnsi="Symbol" w:hint="default"/>
      </w:rPr>
    </w:lvl>
    <w:lvl w:ilvl="1" w:tplc="22B014CE" w:tentative="1">
      <w:start w:val="1"/>
      <w:numFmt w:val="bullet"/>
      <w:lvlText w:val="o"/>
      <w:lvlJc w:val="left"/>
      <w:pPr>
        <w:ind w:left="1440" w:hanging="360"/>
      </w:pPr>
      <w:rPr>
        <w:rFonts w:ascii="Courier New" w:hAnsi="Courier New" w:hint="default"/>
      </w:rPr>
    </w:lvl>
    <w:lvl w:ilvl="2" w:tplc="9418C29E" w:tentative="1">
      <w:start w:val="1"/>
      <w:numFmt w:val="bullet"/>
      <w:lvlText w:val=""/>
      <w:lvlJc w:val="left"/>
      <w:pPr>
        <w:ind w:left="2160" w:hanging="360"/>
      </w:pPr>
      <w:rPr>
        <w:rFonts w:ascii="Wingdings" w:hAnsi="Wingdings" w:hint="default"/>
      </w:rPr>
    </w:lvl>
    <w:lvl w:ilvl="3" w:tplc="C14E6B42" w:tentative="1">
      <w:start w:val="1"/>
      <w:numFmt w:val="bullet"/>
      <w:lvlText w:val=""/>
      <w:lvlJc w:val="left"/>
      <w:pPr>
        <w:ind w:left="2880" w:hanging="360"/>
      </w:pPr>
      <w:rPr>
        <w:rFonts w:ascii="Symbol" w:hAnsi="Symbol" w:hint="default"/>
      </w:rPr>
    </w:lvl>
    <w:lvl w:ilvl="4" w:tplc="1A9E7A72" w:tentative="1">
      <w:start w:val="1"/>
      <w:numFmt w:val="bullet"/>
      <w:lvlText w:val="o"/>
      <w:lvlJc w:val="left"/>
      <w:pPr>
        <w:ind w:left="3600" w:hanging="360"/>
      </w:pPr>
      <w:rPr>
        <w:rFonts w:ascii="Courier New" w:hAnsi="Courier New" w:hint="default"/>
      </w:rPr>
    </w:lvl>
    <w:lvl w:ilvl="5" w:tplc="CA4C6EAC" w:tentative="1">
      <w:start w:val="1"/>
      <w:numFmt w:val="bullet"/>
      <w:lvlText w:val=""/>
      <w:lvlJc w:val="left"/>
      <w:pPr>
        <w:ind w:left="4320" w:hanging="360"/>
      </w:pPr>
      <w:rPr>
        <w:rFonts w:ascii="Wingdings" w:hAnsi="Wingdings" w:hint="default"/>
      </w:rPr>
    </w:lvl>
    <w:lvl w:ilvl="6" w:tplc="3572D65E" w:tentative="1">
      <w:start w:val="1"/>
      <w:numFmt w:val="bullet"/>
      <w:lvlText w:val=""/>
      <w:lvlJc w:val="left"/>
      <w:pPr>
        <w:ind w:left="5040" w:hanging="360"/>
      </w:pPr>
      <w:rPr>
        <w:rFonts w:ascii="Symbol" w:hAnsi="Symbol" w:hint="default"/>
      </w:rPr>
    </w:lvl>
    <w:lvl w:ilvl="7" w:tplc="4E080278" w:tentative="1">
      <w:start w:val="1"/>
      <w:numFmt w:val="bullet"/>
      <w:lvlText w:val="o"/>
      <w:lvlJc w:val="left"/>
      <w:pPr>
        <w:ind w:left="5760" w:hanging="360"/>
      </w:pPr>
      <w:rPr>
        <w:rFonts w:ascii="Courier New" w:hAnsi="Courier New" w:hint="default"/>
      </w:rPr>
    </w:lvl>
    <w:lvl w:ilvl="8" w:tplc="F424C1D6" w:tentative="1">
      <w:start w:val="1"/>
      <w:numFmt w:val="bullet"/>
      <w:lvlText w:val=""/>
      <w:lvlJc w:val="left"/>
      <w:pPr>
        <w:ind w:left="6480" w:hanging="360"/>
      </w:pPr>
      <w:rPr>
        <w:rFonts w:ascii="Wingdings" w:hAnsi="Wingdings" w:hint="default"/>
      </w:rPr>
    </w:lvl>
  </w:abstractNum>
  <w:abstractNum w:abstractNumId="247" w15:restartNumberingAfterBreak="0">
    <w:nsid w:val="71871271"/>
    <w:multiLevelType w:val="hybridMultilevel"/>
    <w:tmpl w:val="62364146"/>
    <w:lvl w:ilvl="0" w:tplc="498A9DDA">
      <w:start w:val="1"/>
      <w:numFmt w:val="bullet"/>
      <w:lvlText w:val="-"/>
      <w:lvlJc w:val="left"/>
      <w:pPr>
        <w:ind w:left="1069" w:hanging="360"/>
      </w:pPr>
      <w:rPr>
        <w:rFonts w:ascii="Calibri" w:hAnsi="Calibri" w:hint="default"/>
      </w:rPr>
    </w:lvl>
    <w:lvl w:ilvl="1" w:tplc="25463E0E" w:tentative="1">
      <w:start w:val="1"/>
      <w:numFmt w:val="bullet"/>
      <w:lvlText w:val="o"/>
      <w:lvlJc w:val="left"/>
      <w:pPr>
        <w:ind w:left="1789" w:hanging="360"/>
      </w:pPr>
      <w:rPr>
        <w:rFonts w:ascii="Courier New" w:hAnsi="Courier New" w:hint="default"/>
      </w:rPr>
    </w:lvl>
    <w:lvl w:ilvl="2" w:tplc="E85CCC38" w:tentative="1">
      <w:start w:val="1"/>
      <w:numFmt w:val="bullet"/>
      <w:lvlText w:val=""/>
      <w:lvlJc w:val="left"/>
      <w:pPr>
        <w:ind w:left="2509" w:hanging="360"/>
      </w:pPr>
      <w:rPr>
        <w:rFonts w:ascii="Cambria Math" w:hAnsi="Cambria Math" w:hint="default"/>
      </w:rPr>
    </w:lvl>
    <w:lvl w:ilvl="3" w:tplc="2C38E7A6" w:tentative="1">
      <w:start w:val="1"/>
      <w:numFmt w:val="bullet"/>
      <w:lvlText w:val=""/>
      <w:lvlJc w:val="left"/>
      <w:pPr>
        <w:ind w:left="3229" w:hanging="360"/>
      </w:pPr>
      <w:rPr>
        <w:rFonts w:ascii="Segoe UI" w:hAnsi="Segoe UI" w:hint="default"/>
      </w:rPr>
    </w:lvl>
    <w:lvl w:ilvl="4" w:tplc="6D525768" w:tentative="1">
      <w:start w:val="1"/>
      <w:numFmt w:val="bullet"/>
      <w:lvlText w:val="o"/>
      <w:lvlJc w:val="left"/>
      <w:pPr>
        <w:ind w:left="3949" w:hanging="360"/>
      </w:pPr>
      <w:rPr>
        <w:rFonts w:ascii="Courier New" w:hAnsi="Courier New" w:hint="default"/>
      </w:rPr>
    </w:lvl>
    <w:lvl w:ilvl="5" w:tplc="A2FC27C0" w:tentative="1">
      <w:start w:val="1"/>
      <w:numFmt w:val="bullet"/>
      <w:lvlText w:val=""/>
      <w:lvlJc w:val="left"/>
      <w:pPr>
        <w:ind w:left="4669" w:hanging="360"/>
      </w:pPr>
      <w:rPr>
        <w:rFonts w:ascii="Cambria Math" w:hAnsi="Cambria Math" w:hint="default"/>
      </w:rPr>
    </w:lvl>
    <w:lvl w:ilvl="6" w:tplc="4E4873E4" w:tentative="1">
      <w:start w:val="1"/>
      <w:numFmt w:val="bullet"/>
      <w:lvlText w:val=""/>
      <w:lvlJc w:val="left"/>
      <w:pPr>
        <w:ind w:left="5389" w:hanging="360"/>
      </w:pPr>
      <w:rPr>
        <w:rFonts w:ascii="Segoe UI" w:hAnsi="Segoe UI" w:hint="default"/>
      </w:rPr>
    </w:lvl>
    <w:lvl w:ilvl="7" w:tplc="4C34DDEE" w:tentative="1">
      <w:start w:val="1"/>
      <w:numFmt w:val="bullet"/>
      <w:lvlText w:val="o"/>
      <w:lvlJc w:val="left"/>
      <w:pPr>
        <w:ind w:left="6109" w:hanging="360"/>
      </w:pPr>
      <w:rPr>
        <w:rFonts w:ascii="Courier New" w:hAnsi="Courier New" w:hint="default"/>
      </w:rPr>
    </w:lvl>
    <w:lvl w:ilvl="8" w:tplc="AE54816E" w:tentative="1">
      <w:start w:val="1"/>
      <w:numFmt w:val="bullet"/>
      <w:lvlText w:val=""/>
      <w:lvlJc w:val="left"/>
      <w:pPr>
        <w:ind w:left="6829" w:hanging="360"/>
      </w:pPr>
      <w:rPr>
        <w:rFonts w:ascii="Cambria Math" w:hAnsi="Cambria Math" w:hint="default"/>
      </w:rPr>
    </w:lvl>
  </w:abstractNum>
  <w:abstractNum w:abstractNumId="248" w15:restartNumberingAfterBreak="0">
    <w:nsid w:val="71970B68"/>
    <w:multiLevelType w:val="hybridMultilevel"/>
    <w:tmpl w:val="670238E2"/>
    <w:lvl w:ilvl="0" w:tplc="91B41696">
      <w:start w:val="1"/>
      <w:numFmt w:val="decimal"/>
      <w:lvlText w:val="%1."/>
      <w:lvlJc w:val="left"/>
      <w:pPr>
        <w:ind w:left="1020" w:hanging="360"/>
      </w:pPr>
    </w:lvl>
    <w:lvl w:ilvl="1" w:tplc="C3F4EAEC">
      <w:start w:val="1"/>
      <w:numFmt w:val="decimal"/>
      <w:lvlText w:val="%2."/>
      <w:lvlJc w:val="left"/>
      <w:pPr>
        <w:ind w:left="1020" w:hanging="360"/>
      </w:pPr>
    </w:lvl>
    <w:lvl w:ilvl="2" w:tplc="09521414">
      <w:start w:val="1"/>
      <w:numFmt w:val="decimal"/>
      <w:lvlText w:val="%3."/>
      <w:lvlJc w:val="left"/>
      <w:pPr>
        <w:ind w:left="1020" w:hanging="360"/>
      </w:pPr>
    </w:lvl>
    <w:lvl w:ilvl="3" w:tplc="99828F4E">
      <w:start w:val="1"/>
      <w:numFmt w:val="decimal"/>
      <w:lvlText w:val="%4."/>
      <w:lvlJc w:val="left"/>
      <w:pPr>
        <w:ind w:left="1020" w:hanging="360"/>
      </w:pPr>
    </w:lvl>
    <w:lvl w:ilvl="4" w:tplc="07941942">
      <w:start w:val="1"/>
      <w:numFmt w:val="decimal"/>
      <w:lvlText w:val="%5."/>
      <w:lvlJc w:val="left"/>
      <w:pPr>
        <w:ind w:left="1020" w:hanging="360"/>
      </w:pPr>
    </w:lvl>
    <w:lvl w:ilvl="5" w:tplc="8014F1FA">
      <w:start w:val="1"/>
      <w:numFmt w:val="decimal"/>
      <w:lvlText w:val="%6."/>
      <w:lvlJc w:val="left"/>
      <w:pPr>
        <w:ind w:left="1020" w:hanging="360"/>
      </w:pPr>
    </w:lvl>
    <w:lvl w:ilvl="6" w:tplc="8704091E">
      <w:start w:val="1"/>
      <w:numFmt w:val="decimal"/>
      <w:lvlText w:val="%7."/>
      <w:lvlJc w:val="left"/>
      <w:pPr>
        <w:ind w:left="1020" w:hanging="360"/>
      </w:pPr>
    </w:lvl>
    <w:lvl w:ilvl="7" w:tplc="FF4EDADC">
      <w:start w:val="1"/>
      <w:numFmt w:val="decimal"/>
      <w:lvlText w:val="%8."/>
      <w:lvlJc w:val="left"/>
      <w:pPr>
        <w:ind w:left="1020" w:hanging="360"/>
      </w:pPr>
    </w:lvl>
    <w:lvl w:ilvl="8" w:tplc="A950DC88">
      <w:start w:val="1"/>
      <w:numFmt w:val="decimal"/>
      <w:lvlText w:val="%9."/>
      <w:lvlJc w:val="left"/>
      <w:pPr>
        <w:ind w:left="1020" w:hanging="360"/>
      </w:pPr>
    </w:lvl>
  </w:abstractNum>
  <w:abstractNum w:abstractNumId="249" w15:restartNumberingAfterBreak="0">
    <w:nsid w:val="72CA7A2C"/>
    <w:multiLevelType w:val="hybridMultilevel"/>
    <w:tmpl w:val="1ACC65CA"/>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0" w15:restartNumberingAfterBreak="0">
    <w:nsid w:val="739B483A"/>
    <w:multiLevelType w:val="hybridMultilevel"/>
    <w:tmpl w:val="1FF204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1" w15:restartNumberingAfterBreak="0">
    <w:nsid w:val="74203113"/>
    <w:multiLevelType w:val="hybridMultilevel"/>
    <w:tmpl w:val="2C982D38"/>
    <w:lvl w:ilvl="0" w:tplc="DF60F644">
      <w:start w:val="1"/>
      <w:numFmt w:val="decimal"/>
      <w:lvlText w:val="%1."/>
      <w:lvlJc w:val="left"/>
      <w:pPr>
        <w:ind w:left="360" w:hanging="360"/>
      </w:pPr>
    </w:lvl>
    <w:lvl w:ilvl="1" w:tplc="50B8F6B0">
      <w:start w:val="1"/>
      <w:numFmt w:val="lowerLetter"/>
      <w:lvlText w:val="%2."/>
      <w:lvlJc w:val="left"/>
      <w:pPr>
        <w:ind w:left="1080" w:hanging="360"/>
      </w:pPr>
    </w:lvl>
    <w:lvl w:ilvl="2" w:tplc="817E3386">
      <w:numFmt w:val="bullet"/>
      <w:lvlText w:val="•"/>
      <w:lvlJc w:val="left"/>
      <w:pPr>
        <w:ind w:left="2340" w:hanging="720"/>
      </w:pPr>
      <w:rPr>
        <w:rFonts w:ascii="Times New Roman" w:hAnsi="Times New Roman" w:hint="default"/>
      </w:rPr>
    </w:lvl>
    <w:lvl w:ilvl="3" w:tplc="E1AE7948" w:tentative="1">
      <w:start w:val="1"/>
      <w:numFmt w:val="decimal"/>
      <w:lvlText w:val="%4."/>
      <w:lvlJc w:val="left"/>
      <w:pPr>
        <w:ind w:left="2520" w:hanging="360"/>
      </w:pPr>
    </w:lvl>
    <w:lvl w:ilvl="4" w:tplc="553C37F6" w:tentative="1">
      <w:start w:val="1"/>
      <w:numFmt w:val="lowerLetter"/>
      <w:lvlText w:val="%5."/>
      <w:lvlJc w:val="left"/>
      <w:pPr>
        <w:ind w:left="3240" w:hanging="360"/>
      </w:pPr>
    </w:lvl>
    <w:lvl w:ilvl="5" w:tplc="1F78B502" w:tentative="1">
      <w:start w:val="1"/>
      <w:numFmt w:val="lowerRoman"/>
      <w:lvlText w:val="%6."/>
      <w:lvlJc w:val="right"/>
      <w:pPr>
        <w:ind w:left="3960" w:hanging="180"/>
      </w:pPr>
    </w:lvl>
    <w:lvl w:ilvl="6" w:tplc="AF3E812C" w:tentative="1">
      <w:start w:val="1"/>
      <w:numFmt w:val="decimal"/>
      <w:lvlText w:val="%7."/>
      <w:lvlJc w:val="left"/>
      <w:pPr>
        <w:ind w:left="4680" w:hanging="360"/>
      </w:pPr>
    </w:lvl>
    <w:lvl w:ilvl="7" w:tplc="064CC9FC" w:tentative="1">
      <w:start w:val="1"/>
      <w:numFmt w:val="lowerLetter"/>
      <w:lvlText w:val="%8."/>
      <w:lvlJc w:val="left"/>
      <w:pPr>
        <w:ind w:left="5400" w:hanging="360"/>
      </w:pPr>
    </w:lvl>
    <w:lvl w:ilvl="8" w:tplc="5074D8CC" w:tentative="1">
      <w:start w:val="1"/>
      <w:numFmt w:val="lowerRoman"/>
      <w:lvlText w:val="%9."/>
      <w:lvlJc w:val="right"/>
      <w:pPr>
        <w:ind w:left="6120" w:hanging="180"/>
      </w:pPr>
    </w:lvl>
  </w:abstractNum>
  <w:abstractNum w:abstractNumId="252" w15:restartNumberingAfterBreak="0">
    <w:nsid w:val="74275639"/>
    <w:multiLevelType w:val="hybridMultilevel"/>
    <w:tmpl w:val="37287E20"/>
    <w:lvl w:ilvl="0" w:tplc="31225830">
      <w:start w:val="1"/>
      <w:numFmt w:val="decimal"/>
      <w:lvlText w:val="%1."/>
      <w:lvlJc w:val="left"/>
      <w:pPr>
        <w:ind w:left="720" w:hanging="360"/>
      </w:pPr>
    </w:lvl>
    <w:lvl w:ilvl="1" w:tplc="A21A7082">
      <w:start w:val="1"/>
      <w:numFmt w:val="decimal"/>
      <w:lvlText w:val="%2."/>
      <w:lvlJc w:val="left"/>
      <w:pPr>
        <w:ind w:left="720" w:hanging="360"/>
      </w:pPr>
    </w:lvl>
    <w:lvl w:ilvl="2" w:tplc="A3D0D62E">
      <w:start w:val="1"/>
      <w:numFmt w:val="decimal"/>
      <w:lvlText w:val="%3."/>
      <w:lvlJc w:val="left"/>
      <w:pPr>
        <w:ind w:left="720" w:hanging="360"/>
      </w:pPr>
    </w:lvl>
    <w:lvl w:ilvl="3" w:tplc="3962DA3E">
      <w:start w:val="1"/>
      <w:numFmt w:val="decimal"/>
      <w:lvlText w:val="%4."/>
      <w:lvlJc w:val="left"/>
      <w:pPr>
        <w:ind w:left="720" w:hanging="360"/>
      </w:pPr>
    </w:lvl>
    <w:lvl w:ilvl="4" w:tplc="0B482D2C">
      <w:start w:val="1"/>
      <w:numFmt w:val="decimal"/>
      <w:lvlText w:val="%5."/>
      <w:lvlJc w:val="left"/>
      <w:pPr>
        <w:ind w:left="720" w:hanging="360"/>
      </w:pPr>
    </w:lvl>
    <w:lvl w:ilvl="5" w:tplc="7C4AA75C">
      <w:start w:val="1"/>
      <w:numFmt w:val="decimal"/>
      <w:lvlText w:val="%6."/>
      <w:lvlJc w:val="left"/>
      <w:pPr>
        <w:ind w:left="720" w:hanging="360"/>
      </w:pPr>
    </w:lvl>
    <w:lvl w:ilvl="6" w:tplc="E592D604">
      <w:start w:val="1"/>
      <w:numFmt w:val="decimal"/>
      <w:lvlText w:val="%7."/>
      <w:lvlJc w:val="left"/>
      <w:pPr>
        <w:ind w:left="720" w:hanging="360"/>
      </w:pPr>
    </w:lvl>
    <w:lvl w:ilvl="7" w:tplc="11C8AD5A">
      <w:start w:val="1"/>
      <w:numFmt w:val="decimal"/>
      <w:lvlText w:val="%8."/>
      <w:lvlJc w:val="left"/>
      <w:pPr>
        <w:ind w:left="720" w:hanging="360"/>
      </w:pPr>
    </w:lvl>
    <w:lvl w:ilvl="8" w:tplc="F00CAA54">
      <w:start w:val="1"/>
      <w:numFmt w:val="decimal"/>
      <w:lvlText w:val="%9."/>
      <w:lvlJc w:val="left"/>
      <w:pPr>
        <w:ind w:left="720" w:hanging="360"/>
      </w:pPr>
    </w:lvl>
  </w:abstractNum>
  <w:abstractNum w:abstractNumId="253" w15:restartNumberingAfterBreak="0">
    <w:nsid w:val="742E6556"/>
    <w:multiLevelType w:val="hybridMultilevel"/>
    <w:tmpl w:val="B6ECF0A6"/>
    <w:lvl w:ilvl="0" w:tplc="1B9C8748">
      <w:start w:val="1"/>
      <w:numFmt w:val="bullet"/>
      <w:lvlText w:val=""/>
      <w:lvlJc w:val="left"/>
      <w:pPr>
        <w:ind w:left="720" w:hanging="360"/>
      </w:pPr>
      <w:rPr>
        <w:rFonts w:ascii="Symbol" w:hAnsi="Symbol" w:hint="default"/>
      </w:rPr>
    </w:lvl>
    <w:lvl w:ilvl="1" w:tplc="67021490" w:tentative="1">
      <w:start w:val="1"/>
      <w:numFmt w:val="bullet"/>
      <w:lvlText w:val="o"/>
      <w:lvlJc w:val="left"/>
      <w:pPr>
        <w:ind w:left="1440" w:hanging="360"/>
      </w:pPr>
      <w:rPr>
        <w:rFonts w:ascii="Courier New" w:hAnsi="Courier New" w:hint="default"/>
      </w:rPr>
    </w:lvl>
    <w:lvl w:ilvl="2" w:tplc="5D3C3E7C" w:tentative="1">
      <w:start w:val="1"/>
      <w:numFmt w:val="bullet"/>
      <w:lvlText w:val=""/>
      <w:lvlJc w:val="left"/>
      <w:pPr>
        <w:ind w:left="2160" w:hanging="360"/>
      </w:pPr>
      <w:rPr>
        <w:rFonts w:ascii="Wingdings" w:hAnsi="Wingdings" w:hint="default"/>
      </w:rPr>
    </w:lvl>
    <w:lvl w:ilvl="3" w:tplc="8684F384" w:tentative="1">
      <w:start w:val="1"/>
      <w:numFmt w:val="bullet"/>
      <w:lvlText w:val=""/>
      <w:lvlJc w:val="left"/>
      <w:pPr>
        <w:ind w:left="2880" w:hanging="360"/>
      </w:pPr>
      <w:rPr>
        <w:rFonts w:ascii="Symbol" w:hAnsi="Symbol" w:hint="default"/>
      </w:rPr>
    </w:lvl>
    <w:lvl w:ilvl="4" w:tplc="C046CCA8" w:tentative="1">
      <w:start w:val="1"/>
      <w:numFmt w:val="bullet"/>
      <w:lvlText w:val="o"/>
      <w:lvlJc w:val="left"/>
      <w:pPr>
        <w:ind w:left="3600" w:hanging="360"/>
      </w:pPr>
      <w:rPr>
        <w:rFonts w:ascii="Courier New" w:hAnsi="Courier New" w:hint="default"/>
      </w:rPr>
    </w:lvl>
    <w:lvl w:ilvl="5" w:tplc="BF362514" w:tentative="1">
      <w:start w:val="1"/>
      <w:numFmt w:val="bullet"/>
      <w:lvlText w:val=""/>
      <w:lvlJc w:val="left"/>
      <w:pPr>
        <w:ind w:left="4320" w:hanging="360"/>
      </w:pPr>
      <w:rPr>
        <w:rFonts w:ascii="Wingdings" w:hAnsi="Wingdings" w:hint="default"/>
      </w:rPr>
    </w:lvl>
    <w:lvl w:ilvl="6" w:tplc="CD3CFAB2" w:tentative="1">
      <w:start w:val="1"/>
      <w:numFmt w:val="bullet"/>
      <w:lvlText w:val=""/>
      <w:lvlJc w:val="left"/>
      <w:pPr>
        <w:ind w:left="5040" w:hanging="360"/>
      </w:pPr>
      <w:rPr>
        <w:rFonts w:ascii="Symbol" w:hAnsi="Symbol" w:hint="default"/>
      </w:rPr>
    </w:lvl>
    <w:lvl w:ilvl="7" w:tplc="475E58BC" w:tentative="1">
      <w:start w:val="1"/>
      <w:numFmt w:val="bullet"/>
      <w:lvlText w:val="o"/>
      <w:lvlJc w:val="left"/>
      <w:pPr>
        <w:ind w:left="5760" w:hanging="360"/>
      </w:pPr>
      <w:rPr>
        <w:rFonts w:ascii="Courier New" w:hAnsi="Courier New" w:hint="default"/>
      </w:rPr>
    </w:lvl>
    <w:lvl w:ilvl="8" w:tplc="7DEE97DE" w:tentative="1">
      <w:start w:val="1"/>
      <w:numFmt w:val="bullet"/>
      <w:lvlText w:val=""/>
      <w:lvlJc w:val="left"/>
      <w:pPr>
        <w:ind w:left="6480" w:hanging="360"/>
      </w:pPr>
      <w:rPr>
        <w:rFonts w:ascii="Wingdings" w:hAnsi="Wingdings" w:hint="default"/>
      </w:rPr>
    </w:lvl>
  </w:abstractNum>
  <w:abstractNum w:abstractNumId="254" w15:restartNumberingAfterBreak="0">
    <w:nsid w:val="74F64C9D"/>
    <w:multiLevelType w:val="hybridMultilevel"/>
    <w:tmpl w:val="B7C6D544"/>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753C5BA9"/>
    <w:multiLevelType w:val="hybridMultilevel"/>
    <w:tmpl w:val="99C0C08E"/>
    <w:lvl w:ilvl="0" w:tplc="0409000F">
      <w:start w:val="1"/>
      <w:numFmt w:val="decimal"/>
      <w:lvlText w:val="%1."/>
      <w:lvlJc w:val="left"/>
      <w:pPr>
        <w:ind w:left="-3872" w:hanging="360"/>
      </w:pPr>
    </w:lvl>
    <w:lvl w:ilvl="1" w:tplc="04090019">
      <w:start w:val="1"/>
      <w:numFmt w:val="lowerLetter"/>
      <w:lvlText w:val="%2."/>
      <w:lvlJc w:val="left"/>
      <w:pPr>
        <w:ind w:left="-315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1712" w:hanging="360"/>
      </w:pPr>
    </w:lvl>
    <w:lvl w:ilvl="4" w:tplc="04090019" w:tentative="1">
      <w:start w:val="1"/>
      <w:numFmt w:val="lowerLetter"/>
      <w:lvlText w:val="%5."/>
      <w:lvlJc w:val="left"/>
      <w:pPr>
        <w:ind w:left="-992" w:hanging="360"/>
      </w:pPr>
    </w:lvl>
    <w:lvl w:ilvl="5" w:tplc="0409001B" w:tentative="1">
      <w:start w:val="1"/>
      <w:numFmt w:val="lowerRoman"/>
      <w:lvlText w:val="%6."/>
      <w:lvlJc w:val="right"/>
      <w:pPr>
        <w:ind w:left="-272" w:hanging="180"/>
      </w:pPr>
    </w:lvl>
    <w:lvl w:ilvl="6" w:tplc="0409000F" w:tentative="1">
      <w:start w:val="1"/>
      <w:numFmt w:val="decimal"/>
      <w:lvlText w:val="%7."/>
      <w:lvlJc w:val="left"/>
      <w:pPr>
        <w:ind w:left="448" w:hanging="360"/>
      </w:pPr>
    </w:lvl>
    <w:lvl w:ilvl="7" w:tplc="04090019" w:tentative="1">
      <w:start w:val="1"/>
      <w:numFmt w:val="lowerLetter"/>
      <w:lvlText w:val="%8."/>
      <w:lvlJc w:val="left"/>
      <w:pPr>
        <w:ind w:left="1168" w:hanging="360"/>
      </w:pPr>
    </w:lvl>
    <w:lvl w:ilvl="8" w:tplc="0409001B">
      <w:start w:val="1"/>
      <w:numFmt w:val="lowerRoman"/>
      <w:lvlText w:val="%9."/>
      <w:lvlJc w:val="right"/>
      <w:pPr>
        <w:ind w:left="1888" w:hanging="180"/>
      </w:pPr>
    </w:lvl>
  </w:abstractNum>
  <w:abstractNum w:abstractNumId="256" w15:restartNumberingAfterBreak="0">
    <w:nsid w:val="753D6644"/>
    <w:multiLevelType w:val="hybridMultilevel"/>
    <w:tmpl w:val="0F8E2BD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7" w15:restartNumberingAfterBreak="0">
    <w:nsid w:val="75644865"/>
    <w:multiLevelType w:val="hybridMultilevel"/>
    <w:tmpl w:val="2698E8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8" w15:restartNumberingAfterBreak="0">
    <w:nsid w:val="75A46586"/>
    <w:multiLevelType w:val="hybridMultilevel"/>
    <w:tmpl w:val="3EC8F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15:restartNumberingAfterBreak="0">
    <w:nsid w:val="75F74C4C"/>
    <w:multiLevelType w:val="hybridMultilevel"/>
    <w:tmpl w:val="BCACA684"/>
    <w:lvl w:ilvl="0" w:tplc="FFFFFFFF">
      <w:start w:val="1"/>
      <w:numFmt w:val="decimal"/>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0" w15:restartNumberingAfterBreak="0">
    <w:nsid w:val="76E74A32"/>
    <w:multiLevelType w:val="hybridMultilevel"/>
    <w:tmpl w:val="C9A425C0"/>
    <w:lvl w:ilvl="0" w:tplc="E8A6B3D2">
      <w:start w:val="1"/>
      <w:numFmt w:val="decimal"/>
      <w:lvlText w:val="%1."/>
      <w:lvlJc w:val="left"/>
      <w:pPr>
        <w:ind w:left="720" w:hanging="360"/>
      </w:pPr>
      <w:rPr>
        <w:b w:val="0"/>
        <w:bCs w:val="0"/>
      </w:rPr>
    </w:lvl>
    <w:lvl w:ilvl="1" w:tplc="1FF2EF96">
      <w:start w:val="1"/>
      <w:numFmt w:val="bullet"/>
      <w:lvlText w:val="o"/>
      <w:lvlJc w:val="left"/>
      <w:pPr>
        <w:ind w:left="1440" w:hanging="360"/>
      </w:pPr>
      <w:rPr>
        <w:rFonts w:ascii="Courier New" w:hAnsi="Courier New" w:hint="default"/>
      </w:rPr>
    </w:lvl>
    <w:lvl w:ilvl="2" w:tplc="137029A0" w:tentative="1">
      <w:start w:val="1"/>
      <w:numFmt w:val="bullet"/>
      <w:lvlText w:val=""/>
      <w:lvlJc w:val="left"/>
      <w:pPr>
        <w:ind w:left="2160" w:hanging="360"/>
      </w:pPr>
      <w:rPr>
        <w:rFonts w:ascii="Wingdings" w:hAnsi="Wingdings" w:hint="default"/>
      </w:rPr>
    </w:lvl>
    <w:lvl w:ilvl="3" w:tplc="66A647FE" w:tentative="1">
      <w:start w:val="1"/>
      <w:numFmt w:val="bullet"/>
      <w:lvlText w:val=""/>
      <w:lvlJc w:val="left"/>
      <w:pPr>
        <w:ind w:left="2880" w:hanging="360"/>
      </w:pPr>
      <w:rPr>
        <w:rFonts w:ascii="Symbol" w:hAnsi="Symbol" w:hint="default"/>
      </w:rPr>
    </w:lvl>
    <w:lvl w:ilvl="4" w:tplc="407C4FC2" w:tentative="1">
      <w:start w:val="1"/>
      <w:numFmt w:val="bullet"/>
      <w:lvlText w:val="o"/>
      <w:lvlJc w:val="left"/>
      <w:pPr>
        <w:ind w:left="3600" w:hanging="360"/>
      </w:pPr>
      <w:rPr>
        <w:rFonts w:ascii="Courier New" w:hAnsi="Courier New" w:hint="default"/>
      </w:rPr>
    </w:lvl>
    <w:lvl w:ilvl="5" w:tplc="5712C5E6" w:tentative="1">
      <w:start w:val="1"/>
      <w:numFmt w:val="bullet"/>
      <w:lvlText w:val=""/>
      <w:lvlJc w:val="left"/>
      <w:pPr>
        <w:ind w:left="4320" w:hanging="360"/>
      </w:pPr>
      <w:rPr>
        <w:rFonts w:ascii="Wingdings" w:hAnsi="Wingdings" w:hint="default"/>
      </w:rPr>
    </w:lvl>
    <w:lvl w:ilvl="6" w:tplc="BAA27AF0" w:tentative="1">
      <w:start w:val="1"/>
      <w:numFmt w:val="bullet"/>
      <w:lvlText w:val=""/>
      <w:lvlJc w:val="left"/>
      <w:pPr>
        <w:ind w:left="5040" w:hanging="360"/>
      </w:pPr>
      <w:rPr>
        <w:rFonts w:ascii="Symbol" w:hAnsi="Symbol" w:hint="default"/>
      </w:rPr>
    </w:lvl>
    <w:lvl w:ilvl="7" w:tplc="B7FA7EA2" w:tentative="1">
      <w:start w:val="1"/>
      <w:numFmt w:val="bullet"/>
      <w:lvlText w:val="o"/>
      <w:lvlJc w:val="left"/>
      <w:pPr>
        <w:ind w:left="5760" w:hanging="360"/>
      </w:pPr>
      <w:rPr>
        <w:rFonts w:ascii="Courier New" w:hAnsi="Courier New" w:hint="default"/>
      </w:rPr>
    </w:lvl>
    <w:lvl w:ilvl="8" w:tplc="8CFE8BE0" w:tentative="1">
      <w:start w:val="1"/>
      <w:numFmt w:val="bullet"/>
      <w:lvlText w:val=""/>
      <w:lvlJc w:val="left"/>
      <w:pPr>
        <w:ind w:left="6480" w:hanging="360"/>
      </w:pPr>
      <w:rPr>
        <w:rFonts w:ascii="Wingdings" w:hAnsi="Wingdings" w:hint="default"/>
      </w:rPr>
    </w:lvl>
  </w:abstractNum>
  <w:abstractNum w:abstractNumId="261" w15:restartNumberingAfterBreak="0">
    <w:nsid w:val="77F53764"/>
    <w:multiLevelType w:val="hybridMultilevel"/>
    <w:tmpl w:val="69E036F8"/>
    <w:lvl w:ilvl="0" w:tplc="0A360DC6">
      <w:start w:val="1"/>
      <w:numFmt w:val="bullet"/>
      <w:lvlText w:val=""/>
      <w:lvlJc w:val="left"/>
      <w:pPr>
        <w:ind w:left="360" w:hanging="360"/>
      </w:pPr>
      <w:rPr>
        <w:rFonts w:ascii="Symbol" w:hAnsi="Symbol" w:hint="default"/>
      </w:rPr>
    </w:lvl>
    <w:lvl w:ilvl="1" w:tplc="AED0D242">
      <w:start w:val="1"/>
      <w:numFmt w:val="bullet"/>
      <w:lvlText w:val="o"/>
      <w:lvlJc w:val="left"/>
      <w:pPr>
        <w:ind w:left="1080" w:hanging="360"/>
      </w:pPr>
      <w:rPr>
        <w:rFonts w:ascii="Courier New" w:hAnsi="Courier New" w:hint="default"/>
      </w:rPr>
    </w:lvl>
    <w:lvl w:ilvl="2" w:tplc="C01A1B0E">
      <w:start w:val="1"/>
      <w:numFmt w:val="bullet"/>
      <w:lvlText w:val=""/>
      <w:lvlJc w:val="left"/>
      <w:pPr>
        <w:ind w:left="1800" w:hanging="360"/>
      </w:pPr>
      <w:rPr>
        <w:rFonts w:ascii="Wingdings" w:hAnsi="Wingdings" w:hint="default"/>
      </w:rPr>
    </w:lvl>
    <w:lvl w:ilvl="3" w:tplc="492CA218">
      <w:start w:val="1"/>
      <w:numFmt w:val="bullet"/>
      <w:lvlText w:val=""/>
      <w:lvlJc w:val="left"/>
      <w:pPr>
        <w:ind w:left="2520" w:hanging="360"/>
      </w:pPr>
      <w:rPr>
        <w:rFonts w:ascii="Symbol" w:hAnsi="Symbol" w:hint="default"/>
      </w:rPr>
    </w:lvl>
    <w:lvl w:ilvl="4" w:tplc="F828C668">
      <w:start w:val="1"/>
      <w:numFmt w:val="bullet"/>
      <w:lvlText w:val="o"/>
      <w:lvlJc w:val="left"/>
      <w:pPr>
        <w:ind w:left="3240" w:hanging="360"/>
      </w:pPr>
      <w:rPr>
        <w:rFonts w:ascii="Courier New" w:hAnsi="Courier New" w:hint="default"/>
      </w:rPr>
    </w:lvl>
    <w:lvl w:ilvl="5" w:tplc="415CE76E">
      <w:start w:val="1"/>
      <w:numFmt w:val="bullet"/>
      <w:lvlText w:val=""/>
      <w:lvlJc w:val="left"/>
      <w:pPr>
        <w:ind w:left="3960" w:hanging="360"/>
      </w:pPr>
      <w:rPr>
        <w:rFonts w:ascii="Wingdings" w:hAnsi="Wingdings" w:hint="default"/>
      </w:rPr>
    </w:lvl>
    <w:lvl w:ilvl="6" w:tplc="0BC28CF8">
      <w:start w:val="1"/>
      <w:numFmt w:val="bullet"/>
      <w:lvlText w:val=""/>
      <w:lvlJc w:val="left"/>
      <w:pPr>
        <w:ind w:left="4680" w:hanging="360"/>
      </w:pPr>
      <w:rPr>
        <w:rFonts w:ascii="Symbol" w:hAnsi="Symbol" w:hint="default"/>
      </w:rPr>
    </w:lvl>
    <w:lvl w:ilvl="7" w:tplc="964A4190">
      <w:start w:val="1"/>
      <w:numFmt w:val="bullet"/>
      <w:lvlText w:val="o"/>
      <w:lvlJc w:val="left"/>
      <w:pPr>
        <w:ind w:left="5400" w:hanging="360"/>
      </w:pPr>
      <w:rPr>
        <w:rFonts w:ascii="Courier New" w:hAnsi="Courier New" w:hint="default"/>
      </w:rPr>
    </w:lvl>
    <w:lvl w:ilvl="8" w:tplc="98B03568">
      <w:start w:val="1"/>
      <w:numFmt w:val="bullet"/>
      <w:lvlText w:val=""/>
      <w:lvlJc w:val="left"/>
      <w:pPr>
        <w:ind w:left="6120" w:hanging="360"/>
      </w:pPr>
      <w:rPr>
        <w:rFonts w:ascii="Wingdings" w:hAnsi="Wingdings" w:hint="default"/>
      </w:rPr>
    </w:lvl>
  </w:abstractNum>
  <w:abstractNum w:abstractNumId="262" w15:restartNumberingAfterBreak="0">
    <w:nsid w:val="781216D7"/>
    <w:multiLevelType w:val="hybridMultilevel"/>
    <w:tmpl w:val="0F8E3E4E"/>
    <w:lvl w:ilvl="0" w:tplc="F1B66C34">
      <w:start w:val="1"/>
      <w:numFmt w:val="lowerRoman"/>
      <w:lvlText w:val="%1."/>
      <w:lvlJc w:val="left"/>
      <w:pPr>
        <w:ind w:left="720" w:hanging="360"/>
      </w:pPr>
      <w:rPr>
        <w:rFonts w:ascii="Times New Roman" w:hAnsi="Times New Roman" w:hint="default"/>
        <w:sz w:val="16"/>
      </w:rPr>
    </w:lvl>
    <w:lvl w:ilvl="1" w:tplc="665C3966" w:tentative="1">
      <w:start w:val="1"/>
      <w:numFmt w:val="bullet"/>
      <w:lvlText w:val="o"/>
      <w:lvlJc w:val="left"/>
      <w:pPr>
        <w:ind w:left="1440" w:hanging="360"/>
      </w:pPr>
      <w:rPr>
        <w:rFonts w:ascii="Courier New" w:hAnsi="Courier New" w:hint="default"/>
      </w:rPr>
    </w:lvl>
    <w:lvl w:ilvl="2" w:tplc="45DA10FC" w:tentative="1">
      <w:start w:val="1"/>
      <w:numFmt w:val="bullet"/>
      <w:lvlText w:val=""/>
      <w:lvlJc w:val="left"/>
      <w:pPr>
        <w:ind w:left="2160" w:hanging="360"/>
      </w:pPr>
      <w:rPr>
        <w:rFonts w:ascii="Wingdings" w:hAnsi="Wingdings" w:hint="default"/>
      </w:rPr>
    </w:lvl>
    <w:lvl w:ilvl="3" w:tplc="19AC2314" w:tentative="1">
      <w:start w:val="1"/>
      <w:numFmt w:val="bullet"/>
      <w:lvlText w:val=""/>
      <w:lvlJc w:val="left"/>
      <w:pPr>
        <w:ind w:left="2880" w:hanging="360"/>
      </w:pPr>
      <w:rPr>
        <w:rFonts w:ascii="Symbol" w:hAnsi="Symbol" w:hint="default"/>
      </w:rPr>
    </w:lvl>
    <w:lvl w:ilvl="4" w:tplc="40B2762C" w:tentative="1">
      <w:start w:val="1"/>
      <w:numFmt w:val="bullet"/>
      <w:lvlText w:val="o"/>
      <w:lvlJc w:val="left"/>
      <w:pPr>
        <w:ind w:left="3600" w:hanging="360"/>
      </w:pPr>
      <w:rPr>
        <w:rFonts w:ascii="Courier New" w:hAnsi="Courier New" w:hint="default"/>
      </w:rPr>
    </w:lvl>
    <w:lvl w:ilvl="5" w:tplc="1320F798" w:tentative="1">
      <w:start w:val="1"/>
      <w:numFmt w:val="bullet"/>
      <w:lvlText w:val=""/>
      <w:lvlJc w:val="left"/>
      <w:pPr>
        <w:ind w:left="4320" w:hanging="360"/>
      </w:pPr>
      <w:rPr>
        <w:rFonts w:ascii="Wingdings" w:hAnsi="Wingdings" w:hint="default"/>
      </w:rPr>
    </w:lvl>
    <w:lvl w:ilvl="6" w:tplc="483E033C" w:tentative="1">
      <w:start w:val="1"/>
      <w:numFmt w:val="bullet"/>
      <w:lvlText w:val=""/>
      <w:lvlJc w:val="left"/>
      <w:pPr>
        <w:ind w:left="5040" w:hanging="360"/>
      </w:pPr>
      <w:rPr>
        <w:rFonts w:ascii="Symbol" w:hAnsi="Symbol" w:hint="default"/>
      </w:rPr>
    </w:lvl>
    <w:lvl w:ilvl="7" w:tplc="876E15DC" w:tentative="1">
      <w:start w:val="1"/>
      <w:numFmt w:val="bullet"/>
      <w:lvlText w:val="o"/>
      <w:lvlJc w:val="left"/>
      <w:pPr>
        <w:ind w:left="5760" w:hanging="360"/>
      </w:pPr>
      <w:rPr>
        <w:rFonts w:ascii="Courier New" w:hAnsi="Courier New" w:hint="default"/>
      </w:rPr>
    </w:lvl>
    <w:lvl w:ilvl="8" w:tplc="E08E454A" w:tentative="1">
      <w:start w:val="1"/>
      <w:numFmt w:val="bullet"/>
      <w:lvlText w:val=""/>
      <w:lvlJc w:val="left"/>
      <w:pPr>
        <w:ind w:left="6480" w:hanging="360"/>
      </w:pPr>
      <w:rPr>
        <w:rFonts w:ascii="Wingdings" w:hAnsi="Wingdings" w:hint="default"/>
      </w:rPr>
    </w:lvl>
  </w:abstractNum>
  <w:abstractNum w:abstractNumId="263" w15:restartNumberingAfterBreak="0">
    <w:nsid w:val="783F5EBD"/>
    <w:multiLevelType w:val="hybridMultilevel"/>
    <w:tmpl w:val="D68A0C9A"/>
    <w:lvl w:ilvl="0" w:tplc="BC34B64C">
      <w:start w:val="1"/>
      <w:numFmt w:val="decimal"/>
      <w:lvlText w:val="%1)"/>
      <w:lvlJc w:val="left"/>
      <w:pPr>
        <w:ind w:left="360" w:hanging="360"/>
      </w:pPr>
    </w:lvl>
    <w:lvl w:ilvl="1" w:tplc="0DAA84BC" w:tentative="1">
      <w:start w:val="1"/>
      <w:numFmt w:val="bullet"/>
      <w:lvlText w:val="o"/>
      <w:lvlJc w:val="left"/>
      <w:pPr>
        <w:ind w:left="1080" w:hanging="360"/>
      </w:pPr>
      <w:rPr>
        <w:rFonts w:ascii="Courier New" w:hAnsi="Courier New" w:hint="default"/>
      </w:rPr>
    </w:lvl>
    <w:lvl w:ilvl="2" w:tplc="A9A6EF88" w:tentative="1">
      <w:start w:val="1"/>
      <w:numFmt w:val="bullet"/>
      <w:lvlText w:val=""/>
      <w:lvlJc w:val="left"/>
      <w:pPr>
        <w:ind w:left="1800" w:hanging="360"/>
      </w:pPr>
      <w:rPr>
        <w:rFonts w:ascii="Cambria Math" w:hAnsi="Cambria Math" w:hint="default"/>
      </w:rPr>
    </w:lvl>
    <w:lvl w:ilvl="3" w:tplc="BAA0349E" w:tentative="1">
      <w:start w:val="1"/>
      <w:numFmt w:val="bullet"/>
      <w:lvlText w:val=""/>
      <w:lvlJc w:val="left"/>
      <w:pPr>
        <w:ind w:left="2520" w:hanging="360"/>
      </w:pPr>
      <w:rPr>
        <w:rFonts w:ascii="Segoe UI" w:hAnsi="Segoe UI" w:hint="default"/>
      </w:rPr>
    </w:lvl>
    <w:lvl w:ilvl="4" w:tplc="10FCEB1E" w:tentative="1">
      <w:start w:val="1"/>
      <w:numFmt w:val="bullet"/>
      <w:lvlText w:val="o"/>
      <w:lvlJc w:val="left"/>
      <w:pPr>
        <w:ind w:left="3240" w:hanging="360"/>
      </w:pPr>
      <w:rPr>
        <w:rFonts w:ascii="Courier New" w:hAnsi="Courier New" w:hint="default"/>
      </w:rPr>
    </w:lvl>
    <w:lvl w:ilvl="5" w:tplc="75A80AA6" w:tentative="1">
      <w:start w:val="1"/>
      <w:numFmt w:val="bullet"/>
      <w:lvlText w:val=""/>
      <w:lvlJc w:val="left"/>
      <w:pPr>
        <w:ind w:left="3960" w:hanging="360"/>
      </w:pPr>
      <w:rPr>
        <w:rFonts w:ascii="Cambria Math" w:hAnsi="Cambria Math" w:hint="default"/>
      </w:rPr>
    </w:lvl>
    <w:lvl w:ilvl="6" w:tplc="EC90E8CE" w:tentative="1">
      <w:start w:val="1"/>
      <w:numFmt w:val="bullet"/>
      <w:lvlText w:val=""/>
      <w:lvlJc w:val="left"/>
      <w:pPr>
        <w:ind w:left="4680" w:hanging="360"/>
      </w:pPr>
      <w:rPr>
        <w:rFonts w:ascii="Segoe UI" w:hAnsi="Segoe UI" w:hint="default"/>
      </w:rPr>
    </w:lvl>
    <w:lvl w:ilvl="7" w:tplc="BF1C15AA" w:tentative="1">
      <w:start w:val="1"/>
      <w:numFmt w:val="bullet"/>
      <w:lvlText w:val="o"/>
      <w:lvlJc w:val="left"/>
      <w:pPr>
        <w:ind w:left="5400" w:hanging="360"/>
      </w:pPr>
      <w:rPr>
        <w:rFonts w:ascii="Courier New" w:hAnsi="Courier New" w:hint="default"/>
      </w:rPr>
    </w:lvl>
    <w:lvl w:ilvl="8" w:tplc="6A5E105A" w:tentative="1">
      <w:start w:val="1"/>
      <w:numFmt w:val="bullet"/>
      <w:lvlText w:val=""/>
      <w:lvlJc w:val="left"/>
      <w:pPr>
        <w:ind w:left="6120" w:hanging="360"/>
      </w:pPr>
      <w:rPr>
        <w:rFonts w:ascii="Cambria Math" w:hAnsi="Cambria Math" w:hint="default"/>
      </w:rPr>
    </w:lvl>
  </w:abstractNum>
  <w:abstractNum w:abstractNumId="264" w15:restartNumberingAfterBreak="0">
    <w:nsid w:val="78AE7AB8"/>
    <w:multiLevelType w:val="hybridMultilevel"/>
    <w:tmpl w:val="641C0FF0"/>
    <w:lvl w:ilvl="0" w:tplc="1809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5" w15:restartNumberingAfterBreak="0">
    <w:nsid w:val="78D59BCD"/>
    <w:multiLevelType w:val="hybridMultilevel"/>
    <w:tmpl w:val="8C4CEC46"/>
    <w:lvl w:ilvl="0" w:tplc="F45E8384">
      <w:start w:val="1"/>
      <w:numFmt w:val="bullet"/>
      <w:lvlText w:val=""/>
      <w:lvlJc w:val="left"/>
      <w:pPr>
        <w:ind w:left="720" w:hanging="360"/>
      </w:pPr>
      <w:rPr>
        <w:rFonts w:ascii="Symbol" w:hAnsi="Symbol" w:hint="default"/>
      </w:rPr>
    </w:lvl>
    <w:lvl w:ilvl="1" w:tplc="D48235BE">
      <w:start w:val="1"/>
      <w:numFmt w:val="bullet"/>
      <w:lvlText w:val="o"/>
      <w:lvlJc w:val="left"/>
      <w:pPr>
        <w:ind w:left="1440" w:hanging="360"/>
      </w:pPr>
      <w:rPr>
        <w:rFonts w:ascii="Courier New" w:hAnsi="Courier New" w:hint="default"/>
      </w:rPr>
    </w:lvl>
    <w:lvl w:ilvl="2" w:tplc="4B6CF0F8">
      <w:start w:val="1"/>
      <w:numFmt w:val="bullet"/>
      <w:lvlText w:val=""/>
      <w:lvlJc w:val="left"/>
      <w:pPr>
        <w:ind w:left="2160" w:hanging="360"/>
      </w:pPr>
      <w:rPr>
        <w:rFonts w:ascii="Wingdings" w:hAnsi="Wingdings" w:hint="default"/>
      </w:rPr>
    </w:lvl>
    <w:lvl w:ilvl="3" w:tplc="0F5CB2E4">
      <w:start w:val="1"/>
      <w:numFmt w:val="bullet"/>
      <w:lvlText w:val=""/>
      <w:lvlJc w:val="left"/>
      <w:pPr>
        <w:ind w:left="2880" w:hanging="360"/>
      </w:pPr>
      <w:rPr>
        <w:rFonts w:ascii="Symbol" w:hAnsi="Symbol" w:hint="default"/>
      </w:rPr>
    </w:lvl>
    <w:lvl w:ilvl="4" w:tplc="88B0626A">
      <w:start w:val="1"/>
      <w:numFmt w:val="bullet"/>
      <w:lvlText w:val="o"/>
      <w:lvlJc w:val="left"/>
      <w:pPr>
        <w:ind w:left="3600" w:hanging="360"/>
      </w:pPr>
      <w:rPr>
        <w:rFonts w:ascii="Courier New" w:hAnsi="Courier New" w:hint="default"/>
      </w:rPr>
    </w:lvl>
    <w:lvl w:ilvl="5" w:tplc="E32E12E0">
      <w:start w:val="1"/>
      <w:numFmt w:val="bullet"/>
      <w:lvlText w:val=""/>
      <w:lvlJc w:val="left"/>
      <w:pPr>
        <w:ind w:left="4320" w:hanging="360"/>
      </w:pPr>
      <w:rPr>
        <w:rFonts w:ascii="Wingdings" w:hAnsi="Wingdings" w:hint="default"/>
      </w:rPr>
    </w:lvl>
    <w:lvl w:ilvl="6" w:tplc="7D546A18">
      <w:start w:val="1"/>
      <w:numFmt w:val="bullet"/>
      <w:lvlText w:val=""/>
      <w:lvlJc w:val="left"/>
      <w:pPr>
        <w:ind w:left="5040" w:hanging="360"/>
      </w:pPr>
      <w:rPr>
        <w:rFonts w:ascii="Symbol" w:hAnsi="Symbol" w:hint="default"/>
      </w:rPr>
    </w:lvl>
    <w:lvl w:ilvl="7" w:tplc="7116DBEA">
      <w:start w:val="1"/>
      <w:numFmt w:val="bullet"/>
      <w:lvlText w:val="o"/>
      <w:lvlJc w:val="left"/>
      <w:pPr>
        <w:ind w:left="5760" w:hanging="360"/>
      </w:pPr>
      <w:rPr>
        <w:rFonts w:ascii="Courier New" w:hAnsi="Courier New" w:hint="default"/>
      </w:rPr>
    </w:lvl>
    <w:lvl w:ilvl="8" w:tplc="37D8E236">
      <w:start w:val="1"/>
      <w:numFmt w:val="bullet"/>
      <w:lvlText w:val=""/>
      <w:lvlJc w:val="left"/>
      <w:pPr>
        <w:ind w:left="6480" w:hanging="360"/>
      </w:pPr>
      <w:rPr>
        <w:rFonts w:ascii="Wingdings" w:hAnsi="Wingdings" w:hint="default"/>
      </w:rPr>
    </w:lvl>
  </w:abstractNum>
  <w:abstractNum w:abstractNumId="266" w15:restartNumberingAfterBreak="0">
    <w:nsid w:val="79877828"/>
    <w:multiLevelType w:val="hybridMultilevel"/>
    <w:tmpl w:val="D1D21B4A"/>
    <w:lvl w:ilvl="0" w:tplc="2E446452">
      <w:start w:val="1"/>
      <w:numFmt w:val="decimal"/>
      <w:lvlText w:val="%1."/>
      <w:lvlJc w:val="left"/>
      <w:pPr>
        <w:ind w:left="1020" w:hanging="360"/>
      </w:pPr>
    </w:lvl>
    <w:lvl w:ilvl="1" w:tplc="1144A4C2">
      <w:start w:val="1"/>
      <w:numFmt w:val="decimal"/>
      <w:lvlText w:val="%2."/>
      <w:lvlJc w:val="left"/>
      <w:pPr>
        <w:ind w:left="1020" w:hanging="360"/>
      </w:pPr>
    </w:lvl>
    <w:lvl w:ilvl="2" w:tplc="37A89050">
      <w:start w:val="1"/>
      <w:numFmt w:val="decimal"/>
      <w:lvlText w:val="%3."/>
      <w:lvlJc w:val="left"/>
      <w:pPr>
        <w:ind w:left="1020" w:hanging="360"/>
      </w:pPr>
    </w:lvl>
    <w:lvl w:ilvl="3" w:tplc="CC78A598">
      <w:start w:val="1"/>
      <w:numFmt w:val="decimal"/>
      <w:lvlText w:val="%4."/>
      <w:lvlJc w:val="left"/>
      <w:pPr>
        <w:ind w:left="1020" w:hanging="360"/>
      </w:pPr>
    </w:lvl>
    <w:lvl w:ilvl="4" w:tplc="611E33C0">
      <w:start w:val="1"/>
      <w:numFmt w:val="decimal"/>
      <w:lvlText w:val="%5."/>
      <w:lvlJc w:val="left"/>
      <w:pPr>
        <w:ind w:left="1020" w:hanging="360"/>
      </w:pPr>
    </w:lvl>
    <w:lvl w:ilvl="5" w:tplc="CE4CF148">
      <w:start w:val="1"/>
      <w:numFmt w:val="decimal"/>
      <w:lvlText w:val="%6."/>
      <w:lvlJc w:val="left"/>
      <w:pPr>
        <w:ind w:left="1020" w:hanging="360"/>
      </w:pPr>
    </w:lvl>
    <w:lvl w:ilvl="6" w:tplc="E46CADEA">
      <w:start w:val="1"/>
      <w:numFmt w:val="decimal"/>
      <w:lvlText w:val="%7."/>
      <w:lvlJc w:val="left"/>
      <w:pPr>
        <w:ind w:left="1020" w:hanging="360"/>
      </w:pPr>
    </w:lvl>
    <w:lvl w:ilvl="7" w:tplc="7B1A2B86">
      <w:start w:val="1"/>
      <w:numFmt w:val="decimal"/>
      <w:lvlText w:val="%8."/>
      <w:lvlJc w:val="left"/>
      <w:pPr>
        <w:ind w:left="1020" w:hanging="360"/>
      </w:pPr>
    </w:lvl>
    <w:lvl w:ilvl="8" w:tplc="FE0488D6">
      <w:start w:val="1"/>
      <w:numFmt w:val="decimal"/>
      <w:lvlText w:val="%9."/>
      <w:lvlJc w:val="left"/>
      <w:pPr>
        <w:ind w:left="1020" w:hanging="360"/>
      </w:pPr>
    </w:lvl>
  </w:abstractNum>
  <w:abstractNum w:abstractNumId="267" w15:restartNumberingAfterBreak="0">
    <w:nsid w:val="79BA2CBA"/>
    <w:multiLevelType w:val="hybridMultilevel"/>
    <w:tmpl w:val="8D06B4F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8" w15:restartNumberingAfterBreak="0">
    <w:nsid w:val="79D36099"/>
    <w:multiLevelType w:val="hybridMultilevel"/>
    <w:tmpl w:val="10341BCE"/>
    <w:lvl w:ilvl="0" w:tplc="A7166444">
      <w:start w:val="1"/>
      <w:numFmt w:val="decimal"/>
      <w:lvlText w:val="%1."/>
      <w:lvlJc w:val="left"/>
      <w:pPr>
        <w:ind w:left="720" w:hanging="360"/>
      </w:pPr>
    </w:lvl>
    <w:lvl w:ilvl="1" w:tplc="FF5AE318">
      <w:start w:val="1"/>
      <w:numFmt w:val="decimal"/>
      <w:lvlText w:val="%2."/>
      <w:lvlJc w:val="left"/>
      <w:pPr>
        <w:ind w:left="1440" w:hanging="360"/>
      </w:pPr>
    </w:lvl>
    <w:lvl w:ilvl="2" w:tplc="8CE24970">
      <w:start w:val="1"/>
      <w:numFmt w:val="lowerRoman"/>
      <w:lvlText w:val="%3."/>
      <w:lvlJc w:val="right"/>
      <w:pPr>
        <w:ind w:left="2340" w:hanging="360"/>
      </w:pPr>
    </w:lvl>
    <w:lvl w:ilvl="3" w:tplc="CCD808DC" w:tentative="1">
      <w:start w:val="1"/>
      <w:numFmt w:val="bullet"/>
      <w:lvlText w:val=""/>
      <w:lvlJc w:val="left"/>
      <w:pPr>
        <w:ind w:left="2880" w:hanging="360"/>
      </w:pPr>
      <w:rPr>
        <w:rFonts w:ascii="Symbol" w:hAnsi="Symbol" w:hint="default"/>
      </w:rPr>
    </w:lvl>
    <w:lvl w:ilvl="4" w:tplc="60669622" w:tentative="1">
      <w:start w:val="1"/>
      <w:numFmt w:val="bullet"/>
      <w:lvlText w:val="o"/>
      <w:lvlJc w:val="left"/>
      <w:pPr>
        <w:ind w:left="3600" w:hanging="360"/>
      </w:pPr>
      <w:rPr>
        <w:rFonts w:ascii="Courier New" w:hAnsi="Courier New" w:hint="default"/>
      </w:rPr>
    </w:lvl>
    <w:lvl w:ilvl="5" w:tplc="07F6C09C" w:tentative="1">
      <w:start w:val="1"/>
      <w:numFmt w:val="bullet"/>
      <w:lvlText w:val=""/>
      <w:lvlJc w:val="left"/>
      <w:pPr>
        <w:ind w:left="4320" w:hanging="360"/>
      </w:pPr>
      <w:rPr>
        <w:rFonts w:ascii="Wingdings" w:hAnsi="Wingdings" w:hint="default"/>
      </w:rPr>
    </w:lvl>
    <w:lvl w:ilvl="6" w:tplc="CEB6A3F0" w:tentative="1">
      <w:start w:val="1"/>
      <w:numFmt w:val="bullet"/>
      <w:lvlText w:val=""/>
      <w:lvlJc w:val="left"/>
      <w:pPr>
        <w:ind w:left="5040" w:hanging="360"/>
      </w:pPr>
      <w:rPr>
        <w:rFonts w:ascii="Symbol" w:hAnsi="Symbol" w:hint="default"/>
      </w:rPr>
    </w:lvl>
    <w:lvl w:ilvl="7" w:tplc="97A4F4F8" w:tentative="1">
      <w:start w:val="1"/>
      <w:numFmt w:val="bullet"/>
      <w:lvlText w:val="o"/>
      <w:lvlJc w:val="left"/>
      <w:pPr>
        <w:ind w:left="5760" w:hanging="360"/>
      </w:pPr>
      <w:rPr>
        <w:rFonts w:ascii="Courier New" w:hAnsi="Courier New" w:hint="default"/>
      </w:rPr>
    </w:lvl>
    <w:lvl w:ilvl="8" w:tplc="4E2EC89E" w:tentative="1">
      <w:start w:val="1"/>
      <w:numFmt w:val="bullet"/>
      <w:lvlText w:val=""/>
      <w:lvlJc w:val="left"/>
      <w:pPr>
        <w:ind w:left="6480" w:hanging="360"/>
      </w:pPr>
      <w:rPr>
        <w:rFonts w:ascii="Wingdings" w:hAnsi="Wingdings" w:hint="default"/>
      </w:rPr>
    </w:lvl>
  </w:abstractNum>
  <w:abstractNum w:abstractNumId="269" w15:restartNumberingAfterBreak="0">
    <w:nsid w:val="7ADB046E"/>
    <w:multiLevelType w:val="hybridMultilevel"/>
    <w:tmpl w:val="206A0A44"/>
    <w:lvl w:ilvl="0" w:tplc="18502774">
      <w:start w:val="1"/>
      <w:numFmt w:val="bullet"/>
      <w:lvlText w:val=""/>
      <w:lvlJc w:val="left"/>
      <w:pPr>
        <w:ind w:left="1080" w:hanging="360"/>
      </w:pPr>
      <w:rPr>
        <w:rFonts w:ascii="Symbol" w:hAnsi="Symbol"/>
      </w:rPr>
    </w:lvl>
    <w:lvl w:ilvl="1" w:tplc="08BC90E0">
      <w:start w:val="1"/>
      <w:numFmt w:val="bullet"/>
      <w:lvlText w:val=""/>
      <w:lvlJc w:val="left"/>
      <w:pPr>
        <w:ind w:left="1080" w:hanging="360"/>
      </w:pPr>
      <w:rPr>
        <w:rFonts w:ascii="Symbol" w:hAnsi="Symbol"/>
      </w:rPr>
    </w:lvl>
    <w:lvl w:ilvl="2" w:tplc="54C6BEA4">
      <w:start w:val="1"/>
      <w:numFmt w:val="bullet"/>
      <w:lvlText w:val=""/>
      <w:lvlJc w:val="left"/>
      <w:pPr>
        <w:ind w:left="1080" w:hanging="360"/>
      </w:pPr>
      <w:rPr>
        <w:rFonts w:ascii="Symbol" w:hAnsi="Symbol"/>
      </w:rPr>
    </w:lvl>
    <w:lvl w:ilvl="3" w:tplc="52E0F504">
      <w:start w:val="1"/>
      <w:numFmt w:val="bullet"/>
      <w:lvlText w:val=""/>
      <w:lvlJc w:val="left"/>
      <w:pPr>
        <w:ind w:left="1080" w:hanging="360"/>
      </w:pPr>
      <w:rPr>
        <w:rFonts w:ascii="Symbol" w:hAnsi="Symbol"/>
      </w:rPr>
    </w:lvl>
    <w:lvl w:ilvl="4" w:tplc="559A4504">
      <w:start w:val="1"/>
      <w:numFmt w:val="bullet"/>
      <w:lvlText w:val=""/>
      <w:lvlJc w:val="left"/>
      <w:pPr>
        <w:ind w:left="1080" w:hanging="360"/>
      </w:pPr>
      <w:rPr>
        <w:rFonts w:ascii="Symbol" w:hAnsi="Symbol"/>
      </w:rPr>
    </w:lvl>
    <w:lvl w:ilvl="5" w:tplc="334EAA42">
      <w:start w:val="1"/>
      <w:numFmt w:val="bullet"/>
      <w:lvlText w:val=""/>
      <w:lvlJc w:val="left"/>
      <w:pPr>
        <w:ind w:left="1080" w:hanging="360"/>
      </w:pPr>
      <w:rPr>
        <w:rFonts w:ascii="Symbol" w:hAnsi="Symbol"/>
      </w:rPr>
    </w:lvl>
    <w:lvl w:ilvl="6" w:tplc="45BC8F34">
      <w:start w:val="1"/>
      <w:numFmt w:val="bullet"/>
      <w:lvlText w:val=""/>
      <w:lvlJc w:val="left"/>
      <w:pPr>
        <w:ind w:left="1080" w:hanging="360"/>
      </w:pPr>
      <w:rPr>
        <w:rFonts w:ascii="Symbol" w:hAnsi="Symbol"/>
      </w:rPr>
    </w:lvl>
    <w:lvl w:ilvl="7" w:tplc="5404711E">
      <w:start w:val="1"/>
      <w:numFmt w:val="bullet"/>
      <w:lvlText w:val=""/>
      <w:lvlJc w:val="left"/>
      <w:pPr>
        <w:ind w:left="1080" w:hanging="360"/>
      </w:pPr>
      <w:rPr>
        <w:rFonts w:ascii="Symbol" w:hAnsi="Symbol"/>
      </w:rPr>
    </w:lvl>
    <w:lvl w:ilvl="8" w:tplc="177C74AA">
      <w:start w:val="1"/>
      <w:numFmt w:val="bullet"/>
      <w:lvlText w:val=""/>
      <w:lvlJc w:val="left"/>
      <w:pPr>
        <w:ind w:left="1080" w:hanging="360"/>
      </w:pPr>
      <w:rPr>
        <w:rFonts w:ascii="Symbol" w:hAnsi="Symbol"/>
      </w:rPr>
    </w:lvl>
  </w:abstractNum>
  <w:abstractNum w:abstractNumId="270" w15:restartNumberingAfterBreak="0">
    <w:nsid w:val="7B314C45"/>
    <w:multiLevelType w:val="hybridMultilevel"/>
    <w:tmpl w:val="60C62A94"/>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15:restartNumberingAfterBreak="0">
    <w:nsid w:val="7B414B80"/>
    <w:multiLevelType w:val="hybridMultilevel"/>
    <w:tmpl w:val="C66E115C"/>
    <w:lvl w:ilvl="0" w:tplc="6466F6E6">
      <w:start w:val="1"/>
      <w:numFmt w:val="bullet"/>
      <w:lvlText w:val="-"/>
      <w:lvlJc w:val="left"/>
      <w:pPr>
        <w:ind w:left="720" w:hanging="360"/>
      </w:pPr>
      <w:rPr>
        <w:rFonts w:ascii="Cambria" w:hAnsi="Cambria" w:hint="default"/>
        <w:color w:val="7030A0"/>
      </w:rPr>
    </w:lvl>
    <w:lvl w:ilvl="1" w:tplc="58BE0CC8" w:tentative="1">
      <w:start w:val="1"/>
      <w:numFmt w:val="bullet"/>
      <w:lvlText w:val="o"/>
      <w:lvlJc w:val="left"/>
      <w:pPr>
        <w:ind w:left="1440" w:hanging="360"/>
      </w:pPr>
      <w:rPr>
        <w:rFonts w:ascii="Courier New" w:hAnsi="Courier New" w:hint="default"/>
      </w:rPr>
    </w:lvl>
    <w:lvl w:ilvl="2" w:tplc="D22426D8" w:tentative="1">
      <w:start w:val="1"/>
      <w:numFmt w:val="bullet"/>
      <w:lvlText w:val=""/>
      <w:lvlJc w:val="left"/>
      <w:pPr>
        <w:ind w:left="2160" w:hanging="360"/>
      </w:pPr>
      <w:rPr>
        <w:rFonts w:ascii="Cambria Math" w:hAnsi="Cambria Math" w:hint="default"/>
      </w:rPr>
    </w:lvl>
    <w:lvl w:ilvl="3" w:tplc="A31E58F2" w:tentative="1">
      <w:start w:val="1"/>
      <w:numFmt w:val="bullet"/>
      <w:lvlText w:val=""/>
      <w:lvlJc w:val="left"/>
      <w:pPr>
        <w:ind w:left="2880" w:hanging="360"/>
      </w:pPr>
      <w:rPr>
        <w:rFonts w:ascii="Segoe UI" w:hAnsi="Segoe UI" w:hint="default"/>
      </w:rPr>
    </w:lvl>
    <w:lvl w:ilvl="4" w:tplc="B4466D44" w:tentative="1">
      <w:start w:val="1"/>
      <w:numFmt w:val="bullet"/>
      <w:lvlText w:val="o"/>
      <w:lvlJc w:val="left"/>
      <w:pPr>
        <w:ind w:left="3600" w:hanging="360"/>
      </w:pPr>
      <w:rPr>
        <w:rFonts w:ascii="Courier New" w:hAnsi="Courier New" w:hint="default"/>
      </w:rPr>
    </w:lvl>
    <w:lvl w:ilvl="5" w:tplc="577A7E88" w:tentative="1">
      <w:start w:val="1"/>
      <w:numFmt w:val="bullet"/>
      <w:lvlText w:val=""/>
      <w:lvlJc w:val="left"/>
      <w:pPr>
        <w:ind w:left="4320" w:hanging="360"/>
      </w:pPr>
      <w:rPr>
        <w:rFonts w:ascii="Cambria Math" w:hAnsi="Cambria Math" w:hint="default"/>
      </w:rPr>
    </w:lvl>
    <w:lvl w:ilvl="6" w:tplc="8B107B50" w:tentative="1">
      <w:start w:val="1"/>
      <w:numFmt w:val="bullet"/>
      <w:lvlText w:val=""/>
      <w:lvlJc w:val="left"/>
      <w:pPr>
        <w:ind w:left="5040" w:hanging="360"/>
      </w:pPr>
      <w:rPr>
        <w:rFonts w:ascii="Segoe UI" w:hAnsi="Segoe UI" w:hint="default"/>
      </w:rPr>
    </w:lvl>
    <w:lvl w:ilvl="7" w:tplc="452C0B88" w:tentative="1">
      <w:start w:val="1"/>
      <w:numFmt w:val="bullet"/>
      <w:lvlText w:val="o"/>
      <w:lvlJc w:val="left"/>
      <w:pPr>
        <w:ind w:left="5760" w:hanging="360"/>
      </w:pPr>
      <w:rPr>
        <w:rFonts w:ascii="Courier New" w:hAnsi="Courier New" w:hint="default"/>
      </w:rPr>
    </w:lvl>
    <w:lvl w:ilvl="8" w:tplc="DF5458BA" w:tentative="1">
      <w:start w:val="1"/>
      <w:numFmt w:val="bullet"/>
      <w:lvlText w:val=""/>
      <w:lvlJc w:val="left"/>
      <w:pPr>
        <w:ind w:left="6480" w:hanging="360"/>
      </w:pPr>
      <w:rPr>
        <w:rFonts w:ascii="Cambria Math" w:hAnsi="Cambria Math" w:hint="default"/>
      </w:rPr>
    </w:lvl>
  </w:abstractNum>
  <w:abstractNum w:abstractNumId="272" w15:restartNumberingAfterBreak="0">
    <w:nsid w:val="7BA53934"/>
    <w:multiLevelType w:val="hybridMultilevel"/>
    <w:tmpl w:val="32A40AE4"/>
    <w:lvl w:ilvl="0" w:tplc="1458E504">
      <w:start w:val="1"/>
      <w:numFmt w:val="bullet"/>
      <w:lvlText w:val="-"/>
      <w:lvlJc w:val="left"/>
      <w:pPr>
        <w:ind w:left="1146" w:hanging="360"/>
      </w:pPr>
      <w:rPr>
        <w:rFonts w:ascii="Calibri" w:hAnsi="Calibri" w:hint="default"/>
      </w:rPr>
    </w:lvl>
    <w:lvl w:ilvl="1" w:tplc="9000EFAE" w:tentative="1">
      <w:start w:val="1"/>
      <w:numFmt w:val="bullet"/>
      <w:lvlText w:val="o"/>
      <w:lvlJc w:val="left"/>
      <w:pPr>
        <w:ind w:left="1440" w:hanging="360"/>
      </w:pPr>
      <w:rPr>
        <w:rFonts w:ascii="Courier New" w:hAnsi="Courier New" w:hint="default"/>
      </w:rPr>
    </w:lvl>
    <w:lvl w:ilvl="2" w:tplc="681C815C" w:tentative="1">
      <w:start w:val="1"/>
      <w:numFmt w:val="bullet"/>
      <w:lvlText w:val=""/>
      <w:lvlJc w:val="left"/>
      <w:pPr>
        <w:ind w:left="2160" w:hanging="360"/>
      </w:pPr>
      <w:rPr>
        <w:rFonts w:ascii="Wingdings" w:hAnsi="Wingdings" w:hint="default"/>
      </w:rPr>
    </w:lvl>
    <w:lvl w:ilvl="3" w:tplc="2DA0BD9E" w:tentative="1">
      <w:start w:val="1"/>
      <w:numFmt w:val="bullet"/>
      <w:lvlText w:val=""/>
      <w:lvlJc w:val="left"/>
      <w:pPr>
        <w:ind w:left="2880" w:hanging="360"/>
      </w:pPr>
      <w:rPr>
        <w:rFonts w:ascii="Symbol" w:hAnsi="Symbol" w:hint="default"/>
      </w:rPr>
    </w:lvl>
    <w:lvl w:ilvl="4" w:tplc="FFB67ED8" w:tentative="1">
      <w:start w:val="1"/>
      <w:numFmt w:val="bullet"/>
      <w:lvlText w:val="o"/>
      <w:lvlJc w:val="left"/>
      <w:pPr>
        <w:ind w:left="3600" w:hanging="360"/>
      </w:pPr>
      <w:rPr>
        <w:rFonts w:ascii="Courier New" w:hAnsi="Courier New" w:hint="default"/>
      </w:rPr>
    </w:lvl>
    <w:lvl w:ilvl="5" w:tplc="875A049C" w:tentative="1">
      <w:start w:val="1"/>
      <w:numFmt w:val="bullet"/>
      <w:lvlText w:val=""/>
      <w:lvlJc w:val="left"/>
      <w:pPr>
        <w:ind w:left="4320" w:hanging="360"/>
      </w:pPr>
      <w:rPr>
        <w:rFonts w:ascii="Wingdings" w:hAnsi="Wingdings" w:hint="default"/>
      </w:rPr>
    </w:lvl>
    <w:lvl w:ilvl="6" w:tplc="39EECF84" w:tentative="1">
      <w:start w:val="1"/>
      <w:numFmt w:val="bullet"/>
      <w:lvlText w:val=""/>
      <w:lvlJc w:val="left"/>
      <w:pPr>
        <w:ind w:left="5040" w:hanging="360"/>
      </w:pPr>
      <w:rPr>
        <w:rFonts w:ascii="Symbol" w:hAnsi="Symbol" w:hint="default"/>
      </w:rPr>
    </w:lvl>
    <w:lvl w:ilvl="7" w:tplc="7A0A54A6" w:tentative="1">
      <w:start w:val="1"/>
      <w:numFmt w:val="bullet"/>
      <w:lvlText w:val="o"/>
      <w:lvlJc w:val="left"/>
      <w:pPr>
        <w:ind w:left="5760" w:hanging="360"/>
      </w:pPr>
      <w:rPr>
        <w:rFonts w:ascii="Courier New" w:hAnsi="Courier New" w:hint="default"/>
      </w:rPr>
    </w:lvl>
    <w:lvl w:ilvl="8" w:tplc="D4A8BDB4" w:tentative="1">
      <w:start w:val="1"/>
      <w:numFmt w:val="bullet"/>
      <w:lvlText w:val=""/>
      <w:lvlJc w:val="left"/>
      <w:pPr>
        <w:ind w:left="6480" w:hanging="360"/>
      </w:pPr>
      <w:rPr>
        <w:rFonts w:ascii="Wingdings" w:hAnsi="Wingdings" w:hint="default"/>
      </w:rPr>
    </w:lvl>
  </w:abstractNum>
  <w:abstractNum w:abstractNumId="273" w15:restartNumberingAfterBreak="0">
    <w:nsid w:val="7C227792"/>
    <w:multiLevelType w:val="hybridMultilevel"/>
    <w:tmpl w:val="1B82981A"/>
    <w:lvl w:ilvl="0" w:tplc="1F52D2C2">
      <w:start w:val="1"/>
      <w:numFmt w:val="decimal"/>
      <w:lvlText w:val="%1."/>
      <w:lvlJc w:val="left"/>
      <w:pPr>
        <w:ind w:left="720" w:hanging="360"/>
      </w:pPr>
      <w:rPr>
        <w:b/>
        <w:bCs/>
      </w:rPr>
    </w:lvl>
    <w:lvl w:ilvl="1" w:tplc="D2F6B712">
      <w:start w:val="1"/>
      <w:numFmt w:val="decimal"/>
      <w:lvlText w:val="%2."/>
      <w:lvlJc w:val="left"/>
      <w:pPr>
        <w:ind w:left="1440" w:hanging="360"/>
      </w:pPr>
    </w:lvl>
    <w:lvl w:ilvl="2" w:tplc="A09C0766" w:tentative="1">
      <w:start w:val="1"/>
      <w:numFmt w:val="bullet"/>
      <w:lvlText w:val=""/>
      <w:lvlJc w:val="left"/>
      <w:pPr>
        <w:ind w:left="2160" w:hanging="360"/>
      </w:pPr>
      <w:rPr>
        <w:rFonts w:ascii="Wingdings" w:hAnsi="Wingdings" w:hint="default"/>
      </w:rPr>
    </w:lvl>
    <w:lvl w:ilvl="3" w:tplc="5762AF08" w:tentative="1">
      <w:start w:val="1"/>
      <w:numFmt w:val="bullet"/>
      <w:lvlText w:val=""/>
      <w:lvlJc w:val="left"/>
      <w:pPr>
        <w:ind w:left="2880" w:hanging="360"/>
      </w:pPr>
      <w:rPr>
        <w:rFonts w:ascii="Symbol" w:hAnsi="Symbol" w:hint="default"/>
      </w:rPr>
    </w:lvl>
    <w:lvl w:ilvl="4" w:tplc="34286152" w:tentative="1">
      <w:start w:val="1"/>
      <w:numFmt w:val="bullet"/>
      <w:lvlText w:val="o"/>
      <w:lvlJc w:val="left"/>
      <w:pPr>
        <w:ind w:left="3600" w:hanging="360"/>
      </w:pPr>
      <w:rPr>
        <w:rFonts w:ascii="Courier New" w:hAnsi="Courier New" w:hint="default"/>
      </w:rPr>
    </w:lvl>
    <w:lvl w:ilvl="5" w:tplc="ECC8543E" w:tentative="1">
      <w:start w:val="1"/>
      <w:numFmt w:val="bullet"/>
      <w:lvlText w:val=""/>
      <w:lvlJc w:val="left"/>
      <w:pPr>
        <w:ind w:left="4320" w:hanging="360"/>
      </w:pPr>
      <w:rPr>
        <w:rFonts w:ascii="Wingdings" w:hAnsi="Wingdings" w:hint="default"/>
      </w:rPr>
    </w:lvl>
    <w:lvl w:ilvl="6" w:tplc="5262E754" w:tentative="1">
      <w:start w:val="1"/>
      <w:numFmt w:val="bullet"/>
      <w:lvlText w:val=""/>
      <w:lvlJc w:val="left"/>
      <w:pPr>
        <w:ind w:left="5040" w:hanging="360"/>
      </w:pPr>
      <w:rPr>
        <w:rFonts w:ascii="Symbol" w:hAnsi="Symbol" w:hint="default"/>
      </w:rPr>
    </w:lvl>
    <w:lvl w:ilvl="7" w:tplc="19D2F87A" w:tentative="1">
      <w:start w:val="1"/>
      <w:numFmt w:val="bullet"/>
      <w:lvlText w:val="o"/>
      <w:lvlJc w:val="left"/>
      <w:pPr>
        <w:ind w:left="5760" w:hanging="360"/>
      </w:pPr>
      <w:rPr>
        <w:rFonts w:ascii="Courier New" w:hAnsi="Courier New" w:hint="default"/>
      </w:rPr>
    </w:lvl>
    <w:lvl w:ilvl="8" w:tplc="EF3C7830" w:tentative="1">
      <w:start w:val="1"/>
      <w:numFmt w:val="bullet"/>
      <w:lvlText w:val=""/>
      <w:lvlJc w:val="left"/>
      <w:pPr>
        <w:ind w:left="6480" w:hanging="360"/>
      </w:pPr>
      <w:rPr>
        <w:rFonts w:ascii="Wingdings" w:hAnsi="Wingdings" w:hint="default"/>
      </w:rPr>
    </w:lvl>
  </w:abstractNum>
  <w:abstractNum w:abstractNumId="274" w15:restartNumberingAfterBreak="0">
    <w:nsid w:val="7C367D86"/>
    <w:multiLevelType w:val="hybridMultilevel"/>
    <w:tmpl w:val="A97EC900"/>
    <w:lvl w:ilvl="0" w:tplc="32368F6C">
      <w:start w:val="5"/>
      <w:numFmt w:val="upperLetter"/>
      <w:lvlText w:val="(%1)"/>
      <w:lvlJc w:val="left"/>
      <w:pPr>
        <w:ind w:left="720" w:hanging="360"/>
      </w:pPr>
      <w:rPr>
        <w:rFonts w:ascii="Times New Roman" w:hAnsi="Times New Roman" w:hint="default"/>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5" w15:restartNumberingAfterBreak="0">
    <w:nsid w:val="7C4709B9"/>
    <w:multiLevelType w:val="hybridMultilevel"/>
    <w:tmpl w:val="D68A0C9A"/>
    <w:lvl w:ilvl="0" w:tplc="A1826CD0">
      <w:start w:val="1"/>
      <w:numFmt w:val="decimal"/>
      <w:lvlText w:val="%1)"/>
      <w:lvlJc w:val="left"/>
      <w:pPr>
        <w:ind w:left="360" w:hanging="360"/>
      </w:pPr>
    </w:lvl>
    <w:lvl w:ilvl="1" w:tplc="E1E21984" w:tentative="1">
      <w:start w:val="1"/>
      <w:numFmt w:val="bullet"/>
      <w:lvlText w:val="o"/>
      <w:lvlJc w:val="left"/>
      <w:pPr>
        <w:ind w:left="1080" w:hanging="360"/>
      </w:pPr>
      <w:rPr>
        <w:rFonts w:ascii="Courier New" w:hAnsi="Courier New" w:hint="default"/>
      </w:rPr>
    </w:lvl>
    <w:lvl w:ilvl="2" w:tplc="670E09AC" w:tentative="1">
      <w:start w:val="1"/>
      <w:numFmt w:val="bullet"/>
      <w:lvlText w:val=""/>
      <w:lvlJc w:val="left"/>
      <w:pPr>
        <w:ind w:left="1800" w:hanging="360"/>
      </w:pPr>
      <w:rPr>
        <w:rFonts w:ascii="Cambria Math" w:hAnsi="Cambria Math" w:hint="default"/>
      </w:rPr>
    </w:lvl>
    <w:lvl w:ilvl="3" w:tplc="88665024" w:tentative="1">
      <w:start w:val="1"/>
      <w:numFmt w:val="bullet"/>
      <w:lvlText w:val=""/>
      <w:lvlJc w:val="left"/>
      <w:pPr>
        <w:ind w:left="2520" w:hanging="360"/>
      </w:pPr>
      <w:rPr>
        <w:rFonts w:ascii="Segoe UI" w:hAnsi="Segoe UI" w:hint="default"/>
      </w:rPr>
    </w:lvl>
    <w:lvl w:ilvl="4" w:tplc="D7A43632" w:tentative="1">
      <w:start w:val="1"/>
      <w:numFmt w:val="bullet"/>
      <w:lvlText w:val="o"/>
      <w:lvlJc w:val="left"/>
      <w:pPr>
        <w:ind w:left="3240" w:hanging="360"/>
      </w:pPr>
      <w:rPr>
        <w:rFonts w:ascii="Courier New" w:hAnsi="Courier New" w:hint="default"/>
      </w:rPr>
    </w:lvl>
    <w:lvl w:ilvl="5" w:tplc="83582B0A" w:tentative="1">
      <w:start w:val="1"/>
      <w:numFmt w:val="bullet"/>
      <w:lvlText w:val=""/>
      <w:lvlJc w:val="left"/>
      <w:pPr>
        <w:ind w:left="3960" w:hanging="360"/>
      </w:pPr>
      <w:rPr>
        <w:rFonts w:ascii="Cambria Math" w:hAnsi="Cambria Math" w:hint="default"/>
      </w:rPr>
    </w:lvl>
    <w:lvl w:ilvl="6" w:tplc="97F29F62" w:tentative="1">
      <w:start w:val="1"/>
      <w:numFmt w:val="bullet"/>
      <w:lvlText w:val=""/>
      <w:lvlJc w:val="left"/>
      <w:pPr>
        <w:ind w:left="4680" w:hanging="360"/>
      </w:pPr>
      <w:rPr>
        <w:rFonts w:ascii="Segoe UI" w:hAnsi="Segoe UI" w:hint="default"/>
      </w:rPr>
    </w:lvl>
    <w:lvl w:ilvl="7" w:tplc="F1BEB682" w:tentative="1">
      <w:start w:val="1"/>
      <w:numFmt w:val="bullet"/>
      <w:lvlText w:val="o"/>
      <w:lvlJc w:val="left"/>
      <w:pPr>
        <w:ind w:left="5400" w:hanging="360"/>
      </w:pPr>
      <w:rPr>
        <w:rFonts w:ascii="Courier New" w:hAnsi="Courier New" w:hint="default"/>
      </w:rPr>
    </w:lvl>
    <w:lvl w:ilvl="8" w:tplc="1E502BF6" w:tentative="1">
      <w:start w:val="1"/>
      <w:numFmt w:val="bullet"/>
      <w:lvlText w:val=""/>
      <w:lvlJc w:val="left"/>
      <w:pPr>
        <w:ind w:left="6120" w:hanging="360"/>
      </w:pPr>
      <w:rPr>
        <w:rFonts w:ascii="Cambria Math" w:hAnsi="Cambria Math" w:hint="default"/>
      </w:rPr>
    </w:lvl>
  </w:abstractNum>
  <w:abstractNum w:abstractNumId="27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277" w15:restartNumberingAfterBreak="0">
    <w:nsid w:val="7DBA1C74"/>
    <w:multiLevelType w:val="hybridMultilevel"/>
    <w:tmpl w:val="6A8CDE32"/>
    <w:lvl w:ilvl="0" w:tplc="E47035D4">
      <w:start w:val="1"/>
      <w:numFmt w:val="bullet"/>
      <w:lvlText w:val=""/>
      <w:lvlJc w:val="left"/>
      <w:pPr>
        <w:ind w:left="1004" w:hanging="360"/>
      </w:pPr>
      <w:rPr>
        <w:rFonts w:ascii="Symbol" w:hAnsi="Symbol" w:hint="default"/>
      </w:rPr>
    </w:lvl>
    <w:lvl w:ilvl="1" w:tplc="89B41EB8" w:tentative="1">
      <w:start w:val="1"/>
      <w:numFmt w:val="bullet"/>
      <w:lvlText w:val="o"/>
      <w:lvlJc w:val="left"/>
      <w:pPr>
        <w:ind w:left="1724" w:hanging="360"/>
      </w:pPr>
      <w:rPr>
        <w:rFonts w:ascii="Courier New" w:hAnsi="Courier New" w:hint="default"/>
      </w:rPr>
    </w:lvl>
    <w:lvl w:ilvl="2" w:tplc="EC9260D2" w:tentative="1">
      <w:start w:val="1"/>
      <w:numFmt w:val="bullet"/>
      <w:lvlText w:val=""/>
      <w:lvlJc w:val="left"/>
      <w:pPr>
        <w:ind w:left="2444" w:hanging="360"/>
      </w:pPr>
      <w:rPr>
        <w:rFonts w:ascii="Wingdings" w:hAnsi="Wingdings" w:hint="default"/>
      </w:rPr>
    </w:lvl>
    <w:lvl w:ilvl="3" w:tplc="B6A2F3BE" w:tentative="1">
      <w:start w:val="1"/>
      <w:numFmt w:val="bullet"/>
      <w:lvlText w:val=""/>
      <w:lvlJc w:val="left"/>
      <w:pPr>
        <w:ind w:left="3164" w:hanging="360"/>
      </w:pPr>
      <w:rPr>
        <w:rFonts w:ascii="Symbol" w:hAnsi="Symbol" w:hint="default"/>
      </w:rPr>
    </w:lvl>
    <w:lvl w:ilvl="4" w:tplc="6A3C1120" w:tentative="1">
      <w:start w:val="1"/>
      <w:numFmt w:val="bullet"/>
      <w:lvlText w:val="o"/>
      <w:lvlJc w:val="left"/>
      <w:pPr>
        <w:ind w:left="3884" w:hanging="360"/>
      </w:pPr>
      <w:rPr>
        <w:rFonts w:ascii="Courier New" w:hAnsi="Courier New" w:hint="default"/>
      </w:rPr>
    </w:lvl>
    <w:lvl w:ilvl="5" w:tplc="33FCBDCE" w:tentative="1">
      <w:start w:val="1"/>
      <w:numFmt w:val="bullet"/>
      <w:lvlText w:val=""/>
      <w:lvlJc w:val="left"/>
      <w:pPr>
        <w:ind w:left="4604" w:hanging="360"/>
      </w:pPr>
      <w:rPr>
        <w:rFonts w:ascii="Wingdings" w:hAnsi="Wingdings" w:hint="default"/>
      </w:rPr>
    </w:lvl>
    <w:lvl w:ilvl="6" w:tplc="0BFAC052" w:tentative="1">
      <w:start w:val="1"/>
      <w:numFmt w:val="bullet"/>
      <w:lvlText w:val=""/>
      <w:lvlJc w:val="left"/>
      <w:pPr>
        <w:ind w:left="5324" w:hanging="360"/>
      </w:pPr>
      <w:rPr>
        <w:rFonts w:ascii="Symbol" w:hAnsi="Symbol" w:hint="default"/>
      </w:rPr>
    </w:lvl>
    <w:lvl w:ilvl="7" w:tplc="A484E0B8" w:tentative="1">
      <w:start w:val="1"/>
      <w:numFmt w:val="bullet"/>
      <w:lvlText w:val="o"/>
      <w:lvlJc w:val="left"/>
      <w:pPr>
        <w:ind w:left="6044" w:hanging="360"/>
      </w:pPr>
      <w:rPr>
        <w:rFonts w:ascii="Courier New" w:hAnsi="Courier New" w:hint="default"/>
      </w:rPr>
    </w:lvl>
    <w:lvl w:ilvl="8" w:tplc="6DE0AE5E" w:tentative="1">
      <w:start w:val="1"/>
      <w:numFmt w:val="bullet"/>
      <w:lvlText w:val=""/>
      <w:lvlJc w:val="left"/>
      <w:pPr>
        <w:ind w:left="6764" w:hanging="360"/>
      </w:pPr>
      <w:rPr>
        <w:rFonts w:ascii="Wingdings" w:hAnsi="Wingdings" w:hint="default"/>
      </w:rPr>
    </w:lvl>
  </w:abstractNum>
  <w:abstractNum w:abstractNumId="278" w15:restartNumberingAfterBreak="0">
    <w:nsid w:val="7F245236"/>
    <w:multiLevelType w:val="hybridMultilevel"/>
    <w:tmpl w:val="718EBA40"/>
    <w:lvl w:ilvl="0" w:tplc="70222D46">
      <w:start w:val="14"/>
      <w:numFmt w:val="bullet"/>
      <w:lvlText w:val="-"/>
      <w:lvlJc w:val="left"/>
      <w:pPr>
        <w:ind w:left="720" w:hanging="360"/>
      </w:pPr>
      <w:rPr>
        <w:rFonts w:ascii="Times New Roman" w:hAnsi="Times New Roman" w:hint="default"/>
      </w:rPr>
    </w:lvl>
    <w:lvl w:ilvl="1" w:tplc="5E0439D2" w:tentative="1">
      <w:start w:val="1"/>
      <w:numFmt w:val="bullet"/>
      <w:lvlText w:val="o"/>
      <w:lvlJc w:val="left"/>
      <w:pPr>
        <w:ind w:left="1440" w:hanging="360"/>
      </w:pPr>
      <w:rPr>
        <w:rFonts w:ascii="Courier New" w:hAnsi="Courier New" w:hint="default"/>
      </w:rPr>
    </w:lvl>
    <w:lvl w:ilvl="2" w:tplc="8F32D79E" w:tentative="1">
      <w:start w:val="1"/>
      <w:numFmt w:val="bullet"/>
      <w:lvlText w:val=""/>
      <w:lvlJc w:val="left"/>
      <w:pPr>
        <w:ind w:left="2160" w:hanging="360"/>
      </w:pPr>
      <w:rPr>
        <w:rFonts w:ascii="Wingdings" w:hAnsi="Wingdings" w:hint="default"/>
      </w:rPr>
    </w:lvl>
    <w:lvl w:ilvl="3" w:tplc="5DF61856" w:tentative="1">
      <w:start w:val="1"/>
      <w:numFmt w:val="bullet"/>
      <w:lvlText w:val=""/>
      <w:lvlJc w:val="left"/>
      <w:pPr>
        <w:ind w:left="2880" w:hanging="360"/>
      </w:pPr>
      <w:rPr>
        <w:rFonts w:ascii="Symbol" w:hAnsi="Symbol" w:hint="default"/>
      </w:rPr>
    </w:lvl>
    <w:lvl w:ilvl="4" w:tplc="F43C4CF4" w:tentative="1">
      <w:start w:val="1"/>
      <w:numFmt w:val="bullet"/>
      <w:lvlText w:val="o"/>
      <w:lvlJc w:val="left"/>
      <w:pPr>
        <w:ind w:left="3600" w:hanging="360"/>
      </w:pPr>
      <w:rPr>
        <w:rFonts w:ascii="Courier New" w:hAnsi="Courier New" w:hint="default"/>
      </w:rPr>
    </w:lvl>
    <w:lvl w:ilvl="5" w:tplc="7A7C7C5C" w:tentative="1">
      <w:start w:val="1"/>
      <w:numFmt w:val="bullet"/>
      <w:lvlText w:val=""/>
      <w:lvlJc w:val="left"/>
      <w:pPr>
        <w:ind w:left="4320" w:hanging="360"/>
      </w:pPr>
      <w:rPr>
        <w:rFonts w:ascii="Wingdings" w:hAnsi="Wingdings" w:hint="default"/>
      </w:rPr>
    </w:lvl>
    <w:lvl w:ilvl="6" w:tplc="788C2F04" w:tentative="1">
      <w:start w:val="1"/>
      <w:numFmt w:val="bullet"/>
      <w:lvlText w:val=""/>
      <w:lvlJc w:val="left"/>
      <w:pPr>
        <w:ind w:left="5040" w:hanging="360"/>
      </w:pPr>
      <w:rPr>
        <w:rFonts w:ascii="Symbol" w:hAnsi="Symbol" w:hint="default"/>
      </w:rPr>
    </w:lvl>
    <w:lvl w:ilvl="7" w:tplc="334A0D20" w:tentative="1">
      <w:start w:val="1"/>
      <w:numFmt w:val="bullet"/>
      <w:lvlText w:val="o"/>
      <w:lvlJc w:val="left"/>
      <w:pPr>
        <w:ind w:left="5760" w:hanging="360"/>
      </w:pPr>
      <w:rPr>
        <w:rFonts w:ascii="Courier New" w:hAnsi="Courier New" w:hint="default"/>
      </w:rPr>
    </w:lvl>
    <w:lvl w:ilvl="8" w:tplc="EBF6BB62" w:tentative="1">
      <w:start w:val="1"/>
      <w:numFmt w:val="bullet"/>
      <w:lvlText w:val=""/>
      <w:lvlJc w:val="left"/>
      <w:pPr>
        <w:ind w:left="6480" w:hanging="360"/>
      </w:pPr>
      <w:rPr>
        <w:rFonts w:ascii="Wingdings" w:hAnsi="Wingdings" w:hint="default"/>
      </w:rPr>
    </w:lvl>
  </w:abstractNum>
  <w:abstractNum w:abstractNumId="279" w15:restartNumberingAfterBreak="0">
    <w:nsid w:val="7F6A51A4"/>
    <w:multiLevelType w:val="hybridMultilevel"/>
    <w:tmpl w:val="5CD4A7A4"/>
    <w:lvl w:ilvl="0" w:tplc="0930DF3A">
      <w:start w:val="1"/>
      <w:numFmt w:val="bullet"/>
      <w:lvlText w:val="-"/>
      <w:lvlJc w:val="left"/>
      <w:pPr>
        <w:ind w:left="360" w:hanging="360"/>
      </w:pPr>
      <w:rPr>
        <w:rFonts w:ascii="Calibri" w:hAnsi="Calibri" w:hint="default"/>
      </w:rPr>
    </w:lvl>
    <w:lvl w:ilvl="1" w:tplc="3C76F466" w:tentative="1">
      <w:start w:val="1"/>
      <w:numFmt w:val="bullet"/>
      <w:lvlText w:val="o"/>
      <w:lvlJc w:val="left"/>
      <w:pPr>
        <w:ind w:left="1080" w:hanging="360"/>
      </w:pPr>
      <w:rPr>
        <w:rFonts w:ascii="Cambria Math" w:hAnsi="Cambria Math" w:hint="default"/>
      </w:rPr>
    </w:lvl>
    <w:lvl w:ilvl="2" w:tplc="A49CA836" w:tentative="1">
      <w:start w:val="1"/>
      <w:numFmt w:val="bullet"/>
      <w:lvlText w:val=""/>
      <w:lvlJc w:val="left"/>
      <w:pPr>
        <w:ind w:left="1800" w:hanging="360"/>
      </w:pPr>
      <w:rPr>
        <w:rFonts w:ascii="Wingdings" w:hAnsi="Wingdings" w:hint="default"/>
      </w:rPr>
    </w:lvl>
    <w:lvl w:ilvl="3" w:tplc="89702CC8" w:tentative="1">
      <w:start w:val="1"/>
      <w:numFmt w:val="bullet"/>
      <w:lvlText w:val=""/>
      <w:lvlJc w:val="left"/>
      <w:pPr>
        <w:ind w:left="2520" w:hanging="360"/>
      </w:pPr>
      <w:rPr>
        <w:rFonts w:ascii="Courier New" w:hAnsi="Courier New" w:hint="default"/>
      </w:rPr>
    </w:lvl>
    <w:lvl w:ilvl="4" w:tplc="40C65900" w:tentative="1">
      <w:start w:val="1"/>
      <w:numFmt w:val="bullet"/>
      <w:lvlText w:val="o"/>
      <w:lvlJc w:val="left"/>
      <w:pPr>
        <w:ind w:left="3240" w:hanging="360"/>
      </w:pPr>
      <w:rPr>
        <w:rFonts w:ascii="Cambria Math" w:hAnsi="Cambria Math" w:hint="default"/>
      </w:rPr>
    </w:lvl>
    <w:lvl w:ilvl="5" w:tplc="A984A262" w:tentative="1">
      <w:start w:val="1"/>
      <w:numFmt w:val="bullet"/>
      <w:lvlText w:val=""/>
      <w:lvlJc w:val="left"/>
      <w:pPr>
        <w:ind w:left="3960" w:hanging="360"/>
      </w:pPr>
      <w:rPr>
        <w:rFonts w:ascii="Wingdings" w:hAnsi="Wingdings" w:hint="default"/>
      </w:rPr>
    </w:lvl>
    <w:lvl w:ilvl="6" w:tplc="33CEDBD6" w:tentative="1">
      <w:start w:val="1"/>
      <w:numFmt w:val="bullet"/>
      <w:lvlText w:val=""/>
      <w:lvlJc w:val="left"/>
      <w:pPr>
        <w:ind w:left="4680" w:hanging="360"/>
      </w:pPr>
      <w:rPr>
        <w:rFonts w:ascii="Courier New" w:hAnsi="Courier New" w:hint="default"/>
      </w:rPr>
    </w:lvl>
    <w:lvl w:ilvl="7" w:tplc="4C8610F8" w:tentative="1">
      <w:start w:val="1"/>
      <w:numFmt w:val="bullet"/>
      <w:lvlText w:val="o"/>
      <w:lvlJc w:val="left"/>
      <w:pPr>
        <w:ind w:left="5400" w:hanging="360"/>
      </w:pPr>
      <w:rPr>
        <w:rFonts w:ascii="Cambria Math" w:hAnsi="Cambria Math" w:hint="default"/>
      </w:rPr>
    </w:lvl>
    <w:lvl w:ilvl="8" w:tplc="398C34CE" w:tentative="1">
      <w:start w:val="1"/>
      <w:numFmt w:val="bullet"/>
      <w:lvlText w:val=""/>
      <w:lvlJc w:val="left"/>
      <w:pPr>
        <w:ind w:left="6120" w:hanging="360"/>
      </w:pPr>
      <w:rPr>
        <w:rFonts w:ascii="Wingdings" w:hAnsi="Wingdings" w:hint="default"/>
      </w:rPr>
    </w:lvl>
  </w:abstractNum>
  <w:abstractNum w:abstractNumId="280" w15:restartNumberingAfterBreak="0">
    <w:nsid w:val="7FBE6D60"/>
    <w:multiLevelType w:val="hybridMultilevel"/>
    <w:tmpl w:val="7DEA0444"/>
    <w:lvl w:ilvl="0" w:tplc="CCF8CD8C">
      <w:start w:val="1"/>
      <w:numFmt w:val="lowerLetter"/>
      <w:lvlText w:val="%1)"/>
      <w:lvlJc w:val="left"/>
      <w:pPr>
        <w:ind w:left="720" w:hanging="360"/>
      </w:pPr>
    </w:lvl>
    <w:lvl w:ilvl="1" w:tplc="FEDE1A04" w:tentative="1">
      <w:start w:val="1"/>
      <w:numFmt w:val="lowerLetter"/>
      <w:lvlText w:val="%2."/>
      <w:lvlJc w:val="left"/>
      <w:pPr>
        <w:ind w:left="1440" w:hanging="360"/>
      </w:pPr>
    </w:lvl>
    <w:lvl w:ilvl="2" w:tplc="5D609CA4" w:tentative="1">
      <w:start w:val="1"/>
      <w:numFmt w:val="lowerRoman"/>
      <w:lvlText w:val="%3."/>
      <w:lvlJc w:val="right"/>
      <w:pPr>
        <w:ind w:left="2160" w:hanging="180"/>
      </w:pPr>
    </w:lvl>
    <w:lvl w:ilvl="3" w:tplc="EA92949C" w:tentative="1">
      <w:start w:val="1"/>
      <w:numFmt w:val="decimal"/>
      <w:lvlText w:val="%4."/>
      <w:lvlJc w:val="left"/>
      <w:pPr>
        <w:ind w:left="2880" w:hanging="360"/>
      </w:pPr>
    </w:lvl>
    <w:lvl w:ilvl="4" w:tplc="93CCA80A" w:tentative="1">
      <w:start w:val="1"/>
      <w:numFmt w:val="lowerLetter"/>
      <w:lvlText w:val="%5."/>
      <w:lvlJc w:val="left"/>
      <w:pPr>
        <w:ind w:left="3600" w:hanging="360"/>
      </w:pPr>
    </w:lvl>
    <w:lvl w:ilvl="5" w:tplc="FF504AB2" w:tentative="1">
      <w:start w:val="1"/>
      <w:numFmt w:val="lowerRoman"/>
      <w:lvlText w:val="%6."/>
      <w:lvlJc w:val="right"/>
      <w:pPr>
        <w:ind w:left="4320" w:hanging="180"/>
      </w:pPr>
    </w:lvl>
    <w:lvl w:ilvl="6" w:tplc="FD46245A" w:tentative="1">
      <w:start w:val="1"/>
      <w:numFmt w:val="decimal"/>
      <w:lvlText w:val="%7."/>
      <w:lvlJc w:val="left"/>
      <w:pPr>
        <w:ind w:left="5040" w:hanging="360"/>
      </w:pPr>
    </w:lvl>
    <w:lvl w:ilvl="7" w:tplc="0E66CAC8" w:tentative="1">
      <w:start w:val="1"/>
      <w:numFmt w:val="lowerLetter"/>
      <w:lvlText w:val="%8."/>
      <w:lvlJc w:val="left"/>
      <w:pPr>
        <w:ind w:left="5760" w:hanging="360"/>
      </w:pPr>
    </w:lvl>
    <w:lvl w:ilvl="8" w:tplc="101076D2" w:tentative="1">
      <w:start w:val="1"/>
      <w:numFmt w:val="lowerRoman"/>
      <w:lvlText w:val="%9."/>
      <w:lvlJc w:val="right"/>
      <w:pPr>
        <w:ind w:left="6480" w:hanging="180"/>
      </w:pPr>
    </w:lvl>
  </w:abstractNum>
  <w:num w:numId="1">
    <w:abstractNumId w:val="111"/>
  </w:num>
  <w:num w:numId="2">
    <w:abstractNumId w:val="167"/>
  </w:num>
  <w:num w:numId="3">
    <w:abstractNumId w:val="113"/>
  </w:num>
  <w:num w:numId="4">
    <w:abstractNumId w:val="210"/>
  </w:num>
  <w:num w:numId="5">
    <w:abstractNumId w:val="9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8"/>
  </w:num>
  <w:num w:numId="17">
    <w:abstractNumId w:val="265"/>
  </w:num>
  <w:num w:numId="18">
    <w:abstractNumId w:val="65"/>
  </w:num>
  <w:num w:numId="1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0"/>
  </w:num>
  <w:num w:numId="21">
    <w:abstractNumId w:val="59"/>
  </w:num>
  <w:num w:numId="22">
    <w:abstractNumId w:val="60"/>
  </w:num>
  <w:num w:numId="23">
    <w:abstractNumId w:val="271"/>
  </w:num>
  <w:num w:numId="24">
    <w:abstractNumId w:val="35"/>
  </w:num>
  <w:num w:numId="25">
    <w:abstractNumId w:val="165"/>
  </w:num>
  <w:num w:numId="26">
    <w:abstractNumId w:val="52"/>
  </w:num>
  <w:num w:numId="27">
    <w:abstractNumId w:val="116"/>
  </w:num>
  <w:num w:numId="28">
    <w:abstractNumId w:val="17"/>
  </w:num>
  <w:num w:numId="29">
    <w:abstractNumId w:val="76"/>
  </w:num>
  <w:num w:numId="30">
    <w:abstractNumId w:val="19"/>
  </w:num>
  <w:num w:numId="31">
    <w:abstractNumId w:val="221"/>
  </w:num>
  <w:num w:numId="32">
    <w:abstractNumId w:val="204"/>
  </w:num>
  <w:num w:numId="33">
    <w:abstractNumId w:val="174"/>
  </w:num>
  <w:num w:numId="34">
    <w:abstractNumId w:val="22"/>
  </w:num>
  <w:num w:numId="35">
    <w:abstractNumId w:val="26"/>
  </w:num>
  <w:num w:numId="36">
    <w:abstractNumId w:val="144"/>
  </w:num>
  <w:num w:numId="37">
    <w:abstractNumId w:val="84"/>
  </w:num>
  <w:num w:numId="38">
    <w:abstractNumId w:val="211"/>
  </w:num>
  <w:num w:numId="39">
    <w:abstractNumId w:val="109"/>
  </w:num>
  <w:num w:numId="40">
    <w:abstractNumId w:val="171"/>
  </w:num>
  <w:num w:numId="41">
    <w:abstractNumId w:val="231"/>
  </w:num>
  <w:num w:numId="42">
    <w:abstractNumId w:val="156"/>
  </w:num>
  <w:num w:numId="43">
    <w:abstractNumId w:val="263"/>
  </w:num>
  <w:num w:numId="44">
    <w:abstractNumId w:val="275"/>
  </w:num>
  <w:num w:numId="45">
    <w:abstractNumId w:val="66"/>
  </w:num>
  <w:num w:numId="46">
    <w:abstractNumId w:val="207"/>
  </w:num>
  <w:num w:numId="47">
    <w:abstractNumId w:val="57"/>
  </w:num>
  <w:num w:numId="48">
    <w:abstractNumId w:val="72"/>
  </w:num>
  <w:num w:numId="49">
    <w:abstractNumId w:val="261"/>
  </w:num>
  <w:num w:numId="50">
    <w:abstractNumId w:val="158"/>
  </w:num>
  <w:num w:numId="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9"/>
    <w:lvlOverride w:ilvl="0">
      <w:startOverride w:val="1"/>
    </w:lvlOverride>
    <w:lvlOverride w:ilvl="1"/>
    <w:lvlOverride w:ilvl="2"/>
    <w:lvlOverride w:ilvl="3"/>
    <w:lvlOverride w:ilvl="4"/>
    <w:lvlOverride w:ilvl="5"/>
    <w:lvlOverride w:ilvl="6"/>
    <w:lvlOverride w:ilvl="7"/>
    <w:lvlOverride w:ilvl="8"/>
  </w:num>
  <w:num w:numId="57">
    <w:abstractNumId w:val="68"/>
  </w:num>
  <w:num w:numId="58">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22"/>
  </w:num>
  <w:num w:numId="60">
    <w:abstractNumId w:val="279"/>
  </w:num>
  <w:num w:numId="61">
    <w:abstractNumId w:val="228"/>
  </w:num>
  <w:num w:numId="62">
    <w:abstractNumId w:val="183"/>
  </w:num>
  <w:num w:numId="63">
    <w:abstractNumId w:val="24"/>
  </w:num>
  <w:num w:numId="64">
    <w:abstractNumId w:val="192"/>
  </w:num>
  <w:num w:numId="65">
    <w:abstractNumId w:val="70"/>
  </w:num>
  <w:num w:numId="66">
    <w:abstractNumId w:val="79"/>
  </w:num>
  <w:num w:numId="67">
    <w:abstractNumId w:val="101"/>
  </w:num>
  <w:num w:numId="68">
    <w:abstractNumId w:val="58"/>
  </w:num>
  <w:num w:numId="69">
    <w:abstractNumId w:val="149"/>
  </w:num>
  <w:num w:numId="70">
    <w:abstractNumId w:val="240"/>
  </w:num>
  <w:num w:numId="71">
    <w:abstractNumId w:val="169"/>
  </w:num>
  <w:num w:numId="72">
    <w:abstractNumId w:val="120"/>
  </w:num>
  <w:num w:numId="73">
    <w:abstractNumId w:val="160"/>
  </w:num>
  <w:num w:numId="74">
    <w:abstractNumId w:val="280"/>
  </w:num>
  <w:num w:numId="75">
    <w:abstractNumId w:val="214"/>
  </w:num>
  <w:num w:numId="76">
    <w:abstractNumId w:val="249"/>
  </w:num>
  <w:num w:numId="77">
    <w:abstractNumId w:val="103"/>
  </w:num>
  <w:num w:numId="78">
    <w:abstractNumId w:val="64"/>
  </w:num>
  <w:num w:numId="79">
    <w:abstractNumId w:val="128"/>
  </w:num>
  <w:num w:numId="80">
    <w:abstractNumId w:val="264"/>
  </w:num>
  <w:num w:numId="81">
    <w:abstractNumId w:val="21"/>
  </w:num>
  <w:num w:numId="82">
    <w:abstractNumId w:val="201"/>
  </w:num>
  <w:num w:numId="83">
    <w:abstractNumId w:val="83"/>
  </w:num>
  <w:num w:numId="84">
    <w:abstractNumId w:val="200"/>
  </w:num>
  <w:num w:numId="85">
    <w:abstractNumId w:val="43"/>
  </w:num>
  <w:num w:numId="86">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
  </w:num>
  <w:num w:numId="89">
    <w:abstractNumId w:val="73"/>
  </w:num>
  <w:num w:numId="90">
    <w:abstractNumId w:val="23"/>
  </w:num>
  <w:num w:numId="91">
    <w:abstractNumId w:val="27"/>
  </w:num>
  <w:num w:numId="92">
    <w:abstractNumId w:val="108"/>
  </w:num>
  <w:num w:numId="93">
    <w:abstractNumId w:val="272"/>
  </w:num>
  <w:num w:numId="94">
    <w:abstractNumId w:val="118"/>
  </w:num>
  <w:num w:numId="95">
    <w:abstractNumId w:val="234"/>
  </w:num>
  <w:num w:numId="96">
    <w:abstractNumId w:val="215"/>
  </w:num>
  <w:num w:numId="97">
    <w:abstractNumId w:val="273"/>
  </w:num>
  <w:num w:numId="98">
    <w:abstractNumId w:val="48"/>
  </w:num>
  <w:num w:numId="99">
    <w:abstractNumId w:val="223"/>
  </w:num>
  <w:num w:numId="100">
    <w:abstractNumId w:val="213"/>
  </w:num>
  <w:num w:numId="101">
    <w:abstractNumId w:val="89"/>
  </w:num>
  <w:num w:numId="102">
    <w:abstractNumId w:val="157"/>
  </w:num>
  <w:num w:numId="103">
    <w:abstractNumId w:val="260"/>
  </w:num>
  <w:num w:numId="104">
    <w:abstractNumId w:val="123"/>
  </w:num>
  <w:num w:numId="105">
    <w:abstractNumId w:val="243"/>
  </w:num>
  <w:num w:numId="106">
    <w:abstractNumId w:val="61"/>
  </w:num>
  <w:num w:numId="107">
    <w:abstractNumId w:val="268"/>
  </w:num>
  <w:num w:numId="108">
    <w:abstractNumId w:val="38"/>
  </w:num>
  <w:num w:numId="109">
    <w:abstractNumId w:val="20"/>
  </w:num>
  <w:num w:numId="110">
    <w:abstractNumId w:val="114"/>
  </w:num>
  <w:num w:numId="111">
    <w:abstractNumId w:val="25"/>
  </w:num>
  <w:num w:numId="112">
    <w:abstractNumId w:val="159"/>
  </w:num>
  <w:num w:numId="113">
    <w:abstractNumId w:val="37"/>
  </w:num>
  <w:num w:numId="114">
    <w:abstractNumId w:val="227"/>
  </w:num>
  <w:num w:numId="115">
    <w:abstractNumId w:val="63"/>
  </w:num>
  <w:num w:numId="116">
    <w:abstractNumId w:val="212"/>
  </w:num>
  <w:num w:numId="117">
    <w:abstractNumId w:val="88"/>
  </w:num>
  <w:num w:numId="118">
    <w:abstractNumId w:val="126"/>
  </w:num>
  <w:num w:numId="119">
    <w:abstractNumId w:val="125"/>
  </w:num>
  <w:num w:numId="120">
    <w:abstractNumId w:val="77"/>
  </w:num>
  <w:num w:numId="121">
    <w:abstractNumId w:val="138"/>
  </w:num>
  <w:num w:numId="122">
    <w:abstractNumId w:val="277"/>
  </w:num>
  <w:num w:numId="123">
    <w:abstractNumId w:val="189"/>
  </w:num>
  <w:num w:numId="124">
    <w:abstractNumId w:val="178"/>
  </w:num>
  <w:num w:numId="125">
    <w:abstractNumId w:val="246"/>
  </w:num>
  <w:num w:numId="126">
    <w:abstractNumId w:val="247"/>
  </w:num>
  <w:num w:numId="127">
    <w:abstractNumId w:val="132"/>
  </w:num>
  <w:num w:numId="128">
    <w:abstractNumId w:val="92"/>
  </w:num>
  <w:num w:numId="129">
    <w:abstractNumId w:val="46"/>
  </w:num>
  <w:num w:numId="130">
    <w:abstractNumId w:val="152"/>
  </w:num>
  <w:num w:numId="131">
    <w:abstractNumId w:val="94"/>
  </w:num>
  <w:num w:numId="132">
    <w:abstractNumId w:val="32"/>
  </w:num>
  <w:num w:numId="133">
    <w:abstractNumId w:val="161"/>
  </w:num>
  <w:num w:numId="134">
    <w:abstractNumId w:val="40"/>
  </w:num>
  <w:num w:numId="135">
    <w:abstractNumId w:val="140"/>
  </w:num>
  <w:num w:numId="136">
    <w:abstractNumId w:val="47"/>
  </w:num>
  <w:num w:numId="137">
    <w:abstractNumId w:val="44"/>
  </w:num>
  <w:num w:numId="138">
    <w:abstractNumId w:val="15"/>
  </w:num>
  <w:num w:numId="139">
    <w:abstractNumId w:val="104"/>
  </w:num>
  <w:num w:numId="140">
    <w:abstractNumId w:val="252"/>
  </w:num>
  <w:num w:numId="141">
    <w:abstractNumId w:val="191"/>
  </w:num>
  <w:num w:numId="142">
    <w:abstractNumId w:val="143"/>
  </w:num>
  <w:num w:numId="143">
    <w:abstractNumId w:val="176"/>
  </w:num>
  <w:num w:numId="144">
    <w:abstractNumId w:val="255"/>
  </w:num>
  <w:num w:numId="145">
    <w:abstractNumId w:val="203"/>
  </w:num>
  <w:num w:numId="146">
    <w:abstractNumId w:val="164"/>
  </w:num>
  <w:num w:numId="147">
    <w:abstractNumId w:val="90"/>
  </w:num>
  <w:num w:numId="148">
    <w:abstractNumId w:val="278"/>
  </w:num>
  <w:num w:numId="149">
    <w:abstractNumId w:val="235"/>
  </w:num>
  <w:num w:numId="150">
    <w:abstractNumId w:val="31"/>
  </w:num>
  <w:num w:numId="151">
    <w:abstractNumId w:val="172"/>
  </w:num>
  <w:num w:numId="152">
    <w:abstractNumId w:val="146"/>
  </w:num>
  <w:num w:numId="153">
    <w:abstractNumId w:val="250"/>
  </w:num>
  <w:num w:numId="154">
    <w:abstractNumId w:val="85"/>
  </w:num>
  <w:num w:numId="155">
    <w:abstractNumId w:val="256"/>
  </w:num>
  <w:num w:numId="156">
    <w:abstractNumId w:val="28"/>
  </w:num>
  <w:num w:numId="157">
    <w:abstractNumId w:val="78"/>
  </w:num>
  <w:num w:numId="158">
    <w:abstractNumId w:val="236"/>
  </w:num>
  <w:num w:numId="159">
    <w:abstractNumId w:val="136"/>
  </w:num>
  <w:num w:numId="160">
    <w:abstractNumId w:val="262"/>
  </w:num>
  <w:num w:numId="161">
    <w:abstractNumId w:val="80"/>
  </w:num>
  <w:num w:numId="162">
    <w:abstractNumId w:val="153"/>
  </w:num>
  <w:num w:numId="163">
    <w:abstractNumId w:val="226"/>
  </w:num>
  <w:num w:numId="164">
    <w:abstractNumId w:val="91"/>
  </w:num>
  <w:num w:numId="165">
    <w:abstractNumId w:val="110"/>
  </w:num>
  <w:num w:numId="166">
    <w:abstractNumId w:val="233"/>
  </w:num>
  <w:num w:numId="167">
    <w:abstractNumId w:val="257"/>
  </w:num>
  <w:num w:numId="168">
    <w:abstractNumId w:val="71"/>
  </w:num>
  <w:num w:numId="169">
    <w:abstractNumId w:val="141"/>
  </w:num>
  <w:num w:numId="170">
    <w:abstractNumId w:val="245"/>
  </w:num>
  <w:num w:numId="171">
    <w:abstractNumId w:val="194"/>
  </w:num>
  <w:num w:numId="172">
    <w:abstractNumId w:val="105"/>
  </w:num>
  <w:num w:numId="173">
    <w:abstractNumId w:val="270"/>
  </w:num>
  <w:num w:numId="174">
    <w:abstractNumId w:val="86"/>
  </w:num>
  <w:num w:numId="175">
    <w:abstractNumId w:val="254"/>
  </w:num>
  <w:num w:numId="176">
    <w:abstractNumId w:val="33"/>
  </w:num>
  <w:num w:numId="177">
    <w:abstractNumId w:val="100"/>
  </w:num>
  <w:num w:numId="178">
    <w:abstractNumId w:val="258"/>
  </w:num>
  <w:num w:numId="179">
    <w:abstractNumId w:val="41"/>
  </w:num>
  <w:num w:numId="180">
    <w:abstractNumId w:val="117"/>
  </w:num>
  <w:num w:numId="181">
    <w:abstractNumId w:val="122"/>
  </w:num>
  <w:num w:numId="182">
    <w:abstractNumId w:val="12"/>
  </w:num>
  <w:num w:numId="183">
    <w:abstractNumId w:val="112"/>
  </w:num>
  <w:num w:numId="184">
    <w:abstractNumId w:val="259"/>
  </w:num>
  <w:num w:numId="185">
    <w:abstractNumId w:val="99"/>
  </w:num>
  <w:num w:numId="186">
    <w:abstractNumId w:val="186"/>
  </w:num>
  <w:num w:numId="187">
    <w:abstractNumId w:val="253"/>
  </w:num>
  <w:num w:numId="188">
    <w:abstractNumId w:val="237"/>
  </w:num>
  <w:num w:numId="189">
    <w:abstractNumId w:val="96"/>
  </w:num>
  <w:num w:numId="190">
    <w:abstractNumId w:val="133"/>
  </w:num>
  <w:num w:numId="191">
    <w:abstractNumId w:val="163"/>
  </w:num>
  <w:num w:numId="192">
    <w:abstractNumId w:val="173"/>
  </w:num>
  <w:num w:numId="193">
    <w:abstractNumId w:val="56"/>
  </w:num>
  <w:num w:numId="194">
    <w:abstractNumId w:val="193"/>
  </w:num>
  <w:num w:numId="195">
    <w:abstractNumId w:val="180"/>
  </w:num>
  <w:num w:numId="196">
    <w:abstractNumId w:val="209"/>
  </w:num>
  <w:num w:numId="197">
    <w:abstractNumId w:val="69"/>
  </w:num>
  <w:num w:numId="198">
    <w:abstractNumId w:val="242"/>
  </w:num>
  <w:num w:numId="199">
    <w:abstractNumId w:val="127"/>
  </w:num>
  <w:num w:numId="200">
    <w:abstractNumId w:val="238"/>
  </w:num>
  <w:num w:numId="201">
    <w:abstractNumId w:val="208"/>
  </w:num>
  <w:num w:numId="202">
    <w:abstractNumId w:val="102"/>
  </w:num>
  <w:num w:numId="203">
    <w:abstractNumId w:val="93"/>
  </w:num>
  <w:num w:numId="204">
    <w:abstractNumId w:val="87"/>
  </w:num>
  <w:num w:numId="205">
    <w:abstractNumId w:val="155"/>
  </w:num>
  <w:num w:numId="206">
    <w:abstractNumId w:val="251"/>
  </w:num>
  <w:num w:numId="207">
    <w:abstractNumId w:val="197"/>
  </w:num>
  <w:num w:numId="208">
    <w:abstractNumId w:val="162"/>
  </w:num>
  <w:num w:numId="209">
    <w:abstractNumId w:val="150"/>
  </w:num>
  <w:num w:numId="210">
    <w:abstractNumId w:val="134"/>
  </w:num>
  <w:num w:numId="211">
    <w:abstractNumId w:val="229"/>
  </w:num>
  <w:num w:numId="212">
    <w:abstractNumId w:val="267"/>
  </w:num>
  <w:num w:numId="213">
    <w:abstractNumId w:val="179"/>
  </w:num>
  <w:num w:numId="214">
    <w:abstractNumId w:val="145"/>
  </w:num>
  <w:num w:numId="215">
    <w:abstractNumId w:val="55"/>
  </w:num>
  <w:num w:numId="216">
    <w:abstractNumId w:val="29"/>
  </w:num>
  <w:num w:numId="217">
    <w:abstractNumId w:val="217"/>
  </w:num>
  <w:num w:numId="218">
    <w:abstractNumId w:val="129"/>
  </w:num>
  <w:num w:numId="219">
    <w:abstractNumId w:val="14"/>
  </w:num>
  <w:num w:numId="220">
    <w:abstractNumId w:val="13"/>
  </w:num>
  <w:num w:numId="221">
    <w:abstractNumId w:val="142"/>
  </w:num>
  <w:num w:numId="222">
    <w:abstractNumId w:val="67"/>
  </w:num>
  <w:num w:numId="223">
    <w:abstractNumId w:val="39"/>
  </w:num>
  <w:num w:numId="224">
    <w:abstractNumId w:val="18"/>
  </w:num>
  <w:num w:numId="225">
    <w:abstractNumId w:val="124"/>
  </w:num>
  <w:num w:numId="226">
    <w:abstractNumId w:val="205"/>
  </w:num>
  <w:num w:numId="227">
    <w:abstractNumId w:val="206"/>
  </w:num>
  <w:num w:numId="228">
    <w:abstractNumId w:val="50"/>
  </w:num>
  <w:num w:numId="229">
    <w:abstractNumId w:val="177"/>
  </w:num>
  <w:num w:numId="230">
    <w:abstractNumId w:val="199"/>
  </w:num>
  <w:num w:numId="231">
    <w:abstractNumId w:val="16"/>
  </w:num>
  <w:num w:numId="2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241"/>
  </w:num>
  <w:num w:numId="237">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85"/>
  </w:num>
  <w:num w:numId="242">
    <w:abstractNumId w:val="74"/>
  </w:num>
  <w:num w:numId="243">
    <w:abstractNumId w:val="135"/>
  </w:num>
  <w:num w:numId="244">
    <w:abstractNumId w:val="30"/>
  </w:num>
  <w:num w:numId="245">
    <w:abstractNumId w:val="274"/>
  </w:num>
  <w:num w:numId="246">
    <w:abstractNumId w:val="188"/>
  </w:num>
  <w:num w:numId="247">
    <w:abstractNumId w:val="107"/>
  </w:num>
  <w:num w:numId="248">
    <w:abstractNumId w:val="175"/>
  </w:num>
  <w:num w:numId="249">
    <w:abstractNumId w:val="187"/>
  </w:num>
  <w:num w:numId="250">
    <w:abstractNumId w:val="137"/>
  </w:num>
  <w:num w:numId="251">
    <w:abstractNumId w:val="202"/>
  </w:num>
  <w:num w:numId="252">
    <w:abstractNumId w:val="225"/>
  </w:num>
  <w:num w:numId="253">
    <w:abstractNumId w:val="82"/>
  </w:num>
  <w:num w:numId="254">
    <w:abstractNumId w:val="139"/>
  </w:num>
  <w:num w:numId="255">
    <w:abstractNumId w:val="53"/>
  </w:num>
  <w:num w:numId="256">
    <w:abstractNumId w:val="147"/>
  </w:num>
  <w:num w:numId="257">
    <w:abstractNumId w:val="195"/>
  </w:num>
  <w:num w:numId="258">
    <w:abstractNumId w:val="198"/>
  </w:num>
  <w:num w:numId="259">
    <w:abstractNumId w:val="81"/>
  </w:num>
  <w:num w:numId="260">
    <w:abstractNumId w:val="182"/>
  </w:num>
  <w:num w:numId="261">
    <w:abstractNumId w:val="276"/>
  </w:num>
  <w:num w:numId="262">
    <w:abstractNumId w:val="266"/>
  </w:num>
  <w:num w:numId="263">
    <w:abstractNumId w:val="36"/>
  </w:num>
  <w:num w:numId="264">
    <w:abstractNumId w:val="131"/>
  </w:num>
  <w:num w:numId="265">
    <w:abstractNumId w:val="42"/>
  </w:num>
  <w:num w:numId="266">
    <w:abstractNumId w:val="34"/>
  </w:num>
  <w:num w:numId="267">
    <w:abstractNumId w:val="244"/>
  </w:num>
  <w:num w:numId="268">
    <w:abstractNumId w:val="75"/>
  </w:num>
  <w:num w:numId="269">
    <w:abstractNumId w:val="51"/>
  </w:num>
  <w:num w:numId="270">
    <w:abstractNumId w:val="269"/>
  </w:num>
  <w:num w:numId="271">
    <w:abstractNumId w:val="45"/>
  </w:num>
  <w:num w:numId="272">
    <w:abstractNumId w:val="224"/>
  </w:num>
  <w:num w:numId="273">
    <w:abstractNumId w:val="230"/>
  </w:num>
  <w:num w:numId="274">
    <w:abstractNumId w:val="248"/>
  </w:num>
  <w:num w:numId="275">
    <w:abstractNumId w:val="190"/>
  </w:num>
  <w:num w:numId="276">
    <w:abstractNumId w:val="168"/>
  </w:num>
  <w:num w:numId="277">
    <w:abstractNumId w:val="220"/>
  </w:num>
  <w:num w:numId="278">
    <w:abstractNumId w:val="115"/>
  </w:num>
  <w:num w:numId="279">
    <w:abstractNumId w:val="239"/>
  </w:num>
  <w:num w:numId="280">
    <w:abstractNumId w:val="151"/>
  </w:num>
  <w:num w:numId="281">
    <w:abstractNumId w:val="54"/>
  </w:num>
  <w:num w:numId="282">
    <w:abstractNumId w:val="166"/>
  </w:num>
  <w:num w:numId="28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30"/>
  </w:num>
  <w:num w:numId="285">
    <w:abstractNumId w:val="11"/>
  </w:num>
  <w:num w:numId="286">
    <w:abstractNumId w:val="216"/>
  </w:num>
  <w:num w:numId="287">
    <w:abstractNumId w:val="154"/>
  </w:num>
  <w:num w:numId="288">
    <w:abstractNumId w:val="196"/>
  </w:num>
  <w:num w:numId="289">
    <w:abstractNumId w:val="232"/>
  </w:num>
  <w:num w:numId="290">
    <w:abstractNumId w:val="106"/>
  </w:num>
  <w:num w:numId="291">
    <w:abstractNumId w:val="62"/>
  </w:num>
  <w:num w:numId="292">
    <w:abstractNumId w:val="98"/>
  </w:num>
  <w:numIdMacAtCleanup w:val="2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98690AF2-EDAB-49F6-BD02-A96B9567FB75"/>
    <w:docVar w:name="LW_COVERPAGE_TYPE" w:val="1"/>
    <w:docVar w:name="LW_CROSSREFERENCE" w:val="{SWD(2026) 135 final}"/>
    <w:docVar w:name="LW_DocType" w:val="NORMAL"/>
    <w:docVar w:name="LW_EMISSION" w:val="20.5.2026"/>
    <w:docVar w:name="LW_EMISSION_ISODATE" w:val="2026-05-20"/>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lt;FMT:Bold&gt;de modificare a Deciziei de punere în aplicare din 13 iulie 2021 de aprobare a evalu\u259?rii planului de redresare \u537?i rezilien\u539?\u259? al Spaniei&lt;/FMT&gt;_x000b__x000d__x000d__x000d__x000b_"/>
    <w:docVar w:name="LW_PART_NBR" w:val="1"/>
    <w:docVar w:name="LW_PART_NBR_TOTAL" w:val="1"/>
    <w:docVar w:name="LW_REF.INST.NEW" w:val="COM"/>
    <w:docVar w:name="LW_REF.INST.NEW_ADOPTED" w:val="final"/>
    <w:docVar w:name="LW_REF.INST.NEW_TEXT" w:val="(2026) 25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_x000b_"/>
    <w:docVar w:name="LwApiVersions" w:val="LW4CoDe 1.24.5.0; LW 9.2, Build 20251112"/>
  </w:docVars>
  <w:rsids>
    <w:rsidRoot w:val="00B528FB"/>
    <w:rsid w:val="000006AD"/>
    <w:rsid w:val="000008DE"/>
    <w:rsid w:val="000013DA"/>
    <w:rsid w:val="000016DB"/>
    <w:rsid w:val="00001D35"/>
    <w:rsid w:val="00001D75"/>
    <w:rsid w:val="00001E0C"/>
    <w:rsid w:val="00001F4A"/>
    <w:rsid w:val="00002084"/>
    <w:rsid w:val="0000209E"/>
    <w:rsid w:val="00002400"/>
    <w:rsid w:val="000025B1"/>
    <w:rsid w:val="00002B4D"/>
    <w:rsid w:val="00002B78"/>
    <w:rsid w:val="00002CE4"/>
    <w:rsid w:val="00002DD4"/>
    <w:rsid w:val="00002E68"/>
    <w:rsid w:val="00002E77"/>
    <w:rsid w:val="0000352D"/>
    <w:rsid w:val="00003905"/>
    <w:rsid w:val="00003AD4"/>
    <w:rsid w:val="00003C98"/>
    <w:rsid w:val="00003F37"/>
    <w:rsid w:val="00003F76"/>
    <w:rsid w:val="00003FB3"/>
    <w:rsid w:val="0000429C"/>
    <w:rsid w:val="00004343"/>
    <w:rsid w:val="000049D7"/>
    <w:rsid w:val="00004CAE"/>
    <w:rsid w:val="000054F7"/>
    <w:rsid w:val="00005826"/>
    <w:rsid w:val="00005B7B"/>
    <w:rsid w:val="00005C12"/>
    <w:rsid w:val="00005DB0"/>
    <w:rsid w:val="00005F25"/>
    <w:rsid w:val="000064E6"/>
    <w:rsid w:val="000066C9"/>
    <w:rsid w:val="00006DBE"/>
    <w:rsid w:val="000076A5"/>
    <w:rsid w:val="000076AC"/>
    <w:rsid w:val="000103E1"/>
    <w:rsid w:val="00010801"/>
    <w:rsid w:val="00010CC2"/>
    <w:rsid w:val="00010E86"/>
    <w:rsid w:val="00011489"/>
    <w:rsid w:val="000114A1"/>
    <w:rsid w:val="00011C2B"/>
    <w:rsid w:val="00011DE9"/>
    <w:rsid w:val="0001228F"/>
    <w:rsid w:val="0001252B"/>
    <w:rsid w:val="0001289A"/>
    <w:rsid w:val="00012A3B"/>
    <w:rsid w:val="00012CCD"/>
    <w:rsid w:val="00012E9D"/>
    <w:rsid w:val="00012F39"/>
    <w:rsid w:val="0001334E"/>
    <w:rsid w:val="00013483"/>
    <w:rsid w:val="0001369E"/>
    <w:rsid w:val="000136E0"/>
    <w:rsid w:val="00013733"/>
    <w:rsid w:val="000139BC"/>
    <w:rsid w:val="00013A86"/>
    <w:rsid w:val="00013ABF"/>
    <w:rsid w:val="00013F04"/>
    <w:rsid w:val="0001403C"/>
    <w:rsid w:val="00014080"/>
    <w:rsid w:val="00014144"/>
    <w:rsid w:val="00014205"/>
    <w:rsid w:val="00014212"/>
    <w:rsid w:val="0001431B"/>
    <w:rsid w:val="00014682"/>
    <w:rsid w:val="0001498A"/>
    <w:rsid w:val="00014D82"/>
    <w:rsid w:val="00015003"/>
    <w:rsid w:val="0001574B"/>
    <w:rsid w:val="000159E8"/>
    <w:rsid w:val="00015C0C"/>
    <w:rsid w:val="00016147"/>
    <w:rsid w:val="00016A71"/>
    <w:rsid w:val="00016BE8"/>
    <w:rsid w:val="00016E4F"/>
    <w:rsid w:val="00016EBC"/>
    <w:rsid w:val="00017284"/>
    <w:rsid w:val="00017528"/>
    <w:rsid w:val="00017B0A"/>
    <w:rsid w:val="00017B3C"/>
    <w:rsid w:val="00017C8F"/>
    <w:rsid w:val="00017DE3"/>
    <w:rsid w:val="000209AF"/>
    <w:rsid w:val="00020E8A"/>
    <w:rsid w:val="000211FF"/>
    <w:rsid w:val="00021E51"/>
    <w:rsid w:val="00021E9D"/>
    <w:rsid w:val="000222C1"/>
    <w:rsid w:val="00022879"/>
    <w:rsid w:val="00023125"/>
    <w:rsid w:val="000232C5"/>
    <w:rsid w:val="0002359F"/>
    <w:rsid w:val="000238FE"/>
    <w:rsid w:val="0002390B"/>
    <w:rsid w:val="00023C9C"/>
    <w:rsid w:val="00023FE0"/>
    <w:rsid w:val="000240AE"/>
    <w:rsid w:val="00024129"/>
    <w:rsid w:val="00024176"/>
    <w:rsid w:val="00024593"/>
    <w:rsid w:val="000248AE"/>
    <w:rsid w:val="000248B7"/>
    <w:rsid w:val="00024AE7"/>
    <w:rsid w:val="00024BCD"/>
    <w:rsid w:val="00025DF7"/>
    <w:rsid w:val="0002649C"/>
    <w:rsid w:val="0002655F"/>
    <w:rsid w:val="00026C2E"/>
    <w:rsid w:val="00027302"/>
    <w:rsid w:val="0002783C"/>
    <w:rsid w:val="00027A50"/>
    <w:rsid w:val="00027B2A"/>
    <w:rsid w:val="00027B84"/>
    <w:rsid w:val="00027E3A"/>
    <w:rsid w:val="00030000"/>
    <w:rsid w:val="00030472"/>
    <w:rsid w:val="000309A6"/>
    <w:rsid w:val="000316FB"/>
    <w:rsid w:val="000317C7"/>
    <w:rsid w:val="00031BED"/>
    <w:rsid w:val="000320C4"/>
    <w:rsid w:val="000325A9"/>
    <w:rsid w:val="00032C2A"/>
    <w:rsid w:val="00033EF1"/>
    <w:rsid w:val="00034299"/>
    <w:rsid w:val="00034E14"/>
    <w:rsid w:val="000355ED"/>
    <w:rsid w:val="0003572C"/>
    <w:rsid w:val="00035759"/>
    <w:rsid w:val="00035E8A"/>
    <w:rsid w:val="000364F0"/>
    <w:rsid w:val="000365F4"/>
    <w:rsid w:val="000369A5"/>
    <w:rsid w:val="00036BF3"/>
    <w:rsid w:val="00037062"/>
    <w:rsid w:val="00037918"/>
    <w:rsid w:val="00037DC6"/>
    <w:rsid w:val="00040159"/>
    <w:rsid w:val="000403E0"/>
    <w:rsid w:val="00040501"/>
    <w:rsid w:val="0004054C"/>
    <w:rsid w:val="00040793"/>
    <w:rsid w:val="0004092D"/>
    <w:rsid w:val="00040B34"/>
    <w:rsid w:val="00040CD1"/>
    <w:rsid w:val="00040DFD"/>
    <w:rsid w:val="00040EC8"/>
    <w:rsid w:val="00040FA0"/>
    <w:rsid w:val="00041223"/>
    <w:rsid w:val="00041492"/>
    <w:rsid w:val="00041823"/>
    <w:rsid w:val="00041CBC"/>
    <w:rsid w:val="00041F36"/>
    <w:rsid w:val="00041F3F"/>
    <w:rsid w:val="0004205D"/>
    <w:rsid w:val="000424BB"/>
    <w:rsid w:val="000425E3"/>
    <w:rsid w:val="00042FC3"/>
    <w:rsid w:val="000430D5"/>
    <w:rsid w:val="00043E35"/>
    <w:rsid w:val="00043FAD"/>
    <w:rsid w:val="00044D62"/>
    <w:rsid w:val="000453A9"/>
    <w:rsid w:val="000457FB"/>
    <w:rsid w:val="0004581A"/>
    <w:rsid w:val="00045DED"/>
    <w:rsid w:val="00045E15"/>
    <w:rsid w:val="00046222"/>
    <w:rsid w:val="00046234"/>
    <w:rsid w:val="00046678"/>
    <w:rsid w:val="0004676D"/>
    <w:rsid w:val="00046875"/>
    <w:rsid w:val="00046B9F"/>
    <w:rsid w:val="00047008"/>
    <w:rsid w:val="00047279"/>
    <w:rsid w:val="000472C9"/>
    <w:rsid w:val="000472DA"/>
    <w:rsid w:val="0004776D"/>
    <w:rsid w:val="00047A39"/>
    <w:rsid w:val="00047DC7"/>
    <w:rsid w:val="00047DED"/>
    <w:rsid w:val="00047E5F"/>
    <w:rsid w:val="000500CB"/>
    <w:rsid w:val="00050377"/>
    <w:rsid w:val="00050A43"/>
    <w:rsid w:val="00051589"/>
    <w:rsid w:val="00051DC9"/>
    <w:rsid w:val="000523DD"/>
    <w:rsid w:val="000525D0"/>
    <w:rsid w:val="000526FF"/>
    <w:rsid w:val="00052770"/>
    <w:rsid w:val="0005298A"/>
    <w:rsid w:val="00052A93"/>
    <w:rsid w:val="00052B3A"/>
    <w:rsid w:val="00052B3F"/>
    <w:rsid w:val="00052BD0"/>
    <w:rsid w:val="00052DC9"/>
    <w:rsid w:val="00052ED5"/>
    <w:rsid w:val="000531D4"/>
    <w:rsid w:val="000536A6"/>
    <w:rsid w:val="0005393D"/>
    <w:rsid w:val="00053F65"/>
    <w:rsid w:val="000541E1"/>
    <w:rsid w:val="0005452F"/>
    <w:rsid w:val="00054AE3"/>
    <w:rsid w:val="00054CEB"/>
    <w:rsid w:val="00054D1C"/>
    <w:rsid w:val="00054F2E"/>
    <w:rsid w:val="0005543D"/>
    <w:rsid w:val="00055504"/>
    <w:rsid w:val="000556F2"/>
    <w:rsid w:val="0005579F"/>
    <w:rsid w:val="00055B40"/>
    <w:rsid w:val="0005600C"/>
    <w:rsid w:val="00056242"/>
    <w:rsid w:val="00056870"/>
    <w:rsid w:val="00056973"/>
    <w:rsid w:val="00056C45"/>
    <w:rsid w:val="00057B5D"/>
    <w:rsid w:val="00057D02"/>
    <w:rsid w:val="00060007"/>
    <w:rsid w:val="00060016"/>
    <w:rsid w:val="000603B3"/>
    <w:rsid w:val="00060515"/>
    <w:rsid w:val="00060A54"/>
    <w:rsid w:val="00061026"/>
    <w:rsid w:val="00061280"/>
    <w:rsid w:val="000613F2"/>
    <w:rsid w:val="00061749"/>
    <w:rsid w:val="000618C7"/>
    <w:rsid w:val="00061A8A"/>
    <w:rsid w:val="00061D0F"/>
    <w:rsid w:val="00062712"/>
    <w:rsid w:val="00062746"/>
    <w:rsid w:val="00062A5C"/>
    <w:rsid w:val="0006392A"/>
    <w:rsid w:val="00063D23"/>
    <w:rsid w:val="0006484D"/>
    <w:rsid w:val="00064863"/>
    <w:rsid w:val="0006491D"/>
    <w:rsid w:val="0006574B"/>
    <w:rsid w:val="00065BD1"/>
    <w:rsid w:val="00065C1B"/>
    <w:rsid w:val="00066078"/>
    <w:rsid w:val="00066174"/>
    <w:rsid w:val="00066355"/>
    <w:rsid w:val="000666BB"/>
    <w:rsid w:val="00066B98"/>
    <w:rsid w:val="00066ECD"/>
    <w:rsid w:val="00066ED7"/>
    <w:rsid w:val="00067417"/>
    <w:rsid w:val="00070387"/>
    <w:rsid w:val="0007048F"/>
    <w:rsid w:val="00070878"/>
    <w:rsid w:val="00070DE9"/>
    <w:rsid w:val="00070E6E"/>
    <w:rsid w:val="0007112C"/>
    <w:rsid w:val="00071283"/>
    <w:rsid w:val="0007147B"/>
    <w:rsid w:val="00071771"/>
    <w:rsid w:val="00071B9A"/>
    <w:rsid w:val="00071D5D"/>
    <w:rsid w:val="00072013"/>
    <w:rsid w:val="000721D1"/>
    <w:rsid w:val="00072697"/>
    <w:rsid w:val="00072865"/>
    <w:rsid w:val="00072A0E"/>
    <w:rsid w:val="00072BA8"/>
    <w:rsid w:val="00072F54"/>
    <w:rsid w:val="00073063"/>
    <w:rsid w:val="00073292"/>
    <w:rsid w:val="0007352B"/>
    <w:rsid w:val="00073598"/>
    <w:rsid w:val="00073730"/>
    <w:rsid w:val="00073912"/>
    <w:rsid w:val="00074259"/>
    <w:rsid w:val="000742E3"/>
    <w:rsid w:val="0007449A"/>
    <w:rsid w:val="000744C5"/>
    <w:rsid w:val="00074A25"/>
    <w:rsid w:val="00074D44"/>
    <w:rsid w:val="000750A5"/>
    <w:rsid w:val="0007520B"/>
    <w:rsid w:val="000752AA"/>
    <w:rsid w:val="00075724"/>
    <w:rsid w:val="000758A8"/>
    <w:rsid w:val="000758EF"/>
    <w:rsid w:val="0007590C"/>
    <w:rsid w:val="000759B8"/>
    <w:rsid w:val="000759E2"/>
    <w:rsid w:val="00075B9E"/>
    <w:rsid w:val="00076400"/>
    <w:rsid w:val="00076A13"/>
    <w:rsid w:val="00076B75"/>
    <w:rsid w:val="00076D2D"/>
    <w:rsid w:val="00076EDC"/>
    <w:rsid w:val="00076F8E"/>
    <w:rsid w:val="00077012"/>
    <w:rsid w:val="00077081"/>
    <w:rsid w:val="00077B88"/>
    <w:rsid w:val="00077FE8"/>
    <w:rsid w:val="0008019A"/>
    <w:rsid w:val="00080517"/>
    <w:rsid w:val="00080722"/>
    <w:rsid w:val="00080A55"/>
    <w:rsid w:val="00080B4C"/>
    <w:rsid w:val="00080D97"/>
    <w:rsid w:val="00080F1D"/>
    <w:rsid w:val="00081222"/>
    <w:rsid w:val="000815AB"/>
    <w:rsid w:val="000818DD"/>
    <w:rsid w:val="00081EDA"/>
    <w:rsid w:val="0008201D"/>
    <w:rsid w:val="0008219A"/>
    <w:rsid w:val="00082833"/>
    <w:rsid w:val="000829A4"/>
    <w:rsid w:val="00082BAA"/>
    <w:rsid w:val="00082BCC"/>
    <w:rsid w:val="00082CFD"/>
    <w:rsid w:val="0008309D"/>
    <w:rsid w:val="00083179"/>
    <w:rsid w:val="00083839"/>
    <w:rsid w:val="0008389B"/>
    <w:rsid w:val="00083ACB"/>
    <w:rsid w:val="00083D52"/>
    <w:rsid w:val="000845AB"/>
    <w:rsid w:val="0008469F"/>
    <w:rsid w:val="0008487C"/>
    <w:rsid w:val="00084FEA"/>
    <w:rsid w:val="000853CB"/>
    <w:rsid w:val="000854DB"/>
    <w:rsid w:val="000854FA"/>
    <w:rsid w:val="00085500"/>
    <w:rsid w:val="0008590A"/>
    <w:rsid w:val="00085979"/>
    <w:rsid w:val="0008680C"/>
    <w:rsid w:val="00086B7E"/>
    <w:rsid w:val="0008717B"/>
    <w:rsid w:val="00087463"/>
    <w:rsid w:val="0009018F"/>
    <w:rsid w:val="00090207"/>
    <w:rsid w:val="00090DB7"/>
    <w:rsid w:val="000916D4"/>
    <w:rsid w:val="00091B7F"/>
    <w:rsid w:val="00091B93"/>
    <w:rsid w:val="00091F8D"/>
    <w:rsid w:val="00092546"/>
    <w:rsid w:val="000925B6"/>
    <w:rsid w:val="000926E7"/>
    <w:rsid w:val="0009289B"/>
    <w:rsid w:val="000929E3"/>
    <w:rsid w:val="00092A2D"/>
    <w:rsid w:val="00092A8F"/>
    <w:rsid w:val="00092BB3"/>
    <w:rsid w:val="00092CD2"/>
    <w:rsid w:val="00092ECC"/>
    <w:rsid w:val="00092F61"/>
    <w:rsid w:val="00093717"/>
    <w:rsid w:val="00093850"/>
    <w:rsid w:val="00093977"/>
    <w:rsid w:val="00093A5C"/>
    <w:rsid w:val="00093E68"/>
    <w:rsid w:val="000942DA"/>
    <w:rsid w:val="000945DA"/>
    <w:rsid w:val="00095AC9"/>
    <w:rsid w:val="000962C6"/>
    <w:rsid w:val="00096621"/>
    <w:rsid w:val="0009775C"/>
    <w:rsid w:val="00097CF3"/>
    <w:rsid w:val="000A0171"/>
    <w:rsid w:val="000A0412"/>
    <w:rsid w:val="000A0B3C"/>
    <w:rsid w:val="000A0B70"/>
    <w:rsid w:val="000A1176"/>
    <w:rsid w:val="000A11E9"/>
    <w:rsid w:val="000A161F"/>
    <w:rsid w:val="000A16F1"/>
    <w:rsid w:val="000A19D0"/>
    <w:rsid w:val="000A2134"/>
    <w:rsid w:val="000A223B"/>
    <w:rsid w:val="000A279D"/>
    <w:rsid w:val="000A27E7"/>
    <w:rsid w:val="000A2B64"/>
    <w:rsid w:val="000A2C5F"/>
    <w:rsid w:val="000A2CA2"/>
    <w:rsid w:val="000A2FD0"/>
    <w:rsid w:val="000A3032"/>
    <w:rsid w:val="000A3102"/>
    <w:rsid w:val="000A35D9"/>
    <w:rsid w:val="000A37D5"/>
    <w:rsid w:val="000A3B64"/>
    <w:rsid w:val="000A42E0"/>
    <w:rsid w:val="000A45DA"/>
    <w:rsid w:val="000A470D"/>
    <w:rsid w:val="000A4C95"/>
    <w:rsid w:val="000A521B"/>
    <w:rsid w:val="000A5370"/>
    <w:rsid w:val="000A54E4"/>
    <w:rsid w:val="000A5CA4"/>
    <w:rsid w:val="000A5CAD"/>
    <w:rsid w:val="000A5FA6"/>
    <w:rsid w:val="000A614C"/>
    <w:rsid w:val="000A63F6"/>
    <w:rsid w:val="000A648A"/>
    <w:rsid w:val="000A692B"/>
    <w:rsid w:val="000A697F"/>
    <w:rsid w:val="000A6EFC"/>
    <w:rsid w:val="000A7741"/>
    <w:rsid w:val="000A7827"/>
    <w:rsid w:val="000A788E"/>
    <w:rsid w:val="000A78FB"/>
    <w:rsid w:val="000A7DCF"/>
    <w:rsid w:val="000B024E"/>
    <w:rsid w:val="000B0548"/>
    <w:rsid w:val="000B092D"/>
    <w:rsid w:val="000B0DEC"/>
    <w:rsid w:val="000B13E8"/>
    <w:rsid w:val="000B1763"/>
    <w:rsid w:val="000B1D01"/>
    <w:rsid w:val="000B1D89"/>
    <w:rsid w:val="000B1E36"/>
    <w:rsid w:val="000B22E5"/>
    <w:rsid w:val="000B2C13"/>
    <w:rsid w:val="000B3146"/>
    <w:rsid w:val="000B3212"/>
    <w:rsid w:val="000B3223"/>
    <w:rsid w:val="000B369E"/>
    <w:rsid w:val="000B36CF"/>
    <w:rsid w:val="000B37AF"/>
    <w:rsid w:val="000B3BD0"/>
    <w:rsid w:val="000B4390"/>
    <w:rsid w:val="000B45BE"/>
    <w:rsid w:val="000B45D1"/>
    <w:rsid w:val="000B4957"/>
    <w:rsid w:val="000B4B35"/>
    <w:rsid w:val="000B4C32"/>
    <w:rsid w:val="000B5085"/>
    <w:rsid w:val="000B515F"/>
    <w:rsid w:val="000B5275"/>
    <w:rsid w:val="000B5335"/>
    <w:rsid w:val="000B5402"/>
    <w:rsid w:val="000B5849"/>
    <w:rsid w:val="000B5D67"/>
    <w:rsid w:val="000B5F21"/>
    <w:rsid w:val="000B668F"/>
    <w:rsid w:val="000B6A21"/>
    <w:rsid w:val="000B7191"/>
    <w:rsid w:val="000B775C"/>
    <w:rsid w:val="000B7C03"/>
    <w:rsid w:val="000C003A"/>
    <w:rsid w:val="000C0916"/>
    <w:rsid w:val="000C0949"/>
    <w:rsid w:val="000C0DED"/>
    <w:rsid w:val="000C0FAA"/>
    <w:rsid w:val="000C1205"/>
    <w:rsid w:val="000C128E"/>
    <w:rsid w:val="000C1655"/>
    <w:rsid w:val="000C1B44"/>
    <w:rsid w:val="000C1FD5"/>
    <w:rsid w:val="000C2045"/>
    <w:rsid w:val="000C2253"/>
    <w:rsid w:val="000C2C91"/>
    <w:rsid w:val="000C2E45"/>
    <w:rsid w:val="000C35B8"/>
    <w:rsid w:val="000C360B"/>
    <w:rsid w:val="000C38E8"/>
    <w:rsid w:val="000C3927"/>
    <w:rsid w:val="000C3A9C"/>
    <w:rsid w:val="000C4207"/>
    <w:rsid w:val="000C4691"/>
    <w:rsid w:val="000C487F"/>
    <w:rsid w:val="000C4D90"/>
    <w:rsid w:val="000C51D9"/>
    <w:rsid w:val="000C5ADF"/>
    <w:rsid w:val="000C5DA9"/>
    <w:rsid w:val="000C5F45"/>
    <w:rsid w:val="000C6669"/>
    <w:rsid w:val="000C6857"/>
    <w:rsid w:val="000C6BBF"/>
    <w:rsid w:val="000C71A3"/>
    <w:rsid w:val="000C728D"/>
    <w:rsid w:val="000C7F6E"/>
    <w:rsid w:val="000D008F"/>
    <w:rsid w:val="000D00F9"/>
    <w:rsid w:val="000D0493"/>
    <w:rsid w:val="000D0515"/>
    <w:rsid w:val="000D0719"/>
    <w:rsid w:val="000D0901"/>
    <w:rsid w:val="000D0D47"/>
    <w:rsid w:val="000D14A3"/>
    <w:rsid w:val="000D14E4"/>
    <w:rsid w:val="000D17B0"/>
    <w:rsid w:val="000D1F75"/>
    <w:rsid w:val="000D2145"/>
    <w:rsid w:val="000D23E8"/>
    <w:rsid w:val="000D2A45"/>
    <w:rsid w:val="000D2C6D"/>
    <w:rsid w:val="000D2F7B"/>
    <w:rsid w:val="000D3714"/>
    <w:rsid w:val="000D3846"/>
    <w:rsid w:val="000D3B33"/>
    <w:rsid w:val="000D3CD9"/>
    <w:rsid w:val="000D4357"/>
    <w:rsid w:val="000D4373"/>
    <w:rsid w:val="000D44E2"/>
    <w:rsid w:val="000D497F"/>
    <w:rsid w:val="000D4E69"/>
    <w:rsid w:val="000D5232"/>
    <w:rsid w:val="000D5273"/>
    <w:rsid w:val="000D5369"/>
    <w:rsid w:val="000D53AA"/>
    <w:rsid w:val="000D560F"/>
    <w:rsid w:val="000D5D36"/>
    <w:rsid w:val="000D5F31"/>
    <w:rsid w:val="000D662D"/>
    <w:rsid w:val="000D6E3D"/>
    <w:rsid w:val="000D79BF"/>
    <w:rsid w:val="000D7B84"/>
    <w:rsid w:val="000D7D76"/>
    <w:rsid w:val="000D7F40"/>
    <w:rsid w:val="000E007C"/>
    <w:rsid w:val="000E02EA"/>
    <w:rsid w:val="000E050A"/>
    <w:rsid w:val="000E0C80"/>
    <w:rsid w:val="000E0E1F"/>
    <w:rsid w:val="000E1452"/>
    <w:rsid w:val="000E14A8"/>
    <w:rsid w:val="000E179B"/>
    <w:rsid w:val="000E257A"/>
    <w:rsid w:val="000E27D3"/>
    <w:rsid w:val="000E2C7E"/>
    <w:rsid w:val="000E3A14"/>
    <w:rsid w:val="000E3A84"/>
    <w:rsid w:val="000E4502"/>
    <w:rsid w:val="000E4C3B"/>
    <w:rsid w:val="000E4D94"/>
    <w:rsid w:val="000E4E1B"/>
    <w:rsid w:val="000E500C"/>
    <w:rsid w:val="000E509D"/>
    <w:rsid w:val="000E53E4"/>
    <w:rsid w:val="000E6CE5"/>
    <w:rsid w:val="000E6FC4"/>
    <w:rsid w:val="000E70CC"/>
    <w:rsid w:val="000E72BC"/>
    <w:rsid w:val="000E76CD"/>
    <w:rsid w:val="000E7B47"/>
    <w:rsid w:val="000E7DDF"/>
    <w:rsid w:val="000F0BC9"/>
    <w:rsid w:val="000F1132"/>
    <w:rsid w:val="000F151A"/>
    <w:rsid w:val="000F15C5"/>
    <w:rsid w:val="000F185D"/>
    <w:rsid w:val="000F188E"/>
    <w:rsid w:val="000F1C5D"/>
    <w:rsid w:val="000F1DF0"/>
    <w:rsid w:val="000F1EC1"/>
    <w:rsid w:val="000F1F48"/>
    <w:rsid w:val="000F1F4E"/>
    <w:rsid w:val="000F217F"/>
    <w:rsid w:val="000F22C0"/>
    <w:rsid w:val="000F2301"/>
    <w:rsid w:val="000F25C5"/>
    <w:rsid w:val="000F2E08"/>
    <w:rsid w:val="000F3365"/>
    <w:rsid w:val="000F3729"/>
    <w:rsid w:val="000F3FF0"/>
    <w:rsid w:val="000F4226"/>
    <w:rsid w:val="000F4244"/>
    <w:rsid w:val="000F4480"/>
    <w:rsid w:val="000F4528"/>
    <w:rsid w:val="000F4A8C"/>
    <w:rsid w:val="000F5426"/>
    <w:rsid w:val="000F543E"/>
    <w:rsid w:val="000F544C"/>
    <w:rsid w:val="000F572C"/>
    <w:rsid w:val="000F5FC3"/>
    <w:rsid w:val="000F5FF2"/>
    <w:rsid w:val="000F6054"/>
    <w:rsid w:val="000F66D8"/>
    <w:rsid w:val="000F695A"/>
    <w:rsid w:val="000F6A73"/>
    <w:rsid w:val="000F6C6A"/>
    <w:rsid w:val="000F6CF6"/>
    <w:rsid w:val="000F7252"/>
    <w:rsid w:val="000F73C8"/>
    <w:rsid w:val="000F74DE"/>
    <w:rsid w:val="000F75EF"/>
    <w:rsid w:val="000F7C48"/>
    <w:rsid w:val="000F7CDD"/>
    <w:rsid w:val="000F7D65"/>
    <w:rsid w:val="000F7E5F"/>
    <w:rsid w:val="001008BC"/>
    <w:rsid w:val="00100B36"/>
    <w:rsid w:val="00100C1B"/>
    <w:rsid w:val="00100EDE"/>
    <w:rsid w:val="001011D3"/>
    <w:rsid w:val="0010123C"/>
    <w:rsid w:val="00101B4B"/>
    <w:rsid w:val="00101B78"/>
    <w:rsid w:val="00101C43"/>
    <w:rsid w:val="00101D2C"/>
    <w:rsid w:val="001023E2"/>
    <w:rsid w:val="001025EF"/>
    <w:rsid w:val="0010312D"/>
    <w:rsid w:val="0010338D"/>
    <w:rsid w:val="00103935"/>
    <w:rsid w:val="00103B21"/>
    <w:rsid w:val="00103BD2"/>
    <w:rsid w:val="00103D4C"/>
    <w:rsid w:val="00103EAB"/>
    <w:rsid w:val="00103F96"/>
    <w:rsid w:val="001041E9"/>
    <w:rsid w:val="0010441B"/>
    <w:rsid w:val="001048D4"/>
    <w:rsid w:val="001048E1"/>
    <w:rsid w:val="001050B9"/>
    <w:rsid w:val="0010547B"/>
    <w:rsid w:val="00105620"/>
    <w:rsid w:val="001059DD"/>
    <w:rsid w:val="00105A17"/>
    <w:rsid w:val="00105BEB"/>
    <w:rsid w:val="00105C7D"/>
    <w:rsid w:val="00105E5E"/>
    <w:rsid w:val="001061AA"/>
    <w:rsid w:val="001068A3"/>
    <w:rsid w:val="00106EA3"/>
    <w:rsid w:val="00107102"/>
    <w:rsid w:val="0010778A"/>
    <w:rsid w:val="00107FDF"/>
    <w:rsid w:val="00110049"/>
    <w:rsid w:val="0011015D"/>
    <w:rsid w:val="00110237"/>
    <w:rsid w:val="001106F7"/>
    <w:rsid w:val="001107DA"/>
    <w:rsid w:val="00110F0D"/>
    <w:rsid w:val="00111051"/>
    <w:rsid w:val="001112CC"/>
    <w:rsid w:val="00111339"/>
    <w:rsid w:val="001117C3"/>
    <w:rsid w:val="00111AFC"/>
    <w:rsid w:val="00111CE0"/>
    <w:rsid w:val="00111CE5"/>
    <w:rsid w:val="001120FF"/>
    <w:rsid w:val="00112267"/>
    <w:rsid w:val="00112667"/>
    <w:rsid w:val="001126DA"/>
    <w:rsid w:val="00112E5B"/>
    <w:rsid w:val="001131E7"/>
    <w:rsid w:val="001133C1"/>
    <w:rsid w:val="0011399B"/>
    <w:rsid w:val="00113DED"/>
    <w:rsid w:val="00113EC9"/>
    <w:rsid w:val="00114077"/>
    <w:rsid w:val="001141A8"/>
    <w:rsid w:val="001143D3"/>
    <w:rsid w:val="0011440D"/>
    <w:rsid w:val="00114939"/>
    <w:rsid w:val="00114C8D"/>
    <w:rsid w:val="00114F4E"/>
    <w:rsid w:val="0011575B"/>
    <w:rsid w:val="00116843"/>
    <w:rsid w:val="00116867"/>
    <w:rsid w:val="00116BCB"/>
    <w:rsid w:val="001170BD"/>
    <w:rsid w:val="001171C8"/>
    <w:rsid w:val="001173BF"/>
    <w:rsid w:val="0011777A"/>
    <w:rsid w:val="001179BF"/>
    <w:rsid w:val="00117DD3"/>
    <w:rsid w:val="00117E87"/>
    <w:rsid w:val="001200B0"/>
    <w:rsid w:val="00120927"/>
    <w:rsid w:val="0012120D"/>
    <w:rsid w:val="00121472"/>
    <w:rsid w:val="00121C08"/>
    <w:rsid w:val="001224E1"/>
    <w:rsid w:val="00122E2D"/>
    <w:rsid w:val="001235F6"/>
    <w:rsid w:val="00123937"/>
    <w:rsid w:val="00123AC0"/>
    <w:rsid w:val="00123E5D"/>
    <w:rsid w:val="00123FB4"/>
    <w:rsid w:val="001242ED"/>
    <w:rsid w:val="001244D4"/>
    <w:rsid w:val="001249E7"/>
    <w:rsid w:val="00124AA3"/>
    <w:rsid w:val="00124BBA"/>
    <w:rsid w:val="00125116"/>
    <w:rsid w:val="00125185"/>
    <w:rsid w:val="00125187"/>
    <w:rsid w:val="001252CC"/>
    <w:rsid w:val="0012579E"/>
    <w:rsid w:val="00125DD8"/>
    <w:rsid w:val="00125F8F"/>
    <w:rsid w:val="00126062"/>
    <w:rsid w:val="00126398"/>
    <w:rsid w:val="0012697D"/>
    <w:rsid w:val="00126BAA"/>
    <w:rsid w:val="00126D0A"/>
    <w:rsid w:val="00126E2C"/>
    <w:rsid w:val="00126EDA"/>
    <w:rsid w:val="0012729B"/>
    <w:rsid w:val="0012745A"/>
    <w:rsid w:val="00127940"/>
    <w:rsid w:val="00127D0B"/>
    <w:rsid w:val="00127E6E"/>
    <w:rsid w:val="00130017"/>
    <w:rsid w:val="00130165"/>
    <w:rsid w:val="0013019B"/>
    <w:rsid w:val="00130369"/>
    <w:rsid w:val="00130382"/>
    <w:rsid w:val="00130680"/>
    <w:rsid w:val="001307A4"/>
    <w:rsid w:val="001307E7"/>
    <w:rsid w:val="00130C92"/>
    <w:rsid w:val="00130CE7"/>
    <w:rsid w:val="00130DBC"/>
    <w:rsid w:val="00130E47"/>
    <w:rsid w:val="00130E61"/>
    <w:rsid w:val="0013102D"/>
    <w:rsid w:val="00131B70"/>
    <w:rsid w:val="00131C87"/>
    <w:rsid w:val="00131EE8"/>
    <w:rsid w:val="001323F1"/>
    <w:rsid w:val="001324CC"/>
    <w:rsid w:val="001327B6"/>
    <w:rsid w:val="001328FF"/>
    <w:rsid w:val="00132A21"/>
    <w:rsid w:val="00133034"/>
    <w:rsid w:val="00133114"/>
    <w:rsid w:val="00133A6A"/>
    <w:rsid w:val="00134150"/>
    <w:rsid w:val="00134C74"/>
    <w:rsid w:val="00134DF0"/>
    <w:rsid w:val="001350E0"/>
    <w:rsid w:val="001353B0"/>
    <w:rsid w:val="001356F7"/>
    <w:rsid w:val="00135908"/>
    <w:rsid w:val="00135960"/>
    <w:rsid w:val="00135D48"/>
    <w:rsid w:val="001363C4"/>
    <w:rsid w:val="001364FD"/>
    <w:rsid w:val="00136E53"/>
    <w:rsid w:val="00136F67"/>
    <w:rsid w:val="00137714"/>
    <w:rsid w:val="00140AE8"/>
    <w:rsid w:val="00141235"/>
    <w:rsid w:val="00141394"/>
    <w:rsid w:val="00141711"/>
    <w:rsid w:val="001417DD"/>
    <w:rsid w:val="0014182F"/>
    <w:rsid w:val="00141A3B"/>
    <w:rsid w:val="00141D0A"/>
    <w:rsid w:val="00141E13"/>
    <w:rsid w:val="00141E57"/>
    <w:rsid w:val="00141FD5"/>
    <w:rsid w:val="0014236E"/>
    <w:rsid w:val="00142503"/>
    <w:rsid w:val="00142B0C"/>
    <w:rsid w:val="00142BC5"/>
    <w:rsid w:val="00142ED8"/>
    <w:rsid w:val="001431CD"/>
    <w:rsid w:val="0014335E"/>
    <w:rsid w:val="00143380"/>
    <w:rsid w:val="0014358D"/>
    <w:rsid w:val="00143674"/>
    <w:rsid w:val="001437B0"/>
    <w:rsid w:val="00143811"/>
    <w:rsid w:val="001438E1"/>
    <w:rsid w:val="00143AE5"/>
    <w:rsid w:val="00143E47"/>
    <w:rsid w:val="0014408E"/>
    <w:rsid w:val="001446AF"/>
    <w:rsid w:val="00144BF0"/>
    <w:rsid w:val="00144C97"/>
    <w:rsid w:val="00144E01"/>
    <w:rsid w:val="00144FE7"/>
    <w:rsid w:val="001453E2"/>
    <w:rsid w:val="00145939"/>
    <w:rsid w:val="00145E90"/>
    <w:rsid w:val="00145F8F"/>
    <w:rsid w:val="0014619B"/>
    <w:rsid w:val="00146290"/>
    <w:rsid w:val="00146508"/>
    <w:rsid w:val="00146846"/>
    <w:rsid w:val="00146ABD"/>
    <w:rsid w:val="00146AD3"/>
    <w:rsid w:val="00146B25"/>
    <w:rsid w:val="0014706D"/>
    <w:rsid w:val="001473EF"/>
    <w:rsid w:val="0014762B"/>
    <w:rsid w:val="00147702"/>
    <w:rsid w:val="00147E94"/>
    <w:rsid w:val="001504DB"/>
    <w:rsid w:val="0015055D"/>
    <w:rsid w:val="0015056C"/>
    <w:rsid w:val="00150DB4"/>
    <w:rsid w:val="00150F06"/>
    <w:rsid w:val="00150F3E"/>
    <w:rsid w:val="00151547"/>
    <w:rsid w:val="001516BD"/>
    <w:rsid w:val="00151807"/>
    <w:rsid w:val="00151861"/>
    <w:rsid w:val="001519B6"/>
    <w:rsid w:val="001519EB"/>
    <w:rsid w:val="00151BE6"/>
    <w:rsid w:val="00151BF3"/>
    <w:rsid w:val="00151C6C"/>
    <w:rsid w:val="00151CE0"/>
    <w:rsid w:val="00151D54"/>
    <w:rsid w:val="001520DA"/>
    <w:rsid w:val="001520E4"/>
    <w:rsid w:val="00152A3E"/>
    <w:rsid w:val="0015308A"/>
    <w:rsid w:val="00153338"/>
    <w:rsid w:val="00153356"/>
    <w:rsid w:val="001534FC"/>
    <w:rsid w:val="00153EB8"/>
    <w:rsid w:val="00153F06"/>
    <w:rsid w:val="00154128"/>
    <w:rsid w:val="00154193"/>
    <w:rsid w:val="001544C6"/>
    <w:rsid w:val="001544D0"/>
    <w:rsid w:val="0015496D"/>
    <w:rsid w:val="0015517C"/>
    <w:rsid w:val="0015517D"/>
    <w:rsid w:val="00155BC5"/>
    <w:rsid w:val="0015629F"/>
    <w:rsid w:val="00156689"/>
    <w:rsid w:val="00156DAD"/>
    <w:rsid w:val="00156E12"/>
    <w:rsid w:val="00157312"/>
    <w:rsid w:val="00157EFA"/>
    <w:rsid w:val="00160793"/>
    <w:rsid w:val="001607A6"/>
    <w:rsid w:val="00160A4E"/>
    <w:rsid w:val="00160EDC"/>
    <w:rsid w:val="00160EF7"/>
    <w:rsid w:val="0016142C"/>
    <w:rsid w:val="001614B3"/>
    <w:rsid w:val="00161763"/>
    <w:rsid w:val="00161DA2"/>
    <w:rsid w:val="00162451"/>
    <w:rsid w:val="001624E6"/>
    <w:rsid w:val="00162A1D"/>
    <w:rsid w:val="00162DBE"/>
    <w:rsid w:val="00162E8E"/>
    <w:rsid w:val="00162EB7"/>
    <w:rsid w:val="00163102"/>
    <w:rsid w:val="001637F7"/>
    <w:rsid w:val="00163ED0"/>
    <w:rsid w:val="00163F38"/>
    <w:rsid w:val="001649E6"/>
    <w:rsid w:val="00164D89"/>
    <w:rsid w:val="00164F32"/>
    <w:rsid w:val="001654DD"/>
    <w:rsid w:val="001654DF"/>
    <w:rsid w:val="00165D3D"/>
    <w:rsid w:val="0016619B"/>
    <w:rsid w:val="0016619E"/>
    <w:rsid w:val="001661DC"/>
    <w:rsid w:val="0016676A"/>
    <w:rsid w:val="00166A18"/>
    <w:rsid w:val="0016705F"/>
    <w:rsid w:val="00167425"/>
    <w:rsid w:val="00167480"/>
    <w:rsid w:val="00167799"/>
    <w:rsid w:val="00167FCF"/>
    <w:rsid w:val="001705D1"/>
    <w:rsid w:val="001705DE"/>
    <w:rsid w:val="00171050"/>
    <w:rsid w:val="001713CC"/>
    <w:rsid w:val="00171761"/>
    <w:rsid w:val="001722FC"/>
    <w:rsid w:val="00172DB0"/>
    <w:rsid w:val="0017307E"/>
    <w:rsid w:val="00173106"/>
    <w:rsid w:val="0017341F"/>
    <w:rsid w:val="00173761"/>
    <w:rsid w:val="00173821"/>
    <w:rsid w:val="0017423C"/>
    <w:rsid w:val="00174606"/>
    <w:rsid w:val="00174697"/>
    <w:rsid w:val="0017471C"/>
    <w:rsid w:val="00175867"/>
    <w:rsid w:val="00175AF2"/>
    <w:rsid w:val="00175B24"/>
    <w:rsid w:val="00175BA0"/>
    <w:rsid w:val="00175D2A"/>
    <w:rsid w:val="0017611E"/>
    <w:rsid w:val="0017664E"/>
    <w:rsid w:val="00176832"/>
    <w:rsid w:val="00176879"/>
    <w:rsid w:val="00176B6F"/>
    <w:rsid w:val="0017706D"/>
    <w:rsid w:val="0017755E"/>
    <w:rsid w:val="00177690"/>
    <w:rsid w:val="001776DA"/>
    <w:rsid w:val="00177841"/>
    <w:rsid w:val="00180589"/>
    <w:rsid w:val="00180910"/>
    <w:rsid w:val="00180969"/>
    <w:rsid w:val="001810FB"/>
    <w:rsid w:val="001811ED"/>
    <w:rsid w:val="00181911"/>
    <w:rsid w:val="00181944"/>
    <w:rsid w:val="001819C7"/>
    <w:rsid w:val="00181B41"/>
    <w:rsid w:val="00181BF5"/>
    <w:rsid w:val="00181C05"/>
    <w:rsid w:val="00181E28"/>
    <w:rsid w:val="00181E40"/>
    <w:rsid w:val="001820A9"/>
    <w:rsid w:val="00182589"/>
    <w:rsid w:val="0018288E"/>
    <w:rsid w:val="00182C25"/>
    <w:rsid w:val="00183D09"/>
    <w:rsid w:val="001851D2"/>
    <w:rsid w:val="001854A9"/>
    <w:rsid w:val="00185B88"/>
    <w:rsid w:val="00185DFD"/>
    <w:rsid w:val="00186561"/>
    <w:rsid w:val="00186A2E"/>
    <w:rsid w:val="00186CA7"/>
    <w:rsid w:val="00186E6C"/>
    <w:rsid w:val="00186F36"/>
    <w:rsid w:val="00187020"/>
    <w:rsid w:val="00187054"/>
    <w:rsid w:val="00187A15"/>
    <w:rsid w:val="00187D0C"/>
    <w:rsid w:val="00190194"/>
    <w:rsid w:val="00190CB2"/>
    <w:rsid w:val="00190D3D"/>
    <w:rsid w:val="00190D8F"/>
    <w:rsid w:val="00191D6A"/>
    <w:rsid w:val="00191EEC"/>
    <w:rsid w:val="00192082"/>
    <w:rsid w:val="0019225B"/>
    <w:rsid w:val="0019233C"/>
    <w:rsid w:val="00192CDE"/>
    <w:rsid w:val="001935C7"/>
    <w:rsid w:val="001935CB"/>
    <w:rsid w:val="00193825"/>
    <w:rsid w:val="00193E2D"/>
    <w:rsid w:val="001943A9"/>
    <w:rsid w:val="001943B6"/>
    <w:rsid w:val="001945AF"/>
    <w:rsid w:val="0019466F"/>
    <w:rsid w:val="00194D0F"/>
    <w:rsid w:val="00194D81"/>
    <w:rsid w:val="00194FE1"/>
    <w:rsid w:val="0019502E"/>
    <w:rsid w:val="00195743"/>
    <w:rsid w:val="001957E1"/>
    <w:rsid w:val="00195985"/>
    <w:rsid w:val="00195A8D"/>
    <w:rsid w:val="00195C9B"/>
    <w:rsid w:val="00196016"/>
    <w:rsid w:val="001964E4"/>
    <w:rsid w:val="001964F3"/>
    <w:rsid w:val="001966F7"/>
    <w:rsid w:val="00196CBB"/>
    <w:rsid w:val="0019735F"/>
    <w:rsid w:val="00197455"/>
    <w:rsid w:val="001975F0"/>
    <w:rsid w:val="0019774E"/>
    <w:rsid w:val="001977CF"/>
    <w:rsid w:val="00197806"/>
    <w:rsid w:val="00197B10"/>
    <w:rsid w:val="00197B3B"/>
    <w:rsid w:val="00197DB4"/>
    <w:rsid w:val="00197DD5"/>
    <w:rsid w:val="00197FF2"/>
    <w:rsid w:val="001A0402"/>
    <w:rsid w:val="001A0B5E"/>
    <w:rsid w:val="001A1C1A"/>
    <w:rsid w:val="001A253E"/>
    <w:rsid w:val="001A27D5"/>
    <w:rsid w:val="001A2AC6"/>
    <w:rsid w:val="001A2F09"/>
    <w:rsid w:val="001A303C"/>
    <w:rsid w:val="001A3D73"/>
    <w:rsid w:val="001A3DFE"/>
    <w:rsid w:val="001A3EC3"/>
    <w:rsid w:val="001A3FED"/>
    <w:rsid w:val="001A445E"/>
    <w:rsid w:val="001A495D"/>
    <w:rsid w:val="001A4F0A"/>
    <w:rsid w:val="001A505B"/>
    <w:rsid w:val="001A5094"/>
    <w:rsid w:val="001A509C"/>
    <w:rsid w:val="001A50C9"/>
    <w:rsid w:val="001A5518"/>
    <w:rsid w:val="001A5629"/>
    <w:rsid w:val="001A5F38"/>
    <w:rsid w:val="001A6294"/>
    <w:rsid w:val="001A68B3"/>
    <w:rsid w:val="001A6C86"/>
    <w:rsid w:val="001A6D88"/>
    <w:rsid w:val="001A715B"/>
    <w:rsid w:val="001A7263"/>
    <w:rsid w:val="001A72B1"/>
    <w:rsid w:val="001A751A"/>
    <w:rsid w:val="001A784F"/>
    <w:rsid w:val="001A7ED4"/>
    <w:rsid w:val="001B0030"/>
    <w:rsid w:val="001B0989"/>
    <w:rsid w:val="001B0D9D"/>
    <w:rsid w:val="001B0E32"/>
    <w:rsid w:val="001B10D2"/>
    <w:rsid w:val="001B12F6"/>
    <w:rsid w:val="001B1A28"/>
    <w:rsid w:val="001B1C4D"/>
    <w:rsid w:val="001B2266"/>
    <w:rsid w:val="001B2659"/>
    <w:rsid w:val="001B2820"/>
    <w:rsid w:val="001B2ABA"/>
    <w:rsid w:val="001B2BD7"/>
    <w:rsid w:val="001B2E28"/>
    <w:rsid w:val="001B3143"/>
    <w:rsid w:val="001B3474"/>
    <w:rsid w:val="001B39C3"/>
    <w:rsid w:val="001B3D60"/>
    <w:rsid w:val="001B3F18"/>
    <w:rsid w:val="001B5913"/>
    <w:rsid w:val="001B5EDA"/>
    <w:rsid w:val="001B63C1"/>
    <w:rsid w:val="001B669D"/>
    <w:rsid w:val="001B69BA"/>
    <w:rsid w:val="001B6C45"/>
    <w:rsid w:val="001B7281"/>
    <w:rsid w:val="001B7380"/>
    <w:rsid w:val="001B7969"/>
    <w:rsid w:val="001B79C0"/>
    <w:rsid w:val="001B7A99"/>
    <w:rsid w:val="001C0355"/>
    <w:rsid w:val="001C0579"/>
    <w:rsid w:val="001C0653"/>
    <w:rsid w:val="001C0904"/>
    <w:rsid w:val="001C0DD3"/>
    <w:rsid w:val="001C0EB0"/>
    <w:rsid w:val="001C140E"/>
    <w:rsid w:val="001C14EA"/>
    <w:rsid w:val="001C17B5"/>
    <w:rsid w:val="001C17DE"/>
    <w:rsid w:val="001C1ED4"/>
    <w:rsid w:val="001C1F91"/>
    <w:rsid w:val="001C2714"/>
    <w:rsid w:val="001C2CA2"/>
    <w:rsid w:val="001C2F52"/>
    <w:rsid w:val="001C2FFC"/>
    <w:rsid w:val="001C3415"/>
    <w:rsid w:val="001C35FE"/>
    <w:rsid w:val="001C3D7C"/>
    <w:rsid w:val="001C41C1"/>
    <w:rsid w:val="001C48B4"/>
    <w:rsid w:val="001C4A5E"/>
    <w:rsid w:val="001C4C41"/>
    <w:rsid w:val="001C4CBB"/>
    <w:rsid w:val="001C4CCB"/>
    <w:rsid w:val="001C4D6D"/>
    <w:rsid w:val="001C5350"/>
    <w:rsid w:val="001C5A9C"/>
    <w:rsid w:val="001C5B26"/>
    <w:rsid w:val="001C5BA6"/>
    <w:rsid w:val="001C5CAD"/>
    <w:rsid w:val="001C6873"/>
    <w:rsid w:val="001C6A71"/>
    <w:rsid w:val="001C6A85"/>
    <w:rsid w:val="001C6AB7"/>
    <w:rsid w:val="001C6CCA"/>
    <w:rsid w:val="001C6DCC"/>
    <w:rsid w:val="001C78FB"/>
    <w:rsid w:val="001C7D23"/>
    <w:rsid w:val="001D0047"/>
    <w:rsid w:val="001D00D8"/>
    <w:rsid w:val="001D0740"/>
    <w:rsid w:val="001D0958"/>
    <w:rsid w:val="001D0B4F"/>
    <w:rsid w:val="001D0F2E"/>
    <w:rsid w:val="001D1357"/>
    <w:rsid w:val="001D22B6"/>
    <w:rsid w:val="001D267A"/>
    <w:rsid w:val="001D276A"/>
    <w:rsid w:val="001D2AC4"/>
    <w:rsid w:val="001D2B5B"/>
    <w:rsid w:val="001D2B68"/>
    <w:rsid w:val="001D3B28"/>
    <w:rsid w:val="001D3C44"/>
    <w:rsid w:val="001D3D12"/>
    <w:rsid w:val="001D400A"/>
    <w:rsid w:val="001D4266"/>
    <w:rsid w:val="001D44DA"/>
    <w:rsid w:val="001D4808"/>
    <w:rsid w:val="001D4F53"/>
    <w:rsid w:val="001D4F97"/>
    <w:rsid w:val="001D514D"/>
    <w:rsid w:val="001D579B"/>
    <w:rsid w:val="001D5AC0"/>
    <w:rsid w:val="001D5DE7"/>
    <w:rsid w:val="001D61DA"/>
    <w:rsid w:val="001D6242"/>
    <w:rsid w:val="001D652E"/>
    <w:rsid w:val="001D67F8"/>
    <w:rsid w:val="001D6806"/>
    <w:rsid w:val="001D6C41"/>
    <w:rsid w:val="001D7231"/>
    <w:rsid w:val="001D72C2"/>
    <w:rsid w:val="001D74CC"/>
    <w:rsid w:val="001D770F"/>
    <w:rsid w:val="001D786F"/>
    <w:rsid w:val="001D7A02"/>
    <w:rsid w:val="001E045C"/>
    <w:rsid w:val="001E0887"/>
    <w:rsid w:val="001E0E67"/>
    <w:rsid w:val="001E1555"/>
    <w:rsid w:val="001E1569"/>
    <w:rsid w:val="001E1695"/>
    <w:rsid w:val="001E169D"/>
    <w:rsid w:val="001E1BEC"/>
    <w:rsid w:val="001E2167"/>
    <w:rsid w:val="001E21BA"/>
    <w:rsid w:val="001E247F"/>
    <w:rsid w:val="001E24D5"/>
    <w:rsid w:val="001E24DF"/>
    <w:rsid w:val="001E258D"/>
    <w:rsid w:val="001E26DF"/>
    <w:rsid w:val="001E26F4"/>
    <w:rsid w:val="001E2731"/>
    <w:rsid w:val="001E2940"/>
    <w:rsid w:val="001E2A33"/>
    <w:rsid w:val="001E2DE1"/>
    <w:rsid w:val="001E320A"/>
    <w:rsid w:val="001E3262"/>
    <w:rsid w:val="001E33AA"/>
    <w:rsid w:val="001E4067"/>
    <w:rsid w:val="001E43D9"/>
    <w:rsid w:val="001E4592"/>
    <w:rsid w:val="001E470B"/>
    <w:rsid w:val="001E499F"/>
    <w:rsid w:val="001E4AA9"/>
    <w:rsid w:val="001E4C74"/>
    <w:rsid w:val="001E4E13"/>
    <w:rsid w:val="001E4EF0"/>
    <w:rsid w:val="001E4F33"/>
    <w:rsid w:val="001E4FB3"/>
    <w:rsid w:val="001E5174"/>
    <w:rsid w:val="001E54B1"/>
    <w:rsid w:val="001E54FE"/>
    <w:rsid w:val="001E56C6"/>
    <w:rsid w:val="001E5A4B"/>
    <w:rsid w:val="001E5DA0"/>
    <w:rsid w:val="001E5DB5"/>
    <w:rsid w:val="001E5F3E"/>
    <w:rsid w:val="001E5F5B"/>
    <w:rsid w:val="001E6049"/>
    <w:rsid w:val="001E6AA4"/>
    <w:rsid w:val="001E6BDD"/>
    <w:rsid w:val="001E6C1F"/>
    <w:rsid w:val="001E6C9E"/>
    <w:rsid w:val="001E731D"/>
    <w:rsid w:val="001E7419"/>
    <w:rsid w:val="001E75EB"/>
    <w:rsid w:val="001E79ED"/>
    <w:rsid w:val="001E7BF6"/>
    <w:rsid w:val="001E7C99"/>
    <w:rsid w:val="001E7E33"/>
    <w:rsid w:val="001E7F1A"/>
    <w:rsid w:val="001E7F9B"/>
    <w:rsid w:val="001F0A8D"/>
    <w:rsid w:val="001F0AD4"/>
    <w:rsid w:val="001F11A1"/>
    <w:rsid w:val="001F11BB"/>
    <w:rsid w:val="001F149F"/>
    <w:rsid w:val="001F14AD"/>
    <w:rsid w:val="001F16FC"/>
    <w:rsid w:val="001F1745"/>
    <w:rsid w:val="001F17A7"/>
    <w:rsid w:val="001F1963"/>
    <w:rsid w:val="001F1F53"/>
    <w:rsid w:val="001F21C8"/>
    <w:rsid w:val="001F24C3"/>
    <w:rsid w:val="001F26C8"/>
    <w:rsid w:val="001F2C5F"/>
    <w:rsid w:val="001F2C86"/>
    <w:rsid w:val="001F3008"/>
    <w:rsid w:val="001F31D6"/>
    <w:rsid w:val="001F37C4"/>
    <w:rsid w:val="001F38F3"/>
    <w:rsid w:val="001F3AD1"/>
    <w:rsid w:val="001F3B2A"/>
    <w:rsid w:val="001F3D95"/>
    <w:rsid w:val="001F3E82"/>
    <w:rsid w:val="001F48C2"/>
    <w:rsid w:val="001F4F08"/>
    <w:rsid w:val="001F5798"/>
    <w:rsid w:val="001F58B6"/>
    <w:rsid w:val="001F5AAD"/>
    <w:rsid w:val="001F6A4E"/>
    <w:rsid w:val="001F6BF5"/>
    <w:rsid w:val="001F6C2F"/>
    <w:rsid w:val="001F6C6E"/>
    <w:rsid w:val="001F746F"/>
    <w:rsid w:val="001F7E27"/>
    <w:rsid w:val="00200129"/>
    <w:rsid w:val="0020034A"/>
    <w:rsid w:val="00200439"/>
    <w:rsid w:val="00200545"/>
    <w:rsid w:val="00200A1B"/>
    <w:rsid w:val="0020111B"/>
    <w:rsid w:val="002015E6"/>
    <w:rsid w:val="0020161F"/>
    <w:rsid w:val="002019C0"/>
    <w:rsid w:val="00201BF4"/>
    <w:rsid w:val="002026E2"/>
    <w:rsid w:val="0020289E"/>
    <w:rsid w:val="00202940"/>
    <w:rsid w:val="00203562"/>
    <w:rsid w:val="002043D5"/>
    <w:rsid w:val="0020477B"/>
    <w:rsid w:val="00204B96"/>
    <w:rsid w:val="002053DB"/>
    <w:rsid w:val="00205ABE"/>
    <w:rsid w:val="00205EDC"/>
    <w:rsid w:val="0020600B"/>
    <w:rsid w:val="00206648"/>
    <w:rsid w:val="00206C22"/>
    <w:rsid w:val="00206FD4"/>
    <w:rsid w:val="00207051"/>
    <w:rsid w:val="0020714A"/>
    <w:rsid w:val="0020752B"/>
    <w:rsid w:val="0020767E"/>
    <w:rsid w:val="00207796"/>
    <w:rsid w:val="0021055F"/>
    <w:rsid w:val="0021068A"/>
    <w:rsid w:val="002106FE"/>
    <w:rsid w:val="00210D5C"/>
    <w:rsid w:val="00210D7B"/>
    <w:rsid w:val="00211271"/>
    <w:rsid w:val="0021178D"/>
    <w:rsid w:val="00211E02"/>
    <w:rsid w:val="00211F06"/>
    <w:rsid w:val="00212140"/>
    <w:rsid w:val="00212282"/>
    <w:rsid w:val="00212815"/>
    <w:rsid w:val="00212B3C"/>
    <w:rsid w:val="00212E34"/>
    <w:rsid w:val="00212EAB"/>
    <w:rsid w:val="0021343C"/>
    <w:rsid w:val="002134AA"/>
    <w:rsid w:val="002134EE"/>
    <w:rsid w:val="00213647"/>
    <w:rsid w:val="00213FAA"/>
    <w:rsid w:val="0021400E"/>
    <w:rsid w:val="00214040"/>
    <w:rsid w:val="002157C3"/>
    <w:rsid w:val="00215824"/>
    <w:rsid w:val="00215AE5"/>
    <w:rsid w:val="002162B8"/>
    <w:rsid w:val="0021650A"/>
    <w:rsid w:val="0021681B"/>
    <w:rsid w:val="0021710D"/>
    <w:rsid w:val="00217523"/>
    <w:rsid w:val="002176DB"/>
    <w:rsid w:val="002176F4"/>
    <w:rsid w:val="0021793E"/>
    <w:rsid w:val="00217C41"/>
    <w:rsid w:val="00217D9E"/>
    <w:rsid w:val="00217FF2"/>
    <w:rsid w:val="00220AB3"/>
    <w:rsid w:val="0022152B"/>
    <w:rsid w:val="002216B2"/>
    <w:rsid w:val="002217E1"/>
    <w:rsid w:val="00221E64"/>
    <w:rsid w:val="00222002"/>
    <w:rsid w:val="00222103"/>
    <w:rsid w:val="00222129"/>
    <w:rsid w:val="00222260"/>
    <w:rsid w:val="002226A5"/>
    <w:rsid w:val="0022287F"/>
    <w:rsid w:val="00222A8A"/>
    <w:rsid w:val="00222AC8"/>
    <w:rsid w:val="00222ED2"/>
    <w:rsid w:val="00223272"/>
    <w:rsid w:val="002234D2"/>
    <w:rsid w:val="002243D2"/>
    <w:rsid w:val="00224A52"/>
    <w:rsid w:val="00224BD3"/>
    <w:rsid w:val="00224F92"/>
    <w:rsid w:val="00225494"/>
    <w:rsid w:val="002255C9"/>
    <w:rsid w:val="00225638"/>
    <w:rsid w:val="002258F4"/>
    <w:rsid w:val="00225B83"/>
    <w:rsid w:val="00225CA8"/>
    <w:rsid w:val="00225F9A"/>
    <w:rsid w:val="002262A2"/>
    <w:rsid w:val="002263A9"/>
    <w:rsid w:val="0022650A"/>
    <w:rsid w:val="0022665A"/>
    <w:rsid w:val="0022679E"/>
    <w:rsid w:val="00227076"/>
    <w:rsid w:val="0022776D"/>
    <w:rsid w:val="00227E32"/>
    <w:rsid w:val="00227F2E"/>
    <w:rsid w:val="00227F5C"/>
    <w:rsid w:val="0023050C"/>
    <w:rsid w:val="00230523"/>
    <w:rsid w:val="00230931"/>
    <w:rsid w:val="00230AF8"/>
    <w:rsid w:val="0023129C"/>
    <w:rsid w:val="002313B8"/>
    <w:rsid w:val="002317DD"/>
    <w:rsid w:val="00232633"/>
    <w:rsid w:val="00232C11"/>
    <w:rsid w:val="00232C3F"/>
    <w:rsid w:val="00232E32"/>
    <w:rsid w:val="00232F86"/>
    <w:rsid w:val="00233071"/>
    <w:rsid w:val="002335F1"/>
    <w:rsid w:val="00233687"/>
    <w:rsid w:val="00233799"/>
    <w:rsid w:val="002338BE"/>
    <w:rsid w:val="002342F3"/>
    <w:rsid w:val="00234629"/>
    <w:rsid w:val="0023483F"/>
    <w:rsid w:val="002349B5"/>
    <w:rsid w:val="00234D2B"/>
    <w:rsid w:val="0023564D"/>
    <w:rsid w:val="002359FB"/>
    <w:rsid w:val="00235A2D"/>
    <w:rsid w:val="00235EE0"/>
    <w:rsid w:val="0023601F"/>
    <w:rsid w:val="00236038"/>
    <w:rsid w:val="00236E0A"/>
    <w:rsid w:val="00237208"/>
    <w:rsid w:val="0023736C"/>
    <w:rsid w:val="00237575"/>
    <w:rsid w:val="002375F5"/>
    <w:rsid w:val="00237AA4"/>
    <w:rsid w:val="00240167"/>
    <w:rsid w:val="00240227"/>
    <w:rsid w:val="00240502"/>
    <w:rsid w:val="00240B61"/>
    <w:rsid w:val="00240FC8"/>
    <w:rsid w:val="00241293"/>
    <w:rsid w:val="002414C2"/>
    <w:rsid w:val="002416AB"/>
    <w:rsid w:val="00241D59"/>
    <w:rsid w:val="00241E11"/>
    <w:rsid w:val="00241ED6"/>
    <w:rsid w:val="00242226"/>
    <w:rsid w:val="00242579"/>
    <w:rsid w:val="00242688"/>
    <w:rsid w:val="00242752"/>
    <w:rsid w:val="002427E6"/>
    <w:rsid w:val="00242981"/>
    <w:rsid w:val="00243400"/>
    <w:rsid w:val="00243419"/>
    <w:rsid w:val="00243481"/>
    <w:rsid w:val="00243486"/>
    <w:rsid w:val="00243F0A"/>
    <w:rsid w:val="0024428E"/>
    <w:rsid w:val="00244613"/>
    <w:rsid w:val="0024486D"/>
    <w:rsid w:val="002449EF"/>
    <w:rsid w:val="00244C76"/>
    <w:rsid w:val="00244E28"/>
    <w:rsid w:val="00245638"/>
    <w:rsid w:val="002456F1"/>
    <w:rsid w:val="00245B4E"/>
    <w:rsid w:val="0024605B"/>
    <w:rsid w:val="002462EF"/>
    <w:rsid w:val="00246744"/>
    <w:rsid w:val="002471AE"/>
    <w:rsid w:val="002472FF"/>
    <w:rsid w:val="0024734A"/>
    <w:rsid w:val="00247635"/>
    <w:rsid w:val="002476A1"/>
    <w:rsid w:val="00247818"/>
    <w:rsid w:val="00247B04"/>
    <w:rsid w:val="00247D3A"/>
    <w:rsid w:val="0025006C"/>
    <w:rsid w:val="00250135"/>
    <w:rsid w:val="002504CA"/>
    <w:rsid w:val="002507C1"/>
    <w:rsid w:val="00250ABF"/>
    <w:rsid w:val="00250EA6"/>
    <w:rsid w:val="00251A9D"/>
    <w:rsid w:val="00251AE6"/>
    <w:rsid w:val="00251DAB"/>
    <w:rsid w:val="00252168"/>
    <w:rsid w:val="002529BE"/>
    <w:rsid w:val="00252AC1"/>
    <w:rsid w:val="00252BBB"/>
    <w:rsid w:val="00252D7F"/>
    <w:rsid w:val="0025303E"/>
    <w:rsid w:val="00253525"/>
    <w:rsid w:val="00253DE2"/>
    <w:rsid w:val="00253FF6"/>
    <w:rsid w:val="002541E9"/>
    <w:rsid w:val="0025424D"/>
    <w:rsid w:val="002542DE"/>
    <w:rsid w:val="0025453D"/>
    <w:rsid w:val="00254AAC"/>
    <w:rsid w:val="0025503A"/>
    <w:rsid w:val="00255175"/>
    <w:rsid w:val="00255209"/>
    <w:rsid w:val="002553BE"/>
    <w:rsid w:val="00255809"/>
    <w:rsid w:val="00255D44"/>
    <w:rsid w:val="0025600B"/>
    <w:rsid w:val="00256A15"/>
    <w:rsid w:val="00256A39"/>
    <w:rsid w:val="00256E82"/>
    <w:rsid w:val="00256EAB"/>
    <w:rsid w:val="00257C2C"/>
    <w:rsid w:val="00257F2F"/>
    <w:rsid w:val="002601CC"/>
    <w:rsid w:val="00260C9F"/>
    <w:rsid w:val="00260DB3"/>
    <w:rsid w:val="00261029"/>
    <w:rsid w:val="0026103E"/>
    <w:rsid w:val="002614E3"/>
    <w:rsid w:val="0026161F"/>
    <w:rsid w:val="0026175F"/>
    <w:rsid w:val="00261ED6"/>
    <w:rsid w:val="00261F71"/>
    <w:rsid w:val="0026234C"/>
    <w:rsid w:val="002623F6"/>
    <w:rsid w:val="0026259E"/>
    <w:rsid w:val="0026269C"/>
    <w:rsid w:val="00262765"/>
    <w:rsid w:val="0026295C"/>
    <w:rsid w:val="00262B09"/>
    <w:rsid w:val="00262D12"/>
    <w:rsid w:val="002631B3"/>
    <w:rsid w:val="00263558"/>
    <w:rsid w:val="002635D1"/>
    <w:rsid w:val="0026371A"/>
    <w:rsid w:val="00263890"/>
    <w:rsid w:val="002639B5"/>
    <w:rsid w:val="00263AA3"/>
    <w:rsid w:val="00263DCF"/>
    <w:rsid w:val="002640AB"/>
    <w:rsid w:val="002642B3"/>
    <w:rsid w:val="002643DB"/>
    <w:rsid w:val="00264746"/>
    <w:rsid w:val="00264A91"/>
    <w:rsid w:val="00264C59"/>
    <w:rsid w:val="00264CD1"/>
    <w:rsid w:val="00264F00"/>
    <w:rsid w:val="00265489"/>
    <w:rsid w:val="00265529"/>
    <w:rsid w:val="00265630"/>
    <w:rsid w:val="002657E2"/>
    <w:rsid w:val="002658A5"/>
    <w:rsid w:val="00265A9F"/>
    <w:rsid w:val="002663DA"/>
    <w:rsid w:val="0026650E"/>
    <w:rsid w:val="002665B7"/>
    <w:rsid w:val="00266676"/>
    <w:rsid w:val="0026702B"/>
    <w:rsid w:val="0026737F"/>
    <w:rsid w:val="0026762C"/>
    <w:rsid w:val="00267BD0"/>
    <w:rsid w:val="00267C5A"/>
    <w:rsid w:val="00267DC3"/>
    <w:rsid w:val="00270407"/>
    <w:rsid w:val="0027054C"/>
    <w:rsid w:val="00270864"/>
    <w:rsid w:val="002708C7"/>
    <w:rsid w:val="00270C7A"/>
    <w:rsid w:val="00270D43"/>
    <w:rsid w:val="00270EA2"/>
    <w:rsid w:val="00271194"/>
    <w:rsid w:val="00271BB8"/>
    <w:rsid w:val="00271DBC"/>
    <w:rsid w:val="00271FD7"/>
    <w:rsid w:val="00272864"/>
    <w:rsid w:val="00272E0B"/>
    <w:rsid w:val="00272F63"/>
    <w:rsid w:val="00272F70"/>
    <w:rsid w:val="002735C2"/>
    <w:rsid w:val="00273D4E"/>
    <w:rsid w:val="00273EC1"/>
    <w:rsid w:val="00273ECC"/>
    <w:rsid w:val="00273FB4"/>
    <w:rsid w:val="002741D3"/>
    <w:rsid w:val="00274784"/>
    <w:rsid w:val="002749DE"/>
    <w:rsid w:val="00274A0E"/>
    <w:rsid w:val="002750A3"/>
    <w:rsid w:val="002752DA"/>
    <w:rsid w:val="002753F6"/>
    <w:rsid w:val="00275453"/>
    <w:rsid w:val="002755FA"/>
    <w:rsid w:val="00275709"/>
    <w:rsid w:val="0027619B"/>
    <w:rsid w:val="0027667D"/>
    <w:rsid w:val="00276B7C"/>
    <w:rsid w:val="00276D58"/>
    <w:rsid w:val="00277267"/>
    <w:rsid w:val="002777E1"/>
    <w:rsid w:val="00277FD5"/>
    <w:rsid w:val="0028017D"/>
    <w:rsid w:val="0028018D"/>
    <w:rsid w:val="0028032C"/>
    <w:rsid w:val="00280483"/>
    <w:rsid w:val="00280907"/>
    <w:rsid w:val="00280C42"/>
    <w:rsid w:val="00280D6A"/>
    <w:rsid w:val="00280FF3"/>
    <w:rsid w:val="0028112F"/>
    <w:rsid w:val="002811A6"/>
    <w:rsid w:val="002812F3"/>
    <w:rsid w:val="00281923"/>
    <w:rsid w:val="00281BA5"/>
    <w:rsid w:val="00281D14"/>
    <w:rsid w:val="00281F5C"/>
    <w:rsid w:val="00282159"/>
    <w:rsid w:val="002826E8"/>
    <w:rsid w:val="00282E3F"/>
    <w:rsid w:val="00283069"/>
    <w:rsid w:val="00283356"/>
    <w:rsid w:val="002834BB"/>
    <w:rsid w:val="00283CE2"/>
    <w:rsid w:val="00283E44"/>
    <w:rsid w:val="0028435F"/>
    <w:rsid w:val="00284563"/>
    <w:rsid w:val="00284CEA"/>
    <w:rsid w:val="00285846"/>
    <w:rsid w:val="00286037"/>
    <w:rsid w:val="00286108"/>
    <w:rsid w:val="0028616B"/>
    <w:rsid w:val="0028617E"/>
    <w:rsid w:val="0028619B"/>
    <w:rsid w:val="00286383"/>
    <w:rsid w:val="002865C5"/>
    <w:rsid w:val="00286690"/>
    <w:rsid w:val="002866B1"/>
    <w:rsid w:val="002866F2"/>
    <w:rsid w:val="0028684F"/>
    <w:rsid w:val="0028696D"/>
    <w:rsid w:val="0028757E"/>
    <w:rsid w:val="002876C6"/>
    <w:rsid w:val="00287A16"/>
    <w:rsid w:val="00287BF0"/>
    <w:rsid w:val="00287DB4"/>
    <w:rsid w:val="00290298"/>
    <w:rsid w:val="00290342"/>
    <w:rsid w:val="002903D6"/>
    <w:rsid w:val="00290477"/>
    <w:rsid w:val="002904CB"/>
    <w:rsid w:val="00290612"/>
    <w:rsid w:val="0029091B"/>
    <w:rsid w:val="00290923"/>
    <w:rsid w:val="0029104D"/>
    <w:rsid w:val="00291213"/>
    <w:rsid w:val="002916C2"/>
    <w:rsid w:val="00291975"/>
    <w:rsid w:val="002919C4"/>
    <w:rsid w:val="00291A51"/>
    <w:rsid w:val="00291D05"/>
    <w:rsid w:val="00292038"/>
    <w:rsid w:val="00292797"/>
    <w:rsid w:val="00293251"/>
    <w:rsid w:val="00293402"/>
    <w:rsid w:val="00293C50"/>
    <w:rsid w:val="00293C80"/>
    <w:rsid w:val="00293F72"/>
    <w:rsid w:val="002945A1"/>
    <w:rsid w:val="00294BDA"/>
    <w:rsid w:val="00295833"/>
    <w:rsid w:val="00295C80"/>
    <w:rsid w:val="00295EE2"/>
    <w:rsid w:val="0029632A"/>
    <w:rsid w:val="00296846"/>
    <w:rsid w:val="00296DBF"/>
    <w:rsid w:val="0029726F"/>
    <w:rsid w:val="002975AE"/>
    <w:rsid w:val="002976A7"/>
    <w:rsid w:val="0029773F"/>
    <w:rsid w:val="00297824"/>
    <w:rsid w:val="00297AAF"/>
    <w:rsid w:val="002A001C"/>
    <w:rsid w:val="002A01FC"/>
    <w:rsid w:val="002A0395"/>
    <w:rsid w:val="002A03F4"/>
    <w:rsid w:val="002A08E3"/>
    <w:rsid w:val="002A0C2A"/>
    <w:rsid w:val="002A0C65"/>
    <w:rsid w:val="002A0E76"/>
    <w:rsid w:val="002A1113"/>
    <w:rsid w:val="002A1AA1"/>
    <w:rsid w:val="002A1E1B"/>
    <w:rsid w:val="002A1E5C"/>
    <w:rsid w:val="002A2449"/>
    <w:rsid w:val="002A2A62"/>
    <w:rsid w:val="002A313E"/>
    <w:rsid w:val="002A320B"/>
    <w:rsid w:val="002A39B6"/>
    <w:rsid w:val="002A3BBA"/>
    <w:rsid w:val="002A3E44"/>
    <w:rsid w:val="002A400B"/>
    <w:rsid w:val="002A4530"/>
    <w:rsid w:val="002A4607"/>
    <w:rsid w:val="002A46FA"/>
    <w:rsid w:val="002A4BFC"/>
    <w:rsid w:val="002A4D95"/>
    <w:rsid w:val="002A4E8D"/>
    <w:rsid w:val="002A5605"/>
    <w:rsid w:val="002A587F"/>
    <w:rsid w:val="002A5894"/>
    <w:rsid w:val="002A5B17"/>
    <w:rsid w:val="002A608F"/>
    <w:rsid w:val="002A60FD"/>
    <w:rsid w:val="002A6259"/>
    <w:rsid w:val="002A6336"/>
    <w:rsid w:val="002A667B"/>
    <w:rsid w:val="002A66AC"/>
    <w:rsid w:val="002A679E"/>
    <w:rsid w:val="002A6A9C"/>
    <w:rsid w:val="002A7504"/>
    <w:rsid w:val="002A77A4"/>
    <w:rsid w:val="002A79AB"/>
    <w:rsid w:val="002A7AE9"/>
    <w:rsid w:val="002B045B"/>
    <w:rsid w:val="002B09E8"/>
    <w:rsid w:val="002B0ABC"/>
    <w:rsid w:val="002B127A"/>
    <w:rsid w:val="002B14CE"/>
    <w:rsid w:val="002B17BB"/>
    <w:rsid w:val="002B1C39"/>
    <w:rsid w:val="002B1D32"/>
    <w:rsid w:val="002B1D75"/>
    <w:rsid w:val="002B20AF"/>
    <w:rsid w:val="002B2143"/>
    <w:rsid w:val="002B331E"/>
    <w:rsid w:val="002B399F"/>
    <w:rsid w:val="002B3B12"/>
    <w:rsid w:val="002B4515"/>
    <w:rsid w:val="002B4554"/>
    <w:rsid w:val="002B46BB"/>
    <w:rsid w:val="002B46C2"/>
    <w:rsid w:val="002B4D72"/>
    <w:rsid w:val="002B4EBD"/>
    <w:rsid w:val="002B4F58"/>
    <w:rsid w:val="002B51CA"/>
    <w:rsid w:val="002B5222"/>
    <w:rsid w:val="002B5584"/>
    <w:rsid w:val="002B5D03"/>
    <w:rsid w:val="002B5E3F"/>
    <w:rsid w:val="002B5FE7"/>
    <w:rsid w:val="002B608F"/>
    <w:rsid w:val="002B6735"/>
    <w:rsid w:val="002B6B5B"/>
    <w:rsid w:val="002B6C73"/>
    <w:rsid w:val="002B6D89"/>
    <w:rsid w:val="002B6E9A"/>
    <w:rsid w:val="002B7BC2"/>
    <w:rsid w:val="002B7CE8"/>
    <w:rsid w:val="002B7E85"/>
    <w:rsid w:val="002C0379"/>
    <w:rsid w:val="002C0604"/>
    <w:rsid w:val="002C0715"/>
    <w:rsid w:val="002C07F5"/>
    <w:rsid w:val="002C0832"/>
    <w:rsid w:val="002C09AC"/>
    <w:rsid w:val="002C0F04"/>
    <w:rsid w:val="002C0FB1"/>
    <w:rsid w:val="002C1446"/>
    <w:rsid w:val="002C15C9"/>
    <w:rsid w:val="002C17E9"/>
    <w:rsid w:val="002C1B78"/>
    <w:rsid w:val="002C1DC0"/>
    <w:rsid w:val="002C1E74"/>
    <w:rsid w:val="002C2163"/>
    <w:rsid w:val="002C24CD"/>
    <w:rsid w:val="002C2563"/>
    <w:rsid w:val="002C2AF0"/>
    <w:rsid w:val="002C32CF"/>
    <w:rsid w:val="002C33E5"/>
    <w:rsid w:val="002C34C7"/>
    <w:rsid w:val="002C50F4"/>
    <w:rsid w:val="002C5464"/>
    <w:rsid w:val="002C5E33"/>
    <w:rsid w:val="002C64D9"/>
    <w:rsid w:val="002C65B9"/>
    <w:rsid w:val="002C6924"/>
    <w:rsid w:val="002C6A73"/>
    <w:rsid w:val="002C6BEC"/>
    <w:rsid w:val="002C6BF9"/>
    <w:rsid w:val="002C6D06"/>
    <w:rsid w:val="002C6FC4"/>
    <w:rsid w:val="002C7180"/>
    <w:rsid w:val="002C76E2"/>
    <w:rsid w:val="002C77E0"/>
    <w:rsid w:val="002C7BA8"/>
    <w:rsid w:val="002C7ECE"/>
    <w:rsid w:val="002C7EF7"/>
    <w:rsid w:val="002D0070"/>
    <w:rsid w:val="002D0503"/>
    <w:rsid w:val="002D0B52"/>
    <w:rsid w:val="002D0CCF"/>
    <w:rsid w:val="002D1615"/>
    <w:rsid w:val="002D1AC0"/>
    <w:rsid w:val="002D1C13"/>
    <w:rsid w:val="002D1D9C"/>
    <w:rsid w:val="002D1F4A"/>
    <w:rsid w:val="002D2949"/>
    <w:rsid w:val="002D29E6"/>
    <w:rsid w:val="002D29F3"/>
    <w:rsid w:val="002D2A8E"/>
    <w:rsid w:val="002D2E7A"/>
    <w:rsid w:val="002D3086"/>
    <w:rsid w:val="002D3430"/>
    <w:rsid w:val="002D3A34"/>
    <w:rsid w:val="002D3B5A"/>
    <w:rsid w:val="002D3E12"/>
    <w:rsid w:val="002D46DF"/>
    <w:rsid w:val="002D4754"/>
    <w:rsid w:val="002D47F0"/>
    <w:rsid w:val="002D4975"/>
    <w:rsid w:val="002D498E"/>
    <w:rsid w:val="002D5381"/>
    <w:rsid w:val="002D5BF1"/>
    <w:rsid w:val="002D5EFF"/>
    <w:rsid w:val="002D5F6B"/>
    <w:rsid w:val="002D603F"/>
    <w:rsid w:val="002D64BA"/>
    <w:rsid w:val="002D667E"/>
    <w:rsid w:val="002D66A8"/>
    <w:rsid w:val="002D69F9"/>
    <w:rsid w:val="002D6BCB"/>
    <w:rsid w:val="002D6EC1"/>
    <w:rsid w:val="002D6ED6"/>
    <w:rsid w:val="002D71BF"/>
    <w:rsid w:val="002D75DB"/>
    <w:rsid w:val="002D7812"/>
    <w:rsid w:val="002D7973"/>
    <w:rsid w:val="002E00BD"/>
    <w:rsid w:val="002E03B5"/>
    <w:rsid w:val="002E0422"/>
    <w:rsid w:val="002E0EC8"/>
    <w:rsid w:val="002E13B0"/>
    <w:rsid w:val="002E13F9"/>
    <w:rsid w:val="002E1811"/>
    <w:rsid w:val="002E193F"/>
    <w:rsid w:val="002E1BA8"/>
    <w:rsid w:val="002E1DBD"/>
    <w:rsid w:val="002E1EA0"/>
    <w:rsid w:val="002E23E7"/>
    <w:rsid w:val="002E27CC"/>
    <w:rsid w:val="002E2AAB"/>
    <w:rsid w:val="002E2BE8"/>
    <w:rsid w:val="002E2C5C"/>
    <w:rsid w:val="002E35AA"/>
    <w:rsid w:val="002E4058"/>
    <w:rsid w:val="002E432E"/>
    <w:rsid w:val="002E4877"/>
    <w:rsid w:val="002E48AE"/>
    <w:rsid w:val="002E493F"/>
    <w:rsid w:val="002E4B9D"/>
    <w:rsid w:val="002E4DE9"/>
    <w:rsid w:val="002E545F"/>
    <w:rsid w:val="002E5505"/>
    <w:rsid w:val="002E57E8"/>
    <w:rsid w:val="002E5994"/>
    <w:rsid w:val="002E61C1"/>
    <w:rsid w:val="002E6597"/>
    <w:rsid w:val="002E6B23"/>
    <w:rsid w:val="002E73C1"/>
    <w:rsid w:val="002E77F8"/>
    <w:rsid w:val="002F0255"/>
    <w:rsid w:val="002F0CE2"/>
    <w:rsid w:val="002F0E08"/>
    <w:rsid w:val="002F0E1D"/>
    <w:rsid w:val="002F0F25"/>
    <w:rsid w:val="002F1B92"/>
    <w:rsid w:val="002F1E9F"/>
    <w:rsid w:val="002F2144"/>
    <w:rsid w:val="002F231D"/>
    <w:rsid w:val="002F24CB"/>
    <w:rsid w:val="002F2656"/>
    <w:rsid w:val="002F27B2"/>
    <w:rsid w:val="002F29D8"/>
    <w:rsid w:val="002F2B47"/>
    <w:rsid w:val="002F2CE2"/>
    <w:rsid w:val="002F38F4"/>
    <w:rsid w:val="002F395C"/>
    <w:rsid w:val="002F3B4E"/>
    <w:rsid w:val="002F3E76"/>
    <w:rsid w:val="002F3F26"/>
    <w:rsid w:val="002F3F4B"/>
    <w:rsid w:val="002F3F96"/>
    <w:rsid w:val="002F4128"/>
    <w:rsid w:val="002F4467"/>
    <w:rsid w:val="002F4AB5"/>
    <w:rsid w:val="002F4C20"/>
    <w:rsid w:val="002F4E01"/>
    <w:rsid w:val="002F4EA7"/>
    <w:rsid w:val="002F4F51"/>
    <w:rsid w:val="002F4F81"/>
    <w:rsid w:val="002F516B"/>
    <w:rsid w:val="002F51B0"/>
    <w:rsid w:val="002F577B"/>
    <w:rsid w:val="002F5BDA"/>
    <w:rsid w:val="002F626E"/>
    <w:rsid w:val="002F627B"/>
    <w:rsid w:val="002F6559"/>
    <w:rsid w:val="002F6686"/>
    <w:rsid w:val="002F6E35"/>
    <w:rsid w:val="002F7526"/>
    <w:rsid w:val="002F77BB"/>
    <w:rsid w:val="002F7DFF"/>
    <w:rsid w:val="002F7E41"/>
    <w:rsid w:val="002F7F75"/>
    <w:rsid w:val="00300339"/>
    <w:rsid w:val="00300621"/>
    <w:rsid w:val="003006AA"/>
    <w:rsid w:val="00300810"/>
    <w:rsid w:val="00300E72"/>
    <w:rsid w:val="00301092"/>
    <w:rsid w:val="003010A3"/>
    <w:rsid w:val="00301D12"/>
    <w:rsid w:val="00302676"/>
    <w:rsid w:val="00302A23"/>
    <w:rsid w:val="00302FEA"/>
    <w:rsid w:val="00303284"/>
    <w:rsid w:val="00304662"/>
    <w:rsid w:val="00304AB3"/>
    <w:rsid w:val="00304C06"/>
    <w:rsid w:val="00304EA5"/>
    <w:rsid w:val="0030524E"/>
    <w:rsid w:val="00305587"/>
    <w:rsid w:val="00305A43"/>
    <w:rsid w:val="00305A65"/>
    <w:rsid w:val="00305D81"/>
    <w:rsid w:val="00306076"/>
    <w:rsid w:val="00306543"/>
    <w:rsid w:val="00306847"/>
    <w:rsid w:val="00306B97"/>
    <w:rsid w:val="0030719E"/>
    <w:rsid w:val="003074A4"/>
    <w:rsid w:val="003075B5"/>
    <w:rsid w:val="003079AF"/>
    <w:rsid w:val="00307E60"/>
    <w:rsid w:val="00307F71"/>
    <w:rsid w:val="00310BB5"/>
    <w:rsid w:val="00310BDB"/>
    <w:rsid w:val="00310BF3"/>
    <w:rsid w:val="00310CB5"/>
    <w:rsid w:val="003113B2"/>
    <w:rsid w:val="0031158F"/>
    <w:rsid w:val="0031162B"/>
    <w:rsid w:val="0031163E"/>
    <w:rsid w:val="00311D57"/>
    <w:rsid w:val="00311F50"/>
    <w:rsid w:val="003127E3"/>
    <w:rsid w:val="003128B6"/>
    <w:rsid w:val="00312910"/>
    <w:rsid w:val="00312A81"/>
    <w:rsid w:val="00312D42"/>
    <w:rsid w:val="00312F1C"/>
    <w:rsid w:val="00312F99"/>
    <w:rsid w:val="003136F7"/>
    <w:rsid w:val="00313A95"/>
    <w:rsid w:val="00313B76"/>
    <w:rsid w:val="00313C6C"/>
    <w:rsid w:val="00313CF7"/>
    <w:rsid w:val="00313EBF"/>
    <w:rsid w:val="003144CC"/>
    <w:rsid w:val="00314687"/>
    <w:rsid w:val="00315321"/>
    <w:rsid w:val="00315A38"/>
    <w:rsid w:val="00315A54"/>
    <w:rsid w:val="00315A98"/>
    <w:rsid w:val="0031658D"/>
    <w:rsid w:val="00316C63"/>
    <w:rsid w:val="00316F4D"/>
    <w:rsid w:val="00317290"/>
    <w:rsid w:val="00317492"/>
    <w:rsid w:val="0031760D"/>
    <w:rsid w:val="00317EF4"/>
    <w:rsid w:val="0032011E"/>
    <w:rsid w:val="003203EB"/>
    <w:rsid w:val="003207D6"/>
    <w:rsid w:val="00320CAF"/>
    <w:rsid w:val="003211CA"/>
    <w:rsid w:val="00321912"/>
    <w:rsid w:val="00321A3B"/>
    <w:rsid w:val="00321A76"/>
    <w:rsid w:val="00321AC2"/>
    <w:rsid w:val="00321C08"/>
    <w:rsid w:val="00321C3A"/>
    <w:rsid w:val="00321F0B"/>
    <w:rsid w:val="00322718"/>
    <w:rsid w:val="003229DE"/>
    <w:rsid w:val="00322B30"/>
    <w:rsid w:val="00322B5B"/>
    <w:rsid w:val="00322E8E"/>
    <w:rsid w:val="0032346D"/>
    <w:rsid w:val="00323C53"/>
    <w:rsid w:val="003244FD"/>
    <w:rsid w:val="0032487A"/>
    <w:rsid w:val="00324DCC"/>
    <w:rsid w:val="00325061"/>
    <w:rsid w:val="00325121"/>
    <w:rsid w:val="00325DC0"/>
    <w:rsid w:val="00325EF1"/>
    <w:rsid w:val="003260FA"/>
    <w:rsid w:val="00326470"/>
    <w:rsid w:val="00326B3B"/>
    <w:rsid w:val="00327326"/>
    <w:rsid w:val="003276EE"/>
    <w:rsid w:val="00327880"/>
    <w:rsid w:val="003278FA"/>
    <w:rsid w:val="00330086"/>
    <w:rsid w:val="0033023F"/>
    <w:rsid w:val="003305E9"/>
    <w:rsid w:val="00330605"/>
    <w:rsid w:val="003306A0"/>
    <w:rsid w:val="00330798"/>
    <w:rsid w:val="00330B6D"/>
    <w:rsid w:val="00330C8E"/>
    <w:rsid w:val="00331543"/>
    <w:rsid w:val="00331591"/>
    <w:rsid w:val="00331A55"/>
    <w:rsid w:val="003320E7"/>
    <w:rsid w:val="003322E4"/>
    <w:rsid w:val="00332451"/>
    <w:rsid w:val="00332820"/>
    <w:rsid w:val="00332A31"/>
    <w:rsid w:val="00332BAD"/>
    <w:rsid w:val="00332E14"/>
    <w:rsid w:val="003330E1"/>
    <w:rsid w:val="003336A7"/>
    <w:rsid w:val="00333CF7"/>
    <w:rsid w:val="00334C65"/>
    <w:rsid w:val="00334EDC"/>
    <w:rsid w:val="0033536B"/>
    <w:rsid w:val="0033552A"/>
    <w:rsid w:val="00335798"/>
    <w:rsid w:val="00335E39"/>
    <w:rsid w:val="0033603F"/>
    <w:rsid w:val="0033638C"/>
    <w:rsid w:val="00336596"/>
    <w:rsid w:val="003366E6"/>
    <w:rsid w:val="00336727"/>
    <w:rsid w:val="00336DB2"/>
    <w:rsid w:val="00336E6F"/>
    <w:rsid w:val="00336F11"/>
    <w:rsid w:val="00337A97"/>
    <w:rsid w:val="00337C1F"/>
    <w:rsid w:val="00337C81"/>
    <w:rsid w:val="00337DB8"/>
    <w:rsid w:val="00337F24"/>
    <w:rsid w:val="00340484"/>
    <w:rsid w:val="0034076B"/>
    <w:rsid w:val="0034083B"/>
    <w:rsid w:val="00340AA8"/>
    <w:rsid w:val="00340C3B"/>
    <w:rsid w:val="00341240"/>
    <w:rsid w:val="003412AF"/>
    <w:rsid w:val="0034132B"/>
    <w:rsid w:val="00341998"/>
    <w:rsid w:val="00341C47"/>
    <w:rsid w:val="00341DC3"/>
    <w:rsid w:val="003420EC"/>
    <w:rsid w:val="003425A5"/>
    <w:rsid w:val="003426AF"/>
    <w:rsid w:val="00342881"/>
    <w:rsid w:val="00342C87"/>
    <w:rsid w:val="0034337B"/>
    <w:rsid w:val="0034350E"/>
    <w:rsid w:val="00343520"/>
    <w:rsid w:val="00343797"/>
    <w:rsid w:val="003438E0"/>
    <w:rsid w:val="00343C5E"/>
    <w:rsid w:val="00343CBF"/>
    <w:rsid w:val="00343CFB"/>
    <w:rsid w:val="00343DA4"/>
    <w:rsid w:val="00344823"/>
    <w:rsid w:val="00344B13"/>
    <w:rsid w:val="00344BD7"/>
    <w:rsid w:val="003454C4"/>
    <w:rsid w:val="00345790"/>
    <w:rsid w:val="0034588A"/>
    <w:rsid w:val="0034589B"/>
    <w:rsid w:val="00345A11"/>
    <w:rsid w:val="00345DFA"/>
    <w:rsid w:val="003461D3"/>
    <w:rsid w:val="00346668"/>
    <w:rsid w:val="00346824"/>
    <w:rsid w:val="00346829"/>
    <w:rsid w:val="00347281"/>
    <w:rsid w:val="00347F5E"/>
    <w:rsid w:val="00347F82"/>
    <w:rsid w:val="00350400"/>
    <w:rsid w:val="003504D9"/>
    <w:rsid w:val="003508C5"/>
    <w:rsid w:val="00350971"/>
    <w:rsid w:val="00350BB2"/>
    <w:rsid w:val="00350CEF"/>
    <w:rsid w:val="00350F05"/>
    <w:rsid w:val="003511F1"/>
    <w:rsid w:val="003513CB"/>
    <w:rsid w:val="0035204A"/>
    <w:rsid w:val="003520DA"/>
    <w:rsid w:val="00352592"/>
    <w:rsid w:val="003533E9"/>
    <w:rsid w:val="00353916"/>
    <w:rsid w:val="00353F23"/>
    <w:rsid w:val="003542DC"/>
    <w:rsid w:val="00354A69"/>
    <w:rsid w:val="00354AFD"/>
    <w:rsid w:val="00354BE6"/>
    <w:rsid w:val="00354D5C"/>
    <w:rsid w:val="00354DCA"/>
    <w:rsid w:val="00354E5B"/>
    <w:rsid w:val="00354E79"/>
    <w:rsid w:val="003559E9"/>
    <w:rsid w:val="00355B4B"/>
    <w:rsid w:val="0035631D"/>
    <w:rsid w:val="0035665D"/>
    <w:rsid w:val="00356C9B"/>
    <w:rsid w:val="00356FC4"/>
    <w:rsid w:val="003571A7"/>
    <w:rsid w:val="003571EB"/>
    <w:rsid w:val="0035753A"/>
    <w:rsid w:val="00357840"/>
    <w:rsid w:val="00357900"/>
    <w:rsid w:val="0035792F"/>
    <w:rsid w:val="00357C43"/>
    <w:rsid w:val="0036009D"/>
    <w:rsid w:val="003602BB"/>
    <w:rsid w:val="003603B8"/>
    <w:rsid w:val="003609A0"/>
    <w:rsid w:val="00361111"/>
    <w:rsid w:val="0036161D"/>
    <w:rsid w:val="003616F2"/>
    <w:rsid w:val="00361753"/>
    <w:rsid w:val="00361AB5"/>
    <w:rsid w:val="00361DAE"/>
    <w:rsid w:val="00362132"/>
    <w:rsid w:val="003623FC"/>
    <w:rsid w:val="003626B8"/>
    <w:rsid w:val="00362FA3"/>
    <w:rsid w:val="0036307E"/>
    <w:rsid w:val="003639EE"/>
    <w:rsid w:val="00363B07"/>
    <w:rsid w:val="003641EB"/>
    <w:rsid w:val="003642E7"/>
    <w:rsid w:val="003647EE"/>
    <w:rsid w:val="0036490E"/>
    <w:rsid w:val="00364B76"/>
    <w:rsid w:val="00365351"/>
    <w:rsid w:val="0036567E"/>
    <w:rsid w:val="0036585A"/>
    <w:rsid w:val="0036619A"/>
    <w:rsid w:val="003662A9"/>
    <w:rsid w:val="00366314"/>
    <w:rsid w:val="00366379"/>
    <w:rsid w:val="003664C3"/>
    <w:rsid w:val="00366580"/>
    <w:rsid w:val="0036660E"/>
    <w:rsid w:val="0036667A"/>
    <w:rsid w:val="0036687E"/>
    <w:rsid w:val="0036757F"/>
    <w:rsid w:val="00367611"/>
    <w:rsid w:val="00367A1B"/>
    <w:rsid w:val="00367EBD"/>
    <w:rsid w:val="00370089"/>
    <w:rsid w:val="003704DB"/>
    <w:rsid w:val="00370725"/>
    <w:rsid w:val="00370770"/>
    <w:rsid w:val="00370AC4"/>
    <w:rsid w:val="00370E79"/>
    <w:rsid w:val="00370F10"/>
    <w:rsid w:val="0037147D"/>
    <w:rsid w:val="003715A9"/>
    <w:rsid w:val="00371C05"/>
    <w:rsid w:val="00371D2D"/>
    <w:rsid w:val="0037218E"/>
    <w:rsid w:val="003726A3"/>
    <w:rsid w:val="003726DC"/>
    <w:rsid w:val="0037277E"/>
    <w:rsid w:val="003736C6"/>
    <w:rsid w:val="003739FB"/>
    <w:rsid w:val="00373A58"/>
    <w:rsid w:val="003748DB"/>
    <w:rsid w:val="00374BC9"/>
    <w:rsid w:val="00374DA8"/>
    <w:rsid w:val="00375614"/>
    <w:rsid w:val="00375F50"/>
    <w:rsid w:val="0037635D"/>
    <w:rsid w:val="00376577"/>
    <w:rsid w:val="003765D2"/>
    <w:rsid w:val="0037675F"/>
    <w:rsid w:val="00376C52"/>
    <w:rsid w:val="00376F48"/>
    <w:rsid w:val="00376F9D"/>
    <w:rsid w:val="00377C3F"/>
    <w:rsid w:val="00380441"/>
    <w:rsid w:val="00380A20"/>
    <w:rsid w:val="00380BB6"/>
    <w:rsid w:val="00380E1B"/>
    <w:rsid w:val="003814C6"/>
    <w:rsid w:val="0038159E"/>
    <w:rsid w:val="00381D0D"/>
    <w:rsid w:val="00381DC9"/>
    <w:rsid w:val="0038264A"/>
    <w:rsid w:val="003827A0"/>
    <w:rsid w:val="00382DE8"/>
    <w:rsid w:val="003831EE"/>
    <w:rsid w:val="00383411"/>
    <w:rsid w:val="00383521"/>
    <w:rsid w:val="00383905"/>
    <w:rsid w:val="00383D2C"/>
    <w:rsid w:val="00383F05"/>
    <w:rsid w:val="00384952"/>
    <w:rsid w:val="00384C9B"/>
    <w:rsid w:val="00384EDB"/>
    <w:rsid w:val="003850EC"/>
    <w:rsid w:val="00385806"/>
    <w:rsid w:val="003858E0"/>
    <w:rsid w:val="00385FCA"/>
    <w:rsid w:val="0038626F"/>
    <w:rsid w:val="003864B0"/>
    <w:rsid w:val="003866FC"/>
    <w:rsid w:val="003867EF"/>
    <w:rsid w:val="003869A5"/>
    <w:rsid w:val="003869AF"/>
    <w:rsid w:val="00386C98"/>
    <w:rsid w:val="003871E3"/>
    <w:rsid w:val="0039006E"/>
    <w:rsid w:val="003903B5"/>
    <w:rsid w:val="0039050F"/>
    <w:rsid w:val="00390EE7"/>
    <w:rsid w:val="00391174"/>
    <w:rsid w:val="00391371"/>
    <w:rsid w:val="00392029"/>
    <w:rsid w:val="00392498"/>
    <w:rsid w:val="0039256D"/>
    <w:rsid w:val="00392E7C"/>
    <w:rsid w:val="00392F7B"/>
    <w:rsid w:val="003930D9"/>
    <w:rsid w:val="0039371D"/>
    <w:rsid w:val="003939AE"/>
    <w:rsid w:val="00394062"/>
    <w:rsid w:val="00394493"/>
    <w:rsid w:val="00394A79"/>
    <w:rsid w:val="00394ACE"/>
    <w:rsid w:val="00394BF7"/>
    <w:rsid w:val="003951DB"/>
    <w:rsid w:val="0039534D"/>
    <w:rsid w:val="003955FF"/>
    <w:rsid w:val="0039573D"/>
    <w:rsid w:val="00395A52"/>
    <w:rsid w:val="00395CBC"/>
    <w:rsid w:val="00395DD1"/>
    <w:rsid w:val="0039657F"/>
    <w:rsid w:val="00396B2D"/>
    <w:rsid w:val="00396ED8"/>
    <w:rsid w:val="0039720A"/>
    <w:rsid w:val="00397600"/>
    <w:rsid w:val="003979DA"/>
    <w:rsid w:val="00397C38"/>
    <w:rsid w:val="00397C44"/>
    <w:rsid w:val="00397DB8"/>
    <w:rsid w:val="003A0103"/>
    <w:rsid w:val="003A02E2"/>
    <w:rsid w:val="003A044D"/>
    <w:rsid w:val="003A0863"/>
    <w:rsid w:val="003A0A14"/>
    <w:rsid w:val="003A1298"/>
    <w:rsid w:val="003A140A"/>
    <w:rsid w:val="003A1A57"/>
    <w:rsid w:val="003A241C"/>
    <w:rsid w:val="003A2678"/>
    <w:rsid w:val="003A2809"/>
    <w:rsid w:val="003A287B"/>
    <w:rsid w:val="003A2D2F"/>
    <w:rsid w:val="003A2DAC"/>
    <w:rsid w:val="003A30B1"/>
    <w:rsid w:val="003A3108"/>
    <w:rsid w:val="003A34B5"/>
    <w:rsid w:val="003A35E0"/>
    <w:rsid w:val="003A38EC"/>
    <w:rsid w:val="003A3A01"/>
    <w:rsid w:val="003A415D"/>
    <w:rsid w:val="003A4252"/>
    <w:rsid w:val="003A42C5"/>
    <w:rsid w:val="003A4516"/>
    <w:rsid w:val="003A4523"/>
    <w:rsid w:val="003A4630"/>
    <w:rsid w:val="003A4A9B"/>
    <w:rsid w:val="003A4AE2"/>
    <w:rsid w:val="003A4E41"/>
    <w:rsid w:val="003A4E81"/>
    <w:rsid w:val="003A4F03"/>
    <w:rsid w:val="003A4F38"/>
    <w:rsid w:val="003A55B3"/>
    <w:rsid w:val="003A5A55"/>
    <w:rsid w:val="003A5B68"/>
    <w:rsid w:val="003A5D1F"/>
    <w:rsid w:val="003A5EC2"/>
    <w:rsid w:val="003A5FCE"/>
    <w:rsid w:val="003A6DB7"/>
    <w:rsid w:val="003A6EFA"/>
    <w:rsid w:val="003A7075"/>
    <w:rsid w:val="003A72C1"/>
    <w:rsid w:val="003A7343"/>
    <w:rsid w:val="003A7648"/>
    <w:rsid w:val="003A7772"/>
    <w:rsid w:val="003A78FA"/>
    <w:rsid w:val="003A7BEE"/>
    <w:rsid w:val="003A7D7A"/>
    <w:rsid w:val="003B038A"/>
    <w:rsid w:val="003B0FD0"/>
    <w:rsid w:val="003B149C"/>
    <w:rsid w:val="003B1837"/>
    <w:rsid w:val="003B1BF7"/>
    <w:rsid w:val="003B1C36"/>
    <w:rsid w:val="003B2A30"/>
    <w:rsid w:val="003B2BE6"/>
    <w:rsid w:val="003B2DBB"/>
    <w:rsid w:val="003B3020"/>
    <w:rsid w:val="003B3203"/>
    <w:rsid w:val="003B3598"/>
    <w:rsid w:val="003B35DE"/>
    <w:rsid w:val="003B3642"/>
    <w:rsid w:val="003B3CB8"/>
    <w:rsid w:val="003B411F"/>
    <w:rsid w:val="003B4311"/>
    <w:rsid w:val="003B4436"/>
    <w:rsid w:val="003B451B"/>
    <w:rsid w:val="003B4741"/>
    <w:rsid w:val="003B493A"/>
    <w:rsid w:val="003B4AD9"/>
    <w:rsid w:val="003B4EFF"/>
    <w:rsid w:val="003B5908"/>
    <w:rsid w:val="003B5D58"/>
    <w:rsid w:val="003B61BC"/>
    <w:rsid w:val="003B6936"/>
    <w:rsid w:val="003B6B6B"/>
    <w:rsid w:val="003B72BD"/>
    <w:rsid w:val="003B772A"/>
    <w:rsid w:val="003B7F1E"/>
    <w:rsid w:val="003C0276"/>
    <w:rsid w:val="003C0734"/>
    <w:rsid w:val="003C0854"/>
    <w:rsid w:val="003C09E9"/>
    <w:rsid w:val="003C0CD2"/>
    <w:rsid w:val="003C0F89"/>
    <w:rsid w:val="003C17F3"/>
    <w:rsid w:val="003C1B29"/>
    <w:rsid w:val="003C1C81"/>
    <w:rsid w:val="003C2064"/>
    <w:rsid w:val="003C2250"/>
    <w:rsid w:val="003C235D"/>
    <w:rsid w:val="003C282D"/>
    <w:rsid w:val="003C2D23"/>
    <w:rsid w:val="003C3C32"/>
    <w:rsid w:val="003C3DA9"/>
    <w:rsid w:val="003C4097"/>
    <w:rsid w:val="003C44C2"/>
    <w:rsid w:val="003C461C"/>
    <w:rsid w:val="003C4825"/>
    <w:rsid w:val="003C586E"/>
    <w:rsid w:val="003C5A1F"/>
    <w:rsid w:val="003C6224"/>
    <w:rsid w:val="003C655B"/>
    <w:rsid w:val="003C65F6"/>
    <w:rsid w:val="003C68C2"/>
    <w:rsid w:val="003C6B3B"/>
    <w:rsid w:val="003C6EA0"/>
    <w:rsid w:val="003C71A8"/>
    <w:rsid w:val="003C78CF"/>
    <w:rsid w:val="003C79CB"/>
    <w:rsid w:val="003C7AE7"/>
    <w:rsid w:val="003C7BA7"/>
    <w:rsid w:val="003D0144"/>
    <w:rsid w:val="003D0773"/>
    <w:rsid w:val="003D08EF"/>
    <w:rsid w:val="003D0A2D"/>
    <w:rsid w:val="003D0E51"/>
    <w:rsid w:val="003D1456"/>
    <w:rsid w:val="003D15C2"/>
    <w:rsid w:val="003D18DB"/>
    <w:rsid w:val="003D1ABB"/>
    <w:rsid w:val="003D1C1C"/>
    <w:rsid w:val="003D1DAF"/>
    <w:rsid w:val="003D1F2E"/>
    <w:rsid w:val="003D200B"/>
    <w:rsid w:val="003D237D"/>
    <w:rsid w:val="003D284A"/>
    <w:rsid w:val="003D290F"/>
    <w:rsid w:val="003D2B1C"/>
    <w:rsid w:val="003D2BAF"/>
    <w:rsid w:val="003D2D6A"/>
    <w:rsid w:val="003D329A"/>
    <w:rsid w:val="003D34E8"/>
    <w:rsid w:val="003D3528"/>
    <w:rsid w:val="003D3544"/>
    <w:rsid w:val="003D3685"/>
    <w:rsid w:val="003D374A"/>
    <w:rsid w:val="003D4BE8"/>
    <w:rsid w:val="003D4E35"/>
    <w:rsid w:val="003D51D9"/>
    <w:rsid w:val="003D5495"/>
    <w:rsid w:val="003D54E0"/>
    <w:rsid w:val="003D575F"/>
    <w:rsid w:val="003D5CA8"/>
    <w:rsid w:val="003D5E4F"/>
    <w:rsid w:val="003D63F2"/>
    <w:rsid w:val="003D670E"/>
    <w:rsid w:val="003D67F0"/>
    <w:rsid w:val="003D6D48"/>
    <w:rsid w:val="003D72AA"/>
    <w:rsid w:val="003D733A"/>
    <w:rsid w:val="003D7446"/>
    <w:rsid w:val="003D768C"/>
    <w:rsid w:val="003D76E1"/>
    <w:rsid w:val="003D7B0A"/>
    <w:rsid w:val="003D7C00"/>
    <w:rsid w:val="003D7DB3"/>
    <w:rsid w:val="003E053F"/>
    <w:rsid w:val="003E0DA0"/>
    <w:rsid w:val="003E10BB"/>
    <w:rsid w:val="003E16F3"/>
    <w:rsid w:val="003E1A10"/>
    <w:rsid w:val="003E1B14"/>
    <w:rsid w:val="003E2226"/>
    <w:rsid w:val="003E29C9"/>
    <w:rsid w:val="003E29FD"/>
    <w:rsid w:val="003E30FB"/>
    <w:rsid w:val="003E31D5"/>
    <w:rsid w:val="003E3B12"/>
    <w:rsid w:val="003E4159"/>
    <w:rsid w:val="003E45FD"/>
    <w:rsid w:val="003E4650"/>
    <w:rsid w:val="003E4CC7"/>
    <w:rsid w:val="003E4E5E"/>
    <w:rsid w:val="003E4FF2"/>
    <w:rsid w:val="003E565C"/>
    <w:rsid w:val="003E567D"/>
    <w:rsid w:val="003E5CBE"/>
    <w:rsid w:val="003E5E60"/>
    <w:rsid w:val="003E5E67"/>
    <w:rsid w:val="003E5FCE"/>
    <w:rsid w:val="003E61DE"/>
    <w:rsid w:val="003E6809"/>
    <w:rsid w:val="003E6884"/>
    <w:rsid w:val="003E6A05"/>
    <w:rsid w:val="003E6A7B"/>
    <w:rsid w:val="003E6C1D"/>
    <w:rsid w:val="003E6D95"/>
    <w:rsid w:val="003E7779"/>
    <w:rsid w:val="003E7B4D"/>
    <w:rsid w:val="003F03A0"/>
    <w:rsid w:val="003F0CC1"/>
    <w:rsid w:val="003F193D"/>
    <w:rsid w:val="003F1DB7"/>
    <w:rsid w:val="003F1E27"/>
    <w:rsid w:val="003F20E0"/>
    <w:rsid w:val="003F22E5"/>
    <w:rsid w:val="003F241C"/>
    <w:rsid w:val="003F2513"/>
    <w:rsid w:val="003F2610"/>
    <w:rsid w:val="003F28B5"/>
    <w:rsid w:val="003F2B3B"/>
    <w:rsid w:val="003F2D67"/>
    <w:rsid w:val="003F2DA2"/>
    <w:rsid w:val="003F2FED"/>
    <w:rsid w:val="003F307C"/>
    <w:rsid w:val="003F3589"/>
    <w:rsid w:val="003F3A65"/>
    <w:rsid w:val="003F3B47"/>
    <w:rsid w:val="003F3B68"/>
    <w:rsid w:val="003F3BD1"/>
    <w:rsid w:val="003F3BF8"/>
    <w:rsid w:val="003F40B3"/>
    <w:rsid w:val="003F41A5"/>
    <w:rsid w:val="003F41E5"/>
    <w:rsid w:val="003F420E"/>
    <w:rsid w:val="003F45A9"/>
    <w:rsid w:val="003F4A2E"/>
    <w:rsid w:val="003F4E20"/>
    <w:rsid w:val="003F4E90"/>
    <w:rsid w:val="003F4FF2"/>
    <w:rsid w:val="003F56A4"/>
    <w:rsid w:val="003F59C6"/>
    <w:rsid w:val="003F5A64"/>
    <w:rsid w:val="003F5D8E"/>
    <w:rsid w:val="003F5FA5"/>
    <w:rsid w:val="003F62E5"/>
    <w:rsid w:val="003F641D"/>
    <w:rsid w:val="003F7266"/>
    <w:rsid w:val="003F7395"/>
    <w:rsid w:val="00400300"/>
    <w:rsid w:val="004009D5"/>
    <w:rsid w:val="00400B81"/>
    <w:rsid w:val="00400CAC"/>
    <w:rsid w:val="00400E3A"/>
    <w:rsid w:val="004013AC"/>
    <w:rsid w:val="004016BC"/>
    <w:rsid w:val="00401907"/>
    <w:rsid w:val="004019A7"/>
    <w:rsid w:val="00401B2C"/>
    <w:rsid w:val="00401CB5"/>
    <w:rsid w:val="00401FBA"/>
    <w:rsid w:val="004020A8"/>
    <w:rsid w:val="004024BA"/>
    <w:rsid w:val="00402967"/>
    <w:rsid w:val="00402F78"/>
    <w:rsid w:val="00403143"/>
    <w:rsid w:val="0040342E"/>
    <w:rsid w:val="0040382C"/>
    <w:rsid w:val="004039BE"/>
    <w:rsid w:val="00403F69"/>
    <w:rsid w:val="00403FEC"/>
    <w:rsid w:val="00404048"/>
    <w:rsid w:val="004040FC"/>
    <w:rsid w:val="00404531"/>
    <w:rsid w:val="0040464E"/>
    <w:rsid w:val="00404855"/>
    <w:rsid w:val="004049B9"/>
    <w:rsid w:val="00404EC7"/>
    <w:rsid w:val="00404FF1"/>
    <w:rsid w:val="00405420"/>
    <w:rsid w:val="00405588"/>
    <w:rsid w:val="004056F4"/>
    <w:rsid w:val="00405721"/>
    <w:rsid w:val="004057A3"/>
    <w:rsid w:val="00405B15"/>
    <w:rsid w:val="00405C6D"/>
    <w:rsid w:val="00405D08"/>
    <w:rsid w:val="00405F06"/>
    <w:rsid w:val="00406007"/>
    <w:rsid w:val="00406136"/>
    <w:rsid w:val="00406187"/>
    <w:rsid w:val="004061BD"/>
    <w:rsid w:val="004067FF"/>
    <w:rsid w:val="00406A73"/>
    <w:rsid w:val="00406BAC"/>
    <w:rsid w:val="004072FC"/>
    <w:rsid w:val="00407410"/>
    <w:rsid w:val="00407457"/>
    <w:rsid w:val="0040756B"/>
    <w:rsid w:val="00407D98"/>
    <w:rsid w:val="00407E02"/>
    <w:rsid w:val="00410539"/>
    <w:rsid w:val="0041053A"/>
    <w:rsid w:val="004106EF"/>
    <w:rsid w:val="004108A4"/>
    <w:rsid w:val="004110BA"/>
    <w:rsid w:val="00411190"/>
    <w:rsid w:val="0041132E"/>
    <w:rsid w:val="004115B3"/>
    <w:rsid w:val="0041166A"/>
    <w:rsid w:val="004116CC"/>
    <w:rsid w:val="00411A33"/>
    <w:rsid w:val="00411BAE"/>
    <w:rsid w:val="00412081"/>
    <w:rsid w:val="004121CC"/>
    <w:rsid w:val="00412417"/>
    <w:rsid w:val="0041270C"/>
    <w:rsid w:val="00412857"/>
    <w:rsid w:val="004128AA"/>
    <w:rsid w:val="00412DD8"/>
    <w:rsid w:val="00412E32"/>
    <w:rsid w:val="004130B4"/>
    <w:rsid w:val="00413108"/>
    <w:rsid w:val="00413348"/>
    <w:rsid w:val="004137FC"/>
    <w:rsid w:val="004138F9"/>
    <w:rsid w:val="00413988"/>
    <w:rsid w:val="00413B43"/>
    <w:rsid w:val="00413B7B"/>
    <w:rsid w:val="00413DA9"/>
    <w:rsid w:val="004141A0"/>
    <w:rsid w:val="00414420"/>
    <w:rsid w:val="004147B1"/>
    <w:rsid w:val="00414A71"/>
    <w:rsid w:val="00414E8A"/>
    <w:rsid w:val="004161EF"/>
    <w:rsid w:val="00416A80"/>
    <w:rsid w:val="00416B28"/>
    <w:rsid w:val="0041739A"/>
    <w:rsid w:val="00417843"/>
    <w:rsid w:val="00417857"/>
    <w:rsid w:val="00417C9C"/>
    <w:rsid w:val="00417FA0"/>
    <w:rsid w:val="00420017"/>
    <w:rsid w:val="00420364"/>
    <w:rsid w:val="00420B85"/>
    <w:rsid w:val="00420C5E"/>
    <w:rsid w:val="00420D0A"/>
    <w:rsid w:val="00420EBC"/>
    <w:rsid w:val="0042174F"/>
    <w:rsid w:val="00421936"/>
    <w:rsid w:val="00421BA1"/>
    <w:rsid w:val="00421C81"/>
    <w:rsid w:val="004226B4"/>
    <w:rsid w:val="00422A1D"/>
    <w:rsid w:val="00422ECA"/>
    <w:rsid w:val="00422FB6"/>
    <w:rsid w:val="0042308F"/>
    <w:rsid w:val="00423B60"/>
    <w:rsid w:val="00423BDC"/>
    <w:rsid w:val="00423DC1"/>
    <w:rsid w:val="00423F23"/>
    <w:rsid w:val="004244AD"/>
    <w:rsid w:val="00424A12"/>
    <w:rsid w:val="00424ECF"/>
    <w:rsid w:val="00424F51"/>
    <w:rsid w:val="0042520D"/>
    <w:rsid w:val="004252A9"/>
    <w:rsid w:val="004252F2"/>
    <w:rsid w:val="0042593F"/>
    <w:rsid w:val="00425AB9"/>
    <w:rsid w:val="00425BB9"/>
    <w:rsid w:val="00425DC8"/>
    <w:rsid w:val="00426270"/>
    <w:rsid w:val="004263C4"/>
    <w:rsid w:val="00426570"/>
    <w:rsid w:val="00426621"/>
    <w:rsid w:val="00426812"/>
    <w:rsid w:val="0042699F"/>
    <w:rsid w:val="004269E4"/>
    <w:rsid w:val="00427446"/>
    <w:rsid w:val="004274D8"/>
    <w:rsid w:val="00427609"/>
    <w:rsid w:val="00427997"/>
    <w:rsid w:val="00427A63"/>
    <w:rsid w:val="00427FE9"/>
    <w:rsid w:val="00430367"/>
    <w:rsid w:val="0043049A"/>
    <w:rsid w:val="004307CD"/>
    <w:rsid w:val="00431256"/>
    <w:rsid w:val="00431421"/>
    <w:rsid w:val="0043170F"/>
    <w:rsid w:val="00431CA8"/>
    <w:rsid w:val="00432036"/>
    <w:rsid w:val="00432528"/>
    <w:rsid w:val="00432729"/>
    <w:rsid w:val="004330D3"/>
    <w:rsid w:val="004333F6"/>
    <w:rsid w:val="00433839"/>
    <w:rsid w:val="004339B5"/>
    <w:rsid w:val="00433EBF"/>
    <w:rsid w:val="00433FC9"/>
    <w:rsid w:val="00434286"/>
    <w:rsid w:val="00434AB9"/>
    <w:rsid w:val="00434CF1"/>
    <w:rsid w:val="00434E67"/>
    <w:rsid w:val="00434FA8"/>
    <w:rsid w:val="004358CD"/>
    <w:rsid w:val="00435CAE"/>
    <w:rsid w:val="0043689F"/>
    <w:rsid w:val="00436A87"/>
    <w:rsid w:val="00436CE6"/>
    <w:rsid w:val="0043705F"/>
    <w:rsid w:val="00437962"/>
    <w:rsid w:val="00437A87"/>
    <w:rsid w:val="00437BAA"/>
    <w:rsid w:val="00437BEF"/>
    <w:rsid w:val="00437CF6"/>
    <w:rsid w:val="00437E60"/>
    <w:rsid w:val="00437F4D"/>
    <w:rsid w:val="00440334"/>
    <w:rsid w:val="00440988"/>
    <w:rsid w:val="004416B8"/>
    <w:rsid w:val="004418AD"/>
    <w:rsid w:val="00441C67"/>
    <w:rsid w:val="00441C7E"/>
    <w:rsid w:val="00442453"/>
    <w:rsid w:val="004429E8"/>
    <w:rsid w:val="00442B43"/>
    <w:rsid w:val="004430BB"/>
    <w:rsid w:val="004431BD"/>
    <w:rsid w:val="004437BA"/>
    <w:rsid w:val="00443817"/>
    <w:rsid w:val="0044431F"/>
    <w:rsid w:val="004446A5"/>
    <w:rsid w:val="004447B3"/>
    <w:rsid w:val="004447B5"/>
    <w:rsid w:val="00444DAC"/>
    <w:rsid w:val="00445134"/>
    <w:rsid w:val="004456D2"/>
    <w:rsid w:val="004456D3"/>
    <w:rsid w:val="004459D9"/>
    <w:rsid w:val="00445CD8"/>
    <w:rsid w:val="004462B1"/>
    <w:rsid w:val="00446300"/>
    <w:rsid w:val="0044640E"/>
    <w:rsid w:val="00446430"/>
    <w:rsid w:val="004469A6"/>
    <w:rsid w:val="00447105"/>
    <w:rsid w:val="00447235"/>
    <w:rsid w:val="00447755"/>
    <w:rsid w:val="00447D09"/>
    <w:rsid w:val="0045001D"/>
    <w:rsid w:val="004500C2"/>
    <w:rsid w:val="00450206"/>
    <w:rsid w:val="004508A6"/>
    <w:rsid w:val="00450ABE"/>
    <w:rsid w:val="00451099"/>
    <w:rsid w:val="004511D0"/>
    <w:rsid w:val="00451202"/>
    <w:rsid w:val="0045126C"/>
    <w:rsid w:val="00451665"/>
    <w:rsid w:val="00451DC0"/>
    <w:rsid w:val="004521C9"/>
    <w:rsid w:val="0045230A"/>
    <w:rsid w:val="004526F2"/>
    <w:rsid w:val="00452D31"/>
    <w:rsid w:val="0045328D"/>
    <w:rsid w:val="00453B5F"/>
    <w:rsid w:val="00453F59"/>
    <w:rsid w:val="00454947"/>
    <w:rsid w:val="0045494F"/>
    <w:rsid w:val="00454CC6"/>
    <w:rsid w:val="00454E31"/>
    <w:rsid w:val="0045515C"/>
    <w:rsid w:val="004557C0"/>
    <w:rsid w:val="004559F4"/>
    <w:rsid w:val="00455A37"/>
    <w:rsid w:val="00455EB4"/>
    <w:rsid w:val="00455F13"/>
    <w:rsid w:val="00456538"/>
    <w:rsid w:val="00456587"/>
    <w:rsid w:val="004572DE"/>
    <w:rsid w:val="00457423"/>
    <w:rsid w:val="004577E1"/>
    <w:rsid w:val="00457AC5"/>
    <w:rsid w:val="00457C9E"/>
    <w:rsid w:val="0046068D"/>
    <w:rsid w:val="00460CA1"/>
    <w:rsid w:val="0046115E"/>
    <w:rsid w:val="0046117B"/>
    <w:rsid w:val="004617AF"/>
    <w:rsid w:val="004618CD"/>
    <w:rsid w:val="004619A3"/>
    <w:rsid w:val="00461DCB"/>
    <w:rsid w:val="00461FE2"/>
    <w:rsid w:val="0046244A"/>
    <w:rsid w:val="004626C4"/>
    <w:rsid w:val="004628E8"/>
    <w:rsid w:val="00463213"/>
    <w:rsid w:val="00463375"/>
    <w:rsid w:val="00463425"/>
    <w:rsid w:val="004643CC"/>
    <w:rsid w:val="00464434"/>
    <w:rsid w:val="00464808"/>
    <w:rsid w:val="00464B0B"/>
    <w:rsid w:val="00464D3C"/>
    <w:rsid w:val="00464E59"/>
    <w:rsid w:val="00464F11"/>
    <w:rsid w:val="004656DB"/>
    <w:rsid w:val="0046584F"/>
    <w:rsid w:val="00465FDD"/>
    <w:rsid w:val="004660F2"/>
    <w:rsid w:val="004660F8"/>
    <w:rsid w:val="0046651C"/>
    <w:rsid w:val="004671F7"/>
    <w:rsid w:val="00467463"/>
    <w:rsid w:val="0046756C"/>
    <w:rsid w:val="0046783D"/>
    <w:rsid w:val="004678A3"/>
    <w:rsid w:val="004678A4"/>
    <w:rsid w:val="004678EE"/>
    <w:rsid w:val="00470260"/>
    <w:rsid w:val="004703FF"/>
    <w:rsid w:val="00470A9E"/>
    <w:rsid w:val="00470CA9"/>
    <w:rsid w:val="00470DD1"/>
    <w:rsid w:val="00470EAA"/>
    <w:rsid w:val="00470FCB"/>
    <w:rsid w:val="0047139F"/>
    <w:rsid w:val="00471680"/>
    <w:rsid w:val="0047199E"/>
    <w:rsid w:val="00471A73"/>
    <w:rsid w:val="00471AA0"/>
    <w:rsid w:val="00471AAF"/>
    <w:rsid w:val="004721C2"/>
    <w:rsid w:val="00472477"/>
    <w:rsid w:val="00472C94"/>
    <w:rsid w:val="00472DB4"/>
    <w:rsid w:val="004730B8"/>
    <w:rsid w:val="0047320A"/>
    <w:rsid w:val="00473A06"/>
    <w:rsid w:val="00474031"/>
    <w:rsid w:val="00474081"/>
    <w:rsid w:val="00474FFA"/>
    <w:rsid w:val="004758BF"/>
    <w:rsid w:val="00475D32"/>
    <w:rsid w:val="00475FC0"/>
    <w:rsid w:val="0047653A"/>
    <w:rsid w:val="00476670"/>
    <w:rsid w:val="00476BE0"/>
    <w:rsid w:val="00476D47"/>
    <w:rsid w:val="00477284"/>
    <w:rsid w:val="0047744B"/>
    <w:rsid w:val="004774BE"/>
    <w:rsid w:val="00477568"/>
    <w:rsid w:val="00477CE0"/>
    <w:rsid w:val="00477ED8"/>
    <w:rsid w:val="0048035F"/>
    <w:rsid w:val="00480A08"/>
    <w:rsid w:val="00480C4E"/>
    <w:rsid w:val="00480EC3"/>
    <w:rsid w:val="00480FDC"/>
    <w:rsid w:val="004812D9"/>
    <w:rsid w:val="004812E6"/>
    <w:rsid w:val="00481C7B"/>
    <w:rsid w:val="00481D6C"/>
    <w:rsid w:val="00481ED2"/>
    <w:rsid w:val="00482286"/>
    <w:rsid w:val="004823E1"/>
    <w:rsid w:val="00482561"/>
    <w:rsid w:val="00482648"/>
    <w:rsid w:val="004826DC"/>
    <w:rsid w:val="00482DD6"/>
    <w:rsid w:val="00482F6C"/>
    <w:rsid w:val="00483660"/>
    <w:rsid w:val="00483B6A"/>
    <w:rsid w:val="00483CE4"/>
    <w:rsid w:val="00483D2E"/>
    <w:rsid w:val="004841A8"/>
    <w:rsid w:val="004844A9"/>
    <w:rsid w:val="0048453B"/>
    <w:rsid w:val="00484BA8"/>
    <w:rsid w:val="004850C8"/>
    <w:rsid w:val="00485230"/>
    <w:rsid w:val="004854C0"/>
    <w:rsid w:val="00485B7F"/>
    <w:rsid w:val="00485F96"/>
    <w:rsid w:val="00485FB6"/>
    <w:rsid w:val="004861B5"/>
    <w:rsid w:val="00486208"/>
    <w:rsid w:val="004862EA"/>
    <w:rsid w:val="0048643C"/>
    <w:rsid w:val="00486629"/>
    <w:rsid w:val="00486885"/>
    <w:rsid w:val="004868F9"/>
    <w:rsid w:val="00486CF2"/>
    <w:rsid w:val="0048726F"/>
    <w:rsid w:val="00487D85"/>
    <w:rsid w:val="004904B0"/>
    <w:rsid w:val="00490995"/>
    <w:rsid w:val="00490B58"/>
    <w:rsid w:val="00490F28"/>
    <w:rsid w:val="0049117D"/>
    <w:rsid w:val="00491A03"/>
    <w:rsid w:val="00491AC9"/>
    <w:rsid w:val="00491E02"/>
    <w:rsid w:val="00491FDD"/>
    <w:rsid w:val="00492366"/>
    <w:rsid w:val="0049239B"/>
    <w:rsid w:val="0049240B"/>
    <w:rsid w:val="004929C6"/>
    <w:rsid w:val="00492B77"/>
    <w:rsid w:val="004937E0"/>
    <w:rsid w:val="0049493C"/>
    <w:rsid w:val="00494986"/>
    <w:rsid w:val="00494EC1"/>
    <w:rsid w:val="004952FB"/>
    <w:rsid w:val="004955B9"/>
    <w:rsid w:val="004956A8"/>
    <w:rsid w:val="00495C5D"/>
    <w:rsid w:val="00495CB9"/>
    <w:rsid w:val="00495E4B"/>
    <w:rsid w:val="00495FE6"/>
    <w:rsid w:val="004960F2"/>
    <w:rsid w:val="004960FE"/>
    <w:rsid w:val="00496CFD"/>
    <w:rsid w:val="00496EC7"/>
    <w:rsid w:val="00497306"/>
    <w:rsid w:val="0049790D"/>
    <w:rsid w:val="00497AD1"/>
    <w:rsid w:val="004A0A02"/>
    <w:rsid w:val="004A0A82"/>
    <w:rsid w:val="004A0F91"/>
    <w:rsid w:val="004A1055"/>
    <w:rsid w:val="004A1E2C"/>
    <w:rsid w:val="004A2276"/>
    <w:rsid w:val="004A24A9"/>
    <w:rsid w:val="004A2543"/>
    <w:rsid w:val="004A2998"/>
    <w:rsid w:val="004A2E93"/>
    <w:rsid w:val="004A2EB7"/>
    <w:rsid w:val="004A2EDC"/>
    <w:rsid w:val="004A35C3"/>
    <w:rsid w:val="004A37F5"/>
    <w:rsid w:val="004A3C66"/>
    <w:rsid w:val="004A3C78"/>
    <w:rsid w:val="004A3E9D"/>
    <w:rsid w:val="004A40A6"/>
    <w:rsid w:val="004A44DE"/>
    <w:rsid w:val="004A491C"/>
    <w:rsid w:val="004A49DB"/>
    <w:rsid w:val="004A4A58"/>
    <w:rsid w:val="004A4AAD"/>
    <w:rsid w:val="004A4C57"/>
    <w:rsid w:val="004A4C5C"/>
    <w:rsid w:val="004A4C6A"/>
    <w:rsid w:val="004A4E7C"/>
    <w:rsid w:val="004A4EA0"/>
    <w:rsid w:val="004A5188"/>
    <w:rsid w:val="004A5B94"/>
    <w:rsid w:val="004A5F19"/>
    <w:rsid w:val="004A64A8"/>
    <w:rsid w:val="004A6520"/>
    <w:rsid w:val="004A681C"/>
    <w:rsid w:val="004A6BBA"/>
    <w:rsid w:val="004A7540"/>
    <w:rsid w:val="004A754C"/>
    <w:rsid w:val="004A76A2"/>
    <w:rsid w:val="004A76FC"/>
    <w:rsid w:val="004B00DB"/>
    <w:rsid w:val="004B0318"/>
    <w:rsid w:val="004B046B"/>
    <w:rsid w:val="004B077A"/>
    <w:rsid w:val="004B082A"/>
    <w:rsid w:val="004B0CE3"/>
    <w:rsid w:val="004B0F38"/>
    <w:rsid w:val="004B0F55"/>
    <w:rsid w:val="004B12D5"/>
    <w:rsid w:val="004B137D"/>
    <w:rsid w:val="004B18AF"/>
    <w:rsid w:val="004B1D96"/>
    <w:rsid w:val="004B2ADE"/>
    <w:rsid w:val="004B2B2D"/>
    <w:rsid w:val="004B3019"/>
    <w:rsid w:val="004B3178"/>
    <w:rsid w:val="004B37F4"/>
    <w:rsid w:val="004B3F0C"/>
    <w:rsid w:val="004B4168"/>
    <w:rsid w:val="004B442C"/>
    <w:rsid w:val="004B463D"/>
    <w:rsid w:val="004B483C"/>
    <w:rsid w:val="004B4991"/>
    <w:rsid w:val="004B4D30"/>
    <w:rsid w:val="004B5136"/>
    <w:rsid w:val="004B5B7B"/>
    <w:rsid w:val="004B5FA1"/>
    <w:rsid w:val="004B62BF"/>
    <w:rsid w:val="004B69F5"/>
    <w:rsid w:val="004B6B54"/>
    <w:rsid w:val="004B70DD"/>
    <w:rsid w:val="004B7178"/>
    <w:rsid w:val="004B74BB"/>
    <w:rsid w:val="004B7B67"/>
    <w:rsid w:val="004B7EF9"/>
    <w:rsid w:val="004C04D4"/>
    <w:rsid w:val="004C099A"/>
    <w:rsid w:val="004C0C91"/>
    <w:rsid w:val="004C0D51"/>
    <w:rsid w:val="004C0EA4"/>
    <w:rsid w:val="004C1150"/>
    <w:rsid w:val="004C1825"/>
    <w:rsid w:val="004C1BBC"/>
    <w:rsid w:val="004C1BCA"/>
    <w:rsid w:val="004C1CC5"/>
    <w:rsid w:val="004C1E77"/>
    <w:rsid w:val="004C2502"/>
    <w:rsid w:val="004C2665"/>
    <w:rsid w:val="004C2CEE"/>
    <w:rsid w:val="004C2D59"/>
    <w:rsid w:val="004C2D88"/>
    <w:rsid w:val="004C2F21"/>
    <w:rsid w:val="004C31CE"/>
    <w:rsid w:val="004C321A"/>
    <w:rsid w:val="004C3600"/>
    <w:rsid w:val="004C3D2A"/>
    <w:rsid w:val="004C4165"/>
    <w:rsid w:val="004C4868"/>
    <w:rsid w:val="004C4882"/>
    <w:rsid w:val="004C4906"/>
    <w:rsid w:val="004C4A3A"/>
    <w:rsid w:val="004C4C25"/>
    <w:rsid w:val="004C4C77"/>
    <w:rsid w:val="004C502F"/>
    <w:rsid w:val="004C51A2"/>
    <w:rsid w:val="004C57E8"/>
    <w:rsid w:val="004C5A27"/>
    <w:rsid w:val="004C5BD7"/>
    <w:rsid w:val="004C5D0F"/>
    <w:rsid w:val="004C5DB5"/>
    <w:rsid w:val="004C674F"/>
    <w:rsid w:val="004C67C8"/>
    <w:rsid w:val="004C68DB"/>
    <w:rsid w:val="004C698A"/>
    <w:rsid w:val="004C6995"/>
    <w:rsid w:val="004C69EE"/>
    <w:rsid w:val="004C6A2C"/>
    <w:rsid w:val="004C6ACC"/>
    <w:rsid w:val="004C6E58"/>
    <w:rsid w:val="004C6E78"/>
    <w:rsid w:val="004C6FB5"/>
    <w:rsid w:val="004C718B"/>
    <w:rsid w:val="004C7863"/>
    <w:rsid w:val="004C7A26"/>
    <w:rsid w:val="004C7C29"/>
    <w:rsid w:val="004C7C93"/>
    <w:rsid w:val="004D0381"/>
    <w:rsid w:val="004D093B"/>
    <w:rsid w:val="004D0DB8"/>
    <w:rsid w:val="004D120C"/>
    <w:rsid w:val="004D123F"/>
    <w:rsid w:val="004D1289"/>
    <w:rsid w:val="004D1AF9"/>
    <w:rsid w:val="004D1C3C"/>
    <w:rsid w:val="004D276E"/>
    <w:rsid w:val="004D27B1"/>
    <w:rsid w:val="004D2B6D"/>
    <w:rsid w:val="004D2E92"/>
    <w:rsid w:val="004D35DE"/>
    <w:rsid w:val="004D36F7"/>
    <w:rsid w:val="004D388E"/>
    <w:rsid w:val="004D3C5A"/>
    <w:rsid w:val="004D3DCC"/>
    <w:rsid w:val="004D40B0"/>
    <w:rsid w:val="004D40D9"/>
    <w:rsid w:val="004D45AA"/>
    <w:rsid w:val="004D4BC7"/>
    <w:rsid w:val="004D5220"/>
    <w:rsid w:val="004D5AC9"/>
    <w:rsid w:val="004D5C1A"/>
    <w:rsid w:val="004D605D"/>
    <w:rsid w:val="004D64FD"/>
    <w:rsid w:val="004D6D8B"/>
    <w:rsid w:val="004D71AC"/>
    <w:rsid w:val="004D71CE"/>
    <w:rsid w:val="004D7251"/>
    <w:rsid w:val="004D755F"/>
    <w:rsid w:val="004D7A23"/>
    <w:rsid w:val="004E0A81"/>
    <w:rsid w:val="004E0CA1"/>
    <w:rsid w:val="004E139B"/>
    <w:rsid w:val="004E16F0"/>
    <w:rsid w:val="004E182F"/>
    <w:rsid w:val="004E1DCA"/>
    <w:rsid w:val="004E1EA3"/>
    <w:rsid w:val="004E21E8"/>
    <w:rsid w:val="004E2969"/>
    <w:rsid w:val="004E2AF8"/>
    <w:rsid w:val="004E3012"/>
    <w:rsid w:val="004E310B"/>
    <w:rsid w:val="004E317D"/>
    <w:rsid w:val="004E3496"/>
    <w:rsid w:val="004E383F"/>
    <w:rsid w:val="004E3851"/>
    <w:rsid w:val="004E385C"/>
    <w:rsid w:val="004E3C12"/>
    <w:rsid w:val="004E3EAA"/>
    <w:rsid w:val="004E4272"/>
    <w:rsid w:val="004E4799"/>
    <w:rsid w:val="004E4B05"/>
    <w:rsid w:val="004E4E5D"/>
    <w:rsid w:val="004E53D9"/>
    <w:rsid w:val="004E5DFB"/>
    <w:rsid w:val="004E5F3D"/>
    <w:rsid w:val="004E5F9E"/>
    <w:rsid w:val="004E6204"/>
    <w:rsid w:val="004E6208"/>
    <w:rsid w:val="004E665C"/>
    <w:rsid w:val="004E6EC7"/>
    <w:rsid w:val="004E75A7"/>
    <w:rsid w:val="004E7691"/>
    <w:rsid w:val="004E7A58"/>
    <w:rsid w:val="004F0137"/>
    <w:rsid w:val="004F0266"/>
    <w:rsid w:val="004F0A5E"/>
    <w:rsid w:val="004F0A5F"/>
    <w:rsid w:val="004F0AE7"/>
    <w:rsid w:val="004F0E8D"/>
    <w:rsid w:val="004F0EA9"/>
    <w:rsid w:val="004F0F7C"/>
    <w:rsid w:val="004F104B"/>
    <w:rsid w:val="004F141D"/>
    <w:rsid w:val="004F1D56"/>
    <w:rsid w:val="004F1EA5"/>
    <w:rsid w:val="004F1F42"/>
    <w:rsid w:val="004F1F6C"/>
    <w:rsid w:val="004F20A8"/>
    <w:rsid w:val="004F2548"/>
    <w:rsid w:val="004F2632"/>
    <w:rsid w:val="004F268A"/>
    <w:rsid w:val="004F29D8"/>
    <w:rsid w:val="004F29E9"/>
    <w:rsid w:val="004F2F0F"/>
    <w:rsid w:val="004F3230"/>
    <w:rsid w:val="004F354E"/>
    <w:rsid w:val="004F3558"/>
    <w:rsid w:val="004F3D39"/>
    <w:rsid w:val="004F3FAA"/>
    <w:rsid w:val="004F4565"/>
    <w:rsid w:val="004F5035"/>
    <w:rsid w:val="004F50D2"/>
    <w:rsid w:val="004F5458"/>
    <w:rsid w:val="004F5623"/>
    <w:rsid w:val="004F5B92"/>
    <w:rsid w:val="004F5C86"/>
    <w:rsid w:val="004F64B3"/>
    <w:rsid w:val="004F6559"/>
    <w:rsid w:val="004F67F8"/>
    <w:rsid w:val="004F6E4F"/>
    <w:rsid w:val="004F7195"/>
    <w:rsid w:val="004F76AA"/>
    <w:rsid w:val="004F77B9"/>
    <w:rsid w:val="004F7B3B"/>
    <w:rsid w:val="0050020E"/>
    <w:rsid w:val="00500291"/>
    <w:rsid w:val="005008DC"/>
    <w:rsid w:val="00500B98"/>
    <w:rsid w:val="00501228"/>
    <w:rsid w:val="0050176C"/>
    <w:rsid w:val="005019F7"/>
    <w:rsid w:val="00501A24"/>
    <w:rsid w:val="00501D97"/>
    <w:rsid w:val="00501DC2"/>
    <w:rsid w:val="00501DD2"/>
    <w:rsid w:val="00501FBF"/>
    <w:rsid w:val="005022F6"/>
    <w:rsid w:val="0050281B"/>
    <w:rsid w:val="00502CE5"/>
    <w:rsid w:val="00502E2A"/>
    <w:rsid w:val="005032FE"/>
    <w:rsid w:val="005033D6"/>
    <w:rsid w:val="0050351B"/>
    <w:rsid w:val="00504545"/>
    <w:rsid w:val="0050467E"/>
    <w:rsid w:val="0050479E"/>
    <w:rsid w:val="00504AD3"/>
    <w:rsid w:val="00504C6D"/>
    <w:rsid w:val="00504D40"/>
    <w:rsid w:val="00504F2F"/>
    <w:rsid w:val="00505089"/>
    <w:rsid w:val="00505571"/>
    <w:rsid w:val="00505753"/>
    <w:rsid w:val="00505DF7"/>
    <w:rsid w:val="00506113"/>
    <w:rsid w:val="005062FD"/>
    <w:rsid w:val="00506317"/>
    <w:rsid w:val="00506D5C"/>
    <w:rsid w:val="00507159"/>
    <w:rsid w:val="0050746C"/>
    <w:rsid w:val="0050750E"/>
    <w:rsid w:val="0050768F"/>
    <w:rsid w:val="0050778A"/>
    <w:rsid w:val="00507AD0"/>
    <w:rsid w:val="00507B45"/>
    <w:rsid w:val="00507C22"/>
    <w:rsid w:val="00507EE7"/>
    <w:rsid w:val="005105BD"/>
    <w:rsid w:val="00510787"/>
    <w:rsid w:val="00510CD0"/>
    <w:rsid w:val="00510FDD"/>
    <w:rsid w:val="005110AF"/>
    <w:rsid w:val="00511421"/>
    <w:rsid w:val="00512541"/>
    <w:rsid w:val="0051255D"/>
    <w:rsid w:val="0051268B"/>
    <w:rsid w:val="005127F7"/>
    <w:rsid w:val="00512AB4"/>
    <w:rsid w:val="00512C03"/>
    <w:rsid w:val="00512CE4"/>
    <w:rsid w:val="00512DFA"/>
    <w:rsid w:val="00512E95"/>
    <w:rsid w:val="00513598"/>
    <w:rsid w:val="005137B7"/>
    <w:rsid w:val="00513D97"/>
    <w:rsid w:val="00513EE5"/>
    <w:rsid w:val="00513FDD"/>
    <w:rsid w:val="0051474E"/>
    <w:rsid w:val="00514796"/>
    <w:rsid w:val="0051489A"/>
    <w:rsid w:val="005148CC"/>
    <w:rsid w:val="00514BD9"/>
    <w:rsid w:val="00514DDB"/>
    <w:rsid w:val="00514E35"/>
    <w:rsid w:val="00515B7B"/>
    <w:rsid w:val="00515BA5"/>
    <w:rsid w:val="00515C5D"/>
    <w:rsid w:val="00515DD5"/>
    <w:rsid w:val="00516040"/>
    <w:rsid w:val="005162D8"/>
    <w:rsid w:val="005164D8"/>
    <w:rsid w:val="00516993"/>
    <w:rsid w:val="00516A87"/>
    <w:rsid w:val="00516AC1"/>
    <w:rsid w:val="00516D8B"/>
    <w:rsid w:val="005176BB"/>
    <w:rsid w:val="00517782"/>
    <w:rsid w:val="00517D0F"/>
    <w:rsid w:val="00517E3B"/>
    <w:rsid w:val="00520209"/>
    <w:rsid w:val="00520331"/>
    <w:rsid w:val="00520475"/>
    <w:rsid w:val="005205F7"/>
    <w:rsid w:val="00520655"/>
    <w:rsid w:val="00520946"/>
    <w:rsid w:val="00521ECA"/>
    <w:rsid w:val="00521F91"/>
    <w:rsid w:val="0052213C"/>
    <w:rsid w:val="005222D5"/>
    <w:rsid w:val="005223C3"/>
    <w:rsid w:val="00522545"/>
    <w:rsid w:val="005229C9"/>
    <w:rsid w:val="005229CD"/>
    <w:rsid w:val="00522B9C"/>
    <w:rsid w:val="00522CF0"/>
    <w:rsid w:val="00522D70"/>
    <w:rsid w:val="00523055"/>
    <w:rsid w:val="005231C7"/>
    <w:rsid w:val="00523860"/>
    <w:rsid w:val="00523AED"/>
    <w:rsid w:val="00524079"/>
    <w:rsid w:val="00524284"/>
    <w:rsid w:val="0052454D"/>
    <w:rsid w:val="005247A6"/>
    <w:rsid w:val="00524C4E"/>
    <w:rsid w:val="0052591A"/>
    <w:rsid w:val="00525AB9"/>
    <w:rsid w:val="00525D7E"/>
    <w:rsid w:val="0052619A"/>
    <w:rsid w:val="005262F0"/>
    <w:rsid w:val="0052632F"/>
    <w:rsid w:val="00526685"/>
    <w:rsid w:val="005266D8"/>
    <w:rsid w:val="00526C3C"/>
    <w:rsid w:val="00526D84"/>
    <w:rsid w:val="00527241"/>
    <w:rsid w:val="00527377"/>
    <w:rsid w:val="00527494"/>
    <w:rsid w:val="00527B9C"/>
    <w:rsid w:val="00530747"/>
    <w:rsid w:val="00530924"/>
    <w:rsid w:val="00530B35"/>
    <w:rsid w:val="00530B70"/>
    <w:rsid w:val="00530D3E"/>
    <w:rsid w:val="0053193D"/>
    <w:rsid w:val="00531AEF"/>
    <w:rsid w:val="00531B61"/>
    <w:rsid w:val="00531FB0"/>
    <w:rsid w:val="00532A46"/>
    <w:rsid w:val="00532DE8"/>
    <w:rsid w:val="00533A0D"/>
    <w:rsid w:val="00534B32"/>
    <w:rsid w:val="00534DAF"/>
    <w:rsid w:val="00534F4E"/>
    <w:rsid w:val="00535447"/>
    <w:rsid w:val="00535480"/>
    <w:rsid w:val="005355A3"/>
    <w:rsid w:val="005357B8"/>
    <w:rsid w:val="005357C1"/>
    <w:rsid w:val="0053593B"/>
    <w:rsid w:val="00535965"/>
    <w:rsid w:val="00535AC8"/>
    <w:rsid w:val="00535B0C"/>
    <w:rsid w:val="0053609A"/>
    <w:rsid w:val="0053646A"/>
    <w:rsid w:val="005369A8"/>
    <w:rsid w:val="00536B48"/>
    <w:rsid w:val="00536BA9"/>
    <w:rsid w:val="00537504"/>
    <w:rsid w:val="00537928"/>
    <w:rsid w:val="00540015"/>
    <w:rsid w:val="00540420"/>
    <w:rsid w:val="005404FB"/>
    <w:rsid w:val="00540693"/>
    <w:rsid w:val="00540AB6"/>
    <w:rsid w:val="00540BB9"/>
    <w:rsid w:val="00540D70"/>
    <w:rsid w:val="00540D8D"/>
    <w:rsid w:val="00541FDF"/>
    <w:rsid w:val="00542226"/>
    <w:rsid w:val="0054260E"/>
    <w:rsid w:val="0054293E"/>
    <w:rsid w:val="00542955"/>
    <w:rsid w:val="0054347C"/>
    <w:rsid w:val="00543544"/>
    <w:rsid w:val="00543DC4"/>
    <w:rsid w:val="0054409E"/>
    <w:rsid w:val="005441F5"/>
    <w:rsid w:val="00544A82"/>
    <w:rsid w:val="00544A8C"/>
    <w:rsid w:val="00544FF5"/>
    <w:rsid w:val="0054562A"/>
    <w:rsid w:val="0054569D"/>
    <w:rsid w:val="005461B1"/>
    <w:rsid w:val="005463E9"/>
    <w:rsid w:val="005464A6"/>
    <w:rsid w:val="00546A13"/>
    <w:rsid w:val="00546FE4"/>
    <w:rsid w:val="00547073"/>
    <w:rsid w:val="00547417"/>
    <w:rsid w:val="00547A8C"/>
    <w:rsid w:val="00547A8D"/>
    <w:rsid w:val="00547DF9"/>
    <w:rsid w:val="00547E38"/>
    <w:rsid w:val="00547E96"/>
    <w:rsid w:val="0055023D"/>
    <w:rsid w:val="00550291"/>
    <w:rsid w:val="005507B7"/>
    <w:rsid w:val="00551198"/>
    <w:rsid w:val="00551284"/>
    <w:rsid w:val="005519E5"/>
    <w:rsid w:val="005519FA"/>
    <w:rsid w:val="00551AFB"/>
    <w:rsid w:val="00551FF0"/>
    <w:rsid w:val="005522C0"/>
    <w:rsid w:val="005523BF"/>
    <w:rsid w:val="005528A7"/>
    <w:rsid w:val="00552A49"/>
    <w:rsid w:val="00552CED"/>
    <w:rsid w:val="0055301D"/>
    <w:rsid w:val="00553075"/>
    <w:rsid w:val="005537CB"/>
    <w:rsid w:val="0055382A"/>
    <w:rsid w:val="0055382E"/>
    <w:rsid w:val="00553ABC"/>
    <w:rsid w:val="00553DA7"/>
    <w:rsid w:val="00553DB1"/>
    <w:rsid w:val="00553E54"/>
    <w:rsid w:val="0055438D"/>
    <w:rsid w:val="00554407"/>
    <w:rsid w:val="00554689"/>
    <w:rsid w:val="005547D6"/>
    <w:rsid w:val="00554F70"/>
    <w:rsid w:val="0055501F"/>
    <w:rsid w:val="00555110"/>
    <w:rsid w:val="005558E8"/>
    <w:rsid w:val="00555977"/>
    <w:rsid w:val="00555F97"/>
    <w:rsid w:val="005562CB"/>
    <w:rsid w:val="0055685C"/>
    <w:rsid w:val="005571A1"/>
    <w:rsid w:val="00557AB0"/>
    <w:rsid w:val="00557C49"/>
    <w:rsid w:val="00560279"/>
    <w:rsid w:val="0056054A"/>
    <w:rsid w:val="0056193D"/>
    <w:rsid w:val="0056197D"/>
    <w:rsid w:val="00561B92"/>
    <w:rsid w:val="00562403"/>
    <w:rsid w:val="00562802"/>
    <w:rsid w:val="0056330F"/>
    <w:rsid w:val="0056332A"/>
    <w:rsid w:val="0056355E"/>
    <w:rsid w:val="0056388A"/>
    <w:rsid w:val="00564729"/>
    <w:rsid w:val="00564779"/>
    <w:rsid w:val="005647B0"/>
    <w:rsid w:val="0056487C"/>
    <w:rsid w:val="00565020"/>
    <w:rsid w:val="00565029"/>
    <w:rsid w:val="005650E3"/>
    <w:rsid w:val="005650F6"/>
    <w:rsid w:val="005651FC"/>
    <w:rsid w:val="00565A47"/>
    <w:rsid w:val="00565D0A"/>
    <w:rsid w:val="00565D70"/>
    <w:rsid w:val="00565F83"/>
    <w:rsid w:val="00566557"/>
    <w:rsid w:val="0056689A"/>
    <w:rsid w:val="00566ED8"/>
    <w:rsid w:val="005672A6"/>
    <w:rsid w:val="0056748F"/>
    <w:rsid w:val="005674CD"/>
    <w:rsid w:val="005677CD"/>
    <w:rsid w:val="00567A16"/>
    <w:rsid w:val="00567DDE"/>
    <w:rsid w:val="00567FE0"/>
    <w:rsid w:val="00570005"/>
    <w:rsid w:val="005701C9"/>
    <w:rsid w:val="005702BC"/>
    <w:rsid w:val="005705FC"/>
    <w:rsid w:val="00570718"/>
    <w:rsid w:val="00570934"/>
    <w:rsid w:val="00571C22"/>
    <w:rsid w:val="00572822"/>
    <w:rsid w:val="00572885"/>
    <w:rsid w:val="005729CA"/>
    <w:rsid w:val="00573093"/>
    <w:rsid w:val="005730E9"/>
    <w:rsid w:val="0057324C"/>
    <w:rsid w:val="005734BE"/>
    <w:rsid w:val="005735DA"/>
    <w:rsid w:val="005735F6"/>
    <w:rsid w:val="00573C2D"/>
    <w:rsid w:val="00573C52"/>
    <w:rsid w:val="0057449E"/>
    <w:rsid w:val="00574B45"/>
    <w:rsid w:val="00574F0A"/>
    <w:rsid w:val="00575C4C"/>
    <w:rsid w:val="00575CB2"/>
    <w:rsid w:val="0057603E"/>
    <w:rsid w:val="0057622A"/>
    <w:rsid w:val="0057628D"/>
    <w:rsid w:val="0057628F"/>
    <w:rsid w:val="0057632B"/>
    <w:rsid w:val="005765DE"/>
    <w:rsid w:val="0057672D"/>
    <w:rsid w:val="00576818"/>
    <w:rsid w:val="0057698E"/>
    <w:rsid w:val="00576DE1"/>
    <w:rsid w:val="00577249"/>
    <w:rsid w:val="005772B8"/>
    <w:rsid w:val="00577486"/>
    <w:rsid w:val="005776A5"/>
    <w:rsid w:val="00577B02"/>
    <w:rsid w:val="00577D87"/>
    <w:rsid w:val="005801F0"/>
    <w:rsid w:val="005808E3"/>
    <w:rsid w:val="00580D58"/>
    <w:rsid w:val="00581025"/>
    <w:rsid w:val="00581300"/>
    <w:rsid w:val="00581426"/>
    <w:rsid w:val="005814EA"/>
    <w:rsid w:val="00581736"/>
    <w:rsid w:val="005817C2"/>
    <w:rsid w:val="00581818"/>
    <w:rsid w:val="005820C1"/>
    <w:rsid w:val="00582885"/>
    <w:rsid w:val="00582BA8"/>
    <w:rsid w:val="00582DCD"/>
    <w:rsid w:val="00582F77"/>
    <w:rsid w:val="0058309A"/>
    <w:rsid w:val="0058345B"/>
    <w:rsid w:val="005834A6"/>
    <w:rsid w:val="0058370C"/>
    <w:rsid w:val="0058373D"/>
    <w:rsid w:val="005837E9"/>
    <w:rsid w:val="00583982"/>
    <w:rsid w:val="00583FFD"/>
    <w:rsid w:val="0058412C"/>
    <w:rsid w:val="00584210"/>
    <w:rsid w:val="00584949"/>
    <w:rsid w:val="00584A41"/>
    <w:rsid w:val="00584C76"/>
    <w:rsid w:val="00584CFF"/>
    <w:rsid w:val="005850A5"/>
    <w:rsid w:val="005851EB"/>
    <w:rsid w:val="00585567"/>
    <w:rsid w:val="005855D0"/>
    <w:rsid w:val="00585808"/>
    <w:rsid w:val="00585876"/>
    <w:rsid w:val="00585A59"/>
    <w:rsid w:val="00585E4C"/>
    <w:rsid w:val="00585EAE"/>
    <w:rsid w:val="00585EF9"/>
    <w:rsid w:val="00586183"/>
    <w:rsid w:val="0058639F"/>
    <w:rsid w:val="005863B9"/>
    <w:rsid w:val="00586558"/>
    <w:rsid w:val="0058658B"/>
    <w:rsid w:val="005866CD"/>
    <w:rsid w:val="00586783"/>
    <w:rsid w:val="00586DCC"/>
    <w:rsid w:val="00586EC7"/>
    <w:rsid w:val="00586F2B"/>
    <w:rsid w:val="00587261"/>
    <w:rsid w:val="00587598"/>
    <w:rsid w:val="005878A6"/>
    <w:rsid w:val="00587C06"/>
    <w:rsid w:val="00587E05"/>
    <w:rsid w:val="00587FA0"/>
    <w:rsid w:val="005900C7"/>
    <w:rsid w:val="0059010E"/>
    <w:rsid w:val="0059037E"/>
    <w:rsid w:val="005909C1"/>
    <w:rsid w:val="00590B25"/>
    <w:rsid w:val="00591112"/>
    <w:rsid w:val="005917BE"/>
    <w:rsid w:val="00591915"/>
    <w:rsid w:val="005919D9"/>
    <w:rsid w:val="0059202D"/>
    <w:rsid w:val="0059229E"/>
    <w:rsid w:val="0059247F"/>
    <w:rsid w:val="00592525"/>
    <w:rsid w:val="00592C13"/>
    <w:rsid w:val="00592C9F"/>
    <w:rsid w:val="00592F7A"/>
    <w:rsid w:val="0059333D"/>
    <w:rsid w:val="005933BC"/>
    <w:rsid w:val="00593A20"/>
    <w:rsid w:val="00593A3D"/>
    <w:rsid w:val="00593A7A"/>
    <w:rsid w:val="00593BE9"/>
    <w:rsid w:val="00593D92"/>
    <w:rsid w:val="0059471D"/>
    <w:rsid w:val="00594B36"/>
    <w:rsid w:val="00594F70"/>
    <w:rsid w:val="005953A2"/>
    <w:rsid w:val="00596026"/>
    <w:rsid w:val="00596762"/>
    <w:rsid w:val="00596A35"/>
    <w:rsid w:val="00596BD1"/>
    <w:rsid w:val="00596C50"/>
    <w:rsid w:val="00596D4C"/>
    <w:rsid w:val="00596D9D"/>
    <w:rsid w:val="005970B8"/>
    <w:rsid w:val="005970DB"/>
    <w:rsid w:val="0059720C"/>
    <w:rsid w:val="0059748E"/>
    <w:rsid w:val="005974E7"/>
    <w:rsid w:val="00597D7F"/>
    <w:rsid w:val="005A0F3E"/>
    <w:rsid w:val="005A1996"/>
    <w:rsid w:val="005A20CA"/>
    <w:rsid w:val="005A2106"/>
    <w:rsid w:val="005A2D6F"/>
    <w:rsid w:val="005A2F64"/>
    <w:rsid w:val="005A2F6C"/>
    <w:rsid w:val="005A300A"/>
    <w:rsid w:val="005A3297"/>
    <w:rsid w:val="005A33F5"/>
    <w:rsid w:val="005A364D"/>
    <w:rsid w:val="005A39B0"/>
    <w:rsid w:val="005A39F6"/>
    <w:rsid w:val="005A41D7"/>
    <w:rsid w:val="005A46FE"/>
    <w:rsid w:val="005A49D3"/>
    <w:rsid w:val="005A4A81"/>
    <w:rsid w:val="005A4B34"/>
    <w:rsid w:val="005A4BF9"/>
    <w:rsid w:val="005A4C04"/>
    <w:rsid w:val="005A4E9E"/>
    <w:rsid w:val="005A5181"/>
    <w:rsid w:val="005A52A1"/>
    <w:rsid w:val="005A5598"/>
    <w:rsid w:val="005A55A4"/>
    <w:rsid w:val="005A575F"/>
    <w:rsid w:val="005A58B2"/>
    <w:rsid w:val="005A58CF"/>
    <w:rsid w:val="005A59DA"/>
    <w:rsid w:val="005A6165"/>
    <w:rsid w:val="005A67DC"/>
    <w:rsid w:val="005A68A8"/>
    <w:rsid w:val="005A6A75"/>
    <w:rsid w:val="005A6B3D"/>
    <w:rsid w:val="005A6BC6"/>
    <w:rsid w:val="005A6C1B"/>
    <w:rsid w:val="005A6CC7"/>
    <w:rsid w:val="005A70E4"/>
    <w:rsid w:val="005A75B0"/>
    <w:rsid w:val="005A76E7"/>
    <w:rsid w:val="005A7751"/>
    <w:rsid w:val="005A7C0B"/>
    <w:rsid w:val="005A7F17"/>
    <w:rsid w:val="005A7F28"/>
    <w:rsid w:val="005B05F6"/>
    <w:rsid w:val="005B0658"/>
    <w:rsid w:val="005B0746"/>
    <w:rsid w:val="005B07F8"/>
    <w:rsid w:val="005B098D"/>
    <w:rsid w:val="005B0ABB"/>
    <w:rsid w:val="005B0D64"/>
    <w:rsid w:val="005B0F55"/>
    <w:rsid w:val="005B0F70"/>
    <w:rsid w:val="005B0FF8"/>
    <w:rsid w:val="005B134A"/>
    <w:rsid w:val="005B1723"/>
    <w:rsid w:val="005B19A5"/>
    <w:rsid w:val="005B2225"/>
    <w:rsid w:val="005B248D"/>
    <w:rsid w:val="005B263A"/>
    <w:rsid w:val="005B28EC"/>
    <w:rsid w:val="005B2A44"/>
    <w:rsid w:val="005B2BC0"/>
    <w:rsid w:val="005B3204"/>
    <w:rsid w:val="005B3327"/>
    <w:rsid w:val="005B3391"/>
    <w:rsid w:val="005B3E0F"/>
    <w:rsid w:val="005B3F38"/>
    <w:rsid w:val="005B4083"/>
    <w:rsid w:val="005B47DE"/>
    <w:rsid w:val="005B4C34"/>
    <w:rsid w:val="005B50EE"/>
    <w:rsid w:val="005B54EF"/>
    <w:rsid w:val="005B5947"/>
    <w:rsid w:val="005B595F"/>
    <w:rsid w:val="005B5AD8"/>
    <w:rsid w:val="005B5FA6"/>
    <w:rsid w:val="005B5FF8"/>
    <w:rsid w:val="005B62D3"/>
    <w:rsid w:val="005B6D03"/>
    <w:rsid w:val="005B7758"/>
    <w:rsid w:val="005B7768"/>
    <w:rsid w:val="005B781E"/>
    <w:rsid w:val="005B7A79"/>
    <w:rsid w:val="005B7CE8"/>
    <w:rsid w:val="005B7E18"/>
    <w:rsid w:val="005B7F12"/>
    <w:rsid w:val="005B9086"/>
    <w:rsid w:val="005C01D2"/>
    <w:rsid w:val="005C01E0"/>
    <w:rsid w:val="005C032E"/>
    <w:rsid w:val="005C035E"/>
    <w:rsid w:val="005C039E"/>
    <w:rsid w:val="005C06D1"/>
    <w:rsid w:val="005C0784"/>
    <w:rsid w:val="005C0808"/>
    <w:rsid w:val="005C08C9"/>
    <w:rsid w:val="005C0D28"/>
    <w:rsid w:val="005C0F33"/>
    <w:rsid w:val="005C0F4E"/>
    <w:rsid w:val="005C0FC5"/>
    <w:rsid w:val="005C10A9"/>
    <w:rsid w:val="005C11FD"/>
    <w:rsid w:val="005C120A"/>
    <w:rsid w:val="005C17AD"/>
    <w:rsid w:val="005C17E5"/>
    <w:rsid w:val="005C225A"/>
    <w:rsid w:val="005C35C3"/>
    <w:rsid w:val="005C3662"/>
    <w:rsid w:val="005C36B4"/>
    <w:rsid w:val="005C3E0B"/>
    <w:rsid w:val="005C4446"/>
    <w:rsid w:val="005C4687"/>
    <w:rsid w:val="005C4694"/>
    <w:rsid w:val="005C4B61"/>
    <w:rsid w:val="005C5414"/>
    <w:rsid w:val="005C559A"/>
    <w:rsid w:val="005C5932"/>
    <w:rsid w:val="005C5D70"/>
    <w:rsid w:val="005C6156"/>
    <w:rsid w:val="005C6652"/>
    <w:rsid w:val="005C67A3"/>
    <w:rsid w:val="005C6AAF"/>
    <w:rsid w:val="005C6B56"/>
    <w:rsid w:val="005C6C42"/>
    <w:rsid w:val="005C6D61"/>
    <w:rsid w:val="005C6D94"/>
    <w:rsid w:val="005C6D9C"/>
    <w:rsid w:val="005C737B"/>
    <w:rsid w:val="005C7808"/>
    <w:rsid w:val="005C7AE8"/>
    <w:rsid w:val="005D006C"/>
    <w:rsid w:val="005D0158"/>
    <w:rsid w:val="005D0329"/>
    <w:rsid w:val="005D0462"/>
    <w:rsid w:val="005D07D6"/>
    <w:rsid w:val="005D11AB"/>
    <w:rsid w:val="005D1364"/>
    <w:rsid w:val="005D14EE"/>
    <w:rsid w:val="005D15B4"/>
    <w:rsid w:val="005D17B2"/>
    <w:rsid w:val="005D1B0B"/>
    <w:rsid w:val="005D22E8"/>
    <w:rsid w:val="005D246A"/>
    <w:rsid w:val="005D2601"/>
    <w:rsid w:val="005D2904"/>
    <w:rsid w:val="005D2A69"/>
    <w:rsid w:val="005D2C56"/>
    <w:rsid w:val="005D35A2"/>
    <w:rsid w:val="005D3691"/>
    <w:rsid w:val="005D406A"/>
    <w:rsid w:val="005D4379"/>
    <w:rsid w:val="005D546B"/>
    <w:rsid w:val="005D5504"/>
    <w:rsid w:val="005D55D7"/>
    <w:rsid w:val="005D5638"/>
    <w:rsid w:val="005D5AA7"/>
    <w:rsid w:val="005D5BCE"/>
    <w:rsid w:val="005D6235"/>
    <w:rsid w:val="005D632E"/>
    <w:rsid w:val="005D6455"/>
    <w:rsid w:val="005D68D8"/>
    <w:rsid w:val="005D7094"/>
    <w:rsid w:val="005D78AC"/>
    <w:rsid w:val="005D7A3B"/>
    <w:rsid w:val="005E0B8B"/>
    <w:rsid w:val="005E0BCF"/>
    <w:rsid w:val="005E0D86"/>
    <w:rsid w:val="005E0FE2"/>
    <w:rsid w:val="005E1872"/>
    <w:rsid w:val="005E1AB8"/>
    <w:rsid w:val="005E2086"/>
    <w:rsid w:val="005E2834"/>
    <w:rsid w:val="005E2A41"/>
    <w:rsid w:val="005E2AE6"/>
    <w:rsid w:val="005E2D2A"/>
    <w:rsid w:val="005E2E72"/>
    <w:rsid w:val="005E3110"/>
    <w:rsid w:val="005E35BE"/>
    <w:rsid w:val="005E3FA5"/>
    <w:rsid w:val="005E44A2"/>
    <w:rsid w:val="005E5021"/>
    <w:rsid w:val="005E5037"/>
    <w:rsid w:val="005E51E0"/>
    <w:rsid w:val="005E60FA"/>
    <w:rsid w:val="005E6102"/>
    <w:rsid w:val="005E6698"/>
    <w:rsid w:val="005E685D"/>
    <w:rsid w:val="005E68D0"/>
    <w:rsid w:val="005E6E88"/>
    <w:rsid w:val="005E7744"/>
    <w:rsid w:val="005E77E5"/>
    <w:rsid w:val="005E78FE"/>
    <w:rsid w:val="005E7AD9"/>
    <w:rsid w:val="005E7D09"/>
    <w:rsid w:val="005F056A"/>
    <w:rsid w:val="005F0881"/>
    <w:rsid w:val="005F0B76"/>
    <w:rsid w:val="005F0D61"/>
    <w:rsid w:val="005F0E35"/>
    <w:rsid w:val="005F0E36"/>
    <w:rsid w:val="005F0EEE"/>
    <w:rsid w:val="005F0F6D"/>
    <w:rsid w:val="005F106B"/>
    <w:rsid w:val="005F1200"/>
    <w:rsid w:val="005F15AA"/>
    <w:rsid w:val="005F163B"/>
    <w:rsid w:val="005F1944"/>
    <w:rsid w:val="005F19A8"/>
    <w:rsid w:val="005F1A3E"/>
    <w:rsid w:val="005F1F25"/>
    <w:rsid w:val="005F2142"/>
    <w:rsid w:val="005F223F"/>
    <w:rsid w:val="005F2447"/>
    <w:rsid w:val="005F3343"/>
    <w:rsid w:val="005F35D2"/>
    <w:rsid w:val="005F3CA9"/>
    <w:rsid w:val="005F3DA7"/>
    <w:rsid w:val="005F3E5E"/>
    <w:rsid w:val="005F45FF"/>
    <w:rsid w:val="005F4817"/>
    <w:rsid w:val="005F4A85"/>
    <w:rsid w:val="005F4DB7"/>
    <w:rsid w:val="005F4DB8"/>
    <w:rsid w:val="005F4E1F"/>
    <w:rsid w:val="005F5133"/>
    <w:rsid w:val="005F537F"/>
    <w:rsid w:val="005F53EE"/>
    <w:rsid w:val="005F541D"/>
    <w:rsid w:val="005F5CEC"/>
    <w:rsid w:val="005F6142"/>
    <w:rsid w:val="005F652B"/>
    <w:rsid w:val="005F6798"/>
    <w:rsid w:val="005F6805"/>
    <w:rsid w:val="005F6895"/>
    <w:rsid w:val="005F6AAC"/>
    <w:rsid w:val="005F6CF2"/>
    <w:rsid w:val="005F6FB8"/>
    <w:rsid w:val="005F70FB"/>
    <w:rsid w:val="005F7606"/>
    <w:rsid w:val="005F7B70"/>
    <w:rsid w:val="005F7D77"/>
    <w:rsid w:val="006000A4"/>
    <w:rsid w:val="006002D3"/>
    <w:rsid w:val="0060038A"/>
    <w:rsid w:val="00600516"/>
    <w:rsid w:val="006006EA"/>
    <w:rsid w:val="00600CAB"/>
    <w:rsid w:val="00600E1B"/>
    <w:rsid w:val="0060130B"/>
    <w:rsid w:val="006015F4"/>
    <w:rsid w:val="0060191E"/>
    <w:rsid w:val="0060192A"/>
    <w:rsid w:val="00601D38"/>
    <w:rsid w:val="00601DD4"/>
    <w:rsid w:val="006021AC"/>
    <w:rsid w:val="006025AC"/>
    <w:rsid w:val="0060264D"/>
    <w:rsid w:val="0060281C"/>
    <w:rsid w:val="00602EDD"/>
    <w:rsid w:val="00602F33"/>
    <w:rsid w:val="0060320B"/>
    <w:rsid w:val="00603261"/>
    <w:rsid w:val="006032A8"/>
    <w:rsid w:val="00603545"/>
    <w:rsid w:val="00603874"/>
    <w:rsid w:val="00603A3C"/>
    <w:rsid w:val="00603D4F"/>
    <w:rsid w:val="0060408F"/>
    <w:rsid w:val="0060469D"/>
    <w:rsid w:val="006051B5"/>
    <w:rsid w:val="0060521A"/>
    <w:rsid w:val="00605EC3"/>
    <w:rsid w:val="0060604A"/>
    <w:rsid w:val="0060676D"/>
    <w:rsid w:val="006069C9"/>
    <w:rsid w:val="00606A65"/>
    <w:rsid w:val="00606E97"/>
    <w:rsid w:val="00607518"/>
    <w:rsid w:val="0060758D"/>
    <w:rsid w:val="0060782F"/>
    <w:rsid w:val="00607E3B"/>
    <w:rsid w:val="00607FA1"/>
    <w:rsid w:val="0061073F"/>
    <w:rsid w:val="006107DF"/>
    <w:rsid w:val="006114DA"/>
    <w:rsid w:val="00611944"/>
    <w:rsid w:val="00611CB1"/>
    <w:rsid w:val="00611CCC"/>
    <w:rsid w:val="00611F33"/>
    <w:rsid w:val="00612020"/>
    <w:rsid w:val="006126BB"/>
    <w:rsid w:val="00612DB6"/>
    <w:rsid w:val="0061302F"/>
    <w:rsid w:val="00613482"/>
    <w:rsid w:val="00613A5D"/>
    <w:rsid w:val="00613FD1"/>
    <w:rsid w:val="006142CE"/>
    <w:rsid w:val="00614351"/>
    <w:rsid w:val="006145A3"/>
    <w:rsid w:val="00614A18"/>
    <w:rsid w:val="006151B2"/>
    <w:rsid w:val="006153FC"/>
    <w:rsid w:val="00615BB7"/>
    <w:rsid w:val="00615F45"/>
    <w:rsid w:val="0061636D"/>
    <w:rsid w:val="006164D9"/>
    <w:rsid w:val="006166E1"/>
    <w:rsid w:val="00617138"/>
    <w:rsid w:val="006172A5"/>
    <w:rsid w:val="00617C3C"/>
    <w:rsid w:val="00617E5F"/>
    <w:rsid w:val="00620198"/>
    <w:rsid w:val="00620272"/>
    <w:rsid w:val="006202CD"/>
    <w:rsid w:val="006202E8"/>
    <w:rsid w:val="006206E4"/>
    <w:rsid w:val="006208FD"/>
    <w:rsid w:val="00620902"/>
    <w:rsid w:val="006213F0"/>
    <w:rsid w:val="006217B6"/>
    <w:rsid w:val="00621A83"/>
    <w:rsid w:val="0062251C"/>
    <w:rsid w:val="006228CE"/>
    <w:rsid w:val="00622EEB"/>
    <w:rsid w:val="0062310C"/>
    <w:rsid w:val="00623505"/>
    <w:rsid w:val="0062399E"/>
    <w:rsid w:val="00623BF1"/>
    <w:rsid w:val="00623C59"/>
    <w:rsid w:val="00624123"/>
    <w:rsid w:val="00624FF7"/>
    <w:rsid w:val="006251A0"/>
    <w:rsid w:val="0062599C"/>
    <w:rsid w:val="006259B3"/>
    <w:rsid w:val="00625B8E"/>
    <w:rsid w:val="00626070"/>
    <w:rsid w:val="006264F5"/>
    <w:rsid w:val="0062681D"/>
    <w:rsid w:val="00626C5C"/>
    <w:rsid w:val="00626D9B"/>
    <w:rsid w:val="00626DB1"/>
    <w:rsid w:val="00626ED7"/>
    <w:rsid w:val="00626FD8"/>
    <w:rsid w:val="006277DE"/>
    <w:rsid w:val="00627988"/>
    <w:rsid w:val="00627C25"/>
    <w:rsid w:val="006306CB"/>
    <w:rsid w:val="006307C7"/>
    <w:rsid w:val="00630924"/>
    <w:rsid w:val="00630C95"/>
    <w:rsid w:val="00630D1B"/>
    <w:rsid w:val="00630D39"/>
    <w:rsid w:val="00630D76"/>
    <w:rsid w:val="0063140A"/>
    <w:rsid w:val="006317E5"/>
    <w:rsid w:val="00631C08"/>
    <w:rsid w:val="00631FA7"/>
    <w:rsid w:val="006320E2"/>
    <w:rsid w:val="00632461"/>
    <w:rsid w:val="00632899"/>
    <w:rsid w:val="006328F5"/>
    <w:rsid w:val="00632983"/>
    <w:rsid w:val="00632A3F"/>
    <w:rsid w:val="00633224"/>
    <w:rsid w:val="0063337F"/>
    <w:rsid w:val="00633650"/>
    <w:rsid w:val="00633695"/>
    <w:rsid w:val="00633830"/>
    <w:rsid w:val="00633856"/>
    <w:rsid w:val="00633C74"/>
    <w:rsid w:val="00634723"/>
    <w:rsid w:val="0063499F"/>
    <w:rsid w:val="00634F1F"/>
    <w:rsid w:val="00635395"/>
    <w:rsid w:val="00635A4E"/>
    <w:rsid w:val="00635B4E"/>
    <w:rsid w:val="00635F77"/>
    <w:rsid w:val="006360B3"/>
    <w:rsid w:val="006361C3"/>
    <w:rsid w:val="006365F4"/>
    <w:rsid w:val="00636898"/>
    <w:rsid w:val="006368BC"/>
    <w:rsid w:val="00636F69"/>
    <w:rsid w:val="006370D5"/>
    <w:rsid w:val="00637306"/>
    <w:rsid w:val="00637341"/>
    <w:rsid w:val="006378D6"/>
    <w:rsid w:val="0064010F"/>
    <w:rsid w:val="00640633"/>
    <w:rsid w:val="00640D40"/>
    <w:rsid w:val="006414C2"/>
    <w:rsid w:val="006415EE"/>
    <w:rsid w:val="0064174B"/>
    <w:rsid w:val="00641855"/>
    <w:rsid w:val="00641D79"/>
    <w:rsid w:val="00642077"/>
    <w:rsid w:val="006421F8"/>
    <w:rsid w:val="0064282A"/>
    <w:rsid w:val="00642FF5"/>
    <w:rsid w:val="006431F5"/>
    <w:rsid w:val="0064334C"/>
    <w:rsid w:val="0064348F"/>
    <w:rsid w:val="006435AD"/>
    <w:rsid w:val="00643913"/>
    <w:rsid w:val="00643D37"/>
    <w:rsid w:val="00644102"/>
    <w:rsid w:val="00644204"/>
    <w:rsid w:val="0064420F"/>
    <w:rsid w:val="006442E3"/>
    <w:rsid w:val="006451E9"/>
    <w:rsid w:val="00645384"/>
    <w:rsid w:val="0064565F"/>
    <w:rsid w:val="006457A0"/>
    <w:rsid w:val="00645A08"/>
    <w:rsid w:val="00645A5D"/>
    <w:rsid w:val="00645F3E"/>
    <w:rsid w:val="0064624B"/>
    <w:rsid w:val="00646385"/>
    <w:rsid w:val="006464E5"/>
    <w:rsid w:val="00646A75"/>
    <w:rsid w:val="0064720F"/>
    <w:rsid w:val="0064747C"/>
    <w:rsid w:val="00647539"/>
    <w:rsid w:val="00647852"/>
    <w:rsid w:val="00647974"/>
    <w:rsid w:val="00647EFD"/>
    <w:rsid w:val="00650000"/>
    <w:rsid w:val="00650257"/>
    <w:rsid w:val="006504B0"/>
    <w:rsid w:val="0065060B"/>
    <w:rsid w:val="00650768"/>
    <w:rsid w:val="0065086C"/>
    <w:rsid w:val="00650E21"/>
    <w:rsid w:val="00650F64"/>
    <w:rsid w:val="0065122F"/>
    <w:rsid w:val="00651515"/>
    <w:rsid w:val="00651712"/>
    <w:rsid w:val="00651791"/>
    <w:rsid w:val="00651A27"/>
    <w:rsid w:val="00651B7B"/>
    <w:rsid w:val="00651BD9"/>
    <w:rsid w:val="0065207A"/>
    <w:rsid w:val="00652248"/>
    <w:rsid w:val="0065283D"/>
    <w:rsid w:val="00652DFD"/>
    <w:rsid w:val="00652E86"/>
    <w:rsid w:val="00653495"/>
    <w:rsid w:val="006534EE"/>
    <w:rsid w:val="00653879"/>
    <w:rsid w:val="00653E17"/>
    <w:rsid w:val="0065444A"/>
    <w:rsid w:val="0065451D"/>
    <w:rsid w:val="0065457A"/>
    <w:rsid w:val="006549EA"/>
    <w:rsid w:val="00654FEE"/>
    <w:rsid w:val="0065520A"/>
    <w:rsid w:val="00655379"/>
    <w:rsid w:val="0065546E"/>
    <w:rsid w:val="00655A47"/>
    <w:rsid w:val="00655E10"/>
    <w:rsid w:val="00655ECA"/>
    <w:rsid w:val="00656070"/>
    <w:rsid w:val="0065608C"/>
    <w:rsid w:val="00656433"/>
    <w:rsid w:val="0065644D"/>
    <w:rsid w:val="00656844"/>
    <w:rsid w:val="006569EE"/>
    <w:rsid w:val="00656BA0"/>
    <w:rsid w:val="00656BC0"/>
    <w:rsid w:val="00656DAA"/>
    <w:rsid w:val="00656F9D"/>
    <w:rsid w:val="0065763A"/>
    <w:rsid w:val="00657B21"/>
    <w:rsid w:val="00657B25"/>
    <w:rsid w:val="00657B29"/>
    <w:rsid w:val="006600A5"/>
    <w:rsid w:val="00660432"/>
    <w:rsid w:val="00661670"/>
    <w:rsid w:val="00661754"/>
    <w:rsid w:val="0066181C"/>
    <w:rsid w:val="00661957"/>
    <w:rsid w:val="00662769"/>
    <w:rsid w:val="00662807"/>
    <w:rsid w:val="00662808"/>
    <w:rsid w:val="00662B70"/>
    <w:rsid w:val="00663052"/>
    <w:rsid w:val="006630BD"/>
    <w:rsid w:val="00663806"/>
    <w:rsid w:val="00663945"/>
    <w:rsid w:val="0066452B"/>
    <w:rsid w:val="00664E62"/>
    <w:rsid w:val="00666725"/>
    <w:rsid w:val="00666726"/>
    <w:rsid w:val="00666C98"/>
    <w:rsid w:val="00666D7E"/>
    <w:rsid w:val="00666E81"/>
    <w:rsid w:val="006674FB"/>
    <w:rsid w:val="00667843"/>
    <w:rsid w:val="00667940"/>
    <w:rsid w:val="00667998"/>
    <w:rsid w:val="00667E7E"/>
    <w:rsid w:val="00670549"/>
    <w:rsid w:val="0067061E"/>
    <w:rsid w:val="00670779"/>
    <w:rsid w:val="006708F6"/>
    <w:rsid w:val="00670911"/>
    <w:rsid w:val="00670A2A"/>
    <w:rsid w:val="00670ABA"/>
    <w:rsid w:val="00670F3B"/>
    <w:rsid w:val="006711F8"/>
    <w:rsid w:val="00671858"/>
    <w:rsid w:val="006719CF"/>
    <w:rsid w:val="00671A60"/>
    <w:rsid w:val="00671B0A"/>
    <w:rsid w:val="00671B7B"/>
    <w:rsid w:val="00671C8D"/>
    <w:rsid w:val="00671F2C"/>
    <w:rsid w:val="00672083"/>
    <w:rsid w:val="0067217B"/>
    <w:rsid w:val="006726C3"/>
    <w:rsid w:val="006726D3"/>
    <w:rsid w:val="00672CE3"/>
    <w:rsid w:val="00672E0E"/>
    <w:rsid w:val="00673A85"/>
    <w:rsid w:val="00673ABF"/>
    <w:rsid w:val="00673AE0"/>
    <w:rsid w:val="00673CEA"/>
    <w:rsid w:val="00673F29"/>
    <w:rsid w:val="00674746"/>
    <w:rsid w:val="00674CDD"/>
    <w:rsid w:val="00674E06"/>
    <w:rsid w:val="00674E9A"/>
    <w:rsid w:val="00675132"/>
    <w:rsid w:val="00675184"/>
    <w:rsid w:val="006751DD"/>
    <w:rsid w:val="00675279"/>
    <w:rsid w:val="0067537B"/>
    <w:rsid w:val="00675B65"/>
    <w:rsid w:val="00675E00"/>
    <w:rsid w:val="00675E2E"/>
    <w:rsid w:val="00675F50"/>
    <w:rsid w:val="00676741"/>
    <w:rsid w:val="00676749"/>
    <w:rsid w:val="00676823"/>
    <w:rsid w:val="00676D2D"/>
    <w:rsid w:val="00676D3A"/>
    <w:rsid w:val="00676DCF"/>
    <w:rsid w:val="00676F74"/>
    <w:rsid w:val="0067709E"/>
    <w:rsid w:val="00677788"/>
    <w:rsid w:val="00677B2B"/>
    <w:rsid w:val="00677BA8"/>
    <w:rsid w:val="00677C07"/>
    <w:rsid w:val="00677ECC"/>
    <w:rsid w:val="0068003B"/>
    <w:rsid w:val="006800BE"/>
    <w:rsid w:val="006802AB"/>
    <w:rsid w:val="00680646"/>
    <w:rsid w:val="00680BBC"/>
    <w:rsid w:val="00680D0B"/>
    <w:rsid w:val="006814CB"/>
    <w:rsid w:val="006815F2"/>
    <w:rsid w:val="00681AC3"/>
    <w:rsid w:val="00681AF3"/>
    <w:rsid w:val="00681C2E"/>
    <w:rsid w:val="00681E17"/>
    <w:rsid w:val="006821D3"/>
    <w:rsid w:val="00682B2C"/>
    <w:rsid w:val="00682B97"/>
    <w:rsid w:val="00682D13"/>
    <w:rsid w:val="00683151"/>
    <w:rsid w:val="00683444"/>
    <w:rsid w:val="00683686"/>
    <w:rsid w:val="00683F18"/>
    <w:rsid w:val="00684078"/>
    <w:rsid w:val="00684085"/>
    <w:rsid w:val="006840D3"/>
    <w:rsid w:val="00684A5F"/>
    <w:rsid w:val="00684B33"/>
    <w:rsid w:val="00684BB4"/>
    <w:rsid w:val="00684DE8"/>
    <w:rsid w:val="00684FA1"/>
    <w:rsid w:val="0068528D"/>
    <w:rsid w:val="006855B6"/>
    <w:rsid w:val="006856FC"/>
    <w:rsid w:val="006860A4"/>
    <w:rsid w:val="006862D8"/>
    <w:rsid w:val="006869F4"/>
    <w:rsid w:val="00686B0A"/>
    <w:rsid w:val="00686DB5"/>
    <w:rsid w:val="006874FD"/>
    <w:rsid w:val="0068787E"/>
    <w:rsid w:val="00687C75"/>
    <w:rsid w:val="00687E5B"/>
    <w:rsid w:val="00687EA0"/>
    <w:rsid w:val="00691380"/>
    <w:rsid w:val="006916DD"/>
    <w:rsid w:val="00691A35"/>
    <w:rsid w:val="00691DF5"/>
    <w:rsid w:val="00692427"/>
    <w:rsid w:val="00692A13"/>
    <w:rsid w:val="006930D6"/>
    <w:rsid w:val="006931BB"/>
    <w:rsid w:val="006931C3"/>
    <w:rsid w:val="006931D3"/>
    <w:rsid w:val="00693632"/>
    <w:rsid w:val="00694324"/>
    <w:rsid w:val="006945B7"/>
    <w:rsid w:val="0069547C"/>
    <w:rsid w:val="00695914"/>
    <w:rsid w:val="006959EE"/>
    <w:rsid w:val="00695B33"/>
    <w:rsid w:val="00695E88"/>
    <w:rsid w:val="006960F2"/>
    <w:rsid w:val="00696453"/>
    <w:rsid w:val="0069679B"/>
    <w:rsid w:val="00696AD7"/>
    <w:rsid w:val="00696EAD"/>
    <w:rsid w:val="00696EF2"/>
    <w:rsid w:val="00697577"/>
    <w:rsid w:val="006976C2"/>
    <w:rsid w:val="00697988"/>
    <w:rsid w:val="006979D6"/>
    <w:rsid w:val="00697A35"/>
    <w:rsid w:val="00697AFE"/>
    <w:rsid w:val="00697D56"/>
    <w:rsid w:val="006A05AF"/>
    <w:rsid w:val="006A0CBE"/>
    <w:rsid w:val="006A0CC1"/>
    <w:rsid w:val="006A0EBD"/>
    <w:rsid w:val="006A0FC5"/>
    <w:rsid w:val="006A13C5"/>
    <w:rsid w:val="006A16F5"/>
    <w:rsid w:val="006A17B4"/>
    <w:rsid w:val="006A1C90"/>
    <w:rsid w:val="006A1CBE"/>
    <w:rsid w:val="006A25FF"/>
    <w:rsid w:val="006A2643"/>
    <w:rsid w:val="006A27F5"/>
    <w:rsid w:val="006A2956"/>
    <w:rsid w:val="006A2A24"/>
    <w:rsid w:val="006A3024"/>
    <w:rsid w:val="006A348B"/>
    <w:rsid w:val="006A355C"/>
    <w:rsid w:val="006A45B8"/>
    <w:rsid w:val="006A4824"/>
    <w:rsid w:val="006A4900"/>
    <w:rsid w:val="006A5212"/>
    <w:rsid w:val="006A532B"/>
    <w:rsid w:val="006A5D56"/>
    <w:rsid w:val="006A63C6"/>
    <w:rsid w:val="006A660E"/>
    <w:rsid w:val="006A6BF0"/>
    <w:rsid w:val="006A718B"/>
    <w:rsid w:val="006A7350"/>
    <w:rsid w:val="006A7490"/>
    <w:rsid w:val="006A7B2F"/>
    <w:rsid w:val="006A7D2D"/>
    <w:rsid w:val="006A7E87"/>
    <w:rsid w:val="006B00CB"/>
    <w:rsid w:val="006B02A4"/>
    <w:rsid w:val="006B02CA"/>
    <w:rsid w:val="006B0E27"/>
    <w:rsid w:val="006B124D"/>
    <w:rsid w:val="006B1D1B"/>
    <w:rsid w:val="006B1FEA"/>
    <w:rsid w:val="006B2292"/>
    <w:rsid w:val="006B234E"/>
    <w:rsid w:val="006B25E8"/>
    <w:rsid w:val="006B2B6C"/>
    <w:rsid w:val="006B2CD3"/>
    <w:rsid w:val="006B2D38"/>
    <w:rsid w:val="006B2E44"/>
    <w:rsid w:val="006B3C58"/>
    <w:rsid w:val="006B3EAA"/>
    <w:rsid w:val="006B3F4A"/>
    <w:rsid w:val="006B4035"/>
    <w:rsid w:val="006B42F9"/>
    <w:rsid w:val="006B4799"/>
    <w:rsid w:val="006B4904"/>
    <w:rsid w:val="006B4B85"/>
    <w:rsid w:val="006B4C64"/>
    <w:rsid w:val="006B4FFF"/>
    <w:rsid w:val="006B55EF"/>
    <w:rsid w:val="006B563D"/>
    <w:rsid w:val="006B585A"/>
    <w:rsid w:val="006B5A69"/>
    <w:rsid w:val="006B5AC8"/>
    <w:rsid w:val="006B5D63"/>
    <w:rsid w:val="006B5F4C"/>
    <w:rsid w:val="006B66FC"/>
    <w:rsid w:val="006B6A75"/>
    <w:rsid w:val="006B6B64"/>
    <w:rsid w:val="006B7139"/>
    <w:rsid w:val="006B73EA"/>
    <w:rsid w:val="006B7656"/>
    <w:rsid w:val="006B7C76"/>
    <w:rsid w:val="006B7E37"/>
    <w:rsid w:val="006B7E4A"/>
    <w:rsid w:val="006B7F76"/>
    <w:rsid w:val="006C06EB"/>
    <w:rsid w:val="006C0850"/>
    <w:rsid w:val="006C0A90"/>
    <w:rsid w:val="006C0FDF"/>
    <w:rsid w:val="006C13CB"/>
    <w:rsid w:val="006C1605"/>
    <w:rsid w:val="006C1B98"/>
    <w:rsid w:val="006C1BD1"/>
    <w:rsid w:val="006C2092"/>
    <w:rsid w:val="006C2415"/>
    <w:rsid w:val="006C2777"/>
    <w:rsid w:val="006C2ADC"/>
    <w:rsid w:val="006C2E94"/>
    <w:rsid w:val="006C33D6"/>
    <w:rsid w:val="006C33F9"/>
    <w:rsid w:val="006C365E"/>
    <w:rsid w:val="006C37E9"/>
    <w:rsid w:val="006C3931"/>
    <w:rsid w:val="006C3965"/>
    <w:rsid w:val="006C424D"/>
    <w:rsid w:val="006C4263"/>
    <w:rsid w:val="006C4295"/>
    <w:rsid w:val="006C4797"/>
    <w:rsid w:val="006C4B64"/>
    <w:rsid w:val="006C517A"/>
    <w:rsid w:val="006C528F"/>
    <w:rsid w:val="006C59B1"/>
    <w:rsid w:val="006C5C48"/>
    <w:rsid w:val="006C5CA1"/>
    <w:rsid w:val="006C62E6"/>
    <w:rsid w:val="006C6559"/>
    <w:rsid w:val="006C6B7E"/>
    <w:rsid w:val="006C6BD5"/>
    <w:rsid w:val="006C6EAA"/>
    <w:rsid w:val="006C73C0"/>
    <w:rsid w:val="006C7B11"/>
    <w:rsid w:val="006C7C91"/>
    <w:rsid w:val="006C7E45"/>
    <w:rsid w:val="006D00F2"/>
    <w:rsid w:val="006D0409"/>
    <w:rsid w:val="006D0663"/>
    <w:rsid w:val="006D070A"/>
    <w:rsid w:val="006D1253"/>
    <w:rsid w:val="006D1299"/>
    <w:rsid w:val="006D2E2B"/>
    <w:rsid w:val="006D30A8"/>
    <w:rsid w:val="006D316F"/>
    <w:rsid w:val="006D32BE"/>
    <w:rsid w:val="006D3A03"/>
    <w:rsid w:val="006D42DB"/>
    <w:rsid w:val="006D4BBC"/>
    <w:rsid w:val="006D4EA0"/>
    <w:rsid w:val="006D4F98"/>
    <w:rsid w:val="006D50E9"/>
    <w:rsid w:val="006D5B6D"/>
    <w:rsid w:val="006D5B97"/>
    <w:rsid w:val="006D5C5C"/>
    <w:rsid w:val="006D5CBF"/>
    <w:rsid w:val="006D5D82"/>
    <w:rsid w:val="006D5DD2"/>
    <w:rsid w:val="006D60DD"/>
    <w:rsid w:val="006D6131"/>
    <w:rsid w:val="006D6D06"/>
    <w:rsid w:val="006D6D27"/>
    <w:rsid w:val="006D7B93"/>
    <w:rsid w:val="006D7C08"/>
    <w:rsid w:val="006D7E77"/>
    <w:rsid w:val="006E017D"/>
    <w:rsid w:val="006E0BA5"/>
    <w:rsid w:val="006E11D4"/>
    <w:rsid w:val="006E163A"/>
    <w:rsid w:val="006E167A"/>
    <w:rsid w:val="006E1CF7"/>
    <w:rsid w:val="006E2666"/>
    <w:rsid w:val="006E277C"/>
    <w:rsid w:val="006E330A"/>
    <w:rsid w:val="006E35A5"/>
    <w:rsid w:val="006E36F7"/>
    <w:rsid w:val="006E37B4"/>
    <w:rsid w:val="006E3918"/>
    <w:rsid w:val="006E3D18"/>
    <w:rsid w:val="006E3EA5"/>
    <w:rsid w:val="006E3FC6"/>
    <w:rsid w:val="006E42DD"/>
    <w:rsid w:val="006E43FF"/>
    <w:rsid w:val="006E519F"/>
    <w:rsid w:val="006E556A"/>
    <w:rsid w:val="006E5DFE"/>
    <w:rsid w:val="006E5EDE"/>
    <w:rsid w:val="006E6350"/>
    <w:rsid w:val="006E6374"/>
    <w:rsid w:val="006E64E9"/>
    <w:rsid w:val="006E6821"/>
    <w:rsid w:val="006E6ABA"/>
    <w:rsid w:val="006E7022"/>
    <w:rsid w:val="006E791E"/>
    <w:rsid w:val="006E79F1"/>
    <w:rsid w:val="006E7AD3"/>
    <w:rsid w:val="006E7AEC"/>
    <w:rsid w:val="006E7BF1"/>
    <w:rsid w:val="006E7C39"/>
    <w:rsid w:val="006E7C65"/>
    <w:rsid w:val="006E7D4A"/>
    <w:rsid w:val="006F0FCD"/>
    <w:rsid w:val="006F209A"/>
    <w:rsid w:val="006F209B"/>
    <w:rsid w:val="006F2EA3"/>
    <w:rsid w:val="006F3180"/>
    <w:rsid w:val="006F3524"/>
    <w:rsid w:val="006F3BDA"/>
    <w:rsid w:val="006F3F9D"/>
    <w:rsid w:val="006F4011"/>
    <w:rsid w:val="006F444F"/>
    <w:rsid w:val="006F4A9A"/>
    <w:rsid w:val="006F4B93"/>
    <w:rsid w:val="006F5350"/>
    <w:rsid w:val="006F5411"/>
    <w:rsid w:val="006F5680"/>
    <w:rsid w:val="006F680A"/>
    <w:rsid w:val="006F6821"/>
    <w:rsid w:val="006F6975"/>
    <w:rsid w:val="006F6A52"/>
    <w:rsid w:val="006F6FD3"/>
    <w:rsid w:val="006F7338"/>
    <w:rsid w:val="006F74CA"/>
    <w:rsid w:val="006F77DF"/>
    <w:rsid w:val="006F7A6B"/>
    <w:rsid w:val="006F7E1B"/>
    <w:rsid w:val="007001D2"/>
    <w:rsid w:val="0070030B"/>
    <w:rsid w:val="007006DA"/>
    <w:rsid w:val="007008BB"/>
    <w:rsid w:val="00700F5B"/>
    <w:rsid w:val="0070107F"/>
    <w:rsid w:val="00701156"/>
    <w:rsid w:val="007012AB"/>
    <w:rsid w:val="007016AF"/>
    <w:rsid w:val="00701E72"/>
    <w:rsid w:val="00701EBE"/>
    <w:rsid w:val="007022DC"/>
    <w:rsid w:val="00702737"/>
    <w:rsid w:val="00702B50"/>
    <w:rsid w:val="00702B60"/>
    <w:rsid w:val="00702FB9"/>
    <w:rsid w:val="007035B2"/>
    <w:rsid w:val="0070380D"/>
    <w:rsid w:val="0070383A"/>
    <w:rsid w:val="00703E60"/>
    <w:rsid w:val="00703FCA"/>
    <w:rsid w:val="007040D8"/>
    <w:rsid w:val="00704817"/>
    <w:rsid w:val="007049FD"/>
    <w:rsid w:val="00704A1C"/>
    <w:rsid w:val="00704BDA"/>
    <w:rsid w:val="0070500B"/>
    <w:rsid w:val="007050CA"/>
    <w:rsid w:val="00705C53"/>
    <w:rsid w:val="00705CA6"/>
    <w:rsid w:val="00705D13"/>
    <w:rsid w:val="00706DBB"/>
    <w:rsid w:val="00707052"/>
    <w:rsid w:val="00707211"/>
    <w:rsid w:val="00707585"/>
    <w:rsid w:val="00707793"/>
    <w:rsid w:val="00707B07"/>
    <w:rsid w:val="00707B85"/>
    <w:rsid w:val="00707DD5"/>
    <w:rsid w:val="00707F7A"/>
    <w:rsid w:val="0071104B"/>
    <w:rsid w:val="007118E6"/>
    <w:rsid w:val="00711A95"/>
    <w:rsid w:val="0071258F"/>
    <w:rsid w:val="007125AC"/>
    <w:rsid w:val="0071299A"/>
    <w:rsid w:val="00712B0B"/>
    <w:rsid w:val="00712B2B"/>
    <w:rsid w:val="00712C62"/>
    <w:rsid w:val="00712EAF"/>
    <w:rsid w:val="0071348A"/>
    <w:rsid w:val="0071374C"/>
    <w:rsid w:val="00713B0F"/>
    <w:rsid w:val="00714038"/>
    <w:rsid w:val="0071412D"/>
    <w:rsid w:val="00714979"/>
    <w:rsid w:val="0071515A"/>
    <w:rsid w:val="00715265"/>
    <w:rsid w:val="0071531D"/>
    <w:rsid w:val="007153BB"/>
    <w:rsid w:val="00715ED0"/>
    <w:rsid w:val="007163DE"/>
    <w:rsid w:val="00716BF3"/>
    <w:rsid w:val="007173C4"/>
    <w:rsid w:val="0071771E"/>
    <w:rsid w:val="0071790D"/>
    <w:rsid w:val="00717A90"/>
    <w:rsid w:val="007201E0"/>
    <w:rsid w:val="0072058E"/>
    <w:rsid w:val="007209FD"/>
    <w:rsid w:val="00720A51"/>
    <w:rsid w:val="00720ABD"/>
    <w:rsid w:val="00720AD3"/>
    <w:rsid w:val="00720E2B"/>
    <w:rsid w:val="00720E9A"/>
    <w:rsid w:val="00721019"/>
    <w:rsid w:val="00722790"/>
    <w:rsid w:val="007230A1"/>
    <w:rsid w:val="00723196"/>
    <w:rsid w:val="007232CB"/>
    <w:rsid w:val="007237DF"/>
    <w:rsid w:val="00723FC8"/>
    <w:rsid w:val="007245C3"/>
    <w:rsid w:val="007247DF"/>
    <w:rsid w:val="00724E60"/>
    <w:rsid w:val="007256A7"/>
    <w:rsid w:val="00725D16"/>
    <w:rsid w:val="00726382"/>
    <w:rsid w:val="00726393"/>
    <w:rsid w:val="00726921"/>
    <w:rsid w:val="00726A41"/>
    <w:rsid w:val="00726CEC"/>
    <w:rsid w:val="0072704A"/>
    <w:rsid w:val="00727156"/>
    <w:rsid w:val="007271C9"/>
    <w:rsid w:val="00727423"/>
    <w:rsid w:val="0072746E"/>
    <w:rsid w:val="007274C5"/>
    <w:rsid w:val="00727542"/>
    <w:rsid w:val="007278A9"/>
    <w:rsid w:val="007279DD"/>
    <w:rsid w:val="00727E8F"/>
    <w:rsid w:val="00730ADE"/>
    <w:rsid w:val="00730B76"/>
    <w:rsid w:val="00730BFF"/>
    <w:rsid w:val="00730DBB"/>
    <w:rsid w:val="00730E51"/>
    <w:rsid w:val="007310E3"/>
    <w:rsid w:val="0073170A"/>
    <w:rsid w:val="00731967"/>
    <w:rsid w:val="00731BCE"/>
    <w:rsid w:val="00731E3D"/>
    <w:rsid w:val="00731F0D"/>
    <w:rsid w:val="0073223A"/>
    <w:rsid w:val="0073245E"/>
    <w:rsid w:val="00732C9D"/>
    <w:rsid w:val="00732D1D"/>
    <w:rsid w:val="00732D69"/>
    <w:rsid w:val="00732DC4"/>
    <w:rsid w:val="00733056"/>
    <w:rsid w:val="007331FB"/>
    <w:rsid w:val="007335FF"/>
    <w:rsid w:val="0073361F"/>
    <w:rsid w:val="007336CD"/>
    <w:rsid w:val="00733739"/>
    <w:rsid w:val="007344AA"/>
    <w:rsid w:val="00734570"/>
    <w:rsid w:val="007349CD"/>
    <w:rsid w:val="00734AB9"/>
    <w:rsid w:val="00734E3F"/>
    <w:rsid w:val="0073505B"/>
    <w:rsid w:val="007351F8"/>
    <w:rsid w:val="007353E1"/>
    <w:rsid w:val="007356DA"/>
    <w:rsid w:val="00735915"/>
    <w:rsid w:val="00735A40"/>
    <w:rsid w:val="00735F7F"/>
    <w:rsid w:val="007364C8"/>
    <w:rsid w:val="00736592"/>
    <w:rsid w:val="00736594"/>
    <w:rsid w:val="00736602"/>
    <w:rsid w:val="007367E0"/>
    <w:rsid w:val="00736867"/>
    <w:rsid w:val="00736912"/>
    <w:rsid w:val="007369D6"/>
    <w:rsid w:val="00736D4C"/>
    <w:rsid w:val="00736E30"/>
    <w:rsid w:val="00737132"/>
    <w:rsid w:val="007371BA"/>
    <w:rsid w:val="007371F8"/>
    <w:rsid w:val="007374DA"/>
    <w:rsid w:val="00737831"/>
    <w:rsid w:val="00737D42"/>
    <w:rsid w:val="00737F18"/>
    <w:rsid w:val="00737F70"/>
    <w:rsid w:val="00737FBC"/>
    <w:rsid w:val="007400B5"/>
    <w:rsid w:val="007402F2"/>
    <w:rsid w:val="00740973"/>
    <w:rsid w:val="007409D6"/>
    <w:rsid w:val="007409D9"/>
    <w:rsid w:val="00741577"/>
    <w:rsid w:val="00741B2B"/>
    <w:rsid w:val="00741DFE"/>
    <w:rsid w:val="0074261C"/>
    <w:rsid w:val="007427AC"/>
    <w:rsid w:val="007435C2"/>
    <w:rsid w:val="00743992"/>
    <w:rsid w:val="007445A7"/>
    <w:rsid w:val="007446FD"/>
    <w:rsid w:val="00744713"/>
    <w:rsid w:val="007447A5"/>
    <w:rsid w:val="00745054"/>
    <w:rsid w:val="00745174"/>
    <w:rsid w:val="00745272"/>
    <w:rsid w:val="00745377"/>
    <w:rsid w:val="00745B74"/>
    <w:rsid w:val="00745CF7"/>
    <w:rsid w:val="00745D6D"/>
    <w:rsid w:val="00745DBD"/>
    <w:rsid w:val="0074601F"/>
    <w:rsid w:val="0074656A"/>
    <w:rsid w:val="00747093"/>
    <w:rsid w:val="00747096"/>
    <w:rsid w:val="00747348"/>
    <w:rsid w:val="007475E8"/>
    <w:rsid w:val="00747864"/>
    <w:rsid w:val="0074787E"/>
    <w:rsid w:val="00747A7E"/>
    <w:rsid w:val="00747BF4"/>
    <w:rsid w:val="00747E9C"/>
    <w:rsid w:val="0075023E"/>
    <w:rsid w:val="0075060C"/>
    <w:rsid w:val="0075069D"/>
    <w:rsid w:val="00750730"/>
    <w:rsid w:val="00750A16"/>
    <w:rsid w:val="00750C0A"/>
    <w:rsid w:val="00750F12"/>
    <w:rsid w:val="007516D8"/>
    <w:rsid w:val="0075190C"/>
    <w:rsid w:val="00751E7B"/>
    <w:rsid w:val="007521A6"/>
    <w:rsid w:val="0075258C"/>
    <w:rsid w:val="00752676"/>
    <w:rsid w:val="00752A84"/>
    <w:rsid w:val="00752AC2"/>
    <w:rsid w:val="00752BAF"/>
    <w:rsid w:val="00752D8F"/>
    <w:rsid w:val="00752F3D"/>
    <w:rsid w:val="0075308C"/>
    <w:rsid w:val="007531D1"/>
    <w:rsid w:val="00753351"/>
    <w:rsid w:val="00753593"/>
    <w:rsid w:val="007536F4"/>
    <w:rsid w:val="00753C8A"/>
    <w:rsid w:val="00753D52"/>
    <w:rsid w:val="00753E30"/>
    <w:rsid w:val="00754033"/>
    <w:rsid w:val="00754597"/>
    <w:rsid w:val="00755020"/>
    <w:rsid w:val="007550E9"/>
    <w:rsid w:val="00755A64"/>
    <w:rsid w:val="00755B5C"/>
    <w:rsid w:val="0075611A"/>
    <w:rsid w:val="00756CDB"/>
    <w:rsid w:val="00756D6D"/>
    <w:rsid w:val="00757A0F"/>
    <w:rsid w:val="00757B28"/>
    <w:rsid w:val="00757F7D"/>
    <w:rsid w:val="00757FE8"/>
    <w:rsid w:val="00760230"/>
    <w:rsid w:val="0076023E"/>
    <w:rsid w:val="00760607"/>
    <w:rsid w:val="0076098B"/>
    <w:rsid w:val="00760BBF"/>
    <w:rsid w:val="0076119C"/>
    <w:rsid w:val="007611F6"/>
    <w:rsid w:val="0076160E"/>
    <w:rsid w:val="00761D16"/>
    <w:rsid w:val="00761E18"/>
    <w:rsid w:val="00761F60"/>
    <w:rsid w:val="007621BD"/>
    <w:rsid w:val="0076231D"/>
    <w:rsid w:val="00762323"/>
    <w:rsid w:val="007623A6"/>
    <w:rsid w:val="00762475"/>
    <w:rsid w:val="0076274A"/>
    <w:rsid w:val="00762877"/>
    <w:rsid w:val="00762C3B"/>
    <w:rsid w:val="00763E95"/>
    <w:rsid w:val="0076420C"/>
    <w:rsid w:val="0076446D"/>
    <w:rsid w:val="00764DBF"/>
    <w:rsid w:val="00764E93"/>
    <w:rsid w:val="00764F2E"/>
    <w:rsid w:val="007652B0"/>
    <w:rsid w:val="00765385"/>
    <w:rsid w:val="007656B4"/>
    <w:rsid w:val="00765AE4"/>
    <w:rsid w:val="00765F94"/>
    <w:rsid w:val="00765FEE"/>
    <w:rsid w:val="00766280"/>
    <w:rsid w:val="007663C9"/>
    <w:rsid w:val="00766682"/>
    <w:rsid w:val="00766689"/>
    <w:rsid w:val="00766B33"/>
    <w:rsid w:val="00766EC7"/>
    <w:rsid w:val="00767C5F"/>
    <w:rsid w:val="00767FE0"/>
    <w:rsid w:val="00770502"/>
    <w:rsid w:val="0077065D"/>
    <w:rsid w:val="0077077F"/>
    <w:rsid w:val="00770C74"/>
    <w:rsid w:val="00770D6C"/>
    <w:rsid w:val="00770ED7"/>
    <w:rsid w:val="00771111"/>
    <w:rsid w:val="007711C8"/>
    <w:rsid w:val="00771783"/>
    <w:rsid w:val="0077192F"/>
    <w:rsid w:val="007719E6"/>
    <w:rsid w:val="00771A76"/>
    <w:rsid w:val="00771F0A"/>
    <w:rsid w:val="00771FE8"/>
    <w:rsid w:val="00772492"/>
    <w:rsid w:val="007728E8"/>
    <w:rsid w:val="00772968"/>
    <w:rsid w:val="007729DA"/>
    <w:rsid w:val="00773446"/>
    <w:rsid w:val="0077378E"/>
    <w:rsid w:val="007737FA"/>
    <w:rsid w:val="00773B0C"/>
    <w:rsid w:val="00773B88"/>
    <w:rsid w:val="00773CDC"/>
    <w:rsid w:val="00774235"/>
    <w:rsid w:val="00775462"/>
    <w:rsid w:val="007754F5"/>
    <w:rsid w:val="007756FF"/>
    <w:rsid w:val="0077619A"/>
    <w:rsid w:val="0077620A"/>
    <w:rsid w:val="00776498"/>
    <w:rsid w:val="00776C4E"/>
    <w:rsid w:val="00777D57"/>
    <w:rsid w:val="00777FA6"/>
    <w:rsid w:val="00780086"/>
    <w:rsid w:val="007802E7"/>
    <w:rsid w:val="00780318"/>
    <w:rsid w:val="00780745"/>
    <w:rsid w:val="00780753"/>
    <w:rsid w:val="007807AC"/>
    <w:rsid w:val="00780B3B"/>
    <w:rsid w:val="00780B71"/>
    <w:rsid w:val="00780B74"/>
    <w:rsid w:val="00780B89"/>
    <w:rsid w:val="00780FBF"/>
    <w:rsid w:val="0078123C"/>
    <w:rsid w:val="007813E2"/>
    <w:rsid w:val="00781446"/>
    <w:rsid w:val="007814A1"/>
    <w:rsid w:val="00781588"/>
    <w:rsid w:val="00781711"/>
    <w:rsid w:val="00781E82"/>
    <w:rsid w:val="00781FB6"/>
    <w:rsid w:val="00781FFB"/>
    <w:rsid w:val="00782758"/>
    <w:rsid w:val="00782B3E"/>
    <w:rsid w:val="00782DA5"/>
    <w:rsid w:val="00782EEF"/>
    <w:rsid w:val="0078349B"/>
    <w:rsid w:val="00783510"/>
    <w:rsid w:val="007837D7"/>
    <w:rsid w:val="00783F4A"/>
    <w:rsid w:val="007841BF"/>
    <w:rsid w:val="00784222"/>
    <w:rsid w:val="007848C0"/>
    <w:rsid w:val="00784EE1"/>
    <w:rsid w:val="00785171"/>
    <w:rsid w:val="007852F0"/>
    <w:rsid w:val="00785982"/>
    <w:rsid w:val="00785CA8"/>
    <w:rsid w:val="00785E00"/>
    <w:rsid w:val="00786BB3"/>
    <w:rsid w:val="00786CAA"/>
    <w:rsid w:val="0078764A"/>
    <w:rsid w:val="00787942"/>
    <w:rsid w:val="00787C4E"/>
    <w:rsid w:val="00790072"/>
    <w:rsid w:val="007902B4"/>
    <w:rsid w:val="007904D4"/>
    <w:rsid w:val="00790589"/>
    <w:rsid w:val="0079082E"/>
    <w:rsid w:val="00790AC2"/>
    <w:rsid w:val="00790B56"/>
    <w:rsid w:val="00790B82"/>
    <w:rsid w:val="007910F2"/>
    <w:rsid w:val="00791181"/>
    <w:rsid w:val="007911F1"/>
    <w:rsid w:val="0079142C"/>
    <w:rsid w:val="0079159F"/>
    <w:rsid w:val="00791734"/>
    <w:rsid w:val="00791762"/>
    <w:rsid w:val="00791803"/>
    <w:rsid w:val="0079185D"/>
    <w:rsid w:val="00791F01"/>
    <w:rsid w:val="007922DA"/>
    <w:rsid w:val="00792548"/>
    <w:rsid w:val="0079274A"/>
    <w:rsid w:val="00792C36"/>
    <w:rsid w:val="00793147"/>
    <w:rsid w:val="007931AF"/>
    <w:rsid w:val="007934F4"/>
    <w:rsid w:val="00793890"/>
    <w:rsid w:val="00793DD7"/>
    <w:rsid w:val="00794365"/>
    <w:rsid w:val="007946AA"/>
    <w:rsid w:val="007947E2"/>
    <w:rsid w:val="00794949"/>
    <w:rsid w:val="0079569E"/>
    <w:rsid w:val="00795DB1"/>
    <w:rsid w:val="00795E12"/>
    <w:rsid w:val="00795F81"/>
    <w:rsid w:val="0079667D"/>
    <w:rsid w:val="0079672C"/>
    <w:rsid w:val="0079693C"/>
    <w:rsid w:val="00796972"/>
    <w:rsid w:val="00796B23"/>
    <w:rsid w:val="00796C8A"/>
    <w:rsid w:val="00796E83"/>
    <w:rsid w:val="0079713B"/>
    <w:rsid w:val="0079754A"/>
    <w:rsid w:val="00797981"/>
    <w:rsid w:val="007A015E"/>
    <w:rsid w:val="007A01EB"/>
    <w:rsid w:val="007A059F"/>
    <w:rsid w:val="007A086A"/>
    <w:rsid w:val="007A0C36"/>
    <w:rsid w:val="007A0D07"/>
    <w:rsid w:val="007A0DA3"/>
    <w:rsid w:val="007A0EFC"/>
    <w:rsid w:val="007A1336"/>
    <w:rsid w:val="007A149B"/>
    <w:rsid w:val="007A178B"/>
    <w:rsid w:val="007A2477"/>
    <w:rsid w:val="007A2665"/>
    <w:rsid w:val="007A3881"/>
    <w:rsid w:val="007A3A7D"/>
    <w:rsid w:val="007A3A9A"/>
    <w:rsid w:val="007A44C4"/>
    <w:rsid w:val="007A49A1"/>
    <w:rsid w:val="007A49AD"/>
    <w:rsid w:val="007A4EF3"/>
    <w:rsid w:val="007A5627"/>
    <w:rsid w:val="007A5707"/>
    <w:rsid w:val="007A5DED"/>
    <w:rsid w:val="007A5E2F"/>
    <w:rsid w:val="007A5F34"/>
    <w:rsid w:val="007A61C6"/>
    <w:rsid w:val="007A6342"/>
    <w:rsid w:val="007A63ED"/>
    <w:rsid w:val="007A7392"/>
    <w:rsid w:val="007A74F8"/>
    <w:rsid w:val="007A7705"/>
    <w:rsid w:val="007B059A"/>
    <w:rsid w:val="007B0678"/>
    <w:rsid w:val="007B0B7E"/>
    <w:rsid w:val="007B11C5"/>
    <w:rsid w:val="007B159D"/>
    <w:rsid w:val="007B162D"/>
    <w:rsid w:val="007B1829"/>
    <w:rsid w:val="007B18AB"/>
    <w:rsid w:val="007B1BE0"/>
    <w:rsid w:val="007B1D61"/>
    <w:rsid w:val="007B2056"/>
    <w:rsid w:val="007B20B1"/>
    <w:rsid w:val="007B25C5"/>
    <w:rsid w:val="007B276F"/>
    <w:rsid w:val="007B303A"/>
    <w:rsid w:val="007B3171"/>
    <w:rsid w:val="007B3D3D"/>
    <w:rsid w:val="007B40B5"/>
    <w:rsid w:val="007B45EF"/>
    <w:rsid w:val="007B4AFA"/>
    <w:rsid w:val="007B4B7A"/>
    <w:rsid w:val="007B4FA8"/>
    <w:rsid w:val="007B5026"/>
    <w:rsid w:val="007B503E"/>
    <w:rsid w:val="007B5142"/>
    <w:rsid w:val="007B5591"/>
    <w:rsid w:val="007B56FF"/>
    <w:rsid w:val="007B5822"/>
    <w:rsid w:val="007B5872"/>
    <w:rsid w:val="007B5951"/>
    <w:rsid w:val="007B5CB2"/>
    <w:rsid w:val="007B5E87"/>
    <w:rsid w:val="007B62A3"/>
    <w:rsid w:val="007B72F2"/>
    <w:rsid w:val="007B788A"/>
    <w:rsid w:val="007B79C8"/>
    <w:rsid w:val="007B7E15"/>
    <w:rsid w:val="007C010C"/>
    <w:rsid w:val="007C0637"/>
    <w:rsid w:val="007C0830"/>
    <w:rsid w:val="007C0C2B"/>
    <w:rsid w:val="007C0C5F"/>
    <w:rsid w:val="007C1288"/>
    <w:rsid w:val="007C156B"/>
    <w:rsid w:val="007C1BEA"/>
    <w:rsid w:val="007C1EF5"/>
    <w:rsid w:val="007C2D69"/>
    <w:rsid w:val="007C2DF5"/>
    <w:rsid w:val="007C2E82"/>
    <w:rsid w:val="007C2EFE"/>
    <w:rsid w:val="007C3308"/>
    <w:rsid w:val="007C342D"/>
    <w:rsid w:val="007C372E"/>
    <w:rsid w:val="007C393D"/>
    <w:rsid w:val="007C3BA5"/>
    <w:rsid w:val="007C3BF0"/>
    <w:rsid w:val="007C3CDB"/>
    <w:rsid w:val="007C3F87"/>
    <w:rsid w:val="007C4180"/>
    <w:rsid w:val="007C42F7"/>
    <w:rsid w:val="007C4321"/>
    <w:rsid w:val="007C4BA9"/>
    <w:rsid w:val="007C5161"/>
    <w:rsid w:val="007C5451"/>
    <w:rsid w:val="007C5E65"/>
    <w:rsid w:val="007C6077"/>
    <w:rsid w:val="007C6134"/>
    <w:rsid w:val="007C61BB"/>
    <w:rsid w:val="007C63F5"/>
    <w:rsid w:val="007C6679"/>
    <w:rsid w:val="007C6832"/>
    <w:rsid w:val="007C6DE6"/>
    <w:rsid w:val="007C6FB7"/>
    <w:rsid w:val="007C70B6"/>
    <w:rsid w:val="007C741A"/>
    <w:rsid w:val="007C79E1"/>
    <w:rsid w:val="007C7EE2"/>
    <w:rsid w:val="007D0065"/>
    <w:rsid w:val="007D00E0"/>
    <w:rsid w:val="007D088D"/>
    <w:rsid w:val="007D15FA"/>
    <w:rsid w:val="007D1628"/>
    <w:rsid w:val="007D19A9"/>
    <w:rsid w:val="007D1A61"/>
    <w:rsid w:val="007D2630"/>
    <w:rsid w:val="007D2810"/>
    <w:rsid w:val="007D30A0"/>
    <w:rsid w:val="007D3274"/>
    <w:rsid w:val="007D35B4"/>
    <w:rsid w:val="007D3AEB"/>
    <w:rsid w:val="007D407A"/>
    <w:rsid w:val="007D43E2"/>
    <w:rsid w:val="007D4868"/>
    <w:rsid w:val="007D52B7"/>
    <w:rsid w:val="007D5688"/>
    <w:rsid w:val="007D59FA"/>
    <w:rsid w:val="007D643F"/>
    <w:rsid w:val="007D677E"/>
    <w:rsid w:val="007D67AA"/>
    <w:rsid w:val="007D6882"/>
    <w:rsid w:val="007D697F"/>
    <w:rsid w:val="007D7075"/>
    <w:rsid w:val="007D7151"/>
    <w:rsid w:val="007D7435"/>
    <w:rsid w:val="007D74B8"/>
    <w:rsid w:val="007D74EE"/>
    <w:rsid w:val="007D79F1"/>
    <w:rsid w:val="007D7F8A"/>
    <w:rsid w:val="007E0C81"/>
    <w:rsid w:val="007E0F43"/>
    <w:rsid w:val="007E1188"/>
    <w:rsid w:val="007E15AE"/>
    <w:rsid w:val="007E15FB"/>
    <w:rsid w:val="007E1F89"/>
    <w:rsid w:val="007E1FC7"/>
    <w:rsid w:val="007E2892"/>
    <w:rsid w:val="007E2F59"/>
    <w:rsid w:val="007E306F"/>
    <w:rsid w:val="007E3617"/>
    <w:rsid w:val="007E3B3D"/>
    <w:rsid w:val="007E3BE6"/>
    <w:rsid w:val="007E45A5"/>
    <w:rsid w:val="007E4D00"/>
    <w:rsid w:val="007E5702"/>
    <w:rsid w:val="007E5746"/>
    <w:rsid w:val="007E5A62"/>
    <w:rsid w:val="007E5E87"/>
    <w:rsid w:val="007E61E0"/>
    <w:rsid w:val="007E622B"/>
    <w:rsid w:val="007E6238"/>
    <w:rsid w:val="007E645B"/>
    <w:rsid w:val="007E6920"/>
    <w:rsid w:val="007E6C9B"/>
    <w:rsid w:val="007E6F34"/>
    <w:rsid w:val="007E7091"/>
    <w:rsid w:val="007E74FC"/>
    <w:rsid w:val="007E7A5D"/>
    <w:rsid w:val="007E7AFA"/>
    <w:rsid w:val="007F0776"/>
    <w:rsid w:val="007F0A0E"/>
    <w:rsid w:val="007F0D8A"/>
    <w:rsid w:val="007F116B"/>
    <w:rsid w:val="007F1210"/>
    <w:rsid w:val="007F14A3"/>
    <w:rsid w:val="007F1954"/>
    <w:rsid w:val="007F1B56"/>
    <w:rsid w:val="007F1D9A"/>
    <w:rsid w:val="007F1DED"/>
    <w:rsid w:val="007F1E45"/>
    <w:rsid w:val="007F1FDC"/>
    <w:rsid w:val="007F20AD"/>
    <w:rsid w:val="007F21FD"/>
    <w:rsid w:val="007F226B"/>
    <w:rsid w:val="007F238B"/>
    <w:rsid w:val="007F27E3"/>
    <w:rsid w:val="007F2F51"/>
    <w:rsid w:val="007F3025"/>
    <w:rsid w:val="007F3384"/>
    <w:rsid w:val="007F39F1"/>
    <w:rsid w:val="007F3B15"/>
    <w:rsid w:val="007F3C4A"/>
    <w:rsid w:val="007F3D41"/>
    <w:rsid w:val="007F4660"/>
    <w:rsid w:val="007F4743"/>
    <w:rsid w:val="007F527B"/>
    <w:rsid w:val="007F54D0"/>
    <w:rsid w:val="007F5573"/>
    <w:rsid w:val="007F55A4"/>
    <w:rsid w:val="007F59CA"/>
    <w:rsid w:val="007F6480"/>
    <w:rsid w:val="007F6778"/>
    <w:rsid w:val="007F727D"/>
    <w:rsid w:val="007F7B85"/>
    <w:rsid w:val="008000A9"/>
    <w:rsid w:val="008006DD"/>
    <w:rsid w:val="008008BB"/>
    <w:rsid w:val="00800BEF"/>
    <w:rsid w:val="00801169"/>
    <w:rsid w:val="00801352"/>
    <w:rsid w:val="008013E5"/>
    <w:rsid w:val="00801AFC"/>
    <w:rsid w:val="0080214C"/>
    <w:rsid w:val="00802157"/>
    <w:rsid w:val="00802596"/>
    <w:rsid w:val="00802607"/>
    <w:rsid w:val="00802638"/>
    <w:rsid w:val="00802B95"/>
    <w:rsid w:val="00802DC5"/>
    <w:rsid w:val="00803868"/>
    <w:rsid w:val="008042BA"/>
    <w:rsid w:val="008042F8"/>
    <w:rsid w:val="00804EF5"/>
    <w:rsid w:val="00804F04"/>
    <w:rsid w:val="008054EE"/>
    <w:rsid w:val="00805822"/>
    <w:rsid w:val="00806043"/>
    <w:rsid w:val="008061FA"/>
    <w:rsid w:val="00806365"/>
    <w:rsid w:val="00806381"/>
    <w:rsid w:val="008067CE"/>
    <w:rsid w:val="008069AB"/>
    <w:rsid w:val="00806B45"/>
    <w:rsid w:val="0080784F"/>
    <w:rsid w:val="00807B4A"/>
    <w:rsid w:val="00807D31"/>
    <w:rsid w:val="008103BE"/>
    <w:rsid w:val="0081090E"/>
    <w:rsid w:val="00810A44"/>
    <w:rsid w:val="00810E31"/>
    <w:rsid w:val="00811865"/>
    <w:rsid w:val="00811ACC"/>
    <w:rsid w:val="00812524"/>
    <w:rsid w:val="0081277A"/>
    <w:rsid w:val="008127CF"/>
    <w:rsid w:val="008127EE"/>
    <w:rsid w:val="00812A39"/>
    <w:rsid w:val="00812AED"/>
    <w:rsid w:val="00812B4F"/>
    <w:rsid w:val="00812D86"/>
    <w:rsid w:val="00812F95"/>
    <w:rsid w:val="00812FBE"/>
    <w:rsid w:val="00813010"/>
    <w:rsid w:val="00813110"/>
    <w:rsid w:val="008132BF"/>
    <w:rsid w:val="00813AAD"/>
    <w:rsid w:val="00813B10"/>
    <w:rsid w:val="00813E31"/>
    <w:rsid w:val="00813E88"/>
    <w:rsid w:val="0081423B"/>
    <w:rsid w:val="0081447B"/>
    <w:rsid w:val="00814A0E"/>
    <w:rsid w:val="00814F11"/>
    <w:rsid w:val="00814F53"/>
    <w:rsid w:val="00815757"/>
    <w:rsid w:val="00815E7D"/>
    <w:rsid w:val="00815F00"/>
    <w:rsid w:val="0081662C"/>
    <w:rsid w:val="008166A6"/>
    <w:rsid w:val="00816A75"/>
    <w:rsid w:val="00816ACF"/>
    <w:rsid w:val="00816C95"/>
    <w:rsid w:val="00816E28"/>
    <w:rsid w:val="00816EC8"/>
    <w:rsid w:val="00817685"/>
    <w:rsid w:val="00817C75"/>
    <w:rsid w:val="00817F61"/>
    <w:rsid w:val="00820166"/>
    <w:rsid w:val="00820245"/>
    <w:rsid w:val="008202B0"/>
    <w:rsid w:val="00820818"/>
    <w:rsid w:val="008216AF"/>
    <w:rsid w:val="008217D0"/>
    <w:rsid w:val="00821B4D"/>
    <w:rsid w:val="0082244A"/>
    <w:rsid w:val="0082264E"/>
    <w:rsid w:val="00823288"/>
    <w:rsid w:val="008234EF"/>
    <w:rsid w:val="00823947"/>
    <w:rsid w:val="00823B22"/>
    <w:rsid w:val="00823B8D"/>
    <w:rsid w:val="00823C0C"/>
    <w:rsid w:val="00823C32"/>
    <w:rsid w:val="00823CBF"/>
    <w:rsid w:val="00823D91"/>
    <w:rsid w:val="00823F17"/>
    <w:rsid w:val="00823F48"/>
    <w:rsid w:val="00824679"/>
    <w:rsid w:val="00824840"/>
    <w:rsid w:val="00824B2C"/>
    <w:rsid w:val="00824DFB"/>
    <w:rsid w:val="00824FA1"/>
    <w:rsid w:val="00825969"/>
    <w:rsid w:val="00826171"/>
    <w:rsid w:val="008262DB"/>
    <w:rsid w:val="008267B8"/>
    <w:rsid w:val="0082794F"/>
    <w:rsid w:val="00827A65"/>
    <w:rsid w:val="00827D02"/>
    <w:rsid w:val="00827FF9"/>
    <w:rsid w:val="00830BF0"/>
    <w:rsid w:val="00830E11"/>
    <w:rsid w:val="00830F11"/>
    <w:rsid w:val="00831628"/>
    <w:rsid w:val="008316D3"/>
    <w:rsid w:val="008317A6"/>
    <w:rsid w:val="00831F56"/>
    <w:rsid w:val="00831F8B"/>
    <w:rsid w:val="008321BC"/>
    <w:rsid w:val="008325E0"/>
    <w:rsid w:val="008326B5"/>
    <w:rsid w:val="0083274B"/>
    <w:rsid w:val="00832813"/>
    <w:rsid w:val="00832D32"/>
    <w:rsid w:val="00832E7E"/>
    <w:rsid w:val="00833645"/>
    <w:rsid w:val="008338A7"/>
    <w:rsid w:val="00833CBC"/>
    <w:rsid w:val="00834227"/>
    <w:rsid w:val="00834438"/>
    <w:rsid w:val="00834D1D"/>
    <w:rsid w:val="00834DA7"/>
    <w:rsid w:val="00834DC8"/>
    <w:rsid w:val="00834FEE"/>
    <w:rsid w:val="008354BB"/>
    <w:rsid w:val="008356F5"/>
    <w:rsid w:val="008359FA"/>
    <w:rsid w:val="00835FCB"/>
    <w:rsid w:val="00835FF6"/>
    <w:rsid w:val="00836766"/>
    <w:rsid w:val="00836C1B"/>
    <w:rsid w:val="00836D0E"/>
    <w:rsid w:val="00837052"/>
    <w:rsid w:val="0083732D"/>
    <w:rsid w:val="008374BE"/>
    <w:rsid w:val="0083752E"/>
    <w:rsid w:val="00837F30"/>
    <w:rsid w:val="00840940"/>
    <w:rsid w:val="0084100D"/>
    <w:rsid w:val="008418C7"/>
    <w:rsid w:val="008424E7"/>
    <w:rsid w:val="0084299B"/>
    <w:rsid w:val="00842A32"/>
    <w:rsid w:val="00843370"/>
    <w:rsid w:val="00843C8B"/>
    <w:rsid w:val="008440DC"/>
    <w:rsid w:val="0084410A"/>
    <w:rsid w:val="0084455E"/>
    <w:rsid w:val="00844666"/>
    <w:rsid w:val="008446BC"/>
    <w:rsid w:val="008448A3"/>
    <w:rsid w:val="00844B38"/>
    <w:rsid w:val="00844D8C"/>
    <w:rsid w:val="00844DAA"/>
    <w:rsid w:val="00844E64"/>
    <w:rsid w:val="00844FB2"/>
    <w:rsid w:val="008457D9"/>
    <w:rsid w:val="008458BF"/>
    <w:rsid w:val="00845B68"/>
    <w:rsid w:val="00845CEA"/>
    <w:rsid w:val="00846256"/>
    <w:rsid w:val="008462D8"/>
    <w:rsid w:val="00846A36"/>
    <w:rsid w:val="00846C46"/>
    <w:rsid w:val="00846E6C"/>
    <w:rsid w:val="008474BC"/>
    <w:rsid w:val="00847795"/>
    <w:rsid w:val="008500DB"/>
    <w:rsid w:val="00850296"/>
    <w:rsid w:val="0085035F"/>
    <w:rsid w:val="00850AF5"/>
    <w:rsid w:val="00850BA6"/>
    <w:rsid w:val="00850C09"/>
    <w:rsid w:val="00850EF1"/>
    <w:rsid w:val="00851910"/>
    <w:rsid w:val="00851E6B"/>
    <w:rsid w:val="00852214"/>
    <w:rsid w:val="008529C8"/>
    <w:rsid w:val="008529D3"/>
    <w:rsid w:val="00853020"/>
    <w:rsid w:val="0085310C"/>
    <w:rsid w:val="0085311B"/>
    <w:rsid w:val="00853919"/>
    <w:rsid w:val="008539AC"/>
    <w:rsid w:val="008541AC"/>
    <w:rsid w:val="00854510"/>
    <w:rsid w:val="008547A0"/>
    <w:rsid w:val="00854927"/>
    <w:rsid w:val="00854D5E"/>
    <w:rsid w:val="00854DC0"/>
    <w:rsid w:val="008552A0"/>
    <w:rsid w:val="008554D8"/>
    <w:rsid w:val="0085559E"/>
    <w:rsid w:val="00855874"/>
    <w:rsid w:val="00855E38"/>
    <w:rsid w:val="008560F6"/>
    <w:rsid w:val="00856105"/>
    <w:rsid w:val="008563B5"/>
    <w:rsid w:val="00856626"/>
    <w:rsid w:val="00856B0C"/>
    <w:rsid w:val="00856EF4"/>
    <w:rsid w:val="00856F65"/>
    <w:rsid w:val="0085797C"/>
    <w:rsid w:val="00860509"/>
    <w:rsid w:val="00860610"/>
    <w:rsid w:val="00860AEA"/>
    <w:rsid w:val="008616F2"/>
    <w:rsid w:val="00861BC9"/>
    <w:rsid w:val="00862301"/>
    <w:rsid w:val="0086266A"/>
    <w:rsid w:val="00862958"/>
    <w:rsid w:val="00862AF3"/>
    <w:rsid w:val="00863391"/>
    <w:rsid w:val="00863922"/>
    <w:rsid w:val="00863BE9"/>
    <w:rsid w:val="00863D77"/>
    <w:rsid w:val="00863F23"/>
    <w:rsid w:val="00864255"/>
    <w:rsid w:val="008644EA"/>
    <w:rsid w:val="0086454B"/>
    <w:rsid w:val="008645A6"/>
    <w:rsid w:val="008649B0"/>
    <w:rsid w:val="00864A97"/>
    <w:rsid w:val="00864AF9"/>
    <w:rsid w:val="00864DE9"/>
    <w:rsid w:val="00864E25"/>
    <w:rsid w:val="00865650"/>
    <w:rsid w:val="0086573E"/>
    <w:rsid w:val="0086589B"/>
    <w:rsid w:val="00865CCB"/>
    <w:rsid w:val="00865F65"/>
    <w:rsid w:val="00866674"/>
    <w:rsid w:val="00866CE7"/>
    <w:rsid w:val="008671FA"/>
    <w:rsid w:val="00867569"/>
    <w:rsid w:val="00867B36"/>
    <w:rsid w:val="00867B8F"/>
    <w:rsid w:val="00870B01"/>
    <w:rsid w:val="00870C14"/>
    <w:rsid w:val="00871154"/>
    <w:rsid w:val="00871223"/>
    <w:rsid w:val="00872328"/>
    <w:rsid w:val="00872774"/>
    <w:rsid w:val="008728DC"/>
    <w:rsid w:val="00872D79"/>
    <w:rsid w:val="00872E42"/>
    <w:rsid w:val="00872FA7"/>
    <w:rsid w:val="00873262"/>
    <w:rsid w:val="008739AE"/>
    <w:rsid w:val="00873A5F"/>
    <w:rsid w:val="00873D4E"/>
    <w:rsid w:val="00874046"/>
    <w:rsid w:val="00874170"/>
    <w:rsid w:val="0087434C"/>
    <w:rsid w:val="008744C3"/>
    <w:rsid w:val="00875285"/>
    <w:rsid w:val="00875569"/>
    <w:rsid w:val="008758B9"/>
    <w:rsid w:val="00875978"/>
    <w:rsid w:val="00875A24"/>
    <w:rsid w:val="00875BEF"/>
    <w:rsid w:val="00875D4D"/>
    <w:rsid w:val="00875DAA"/>
    <w:rsid w:val="00876036"/>
    <w:rsid w:val="0087648D"/>
    <w:rsid w:val="00876B2C"/>
    <w:rsid w:val="00877441"/>
    <w:rsid w:val="008776A9"/>
    <w:rsid w:val="00877A5D"/>
    <w:rsid w:val="00877BC9"/>
    <w:rsid w:val="00877CE1"/>
    <w:rsid w:val="0088066A"/>
    <w:rsid w:val="00880817"/>
    <w:rsid w:val="008808E8"/>
    <w:rsid w:val="00881158"/>
    <w:rsid w:val="0088136C"/>
    <w:rsid w:val="00881649"/>
    <w:rsid w:val="00881FF6"/>
    <w:rsid w:val="0088200D"/>
    <w:rsid w:val="008822DD"/>
    <w:rsid w:val="00882462"/>
    <w:rsid w:val="00882B0A"/>
    <w:rsid w:val="00882D89"/>
    <w:rsid w:val="00883B42"/>
    <w:rsid w:val="00883C91"/>
    <w:rsid w:val="00883CF1"/>
    <w:rsid w:val="00883DAE"/>
    <w:rsid w:val="00884130"/>
    <w:rsid w:val="00884217"/>
    <w:rsid w:val="00884B84"/>
    <w:rsid w:val="00884BD4"/>
    <w:rsid w:val="00884D47"/>
    <w:rsid w:val="0088511D"/>
    <w:rsid w:val="00885330"/>
    <w:rsid w:val="008854C0"/>
    <w:rsid w:val="008854EC"/>
    <w:rsid w:val="008855AF"/>
    <w:rsid w:val="00885784"/>
    <w:rsid w:val="008857C4"/>
    <w:rsid w:val="00885826"/>
    <w:rsid w:val="00885AE5"/>
    <w:rsid w:val="00885C16"/>
    <w:rsid w:val="00885DC2"/>
    <w:rsid w:val="00885E99"/>
    <w:rsid w:val="0088675B"/>
    <w:rsid w:val="00886AA3"/>
    <w:rsid w:val="00886BB7"/>
    <w:rsid w:val="00886CD2"/>
    <w:rsid w:val="00886DF6"/>
    <w:rsid w:val="0088704D"/>
    <w:rsid w:val="00887316"/>
    <w:rsid w:val="008875C5"/>
    <w:rsid w:val="00887CBF"/>
    <w:rsid w:val="00887DD4"/>
    <w:rsid w:val="008902AC"/>
    <w:rsid w:val="00890660"/>
    <w:rsid w:val="0089070E"/>
    <w:rsid w:val="0089086E"/>
    <w:rsid w:val="00890A1A"/>
    <w:rsid w:val="00890EA0"/>
    <w:rsid w:val="00890EF9"/>
    <w:rsid w:val="0089100E"/>
    <w:rsid w:val="00891B75"/>
    <w:rsid w:val="00891CFD"/>
    <w:rsid w:val="00892122"/>
    <w:rsid w:val="0089243F"/>
    <w:rsid w:val="00892C98"/>
    <w:rsid w:val="00892D5C"/>
    <w:rsid w:val="00892E3C"/>
    <w:rsid w:val="00893587"/>
    <w:rsid w:val="0089391C"/>
    <w:rsid w:val="00893D23"/>
    <w:rsid w:val="00893D4D"/>
    <w:rsid w:val="00893D66"/>
    <w:rsid w:val="00893D9A"/>
    <w:rsid w:val="00893DB1"/>
    <w:rsid w:val="00893DBF"/>
    <w:rsid w:val="00893DD4"/>
    <w:rsid w:val="00893EC8"/>
    <w:rsid w:val="008940D3"/>
    <w:rsid w:val="00894836"/>
    <w:rsid w:val="00894F9D"/>
    <w:rsid w:val="008952A2"/>
    <w:rsid w:val="008957FC"/>
    <w:rsid w:val="00895E05"/>
    <w:rsid w:val="00895F4B"/>
    <w:rsid w:val="00896E0C"/>
    <w:rsid w:val="00896EAA"/>
    <w:rsid w:val="00897499"/>
    <w:rsid w:val="00897619"/>
    <w:rsid w:val="00897A22"/>
    <w:rsid w:val="00897B48"/>
    <w:rsid w:val="00897C76"/>
    <w:rsid w:val="00897E97"/>
    <w:rsid w:val="008A023D"/>
    <w:rsid w:val="008A05DC"/>
    <w:rsid w:val="008A0793"/>
    <w:rsid w:val="008A09AF"/>
    <w:rsid w:val="008A0F4F"/>
    <w:rsid w:val="008A1275"/>
    <w:rsid w:val="008A1490"/>
    <w:rsid w:val="008A1605"/>
    <w:rsid w:val="008A1BBD"/>
    <w:rsid w:val="008A1D22"/>
    <w:rsid w:val="008A1E76"/>
    <w:rsid w:val="008A1ED5"/>
    <w:rsid w:val="008A1F31"/>
    <w:rsid w:val="008A28FD"/>
    <w:rsid w:val="008A2ABD"/>
    <w:rsid w:val="008A3426"/>
    <w:rsid w:val="008A3757"/>
    <w:rsid w:val="008A42BF"/>
    <w:rsid w:val="008A442B"/>
    <w:rsid w:val="008A46F7"/>
    <w:rsid w:val="008A4A04"/>
    <w:rsid w:val="008A4D3D"/>
    <w:rsid w:val="008A5609"/>
    <w:rsid w:val="008A5679"/>
    <w:rsid w:val="008A5F3E"/>
    <w:rsid w:val="008A60B0"/>
    <w:rsid w:val="008A65DD"/>
    <w:rsid w:val="008A6897"/>
    <w:rsid w:val="008A6DF0"/>
    <w:rsid w:val="008A7BFB"/>
    <w:rsid w:val="008A7DC2"/>
    <w:rsid w:val="008A7DD7"/>
    <w:rsid w:val="008B002B"/>
    <w:rsid w:val="008B056E"/>
    <w:rsid w:val="008B0672"/>
    <w:rsid w:val="008B150C"/>
    <w:rsid w:val="008B15B4"/>
    <w:rsid w:val="008B1630"/>
    <w:rsid w:val="008B16FD"/>
    <w:rsid w:val="008B1791"/>
    <w:rsid w:val="008B1D9A"/>
    <w:rsid w:val="008B21A7"/>
    <w:rsid w:val="008B2226"/>
    <w:rsid w:val="008B2276"/>
    <w:rsid w:val="008B247C"/>
    <w:rsid w:val="008B2793"/>
    <w:rsid w:val="008B2C71"/>
    <w:rsid w:val="008B2F35"/>
    <w:rsid w:val="008B358B"/>
    <w:rsid w:val="008B35F3"/>
    <w:rsid w:val="008B3853"/>
    <w:rsid w:val="008B3BFC"/>
    <w:rsid w:val="008B3F26"/>
    <w:rsid w:val="008B428C"/>
    <w:rsid w:val="008B43D8"/>
    <w:rsid w:val="008B4599"/>
    <w:rsid w:val="008B4AB9"/>
    <w:rsid w:val="008B4FDD"/>
    <w:rsid w:val="008B529D"/>
    <w:rsid w:val="008B54F9"/>
    <w:rsid w:val="008B56B1"/>
    <w:rsid w:val="008B5C0B"/>
    <w:rsid w:val="008B5F08"/>
    <w:rsid w:val="008B63AF"/>
    <w:rsid w:val="008B677C"/>
    <w:rsid w:val="008B6841"/>
    <w:rsid w:val="008B6A9E"/>
    <w:rsid w:val="008B6DD6"/>
    <w:rsid w:val="008B6F1F"/>
    <w:rsid w:val="008B7334"/>
    <w:rsid w:val="008B748B"/>
    <w:rsid w:val="008B77FD"/>
    <w:rsid w:val="008B7AE6"/>
    <w:rsid w:val="008C0187"/>
    <w:rsid w:val="008C059B"/>
    <w:rsid w:val="008C065E"/>
    <w:rsid w:val="008C0F61"/>
    <w:rsid w:val="008C107F"/>
    <w:rsid w:val="008C15E2"/>
    <w:rsid w:val="008C1A8B"/>
    <w:rsid w:val="008C1D3C"/>
    <w:rsid w:val="008C1E86"/>
    <w:rsid w:val="008C1E90"/>
    <w:rsid w:val="008C1F94"/>
    <w:rsid w:val="008C204E"/>
    <w:rsid w:val="008C26C9"/>
    <w:rsid w:val="008C2C08"/>
    <w:rsid w:val="008C32CD"/>
    <w:rsid w:val="008C3341"/>
    <w:rsid w:val="008C33D4"/>
    <w:rsid w:val="008C37A6"/>
    <w:rsid w:val="008C3AC4"/>
    <w:rsid w:val="008C46D3"/>
    <w:rsid w:val="008C4876"/>
    <w:rsid w:val="008C4AF5"/>
    <w:rsid w:val="008C4EFC"/>
    <w:rsid w:val="008C51C3"/>
    <w:rsid w:val="008C5441"/>
    <w:rsid w:val="008C613E"/>
    <w:rsid w:val="008C656C"/>
    <w:rsid w:val="008C67AF"/>
    <w:rsid w:val="008C68D7"/>
    <w:rsid w:val="008C6E2F"/>
    <w:rsid w:val="008C6EF9"/>
    <w:rsid w:val="008C7331"/>
    <w:rsid w:val="008C7388"/>
    <w:rsid w:val="008C7F23"/>
    <w:rsid w:val="008D064C"/>
    <w:rsid w:val="008D0908"/>
    <w:rsid w:val="008D0EC4"/>
    <w:rsid w:val="008D104C"/>
    <w:rsid w:val="008D105F"/>
    <w:rsid w:val="008D13EC"/>
    <w:rsid w:val="008D14AB"/>
    <w:rsid w:val="008D14FD"/>
    <w:rsid w:val="008D196B"/>
    <w:rsid w:val="008D1973"/>
    <w:rsid w:val="008D1D72"/>
    <w:rsid w:val="008D202F"/>
    <w:rsid w:val="008D26B0"/>
    <w:rsid w:val="008D2FD8"/>
    <w:rsid w:val="008D4087"/>
    <w:rsid w:val="008D461E"/>
    <w:rsid w:val="008D47E1"/>
    <w:rsid w:val="008D485E"/>
    <w:rsid w:val="008D4959"/>
    <w:rsid w:val="008D4B13"/>
    <w:rsid w:val="008D4CCB"/>
    <w:rsid w:val="008D4D9B"/>
    <w:rsid w:val="008D4FFF"/>
    <w:rsid w:val="008D501E"/>
    <w:rsid w:val="008D5071"/>
    <w:rsid w:val="008D5951"/>
    <w:rsid w:val="008D59E4"/>
    <w:rsid w:val="008D5B33"/>
    <w:rsid w:val="008D5FAC"/>
    <w:rsid w:val="008D64D2"/>
    <w:rsid w:val="008D6B43"/>
    <w:rsid w:val="008D6B6F"/>
    <w:rsid w:val="008D7582"/>
    <w:rsid w:val="008D7760"/>
    <w:rsid w:val="008D7AA2"/>
    <w:rsid w:val="008E01A4"/>
    <w:rsid w:val="008E0269"/>
    <w:rsid w:val="008E0595"/>
    <w:rsid w:val="008E05C6"/>
    <w:rsid w:val="008E0F04"/>
    <w:rsid w:val="008E1138"/>
    <w:rsid w:val="008E15C7"/>
    <w:rsid w:val="008E1EED"/>
    <w:rsid w:val="008E1FBE"/>
    <w:rsid w:val="008E20D9"/>
    <w:rsid w:val="008E2BEC"/>
    <w:rsid w:val="008E2DA2"/>
    <w:rsid w:val="008E2DCA"/>
    <w:rsid w:val="008E2DD8"/>
    <w:rsid w:val="008E2F0F"/>
    <w:rsid w:val="008E30E3"/>
    <w:rsid w:val="008E329A"/>
    <w:rsid w:val="008E34BF"/>
    <w:rsid w:val="008E35D5"/>
    <w:rsid w:val="008E366C"/>
    <w:rsid w:val="008E3DFF"/>
    <w:rsid w:val="008E4426"/>
    <w:rsid w:val="008E4C99"/>
    <w:rsid w:val="008E5371"/>
    <w:rsid w:val="008E56DB"/>
    <w:rsid w:val="008E5844"/>
    <w:rsid w:val="008E5AE2"/>
    <w:rsid w:val="008E6263"/>
    <w:rsid w:val="008E65D5"/>
    <w:rsid w:val="008E65E4"/>
    <w:rsid w:val="008E6661"/>
    <w:rsid w:val="008E66C1"/>
    <w:rsid w:val="008E6757"/>
    <w:rsid w:val="008E68A4"/>
    <w:rsid w:val="008E6B2F"/>
    <w:rsid w:val="008E6BA1"/>
    <w:rsid w:val="008E6D86"/>
    <w:rsid w:val="008E76FF"/>
    <w:rsid w:val="008E7B48"/>
    <w:rsid w:val="008F0021"/>
    <w:rsid w:val="008F103E"/>
    <w:rsid w:val="008F1183"/>
    <w:rsid w:val="008F14D6"/>
    <w:rsid w:val="008F1803"/>
    <w:rsid w:val="008F1805"/>
    <w:rsid w:val="008F19AF"/>
    <w:rsid w:val="008F250F"/>
    <w:rsid w:val="008F266F"/>
    <w:rsid w:val="008F2787"/>
    <w:rsid w:val="008F2AD2"/>
    <w:rsid w:val="008F2E11"/>
    <w:rsid w:val="008F2E86"/>
    <w:rsid w:val="008F3321"/>
    <w:rsid w:val="008F3909"/>
    <w:rsid w:val="008F3AB7"/>
    <w:rsid w:val="008F3B82"/>
    <w:rsid w:val="008F3DEA"/>
    <w:rsid w:val="008F47F5"/>
    <w:rsid w:val="008F4E06"/>
    <w:rsid w:val="008F510E"/>
    <w:rsid w:val="008F56DF"/>
    <w:rsid w:val="008F596A"/>
    <w:rsid w:val="008F5BEE"/>
    <w:rsid w:val="008F5EAD"/>
    <w:rsid w:val="008F6193"/>
    <w:rsid w:val="008F6674"/>
    <w:rsid w:val="008F6793"/>
    <w:rsid w:val="008F7325"/>
    <w:rsid w:val="008F740E"/>
    <w:rsid w:val="008F74EB"/>
    <w:rsid w:val="008F778B"/>
    <w:rsid w:val="008F7799"/>
    <w:rsid w:val="008F793A"/>
    <w:rsid w:val="008F7B48"/>
    <w:rsid w:val="009002C8"/>
    <w:rsid w:val="0090089A"/>
    <w:rsid w:val="00900B37"/>
    <w:rsid w:val="00900B57"/>
    <w:rsid w:val="00900C91"/>
    <w:rsid w:val="00900F76"/>
    <w:rsid w:val="0090196F"/>
    <w:rsid w:val="00901C35"/>
    <w:rsid w:val="00901E3F"/>
    <w:rsid w:val="0090208D"/>
    <w:rsid w:val="009020B1"/>
    <w:rsid w:val="00902106"/>
    <w:rsid w:val="0090211D"/>
    <w:rsid w:val="009021FB"/>
    <w:rsid w:val="009028B4"/>
    <w:rsid w:val="009029C1"/>
    <w:rsid w:val="00902A55"/>
    <w:rsid w:val="00902D11"/>
    <w:rsid w:val="00903041"/>
    <w:rsid w:val="009030D8"/>
    <w:rsid w:val="00903183"/>
    <w:rsid w:val="0090325E"/>
    <w:rsid w:val="00903BAB"/>
    <w:rsid w:val="00903BEF"/>
    <w:rsid w:val="00904446"/>
    <w:rsid w:val="0090496D"/>
    <w:rsid w:val="00904A4C"/>
    <w:rsid w:val="00904D5C"/>
    <w:rsid w:val="00904F2C"/>
    <w:rsid w:val="0090538B"/>
    <w:rsid w:val="00905530"/>
    <w:rsid w:val="00905A20"/>
    <w:rsid w:val="00905D19"/>
    <w:rsid w:val="00905D8B"/>
    <w:rsid w:val="00905DB4"/>
    <w:rsid w:val="009060EA"/>
    <w:rsid w:val="00906585"/>
    <w:rsid w:val="0090683D"/>
    <w:rsid w:val="0090684E"/>
    <w:rsid w:val="00906EE5"/>
    <w:rsid w:val="009071C3"/>
    <w:rsid w:val="009072B1"/>
    <w:rsid w:val="0090753C"/>
    <w:rsid w:val="00907566"/>
    <w:rsid w:val="00907C04"/>
    <w:rsid w:val="009100D4"/>
    <w:rsid w:val="0091052B"/>
    <w:rsid w:val="009107B5"/>
    <w:rsid w:val="009110CD"/>
    <w:rsid w:val="0091126C"/>
    <w:rsid w:val="0091172C"/>
    <w:rsid w:val="00911778"/>
    <w:rsid w:val="00911962"/>
    <w:rsid w:val="00911D16"/>
    <w:rsid w:val="00911E1D"/>
    <w:rsid w:val="00911F94"/>
    <w:rsid w:val="0091256D"/>
    <w:rsid w:val="00912D82"/>
    <w:rsid w:val="009138CB"/>
    <w:rsid w:val="00913A06"/>
    <w:rsid w:val="00913A13"/>
    <w:rsid w:val="0091467E"/>
    <w:rsid w:val="00914D41"/>
    <w:rsid w:val="00914E24"/>
    <w:rsid w:val="00914E4E"/>
    <w:rsid w:val="00914E9B"/>
    <w:rsid w:val="00914EB9"/>
    <w:rsid w:val="00914F9A"/>
    <w:rsid w:val="009153BE"/>
    <w:rsid w:val="00915D05"/>
    <w:rsid w:val="0091638D"/>
    <w:rsid w:val="00916994"/>
    <w:rsid w:val="00916BE2"/>
    <w:rsid w:val="00916CB7"/>
    <w:rsid w:val="00916CBA"/>
    <w:rsid w:val="00916D3A"/>
    <w:rsid w:val="009173A7"/>
    <w:rsid w:val="00917404"/>
    <w:rsid w:val="00917890"/>
    <w:rsid w:val="009179A5"/>
    <w:rsid w:val="00917A91"/>
    <w:rsid w:val="00917E3C"/>
    <w:rsid w:val="00917F61"/>
    <w:rsid w:val="009201F3"/>
    <w:rsid w:val="00920548"/>
    <w:rsid w:val="0092076F"/>
    <w:rsid w:val="00921DFF"/>
    <w:rsid w:val="00922005"/>
    <w:rsid w:val="009222E3"/>
    <w:rsid w:val="009228F8"/>
    <w:rsid w:val="00922CBC"/>
    <w:rsid w:val="00922D5D"/>
    <w:rsid w:val="009232E3"/>
    <w:rsid w:val="00923C76"/>
    <w:rsid w:val="0092422A"/>
    <w:rsid w:val="009242C8"/>
    <w:rsid w:val="00924747"/>
    <w:rsid w:val="009247E2"/>
    <w:rsid w:val="0092485F"/>
    <w:rsid w:val="00924EBB"/>
    <w:rsid w:val="009252D5"/>
    <w:rsid w:val="009252F5"/>
    <w:rsid w:val="00925500"/>
    <w:rsid w:val="009255A3"/>
    <w:rsid w:val="009256F4"/>
    <w:rsid w:val="0092578C"/>
    <w:rsid w:val="00925825"/>
    <w:rsid w:val="00925931"/>
    <w:rsid w:val="0092624C"/>
    <w:rsid w:val="00926278"/>
    <w:rsid w:val="0092633C"/>
    <w:rsid w:val="00926F21"/>
    <w:rsid w:val="00927043"/>
    <w:rsid w:val="00927D5F"/>
    <w:rsid w:val="009300E7"/>
    <w:rsid w:val="00930443"/>
    <w:rsid w:val="009304CA"/>
    <w:rsid w:val="00930D61"/>
    <w:rsid w:val="00931230"/>
    <w:rsid w:val="009312C6"/>
    <w:rsid w:val="0093149B"/>
    <w:rsid w:val="0093150E"/>
    <w:rsid w:val="00931681"/>
    <w:rsid w:val="00931750"/>
    <w:rsid w:val="00931864"/>
    <w:rsid w:val="00931A4A"/>
    <w:rsid w:val="00931A52"/>
    <w:rsid w:val="00931AA9"/>
    <w:rsid w:val="009320B4"/>
    <w:rsid w:val="00932589"/>
    <w:rsid w:val="0093263B"/>
    <w:rsid w:val="00932735"/>
    <w:rsid w:val="00932814"/>
    <w:rsid w:val="009328FD"/>
    <w:rsid w:val="009332CC"/>
    <w:rsid w:val="009332E3"/>
    <w:rsid w:val="00933808"/>
    <w:rsid w:val="00933920"/>
    <w:rsid w:val="009339D1"/>
    <w:rsid w:val="00933AE0"/>
    <w:rsid w:val="00933B84"/>
    <w:rsid w:val="00933DCF"/>
    <w:rsid w:val="009340B9"/>
    <w:rsid w:val="0093434A"/>
    <w:rsid w:val="00935605"/>
    <w:rsid w:val="00935A53"/>
    <w:rsid w:val="00935E38"/>
    <w:rsid w:val="009362A2"/>
    <w:rsid w:val="009368CC"/>
    <w:rsid w:val="00937042"/>
    <w:rsid w:val="00937197"/>
    <w:rsid w:val="009377EB"/>
    <w:rsid w:val="009378C5"/>
    <w:rsid w:val="00937F92"/>
    <w:rsid w:val="00937FA1"/>
    <w:rsid w:val="009400D8"/>
    <w:rsid w:val="009400F8"/>
    <w:rsid w:val="0094012C"/>
    <w:rsid w:val="00940C75"/>
    <w:rsid w:val="00940D1D"/>
    <w:rsid w:val="00940D67"/>
    <w:rsid w:val="009410B4"/>
    <w:rsid w:val="00941266"/>
    <w:rsid w:val="009416D2"/>
    <w:rsid w:val="00941887"/>
    <w:rsid w:val="00941A97"/>
    <w:rsid w:val="00941C6A"/>
    <w:rsid w:val="00941D7C"/>
    <w:rsid w:val="00941F2D"/>
    <w:rsid w:val="0094204A"/>
    <w:rsid w:val="009420B6"/>
    <w:rsid w:val="00942190"/>
    <w:rsid w:val="00942226"/>
    <w:rsid w:val="009424A1"/>
    <w:rsid w:val="009437C0"/>
    <w:rsid w:val="00943AE3"/>
    <w:rsid w:val="00943D39"/>
    <w:rsid w:val="00943FD3"/>
    <w:rsid w:val="0094418E"/>
    <w:rsid w:val="00944760"/>
    <w:rsid w:val="00944B60"/>
    <w:rsid w:val="00944D54"/>
    <w:rsid w:val="0094543C"/>
    <w:rsid w:val="00945573"/>
    <w:rsid w:val="00945635"/>
    <w:rsid w:val="009457DC"/>
    <w:rsid w:val="0094585B"/>
    <w:rsid w:val="00945A56"/>
    <w:rsid w:val="00945C82"/>
    <w:rsid w:val="00945D5B"/>
    <w:rsid w:val="00945EF3"/>
    <w:rsid w:val="00945F3C"/>
    <w:rsid w:val="00946593"/>
    <w:rsid w:val="00946F0B"/>
    <w:rsid w:val="00947124"/>
    <w:rsid w:val="009474FF"/>
    <w:rsid w:val="00947C92"/>
    <w:rsid w:val="00947E92"/>
    <w:rsid w:val="00950047"/>
    <w:rsid w:val="0095009A"/>
    <w:rsid w:val="009500E5"/>
    <w:rsid w:val="00950156"/>
    <w:rsid w:val="00950276"/>
    <w:rsid w:val="00950683"/>
    <w:rsid w:val="0095078A"/>
    <w:rsid w:val="009509D1"/>
    <w:rsid w:val="00950A25"/>
    <w:rsid w:val="00950B57"/>
    <w:rsid w:val="00950E0B"/>
    <w:rsid w:val="00950FEA"/>
    <w:rsid w:val="009512FD"/>
    <w:rsid w:val="00951312"/>
    <w:rsid w:val="00951567"/>
    <w:rsid w:val="0095176A"/>
    <w:rsid w:val="009517A9"/>
    <w:rsid w:val="009519DE"/>
    <w:rsid w:val="0095293A"/>
    <w:rsid w:val="0095294B"/>
    <w:rsid w:val="00952A84"/>
    <w:rsid w:val="00952AC4"/>
    <w:rsid w:val="00952BAD"/>
    <w:rsid w:val="00952BDD"/>
    <w:rsid w:val="00952BE7"/>
    <w:rsid w:val="00952EDD"/>
    <w:rsid w:val="009530CB"/>
    <w:rsid w:val="00953128"/>
    <w:rsid w:val="0095317B"/>
    <w:rsid w:val="009535A3"/>
    <w:rsid w:val="00953789"/>
    <w:rsid w:val="00953D1A"/>
    <w:rsid w:val="0095451F"/>
    <w:rsid w:val="009545C8"/>
    <w:rsid w:val="00954A36"/>
    <w:rsid w:val="00954CAB"/>
    <w:rsid w:val="0095581E"/>
    <w:rsid w:val="009558B9"/>
    <w:rsid w:val="00955C21"/>
    <w:rsid w:val="009562F0"/>
    <w:rsid w:val="00957355"/>
    <w:rsid w:val="00957C5C"/>
    <w:rsid w:val="00957CA4"/>
    <w:rsid w:val="00957D26"/>
    <w:rsid w:val="00957F68"/>
    <w:rsid w:val="00960BE2"/>
    <w:rsid w:val="009615ED"/>
    <w:rsid w:val="00961AEC"/>
    <w:rsid w:val="00962402"/>
    <w:rsid w:val="009626A0"/>
    <w:rsid w:val="00963670"/>
    <w:rsid w:val="0096384E"/>
    <w:rsid w:val="009639EC"/>
    <w:rsid w:val="00963E47"/>
    <w:rsid w:val="0096426F"/>
    <w:rsid w:val="0096437F"/>
    <w:rsid w:val="00964940"/>
    <w:rsid w:val="00964CE1"/>
    <w:rsid w:val="00964D09"/>
    <w:rsid w:val="00964FA9"/>
    <w:rsid w:val="00965051"/>
    <w:rsid w:val="009651F3"/>
    <w:rsid w:val="00965426"/>
    <w:rsid w:val="00966057"/>
    <w:rsid w:val="00966C70"/>
    <w:rsid w:val="00966E2E"/>
    <w:rsid w:val="00967767"/>
    <w:rsid w:val="00967C45"/>
    <w:rsid w:val="00967FFE"/>
    <w:rsid w:val="009700C6"/>
    <w:rsid w:val="00970463"/>
    <w:rsid w:val="00970F26"/>
    <w:rsid w:val="00970F7A"/>
    <w:rsid w:val="00971249"/>
    <w:rsid w:val="009713E2"/>
    <w:rsid w:val="009713EB"/>
    <w:rsid w:val="00971542"/>
    <w:rsid w:val="0097162A"/>
    <w:rsid w:val="009716C2"/>
    <w:rsid w:val="00971820"/>
    <w:rsid w:val="009719F5"/>
    <w:rsid w:val="00971A72"/>
    <w:rsid w:val="00971B17"/>
    <w:rsid w:val="00972AB3"/>
    <w:rsid w:val="00972D11"/>
    <w:rsid w:val="009732D3"/>
    <w:rsid w:val="0097387A"/>
    <w:rsid w:val="00973CC3"/>
    <w:rsid w:val="00974580"/>
    <w:rsid w:val="009746F2"/>
    <w:rsid w:val="00974E97"/>
    <w:rsid w:val="009750CE"/>
    <w:rsid w:val="009750ED"/>
    <w:rsid w:val="009760C9"/>
    <w:rsid w:val="0097639B"/>
    <w:rsid w:val="00977177"/>
    <w:rsid w:val="009775A5"/>
    <w:rsid w:val="009779F0"/>
    <w:rsid w:val="00977D2D"/>
    <w:rsid w:val="00977D37"/>
    <w:rsid w:val="0098054D"/>
    <w:rsid w:val="009806B3"/>
    <w:rsid w:val="00980A19"/>
    <w:rsid w:val="00980A8D"/>
    <w:rsid w:val="0098101A"/>
    <w:rsid w:val="00981476"/>
    <w:rsid w:val="009815E1"/>
    <w:rsid w:val="00981786"/>
    <w:rsid w:val="0098182E"/>
    <w:rsid w:val="00981863"/>
    <w:rsid w:val="00981CA2"/>
    <w:rsid w:val="00981F6D"/>
    <w:rsid w:val="00982029"/>
    <w:rsid w:val="0098206A"/>
    <w:rsid w:val="00982C7E"/>
    <w:rsid w:val="00982FCD"/>
    <w:rsid w:val="009834D4"/>
    <w:rsid w:val="00983666"/>
    <w:rsid w:val="009839EF"/>
    <w:rsid w:val="009840DE"/>
    <w:rsid w:val="00984511"/>
    <w:rsid w:val="009847E7"/>
    <w:rsid w:val="00984BC1"/>
    <w:rsid w:val="00985065"/>
    <w:rsid w:val="00985419"/>
    <w:rsid w:val="00985823"/>
    <w:rsid w:val="009859C6"/>
    <w:rsid w:val="00985AC2"/>
    <w:rsid w:val="00985D0E"/>
    <w:rsid w:val="009864BD"/>
    <w:rsid w:val="00986C5F"/>
    <w:rsid w:val="00986CAB"/>
    <w:rsid w:val="0098720E"/>
    <w:rsid w:val="00987673"/>
    <w:rsid w:val="0098791C"/>
    <w:rsid w:val="00987AFC"/>
    <w:rsid w:val="00987CAE"/>
    <w:rsid w:val="0099000E"/>
    <w:rsid w:val="009902F5"/>
    <w:rsid w:val="00990815"/>
    <w:rsid w:val="00990B70"/>
    <w:rsid w:val="00991377"/>
    <w:rsid w:val="00991549"/>
    <w:rsid w:val="009919F6"/>
    <w:rsid w:val="009923BA"/>
    <w:rsid w:val="0099288F"/>
    <w:rsid w:val="009929A8"/>
    <w:rsid w:val="00992A2A"/>
    <w:rsid w:val="00992B2A"/>
    <w:rsid w:val="00992DF1"/>
    <w:rsid w:val="00992E8D"/>
    <w:rsid w:val="00992F12"/>
    <w:rsid w:val="009934B3"/>
    <w:rsid w:val="00993584"/>
    <w:rsid w:val="00993E93"/>
    <w:rsid w:val="009940A9"/>
    <w:rsid w:val="00994838"/>
    <w:rsid w:val="00994D0D"/>
    <w:rsid w:val="00994E66"/>
    <w:rsid w:val="009950DE"/>
    <w:rsid w:val="00995301"/>
    <w:rsid w:val="009954EF"/>
    <w:rsid w:val="00995877"/>
    <w:rsid w:val="009960C7"/>
    <w:rsid w:val="009963D0"/>
    <w:rsid w:val="0099690E"/>
    <w:rsid w:val="00996DF5"/>
    <w:rsid w:val="00996E79"/>
    <w:rsid w:val="00996FFF"/>
    <w:rsid w:val="00997009"/>
    <w:rsid w:val="00997075"/>
    <w:rsid w:val="00997409"/>
    <w:rsid w:val="0099745B"/>
    <w:rsid w:val="00997A85"/>
    <w:rsid w:val="009A0255"/>
    <w:rsid w:val="009A09BA"/>
    <w:rsid w:val="009A0CCE"/>
    <w:rsid w:val="009A106B"/>
    <w:rsid w:val="009A1123"/>
    <w:rsid w:val="009A11BF"/>
    <w:rsid w:val="009A1470"/>
    <w:rsid w:val="009A15A5"/>
    <w:rsid w:val="009A1731"/>
    <w:rsid w:val="009A1A3F"/>
    <w:rsid w:val="009A20A7"/>
    <w:rsid w:val="009A2CA8"/>
    <w:rsid w:val="009A31AC"/>
    <w:rsid w:val="009A329D"/>
    <w:rsid w:val="009A3358"/>
    <w:rsid w:val="009A3656"/>
    <w:rsid w:val="009A38CA"/>
    <w:rsid w:val="009A39D7"/>
    <w:rsid w:val="009A3A4E"/>
    <w:rsid w:val="009A3A54"/>
    <w:rsid w:val="009A3F9D"/>
    <w:rsid w:val="009A43AD"/>
    <w:rsid w:val="009A449D"/>
    <w:rsid w:val="009A45B2"/>
    <w:rsid w:val="009A4CA1"/>
    <w:rsid w:val="009A4D54"/>
    <w:rsid w:val="009A4F00"/>
    <w:rsid w:val="009A5194"/>
    <w:rsid w:val="009A51FA"/>
    <w:rsid w:val="009A5426"/>
    <w:rsid w:val="009A5613"/>
    <w:rsid w:val="009A5942"/>
    <w:rsid w:val="009A5986"/>
    <w:rsid w:val="009A5DB5"/>
    <w:rsid w:val="009A5F00"/>
    <w:rsid w:val="009A5FA0"/>
    <w:rsid w:val="009A6403"/>
    <w:rsid w:val="009A6ACE"/>
    <w:rsid w:val="009A7204"/>
    <w:rsid w:val="009A781F"/>
    <w:rsid w:val="009A7951"/>
    <w:rsid w:val="009A7B58"/>
    <w:rsid w:val="009B00D2"/>
    <w:rsid w:val="009B06F9"/>
    <w:rsid w:val="009B107B"/>
    <w:rsid w:val="009B1213"/>
    <w:rsid w:val="009B12C4"/>
    <w:rsid w:val="009B14E9"/>
    <w:rsid w:val="009B15A7"/>
    <w:rsid w:val="009B16C8"/>
    <w:rsid w:val="009B16EC"/>
    <w:rsid w:val="009B1A30"/>
    <w:rsid w:val="009B1A4F"/>
    <w:rsid w:val="009B1AE9"/>
    <w:rsid w:val="009B2268"/>
    <w:rsid w:val="009B2368"/>
    <w:rsid w:val="009B23BF"/>
    <w:rsid w:val="009B25AB"/>
    <w:rsid w:val="009B26ED"/>
    <w:rsid w:val="009B2C52"/>
    <w:rsid w:val="009B2D78"/>
    <w:rsid w:val="009B3584"/>
    <w:rsid w:val="009B36A3"/>
    <w:rsid w:val="009B379D"/>
    <w:rsid w:val="009B3BA5"/>
    <w:rsid w:val="009B442E"/>
    <w:rsid w:val="009B450D"/>
    <w:rsid w:val="009B4595"/>
    <w:rsid w:val="009B4846"/>
    <w:rsid w:val="009B4A5B"/>
    <w:rsid w:val="009B4DA9"/>
    <w:rsid w:val="009B5105"/>
    <w:rsid w:val="009B52D6"/>
    <w:rsid w:val="009B5969"/>
    <w:rsid w:val="009B5C4F"/>
    <w:rsid w:val="009B64E8"/>
    <w:rsid w:val="009B64F0"/>
    <w:rsid w:val="009B66B5"/>
    <w:rsid w:val="009B67B7"/>
    <w:rsid w:val="009B68AD"/>
    <w:rsid w:val="009B7301"/>
    <w:rsid w:val="009B756A"/>
    <w:rsid w:val="009B79DE"/>
    <w:rsid w:val="009B7AEE"/>
    <w:rsid w:val="009C099F"/>
    <w:rsid w:val="009C0B4E"/>
    <w:rsid w:val="009C105E"/>
    <w:rsid w:val="009C1461"/>
    <w:rsid w:val="009C16D3"/>
    <w:rsid w:val="009C2117"/>
    <w:rsid w:val="009C26BB"/>
    <w:rsid w:val="009C2F36"/>
    <w:rsid w:val="009C34B2"/>
    <w:rsid w:val="009C3B91"/>
    <w:rsid w:val="009C4065"/>
    <w:rsid w:val="009C4684"/>
    <w:rsid w:val="009C4928"/>
    <w:rsid w:val="009C4970"/>
    <w:rsid w:val="009C4CF0"/>
    <w:rsid w:val="009C5130"/>
    <w:rsid w:val="009C516C"/>
    <w:rsid w:val="009C57C7"/>
    <w:rsid w:val="009C5ADD"/>
    <w:rsid w:val="009C5BEF"/>
    <w:rsid w:val="009C5F42"/>
    <w:rsid w:val="009C6175"/>
    <w:rsid w:val="009C6D71"/>
    <w:rsid w:val="009C7697"/>
    <w:rsid w:val="009C7865"/>
    <w:rsid w:val="009C7A65"/>
    <w:rsid w:val="009C7B40"/>
    <w:rsid w:val="009C7E44"/>
    <w:rsid w:val="009D0B78"/>
    <w:rsid w:val="009D12C7"/>
    <w:rsid w:val="009D149B"/>
    <w:rsid w:val="009D165E"/>
    <w:rsid w:val="009D1E1A"/>
    <w:rsid w:val="009D2339"/>
    <w:rsid w:val="009D2682"/>
    <w:rsid w:val="009D2D85"/>
    <w:rsid w:val="009D36CD"/>
    <w:rsid w:val="009D3884"/>
    <w:rsid w:val="009D393A"/>
    <w:rsid w:val="009D39B2"/>
    <w:rsid w:val="009D3B53"/>
    <w:rsid w:val="009D3BFC"/>
    <w:rsid w:val="009D3C27"/>
    <w:rsid w:val="009D3F93"/>
    <w:rsid w:val="009D3FB7"/>
    <w:rsid w:val="009D4172"/>
    <w:rsid w:val="009D4C00"/>
    <w:rsid w:val="009D52EA"/>
    <w:rsid w:val="009D53A3"/>
    <w:rsid w:val="009D543C"/>
    <w:rsid w:val="009D5CAC"/>
    <w:rsid w:val="009D5E25"/>
    <w:rsid w:val="009D6083"/>
    <w:rsid w:val="009D60E2"/>
    <w:rsid w:val="009D623B"/>
    <w:rsid w:val="009D6AE9"/>
    <w:rsid w:val="009D6CD1"/>
    <w:rsid w:val="009D6E89"/>
    <w:rsid w:val="009D7135"/>
    <w:rsid w:val="009D7334"/>
    <w:rsid w:val="009D73B1"/>
    <w:rsid w:val="009D7BCA"/>
    <w:rsid w:val="009D7EB6"/>
    <w:rsid w:val="009E0258"/>
    <w:rsid w:val="009E031D"/>
    <w:rsid w:val="009E0B1B"/>
    <w:rsid w:val="009E0B78"/>
    <w:rsid w:val="009E0E16"/>
    <w:rsid w:val="009E1939"/>
    <w:rsid w:val="009E1B14"/>
    <w:rsid w:val="009E1B7D"/>
    <w:rsid w:val="009E1D95"/>
    <w:rsid w:val="009E2060"/>
    <w:rsid w:val="009E2300"/>
    <w:rsid w:val="009E25E1"/>
    <w:rsid w:val="009E2B93"/>
    <w:rsid w:val="009E2C80"/>
    <w:rsid w:val="009E31D9"/>
    <w:rsid w:val="009E3686"/>
    <w:rsid w:val="009E394B"/>
    <w:rsid w:val="009E3ACE"/>
    <w:rsid w:val="009E3CAA"/>
    <w:rsid w:val="009E3D58"/>
    <w:rsid w:val="009E4186"/>
    <w:rsid w:val="009E418A"/>
    <w:rsid w:val="009E4399"/>
    <w:rsid w:val="009E43EB"/>
    <w:rsid w:val="009E4AE3"/>
    <w:rsid w:val="009E4CCF"/>
    <w:rsid w:val="009E4D22"/>
    <w:rsid w:val="009E4EFD"/>
    <w:rsid w:val="009E50D4"/>
    <w:rsid w:val="009E545D"/>
    <w:rsid w:val="009E55C1"/>
    <w:rsid w:val="009E5650"/>
    <w:rsid w:val="009E56AE"/>
    <w:rsid w:val="009E5AD8"/>
    <w:rsid w:val="009E624C"/>
    <w:rsid w:val="009E66A4"/>
    <w:rsid w:val="009E6B25"/>
    <w:rsid w:val="009E6BAF"/>
    <w:rsid w:val="009E6CAA"/>
    <w:rsid w:val="009E7228"/>
    <w:rsid w:val="009E72BA"/>
    <w:rsid w:val="009E78EB"/>
    <w:rsid w:val="009E7A8D"/>
    <w:rsid w:val="009E7B61"/>
    <w:rsid w:val="009E7BEB"/>
    <w:rsid w:val="009F0282"/>
    <w:rsid w:val="009F0678"/>
    <w:rsid w:val="009F0D07"/>
    <w:rsid w:val="009F0DC3"/>
    <w:rsid w:val="009F191D"/>
    <w:rsid w:val="009F196F"/>
    <w:rsid w:val="009F1BC0"/>
    <w:rsid w:val="009F24E5"/>
    <w:rsid w:val="009F24FE"/>
    <w:rsid w:val="009F2B23"/>
    <w:rsid w:val="009F2B9B"/>
    <w:rsid w:val="009F2D6F"/>
    <w:rsid w:val="009F3893"/>
    <w:rsid w:val="009F38B5"/>
    <w:rsid w:val="009F392F"/>
    <w:rsid w:val="009F3DBD"/>
    <w:rsid w:val="009F4029"/>
    <w:rsid w:val="009F4B05"/>
    <w:rsid w:val="009F4C84"/>
    <w:rsid w:val="009F4D94"/>
    <w:rsid w:val="009F5180"/>
    <w:rsid w:val="009F54FA"/>
    <w:rsid w:val="009F5824"/>
    <w:rsid w:val="009F59DE"/>
    <w:rsid w:val="009F59FB"/>
    <w:rsid w:val="009F5C5C"/>
    <w:rsid w:val="009F5E23"/>
    <w:rsid w:val="009F628C"/>
    <w:rsid w:val="009F62FE"/>
    <w:rsid w:val="009F6626"/>
    <w:rsid w:val="009F669B"/>
    <w:rsid w:val="009F6898"/>
    <w:rsid w:val="009F6B49"/>
    <w:rsid w:val="009F6CA0"/>
    <w:rsid w:val="009F6F61"/>
    <w:rsid w:val="009F7034"/>
    <w:rsid w:val="009F7868"/>
    <w:rsid w:val="009F78D0"/>
    <w:rsid w:val="009F7977"/>
    <w:rsid w:val="009F7CBD"/>
    <w:rsid w:val="009F7CFF"/>
    <w:rsid w:val="00A0059E"/>
    <w:rsid w:val="00A00710"/>
    <w:rsid w:val="00A0096D"/>
    <w:rsid w:val="00A00B03"/>
    <w:rsid w:val="00A00D11"/>
    <w:rsid w:val="00A00DBF"/>
    <w:rsid w:val="00A00F18"/>
    <w:rsid w:val="00A01B0D"/>
    <w:rsid w:val="00A01C62"/>
    <w:rsid w:val="00A02069"/>
    <w:rsid w:val="00A0263F"/>
    <w:rsid w:val="00A029F1"/>
    <w:rsid w:val="00A02C31"/>
    <w:rsid w:val="00A03300"/>
    <w:rsid w:val="00A0381A"/>
    <w:rsid w:val="00A03921"/>
    <w:rsid w:val="00A03A8E"/>
    <w:rsid w:val="00A03E22"/>
    <w:rsid w:val="00A05A2C"/>
    <w:rsid w:val="00A05E84"/>
    <w:rsid w:val="00A05F91"/>
    <w:rsid w:val="00A06020"/>
    <w:rsid w:val="00A0634F"/>
    <w:rsid w:val="00A06564"/>
    <w:rsid w:val="00A067D8"/>
    <w:rsid w:val="00A06816"/>
    <w:rsid w:val="00A0688E"/>
    <w:rsid w:val="00A06F3D"/>
    <w:rsid w:val="00A0701B"/>
    <w:rsid w:val="00A07325"/>
    <w:rsid w:val="00A07925"/>
    <w:rsid w:val="00A07B70"/>
    <w:rsid w:val="00A07DA7"/>
    <w:rsid w:val="00A10658"/>
    <w:rsid w:val="00A10E83"/>
    <w:rsid w:val="00A11023"/>
    <w:rsid w:val="00A11076"/>
    <w:rsid w:val="00A1162A"/>
    <w:rsid w:val="00A118E2"/>
    <w:rsid w:val="00A1194F"/>
    <w:rsid w:val="00A11B80"/>
    <w:rsid w:val="00A11BDF"/>
    <w:rsid w:val="00A12389"/>
    <w:rsid w:val="00A12693"/>
    <w:rsid w:val="00A1281F"/>
    <w:rsid w:val="00A12874"/>
    <w:rsid w:val="00A12906"/>
    <w:rsid w:val="00A12E84"/>
    <w:rsid w:val="00A13277"/>
    <w:rsid w:val="00A133E0"/>
    <w:rsid w:val="00A13660"/>
    <w:rsid w:val="00A13917"/>
    <w:rsid w:val="00A13BFE"/>
    <w:rsid w:val="00A13C14"/>
    <w:rsid w:val="00A13DDE"/>
    <w:rsid w:val="00A13EDB"/>
    <w:rsid w:val="00A1457B"/>
    <w:rsid w:val="00A14C18"/>
    <w:rsid w:val="00A14FA5"/>
    <w:rsid w:val="00A15511"/>
    <w:rsid w:val="00A15870"/>
    <w:rsid w:val="00A158DC"/>
    <w:rsid w:val="00A16246"/>
    <w:rsid w:val="00A17178"/>
    <w:rsid w:val="00A17195"/>
    <w:rsid w:val="00A1738C"/>
    <w:rsid w:val="00A176A0"/>
    <w:rsid w:val="00A176C5"/>
    <w:rsid w:val="00A17BA2"/>
    <w:rsid w:val="00A201F5"/>
    <w:rsid w:val="00A20789"/>
    <w:rsid w:val="00A20D09"/>
    <w:rsid w:val="00A20E48"/>
    <w:rsid w:val="00A21343"/>
    <w:rsid w:val="00A21577"/>
    <w:rsid w:val="00A2174F"/>
    <w:rsid w:val="00A21A08"/>
    <w:rsid w:val="00A21A3F"/>
    <w:rsid w:val="00A222EA"/>
    <w:rsid w:val="00A22A68"/>
    <w:rsid w:val="00A2335C"/>
    <w:rsid w:val="00A233F7"/>
    <w:rsid w:val="00A235DA"/>
    <w:rsid w:val="00A23717"/>
    <w:rsid w:val="00A23762"/>
    <w:rsid w:val="00A23D89"/>
    <w:rsid w:val="00A23EEC"/>
    <w:rsid w:val="00A23F3A"/>
    <w:rsid w:val="00A2433C"/>
    <w:rsid w:val="00A24894"/>
    <w:rsid w:val="00A26405"/>
    <w:rsid w:val="00A268A1"/>
    <w:rsid w:val="00A2691D"/>
    <w:rsid w:val="00A26A83"/>
    <w:rsid w:val="00A26EF8"/>
    <w:rsid w:val="00A271CC"/>
    <w:rsid w:val="00A273C6"/>
    <w:rsid w:val="00A2755D"/>
    <w:rsid w:val="00A276BC"/>
    <w:rsid w:val="00A2777E"/>
    <w:rsid w:val="00A27DCD"/>
    <w:rsid w:val="00A30CBA"/>
    <w:rsid w:val="00A30FB1"/>
    <w:rsid w:val="00A31411"/>
    <w:rsid w:val="00A318A2"/>
    <w:rsid w:val="00A31A4B"/>
    <w:rsid w:val="00A323D0"/>
    <w:rsid w:val="00A32641"/>
    <w:rsid w:val="00A3264A"/>
    <w:rsid w:val="00A32B39"/>
    <w:rsid w:val="00A32BD6"/>
    <w:rsid w:val="00A32C36"/>
    <w:rsid w:val="00A32CA5"/>
    <w:rsid w:val="00A32E85"/>
    <w:rsid w:val="00A3322C"/>
    <w:rsid w:val="00A33332"/>
    <w:rsid w:val="00A33F57"/>
    <w:rsid w:val="00A34BE1"/>
    <w:rsid w:val="00A34DDD"/>
    <w:rsid w:val="00A353E5"/>
    <w:rsid w:val="00A355D1"/>
    <w:rsid w:val="00A35643"/>
    <w:rsid w:val="00A35B02"/>
    <w:rsid w:val="00A35CEE"/>
    <w:rsid w:val="00A361F0"/>
    <w:rsid w:val="00A362EB"/>
    <w:rsid w:val="00A36901"/>
    <w:rsid w:val="00A36910"/>
    <w:rsid w:val="00A36988"/>
    <w:rsid w:val="00A3760C"/>
    <w:rsid w:val="00A37769"/>
    <w:rsid w:val="00A378A8"/>
    <w:rsid w:val="00A37B2E"/>
    <w:rsid w:val="00A37C5E"/>
    <w:rsid w:val="00A37D41"/>
    <w:rsid w:val="00A37E23"/>
    <w:rsid w:val="00A401FD"/>
    <w:rsid w:val="00A4028E"/>
    <w:rsid w:val="00A409C4"/>
    <w:rsid w:val="00A40AF0"/>
    <w:rsid w:val="00A40C95"/>
    <w:rsid w:val="00A40DA4"/>
    <w:rsid w:val="00A411B5"/>
    <w:rsid w:val="00A41272"/>
    <w:rsid w:val="00A413BE"/>
    <w:rsid w:val="00A41CE9"/>
    <w:rsid w:val="00A4202D"/>
    <w:rsid w:val="00A42119"/>
    <w:rsid w:val="00A427A0"/>
    <w:rsid w:val="00A42BE7"/>
    <w:rsid w:val="00A42D2D"/>
    <w:rsid w:val="00A42D40"/>
    <w:rsid w:val="00A42D43"/>
    <w:rsid w:val="00A42E9B"/>
    <w:rsid w:val="00A43160"/>
    <w:rsid w:val="00A4363A"/>
    <w:rsid w:val="00A44219"/>
    <w:rsid w:val="00A44428"/>
    <w:rsid w:val="00A446DC"/>
    <w:rsid w:val="00A44A15"/>
    <w:rsid w:val="00A44FE2"/>
    <w:rsid w:val="00A4547B"/>
    <w:rsid w:val="00A457A9"/>
    <w:rsid w:val="00A45F4C"/>
    <w:rsid w:val="00A465B2"/>
    <w:rsid w:val="00A46C73"/>
    <w:rsid w:val="00A47208"/>
    <w:rsid w:val="00A47C55"/>
    <w:rsid w:val="00A508B6"/>
    <w:rsid w:val="00A50B0F"/>
    <w:rsid w:val="00A5100A"/>
    <w:rsid w:val="00A518A6"/>
    <w:rsid w:val="00A51B3E"/>
    <w:rsid w:val="00A51D48"/>
    <w:rsid w:val="00A52969"/>
    <w:rsid w:val="00A5301D"/>
    <w:rsid w:val="00A53021"/>
    <w:rsid w:val="00A53052"/>
    <w:rsid w:val="00A530EC"/>
    <w:rsid w:val="00A53235"/>
    <w:rsid w:val="00A534CA"/>
    <w:rsid w:val="00A538AA"/>
    <w:rsid w:val="00A53AFB"/>
    <w:rsid w:val="00A53BC2"/>
    <w:rsid w:val="00A53D10"/>
    <w:rsid w:val="00A53EC3"/>
    <w:rsid w:val="00A5448B"/>
    <w:rsid w:val="00A54932"/>
    <w:rsid w:val="00A54F4C"/>
    <w:rsid w:val="00A54F54"/>
    <w:rsid w:val="00A54FCC"/>
    <w:rsid w:val="00A5521D"/>
    <w:rsid w:val="00A552E6"/>
    <w:rsid w:val="00A55325"/>
    <w:rsid w:val="00A554C9"/>
    <w:rsid w:val="00A556AD"/>
    <w:rsid w:val="00A5571D"/>
    <w:rsid w:val="00A55B88"/>
    <w:rsid w:val="00A55FA2"/>
    <w:rsid w:val="00A56C3C"/>
    <w:rsid w:val="00A5753B"/>
    <w:rsid w:val="00A5793C"/>
    <w:rsid w:val="00A5794C"/>
    <w:rsid w:val="00A57C41"/>
    <w:rsid w:val="00A60306"/>
    <w:rsid w:val="00A60625"/>
    <w:rsid w:val="00A607B9"/>
    <w:rsid w:val="00A6088B"/>
    <w:rsid w:val="00A608C7"/>
    <w:rsid w:val="00A61250"/>
    <w:rsid w:val="00A6132F"/>
    <w:rsid w:val="00A61726"/>
    <w:rsid w:val="00A617ED"/>
    <w:rsid w:val="00A61C2B"/>
    <w:rsid w:val="00A61E4F"/>
    <w:rsid w:val="00A623BE"/>
    <w:rsid w:val="00A628EC"/>
    <w:rsid w:val="00A62BF5"/>
    <w:rsid w:val="00A636A7"/>
    <w:rsid w:val="00A638FE"/>
    <w:rsid w:val="00A63A15"/>
    <w:rsid w:val="00A63B02"/>
    <w:rsid w:val="00A644AB"/>
    <w:rsid w:val="00A64762"/>
    <w:rsid w:val="00A64B7E"/>
    <w:rsid w:val="00A65A4D"/>
    <w:rsid w:val="00A65FA3"/>
    <w:rsid w:val="00A65FF3"/>
    <w:rsid w:val="00A6659F"/>
    <w:rsid w:val="00A66C63"/>
    <w:rsid w:val="00A66E7C"/>
    <w:rsid w:val="00A671C1"/>
    <w:rsid w:val="00A674E8"/>
    <w:rsid w:val="00A677A1"/>
    <w:rsid w:val="00A6790A"/>
    <w:rsid w:val="00A67E94"/>
    <w:rsid w:val="00A70487"/>
    <w:rsid w:val="00A70621"/>
    <w:rsid w:val="00A7064F"/>
    <w:rsid w:val="00A7098E"/>
    <w:rsid w:val="00A70BC5"/>
    <w:rsid w:val="00A70E19"/>
    <w:rsid w:val="00A7100A"/>
    <w:rsid w:val="00A71111"/>
    <w:rsid w:val="00A71400"/>
    <w:rsid w:val="00A7191B"/>
    <w:rsid w:val="00A71C05"/>
    <w:rsid w:val="00A71D1B"/>
    <w:rsid w:val="00A71EE4"/>
    <w:rsid w:val="00A71F78"/>
    <w:rsid w:val="00A728EB"/>
    <w:rsid w:val="00A72A49"/>
    <w:rsid w:val="00A72A8A"/>
    <w:rsid w:val="00A72E6D"/>
    <w:rsid w:val="00A72F5B"/>
    <w:rsid w:val="00A73079"/>
    <w:rsid w:val="00A732EF"/>
    <w:rsid w:val="00A73720"/>
    <w:rsid w:val="00A73B87"/>
    <w:rsid w:val="00A73C24"/>
    <w:rsid w:val="00A73FB0"/>
    <w:rsid w:val="00A746FC"/>
    <w:rsid w:val="00A74BB0"/>
    <w:rsid w:val="00A74BFA"/>
    <w:rsid w:val="00A74D2D"/>
    <w:rsid w:val="00A74F96"/>
    <w:rsid w:val="00A75377"/>
    <w:rsid w:val="00A75598"/>
    <w:rsid w:val="00A7566F"/>
    <w:rsid w:val="00A75C60"/>
    <w:rsid w:val="00A75CAF"/>
    <w:rsid w:val="00A75CFC"/>
    <w:rsid w:val="00A765CE"/>
    <w:rsid w:val="00A767B0"/>
    <w:rsid w:val="00A76E91"/>
    <w:rsid w:val="00A772CA"/>
    <w:rsid w:val="00A77497"/>
    <w:rsid w:val="00A7760E"/>
    <w:rsid w:val="00A77642"/>
    <w:rsid w:val="00A77785"/>
    <w:rsid w:val="00A777BA"/>
    <w:rsid w:val="00A777F6"/>
    <w:rsid w:val="00A7786F"/>
    <w:rsid w:val="00A77FE8"/>
    <w:rsid w:val="00A80297"/>
    <w:rsid w:val="00A80B5E"/>
    <w:rsid w:val="00A811F0"/>
    <w:rsid w:val="00A81320"/>
    <w:rsid w:val="00A81640"/>
    <w:rsid w:val="00A81651"/>
    <w:rsid w:val="00A81659"/>
    <w:rsid w:val="00A81964"/>
    <w:rsid w:val="00A81A78"/>
    <w:rsid w:val="00A81BF9"/>
    <w:rsid w:val="00A81DC3"/>
    <w:rsid w:val="00A82333"/>
    <w:rsid w:val="00A82866"/>
    <w:rsid w:val="00A82A4F"/>
    <w:rsid w:val="00A82C91"/>
    <w:rsid w:val="00A82D84"/>
    <w:rsid w:val="00A83BB0"/>
    <w:rsid w:val="00A84203"/>
    <w:rsid w:val="00A845B1"/>
    <w:rsid w:val="00A85207"/>
    <w:rsid w:val="00A8532A"/>
    <w:rsid w:val="00A858D5"/>
    <w:rsid w:val="00A85A24"/>
    <w:rsid w:val="00A85FAE"/>
    <w:rsid w:val="00A85FD8"/>
    <w:rsid w:val="00A8622E"/>
    <w:rsid w:val="00A8630E"/>
    <w:rsid w:val="00A86CCB"/>
    <w:rsid w:val="00A86F8A"/>
    <w:rsid w:val="00A877E6"/>
    <w:rsid w:val="00A87EE0"/>
    <w:rsid w:val="00A87F9F"/>
    <w:rsid w:val="00A9064C"/>
    <w:rsid w:val="00A907B6"/>
    <w:rsid w:val="00A90DFA"/>
    <w:rsid w:val="00A911DF"/>
    <w:rsid w:val="00A915A6"/>
    <w:rsid w:val="00A916BA"/>
    <w:rsid w:val="00A91829"/>
    <w:rsid w:val="00A919BD"/>
    <w:rsid w:val="00A91A8B"/>
    <w:rsid w:val="00A91C5E"/>
    <w:rsid w:val="00A921DC"/>
    <w:rsid w:val="00A92760"/>
    <w:rsid w:val="00A9288D"/>
    <w:rsid w:val="00A929E6"/>
    <w:rsid w:val="00A92C7A"/>
    <w:rsid w:val="00A92D63"/>
    <w:rsid w:val="00A93068"/>
    <w:rsid w:val="00A936DB"/>
    <w:rsid w:val="00A936DF"/>
    <w:rsid w:val="00A9371E"/>
    <w:rsid w:val="00A944A9"/>
    <w:rsid w:val="00A946DC"/>
    <w:rsid w:val="00A94762"/>
    <w:rsid w:val="00A949F0"/>
    <w:rsid w:val="00A94AE5"/>
    <w:rsid w:val="00A94D3B"/>
    <w:rsid w:val="00A950BA"/>
    <w:rsid w:val="00A966D0"/>
    <w:rsid w:val="00A96911"/>
    <w:rsid w:val="00A96A25"/>
    <w:rsid w:val="00A96BA8"/>
    <w:rsid w:val="00A96F25"/>
    <w:rsid w:val="00A973CF"/>
    <w:rsid w:val="00A977B6"/>
    <w:rsid w:val="00A97A12"/>
    <w:rsid w:val="00A97DC8"/>
    <w:rsid w:val="00A97EEB"/>
    <w:rsid w:val="00AA0BBC"/>
    <w:rsid w:val="00AA0FCE"/>
    <w:rsid w:val="00AA1357"/>
    <w:rsid w:val="00AA13A6"/>
    <w:rsid w:val="00AA167E"/>
    <w:rsid w:val="00AA18C1"/>
    <w:rsid w:val="00AA1965"/>
    <w:rsid w:val="00AA1974"/>
    <w:rsid w:val="00AA1D49"/>
    <w:rsid w:val="00AA206C"/>
    <w:rsid w:val="00AA2284"/>
    <w:rsid w:val="00AA2537"/>
    <w:rsid w:val="00AA255E"/>
    <w:rsid w:val="00AA2930"/>
    <w:rsid w:val="00AA2B55"/>
    <w:rsid w:val="00AA2B6A"/>
    <w:rsid w:val="00AA2C06"/>
    <w:rsid w:val="00AA2C9C"/>
    <w:rsid w:val="00AA30D1"/>
    <w:rsid w:val="00AA32BA"/>
    <w:rsid w:val="00AA3E19"/>
    <w:rsid w:val="00AA3EF7"/>
    <w:rsid w:val="00AA4025"/>
    <w:rsid w:val="00AA4059"/>
    <w:rsid w:val="00AA433B"/>
    <w:rsid w:val="00AA48C2"/>
    <w:rsid w:val="00AA4C8F"/>
    <w:rsid w:val="00AA509D"/>
    <w:rsid w:val="00AA559B"/>
    <w:rsid w:val="00AA5976"/>
    <w:rsid w:val="00AA5B7E"/>
    <w:rsid w:val="00AA5C63"/>
    <w:rsid w:val="00AA5CC0"/>
    <w:rsid w:val="00AA5DA9"/>
    <w:rsid w:val="00AA607D"/>
    <w:rsid w:val="00AA6464"/>
    <w:rsid w:val="00AA6615"/>
    <w:rsid w:val="00AA6B9B"/>
    <w:rsid w:val="00AA6D65"/>
    <w:rsid w:val="00AA7286"/>
    <w:rsid w:val="00AA767E"/>
    <w:rsid w:val="00AA7775"/>
    <w:rsid w:val="00AA7812"/>
    <w:rsid w:val="00AA7BA1"/>
    <w:rsid w:val="00AA7E4D"/>
    <w:rsid w:val="00AB056E"/>
    <w:rsid w:val="00AB066B"/>
    <w:rsid w:val="00AB07B4"/>
    <w:rsid w:val="00AB0F83"/>
    <w:rsid w:val="00AB12BF"/>
    <w:rsid w:val="00AB143C"/>
    <w:rsid w:val="00AB1CAD"/>
    <w:rsid w:val="00AB1DE9"/>
    <w:rsid w:val="00AB1E97"/>
    <w:rsid w:val="00AB219B"/>
    <w:rsid w:val="00AB21D7"/>
    <w:rsid w:val="00AB235F"/>
    <w:rsid w:val="00AB237A"/>
    <w:rsid w:val="00AB287A"/>
    <w:rsid w:val="00AB2A8C"/>
    <w:rsid w:val="00AB3095"/>
    <w:rsid w:val="00AB35D1"/>
    <w:rsid w:val="00AB36EE"/>
    <w:rsid w:val="00AB3A28"/>
    <w:rsid w:val="00AB3BAF"/>
    <w:rsid w:val="00AB3C73"/>
    <w:rsid w:val="00AB3F76"/>
    <w:rsid w:val="00AB402E"/>
    <w:rsid w:val="00AB421B"/>
    <w:rsid w:val="00AB43D6"/>
    <w:rsid w:val="00AB48E1"/>
    <w:rsid w:val="00AB49DD"/>
    <w:rsid w:val="00AB4D96"/>
    <w:rsid w:val="00AB4F51"/>
    <w:rsid w:val="00AB53F9"/>
    <w:rsid w:val="00AB5A2D"/>
    <w:rsid w:val="00AB5ACD"/>
    <w:rsid w:val="00AB618C"/>
    <w:rsid w:val="00AB6CB2"/>
    <w:rsid w:val="00AB704D"/>
    <w:rsid w:val="00AB715C"/>
    <w:rsid w:val="00AB7352"/>
    <w:rsid w:val="00AB7359"/>
    <w:rsid w:val="00AB7EBE"/>
    <w:rsid w:val="00AB7FAE"/>
    <w:rsid w:val="00AC0C9A"/>
    <w:rsid w:val="00AC0D85"/>
    <w:rsid w:val="00AC1261"/>
    <w:rsid w:val="00AC162B"/>
    <w:rsid w:val="00AC19F3"/>
    <w:rsid w:val="00AC1AED"/>
    <w:rsid w:val="00AC1C27"/>
    <w:rsid w:val="00AC1F3A"/>
    <w:rsid w:val="00AC2013"/>
    <w:rsid w:val="00AC2414"/>
    <w:rsid w:val="00AC24F9"/>
    <w:rsid w:val="00AC25EA"/>
    <w:rsid w:val="00AC2B9B"/>
    <w:rsid w:val="00AC2D0B"/>
    <w:rsid w:val="00AC314B"/>
    <w:rsid w:val="00AC3155"/>
    <w:rsid w:val="00AC3997"/>
    <w:rsid w:val="00AC3BA4"/>
    <w:rsid w:val="00AC3DC7"/>
    <w:rsid w:val="00AC410E"/>
    <w:rsid w:val="00AC4354"/>
    <w:rsid w:val="00AC444E"/>
    <w:rsid w:val="00AC455B"/>
    <w:rsid w:val="00AC45D6"/>
    <w:rsid w:val="00AC45D8"/>
    <w:rsid w:val="00AC467F"/>
    <w:rsid w:val="00AC47A5"/>
    <w:rsid w:val="00AC493F"/>
    <w:rsid w:val="00AC4A9B"/>
    <w:rsid w:val="00AC4B62"/>
    <w:rsid w:val="00AC4D9D"/>
    <w:rsid w:val="00AC4F35"/>
    <w:rsid w:val="00AC57E7"/>
    <w:rsid w:val="00AC59E8"/>
    <w:rsid w:val="00AC5B7E"/>
    <w:rsid w:val="00AC5ED6"/>
    <w:rsid w:val="00AC65A1"/>
    <w:rsid w:val="00AC6F59"/>
    <w:rsid w:val="00AC721C"/>
    <w:rsid w:val="00AC7503"/>
    <w:rsid w:val="00AC7983"/>
    <w:rsid w:val="00AC7BD2"/>
    <w:rsid w:val="00AC7C59"/>
    <w:rsid w:val="00AC7C60"/>
    <w:rsid w:val="00AC7EBC"/>
    <w:rsid w:val="00AC7EC8"/>
    <w:rsid w:val="00AD01E7"/>
    <w:rsid w:val="00AD021F"/>
    <w:rsid w:val="00AD0366"/>
    <w:rsid w:val="00AD043C"/>
    <w:rsid w:val="00AD0535"/>
    <w:rsid w:val="00AD054D"/>
    <w:rsid w:val="00AD0639"/>
    <w:rsid w:val="00AD06D4"/>
    <w:rsid w:val="00AD07EB"/>
    <w:rsid w:val="00AD08CC"/>
    <w:rsid w:val="00AD1524"/>
    <w:rsid w:val="00AD190C"/>
    <w:rsid w:val="00AD19FE"/>
    <w:rsid w:val="00AD1A7B"/>
    <w:rsid w:val="00AD1EF0"/>
    <w:rsid w:val="00AD1F25"/>
    <w:rsid w:val="00AD241B"/>
    <w:rsid w:val="00AD26EC"/>
    <w:rsid w:val="00AD277E"/>
    <w:rsid w:val="00AD308E"/>
    <w:rsid w:val="00AD3541"/>
    <w:rsid w:val="00AD3A19"/>
    <w:rsid w:val="00AD3F9A"/>
    <w:rsid w:val="00AD448A"/>
    <w:rsid w:val="00AD4883"/>
    <w:rsid w:val="00AD4887"/>
    <w:rsid w:val="00AD4930"/>
    <w:rsid w:val="00AD495D"/>
    <w:rsid w:val="00AD4AD0"/>
    <w:rsid w:val="00AD4FF0"/>
    <w:rsid w:val="00AD51C9"/>
    <w:rsid w:val="00AD5319"/>
    <w:rsid w:val="00AD5A25"/>
    <w:rsid w:val="00AD5B92"/>
    <w:rsid w:val="00AD64FF"/>
    <w:rsid w:val="00AD6560"/>
    <w:rsid w:val="00AD666E"/>
    <w:rsid w:val="00AD68BA"/>
    <w:rsid w:val="00AD68F3"/>
    <w:rsid w:val="00AD6946"/>
    <w:rsid w:val="00AD7570"/>
    <w:rsid w:val="00AD76CE"/>
    <w:rsid w:val="00AD791E"/>
    <w:rsid w:val="00AD7F16"/>
    <w:rsid w:val="00AE0873"/>
    <w:rsid w:val="00AE0F26"/>
    <w:rsid w:val="00AE1052"/>
    <w:rsid w:val="00AE11BC"/>
    <w:rsid w:val="00AE120F"/>
    <w:rsid w:val="00AE150F"/>
    <w:rsid w:val="00AE1531"/>
    <w:rsid w:val="00AE1993"/>
    <w:rsid w:val="00AE20AE"/>
    <w:rsid w:val="00AE21EF"/>
    <w:rsid w:val="00AE25C6"/>
    <w:rsid w:val="00AE2827"/>
    <w:rsid w:val="00AE2985"/>
    <w:rsid w:val="00AE2AE2"/>
    <w:rsid w:val="00AE2B36"/>
    <w:rsid w:val="00AE2DBD"/>
    <w:rsid w:val="00AE3310"/>
    <w:rsid w:val="00AE3B0E"/>
    <w:rsid w:val="00AE3D07"/>
    <w:rsid w:val="00AE41D9"/>
    <w:rsid w:val="00AE44A0"/>
    <w:rsid w:val="00AE46FA"/>
    <w:rsid w:val="00AE4737"/>
    <w:rsid w:val="00AE47FC"/>
    <w:rsid w:val="00AE4AEF"/>
    <w:rsid w:val="00AE4E5E"/>
    <w:rsid w:val="00AE4FA7"/>
    <w:rsid w:val="00AE573B"/>
    <w:rsid w:val="00AE58CB"/>
    <w:rsid w:val="00AE5DFF"/>
    <w:rsid w:val="00AE6210"/>
    <w:rsid w:val="00AE6242"/>
    <w:rsid w:val="00AE62FD"/>
    <w:rsid w:val="00AE6539"/>
    <w:rsid w:val="00AE656B"/>
    <w:rsid w:val="00AE6700"/>
    <w:rsid w:val="00AE7411"/>
    <w:rsid w:val="00AE7446"/>
    <w:rsid w:val="00AE75D2"/>
    <w:rsid w:val="00AE765C"/>
    <w:rsid w:val="00AE768A"/>
    <w:rsid w:val="00AE7F61"/>
    <w:rsid w:val="00AF03AD"/>
    <w:rsid w:val="00AF068F"/>
    <w:rsid w:val="00AF06D0"/>
    <w:rsid w:val="00AF087A"/>
    <w:rsid w:val="00AF09B8"/>
    <w:rsid w:val="00AF09C5"/>
    <w:rsid w:val="00AF0CE2"/>
    <w:rsid w:val="00AF0FC7"/>
    <w:rsid w:val="00AF1144"/>
    <w:rsid w:val="00AF14E1"/>
    <w:rsid w:val="00AF1871"/>
    <w:rsid w:val="00AF1E01"/>
    <w:rsid w:val="00AF20FA"/>
    <w:rsid w:val="00AF223D"/>
    <w:rsid w:val="00AF2284"/>
    <w:rsid w:val="00AF241A"/>
    <w:rsid w:val="00AF260E"/>
    <w:rsid w:val="00AF2962"/>
    <w:rsid w:val="00AF2A30"/>
    <w:rsid w:val="00AF2AEF"/>
    <w:rsid w:val="00AF2D6A"/>
    <w:rsid w:val="00AF30F9"/>
    <w:rsid w:val="00AF37B5"/>
    <w:rsid w:val="00AF3A27"/>
    <w:rsid w:val="00AF4435"/>
    <w:rsid w:val="00AF5125"/>
    <w:rsid w:val="00AF5219"/>
    <w:rsid w:val="00AF53E2"/>
    <w:rsid w:val="00AF5838"/>
    <w:rsid w:val="00AF5E89"/>
    <w:rsid w:val="00AF5FCD"/>
    <w:rsid w:val="00AF6857"/>
    <w:rsid w:val="00AF6B72"/>
    <w:rsid w:val="00AF71C2"/>
    <w:rsid w:val="00AF78D3"/>
    <w:rsid w:val="00AF7E02"/>
    <w:rsid w:val="00B00643"/>
    <w:rsid w:val="00B013A6"/>
    <w:rsid w:val="00B013E4"/>
    <w:rsid w:val="00B01478"/>
    <w:rsid w:val="00B01767"/>
    <w:rsid w:val="00B01DA1"/>
    <w:rsid w:val="00B01E91"/>
    <w:rsid w:val="00B02201"/>
    <w:rsid w:val="00B0231A"/>
    <w:rsid w:val="00B024F9"/>
    <w:rsid w:val="00B029D5"/>
    <w:rsid w:val="00B02A1D"/>
    <w:rsid w:val="00B02C00"/>
    <w:rsid w:val="00B03284"/>
    <w:rsid w:val="00B03682"/>
    <w:rsid w:val="00B0387A"/>
    <w:rsid w:val="00B03885"/>
    <w:rsid w:val="00B03971"/>
    <w:rsid w:val="00B03ABC"/>
    <w:rsid w:val="00B03B28"/>
    <w:rsid w:val="00B040EB"/>
    <w:rsid w:val="00B04134"/>
    <w:rsid w:val="00B0444D"/>
    <w:rsid w:val="00B04734"/>
    <w:rsid w:val="00B0487C"/>
    <w:rsid w:val="00B04931"/>
    <w:rsid w:val="00B0495E"/>
    <w:rsid w:val="00B050CE"/>
    <w:rsid w:val="00B0516E"/>
    <w:rsid w:val="00B05486"/>
    <w:rsid w:val="00B05516"/>
    <w:rsid w:val="00B056EB"/>
    <w:rsid w:val="00B06364"/>
    <w:rsid w:val="00B06A5E"/>
    <w:rsid w:val="00B06B7C"/>
    <w:rsid w:val="00B06CAF"/>
    <w:rsid w:val="00B06FCB"/>
    <w:rsid w:val="00B07033"/>
    <w:rsid w:val="00B072EB"/>
    <w:rsid w:val="00B0756D"/>
    <w:rsid w:val="00B07650"/>
    <w:rsid w:val="00B07781"/>
    <w:rsid w:val="00B07EEF"/>
    <w:rsid w:val="00B07F14"/>
    <w:rsid w:val="00B07F74"/>
    <w:rsid w:val="00B10000"/>
    <w:rsid w:val="00B106BA"/>
    <w:rsid w:val="00B108E0"/>
    <w:rsid w:val="00B10AF5"/>
    <w:rsid w:val="00B10E00"/>
    <w:rsid w:val="00B11168"/>
    <w:rsid w:val="00B111B0"/>
    <w:rsid w:val="00B11B85"/>
    <w:rsid w:val="00B11D20"/>
    <w:rsid w:val="00B11DF9"/>
    <w:rsid w:val="00B12044"/>
    <w:rsid w:val="00B123EC"/>
    <w:rsid w:val="00B12A91"/>
    <w:rsid w:val="00B133B2"/>
    <w:rsid w:val="00B1342D"/>
    <w:rsid w:val="00B13502"/>
    <w:rsid w:val="00B13578"/>
    <w:rsid w:val="00B13681"/>
    <w:rsid w:val="00B139CA"/>
    <w:rsid w:val="00B13CC0"/>
    <w:rsid w:val="00B13D27"/>
    <w:rsid w:val="00B1434D"/>
    <w:rsid w:val="00B14D66"/>
    <w:rsid w:val="00B15417"/>
    <w:rsid w:val="00B1581B"/>
    <w:rsid w:val="00B158B4"/>
    <w:rsid w:val="00B1592E"/>
    <w:rsid w:val="00B15A96"/>
    <w:rsid w:val="00B15B2F"/>
    <w:rsid w:val="00B15C63"/>
    <w:rsid w:val="00B15FA1"/>
    <w:rsid w:val="00B16493"/>
    <w:rsid w:val="00B16637"/>
    <w:rsid w:val="00B17474"/>
    <w:rsid w:val="00B1749E"/>
    <w:rsid w:val="00B17C6A"/>
    <w:rsid w:val="00B17DEB"/>
    <w:rsid w:val="00B20401"/>
    <w:rsid w:val="00B20BE8"/>
    <w:rsid w:val="00B210C5"/>
    <w:rsid w:val="00B2133A"/>
    <w:rsid w:val="00B213BF"/>
    <w:rsid w:val="00B213FD"/>
    <w:rsid w:val="00B22437"/>
    <w:rsid w:val="00B2269C"/>
    <w:rsid w:val="00B2277D"/>
    <w:rsid w:val="00B22781"/>
    <w:rsid w:val="00B22ED9"/>
    <w:rsid w:val="00B23469"/>
    <w:rsid w:val="00B239FB"/>
    <w:rsid w:val="00B23C63"/>
    <w:rsid w:val="00B23D62"/>
    <w:rsid w:val="00B23FD0"/>
    <w:rsid w:val="00B2440E"/>
    <w:rsid w:val="00B24419"/>
    <w:rsid w:val="00B2489A"/>
    <w:rsid w:val="00B24E27"/>
    <w:rsid w:val="00B25287"/>
    <w:rsid w:val="00B25AA1"/>
    <w:rsid w:val="00B25BE2"/>
    <w:rsid w:val="00B25F21"/>
    <w:rsid w:val="00B2609A"/>
    <w:rsid w:val="00B26101"/>
    <w:rsid w:val="00B26344"/>
    <w:rsid w:val="00B2654F"/>
    <w:rsid w:val="00B266F0"/>
    <w:rsid w:val="00B26805"/>
    <w:rsid w:val="00B26CB8"/>
    <w:rsid w:val="00B26D8B"/>
    <w:rsid w:val="00B276C1"/>
    <w:rsid w:val="00B277DB"/>
    <w:rsid w:val="00B27E0D"/>
    <w:rsid w:val="00B3013F"/>
    <w:rsid w:val="00B30377"/>
    <w:rsid w:val="00B30DB4"/>
    <w:rsid w:val="00B3170B"/>
    <w:rsid w:val="00B317F6"/>
    <w:rsid w:val="00B319E9"/>
    <w:rsid w:val="00B31DCA"/>
    <w:rsid w:val="00B320EF"/>
    <w:rsid w:val="00B320FB"/>
    <w:rsid w:val="00B321E2"/>
    <w:rsid w:val="00B32209"/>
    <w:rsid w:val="00B325E7"/>
    <w:rsid w:val="00B325EC"/>
    <w:rsid w:val="00B327F8"/>
    <w:rsid w:val="00B328D6"/>
    <w:rsid w:val="00B32F56"/>
    <w:rsid w:val="00B33673"/>
    <w:rsid w:val="00B33820"/>
    <w:rsid w:val="00B33FC9"/>
    <w:rsid w:val="00B33FE2"/>
    <w:rsid w:val="00B344B8"/>
    <w:rsid w:val="00B3460B"/>
    <w:rsid w:val="00B34837"/>
    <w:rsid w:val="00B34906"/>
    <w:rsid w:val="00B34E20"/>
    <w:rsid w:val="00B353D7"/>
    <w:rsid w:val="00B35471"/>
    <w:rsid w:val="00B35EA8"/>
    <w:rsid w:val="00B3627F"/>
    <w:rsid w:val="00B36C3A"/>
    <w:rsid w:val="00B36C77"/>
    <w:rsid w:val="00B3715E"/>
    <w:rsid w:val="00B37269"/>
    <w:rsid w:val="00B37302"/>
    <w:rsid w:val="00B37F68"/>
    <w:rsid w:val="00B403A6"/>
    <w:rsid w:val="00B4058A"/>
    <w:rsid w:val="00B4059F"/>
    <w:rsid w:val="00B40605"/>
    <w:rsid w:val="00B40A6A"/>
    <w:rsid w:val="00B40C7B"/>
    <w:rsid w:val="00B40E85"/>
    <w:rsid w:val="00B41393"/>
    <w:rsid w:val="00B41ED6"/>
    <w:rsid w:val="00B41F5D"/>
    <w:rsid w:val="00B42184"/>
    <w:rsid w:val="00B4229F"/>
    <w:rsid w:val="00B436ED"/>
    <w:rsid w:val="00B43A05"/>
    <w:rsid w:val="00B43EFC"/>
    <w:rsid w:val="00B44A57"/>
    <w:rsid w:val="00B44A6F"/>
    <w:rsid w:val="00B44FE3"/>
    <w:rsid w:val="00B453E6"/>
    <w:rsid w:val="00B45969"/>
    <w:rsid w:val="00B45E8A"/>
    <w:rsid w:val="00B463BA"/>
    <w:rsid w:val="00B4647D"/>
    <w:rsid w:val="00B47303"/>
    <w:rsid w:val="00B47525"/>
    <w:rsid w:val="00B47E29"/>
    <w:rsid w:val="00B502DF"/>
    <w:rsid w:val="00B5038A"/>
    <w:rsid w:val="00B5038E"/>
    <w:rsid w:val="00B50CF5"/>
    <w:rsid w:val="00B51128"/>
    <w:rsid w:val="00B51AB1"/>
    <w:rsid w:val="00B51CFA"/>
    <w:rsid w:val="00B51DB8"/>
    <w:rsid w:val="00B520D8"/>
    <w:rsid w:val="00B528D7"/>
    <w:rsid w:val="00B528FB"/>
    <w:rsid w:val="00B52926"/>
    <w:rsid w:val="00B52D5C"/>
    <w:rsid w:val="00B53473"/>
    <w:rsid w:val="00B534AF"/>
    <w:rsid w:val="00B5379E"/>
    <w:rsid w:val="00B53A44"/>
    <w:rsid w:val="00B53B7F"/>
    <w:rsid w:val="00B53D46"/>
    <w:rsid w:val="00B54562"/>
    <w:rsid w:val="00B54DE2"/>
    <w:rsid w:val="00B54F9D"/>
    <w:rsid w:val="00B555F4"/>
    <w:rsid w:val="00B556C3"/>
    <w:rsid w:val="00B556E3"/>
    <w:rsid w:val="00B55856"/>
    <w:rsid w:val="00B559E2"/>
    <w:rsid w:val="00B55A66"/>
    <w:rsid w:val="00B55B35"/>
    <w:rsid w:val="00B561D9"/>
    <w:rsid w:val="00B56200"/>
    <w:rsid w:val="00B563E6"/>
    <w:rsid w:val="00B56C01"/>
    <w:rsid w:val="00B56C16"/>
    <w:rsid w:val="00B57723"/>
    <w:rsid w:val="00B57764"/>
    <w:rsid w:val="00B578FA"/>
    <w:rsid w:val="00B602D8"/>
    <w:rsid w:val="00B607CD"/>
    <w:rsid w:val="00B6086F"/>
    <w:rsid w:val="00B609A7"/>
    <w:rsid w:val="00B61A83"/>
    <w:rsid w:val="00B61C7F"/>
    <w:rsid w:val="00B6217C"/>
    <w:rsid w:val="00B623A9"/>
    <w:rsid w:val="00B62E75"/>
    <w:rsid w:val="00B634C1"/>
    <w:rsid w:val="00B635E0"/>
    <w:rsid w:val="00B63DB3"/>
    <w:rsid w:val="00B63FB8"/>
    <w:rsid w:val="00B63FF0"/>
    <w:rsid w:val="00B6435A"/>
    <w:rsid w:val="00B6477D"/>
    <w:rsid w:val="00B64B0E"/>
    <w:rsid w:val="00B64D95"/>
    <w:rsid w:val="00B651F1"/>
    <w:rsid w:val="00B65306"/>
    <w:rsid w:val="00B6531D"/>
    <w:rsid w:val="00B65362"/>
    <w:rsid w:val="00B65629"/>
    <w:rsid w:val="00B65646"/>
    <w:rsid w:val="00B660A0"/>
    <w:rsid w:val="00B66391"/>
    <w:rsid w:val="00B666E7"/>
    <w:rsid w:val="00B6680D"/>
    <w:rsid w:val="00B677E0"/>
    <w:rsid w:val="00B6781D"/>
    <w:rsid w:val="00B67863"/>
    <w:rsid w:val="00B6799E"/>
    <w:rsid w:val="00B67CED"/>
    <w:rsid w:val="00B70065"/>
    <w:rsid w:val="00B70406"/>
    <w:rsid w:val="00B70682"/>
    <w:rsid w:val="00B70FED"/>
    <w:rsid w:val="00B71534"/>
    <w:rsid w:val="00B71A5E"/>
    <w:rsid w:val="00B71BA3"/>
    <w:rsid w:val="00B71E52"/>
    <w:rsid w:val="00B71EC6"/>
    <w:rsid w:val="00B7213F"/>
    <w:rsid w:val="00B722E8"/>
    <w:rsid w:val="00B72438"/>
    <w:rsid w:val="00B72756"/>
    <w:rsid w:val="00B729E9"/>
    <w:rsid w:val="00B72B41"/>
    <w:rsid w:val="00B72D03"/>
    <w:rsid w:val="00B73575"/>
    <w:rsid w:val="00B7383B"/>
    <w:rsid w:val="00B73A8F"/>
    <w:rsid w:val="00B73E29"/>
    <w:rsid w:val="00B74260"/>
    <w:rsid w:val="00B7426F"/>
    <w:rsid w:val="00B742FE"/>
    <w:rsid w:val="00B7449A"/>
    <w:rsid w:val="00B747F2"/>
    <w:rsid w:val="00B7482A"/>
    <w:rsid w:val="00B74A35"/>
    <w:rsid w:val="00B74B32"/>
    <w:rsid w:val="00B751CA"/>
    <w:rsid w:val="00B753A7"/>
    <w:rsid w:val="00B758D1"/>
    <w:rsid w:val="00B75CFE"/>
    <w:rsid w:val="00B75DBE"/>
    <w:rsid w:val="00B761A6"/>
    <w:rsid w:val="00B76AAA"/>
    <w:rsid w:val="00B77B97"/>
    <w:rsid w:val="00B804FB"/>
    <w:rsid w:val="00B80531"/>
    <w:rsid w:val="00B8055B"/>
    <w:rsid w:val="00B80A45"/>
    <w:rsid w:val="00B80D51"/>
    <w:rsid w:val="00B815E9"/>
    <w:rsid w:val="00B81895"/>
    <w:rsid w:val="00B818CB"/>
    <w:rsid w:val="00B81C70"/>
    <w:rsid w:val="00B81F65"/>
    <w:rsid w:val="00B82066"/>
    <w:rsid w:val="00B8206B"/>
    <w:rsid w:val="00B820EB"/>
    <w:rsid w:val="00B82239"/>
    <w:rsid w:val="00B8238F"/>
    <w:rsid w:val="00B82631"/>
    <w:rsid w:val="00B828B1"/>
    <w:rsid w:val="00B82B79"/>
    <w:rsid w:val="00B83F4D"/>
    <w:rsid w:val="00B83F56"/>
    <w:rsid w:val="00B842E6"/>
    <w:rsid w:val="00B8435E"/>
    <w:rsid w:val="00B84379"/>
    <w:rsid w:val="00B84CD7"/>
    <w:rsid w:val="00B84D2B"/>
    <w:rsid w:val="00B85124"/>
    <w:rsid w:val="00B85371"/>
    <w:rsid w:val="00B85400"/>
    <w:rsid w:val="00B854F6"/>
    <w:rsid w:val="00B859E4"/>
    <w:rsid w:val="00B85C2C"/>
    <w:rsid w:val="00B86025"/>
    <w:rsid w:val="00B8639E"/>
    <w:rsid w:val="00B8693C"/>
    <w:rsid w:val="00B87310"/>
    <w:rsid w:val="00B87451"/>
    <w:rsid w:val="00B8779A"/>
    <w:rsid w:val="00B879BE"/>
    <w:rsid w:val="00B87F7D"/>
    <w:rsid w:val="00B90055"/>
    <w:rsid w:val="00B900BA"/>
    <w:rsid w:val="00B90702"/>
    <w:rsid w:val="00B90776"/>
    <w:rsid w:val="00B907C3"/>
    <w:rsid w:val="00B90B26"/>
    <w:rsid w:val="00B90C67"/>
    <w:rsid w:val="00B90F2A"/>
    <w:rsid w:val="00B90F47"/>
    <w:rsid w:val="00B910DB"/>
    <w:rsid w:val="00B914AA"/>
    <w:rsid w:val="00B91ACB"/>
    <w:rsid w:val="00B91B28"/>
    <w:rsid w:val="00B91D30"/>
    <w:rsid w:val="00B91F9E"/>
    <w:rsid w:val="00B92049"/>
    <w:rsid w:val="00B9230E"/>
    <w:rsid w:val="00B9274D"/>
    <w:rsid w:val="00B92EC2"/>
    <w:rsid w:val="00B92FFC"/>
    <w:rsid w:val="00B93546"/>
    <w:rsid w:val="00B93689"/>
    <w:rsid w:val="00B936A7"/>
    <w:rsid w:val="00B93C59"/>
    <w:rsid w:val="00B93D8B"/>
    <w:rsid w:val="00B94302"/>
    <w:rsid w:val="00B94437"/>
    <w:rsid w:val="00B944DE"/>
    <w:rsid w:val="00B9454E"/>
    <w:rsid w:val="00B94B60"/>
    <w:rsid w:val="00B9501A"/>
    <w:rsid w:val="00B9506C"/>
    <w:rsid w:val="00B95E86"/>
    <w:rsid w:val="00B96299"/>
    <w:rsid w:val="00B962A0"/>
    <w:rsid w:val="00B96331"/>
    <w:rsid w:val="00B9691B"/>
    <w:rsid w:val="00B96B0B"/>
    <w:rsid w:val="00B9709A"/>
    <w:rsid w:val="00B9718F"/>
    <w:rsid w:val="00B9730B"/>
    <w:rsid w:val="00B974F4"/>
    <w:rsid w:val="00B97621"/>
    <w:rsid w:val="00B979A8"/>
    <w:rsid w:val="00B97A87"/>
    <w:rsid w:val="00BA0470"/>
    <w:rsid w:val="00BA04B0"/>
    <w:rsid w:val="00BA05DB"/>
    <w:rsid w:val="00BA079C"/>
    <w:rsid w:val="00BA0849"/>
    <w:rsid w:val="00BA0940"/>
    <w:rsid w:val="00BA0FAD"/>
    <w:rsid w:val="00BA11C7"/>
    <w:rsid w:val="00BA1224"/>
    <w:rsid w:val="00BA1A30"/>
    <w:rsid w:val="00BA1BBB"/>
    <w:rsid w:val="00BA1D51"/>
    <w:rsid w:val="00BA1FB4"/>
    <w:rsid w:val="00BA22AE"/>
    <w:rsid w:val="00BA2388"/>
    <w:rsid w:val="00BA25D9"/>
    <w:rsid w:val="00BA25DC"/>
    <w:rsid w:val="00BA2EA3"/>
    <w:rsid w:val="00BA3146"/>
    <w:rsid w:val="00BA3696"/>
    <w:rsid w:val="00BA3864"/>
    <w:rsid w:val="00BA3EB0"/>
    <w:rsid w:val="00BA3F06"/>
    <w:rsid w:val="00BA3F58"/>
    <w:rsid w:val="00BA4093"/>
    <w:rsid w:val="00BA41EF"/>
    <w:rsid w:val="00BA439A"/>
    <w:rsid w:val="00BA4494"/>
    <w:rsid w:val="00BA47B4"/>
    <w:rsid w:val="00BA4B35"/>
    <w:rsid w:val="00BA4B7D"/>
    <w:rsid w:val="00BA4C31"/>
    <w:rsid w:val="00BA4D70"/>
    <w:rsid w:val="00BA4F30"/>
    <w:rsid w:val="00BA5329"/>
    <w:rsid w:val="00BA568E"/>
    <w:rsid w:val="00BA56D7"/>
    <w:rsid w:val="00BA5843"/>
    <w:rsid w:val="00BA58D1"/>
    <w:rsid w:val="00BA59D6"/>
    <w:rsid w:val="00BA5D62"/>
    <w:rsid w:val="00BA5DEC"/>
    <w:rsid w:val="00BA624E"/>
    <w:rsid w:val="00BA6684"/>
    <w:rsid w:val="00BA66C4"/>
    <w:rsid w:val="00BA6AE7"/>
    <w:rsid w:val="00BA6F1D"/>
    <w:rsid w:val="00BA7001"/>
    <w:rsid w:val="00BA7249"/>
    <w:rsid w:val="00BA765A"/>
    <w:rsid w:val="00BA770F"/>
    <w:rsid w:val="00BB0B62"/>
    <w:rsid w:val="00BB0F14"/>
    <w:rsid w:val="00BB1022"/>
    <w:rsid w:val="00BB1CC4"/>
    <w:rsid w:val="00BB1DC9"/>
    <w:rsid w:val="00BB1EC6"/>
    <w:rsid w:val="00BB1F5B"/>
    <w:rsid w:val="00BB1F92"/>
    <w:rsid w:val="00BB204D"/>
    <w:rsid w:val="00BB21C4"/>
    <w:rsid w:val="00BB23C5"/>
    <w:rsid w:val="00BB2AE7"/>
    <w:rsid w:val="00BB2F15"/>
    <w:rsid w:val="00BB3303"/>
    <w:rsid w:val="00BB435C"/>
    <w:rsid w:val="00BB44BD"/>
    <w:rsid w:val="00BB45CD"/>
    <w:rsid w:val="00BB4679"/>
    <w:rsid w:val="00BB4929"/>
    <w:rsid w:val="00BB4A61"/>
    <w:rsid w:val="00BB4AAC"/>
    <w:rsid w:val="00BB4AE7"/>
    <w:rsid w:val="00BB4D5A"/>
    <w:rsid w:val="00BB4E53"/>
    <w:rsid w:val="00BB4FFC"/>
    <w:rsid w:val="00BB57E4"/>
    <w:rsid w:val="00BB58C3"/>
    <w:rsid w:val="00BB5B64"/>
    <w:rsid w:val="00BB5D0E"/>
    <w:rsid w:val="00BB6248"/>
    <w:rsid w:val="00BB627C"/>
    <w:rsid w:val="00BB62AC"/>
    <w:rsid w:val="00BB6329"/>
    <w:rsid w:val="00BB6365"/>
    <w:rsid w:val="00BB6E98"/>
    <w:rsid w:val="00BB6F66"/>
    <w:rsid w:val="00BB7075"/>
    <w:rsid w:val="00BB747E"/>
    <w:rsid w:val="00BB7A26"/>
    <w:rsid w:val="00BB7A81"/>
    <w:rsid w:val="00BB7BA9"/>
    <w:rsid w:val="00BB7DE3"/>
    <w:rsid w:val="00BC00F1"/>
    <w:rsid w:val="00BC0B7E"/>
    <w:rsid w:val="00BC0CA5"/>
    <w:rsid w:val="00BC0CB2"/>
    <w:rsid w:val="00BC0F23"/>
    <w:rsid w:val="00BC137F"/>
    <w:rsid w:val="00BC1562"/>
    <w:rsid w:val="00BC1A50"/>
    <w:rsid w:val="00BC213D"/>
    <w:rsid w:val="00BC216B"/>
    <w:rsid w:val="00BC22D8"/>
    <w:rsid w:val="00BC22ED"/>
    <w:rsid w:val="00BC2553"/>
    <w:rsid w:val="00BC28E7"/>
    <w:rsid w:val="00BC2BA9"/>
    <w:rsid w:val="00BC2C69"/>
    <w:rsid w:val="00BC2EF4"/>
    <w:rsid w:val="00BC3717"/>
    <w:rsid w:val="00BC3BF0"/>
    <w:rsid w:val="00BC3F17"/>
    <w:rsid w:val="00BC4C01"/>
    <w:rsid w:val="00BC50E9"/>
    <w:rsid w:val="00BC53F3"/>
    <w:rsid w:val="00BC547D"/>
    <w:rsid w:val="00BC5717"/>
    <w:rsid w:val="00BC6239"/>
    <w:rsid w:val="00BC69C7"/>
    <w:rsid w:val="00BC6C88"/>
    <w:rsid w:val="00BC6CFD"/>
    <w:rsid w:val="00BC6F04"/>
    <w:rsid w:val="00BC6FD2"/>
    <w:rsid w:val="00BC721B"/>
    <w:rsid w:val="00BD0306"/>
    <w:rsid w:val="00BD0755"/>
    <w:rsid w:val="00BD0F9A"/>
    <w:rsid w:val="00BD137F"/>
    <w:rsid w:val="00BD140B"/>
    <w:rsid w:val="00BD1431"/>
    <w:rsid w:val="00BD178F"/>
    <w:rsid w:val="00BD1994"/>
    <w:rsid w:val="00BD199C"/>
    <w:rsid w:val="00BD1B95"/>
    <w:rsid w:val="00BD1E29"/>
    <w:rsid w:val="00BD2183"/>
    <w:rsid w:val="00BD2869"/>
    <w:rsid w:val="00BD2973"/>
    <w:rsid w:val="00BD2A18"/>
    <w:rsid w:val="00BD2BFB"/>
    <w:rsid w:val="00BD2C42"/>
    <w:rsid w:val="00BD2D1D"/>
    <w:rsid w:val="00BD331F"/>
    <w:rsid w:val="00BD3786"/>
    <w:rsid w:val="00BD3BE8"/>
    <w:rsid w:val="00BD3E07"/>
    <w:rsid w:val="00BD4605"/>
    <w:rsid w:val="00BD48A0"/>
    <w:rsid w:val="00BD4993"/>
    <w:rsid w:val="00BD4B2C"/>
    <w:rsid w:val="00BD5792"/>
    <w:rsid w:val="00BD617D"/>
    <w:rsid w:val="00BD65A0"/>
    <w:rsid w:val="00BD65C6"/>
    <w:rsid w:val="00BD67D3"/>
    <w:rsid w:val="00BD6CD3"/>
    <w:rsid w:val="00BD6D69"/>
    <w:rsid w:val="00BD70B5"/>
    <w:rsid w:val="00BD795C"/>
    <w:rsid w:val="00BD7AB6"/>
    <w:rsid w:val="00BD7AB8"/>
    <w:rsid w:val="00BD7E0D"/>
    <w:rsid w:val="00BE0097"/>
    <w:rsid w:val="00BE00DD"/>
    <w:rsid w:val="00BE0702"/>
    <w:rsid w:val="00BE07CA"/>
    <w:rsid w:val="00BE0B8B"/>
    <w:rsid w:val="00BE0BBB"/>
    <w:rsid w:val="00BE0C20"/>
    <w:rsid w:val="00BE0EE5"/>
    <w:rsid w:val="00BE1085"/>
    <w:rsid w:val="00BE1298"/>
    <w:rsid w:val="00BE139B"/>
    <w:rsid w:val="00BE19EB"/>
    <w:rsid w:val="00BE1CB0"/>
    <w:rsid w:val="00BE269A"/>
    <w:rsid w:val="00BE26A1"/>
    <w:rsid w:val="00BE2E4D"/>
    <w:rsid w:val="00BE2F95"/>
    <w:rsid w:val="00BE3593"/>
    <w:rsid w:val="00BE3621"/>
    <w:rsid w:val="00BE36C2"/>
    <w:rsid w:val="00BE3826"/>
    <w:rsid w:val="00BE3F6E"/>
    <w:rsid w:val="00BE3F71"/>
    <w:rsid w:val="00BE414B"/>
    <w:rsid w:val="00BE466D"/>
    <w:rsid w:val="00BE46C2"/>
    <w:rsid w:val="00BE493E"/>
    <w:rsid w:val="00BE4C5F"/>
    <w:rsid w:val="00BE4D1E"/>
    <w:rsid w:val="00BE4D89"/>
    <w:rsid w:val="00BE597A"/>
    <w:rsid w:val="00BE5997"/>
    <w:rsid w:val="00BE5D2A"/>
    <w:rsid w:val="00BE6283"/>
    <w:rsid w:val="00BE66F2"/>
    <w:rsid w:val="00BE6B56"/>
    <w:rsid w:val="00BE6B8B"/>
    <w:rsid w:val="00BE6FF8"/>
    <w:rsid w:val="00BE7041"/>
    <w:rsid w:val="00BE717F"/>
    <w:rsid w:val="00BE719C"/>
    <w:rsid w:val="00BE734B"/>
    <w:rsid w:val="00BF071E"/>
    <w:rsid w:val="00BF07B5"/>
    <w:rsid w:val="00BF0A9C"/>
    <w:rsid w:val="00BF0B19"/>
    <w:rsid w:val="00BF0E72"/>
    <w:rsid w:val="00BF0F31"/>
    <w:rsid w:val="00BF149F"/>
    <w:rsid w:val="00BF17CE"/>
    <w:rsid w:val="00BF181A"/>
    <w:rsid w:val="00BF20EE"/>
    <w:rsid w:val="00BF2131"/>
    <w:rsid w:val="00BF21B7"/>
    <w:rsid w:val="00BF2FBF"/>
    <w:rsid w:val="00BF33FE"/>
    <w:rsid w:val="00BF348E"/>
    <w:rsid w:val="00BF37F4"/>
    <w:rsid w:val="00BF3CD4"/>
    <w:rsid w:val="00BF3FD9"/>
    <w:rsid w:val="00BF4000"/>
    <w:rsid w:val="00BF4F46"/>
    <w:rsid w:val="00BF5058"/>
    <w:rsid w:val="00BF50C9"/>
    <w:rsid w:val="00BF5728"/>
    <w:rsid w:val="00BF5812"/>
    <w:rsid w:val="00BF5C9D"/>
    <w:rsid w:val="00BF5E9F"/>
    <w:rsid w:val="00BF60DE"/>
    <w:rsid w:val="00BF62D3"/>
    <w:rsid w:val="00BF6BFA"/>
    <w:rsid w:val="00BF70D1"/>
    <w:rsid w:val="00BF749B"/>
    <w:rsid w:val="00BF7944"/>
    <w:rsid w:val="00BF7946"/>
    <w:rsid w:val="00BF7A46"/>
    <w:rsid w:val="00BF7E60"/>
    <w:rsid w:val="00C003A0"/>
    <w:rsid w:val="00C00721"/>
    <w:rsid w:val="00C00F80"/>
    <w:rsid w:val="00C013C8"/>
    <w:rsid w:val="00C01477"/>
    <w:rsid w:val="00C015D7"/>
    <w:rsid w:val="00C01722"/>
    <w:rsid w:val="00C019A5"/>
    <w:rsid w:val="00C01F37"/>
    <w:rsid w:val="00C020EC"/>
    <w:rsid w:val="00C02319"/>
    <w:rsid w:val="00C0242A"/>
    <w:rsid w:val="00C02708"/>
    <w:rsid w:val="00C029F9"/>
    <w:rsid w:val="00C02F89"/>
    <w:rsid w:val="00C02FBF"/>
    <w:rsid w:val="00C02FDF"/>
    <w:rsid w:val="00C031B6"/>
    <w:rsid w:val="00C03504"/>
    <w:rsid w:val="00C03E8D"/>
    <w:rsid w:val="00C040FD"/>
    <w:rsid w:val="00C04BFA"/>
    <w:rsid w:val="00C04D92"/>
    <w:rsid w:val="00C04FBD"/>
    <w:rsid w:val="00C05270"/>
    <w:rsid w:val="00C0592F"/>
    <w:rsid w:val="00C07DFE"/>
    <w:rsid w:val="00C07E95"/>
    <w:rsid w:val="00C07EAF"/>
    <w:rsid w:val="00C106A3"/>
    <w:rsid w:val="00C10B6E"/>
    <w:rsid w:val="00C117C2"/>
    <w:rsid w:val="00C1185B"/>
    <w:rsid w:val="00C11A46"/>
    <w:rsid w:val="00C11A48"/>
    <w:rsid w:val="00C11CDC"/>
    <w:rsid w:val="00C11E73"/>
    <w:rsid w:val="00C12238"/>
    <w:rsid w:val="00C123DE"/>
    <w:rsid w:val="00C1269A"/>
    <w:rsid w:val="00C1271F"/>
    <w:rsid w:val="00C1285D"/>
    <w:rsid w:val="00C1289C"/>
    <w:rsid w:val="00C12B40"/>
    <w:rsid w:val="00C12B79"/>
    <w:rsid w:val="00C12BA9"/>
    <w:rsid w:val="00C1312C"/>
    <w:rsid w:val="00C13154"/>
    <w:rsid w:val="00C1342C"/>
    <w:rsid w:val="00C1352A"/>
    <w:rsid w:val="00C13545"/>
    <w:rsid w:val="00C13859"/>
    <w:rsid w:val="00C13A02"/>
    <w:rsid w:val="00C13A5E"/>
    <w:rsid w:val="00C147E7"/>
    <w:rsid w:val="00C1488F"/>
    <w:rsid w:val="00C1494D"/>
    <w:rsid w:val="00C14C89"/>
    <w:rsid w:val="00C14C9A"/>
    <w:rsid w:val="00C14E9E"/>
    <w:rsid w:val="00C15193"/>
    <w:rsid w:val="00C152C6"/>
    <w:rsid w:val="00C15388"/>
    <w:rsid w:val="00C156D7"/>
    <w:rsid w:val="00C15EF6"/>
    <w:rsid w:val="00C15F34"/>
    <w:rsid w:val="00C16244"/>
    <w:rsid w:val="00C16403"/>
    <w:rsid w:val="00C1641A"/>
    <w:rsid w:val="00C16443"/>
    <w:rsid w:val="00C16E2E"/>
    <w:rsid w:val="00C17A11"/>
    <w:rsid w:val="00C17CD5"/>
    <w:rsid w:val="00C17F6C"/>
    <w:rsid w:val="00C2000B"/>
    <w:rsid w:val="00C200B2"/>
    <w:rsid w:val="00C20220"/>
    <w:rsid w:val="00C202D2"/>
    <w:rsid w:val="00C20590"/>
    <w:rsid w:val="00C20690"/>
    <w:rsid w:val="00C20816"/>
    <w:rsid w:val="00C20A86"/>
    <w:rsid w:val="00C20AB6"/>
    <w:rsid w:val="00C219FD"/>
    <w:rsid w:val="00C21D9D"/>
    <w:rsid w:val="00C22238"/>
    <w:rsid w:val="00C2247F"/>
    <w:rsid w:val="00C22A5A"/>
    <w:rsid w:val="00C22B78"/>
    <w:rsid w:val="00C22C5A"/>
    <w:rsid w:val="00C22C73"/>
    <w:rsid w:val="00C22FD4"/>
    <w:rsid w:val="00C233B5"/>
    <w:rsid w:val="00C23A13"/>
    <w:rsid w:val="00C23AFE"/>
    <w:rsid w:val="00C23CAD"/>
    <w:rsid w:val="00C23DA6"/>
    <w:rsid w:val="00C24000"/>
    <w:rsid w:val="00C24295"/>
    <w:rsid w:val="00C243FD"/>
    <w:rsid w:val="00C24EDC"/>
    <w:rsid w:val="00C25027"/>
    <w:rsid w:val="00C2562E"/>
    <w:rsid w:val="00C262A2"/>
    <w:rsid w:val="00C26863"/>
    <w:rsid w:val="00C2691B"/>
    <w:rsid w:val="00C2698D"/>
    <w:rsid w:val="00C26E5A"/>
    <w:rsid w:val="00C27173"/>
    <w:rsid w:val="00C27236"/>
    <w:rsid w:val="00C27296"/>
    <w:rsid w:val="00C272E4"/>
    <w:rsid w:val="00C27466"/>
    <w:rsid w:val="00C27A86"/>
    <w:rsid w:val="00C304D4"/>
    <w:rsid w:val="00C3055E"/>
    <w:rsid w:val="00C308CB"/>
    <w:rsid w:val="00C30DD6"/>
    <w:rsid w:val="00C30F4D"/>
    <w:rsid w:val="00C31347"/>
    <w:rsid w:val="00C31979"/>
    <w:rsid w:val="00C319E9"/>
    <w:rsid w:val="00C31BBD"/>
    <w:rsid w:val="00C31DF9"/>
    <w:rsid w:val="00C31F7F"/>
    <w:rsid w:val="00C31FDF"/>
    <w:rsid w:val="00C3235E"/>
    <w:rsid w:val="00C323B3"/>
    <w:rsid w:val="00C3276E"/>
    <w:rsid w:val="00C32C9A"/>
    <w:rsid w:val="00C32D96"/>
    <w:rsid w:val="00C330FD"/>
    <w:rsid w:val="00C33112"/>
    <w:rsid w:val="00C3314C"/>
    <w:rsid w:val="00C333EE"/>
    <w:rsid w:val="00C33E52"/>
    <w:rsid w:val="00C3426A"/>
    <w:rsid w:val="00C34492"/>
    <w:rsid w:val="00C35098"/>
    <w:rsid w:val="00C35244"/>
    <w:rsid w:val="00C3534B"/>
    <w:rsid w:val="00C353CD"/>
    <w:rsid w:val="00C353F3"/>
    <w:rsid w:val="00C35965"/>
    <w:rsid w:val="00C35E22"/>
    <w:rsid w:val="00C3629A"/>
    <w:rsid w:val="00C364A5"/>
    <w:rsid w:val="00C36666"/>
    <w:rsid w:val="00C367C3"/>
    <w:rsid w:val="00C36A33"/>
    <w:rsid w:val="00C36C23"/>
    <w:rsid w:val="00C36D63"/>
    <w:rsid w:val="00C371E5"/>
    <w:rsid w:val="00C37718"/>
    <w:rsid w:val="00C37822"/>
    <w:rsid w:val="00C37848"/>
    <w:rsid w:val="00C37F6D"/>
    <w:rsid w:val="00C37F76"/>
    <w:rsid w:val="00C405F3"/>
    <w:rsid w:val="00C409C5"/>
    <w:rsid w:val="00C409E0"/>
    <w:rsid w:val="00C41DA3"/>
    <w:rsid w:val="00C41E56"/>
    <w:rsid w:val="00C41EF0"/>
    <w:rsid w:val="00C420B9"/>
    <w:rsid w:val="00C422E6"/>
    <w:rsid w:val="00C42E77"/>
    <w:rsid w:val="00C43060"/>
    <w:rsid w:val="00C43628"/>
    <w:rsid w:val="00C43695"/>
    <w:rsid w:val="00C43A82"/>
    <w:rsid w:val="00C44250"/>
    <w:rsid w:val="00C443A9"/>
    <w:rsid w:val="00C445F6"/>
    <w:rsid w:val="00C448F3"/>
    <w:rsid w:val="00C44B43"/>
    <w:rsid w:val="00C44F4D"/>
    <w:rsid w:val="00C45201"/>
    <w:rsid w:val="00C45261"/>
    <w:rsid w:val="00C454EF"/>
    <w:rsid w:val="00C455F4"/>
    <w:rsid w:val="00C456D5"/>
    <w:rsid w:val="00C456E5"/>
    <w:rsid w:val="00C45722"/>
    <w:rsid w:val="00C45876"/>
    <w:rsid w:val="00C45988"/>
    <w:rsid w:val="00C45B19"/>
    <w:rsid w:val="00C4609D"/>
    <w:rsid w:val="00C46248"/>
    <w:rsid w:val="00C463C3"/>
    <w:rsid w:val="00C46762"/>
    <w:rsid w:val="00C467E0"/>
    <w:rsid w:val="00C46D7B"/>
    <w:rsid w:val="00C475AD"/>
    <w:rsid w:val="00C47695"/>
    <w:rsid w:val="00C476F2"/>
    <w:rsid w:val="00C47E6B"/>
    <w:rsid w:val="00C50144"/>
    <w:rsid w:val="00C50456"/>
    <w:rsid w:val="00C508AB"/>
    <w:rsid w:val="00C5090F"/>
    <w:rsid w:val="00C50956"/>
    <w:rsid w:val="00C50967"/>
    <w:rsid w:val="00C510D1"/>
    <w:rsid w:val="00C51111"/>
    <w:rsid w:val="00C515CF"/>
    <w:rsid w:val="00C518B5"/>
    <w:rsid w:val="00C518EA"/>
    <w:rsid w:val="00C51CA6"/>
    <w:rsid w:val="00C51F80"/>
    <w:rsid w:val="00C5247F"/>
    <w:rsid w:val="00C5290E"/>
    <w:rsid w:val="00C5310D"/>
    <w:rsid w:val="00C536A1"/>
    <w:rsid w:val="00C53A10"/>
    <w:rsid w:val="00C53BC5"/>
    <w:rsid w:val="00C54093"/>
    <w:rsid w:val="00C542AE"/>
    <w:rsid w:val="00C54464"/>
    <w:rsid w:val="00C5448C"/>
    <w:rsid w:val="00C546AA"/>
    <w:rsid w:val="00C54FA2"/>
    <w:rsid w:val="00C55442"/>
    <w:rsid w:val="00C55580"/>
    <w:rsid w:val="00C55792"/>
    <w:rsid w:val="00C559DC"/>
    <w:rsid w:val="00C55BDC"/>
    <w:rsid w:val="00C55F3E"/>
    <w:rsid w:val="00C55F9A"/>
    <w:rsid w:val="00C5617B"/>
    <w:rsid w:val="00C56882"/>
    <w:rsid w:val="00C56A43"/>
    <w:rsid w:val="00C56D4D"/>
    <w:rsid w:val="00C572CF"/>
    <w:rsid w:val="00C5792F"/>
    <w:rsid w:val="00C57C83"/>
    <w:rsid w:val="00C57DF7"/>
    <w:rsid w:val="00C57EA4"/>
    <w:rsid w:val="00C57F4F"/>
    <w:rsid w:val="00C60902"/>
    <w:rsid w:val="00C60CC6"/>
    <w:rsid w:val="00C614D2"/>
    <w:rsid w:val="00C61AAF"/>
    <w:rsid w:val="00C628B8"/>
    <w:rsid w:val="00C62DDE"/>
    <w:rsid w:val="00C62FB6"/>
    <w:rsid w:val="00C63075"/>
    <w:rsid w:val="00C6342E"/>
    <w:rsid w:val="00C636BE"/>
    <w:rsid w:val="00C638F1"/>
    <w:rsid w:val="00C63D70"/>
    <w:rsid w:val="00C63DAA"/>
    <w:rsid w:val="00C63FB2"/>
    <w:rsid w:val="00C645B6"/>
    <w:rsid w:val="00C647AA"/>
    <w:rsid w:val="00C649FA"/>
    <w:rsid w:val="00C64B03"/>
    <w:rsid w:val="00C64F87"/>
    <w:rsid w:val="00C651BE"/>
    <w:rsid w:val="00C655DB"/>
    <w:rsid w:val="00C6624A"/>
    <w:rsid w:val="00C66679"/>
    <w:rsid w:val="00C6698C"/>
    <w:rsid w:val="00C669A1"/>
    <w:rsid w:val="00C6701E"/>
    <w:rsid w:val="00C67477"/>
    <w:rsid w:val="00C676AE"/>
    <w:rsid w:val="00C67ADF"/>
    <w:rsid w:val="00C67C9A"/>
    <w:rsid w:val="00C67D93"/>
    <w:rsid w:val="00C67DDB"/>
    <w:rsid w:val="00C70217"/>
    <w:rsid w:val="00C70BED"/>
    <w:rsid w:val="00C71561"/>
    <w:rsid w:val="00C71585"/>
    <w:rsid w:val="00C71911"/>
    <w:rsid w:val="00C72627"/>
    <w:rsid w:val="00C727C3"/>
    <w:rsid w:val="00C729A7"/>
    <w:rsid w:val="00C729F8"/>
    <w:rsid w:val="00C72AB8"/>
    <w:rsid w:val="00C732ED"/>
    <w:rsid w:val="00C7334E"/>
    <w:rsid w:val="00C73480"/>
    <w:rsid w:val="00C73A0B"/>
    <w:rsid w:val="00C73AE8"/>
    <w:rsid w:val="00C73BD5"/>
    <w:rsid w:val="00C73CFD"/>
    <w:rsid w:val="00C73E7A"/>
    <w:rsid w:val="00C73F54"/>
    <w:rsid w:val="00C74451"/>
    <w:rsid w:val="00C74C87"/>
    <w:rsid w:val="00C7518E"/>
    <w:rsid w:val="00C75220"/>
    <w:rsid w:val="00C753CD"/>
    <w:rsid w:val="00C7556C"/>
    <w:rsid w:val="00C758EB"/>
    <w:rsid w:val="00C75CC5"/>
    <w:rsid w:val="00C75FE3"/>
    <w:rsid w:val="00C76039"/>
    <w:rsid w:val="00C760A2"/>
    <w:rsid w:val="00C764B4"/>
    <w:rsid w:val="00C768B8"/>
    <w:rsid w:val="00C76B49"/>
    <w:rsid w:val="00C7746E"/>
    <w:rsid w:val="00C77F1A"/>
    <w:rsid w:val="00C80003"/>
    <w:rsid w:val="00C80023"/>
    <w:rsid w:val="00C80656"/>
    <w:rsid w:val="00C80A16"/>
    <w:rsid w:val="00C81315"/>
    <w:rsid w:val="00C816D0"/>
    <w:rsid w:val="00C818A2"/>
    <w:rsid w:val="00C8191D"/>
    <w:rsid w:val="00C819DF"/>
    <w:rsid w:val="00C81C65"/>
    <w:rsid w:val="00C81D65"/>
    <w:rsid w:val="00C81D8B"/>
    <w:rsid w:val="00C82013"/>
    <w:rsid w:val="00C8247B"/>
    <w:rsid w:val="00C82BF0"/>
    <w:rsid w:val="00C82DD5"/>
    <w:rsid w:val="00C82E6A"/>
    <w:rsid w:val="00C82F1A"/>
    <w:rsid w:val="00C832C2"/>
    <w:rsid w:val="00C8353B"/>
    <w:rsid w:val="00C83FF4"/>
    <w:rsid w:val="00C84503"/>
    <w:rsid w:val="00C84BAA"/>
    <w:rsid w:val="00C84CD1"/>
    <w:rsid w:val="00C85039"/>
    <w:rsid w:val="00C85057"/>
    <w:rsid w:val="00C85076"/>
    <w:rsid w:val="00C856C6"/>
    <w:rsid w:val="00C85AE9"/>
    <w:rsid w:val="00C85CD4"/>
    <w:rsid w:val="00C85FF1"/>
    <w:rsid w:val="00C86E54"/>
    <w:rsid w:val="00C87013"/>
    <w:rsid w:val="00C870F7"/>
    <w:rsid w:val="00C872A6"/>
    <w:rsid w:val="00C87C2F"/>
    <w:rsid w:val="00C87C49"/>
    <w:rsid w:val="00C87D42"/>
    <w:rsid w:val="00C87DC5"/>
    <w:rsid w:val="00C903E9"/>
    <w:rsid w:val="00C90420"/>
    <w:rsid w:val="00C9047E"/>
    <w:rsid w:val="00C90869"/>
    <w:rsid w:val="00C90930"/>
    <w:rsid w:val="00C90AD6"/>
    <w:rsid w:val="00C90B0A"/>
    <w:rsid w:val="00C90E56"/>
    <w:rsid w:val="00C9101B"/>
    <w:rsid w:val="00C913F7"/>
    <w:rsid w:val="00C914B6"/>
    <w:rsid w:val="00C91646"/>
    <w:rsid w:val="00C916FF"/>
    <w:rsid w:val="00C92323"/>
    <w:rsid w:val="00C92447"/>
    <w:rsid w:val="00C9245D"/>
    <w:rsid w:val="00C924CD"/>
    <w:rsid w:val="00C92730"/>
    <w:rsid w:val="00C928FC"/>
    <w:rsid w:val="00C92AEC"/>
    <w:rsid w:val="00C92BD9"/>
    <w:rsid w:val="00C92BEC"/>
    <w:rsid w:val="00C92DB1"/>
    <w:rsid w:val="00C92DEB"/>
    <w:rsid w:val="00C93409"/>
    <w:rsid w:val="00C9370A"/>
    <w:rsid w:val="00C93BB0"/>
    <w:rsid w:val="00C93D7E"/>
    <w:rsid w:val="00C9438F"/>
    <w:rsid w:val="00C946B7"/>
    <w:rsid w:val="00C94838"/>
    <w:rsid w:val="00C94C1A"/>
    <w:rsid w:val="00C94DA9"/>
    <w:rsid w:val="00C95287"/>
    <w:rsid w:val="00C9545B"/>
    <w:rsid w:val="00C95927"/>
    <w:rsid w:val="00C95A5A"/>
    <w:rsid w:val="00C95AA9"/>
    <w:rsid w:val="00C95E27"/>
    <w:rsid w:val="00C9606E"/>
    <w:rsid w:val="00C963C2"/>
    <w:rsid w:val="00C97405"/>
    <w:rsid w:val="00C97F20"/>
    <w:rsid w:val="00CA010D"/>
    <w:rsid w:val="00CA03B6"/>
    <w:rsid w:val="00CA0638"/>
    <w:rsid w:val="00CA0B41"/>
    <w:rsid w:val="00CA0BB3"/>
    <w:rsid w:val="00CA137C"/>
    <w:rsid w:val="00CA1638"/>
    <w:rsid w:val="00CA167D"/>
    <w:rsid w:val="00CA1CF5"/>
    <w:rsid w:val="00CA25C0"/>
    <w:rsid w:val="00CA3845"/>
    <w:rsid w:val="00CA3A8A"/>
    <w:rsid w:val="00CA3D52"/>
    <w:rsid w:val="00CA3E6D"/>
    <w:rsid w:val="00CA41F7"/>
    <w:rsid w:val="00CA44ED"/>
    <w:rsid w:val="00CA45FA"/>
    <w:rsid w:val="00CA4810"/>
    <w:rsid w:val="00CA4BA9"/>
    <w:rsid w:val="00CA5416"/>
    <w:rsid w:val="00CA578F"/>
    <w:rsid w:val="00CA5A4E"/>
    <w:rsid w:val="00CA5B0F"/>
    <w:rsid w:val="00CA5E88"/>
    <w:rsid w:val="00CA6181"/>
    <w:rsid w:val="00CA64FC"/>
    <w:rsid w:val="00CA67A3"/>
    <w:rsid w:val="00CA6956"/>
    <w:rsid w:val="00CA6E8A"/>
    <w:rsid w:val="00CA6FCD"/>
    <w:rsid w:val="00CA757B"/>
    <w:rsid w:val="00CA7C16"/>
    <w:rsid w:val="00CB0137"/>
    <w:rsid w:val="00CB0305"/>
    <w:rsid w:val="00CB038B"/>
    <w:rsid w:val="00CB0566"/>
    <w:rsid w:val="00CB0A03"/>
    <w:rsid w:val="00CB0F7B"/>
    <w:rsid w:val="00CB1003"/>
    <w:rsid w:val="00CB10C6"/>
    <w:rsid w:val="00CB11D0"/>
    <w:rsid w:val="00CB172E"/>
    <w:rsid w:val="00CB1998"/>
    <w:rsid w:val="00CB20B3"/>
    <w:rsid w:val="00CB219E"/>
    <w:rsid w:val="00CB226C"/>
    <w:rsid w:val="00CB2412"/>
    <w:rsid w:val="00CB2935"/>
    <w:rsid w:val="00CB2E40"/>
    <w:rsid w:val="00CB322B"/>
    <w:rsid w:val="00CB324E"/>
    <w:rsid w:val="00CB36BC"/>
    <w:rsid w:val="00CB3778"/>
    <w:rsid w:val="00CB3AF9"/>
    <w:rsid w:val="00CB3C37"/>
    <w:rsid w:val="00CB3EED"/>
    <w:rsid w:val="00CB3FDB"/>
    <w:rsid w:val="00CB406C"/>
    <w:rsid w:val="00CB4282"/>
    <w:rsid w:val="00CB44DB"/>
    <w:rsid w:val="00CB4D33"/>
    <w:rsid w:val="00CB4E7C"/>
    <w:rsid w:val="00CB5285"/>
    <w:rsid w:val="00CB55EE"/>
    <w:rsid w:val="00CB5601"/>
    <w:rsid w:val="00CB5665"/>
    <w:rsid w:val="00CB5764"/>
    <w:rsid w:val="00CB578E"/>
    <w:rsid w:val="00CB5D0D"/>
    <w:rsid w:val="00CB5EF9"/>
    <w:rsid w:val="00CB640F"/>
    <w:rsid w:val="00CB65A9"/>
    <w:rsid w:val="00CB665D"/>
    <w:rsid w:val="00CB6EFA"/>
    <w:rsid w:val="00CB705A"/>
    <w:rsid w:val="00CB7C62"/>
    <w:rsid w:val="00CB7F88"/>
    <w:rsid w:val="00CC0020"/>
    <w:rsid w:val="00CC03AA"/>
    <w:rsid w:val="00CC05A6"/>
    <w:rsid w:val="00CC05E7"/>
    <w:rsid w:val="00CC0A88"/>
    <w:rsid w:val="00CC0CBD"/>
    <w:rsid w:val="00CC1172"/>
    <w:rsid w:val="00CC157D"/>
    <w:rsid w:val="00CC17B6"/>
    <w:rsid w:val="00CC188B"/>
    <w:rsid w:val="00CC1962"/>
    <w:rsid w:val="00CC1B49"/>
    <w:rsid w:val="00CC1B94"/>
    <w:rsid w:val="00CC1E23"/>
    <w:rsid w:val="00CC232E"/>
    <w:rsid w:val="00CC24A4"/>
    <w:rsid w:val="00CC2719"/>
    <w:rsid w:val="00CC2A5B"/>
    <w:rsid w:val="00CC2D5D"/>
    <w:rsid w:val="00CC32E9"/>
    <w:rsid w:val="00CC3436"/>
    <w:rsid w:val="00CC38F2"/>
    <w:rsid w:val="00CC3A5A"/>
    <w:rsid w:val="00CC3B52"/>
    <w:rsid w:val="00CC3BFB"/>
    <w:rsid w:val="00CC3D25"/>
    <w:rsid w:val="00CC406C"/>
    <w:rsid w:val="00CC43A2"/>
    <w:rsid w:val="00CC440D"/>
    <w:rsid w:val="00CC5753"/>
    <w:rsid w:val="00CC6003"/>
    <w:rsid w:val="00CC6BA3"/>
    <w:rsid w:val="00CC6D1C"/>
    <w:rsid w:val="00CC72EF"/>
    <w:rsid w:val="00CC75B2"/>
    <w:rsid w:val="00CC76B8"/>
    <w:rsid w:val="00CC7859"/>
    <w:rsid w:val="00CC7A4E"/>
    <w:rsid w:val="00CD03F3"/>
    <w:rsid w:val="00CD04B4"/>
    <w:rsid w:val="00CD072F"/>
    <w:rsid w:val="00CD0985"/>
    <w:rsid w:val="00CD0B1B"/>
    <w:rsid w:val="00CD1025"/>
    <w:rsid w:val="00CD1728"/>
    <w:rsid w:val="00CD1C3F"/>
    <w:rsid w:val="00CD1C8F"/>
    <w:rsid w:val="00CD1DFF"/>
    <w:rsid w:val="00CD1E60"/>
    <w:rsid w:val="00CD1F92"/>
    <w:rsid w:val="00CD22D3"/>
    <w:rsid w:val="00CD23A6"/>
    <w:rsid w:val="00CD2480"/>
    <w:rsid w:val="00CD28DE"/>
    <w:rsid w:val="00CD297B"/>
    <w:rsid w:val="00CD2D16"/>
    <w:rsid w:val="00CD2D69"/>
    <w:rsid w:val="00CD39DB"/>
    <w:rsid w:val="00CD3B71"/>
    <w:rsid w:val="00CD46DC"/>
    <w:rsid w:val="00CD46DE"/>
    <w:rsid w:val="00CD478A"/>
    <w:rsid w:val="00CD4EE4"/>
    <w:rsid w:val="00CD5980"/>
    <w:rsid w:val="00CD5990"/>
    <w:rsid w:val="00CD6521"/>
    <w:rsid w:val="00CD665E"/>
    <w:rsid w:val="00CD66DE"/>
    <w:rsid w:val="00CD6704"/>
    <w:rsid w:val="00CD687D"/>
    <w:rsid w:val="00CD6AB2"/>
    <w:rsid w:val="00CD6B8D"/>
    <w:rsid w:val="00CD7155"/>
    <w:rsid w:val="00CD73C1"/>
    <w:rsid w:val="00CD7676"/>
    <w:rsid w:val="00CD7C52"/>
    <w:rsid w:val="00CE0565"/>
    <w:rsid w:val="00CE09B4"/>
    <w:rsid w:val="00CE0F0C"/>
    <w:rsid w:val="00CE10F6"/>
    <w:rsid w:val="00CE1168"/>
    <w:rsid w:val="00CE12C0"/>
    <w:rsid w:val="00CE138F"/>
    <w:rsid w:val="00CE147E"/>
    <w:rsid w:val="00CE1672"/>
    <w:rsid w:val="00CE1835"/>
    <w:rsid w:val="00CE19B3"/>
    <w:rsid w:val="00CE1DCC"/>
    <w:rsid w:val="00CE1EC6"/>
    <w:rsid w:val="00CE2734"/>
    <w:rsid w:val="00CE289C"/>
    <w:rsid w:val="00CE2926"/>
    <w:rsid w:val="00CE2EA0"/>
    <w:rsid w:val="00CE3067"/>
    <w:rsid w:val="00CE326E"/>
    <w:rsid w:val="00CE354C"/>
    <w:rsid w:val="00CE36B4"/>
    <w:rsid w:val="00CE3F7F"/>
    <w:rsid w:val="00CE44FB"/>
    <w:rsid w:val="00CE4B54"/>
    <w:rsid w:val="00CE4D3F"/>
    <w:rsid w:val="00CE4D9F"/>
    <w:rsid w:val="00CE50D0"/>
    <w:rsid w:val="00CE5ECC"/>
    <w:rsid w:val="00CE612A"/>
    <w:rsid w:val="00CE6279"/>
    <w:rsid w:val="00CE730B"/>
    <w:rsid w:val="00CE7754"/>
    <w:rsid w:val="00CE7A34"/>
    <w:rsid w:val="00CEEBD9"/>
    <w:rsid w:val="00CF021F"/>
    <w:rsid w:val="00CF03ED"/>
    <w:rsid w:val="00CF04F5"/>
    <w:rsid w:val="00CF0B07"/>
    <w:rsid w:val="00CF0C96"/>
    <w:rsid w:val="00CF0D03"/>
    <w:rsid w:val="00CF0D22"/>
    <w:rsid w:val="00CF0DFF"/>
    <w:rsid w:val="00CF1415"/>
    <w:rsid w:val="00CF1FA4"/>
    <w:rsid w:val="00CF20C3"/>
    <w:rsid w:val="00CF25D9"/>
    <w:rsid w:val="00CF28E8"/>
    <w:rsid w:val="00CF2B5C"/>
    <w:rsid w:val="00CF2CA3"/>
    <w:rsid w:val="00CF2FB7"/>
    <w:rsid w:val="00CF30E2"/>
    <w:rsid w:val="00CF31F3"/>
    <w:rsid w:val="00CF321A"/>
    <w:rsid w:val="00CF35F0"/>
    <w:rsid w:val="00CF376D"/>
    <w:rsid w:val="00CF3794"/>
    <w:rsid w:val="00CF38F2"/>
    <w:rsid w:val="00CF3DDF"/>
    <w:rsid w:val="00CF46DC"/>
    <w:rsid w:val="00CF49E4"/>
    <w:rsid w:val="00CF4D61"/>
    <w:rsid w:val="00CF51DC"/>
    <w:rsid w:val="00CF5AC2"/>
    <w:rsid w:val="00CF5CBE"/>
    <w:rsid w:val="00CF6234"/>
    <w:rsid w:val="00CF62D7"/>
    <w:rsid w:val="00CF632C"/>
    <w:rsid w:val="00CF64E7"/>
    <w:rsid w:val="00CF6F07"/>
    <w:rsid w:val="00CF7436"/>
    <w:rsid w:val="00CF7633"/>
    <w:rsid w:val="00D000B4"/>
    <w:rsid w:val="00D0059C"/>
    <w:rsid w:val="00D00942"/>
    <w:rsid w:val="00D00B0E"/>
    <w:rsid w:val="00D00C7E"/>
    <w:rsid w:val="00D00DF2"/>
    <w:rsid w:val="00D017D8"/>
    <w:rsid w:val="00D017E0"/>
    <w:rsid w:val="00D01B7D"/>
    <w:rsid w:val="00D021BF"/>
    <w:rsid w:val="00D023EC"/>
    <w:rsid w:val="00D0288B"/>
    <w:rsid w:val="00D02B06"/>
    <w:rsid w:val="00D031F2"/>
    <w:rsid w:val="00D04337"/>
    <w:rsid w:val="00D04466"/>
    <w:rsid w:val="00D04583"/>
    <w:rsid w:val="00D04AE9"/>
    <w:rsid w:val="00D0502B"/>
    <w:rsid w:val="00D054EA"/>
    <w:rsid w:val="00D05566"/>
    <w:rsid w:val="00D0574D"/>
    <w:rsid w:val="00D05AEA"/>
    <w:rsid w:val="00D05D0A"/>
    <w:rsid w:val="00D05D5F"/>
    <w:rsid w:val="00D05E51"/>
    <w:rsid w:val="00D05F04"/>
    <w:rsid w:val="00D06F93"/>
    <w:rsid w:val="00D070B0"/>
    <w:rsid w:val="00D074BC"/>
    <w:rsid w:val="00D0750C"/>
    <w:rsid w:val="00D075E8"/>
    <w:rsid w:val="00D076A4"/>
    <w:rsid w:val="00D07A46"/>
    <w:rsid w:val="00D07ECA"/>
    <w:rsid w:val="00D107BA"/>
    <w:rsid w:val="00D10943"/>
    <w:rsid w:val="00D10AA8"/>
    <w:rsid w:val="00D10BDA"/>
    <w:rsid w:val="00D10E5D"/>
    <w:rsid w:val="00D1134F"/>
    <w:rsid w:val="00D1182D"/>
    <w:rsid w:val="00D1186D"/>
    <w:rsid w:val="00D11C29"/>
    <w:rsid w:val="00D11CDF"/>
    <w:rsid w:val="00D12232"/>
    <w:rsid w:val="00D1240B"/>
    <w:rsid w:val="00D13288"/>
    <w:rsid w:val="00D132BE"/>
    <w:rsid w:val="00D136A8"/>
    <w:rsid w:val="00D13DB3"/>
    <w:rsid w:val="00D140A9"/>
    <w:rsid w:val="00D14B2D"/>
    <w:rsid w:val="00D1505C"/>
    <w:rsid w:val="00D1512F"/>
    <w:rsid w:val="00D15236"/>
    <w:rsid w:val="00D15784"/>
    <w:rsid w:val="00D15C60"/>
    <w:rsid w:val="00D167F4"/>
    <w:rsid w:val="00D16A53"/>
    <w:rsid w:val="00D16DB0"/>
    <w:rsid w:val="00D17358"/>
    <w:rsid w:val="00D17CBE"/>
    <w:rsid w:val="00D2016A"/>
    <w:rsid w:val="00D20756"/>
    <w:rsid w:val="00D2096C"/>
    <w:rsid w:val="00D2097A"/>
    <w:rsid w:val="00D209B1"/>
    <w:rsid w:val="00D20F90"/>
    <w:rsid w:val="00D214F3"/>
    <w:rsid w:val="00D22421"/>
    <w:rsid w:val="00D22E5D"/>
    <w:rsid w:val="00D2301A"/>
    <w:rsid w:val="00D23106"/>
    <w:rsid w:val="00D2377C"/>
    <w:rsid w:val="00D23894"/>
    <w:rsid w:val="00D23940"/>
    <w:rsid w:val="00D23CCF"/>
    <w:rsid w:val="00D2407A"/>
    <w:rsid w:val="00D244BF"/>
    <w:rsid w:val="00D24672"/>
    <w:rsid w:val="00D24694"/>
    <w:rsid w:val="00D248A3"/>
    <w:rsid w:val="00D24B70"/>
    <w:rsid w:val="00D25001"/>
    <w:rsid w:val="00D2502E"/>
    <w:rsid w:val="00D251AF"/>
    <w:rsid w:val="00D254AE"/>
    <w:rsid w:val="00D254B1"/>
    <w:rsid w:val="00D2588D"/>
    <w:rsid w:val="00D25AA8"/>
    <w:rsid w:val="00D2615B"/>
    <w:rsid w:val="00D26D9A"/>
    <w:rsid w:val="00D26F06"/>
    <w:rsid w:val="00D2717B"/>
    <w:rsid w:val="00D27D85"/>
    <w:rsid w:val="00D27E4E"/>
    <w:rsid w:val="00D30382"/>
    <w:rsid w:val="00D303D8"/>
    <w:rsid w:val="00D30B87"/>
    <w:rsid w:val="00D30E72"/>
    <w:rsid w:val="00D3132E"/>
    <w:rsid w:val="00D313B5"/>
    <w:rsid w:val="00D31992"/>
    <w:rsid w:val="00D31E06"/>
    <w:rsid w:val="00D324A0"/>
    <w:rsid w:val="00D328F8"/>
    <w:rsid w:val="00D32A72"/>
    <w:rsid w:val="00D32C40"/>
    <w:rsid w:val="00D331AF"/>
    <w:rsid w:val="00D3365A"/>
    <w:rsid w:val="00D33BAD"/>
    <w:rsid w:val="00D33FA3"/>
    <w:rsid w:val="00D340ED"/>
    <w:rsid w:val="00D34594"/>
    <w:rsid w:val="00D3469A"/>
    <w:rsid w:val="00D3472C"/>
    <w:rsid w:val="00D34751"/>
    <w:rsid w:val="00D34776"/>
    <w:rsid w:val="00D347CF"/>
    <w:rsid w:val="00D34D21"/>
    <w:rsid w:val="00D35126"/>
    <w:rsid w:val="00D3522E"/>
    <w:rsid w:val="00D35322"/>
    <w:rsid w:val="00D3580D"/>
    <w:rsid w:val="00D35A36"/>
    <w:rsid w:val="00D35E93"/>
    <w:rsid w:val="00D367AD"/>
    <w:rsid w:val="00D368C0"/>
    <w:rsid w:val="00D36974"/>
    <w:rsid w:val="00D36D77"/>
    <w:rsid w:val="00D36E07"/>
    <w:rsid w:val="00D37498"/>
    <w:rsid w:val="00D379AA"/>
    <w:rsid w:val="00D37EC8"/>
    <w:rsid w:val="00D37F9A"/>
    <w:rsid w:val="00D406DF"/>
    <w:rsid w:val="00D409E1"/>
    <w:rsid w:val="00D40D6C"/>
    <w:rsid w:val="00D41923"/>
    <w:rsid w:val="00D4254C"/>
    <w:rsid w:val="00D42603"/>
    <w:rsid w:val="00D426AD"/>
    <w:rsid w:val="00D42B5B"/>
    <w:rsid w:val="00D42C4C"/>
    <w:rsid w:val="00D42CDB"/>
    <w:rsid w:val="00D42F0E"/>
    <w:rsid w:val="00D4346E"/>
    <w:rsid w:val="00D436F2"/>
    <w:rsid w:val="00D43A30"/>
    <w:rsid w:val="00D43AEB"/>
    <w:rsid w:val="00D43D79"/>
    <w:rsid w:val="00D444C5"/>
    <w:rsid w:val="00D4476F"/>
    <w:rsid w:val="00D451F4"/>
    <w:rsid w:val="00D4525E"/>
    <w:rsid w:val="00D454E6"/>
    <w:rsid w:val="00D45813"/>
    <w:rsid w:val="00D45C3D"/>
    <w:rsid w:val="00D464B3"/>
    <w:rsid w:val="00D46905"/>
    <w:rsid w:val="00D46C94"/>
    <w:rsid w:val="00D472A7"/>
    <w:rsid w:val="00D4753B"/>
    <w:rsid w:val="00D47639"/>
    <w:rsid w:val="00D477BE"/>
    <w:rsid w:val="00D47B7A"/>
    <w:rsid w:val="00D47E56"/>
    <w:rsid w:val="00D47EFC"/>
    <w:rsid w:val="00D47F51"/>
    <w:rsid w:val="00D50111"/>
    <w:rsid w:val="00D50522"/>
    <w:rsid w:val="00D5112A"/>
    <w:rsid w:val="00D51B90"/>
    <w:rsid w:val="00D52298"/>
    <w:rsid w:val="00D52605"/>
    <w:rsid w:val="00D52B1B"/>
    <w:rsid w:val="00D5366F"/>
    <w:rsid w:val="00D5383E"/>
    <w:rsid w:val="00D53DA4"/>
    <w:rsid w:val="00D53EC5"/>
    <w:rsid w:val="00D5418D"/>
    <w:rsid w:val="00D541AB"/>
    <w:rsid w:val="00D542A0"/>
    <w:rsid w:val="00D5454C"/>
    <w:rsid w:val="00D546FF"/>
    <w:rsid w:val="00D54AD1"/>
    <w:rsid w:val="00D550BD"/>
    <w:rsid w:val="00D557B9"/>
    <w:rsid w:val="00D5583D"/>
    <w:rsid w:val="00D559CB"/>
    <w:rsid w:val="00D55EFA"/>
    <w:rsid w:val="00D560EA"/>
    <w:rsid w:val="00D56E30"/>
    <w:rsid w:val="00D573E9"/>
    <w:rsid w:val="00D575F4"/>
    <w:rsid w:val="00D57A1A"/>
    <w:rsid w:val="00D57B78"/>
    <w:rsid w:val="00D57EF6"/>
    <w:rsid w:val="00D608C9"/>
    <w:rsid w:val="00D60A1A"/>
    <w:rsid w:val="00D61D19"/>
    <w:rsid w:val="00D61EE8"/>
    <w:rsid w:val="00D6220B"/>
    <w:rsid w:val="00D62755"/>
    <w:rsid w:val="00D628DD"/>
    <w:rsid w:val="00D629BE"/>
    <w:rsid w:val="00D629E7"/>
    <w:rsid w:val="00D62C5D"/>
    <w:rsid w:val="00D635D9"/>
    <w:rsid w:val="00D6399C"/>
    <w:rsid w:val="00D640C5"/>
    <w:rsid w:val="00D6416B"/>
    <w:rsid w:val="00D641EA"/>
    <w:rsid w:val="00D6454B"/>
    <w:rsid w:val="00D646B5"/>
    <w:rsid w:val="00D64825"/>
    <w:rsid w:val="00D64E16"/>
    <w:rsid w:val="00D64FD6"/>
    <w:rsid w:val="00D650B3"/>
    <w:rsid w:val="00D6517A"/>
    <w:rsid w:val="00D651A7"/>
    <w:rsid w:val="00D652DA"/>
    <w:rsid w:val="00D653FA"/>
    <w:rsid w:val="00D6556B"/>
    <w:rsid w:val="00D65AF5"/>
    <w:rsid w:val="00D65FA7"/>
    <w:rsid w:val="00D66453"/>
    <w:rsid w:val="00D66511"/>
    <w:rsid w:val="00D67260"/>
    <w:rsid w:val="00D672B1"/>
    <w:rsid w:val="00D67412"/>
    <w:rsid w:val="00D6744F"/>
    <w:rsid w:val="00D67658"/>
    <w:rsid w:val="00D67DAD"/>
    <w:rsid w:val="00D70386"/>
    <w:rsid w:val="00D7069C"/>
    <w:rsid w:val="00D709B9"/>
    <w:rsid w:val="00D70A67"/>
    <w:rsid w:val="00D70ADF"/>
    <w:rsid w:val="00D7120F"/>
    <w:rsid w:val="00D712C3"/>
    <w:rsid w:val="00D712E4"/>
    <w:rsid w:val="00D7175C"/>
    <w:rsid w:val="00D722F6"/>
    <w:rsid w:val="00D723F0"/>
    <w:rsid w:val="00D726A2"/>
    <w:rsid w:val="00D73372"/>
    <w:rsid w:val="00D73BFF"/>
    <w:rsid w:val="00D73E33"/>
    <w:rsid w:val="00D741CB"/>
    <w:rsid w:val="00D741FB"/>
    <w:rsid w:val="00D7449D"/>
    <w:rsid w:val="00D75121"/>
    <w:rsid w:val="00D754FD"/>
    <w:rsid w:val="00D75745"/>
    <w:rsid w:val="00D75AAC"/>
    <w:rsid w:val="00D760BF"/>
    <w:rsid w:val="00D76119"/>
    <w:rsid w:val="00D76385"/>
    <w:rsid w:val="00D764EA"/>
    <w:rsid w:val="00D76664"/>
    <w:rsid w:val="00D766C5"/>
    <w:rsid w:val="00D766D6"/>
    <w:rsid w:val="00D7677D"/>
    <w:rsid w:val="00D76CD3"/>
    <w:rsid w:val="00D76E95"/>
    <w:rsid w:val="00D76FB9"/>
    <w:rsid w:val="00D77017"/>
    <w:rsid w:val="00D776A9"/>
    <w:rsid w:val="00D77718"/>
    <w:rsid w:val="00D8021A"/>
    <w:rsid w:val="00D80444"/>
    <w:rsid w:val="00D80718"/>
    <w:rsid w:val="00D80E0A"/>
    <w:rsid w:val="00D80E64"/>
    <w:rsid w:val="00D80F44"/>
    <w:rsid w:val="00D81283"/>
    <w:rsid w:val="00D81423"/>
    <w:rsid w:val="00D817C3"/>
    <w:rsid w:val="00D81A51"/>
    <w:rsid w:val="00D81E1A"/>
    <w:rsid w:val="00D820B2"/>
    <w:rsid w:val="00D82B26"/>
    <w:rsid w:val="00D82B42"/>
    <w:rsid w:val="00D82B46"/>
    <w:rsid w:val="00D82D1D"/>
    <w:rsid w:val="00D82FC0"/>
    <w:rsid w:val="00D83858"/>
    <w:rsid w:val="00D83C7D"/>
    <w:rsid w:val="00D84350"/>
    <w:rsid w:val="00D844E9"/>
    <w:rsid w:val="00D8456D"/>
    <w:rsid w:val="00D848FD"/>
    <w:rsid w:val="00D84A61"/>
    <w:rsid w:val="00D84D0A"/>
    <w:rsid w:val="00D84F9B"/>
    <w:rsid w:val="00D84FAC"/>
    <w:rsid w:val="00D853A1"/>
    <w:rsid w:val="00D856D3"/>
    <w:rsid w:val="00D85847"/>
    <w:rsid w:val="00D85A80"/>
    <w:rsid w:val="00D85AF5"/>
    <w:rsid w:val="00D85C2C"/>
    <w:rsid w:val="00D85F64"/>
    <w:rsid w:val="00D86076"/>
    <w:rsid w:val="00D86249"/>
    <w:rsid w:val="00D8628A"/>
    <w:rsid w:val="00D86342"/>
    <w:rsid w:val="00D864DB"/>
    <w:rsid w:val="00D870BE"/>
    <w:rsid w:val="00D87533"/>
    <w:rsid w:val="00D878AD"/>
    <w:rsid w:val="00D87CD9"/>
    <w:rsid w:val="00D87FFB"/>
    <w:rsid w:val="00D90099"/>
    <w:rsid w:val="00D900B3"/>
    <w:rsid w:val="00D90243"/>
    <w:rsid w:val="00D904D6"/>
    <w:rsid w:val="00D90B46"/>
    <w:rsid w:val="00D90C8B"/>
    <w:rsid w:val="00D910E4"/>
    <w:rsid w:val="00D91439"/>
    <w:rsid w:val="00D91565"/>
    <w:rsid w:val="00D918FB"/>
    <w:rsid w:val="00D920EA"/>
    <w:rsid w:val="00D921E1"/>
    <w:rsid w:val="00D92237"/>
    <w:rsid w:val="00D92351"/>
    <w:rsid w:val="00D923D9"/>
    <w:rsid w:val="00D924EA"/>
    <w:rsid w:val="00D9278A"/>
    <w:rsid w:val="00D93056"/>
    <w:rsid w:val="00D9323B"/>
    <w:rsid w:val="00D93F4C"/>
    <w:rsid w:val="00D942D1"/>
    <w:rsid w:val="00D94514"/>
    <w:rsid w:val="00D94B06"/>
    <w:rsid w:val="00D94EC1"/>
    <w:rsid w:val="00D955E8"/>
    <w:rsid w:val="00D96252"/>
    <w:rsid w:val="00D96290"/>
    <w:rsid w:val="00D965A3"/>
    <w:rsid w:val="00D9682A"/>
    <w:rsid w:val="00D96FF3"/>
    <w:rsid w:val="00D9733B"/>
    <w:rsid w:val="00D9753B"/>
    <w:rsid w:val="00D976C2"/>
    <w:rsid w:val="00D977F7"/>
    <w:rsid w:val="00D97870"/>
    <w:rsid w:val="00DA0036"/>
    <w:rsid w:val="00DA0843"/>
    <w:rsid w:val="00DA0C58"/>
    <w:rsid w:val="00DA10CE"/>
    <w:rsid w:val="00DA1414"/>
    <w:rsid w:val="00DA143E"/>
    <w:rsid w:val="00DA14C6"/>
    <w:rsid w:val="00DA1B63"/>
    <w:rsid w:val="00DA221D"/>
    <w:rsid w:val="00DA2402"/>
    <w:rsid w:val="00DA2504"/>
    <w:rsid w:val="00DA2547"/>
    <w:rsid w:val="00DA2551"/>
    <w:rsid w:val="00DA273C"/>
    <w:rsid w:val="00DA2745"/>
    <w:rsid w:val="00DA2D6B"/>
    <w:rsid w:val="00DA2E74"/>
    <w:rsid w:val="00DA2EE4"/>
    <w:rsid w:val="00DA36AA"/>
    <w:rsid w:val="00DA3D7C"/>
    <w:rsid w:val="00DA3F4C"/>
    <w:rsid w:val="00DA42A7"/>
    <w:rsid w:val="00DA47B6"/>
    <w:rsid w:val="00DA49B9"/>
    <w:rsid w:val="00DA51FF"/>
    <w:rsid w:val="00DA55A3"/>
    <w:rsid w:val="00DA595B"/>
    <w:rsid w:val="00DA5B29"/>
    <w:rsid w:val="00DA5B6F"/>
    <w:rsid w:val="00DA5E17"/>
    <w:rsid w:val="00DA5E86"/>
    <w:rsid w:val="00DA5FC2"/>
    <w:rsid w:val="00DA61B5"/>
    <w:rsid w:val="00DA61E2"/>
    <w:rsid w:val="00DA64F8"/>
    <w:rsid w:val="00DA6523"/>
    <w:rsid w:val="00DA65BF"/>
    <w:rsid w:val="00DA6E07"/>
    <w:rsid w:val="00DA719C"/>
    <w:rsid w:val="00DA7224"/>
    <w:rsid w:val="00DA75F6"/>
    <w:rsid w:val="00DA7750"/>
    <w:rsid w:val="00DA78A2"/>
    <w:rsid w:val="00DA7AA1"/>
    <w:rsid w:val="00DA7D4C"/>
    <w:rsid w:val="00DB0090"/>
    <w:rsid w:val="00DB02DE"/>
    <w:rsid w:val="00DB0F44"/>
    <w:rsid w:val="00DB17AC"/>
    <w:rsid w:val="00DB1AB1"/>
    <w:rsid w:val="00DB1F02"/>
    <w:rsid w:val="00DB2258"/>
    <w:rsid w:val="00DB2A62"/>
    <w:rsid w:val="00DB2AF2"/>
    <w:rsid w:val="00DB3AC1"/>
    <w:rsid w:val="00DB3DE1"/>
    <w:rsid w:val="00DB3F56"/>
    <w:rsid w:val="00DB4021"/>
    <w:rsid w:val="00DB4238"/>
    <w:rsid w:val="00DB4896"/>
    <w:rsid w:val="00DB4E99"/>
    <w:rsid w:val="00DB5071"/>
    <w:rsid w:val="00DB5344"/>
    <w:rsid w:val="00DB56AF"/>
    <w:rsid w:val="00DB57A0"/>
    <w:rsid w:val="00DB580E"/>
    <w:rsid w:val="00DB5B8A"/>
    <w:rsid w:val="00DB5BF5"/>
    <w:rsid w:val="00DB5D75"/>
    <w:rsid w:val="00DB5E9A"/>
    <w:rsid w:val="00DB61CE"/>
    <w:rsid w:val="00DB65EA"/>
    <w:rsid w:val="00DB673B"/>
    <w:rsid w:val="00DB680B"/>
    <w:rsid w:val="00DB6974"/>
    <w:rsid w:val="00DB6F2E"/>
    <w:rsid w:val="00DB762B"/>
    <w:rsid w:val="00DB76AF"/>
    <w:rsid w:val="00DB7AB2"/>
    <w:rsid w:val="00DB7F4A"/>
    <w:rsid w:val="00DB7FC1"/>
    <w:rsid w:val="00DC0495"/>
    <w:rsid w:val="00DC04B3"/>
    <w:rsid w:val="00DC06F0"/>
    <w:rsid w:val="00DC086B"/>
    <w:rsid w:val="00DC0AC5"/>
    <w:rsid w:val="00DC1B9B"/>
    <w:rsid w:val="00DC1C13"/>
    <w:rsid w:val="00DC1E88"/>
    <w:rsid w:val="00DC2060"/>
    <w:rsid w:val="00DC2398"/>
    <w:rsid w:val="00DC2530"/>
    <w:rsid w:val="00DC26F9"/>
    <w:rsid w:val="00DC2ECF"/>
    <w:rsid w:val="00DC2EFD"/>
    <w:rsid w:val="00DC311E"/>
    <w:rsid w:val="00DC3425"/>
    <w:rsid w:val="00DC3435"/>
    <w:rsid w:val="00DC38B2"/>
    <w:rsid w:val="00DC4304"/>
    <w:rsid w:val="00DC449E"/>
    <w:rsid w:val="00DC44E9"/>
    <w:rsid w:val="00DC465A"/>
    <w:rsid w:val="00DC51AD"/>
    <w:rsid w:val="00DC5F1C"/>
    <w:rsid w:val="00DC6092"/>
    <w:rsid w:val="00DC6235"/>
    <w:rsid w:val="00DC6B71"/>
    <w:rsid w:val="00DC6F13"/>
    <w:rsid w:val="00DC6FBE"/>
    <w:rsid w:val="00DC70FF"/>
    <w:rsid w:val="00DC741A"/>
    <w:rsid w:val="00DC756E"/>
    <w:rsid w:val="00DC758D"/>
    <w:rsid w:val="00DC75CA"/>
    <w:rsid w:val="00DC75F3"/>
    <w:rsid w:val="00DC7984"/>
    <w:rsid w:val="00DC7A3E"/>
    <w:rsid w:val="00DC7BCB"/>
    <w:rsid w:val="00DCCA24"/>
    <w:rsid w:val="00DD007F"/>
    <w:rsid w:val="00DD0174"/>
    <w:rsid w:val="00DD0FB1"/>
    <w:rsid w:val="00DD10CA"/>
    <w:rsid w:val="00DD127D"/>
    <w:rsid w:val="00DD12CD"/>
    <w:rsid w:val="00DD13E7"/>
    <w:rsid w:val="00DD1855"/>
    <w:rsid w:val="00DD18DB"/>
    <w:rsid w:val="00DD1B79"/>
    <w:rsid w:val="00DD2838"/>
    <w:rsid w:val="00DD3071"/>
    <w:rsid w:val="00DD366B"/>
    <w:rsid w:val="00DD3A34"/>
    <w:rsid w:val="00DD3BC4"/>
    <w:rsid w:val="00DD3EC3"/>
    <w:rsid w:val="00DD4100"/>
    <w:rsid w:val="00DD430A"/>
    <w:rsid w:val="00DD4634"/>
    <w:rsid w:val="00DD51E1"/>
    <w:rsid w:val="00DD52F0"/>
    <w:rsid w:val="00DD5403"/>
    <w:rsid w:val="00DD5D20"/>
    <w:rsid w:val="00DD602C"/>
    <w:rsid w:val="00DD60F1"/>
    <w:rsid w:val="00DD6160"/>
    <w:rsid w:val="00DD665C"/>
    <w:rsid w:val="00DD6A79"/>
    <w:rsid w:val="00DD703C"/>
    <w:rsid w:val="00DD72D5"/>
    <w:rsid w:val="00DD78ED"/>
    <w:rsid w:val="00DD7932"/>
    <w:rsid w:val="00DD7A67"/>
    <w:rsid w:val="00DD7E99"/>
    <w:rsid w:val="00DE00A4"/>
    <w:rsid w:val="00DE00DA"/>
    <w:rsid w:val="00DE03F7"/>
    <w:rsid w:val="00DE07FF"/>
    <w:rsid w:val="00DE080C"/>
    <w:rsid w:val="00DE0BF5"/>
    <w:rsid w:val="00DE0EB5"/>
    <w:rsid w:val="00DE0EBA"/>
    <w:rsid w:val="00DE1173"/>
    <w:rsid w:val="00DE138C"/>
    <w:rsid w:val="00DE1820"/>
    <w:rsid w:val="00DE1C94"/>
    <w:rsid w:val="00DE1EA5"/>
    <w:rsid w:val="00DE1FAE"/>
    <w:rsid w:val="00DE2AD5"/>
    <w:rsid w:val="00DE3633"/>
    <w:rsid w:val="00DE38B9"/>
    <w:rsid w:val="00DE3CC3"/>
    <w:rsid w:val="00DE3FF1"/>
    <w:rsid w:val="00DE41B9"/>
    <w:rsid w:val="00DE461E"/>
    <w:rsid w:val="00DE4A6B"/>
    <w:rsid w:val="00DE4C4B"/>
    <w:rsid w:val="00DE5104"/>
    <w:rsid w:val="00DE5305"/>
    <w:rsid w:val="00DE58C3"/>
    <w:rsid w:val="00DE5BCF"/>
    <w:rsid w:val="00DE5D17"/>
    <w:rsid w:val="00DE5E4E"/>
    <w:rsid w:val="00DE6315"/>
    <w:rsid w:val="00DE6543"/>
    <w:rsid w:val="00DE6638"/>
    <w:rsid w:val="00DE676A"/>
    <w:rsid w:val="00DE6805"/>
    <w:rsid w:val="00DE6871"/>
    <w:rsid w:val="00DE6AE9"/>
    <w:rsid w:val="00DE6D4C"/>
    <w:rsid w:val="00DE7417"/>
    <w:rsid w:val="00DE79E0"/>
    <w:rsid w:val="00DE7E88"/>
    <w:rsid w:val="00DF0185"/>
    <w:rsid w:val="00DF0669"/>
    <w:rsid w:val="00DF0705"/>
    <w:rsid w:val="00DF0785"/>
    <w:rsid w:val="00DF0AF6"/>
    <w:rsid w:val="00DF0B41"/>
    <w:rsid w:val="00DF1042"/>
    <w:rsid w:val="00DF1067"/>
    <w:rsid w:val="00DF11D2"/>
    <w:rsid w:val="00DF1520"/>
    <w:rsid w:val="00DF15DF"/>
    <w:rsid w:val="00DF166C"/>
    <w:rsid w:val="00DF17DD"/>
    <w:rsid w:val="00DF1EE2"/>
    <w:rsid w:val="00DF1F43"/>
    <w:rsid w:val="00DF2379"/>
    <w:rsid w:val="00DF24AA"/>
    <w:rsid w:val="00DF25C0"/>
    <w:rsid w:val="00DF2653"/>
    <w:rsid w:val="00DF2C86"/>
    <w:rsid w:val="00DF2E9F"/>
    <w:rsid w:val="00DF3130"/>
    <w:rsid w:val="00DF3997"/>
    <w:rsid w:val="00DF3A3A"/>
    <w:rsid w:val="00DF3F2C"/>
    <w:rsid w:val="00DF4424"/>
    <w:rsid w:val="00DF47A9"/>
    <w:rsid w:val="00DF4999"/>
    <w:rsid w:val="00DF4EA1"/>
    <w:rsid w:val="00DF4F56"/>
    <w:rsid w:val="00DF4FD8"/>
    <w:rsid w:val="00DF566B"/>
    <w:rsid w:val="00DF5975"/>
    <w:rsid w:val="00DF59F4"/>
    <w:rsid w:val="00DF5AC5"/>
    <w:rsid w:val="00DF5F7E"/>
    <w:rsid w:val="00DF5FA3"/>
    <w:rsid w:val="00DF6037"/>
    <w:rsid w:val="00DF62A3"/>
    <w:rsid w:val="00DF66B7"/>
    <w:rsid w:val="00DF6C82"/>
    <w:rsid w:val="00DF6F12"/>
    <w:rsid w:val="00DF6F51"/>
    <w:rsid w:val="00DF7125"/>
    <w:rsid w:val="00DF73A3"/>
    <w:rsid w:val="00DF749F"/>
    <w:rsid w:val="00DF7BC2"/>
    <w:rsid w:val="00DF7F29"/>
    <w:rsid w:val="00E00501"/>
    <w:rsid w:val="00E0054E"/>
    <w:rsid w:val="00E0096C"/>
    <w:rsid w:val="00E00CFE"/>
    <w:rsid w:val="00E00EC1"/>
    <w:rsid w:val="00E00EFA"/>
    <w:rsid w:val="00E00F4E"/>
    <w:rsid w:val="00E0110F"/>
    <w:rsid w:val="00E013C4"/>
    <w:rsid w:val="00E0173D"/>
    <w:rsid w:val="00E01947"/>
    <w:rsid w:val="00E01A76"/>
    <w:rsid w:val="00E01CAE"/>
    <w:rsid w:val="00E01FA6"/>
    <w:rsid w:val="00E0207B"/>
    <w:rsid w:val="00E02177"/>
    <w:rsid w:val="00E024D5"/>
    <w:rsid w:val="00E028B1"/>
    <w:rsid w:val="00E02AB0"/>
    <w:rsid w:val="00E02C20"/>
    <w:rsid w:val="00E02EAD"/>
    <w:rsid w:val="00E0377D"/>
    <w:rsid w:val="00E039C6"/>
    <w:rsid w:val="00E03E42"/>
    <w:rsid w:val="00E044C9"/>
    <w:rsid w:val="00E04AFB"/>
    <w:rsid w:val="00E04E1D"/>
    <w:rsid w:val="00E04E5A"/>
    <w:rsid w:val="00E04EFB"/>
    <w:rsid w:val="00E0511C"/>
    <w:rsid w:val="00E051CA"/>
    <w:rsid w:val="00E05540"/>
    <w:rsid w:val="00E05C5D"/>
    <w:rsid w:val="00E0675A"/>
    <w:rsid w:val="00E06B29"/>
    <w:rsid w:val="00E06E71"/>
    <w:rsid w:val="00E07031"/>
    <w:rsid w:val="00E073F1"/>
    <w:rsid w:val="00E07562"/>
    <w:rsid w:val="00E0767C"/>
    <w:rsid w:val="00E076E6"/>
    <w:rsid w:val="00E07AA0"/>
    <w:rsid w:val="00E07DE8"/>
    <w:rsid w:val="00E1004B"/>
    <w:rsid w:val="00E10A66"/>
    <w:rsid w:val="00E10A7D"/>
    <w:rsid w:val="00E11015"/>
    <w:rsid w:val="00E11052"/>
    <w:rsid w:val="00E110A4"/>
    <w:rsid w:val="00E115C2"/>
    <w:rsid w:val="00E11736"/>
    <w:rsid w:val="00E11A9A"/>
    <w:rsid w:val="00E134B5"/>
    <w:rsid w:val="00E135BC"/>
    <w:rsid w:val="00E13A1B"/>
    <w:rsid w:val="00E13A27"/>
    <w:rsid w:val="00E13B3B"/>
    <w:rsid w:val="00E13CD5"/>
    <w:rsid w:val="00E13DE7"/>
    <w:rsid w:val="00E1436C"/>
    <w:rsid w:val="00E14688"/>
    <w:rsid w:val="00E146F3"/>
    <w:rsid w:val="00E1533A"/>
    <w:rsid w:val="00E1589A"/>
    <w:rsid w:val="00E15BAA"/>
    <w:rsid w:val="00E15F8D"/>
    <w:rsid w:val="00E16317"/>
    <w:rsid w:val="00E1642A"/>
    <w:rsid w:val="00E16765"/>
    <w:rsid w:val="00E16DA1"/>
    <w:rsid w:val="00E17138"/>
    <w:rsid w:val="00E1715D"/>
    <w:rsid w:val="00E17242"/>
    <w:rsid w:val="00E1792C"/>
    <w:rsid w:val="00E20BDD"/>
    <w:rsid w:val="00E20C70"/>
    <w:rsid w:val="00E20DB0"/>
    <w:rsid w:val="00E21246"/>
    <w:rsid w:val="00E21AF5"/>
    <w:rsid w:val="00E223D4"/>
    <w:rsid w:val="00E223F3"/>
    <w:rsid w:val="00E225C9"/>
    <w:rsid w:val="00E2297F"/>
    <w:rsid w:val="00E22D99"/>
    <w:rsid w:val="00E2307F"/>
    <w:rsid w:val="00E233C3"/>
    <w:rsid w:val="00E23B67"/>
    <w:rsid w:val="00E24053"/>
    <w:rsid w:val="00E2428C"/>
    <w:rsid w:val="00E24670"/>
    <w:rsid w:val="00E24B54"/>
    <w:rsid w:val="00E24CDC"/>
    <w:rsid w:val="00E24CDE"/>
    <w:rsid w:val="00E250F7"/>
    <w:rsid w:val="00E2535B"/>
    <w:rsid w:val="00E25C9E"/>
    <w:rsid w:val="00E25ECE"/>
    <w:rsid w:val="00E26065"/>
    <w:rsid w:val="00E265DD"/>
    <w:rsid w:val="00E26613"/>
    <w:rsid w:val="00E26656"/>
    <w:rsid w:val="00E266F8"/>
    <w:rsid w:val="00E26CDE"/>
    <w:rsid w:val="00E272DD"/>
    <w:rsid w:val="00E30015"/>
    <w:rsid w:val="00E303F4"/>
    <w:rsid w:val="00E31A02"/>
    <w:rsid w:val="00E31CA4"/>
    <w:rsid w:val="00E31CD2"/>
    <w:rsid w:val="00E32498"/>
    <w:rsid w:val="00E3256E"/>
    <w:rsid w:val="00E3257A"/>
    <w:rsid w:val="00E32673"/>
    <w:rsid w:val="00E32881"/>
    <w:rsid w:val="00E32C8F"/>
    <w:rsid w:val="00E3302F"/>
    <w:rsid w:val="00E33067"/>
    <w:rsid w:val="00E3312F"/>
    <w:rsid w:val="00E33336"/>
    <w:rsid w:val="00E336D2"/>
    <w:rsid w:val="00E33970"/>
    <w:rsid w:val="00E339DC"/>
    <w:rsid w:val="00E340FB"/>
    <w:rsid w:val="00E341B9"/>
    <w:rsid w:val="00E3448B"/>
    <w:rsid w:val="00E347E3"/>
    <w:rsid w:val="00E34A46"/>
    <w:rsid w:val="00E34C50"/>
    <w:rsid w:val="00E34C72"/>
    <w:rsid w:val="00E34ED3"/>
    <w:rsid w:val="00E35030"/>
    <w:rsid w:val="00E35261"/>
    <w:rsid w:val="00E35339"/>
    <w:rsid w:val="00E35366"/>
    <w:rsid w:val="00E35DE1"/>
    <w:rsid w:val="00E362D1"/>
    <w:rsid w:val="00E363D8"/>
    <w:rsid w:val="00E364DA"/>
    <w:rsid w:val="00E3680C"/>
    <w:rsid w:val="00E368C8"/>
    <w:rsid w:val="00E36B1C"/>
    <w:rsid w:val="00E36BFA"/>
    <w:rsid w:val="00E36E86"/>
    <w:rsid w:val="00E3704F"/>
    <w:rsid w:val="00E372BA"/>
    <w:rsid w:val="00E37A38"/>
    <w:rsid w:val="00E37B87"/>
    <w:rsid w:val="00E400E2"/>
    <w:rsid w:val="00E40249"/>
    <w:rsid w:val="00E40305"/>
    <w:rsid w:val="00E4089A"/>
    <w:rsid w:val="00E40ED2"/>
    <w:rsid w:val="00E410A3"/>
    <w:rsid w:val="00E41495"/>
    <w:rsid w:val="00E41636"/>
    <w:rsid w:val="00E416C9"/>
    <w:rsid w:val="00E41ABD"/>
    <w:rsid w:val="00E41AFE"/>
    <w:rsid w:val="00E42293"/>
    <w:rsid w:val="00E42E11"/>
    <w:rsid w:val="00E42E6A"/>
    <w:rsid w:val="00E434B8"/>
    <w:rsid w:val="00E434F5"/>
    <w:rsid w:val="00E437E7"/>
    <w:rsid w:val="00E438FA"/>
    <w:rsid w:val="00E43E23"/>
    <w:rsid w:val="00E43FAE"/>
    <w:rsid w:val="00E44545"/>
    <w:rsid w:val="00E44684"/>
    <w:rsid w:val="00E447A4"/>
    <w:rsid w:val="00E448CE"/>
    <w:rsid w:val="00E44994"/>
    <w:rsid w:val="00E45041"/>
    <w:rsid w:val="00E45063"/>
    <w:rsid w:val="00E45284"/>
    <w:rsid w:val="00E453E2"/>
    <w:rsid w:val="00E45C74"/>
    <w:rsid w:val="00E45E6B"/>
    <w:rsid w:val="00E45FFC"/>
    <w:rsid w:val="00E46949"/>
    <w:rsid w:val="00E46D4F"/>
    <w:rsid w:val="00E46E39"/>
    <w:rsid w:val="00E47654"/>
    <w:rsid w:val="00E47BFA"/>
    <w:rsid w:val="00E47D0E"/>
    <w:rsid w:val="00E47E4E"/>
    <w:rsid w:val="00E5019C"/>
    <w:rsid w:val="00E50F7B"/>
    <w:rsid w:val="00E5157C"/>
    <w:rsid w:val="00E51A9B"/>
    <w:rsid w:val="00E52288"/>
    <w:rsid w:val="00E52350"/>
    <w:rsid w:val="00E523FE"/>
    <w:rsid w:val="00E52564"/>
    <w:rsid w:val="00E52729"/>
    <w:rsid w:val="00E52825"/>
    <w:rsid w:val="00E52BF7"/>
    <w:rsid w:val="00E52F57"/>
    <w:rsid w:val="00E52F77"/>
    <w:rsid w:val="00E53149"/>
    <w:rsid w:val="00E53878"/>
    <w:rsid w:val="00E538AE"/>
    <w:rsid w:val="00E53906"/>
    <w:rsid w:val="00E54059"/>
    <w:rsid w:val="00E540AF"/>
    <w:rsid w:val="00E54156"/>
    <w:rsid w:val="00E543EA"/>
    <w:rsid w:val="00E5458B"/>
    <w:rsid w:val="00E54906"/>
    <w:rsid w:val="00E54A40"/>
    <w:rsid w:val="00E54C31"/>
    <w:rsid w:val="00E54F77"/>
    <w:rsid w:val="00E54FA8"/>
    <w:rsid w:val="00E550F2"/>
    <w:rsid w:val="00E5522D"/>
    <w:rsid w:val="00E557FB"/>
    <w:rsid w:val="00E5584E"/>
    <w:rsid w:val="00E5665E"/>
    <w:rsid w:val="00E566B1"/>
    <w:rsid w:val="00E569E6"/>
    <w:rsid w:val="00E56B7C"/>
    <w:rsid w:val="00E56FED"/>
    <w:rsid w:val="00E573BB"/>
    <w:rsid w:val="00E57485"/>
    <w:rsid w:val="00E57511"/>
    <w:rsid w:val="00E57567"/>
    <w:rsid w:val="00E57655"/>
    <w:rsid w:val="00E57BBA"/>
    <w:rsid w:val="00E57C62"/>
    <w:rsid w:val="00E60210"/>
    <w:rsid w:val="00E605F5"/>
    <w:rsid w:val="00E608CD"/>
    <w:rsid w:val="00E608F2"/>
    <w:rsid w:val="00E60CB8"/>
    <w:rsid w:val="00E610F3"/>
    <w:rsid w:val="00E61121"/>
    <w:rsid w:val="00E61311"/>
    <w:rsid w:val="00E61542"/>
    <w:rsid w:val="00E61729"/>
    <w:rsid w:val="00E61996"/>
    <w:rsid w:val="00E62022"/>
    <w:rsid w:val="00E626EC"/>
    <w:rsid w:val="00E62B28"/>
    <w:rsid w:val="00E62D87"/>
    <w:rsid w:val="00E62D9E"/>
    <w:rsid w:val="00E62E74"/>
    <w:rsid w:val="00E62FAA"/>
    <w:rsid w:val="00E62FE1"/>
    <w:rsid w:val="00E63025"/>
    <w:rsid w:val="00E63885"/>
    <w:rsid w:val="00E63A62"/>
    <w:rsid w:val="00E63BF8"/>
    <w:rsid w:val="00E64BEB"/>
    <w:rsid w:val="00E64DE1"/>
    <w:rsid w:val="00E6693B"/>
    <w:rsid w:val="00E66BFF"/>
    <w:rsid w:val="00E66C9B"/>
    <w:rsid w:val="00E66FF9"/>
    <w:rsid w:val="00E6717B"/>
    <w:rsid w:val="00E674DF"/>
    <w:rsid w:val="00E67AC7"/>
    <w:rsid w:val="00E67C53"/>
    <w:rsid w:val="00E67D98"/>
    <w:rsid w:val="00E67FAE"/>
    <w:rsid w:val="00E705D2"/>
    <w:rsid w:val="00E706A7"/>
    <w:rsid w:val="00E708F1"/>
    <w:rsid w:val="00E70A50"/>
    <w:rsid w:val="00E70D9A"/>
    <w:rsid w:val="00E70E10"/>
    <w:rsid w:val="00E710AD"/>
    <w:rsid w:val="00E716D7"/>
    <w:rsid w:val="00E71AD5"/>
    <w:rsid w:val="00E71B8D"/>
    <w:rsid w:val="00E71E7D"/>
    <w:rsid w:val="00E720E7"/>
    <w:rsid w:val="00E72488"/>
    <w:rsid w:val="00E72A35"/>
    <w:rsid w:val="00E72D2D"/>
    <w:rsid w:val="00E72E42"/>
    <w:rsid w:val="00E72E9B"/>
    <w:rsid w:val="00E72FCB"/>
    <w:rsid w:val="00E73025"/>
    <w:rsid w:val="00E73233"/>
    <w:rsid w:val="00E7370E"/>
    <w:rsid w:val="00E73CA4"/>
    <w:rsid w:val="00E74F19"/>
    <w:rsid w:val="00E7532C"/>
    <w:rsid w:val="00E753BD"/>
    <w:rsid w:val="00E7569E"/>
    <w:rsid w:val="00E759CB"/>
    <w:rsid w:val="00E75CF6"/>
    <w:rsid w:val="00E76662"/>
    <w:rsid w:val="00E768B9"/>
    <w:rsid w:val="00E76BBA"/>
    <w:rsid w:val="00E76E89"/>
    <w:rsid w:val="00E77067"/>
    <w:rsid w:val="00E77192"/>
    <w:rsid w:val="00E77A5B"/>
    <w:rsid w:val="00E77BDA"/>
    <w:rsid w:val="00E77D32"/>
    <w:rsid w:val="00E802A5"/>
    <w:rsid w:val="00E8096C"/>
    <w:rsid w:val="00E80A2E"/>
    <w:rsid w:val="00E80B16"/>
    <w:rsid w:val="00E80ED7"/>
    <w:rsid w:val="00E80F36"/>
    <w:rsid w:val="00E81195"/>
    <w:rsid w:val="00E81197"/>
    <w:rsid w:val="00E81274"/>
    <w:rsid w:val="00E813CB"/>
    <w:rsid w:val="00E81770"/>
    <w:rsid w:val="00E8181E"/>
    <w:rsid w:val="00E819E9"/>
    <w:rsid w:val="00E82347"/>
    <w:rsid w:val="00E82A14"/>
    <w:rsid w:val="00E82A22"/>
    <w:rsid w:val="00E82EFF"/>
    <w:rsid w:val="00E836D0"/>
    <w:rsid w:val="00E836F0"/>
    <w:rsid w:val="00E83B62"/>
    <w:rsid w:val="00E83CA4"/>
    <w:rsid w:val="00E83F9F"/>
    <w:rsid w:val="00E8420E"/>
    <w:rsid w:val="00E843E4"/>
    <w:rsid w:val="00E84555"/>
    <w:rsid w:val="00E84881"/>
    <w:rsid w:val="00E84CE7"/>
    <w:rsid w:val="00E85202"/>
    <w:rsid w:val="00E85276"/>
    <w:rsid w:val="00E853E0"/>
    <w:rsid w:val="00E855A2"/>
    <w:rsid w:val="00E8574A"/>
    <w:rsid w:val="00E85753"/>
    <w:rsid w:val="00E85B97"/>
    <w:rsid w:val="00E85EFD"/>
    <w:rsid w:val="00E8626F"/>
    <w:rsid w:val="00E86783"/>
    <w:rsid w:val="00E868B3"/>
    <w:rsid w:val="00E86916"/>
    <w:rsid w:val="00E86951"/>
    <w:rsid w:val="00E8721E"/>
    <w:rsid w:val="00E877AD"/>
    <w:rsid w:val="00E879D6"/>
    <w:rsid w:val="00E87C5C"/>
    <w:rsid w:val="00E87CC5"/>
    <w:rsid w:val="00E87E32"/>
    <w:rsid w:val="00E87E61"/>
    <w:rsid w:val="00E90F46"/>
    <w:rsid w:val="00E9106D"/>
    <w:rsid w:val="00E9118C"/>
    <w:rsid w:val="00E913A4"/>
    <w:rsid w:val="00E9212E"/>
    <w:rsid w:val="00E92A40"/>
    <w:rsid w:val="00E92B72"/>
    <w:rsid w:val="00E92BD8"/>
    <w:rsid w:val="00E932BC"/>
    <w:rsid w:val="00E9383A"/>
    <w:rsid w:val="00E93AA6"/>
    <w:rsid w:val="00E93D1F"/>
    <w:rsid w:val="00E9499E"/>
    <w:rsid w:val="00E94B9B"/>
    <w:rsid w:val="00E94BBC"/>
    <w:rsid w:val="00E94F27"/>
    <w:rsid w:val="00E95653"/>
    <w:rsid w:val="00E9591E"/>
    <w:rsid w:val="00E95A92"/>
    <w:rsid w:val="00E95D1C"/>
    <w:rsid w:val="00E95D45"/>
    <w:rsid w:val="00E963A0"/>
    <w:rsid w:val="00E965E3"/>
    <w:rsid w:val="00E966E3"/>
    <w:rsid w:val="00E96BDC"/>
    <w:rsid w:val="00E96D44"/>
    <w:rsid w:val="00E96D99"/>
    <w:rsid w:val="00E96E43"/>
    <w:rsid w:val="00E96F97"/>
    <w:rsid w:val="00E9710E"/>
    <w:rsid w:val="00E971BA"/>
    <w:rsid w:val="00E971D9"/>
    <w:rsid w:val="00E976D4"/>
    <w:rsid w:val="00E979C7"/>
    <w:rsid w:val="00E97B2B"/>
    <w:rsid w:val="00E97C3D"/>
    <w:rsid w:val="00E97C79"/>
    <w:rsid w:val="00E97DB4"/>
    <w:rsid w:val="00E97EFF"/>
    <w:rsid w:val="00EA07D7"/>
    <w:rsid w:val="00EA0B48"/>
    <w:rsid w:val="00EA13F9"/>
    <w:rsid w:val="00EA1424"/>
    <w:rsid w:val="00EA144B"/>
    <w:rsid w:val="00EA1518"/>
    <w:rsid w:val="00EA1521"/>
    <w:rsid w:val="00EA1CB1"/>
    <w:rsid w:val="00EA1E5C"/>
    <w:rsid w:val="00EA1F4A"/>
    <w:rsid w:val="00EA215E"/>
    <w:rsid w:val="00EA21F3"/>
    <w:rsid w:val="00EA2B54"/>
    <w:rsid w:val="00EA3589"/>
    <w:rsid w:val="00EA38F6"/>
    <w:rsid w:val="00EA3954"/>
    <w:rsid w:val="00EA39AD"/>
    <w:rsid w:val="00EA3EE9"/>
    <w:rsid w:val="00EA4038"/>
    <w:rsid w:val="00EA44A0"/>
    <w:rsid w:val="00EA45AA"/>
    <w:rsid w:val="00EA48CB"/>
    <w:rsid w:val="00EA4AD5"/>
    <w:rsid w:val="00EA4D3B"/>
    <w:rsid w:val="00EA5078"/>
    <w:rsid w:val="00EA58E2"/>
    <w:rsid w:val="00EA58F9"/>
    <w:rsid w:val="00EA5D9B"/>
    <w:rsid w:val="00EA60F0"/>
    <w:rsid w:val="00EA6E33"/>
    <w:rsid w:val="00EA6E8D"/>
    <w:rsid w:val="00EA6F95"/>
    <w:rsid w:val="00EA731A"/>
    <w:rsid w:val="00EA7373"/>
    <w:rsid w:val="00EA75E3"/>
    <w:rsid w:val="00EB0007"/>
    <w:rsid w:val="00EB0479"/>
    <w:rsid w:val="00EB0583"/>
    <w:rsid w:val="00EB0A91"/>
    <w:rsid w:val="00EB0A92"/>
    <w:rsid w:val="00EB0D54"/>
    <w:rsid w:val="00EB1002"/>
    <w:rsid w:val="00EB13E9"/>
    <w:rsid w:val="00EB167B"/>
    <w:rsid w:val="00EB18D3"/>
    <w:rsid w:val="00EB1B5C"/>
    <w:rsid w:val="00EB1C04"/>
    <w:rsid w:val="00EB1DE6"/>
    <w:rsid w:val="00EB278F"/>
    <w:rsid w:val="00EB2D44"/>
    <w:rsid w:val="00EB2DD1"/>
    <w:rsid w:val="00EB3022"/>
    <w:rsid w:val="00EB3E36"/>
    <w:rsid w:val="00EB3F12"/>
    <w:rsid w:val="00EB4234"/>
    <w:rsid w:val="00EB512A"/>
    <w:rsid w:val="00EB5407"/>
    <w:rsid w:val="00EB551B"/>
    <w:rsid w:val="00EB563B"/>
    <w:rsid w:val="00EB58A0"/>
    <w:rsid w:val="00EB58E8"/>
    <w:rsid w:val="00EB5CC9"/>
    <w:rsid w:val="00EB5DAC"/>
    <w:rsid w:val="00EB6266"/>
    <w:rsid w:val="00EB6334"/>
    <w:rsid w:val="00EB68F0"/>
    <w:rsid w:val="00EB6B28"/>
    <w:rsid w:val="00EB6E56"/>
    <w:rsid w:val="00EB6F58"/>
    <w:rsid w:val="00EB73ED"/>
    <w:rsid w:val="00EB7568"/>
    <w:rsid w:val="00EC07FA"/>
    <w:rsid w:val="00EC0869"/>
    <w:rsid w:val="00EC09C6"/>
    <w:rsid w:val="00EC09F5"/>
    <w:rsid w:val="00EC0E73"/>
    <w:rsid w:val="00EC0F7F"/>
    <w:rsid w:val="00EC166F"/>
    <w:rsid w:val="00EC1A8B"/>
    <w:rsid w:val="00EC1F92"/>
    <w:rsid w:val="00EC231D"/>
    <w:rsid w:val="00EC23F6"/>
    <w:rsid w:val="00EC24E4"/>
    <w:rsid w:val="00EC26E6"/>
    <w:rsid w:val="00EC29ED"/>
    <w:rsid w:val="00EC29EE"/>
    <w:rsid w:val="00EC2B46"/>
    <w:rsid w:val="00EC2DC8"/>
    <w:rsid w:val="00EC33EF"/>
    <w:rsid w:val="00EC36FD"/>
    <w:rsid w:val="00EC3803"/>
    <w:rsid w:val="00EC3A24"/>
    <w:rsid w:val="00EC3AA9"/>
    <w:rsid w:val="00EC3D7F"/>
    <w:rsid w:val="00EC42A4"/>
    <w:rsid w:val="00EC4524"/>
    <w:rsid w:val="00EC4738"/>
    <w:rsid w:val="00EC484D"/>
    <w:rsid w:val="00EC4B47"/>
    <w:rsid w:val="00EC4BFB"/>
    <w:rsid w:val="00EC50CB"/>
    <w:rsid w:val="00EC558D"/>
    <w:rsid w:val="00EC596D"/>
    <w:rsid w:val="00EC5CF0"/>
    <w:rsid w:val="00EC5E2F"/>
    <w:rsid w:val="00EC6778"/>
    <w:rsid w:val="00EC6BBF"/>
    <w:rsid w:val="00EC6C6C"/>
    <w:rsid w:val="00EC6F6E"/>
    <w:rsid w:val="00EC7099"/>
    <w:rsid w:val="00EC71C1"/>
    <w:rsid w:val="00EC723E"/>
    <w:rsid w:val="00EC735E"/>
    <w:rsid w:val="00EC768E"/>
    <w:rsid w:val="00EC76B2"/>
    <w:rsid w:val="00EC77ED"/>
    <w:rsid w:val="00EC78B3"/>
    <w:rsid w:val="00EC7C40"/>
    <w:rsid w:val="00EC7DEA"/>
    <w:rsid w:val="00EC7E36"/>
    <w:rsid w:val="00ED00E0"/>
    <w:rsid w:val="00ED0198"/>
    <w:rsid w:val="00ED0BEF"/>
    <w:rsid w:val="00ED112D"/>
    <w:rsid w:val="00ED12CD"/>
    <w:rsid w:val="00ED13A2"/>
    <w:rsid w:val="00ED1CEE"/>
    <w:rsid w:val="00ED1F23"/>
    <w:rsid w:val="00ED2548"/>
    <w:rsid w:val="00ED290A"/>
    <w:rsid w:val="00ED2FB6"/>
    <w:rsid w:val="00ED3163"/>
    <w:rsid w:val="00ED329B"/>
    <w:rsid w:val="00ED39C6"/>
    <w:rsid w:val="00ED3D40"/>
    <w:rsid w:val="00ED40A5"/>
    <w:rsid w:val="00ED5157"/>
    <w:rsid w:val="00ED541D"/>
    <w:rsid w:val="00ED559F"/>
    <w:rsid w:val="00ED56AB"/>
    <w:rsid w:val="00ED5D7C"/>
    <w:rsid w:val="00ED6506"/>
    <w:rsid w:val="00ED691E"/>
    <w:rsid w:val="00ED6FA8"/>
    <w:rsid w:val="00ED7039"/>
    <w:rsid w:val="00ED71F0"/>
    <w:rsid w:val="00ED7968"/>
    <w:rsid w:val="00ED798E"/>
    <w:rsid w:val="00ED7A4D"/>
    <w:rsid w:val="00EE0591"/>
    <w:rsid w:val="00EE0692"/>
    <w:rsid w:val="00EE0C50"/>
    <w:rsid w:val="00EE0D06"/>
    <w:rsid w:val="00EE146B"/>
    <w:rsid w:val="00EE1C16"/>
    <w:rsid w:val="00EE1FB3"/>
    <w:rsid w:val="00EE20C1"/>
    <w:rsid w:val="00EE2C44"/>
    <w:rsid w:val="00EE33AD"/>
    <w:rsid w:val="00EE349B"/>
    <w:rsid w:val="00EE37BE"/>
    <w:rsid w:val="00EE38FB"/>
    <w:rsid w:val="00EE3F0B"/>
    <w:rsid w:val="00EE3F9B"/>
    <w:rsid w:val="00EE4541"/>
    <w:rsid w:val="00EE45E2"/>
    <w:rsid w:val="00EE46F3"/>
    <w:rsid w:val="00EE4838"/>
    <w:rsid w:val="00EE4895"/>
    <w:rsid w:val="00EE4AFF"/>
    <w:rsid w:val="00EE4E1D"/>
    <w:rsid w:val="00EE4ECF"/>
    <w:rsid w:val="00EE5391"/>
    <w:rsid w:val="00EE5BFE"/>
    <w:rsid w:val="00EE7398"/>
    <w:rsid w:val="00EE739C"/>
    <w:rsid w:val="00EE7456"/>
    <w:rsid w:val="00EE7897"/>
    <w:rsid w:val="00EE7E7C"/>
    <w:rsid w:val="00EE7EF1"/>
    <w:rsid w:val="00EF0108"/>
    <w:rsid w:val="00EF06C4"/>
    <w:rsid w:val="00EF08FB"/>
    <w:rsid w:val="00EF094E"/>
    <w:rsid w:val="00EF0A57"/>
    <w:rsid w:val="00EF0C41"/>
    <w:rsid w:val="00EF0C7A"/>
    <w:rsid w:val="00EF100F"/>
    <w:rsid w:val="00EF11F7"/>
    <w:rsid w:val="00EF12F8"/>
    <w:rsid w:val="00EF1333"/>
    <w:rsid w:val="00EF15C9"/>
    <w:rsid w:val="00EF1634"/>
    <w:rsid w:val="00EF1689"/>
    <w:rsid w:val="00EF1AD9"/>
    <w:rsid w:val="00EF1DFA"/>
    <w:rsid w:val="00EF1E7B"/>
    <w:rsid w:val="00EF2494"/>
    <w:rsid w:val="00EF261A"/>
    <w:rsid w:val="00EF2792"/>
    <w:rsid w:val="00EF28E5"/>
    <w:rsid w:val="00EF2B62"/>
    <w:rsid w:val="00EF2D6C"/>
    <w:rsid w:val="00EF3989"/>
    <w:rsid w:val="00EF421D"/>
    <w:rsid w:val="00EF43BA"/>
    <w:rsid w:val="00EF440D"/>
    <w:rsid w:val="00EF4418"/>
    <w:rsid w:val="00EF4552"/>
    <w:rsid w:val="00EF4CD2"/>
    <w:rsid w:val="00EF502E"/>
    <w:rsid w:val="00EF505E"/>
    <w:rsid w:val="00EF5166"/>
    <w:rsid w:val="00EF5B22"/>
    <w:rsid w:val="00EF60B9"/>
    <w:rsid w:val="00EF60E0"/>
    <w:rsid w:val="00EF63C0"/>
    <w:rsid w:val="00EF67BC"/>
    <w:rsid w:val="00EF6A3C"/>
    <w:rsid w:val="00EF6AB8"/>
    <w:rsid w:val="00EF6B7F"/>
    <w:rsid w:val="00EF6EB6"/>
    <w:rsid w:val="00EF70D0"/>
    <w:rsid w:val="00EF76AB"/>
    <w:rsid w:val="00EF7D48"/>
    <w:rsid w:val="00F00726"/>
    <w:rsid w:val="00F00798"/>
    <w:rsid w:val="00F0086D"/>
    <w:rsid w:val="00F0096D"/>
    <w:rsid w:val="00F00B88"/>
    <w:rsid w:val="00F00E67"/>
    <w:rsid w:val="00F00EEE"/>
    <w:rsid w:val="00F00FB7"/>
    <w:rsid w:val="00F0104B"/>
    <w:rsid w:val="00F020E6"/>
    <w:rsid w:val="00F02428"/>
    <w:rsid w:val="00F024A4"/>
    <w:rsid w:val="00F0255E"/>
    <w:rsid w:val="00F02C3A"/>
    <w:rsid w:val="00F0328B"/>
    <w:rsid w:val="00F03E3E"/>
    <w:rsid w:val="00F040C0"/>
    <w:rsid w:val="00F044D5"/>
    <w:rsid w:val="00F044F9"/>
    <w:rsid w:val="00F04727"/>
    <w:rsid w:val="00F04853"/>
    <w:rsid w:val="00F04D78"/>
    <w:rsid w:val="00F04E86"/>
    <w:rsid w:val="00F05FA3"/>
    <w:rsid w:val="00F0629B"/>
    <w:rsid w:val="00F062DF"/>
    <w:rsid w:val="00F063D1"/>
    <w:rsid w:val="00F06489"/>
    <w:rsid w:val="00F06843"/>
    <w:rsid w:val="00F072E9"/>
    <w:rsid w:val="00F07458"/>
    <w:rsid w:val="00F07568"/>
    <w:rsid w:val="00F079AD"/>
    <w:rsid w:val="00F07E8F"/>
    <w:rsid w:val="00F1041D"/>
    <w:rsid w:val="00F10B97"/>
    <w:rsid w:val="00F118AC"/>
    <w:rsid w:val="00F11995"/>
    <w:rsid w:val="00F11F17"/>
    <w:rsid w:val="00F120D9"/>
    <w:rsid w:val="00F12296"/>
    <w:rsid w:val="00F12CD9"/>
    <w:rsid w:val="00F12E9C"/>
    <w:rsid w:val="00F12FE6"/>
    <w:rsid w:val="00F133FA"/>
    <w:rsid w:val="00F13C9C"/>
    <w:rsid w:val="00F13E06"/>
    <w:rsid w:val="00F1435D"/>
    <w:rsid w:val="00F143A6"/>
    <w:rsid w:val="00F14429"/>
    <w:rsid w:val="00F14ABB"/>
    <w:rsid w:val="00F15661"/>
    <w:rsid w:val="00F15755"/>
    <w:rsid w:val="00F157B5"/>
    <w:rsid w:val="00F15B8B"/>
    <w:rsid w:val="00F15E70"/>
    <w:rsid w:val="00F160A6"/>
    <w:rsid w:val="00F16186"/>
    <w:rsid w:val="00F162E5"/>
    <w:rsid w:val="00F16510"/>
    <w:rsid w:val="00F16980"/>
    <w:rsid w:val="00F16989"/>
    <w:rsid w:val="00F169C6"/>
    <w:rsid w:val="00F16FE7"/>
    <w:rsid w:val="00F1753E"/>
    <w:rsid w:val="00F1767D"/>
    <w:rsid w:val="00F17E80"/>
    <w:rsid w:val="00F17F25"/>
    <w:rsid w:val="00F20141"/>
    <w:rsid w:val="00F204C2"/>
    <w:rsid w:val="00F20881"/>
    <w:rsid w:val="00F20D8B"/>
    <w:rsid w:val="00F21069"/>
    <w:rsid w:val="00F21119"/>
    <w:rsid w:val="00F21826"/>
    <w:rsid w:val="00F21B0F"/>
    <w:rsid w:val="00F2200A"/>
    <w:rsid w:val="00F22071"/>
    <w:rsid w:val="00F2217C"/>
    <w:rsid w:val="00F22BC1"/>
    <w:rsid w:val="00F238E3"/>
    <w:rsid w:val="00F239C5"/>
    <w:rsid w:val="00F242D1"/>
    <w:rsid w:val="00F244A7"/>
    <w:rsid w:val="00F245B8"/>
    <w:rsid w:val="00F2585C"/>
    <w:rsid w:val="00F2596C"/>
    <w:rsid w:val="00F25C84"/>
    <w:rsid w:val="00F25D8C"/>
    <w:rsid w:val="00F25FC0"/>
    <w:rsid w:val="00F2647F"/>
    <w:rsid w:val="00F27258"/>
    <w:rsid w:val="00F275E2"/>
    <w:rsid w:val="00F27603"/>
    <w:rsid w:val="00F2767A"/>
    <w:rsid w:val="00F27812"/>
    <w:rsid w:val="00F279C4"/>
    <w:rsid w:val="00F27C45"/>
    <w:rsid w:val="00F27F2C"/>
    <w:rsid w:val="00F30811"/>
    <w:rsid w:val="00F30970"/>
    <w:rsid w:val="00F30C51"/>
    <w:rsid w:val="00F30FBA"/>
    <w:rsid w:val="00F31415"/>
    <w:rsid w:val="00F31420"/>
    <w:rsid w:val="00F31B4E"/>
    <w:rsid w:val="00F31CB3"/>
    <w:rsid w:val="00F31CD1"/>
    <w:rsid w:val="00F31ED5"/>
    <w:rsid w:val="00F31F60"/>
    <w:rsid w:val="00F32011"/>
    <w:rsid w:val="00F323E7"/>
    <w:rsid w:val="00F32648"/>
    <w:rsid w:val="00F32C1D"/>
    <w:rsid w:val="00F33082"/>
    <w:rsid w:val="00F3324C"/>
    <w:rsid w:val="00F332B1"/>
    <w:rsid w:val="00F338ED"/>
    <w:rsid w:val="00F33A5A"/>
    <w:rsid w:val="00F33B1D"/>
    <w:rsid w:val="00F33B9A"/>
    <w:rsid w:val="00F33BE1"/>
    <w:rsid w:val="00F33CBD"/>
    <w:rsid w:val="00F34194"/>
    <w:rsid w:val="00F34483"/>
    <w:rsid w:val="00F34540"/>
    <w:rsid w:val="00F34705"/>
    <w:rsid w:val="00F3499D"/>
    <w:rsid w:val="00F3582A"/>
    <w:rsid w:val="00F358DC"/>
    <w:rsid w:val="00F35B40"/>
    <w:rsid w:val="00F35D14"/>
    <w:rsid w:val="00F36667"/>
    <w:rsid w:val="00F36806"/>
    <w:rsid w:val="00F36CAC"/>
    <w:rsid w:val="00F37335"/>
    <w:rsid w:val="00F373C6"/>
    <w:rsid w:val="00F37C3D"/>
    <w:rsid w:val="00F40228"/>
    <w:rsid w:val="00F402B6"/>
    <w:rsid w:val="00F4089A"/>
    <w:rsid w:val="00F40C2B"/>
    <w:rsid w:val="00F40E98"/>
    <w:rsid w:val="00F414C7"/>
    <w:rsid w:val="00F41C68"/>
    <w:rsid w:val="00F41D5A"/>
    <w:rsid w:val="00F424C6"/>
    <w:rsid w:val="00F4292A"/>
    <w:rsid w:val="00F43204"/>
    <w:rsid w:val="00F433C1"/>
    <w:rsid w:val="00F43450"/>
    <w:rsid w:val="00F43620"/>
    <w:rsid w:val="00F4366C"/>
    <w:rsid w:val="00F4395C"/>
    <w:rsid w:val="00F43A6D"/>
    <w:rsid w:val="00F43E6F"/>
    <w:rsid w:val="00F43EC2"/>
    <w:rsid w:val="00F441B1"/>
    <w:rsid w:val="00F4441B"/>
    <w:rsid w:val="00F4459C"/>
    <w:rsid w:val="00F4462F"/>
    <w:rsid w:val="00F4473B"/>
    <w:rsid w:val="00F44DF3"/>
    <w:rsid w:val="00F44EB8"/>
    <w:rsid w:val="00F44F2F"/>
    <w:rsid w:val="00F44FC3"/>
    <w:rsid w:val="00F45222"/>
    <w:rsid w:val="00F4523F"/>
    <w:rsid w:val="00F453E6"/>
    <w:rsid w:val="00F4592F"/>
    <w:rsid w:val="00F45A6A"/>
    <w:rsid w:val="00F45E64"/>
    <w:rsid w:val="00F45EF1"/>
    <w:rsid w:val="00F45F3D"/>
    <w:rsid w:val="00F4619E"/>
    <w:rsid w:val="00F46B04"/>
    <w:rsid w:val="00F46B96"/>
    <w:rsid w:val="00F471DE"/>
    <w:rsid w:val="00F47FC2"/>
    <w:rsid w:val="00F50149"/>
    <w:rsid w:val="00F5039C"/>
    <w:rsid w:val="00F50536"/>
    <w:rsid w:val="00F50647"/>
    <w:rsid w:val="00F50839"/>
    <w:rsid w:val="00F50927"/>
    <w:rsid w:val="00F5092D"/>
    <w:rsid w:val="00F515D1"/>
    <w:rsid w:val="00F5169F"/>
    <w:rsid w:val="00F51C48"/>
    <w:rsid w:val="00F520BD"/>
    <w:rsid w:val="00F520FE"/>
    <w:rsid w:val="00F52377"/>
    <w:rsid w:val="00F523EE"/>
    <w:rsid w:val="00F52A44"/>
    <w:rsid w:val="00F530C3"/>
    <w:rsid w:val="00F53C17"/>
    <w:rsid w:val="00F5428E"/>
    <w:rsid w:val="00F5448E"/>
    <w:rsid w:val="00F544B7"/>
    <w:rsid w:val="00F5502D"/>
    <w:rsid w:val="00F55075"/>
    <w:rsid w:val="00F551D2"/>
    <w:rsid w:val="00F55418"/>
    <w:rsid w:val="00F55607"/>
    <w:rsid w:val="00F55608"/>
    <w:rsid w:val="00F5566D"/>
    <w:rsid w:val="00F55701"/>
    <w:rsid w:val="00F5580C"/>
    <w:rsid w:val="00F55AFA"/>
    <w:rsid w:val="00F55FB8"/>
    <w:rsid w:val="00F55FDA"/>
    <w:rsid w:val="00F560FC"/>
    <w:rsid w:val="00F5694D"/>
    <w:rsid w:val="00F5737D"/>
    <w:rsid w:val="00F5738D"/>
    <w:rsid w:val="00F577ED"/>
    <w:rsid w:val="00F57A2B"/>
    <w:rsid w:val="00F57BC0"/>
    <w:rsid w:val="00F57C0A"/>
    <w:rsid w:val="00F57CC7"/>
    <w:rsid w:val="00F57F7E"/>
    <w:rsid w:val="00F6055C"/>
    <w:rsid w:val="00F60ACF"/>
    <w:rsid w:val="00F60DCF"/>
    <w:rsid w:val="00F60EAC"/>
    <w:rsid w:val="00F6145C"/>
    <w:rsid w:val="00F614E0"/>
    <w:rsid w:val="00F61950"/>
    <w:rsid w:val="00F61ACE"/>
    <w:rsid w:val="00F62883"/>
    <w:rsid w:val="00F62AEF"/>
    <w:rsid w:val="00F62D59"/>
    <w:rsid w:val="00F62E1F"/>
    <w:rsid w:val="00F62F66"/>
    <w:rsid w:val="00F63027"/>
    <w:rsid w:val="00F63753"/>
    <w:rsid w:val="00F637A4"/>
    <w:rsid w:val="00F6381E"/>
    <w:rsid w:val="00F63D79"/>
    <w:rsid w:val="00F63E70"/>
    <w:rsid w:val="00F64651"/>
    <w:rsid w:val="00F648F0"/>
    <w:rsid w:val="00F64EFA"/>
    <w:rsid w:val="00F64F30"/>
    <w:rsid w:val="00F65501"/>
    <w:rsid w:val="00F657FA"/>
    <w:rsid w:val="00F65A68"/>
    <w:rsid w:val="00F65B8C"/>
    <w:rsid w:val="00F664C2"/>
    <w:rsid w:val="00F66570"/>
    <w:rsid w:val="00F6664E"/>
    <w:rsid w:val="00F6674D"/>
    <w:rsid w:val="00F6680A"/>
    <w:rsid w:val="00F66D81"/>
    <w:rsid w:val="00F66D91"/>
    <w:rsid w:val="00F6793E"/>
    <w:rsid w:val="00F70503"/>
    <w:rsid w:val="00F7058E"/>
    <w:rsid w:val="00F705FE"/>
    <w:rsid w:val="00F7067D"/>
    <w:rsid w:val="00F709D1"/>
    <w:rsid w:val="00F710C3"/>
    <w:rsid w:val="00F7112E"/>
    <w:rsid w:val="00F71B3B"/>
    <w:rsid w:val="00F725F1"/>
    <w:rsid w:val="00F72A42"/>
    <w:rsid w:val="00F72AA9"/>
    <w:rsid w:val="00F72BC6"/>
    <w:rsid w:val="00F72E7C"/>
    <w:rsid w:val="00F72F45"/>
    <w:rsid w:val="00F72FE7"/>
    <w:rsid w:val="00F73F1D"/>
    <w:rsid w:val="00F73F7F"/>
    <w:rsid w:val="00F74076"/>
    <w:rsid w:val="00F7413C"/>
    <w:rsid w:val="00F744DB"/>
    <w:rsid w:val="00F74677"/>
    <w:rsid w:val="00F747AA"/>
    <w:rsid w:val="00F7531F"/>
    <w:rsid w:val="00F7566C"/>
    <w:rsid w:val="00F75864"/>
    <w:rsid w:val="00F75A23"/>
    <w:rsid w:val="00F75AD2"/>
    <w:rsid w:val="00F75BB0"/>
    <w:rsid w:val="00F75F0A"/>
    <w:rsid w:val="00F762AC"/>
    <w:rsid w:val="00F7646D"/>
    <w:rsid w:val="00F76805"/>
    <w:rsid w:val="00F76BA3"/>
    <w:rsid w:val="00F76BED"/>
    <w:rsid w:val="00F76F79"/>
    <w:rsid w:val="00F77360"/>
    <w:rsid w:val="00F773B6"/>
    <w:rsid w:val="00F774BB"/>
    <w:rsid w:val="00F77A57"/>
    <w:rsid w:val="00F77A60"/>
    <w:rsid w:val="00F77F04"/>
    <w:rsid w:val="00F808AF"/>
    <w:rsid w:val="00F80CA3"/>
    <w:rsid w:val="00F80CE3"/>
    <w:rsid w:val="00F81544"/>
    <w:rsid w:val="00F81555"/>
    <w:rsid w:val="00F8167C"/>
    <w:rsid w:val="00F81AE2"/>
    <w:rsid w:val="00F81AEC"/>
    <w:rsid w:val="00F81C06"/>
    <w:rsid w:val="00F81E6A"/>
    <w:rsid w:val="00F82691"/>
    <w:rsid w:val="00F8276F"/>
    <w:rsid w:val="00F8284A"/>
    <w:rsid w:val="00F8288C"/>
    <w:rsid w:val="00F82BB3"/>
    <w:rsid w:val="00F82C2C"/>
    <w:rsid w:val="00F82C45"/>
    <w:rsid w:val="00F82C5C"/>
    <w:rsid w:val="00F82EB0"/>
    <w:rsid w:val="00F83441"/>
    <w:rsid w:val="00F838FE"/>
    <w:rsid w:val="00F8392B"/>
    <w:rsid w:val="00F8435F"/>
    <w:rsid w:val="00F84673"/>
    <w:rsid w:val="00F8482F"/>
    <w:rsid w:val="00F84914"/>
    <w:rsid w:val="00F849BE"/>
    <w:rsid w:val="00F84C45"/>
    <w:rsid w:val="00F85488"/>
    <w:rsid w:val="00F855B8"/>
    <w:rsid w:val="00F8564D"/>
    <w:rsid w:val="00F859E0"/>
    <w:rsid w:val="00F859E4"/>
    <w:rsid w:val="00F85A0C"/>
    <w:rsid w:val="00F85B94"/>
    <w:rsid w:val="00F86192"/>
    <w:rsid w:val="00F869EF"/>
    <w:rsid w:val="00F86F96"/>
    <w:rsid w:val="00F87353"/>
    <w:rsid w:val="00F8742B"/>
    <w:rsid w:val="00F9001E"/>
    <w:rsid w:val="00F901B9"/>
    <w:rsid w:val="00F90493"/>
    <w:rsid w:val="00F90689"/>
    <w:rsid w:val="00F90EB7"/>
    <w:rsid w:val="00F90FBB"/>
    <w:rsid w:val="00F91097"/>
    <w:rsid w:val="00F91968"/>
    <w:rsid w:val="00F91E9A"/>
    <w:rsid w:val="00F91F19"/>
    <w:rsid w:val="00F9202F"/>
    <w:rsid w:val="00F92049"/>
    <w:rsid w:val="00F921A9"/>
    <w:rsid w:val="00F92810"/>
    <w:rsid w:val="00F929BD"/>
    <w:rsid w:val="00F9331C"/>
    <w:rsid w:val="00F93672"/>
    <w:rsid w:val="00F94445"/>
    <w:rsid w:val="00F94B96"/>
    <w:rsid w:val="00F94C93"/>
    <w:rsid w:val="00F952B8"/>
    <w:rsid w:val="00F952BA"/>
    <w:rsid w:val="00F952C8"/>
    <w:rsid w:val="00F95348"/>
    <w:rsid w:val="00F959C9"/>
    <w:rsid w:val="00F95EBF"/>
    <w:rsid w:val="00F95F74"/>
    <w:rsid w:val="00F96291"/>
    <w:rsid w:val="00F9629C"/>
    <w:rsid w:val="00F96681"/>
    <w:rsid w:val="00F96C8F"/>
    <w:rsid w:val="00F97242"/>
    <w:rsid w:val="00F979A0"/>
    <w:rsid w:val="00F97B29"/>
    <w:rsid w:val="00F97E30"/>
    <w:rsid w:val="00FA0486"/>
    <w:rsid w:val="00FA049B"/>
    <w:rsid w:val="00FA07E2"/>
    <w:rsid w:val="00FA07E4"/>
    <w:rsid w:val="00FA0868"/>
    <w:rsid w:val="00FA0E43"/>
    <w:rsid w:val="00FA134D"/>
    <w:rsid w:val="00FA14C3"/>
    <w:rsid w:val="00FA181B"/>
    <w:rsid w:val="00FA192B"/>
    <w:rsid w:val="00FA2665"/>
    <w:rsid w:val="00FA28B7"/>
    <w:rsid w:val="00FA2B18"/>
    <w:rsid w:val="00FA31AA"/>
    <w:rsid w:val="00FA33B5"/>
    <w:rsid w:val="00FA343C"/>
    <w:rsid w:val="00FA3671"/>
    <w:rsid w:val="00FA3859"/>
    <w:rsid w:val="00FA470E"/>
    <w:rsid w:val="00FA4938"/>
    <w:rsid w:val="00FA4DB8"/>
    <w:rsid w:val="00FA50B5"/>
    <w:rsid w:val="00FA5998"/>
    <w:rsid w:val="00FA603C"/>
    <w:rsid w:val="00FA6097"/>
    <w:rsid w:val="00FA628A"/>
    <w:rsid w:val="00FA64EF"/>
    <w:rsid w:val="00FA64F2"/>
    <w:rsid w:val="00FA679F"/>
    <w:rsid w:val="00FA6806"/>
    <w:rsid w:val="00FA6A20"/>
    <w:rsid w:val="00FA6E81"/>
    <w:rsid w:val="00FA7B7E"/>
    <w:rsid w:val="00FA7B8A"/>
    <w:rsid w:val="00FA7C72"/>
    <w:rsid w:val="00FA7D5E"/>
    <w:rsid w:val="00FB02CD"/>
    <w:rsid w:val="00FB0848"/>
    <w:rsid w:val="00FB131B"/>
    <w:rsid w:val="00FB1585"/>
    <w:rsid w:val="00FB1B93"/>
    <w:rsid w:val="00FB1C05"/>
    <w:rsid w:val="00FB1CAC"/>
    <w:rsid w:val="00FB1CFD"/>
    <w:rsid w:val="00FB1D8E"/>
    <w:rsid w:val="00FB1FA9"/>
    <w:rsid w:val="00FB2C19"/>
    <w:rsid w:val="00FB2D45"/>
    <w:rsid w:val="00FB3E25"/>
    <w:rsid w:val="00FB416A"/>
    <w:rsid w:val="00FB42B0"/>
    <w:rsid w:val="00FB451D"/>
    <w:rsid w:val="00FB4539"/>
    <w:rsid w:val="00FB4589"/>
    <w:rsid w:val="00FB52CF"/>
    <w:rsid w:val="00FB53C3"/>
    <w:rsid w:val="00FB53F5"/>
    <w:rsid w:val="00FB5A23"/>
    <w:rsid w:val="00FB5C0D"/>
    <w:rsid w:val="00FB5E02"/>
    <w:rsid w:val="00FB5EA9"/>
    <w:rsid w:val="00FB61B5"/>
    <w:rsid w:val="00FB65A2"/>
    <w:rsid w:val="00FB671B"/>
    <w:rsid w:val="00FB67AF"/>
    <w:rsid w:val="00FB69B8"/>
    <w:rsid w:val="00FB6BF8"/>
    <w:rsid w:val="00FB6F96"/>
    <w:rsid w:val="00FB7075"/>
    <w:rsid w:val="00FB7325"/>
    <w:rsid w:val="00FB735D"/>
    <w:rsid w:val="00FB7672"/>
    <w:rsid w:val="00FB7767"/>
    <w:rsid w:val="00FB7AB2"/>
    <w:rsid w:val="00FB7AD2"/>
    <w:rsid w:val="00FB7CE5"/>
    <w:rsid w:val="00FB7ED7"/>
    <w:rsid w:val="00FC00BF"/>
    <w:rsid w:val="00FC039D"/>
    <w:rsid w:val="00FC03D4"/>
    <w:rsid w:val="00FC03EA"/>
    <w:rsid w:val="00FC0578"/>
    <w:rsid w:val="00FC0665"/>
    <w:rsid w:val="00FC07EF"/>
    <w:rsid w:val="00FC0CEE"/>
    <w:rsid w:val="00FC0FBD"/>
    <w:rsid w:val="00FC0FC0"/>
    <w:rsid w:val="00FC104F"/>
    <w:rsid w:val="00FC112D"/>
    <w:rsid w:val="00FC1624"/>
    <w:rsid w:val="00FC1975"/>
    <w:rsid w:val="00FC1AF7"/>
    <w:rsid w:val="00FC1DAC"/>
    <w:rsid w:val="00FC240B"/>
    <w:rsid w:val="00FC2658"/>
    <w:rsid w:val="00FC26D9"/>
    <w:rsid w:val="00FC286A"/>
    <w:rsid w:val="00FC29A2"/>
    <w:rsid w:val="00FC2A7B"/>
    <w:rsid w:val="00FC3453"/>
    <w:rsid w:val="00FC3483"/>
    <w:rsid w:val="00FC348F"/>
    <w:rsid w:val="00FC3C5C"/>
    <w:rsid w:val="00FC43F7"/>
    <w:rsid w:val="00FC4526"/>
    <w:rsid w:val="00FC47EB"/>
    <w:rsid w:val="00FC4BC8"/>
    <w:rsid w:val="00FC5334"/>
    <w:rsid w:val="00FC5BFA"/>
    <w:rsid w:val="00FC64AC"/>
    <w:rsid w:val="00FC65B8"/>
    <w:rsid w:val="00FC6C21"/>
    <w:rsid w:val="00FC6CEC"/>
    <w:rsid w:val="00FC73E8"/>
    <w:rsid w:val="00FC73FC"/>
    <w:rsid w:val="00FC77F6"/>
    <w:rsid w:val="00FC7A31"/>
    <w:rsid w:val="00FC7C2E"/>
    <w:rsid w:val="00FD0299"/>
    <w:rsid w:val="00FD02D3"/>
    <w:rsid w:val="00FD09F7"/>
    <w:rsid w:val="00FD0A39"/>
    <w:rsid w:val="00FD107F"/>
    <w:rsid w:val="00FD138C"/>
    <w:rsid w:val="00FD1733"/>
    <w:rsid w:val="00FD18FE"/>
    <w:rsid w:val="00FD1E72"/>
    <w:rsid w:val="00FD1FBD"/>
    <w:rsid w:val="00FD2A64"/>
    <w:rsid w:val="00FD2B62"/>
    <w:rsid w:val="00FD319B"/>
    <w:rsid w:val="00FD343A"/>
    <w:rsid w:val="00FD37B2"/>
    <w:rsid w:val="00FD3C03"/>
    <w:rsid w:val="00FD3F9B"/>
    <w:rsid w:val="00FD3FA5"/>
    <w:rsid w:val="00FD42FE"/>
    <w:rsid w:val="00FD44CF"/>
    <w:rsid w:val="00FD4A92"/>
    <w:rsid w:val="00FD504E"/>
    <w:rsid w:val="00FD5451"/>
    <w:rsid w:val="00FD5A36"/>
    <w:rsid w:val="00FD5D25"/>
    <w:rsid w:val="00FD5EA7"/>
    <w:rsid w:val="00FD6032"/>
    <w:rsid w:val="00FD6409"/>
    <w:rsid w:val="00FD64B9"/>
    <w:rsid w:val="00FD7841"/>
    <w:rsid w:val="00FD7D40"/>
    <w:rsid w:val="00FDC39D"/>
    <w:rsid w:val="00FE038A"/>
    <w:rsid w:val="00FE07AB"/>
    <w:rsid w:val="00FE0840"/>
    <w:rsid w:val="00FE0C46"/>
    <w:rsid w:val="00FE17DE"/>
    <w:rsid w:val="00FE1A39"/>
    <w:rsid w:val="00FE1C8C"/>
    <w:rsid w:val="00FE1D70"/>
    <w:rsid w:val="00FE1D7C"/>
    <w:rsid w:val="00FE1DAC"/>
    <w:rsid w:val="00FE24D0"/>
    <w:rsid w:val="00FE2653"/>
    <w:rsid w:val="00FE2862"/>
    <w:rsid w:val="00FE3062"/>
    <w:rsid w:val="00FE3677"/>
    <w:rsid w:val="00FE376B"/>
    <w:rsid w:val="00FE44DF"/>
    <w:rsid w:val="00FE4EB6"/>
    <w:rsid w:val="00FE535D"/>
    <w:rsid w:val="00FE5426"/>
    <w:rsid w:val="00FE547B"/>
    <w:rsid w:val="00FE56B9"/>
    <w:rsid w:val="00FE5C96"/>
    <w:rsid w:val="00FE5E98"/>
    <w:rsid w:val="00FE630B"/>
    <w:rsid w:val="00FE6413"/>
    <w:rsid w:val="00FE698C"/>
    <w:rsid w:val="00FE6A7C"/>
    <w:rsid w:val="00FE7206"/>
    <w:rsid w:val="00FE7247"/>
    <w:rsid w:val="00FE7377"/>
    <w:rsid w:val="00FE739E"/>
    <w:rsid w:val="00FE7437"/>
    <w:rsid w:val="00FE7470"/>
    <w:rsid w:val="00FE7B60"/>
    <w:rsid w:val="00FE7BD3"/>
    <w:rsid w:val="00FF00D3"/>
    <w:rsid w:val="00FF00D6"/>
    <w:rsid w:val="00FF01BA"/>
    <w:rsid w:val="00FF0965"/>
    <w:rsid w:val="00FF0F6F"/>
    <w:rsid w:val="00FF115E"/>
    <w:rsid w:val="00FF1173"/>
    <w:rsid w:val="00FF13CD"/>
    <w:rsid w:val="00FF151F"/>
    <w:rsid w:val="00FF1733"/>
    <w:rsid w:val="00FF1905"/>
    <w:rsid w:val="00FF1D34"/>
    <w:rsid w:val="00FF2168"/>
    <w:rsid w:val="00FF2285"/>
    <w:rsid w:val="00FF2496"/>
    <w:rsid w:val="00FF2D0E"/>
    <w:rsid w:val="00FF3005"/>
    <w:rsid w:val="00FF3254"/>
    <w:rsid w:val="00FF3373"/>
    <w:rsid w:val="00FF3B57"/>
    <w:rsid w:val="00FF42AC"/>
    <w:rsid w:val="00FF42D1"/>
    <w:rsid w:val="00FF4994"/>
    <w:rsid w:val="00FF4A0C"/>
    <w:rsid w:val="00FF4C67"/>
    <w:rsid w:val="00FF5279"/>
    <w:rsid w:val="00FF537E"/>
    <w:rsid w:val="00FF5B6C"/>
    <w:rsid w:val="00FF5E1C"/>
    <w:rsid w:val="00FF5FDE"/>
    <w:rsid w:val="00FF63D4"/>
    <w:rsid w:val="00FF657A"/>
    <w:rsid w:val="00FF65DD"/>
    <w:rsid w:val="00FF66D0"/>
    <w:rsid w:val="00FF6BD7"/>
    <w:rsid w:val="00FF6F1A"/>
    <w:rsid w:val="00FF7108"/>
    <w:rsid w:val="00FF72E3"/>
    <w:rsid w:val="00FF738C"/>
    <w:rsid w:val="00FF7603"/>
    <w:rsid w:val="00FF76AE"/>
    <w:rsid w:val="00FF7930"/>
    <w:rsid w:val="00FF7D5B"/>
    <w:rsid w:val="00FF7E0A"/>
    <w:rsid w:val="00FF7E89"/>
    <w:rsid w:val="00FF7F0C"/>
    <w:rsid w:val="010492BF"/>
    <w:rsid w:val="01661994"/>
    <w:rsid w:val="01C072ED"/>
    <w:rsid w:val="01D2AA4A"/>
    <w:rsid w:val="01F8A334"/>
    <w:rsid w:val="021EB7D8"/>
    <w:rsid w:val="021F5DA1"/>
    <w:rsid w:val="025935D1"/>
    <w:rsid w:val="025A7646"/>
    <w:rsid w:val="028F2866"/>
    <w:rsid w:val="029A5740"/>
    <w:rsid w:val="02B51931"/>
    <w:rsid w:val="02D1E42B"/>
    <w:rsid w:val="02E86070"/>
    <w:rsid w:val="0308B15F"/>
    <w:rsid w:val="03092C72"/>
    <w:rsid w:val="030AEA54"/>
    <w:rsid w:val="030D6CAF"/>
    <w:rsid w:val="03153A1A"/>
    <w:rsid w:val="031FD5C5"/>
    <w:rsid w:val="0320DC22"/>
    <w:rsid w:val="034067F2"/>
    <w:rsid w:val="0342C085"/>
    <w:rsid w:val="035DD557"/>
    <w:rsid w:val="03668B45"/>
    <w:rsid w:val="039C49C9"/>
    <w:rsid w:val="03D42A96"/>
    <w:rsid w:val="03E2AB3D"/>
    <w:rsid w:val="0413995F"/>
    <w:rsid w:val="0414A1BE"/>
    <w:rsid w:val="0415D402"/>
    <w:rsid w:val="042D8E13"/>
    <w:rsid w:val="043566A4"/>
    <w:rsid w:val="0447B605"/>
    <w:rsid w:val="048D144D"/>
    <w:rsid w:val="04B6F407"/>
    <w:rsid w:val="04F5629C"/>
    <w:rsid w:val="0508AF79"/>
    <w:rsid w:val="0509C93D"/>
    <w:rsid w:val="0523750D"/>
    <w:rsid w:val="052F26EE"/>
    <w:rsid w:val="0535DBC0"/>
    <w:rsid w:val="055B17F0"/>
    <w:rsid w:val="0561B837"/>
    <w:rsid w:val="0563B70D"/>
    <w:rsid w:val="056600C8"/>
    <w:rsid w:val="057C18E7"/>
    <w:rsid w:val="05919F52"/>
    <w:rsid w:val="059D8D3F"/>
    <w:rsid w:val="05BF312A"/>
    <w:rsid w:val="06291494"/>
    <w:rsid w:val="062EDCE3"/>
    <w:rsid w:val="062F2938"/>
    <w:rsid w:val="065079C1"/>
    <w:rsid w:val="06699305"/>
    <w:rsid w:val="0670E620"/>
    <w:rsid w:val="067877DB"/>
    <w:rsid w:val="068BAE99"/>
    <w:rsid w:val="06AE9EE9"/>
    <w:rsid w:val="06C3F7BA"/>
    <w:rsid w:val="06CCA729"/>
    <w:rsid w:val="0706619A"/>
    <w:rsid w:val="070C6A0B"/>
    <w:rsid w:val="071191ED"/>
    <w:rsid w:val="071BFE1A"/>
    <w:rsid w:val="0749FED8"/>
    <w:rsid w:val="074E51DF"/>
    <w:rsid w:val="0769DEF1"/>
    <w:rsid w:val="076A54BC"/>
    <w:rsid w:val="07724D51"/>
    <w:rsid w:val="077E4C72"/>
    <w:rsid w:val="07A40871"/>
    <w:rsid w:val="07B68D78"/>
    <w:rsid w:val="07E25504"/>
    <w:rsid w:val="07EC37B6"/>
    <w:rsid w:val="07EEAE2A"/>
    <w:rsid w:val="0805E86A"/>
    <w:rsid w:val="0827C69E"/>
    <w:rsid w:val="083FDFF4"/>
    <w:rsid w:val="086EA788"/>
    <w:rsid w:val="088FBEAB"/>
    <w:rsid w:val="08A56F4F"/>
    <w:rsid w:val="08B60F5C"/>
    <w:rsid w:val="08C01544"/>
    <w:rsid w:val="08C64461"/>
    <w:rsid w:val="08D536F3"/>
    <w:rsid w:val="091EE8EC"/>
    <w:rsid w:val="092F6632"/>
    <w:rsid w:val="0932A0F7"/>
    <w:rsid w:val="0951718A"/>
    <w:rsid w:val="097152FC"/>
    <w:rsid w:val="097A2AE9"/>
    <w:rsid w:val="09845EA3"/>
    <w:rsid w:val="0988B7ED"/>
    <w:rsid w:val="098ABC30"/>
    <w:rsid w:val="09A13691"/>
    <w:rsid w:val="09AC5130"/>
    <w:rsid w:val="09D04D18"/>
    <w:rsid w:val="09FFFC32"/>
    <w:rsid w:val="0A055BCF"/>
    <w:rsid w:val="0A293B62"/>
    <w:rsid w:val="0A29701A"/>
    <w:rsid w:val="0A3029A0"/>
    <w:rsid w:val="0A3699EF"/>
    <w:rsid w:val="0A40ACA6"/>
    <w:rsid w:val="0A5EB3C8"/>
    <w:rsid w:val="0A67BC40"/>
    <w:rsid w:val="0A8F5000"/>
    <w:rsid w:val="0AA0D345"/>
    <w:rsid w:val="0AA21BBB"/>
    <w:rsid w:val="0AB5A27A"/>
    <w:rsid w:val="0AB66840"/>
    <w:rsid w:val="0AB79C6C"/>
    <w:rsid w:val="0ACFB4DD"/>
    <w:rsid w:val="0AD2DA32"/>
    <w:rsid w:val="0AD52526"/>
    <w:rsid w:val="0AE191D1"/>
    <w:rsid w:val="0B0F130F"/>
    <w:rsid w:val="0B3C4AE0"/>
    <w:rsid w:val="0B79C950"/>
    <w:rsid w:val="0B7B285F"/>
    <w:rsid w:val="0B7DB210"/>
    <w:rsid w:val="0B83DA36"/>
    <w:rsid w:val="0B851751"/>
    <w:rsid w:val="0B87AF95"/>
    <w:rsid w:val="0BC1F738"/>
    <w:rsid w:val="0BFE6162"/>
    <w:rsid w:val="0C3CD945"/>
    <w:rsid w:val="0C55D19E"/>
    <w:rsid w:val="0C628DDA"/>
    <w:rsid w:val="0C827D8F"/>
    <w:rsid w:val="0C9668DA"/>
    <w:rsid w:val="0CAB6F63"/>
    <w:rsid w:val="0CBDA70C"/>
    <w:rsid w:val="0CC614BD"/>
    <w:rsid w:val="0CF19564"/>
    <w:rsid w:val="0CFFAFC0"/>
    <w:rsid w:val="0D1BC76D"/>
    <w:rsid w:val="0D5F560A"/>
    <w:rsid w:val="0D65FE74"/>
    <w:rsid w:val="0D66F9D3"/>
    <w:rsid w:val="0D6FC714"/>
    <w:rsid w:val="0D853C42"/>
    <w:rsid w:val="0D8E96D9"/>
    <w:rsid w:val="0DC6D1BD"/>
    <w:rsid w:val="0E12FA35"/>
    <w:rsid w:val="0E14E894"/>
    <w:rsid w:val="0E4D6113"/>
    <w:rsid w:val="0E5A935F"/>
    <w:rsid w:val="0E8DC7D6"/>
    <w:rsid w:val="0E8F90DB"/>
    <w:rsid w:val="0E986046"/>
    <w:rsid w:val="0ED18F3C"/>
    <w:rsid w:val="0F09FAB3"/>
    <w:rsid w:val="0F6909CA"/>
    <w:rsid w:val="0F7850B6"/>
    <w:rsid w:val="0F788B71"/>
    <w:rsid w:val="0F79AD10"/>
    <w:rsid w:val="0F8F90E4"/>
    <w:rsid w:val="0FA89A36"/>
    <w:rsid w:val="0FA92D08"/>
    <w:rsid w:val="0FACF5B9"/>
    <w:rsid w:val="0FC252EB"/>
    <w:rsid w:val="0FD2139B"/>
    <w:rsid w:val="0FDBE229"/>
    <w:rsid w:val="0FDC18AD"/>
    <w:rsid w:val="10105D53"/>
    <w:rsid w:val="10194879"/>
    <w:rsid w:val="1048AE2D"/>
    <w:rsid w:val="1049A77A"/>
    <w:rsid w:val="104BBC5B"/>
    <w:rsid w:val="10799348"/>
    <w:rsid w:val="10BCD302"/>
    <w:rsid w:val="10D730E2"/>
    <w:rsid w:val="10DD45CC"/>
    <w:rsid w:val="1102DF45"/>
    <w:rsid w:val="111E683C"/>
    <w:rsid w:val="111F1985"/>
    <w:rsid w:val="112DCE31"/>
    <w:rsid w:val="11329291"/>
    <w:rsid w:val="113B2087"/>
    <w:rsid w:val="115C6BD7"/>
    <w:rsid w:val="116B42BA"/>
    <w:rsid w:val="117281EF"/>
    <w:rsid w:val="117D875B"/>
    <w:rsid w:val="1180A1FD"/>
    <w:rsid w:val="118ACE61"/>
    <w:rsid w:val="119554A3"/>
    <w:rsid w:val="11B3BA94"/>
    <w:rsid w:val="11B86B09"/>
    <w:rsid w:val="11E4F99A"/>
    <w:rsid w:val="11F8A38B"/>
    <w:rsid w:val="123B219F"/>
    <w:rsid w:val="123EE87A"/>
    <w:rsid w:val="1247589F"/>
    <w:rsid w:val="124FB012"/>
    <w:rsid w:val="125B346B"/>
    <w:rsid w:val="1291EBFA"/>
    <w:rsid w:val="12D9A744"/>
    <w:rsid w:val="12E2D316"/>
    <w:rsid w:val="12EC996A"/>
    <w:rsid w:val="1314E180"/>
    <w:rsid w:val="131937EC"/>
    <w:rsid w:val="131AB26F"/>
    <w:rsid w:val="1321219E"/>
    <w:rsid w:val="13254B8A"/>
    <w:rsid w:val="132A097B"/>
    <w:rsid w:val="1336F179"/>
    <w:rsid w:val="13514E27"/>
    <w:rsid w:val="13552979"/>
    <w:rsid w:val="13A8F84D"/>
    <w:rsid w:val="13AAA28D"/>
    <w:rsid w:val="13AD758C"/>
    <w:rsid w:val="13CAA934"/>
    <w:rsid w:val="13CADBE6"/>
    <w:rsid w:val="13E9A8E5"/>
    <w:rsid w:val="140B9B32"/>
    <w:rsid w:val="1410DB0B"/>
    <w:rsid w:val="141423B5"/>
    <w:rsid w:val="14235BB2"/>
    <w:rsid w:val="142445FA"/>
    <w:rsid w:val="1468EF14"/>
    <w:rsid w:val="1482EA81"/>
    <w:rsid w:val="14B7C0F9"/>
    <w:rsid w:val="14C394C3"/>
    <w:rsid w:val="14C4A99D"/>
    <w:rsid w:val="14FE048E"/>
    <w:rsid w:val="14FEEA4D"/>
    <w:rsid w:val="150748FA"/>
    <w:rsid w:val="15562B51"/>
    <w:rsid w:val="155DC6F7"/>
    <w:rsid w:val="15A667A6"/>
    <w:rsid w:val="15BE46D3"/>
    <w:rsid w:val="15DD0911"/>
    <w:rsid w:val="163595EE"/>
    <w:rsid w:val="1657233C"/>
    <w:rsid w:val="1660F1EF"/>
    <w:rsid w:val="167AA97A"/>
    <w:rsid w:val="169A54D5"/>
    <w:rsid w:val="16AB91D8"/>
    <w:rsid w:val="16C08871"/>
    <w:rsid w:val="16C542C9"/>
    <w:rsid w:val="16CD829D"/>
    <w:rsid w:val="1730EF01"/>
    <w:rsid w:val="175050A3"/>
    <w:rsid w:val="1784E6B6"/>
    <w:rsid w:val="17C32758"/>
    <w:rsid w:val="17C35EA4"/>
    <w:rsid w:val="17C70DC9"/>
    <w:rsid w:val="17C964A7"/>
    <w:rsid w:val="17F0EBC2"/>
    <w:rsid w:val="1804B2D9"/>
    <w:rsid w:val="18099FB7"/>
    <w:rsid w:val="1810FEC5"/>
    <w:rsid w:val="18540DE5"/>
    <w:rsid w:val="1868D6DF"/>
    <w:rsid w:val="18760B1F"/>
    <w:rsid w:val="187B2509"/>
    <w:rsid w:val="18837288"/>
    <w:rsid w:val="188726C7"/>
    <w:rsid w:val="18CB07B3"/>
    <w:rsid w:val="18EA7B4F"/>
    <w:rsid w:val="18FE1CA5"/>
    <w:rsid w:val="19231B4E"/>
    <w:rsid w:val="1939819B"/>
    <w:rsid w:val="193AC277"/>
    <w:rsid w:val="193D7E36"/>
    <w:rsid w:val="19597F08"/>
    <w:rsid w:val="197B87AC"/>
    <w:rsid w:val="1995C2AE"/>
    <w:rsid w:val="19A1B8AC"/>
    <w:rsid w:val="19AAD919"/>
    <w:rsid w:val="19DBDFF9"/>
    <w:rsid w:val="19E357CA"/>
    <w:rsid w:val="19E8452C"/>
    <w:rsid w:val="19FA03D1"/>
    <w:rsid w:val="1A4D3EE4"/>
    <w:rsid w:val="1A637237"/>
    <w:rsid w:val="1A79390C"/>
    <w:rsid w:val="1A7D33A7"/>
    <w:rsid w:val="1AA727C5"/>
    <w:rsid w:val="1AD2C6EC"/>
    <w:rsid w:val="1ADCC967"/>
    <w:rsid w:val="1AE71B6D"/>
    <w:rsid w:val="1AE8FA82"/>
    <w:rsid w:val="1AE95887"/>
    <w:rsid w:val="1AFDDCE2"/>
    <w:rsid w:val="1B308AA8"/>
    <w:rsid w:val="1B388F07"/>
    <w:rsid w:val="1B78B87B"/>
    <w:rsid w:val="1B9C2F3D"/>
    <w:rsid w:val="1BAADBCC"/>
    <w:rsid w:val="1BB1FC32"/>
    <w:rsid w:val="1BBD3B59"/>
    <w:rsid w:val="1BF8CE05"/>
    <w:rsid w:val="1C0D34E5"/>
    <w:rsid w:val="1C1344CE"/>
    <w:rsid w:val="1C3FF8F4"/>
    <w:rsid w:val="1C59A33E"/>
    <w:rsid w:val="1C94DA96"/>
    <w:rsid w:val="1C9A1BAA"/>
    <w:rsid w:val="1CA2B9BD"/>
    <w:rsid w:val="1CF8904C"/>
    <w:rsid w:val="1D0BDE23"/>
    <w:rsid w:val="1D0C16DD"/>
    <w:rsid w:val="1D2AFF08"/>
    <w:rsid w:val="1D2C34C4"/>
    <w:rsid w:val="1D420D87"/>
    <w:rsid w:val="1D837EB9"/>
    <w:rsid w:val="1D9A3963"/>
    <w:rsid w:val="1DC7FFA6"/>
    <w:rsid w:val="1DDE15AC"/>
    <w:rsid w:val="1E005C14"/>
    <w:rsid w:val="1E14D462"/>
    <w:rsid w:val="1E1FB1EE"/>
    <w:rsid w:val="1E203F68"/>
    <w:rsid w:val="1E82A3A1"/>
    <w:rsid w:val="1E8A889B"/>
    <w:rsid w:val="1E9D7589"/>
    <w:rsid w:val="1EA8482F"/>
    <w:rsid w:val="1EA8FCAE"/>
    <w:rsid w:val="1EAE442F"/>
    <w:rsid w:val="1EB06074"/>
    <w:rsid w:val="1EB3C406"/>
    <w:rsid w:val="1EBD1BBA"/>
    <w:rsid w:val="1EBEFF60"/>
    <w:rsid w:val="1EC8EFA6"/>
    <w:rsid w:val="1EF10DB2"/>
    <w:rsid w:val="1F07E234"/>
    <w:rsid w:val="1F5C05BB"/>
    <w:rsid w:val="1F6F5F68"/>
    <w:rsid w:val="1FAB3F6F"/>
    <w:rsid w:val="1FD99FC3"/>
    <w:rsid w:val="1FDB5271"/>
    <w:rsid w:val="200FABF9"/>
    <w:rsid w:val="2019A6AA"/>
    <w:rsid w:val="2044FC9F"/>
    <w:rsid w:val="20592AAC"/>
    <w:rsid w:val="20B65001"/>
    <w:rsid w:val="20B86B8F"/>
    <w:rsid w:val="20F3F199"/>
    <w:rsid w:val="20FD8A39"/>
    <w:rsid w:val="210AD9E2"/>
    <w:rsid w:val="210EC4DD"/>
    <w:rsid w:val="2112C647"/>
    <w:rsid w:val="214041C8"/>
    <w:rsid w:val="21968EB0"/>
    <w:rsid w:val="21A86DD2"/>
    <w:rsid w:val="21BD15A0"/>
    <w:rsid w:val="21C1C373"/>
    <w:rsid w:val="21FE5BD7"/>
    <w:rsid w:val="221CA065"/>
    <w:rsid w:val="22473F64"/>
    <w:rsid w:val="224ECC0A"/>
    <w:rsid w:val="2254C451"/>
    <w:rsid w:val="2257394B"/>
    <w:rsid w:val="22A9D7DB"/>
    <w:rsid w:val="22C3A091"/>
    <w:rsid w:val="22F27F76"/>
    <w:rsid w:val="2304DBCB"/>
    <w:rsid w:val="2315DF3A"/>
    <w:rsid w:val="232CE0B1"/>
    <w:rsid w:val="236B1D49"/>
    <w:rsid w:val="238B6AF4"/>
    <w:rsid w:val="23977D46"/>
    <w:rsid w:val="23A0E0FD"/>
    <w:rsid w:val="23E5CBF8"/>
    <w:rsid w:val="23F07568"/>
    <w:rsid w:val="249ECBB5"/>
    <w:rsid w:val="24ADA865"/>
    <w:rsid w:val="24AE32F6"/>
    <w:rsid w:val="24D0259F"/>
    <w:rsid w:val="24F045ED"/>
    <w:rsid w:val="24F6C4E6"/>
    <w:rsid w:val="254C377B"/>
    <w:rsid w:val="2558E46B"/>
    <w:rsid w:val="255F9762"/>
    <w:rsid w:val="2566EF77"/>
    <w:rsid w:val="256BD1F1"/>
    <w:rsid w:val="25863B37"/>
    <w:rsid w:val="2591868B"/>
    <w:rsid w:val="25956C3C"/>
    <w:rsid w:val="25A422A7"/>
    <w:rsid w:val="25AABD52"/>
    <w:rsid w:val="25CD1AFF"/>
    <w:rsid w:val="25DF6830"/>
    <w:rsid w:val="25FD0644"/>
    <w:rsid w:val="2619F974"/>
    <w:rsid w:val="2623270F"/>
    <w:rsid w:val="262E61F0"/>
    <w:rsid w:val="264F3C5E"/>
    <w:rsid w:val="269928C5"/>
    <w:rsid w:val="26AA9732"/>
    <w:rsid w:val="271A6579"/>
    <w:rsid w:val="274D6FB1"/>
    <w:rsid w:val="2762206B"/>
    <w:rsid w:val="27B43608"/>
    <w:rsid w:val="27CEAD73"/>
    <w:rsid w:val="27DA993D"/>
    <w:rsid w:val="27E06DC1"/>
    <w:rsid w:val="27E39E38"/>
    <w:rsid w:val="27FF3DB8"/>
    <w:rsid w:val="2806A30F"/>
    <w:rsid w:val="282AD433"/>
    <w:rsid w:val="283B3F93"/>
    <w:rsid w:val="2857B403"/>
    <w:rsid w:val="286CA107"/>
    <w:rsid w:val="2877DC5B"/>
    <w:rsid w:val="289E16B7"/>
    <w:rsid w:val="28E21ED6"/>
    <w:rsid w:val="28FACB39"/>
    <w:rsid w:val="2912AFFE"/>
    <w:rsid w:val="291E97CF"/>
    <w:rsid w:val="292A8A2A"/>
    <w:rsid w:val="29608BD8"/>
    <w:rsid w:val="298D34C0"/>
    <w:rsid w:val="29AF7E30"/>
    <w:rsid w:val="29B05482"/>
    <w:rsid w:val="29E26197"/>
    <w:rsid w:val="29F90E54"/>
    <w:rsid w:val="2A0F9FBD"/>
    <w:rsid w:val="2A12AC80"/>
    <w:rsid w:val="2A131190"/>
    <w:rsid w:val="2A261F9D"/>
    <w:rsid w:val="2A299CBF"/>
    <w:rsid w:val="2A365C04"/>
    <w:rsid w:val="2AA09CE5"/>
    <w:rsid w:val="2AC8B8AC"/>
    <w:rsid w:val="2AD440B2"/>
    <w:rsid w:val="2AE41E62"/>
    <w:rsid w:val="2AFF909F"/>
    <w:rsid w:val="2B01BAA1"/>
    <w:rsid w:val="2B02C31F"/>
    <w:rsid w:val="2B0BDEF3"/>
    <w:rsid w:val="2B1EEEB4"/>
    <w:rsid w:val="2B3A64EB"/>
    <w:rsid w:val="2B45BC8E"/>
    <w:rsid w:val="2B4EDEEA"/>
    <w:rsid w:val="2B635002"/>
    <w:rsid w:val="2B77025A"/>
    <w:rsid w:val="2B78EB2D"/>
    <w:rsid w:val="2B7E4C85"/>
    <w:rsid w:val="2BCE7ABE"/>
    <w:rsid w:val="2BD3AF9A"/>
    <w:rsid w:val="2BEA2437"/>
    <w:rsid w:val="2BFA95BD"/>
    <w:rsid w:val="2C58EE8A"/>
    <w:rsid w:val="2C687A99"/>
    <w:rsid w:val="2C69CEC7"/>
    <w:rsid w:val="2C95A8E5"/>
    <w:rsid w:val="2CA75267"/>
    <w:rsid w:val="2CBA9367"/>
    <w:rsid w:val="2CC162B8"/>
    <w:rsid w:val="2CCBDD99"/>
    <w:rsid w:val="2CE42361"/>
    <w:rsid w:val="2D032487"/>
    <w:rsid w:val="2D07693B"/>
    <w:rsid w:val="2D0A1114"/>
    <w:rsid w:val="2D101272"/>
    <w:rsid w:val="2D22A5C7"/>
    <w:rsid w:val="2D2AC009"/>
    <w:rsid w:val="2D3651A9"/>
    <w:rsid w:val="2D45EAA9"/>
    <w:rsid w:val="2D897A17"/>
    <w:rsid w:val="2D979F9C"/>
    <w:rsid w:val="2DABCACF"/>
    <w:rsid w:val="2DC9D5BD"/>
    <w:rsid w:val="2DD822F9"/>
    <w:rsid w:val="2E4019B5"/>
    <w:rsid w:val="2E51CF6E"/>
    <w:rsid w:val="2E73F494"/>
    <w:rsid w:val="2E765222"/>
    <w:rsid w:val="2E78D373"/>
    <w:rsid w:val="2E80A312"/>
    <w:rsid w:val="2E80DF24"/>
    <w:rsid w:val="2ECE8AA0"/>
    <w:rsid w:val="2EDB1DBE"/>
    <w:rsid w:val="2EF9EC00"/>
    <w:rsid w:val="2F009C4F"/>
    <w:rsid w:val="2F3907A3"/>
    <w:rsid w:val="2F505F10"/>
    <w:rsid w:val="2F5DA816"/>
    <w:rsid w:val="2F69B584"/>
    <w:rsid w:val="2F823E6D"/>
    <w:rsid w:val="2F856F3D"/>
    <w:rsid w:val="2FAF9438"/>
    <w:rsid w:val="2FCFF6AD"/>
    <w:rsid w:val="2FDE7DBD"/>
    <w:rsid w:val="300D065E"/>
    <w:rsid w:val="302B6595"/>
    <w:rsid w:val="304A95B7"/>
    <w:rsid w:val="304F6B37"/>
    <w:rsid w:val="3090C7D8"/>
    <w:rsid w:val="3096D387"/>
    <w:rsid w:val="30AC95F3"/>
    <w:rsid w:val="30C1B6C8"/>
    <w:rsid w:val="30DBFF49"/>
    <w:rsid w:val="30DFB609"/>
    <w:rsid w:val="30F0BD29"/>
    <w:rsid w:val="31048AB5"/>
    <w:rsid w:val="313A3C84"/>
    <w:rsid w:val="313AAAFE"/>
    <w:rsid w:val="316F097A"/>
    <w:rsid w:val="318F5258"/>
    <w:rsid w:val="31B9DDFD"/>
    <w:rsid w:val="31BD0008"/>
    <w:rsid w:val="31C5D339"/>
    <w:rsid w:val="31D446EE"/>
    <w:rsid w:val="31E5C86A"/>
    <w:rsid w:val="31EBBEA6"/>
    <w:rsid w:val="3223B7F8"/>
    <w:rsid w:val="3225E9BA"/>
    <w:rsid w:val="323253F4"/>
    <w:rsid w:val="3244C935"/>
    <w:rsid w:val="324EFB0E"/>
    <w:rsid w:val="3265D7EF"/>
    <w:rsid w:val="3276968F"/>
    <w:rsid w:val="329F13E9"/>
    <w:rsid w:val="32A6A3C0"/>
    <w:rsid w:val="32A923B0"/>
    <w:rsid w:val="32AAEB3D"/>
    <w:rsid w:val="32B9438B"/>
    <w:rsid w:val="32CACE50"/>
    <w:rsid w:val="32D01E5C"/>
    <w:rsid w:val="32D7878E"/>
    <w:rsid w:val="32DF85E8"/>
    <w:rsid w:val="330193EB"/>
    <w:rsid w:val="331ECEC4"/>
    <w:rsid w:val="33276732"/>
    <w:rsid w:val="334D2169"/>
    <w:rsid w:val="3350312C"/>
    <w:rsid w:val="335975BE"/>
    <w:rsid w:val="33928D64"/>
    <w:rsid w:val="33CE3895"/>
    <w:rsid w:val="33D10307"/>
    <w:rsid w:val="33DF1789"/>
    <w:rsid w:val="33E5B800"/>
    <w:rsid w:val="33FC2F88"/>
    <w:rsid w:val="34185964"/>
    <w:rsid w:val="344D23AC"/>
    <w:rsid w:val="3452EBA7"/>
    <w:rsid w:val="345EBAE3"/>
    <w:rsid w:val="34655BE4"/>
    <w:rsid w:val="348FECF7"/>
    <w:rsid w:val="34A0E6F0"/>
    <w:rsid w:val="34A3E819"/>
    <w:rsid w:val="34AB3C88"/>
    <w:rsid w:val="34BFE15D"/>
    <w:rsid w:val="34C79F00"/>
    <w:rsid w:val="34FD9F8E"/>
    <w:rsid w:val="352A8371"/>
    <w:rsid w:val="35687AF5"/>
    <w:rsid w:val="35863E7D"/>
    <w:rsid w:val="3594EEF5"/>
    <w:rsid w:val="35C198BC"/>
    <w:rsid w:val="35C3D22B"/>
    <w:rsid w:val="35D4199F"/>
    <w:rsid w:val="35FB586D"/>
    <w:rsid w:val="361605FF"/>
    <w:rsid w:val="361EE356"/>
    <w:rsid w:val="362DAA1A"/>
    <w:rsid w:val="362EACE4"/>
    <w:rsid w:val="36354979"/>
    <w:rsid w:val="3635FE2E"/>
    <w:rsid w:val="3643C8E0"/>
    <w:rsid w:val="365D55C8"/>
    <w:rsid w:val="366C29A2"/>
    <w:rsid w:val="368A3E1E"/>
    <w:rsid w:val="369B8F6D"/>
    <w:rsid w:val="369F8A29"/>
    <w:rsid w:val="36A4526E"/>
    <w:rsid w:val="36AEA037"/>
    <w:rsid w:val="36C125CF"/>
    <w:rsid w:val="36CB5C72"/>
    <w:rsid w:val="36EFAD2B"/>
    <w:rsid w:val="36F45784"/>
    <w:rsid w:val="36F605C4"/>
    <w:rsid w:val="37014753"/>
    <w:rsid w:val="37026EAE"/>
    <w:rsid w:val="372053EB"/>
    <w:rsid w:val="373B18E2"/>
    <w:rsid w:val="374E7792"/>
    <w:rsid w:val="37A0A159"/>
    <w:rsid w:val="37A17ECB"/>
    <w:rsid w:val="37AE8EB6"/>
    <w:rsid w:val="37B2C94B"/>
    <w:rsid w:val="37C817DA"/>
    <w:rsid w:val="384658A5"/>
    <w:rsid w:val="384EAB3F"/>
    <w:rsid w:val="3875C788"/>
    <w:rsid w:val="387B955A"/>
    <w:rsid w:val="38C7F641"/>
    <w:rsid w:val="38E37547"/>
    <w:rsid w:val="38E69178"/>
    <w:rsid w:val="38F51081"/>
    <w:rsid w:val="38F711CE"/>
    <w:rsid w:val="38FC0D3F"/>
    <w:rsid w:val="3913631B"/>
    <w:rsid w:val="392CED36"/>
    <w:rsid w:val="3931C850"/>
    <w:rsid w:val="395DDD40"/>
    <w:rsid w:val="39697CB3"/>
    <w:rsid w:val="3973B95C"/>
    <w:rsid w:val="397B5C61"/>
    <w:rsid w:val="398E6FA5"/>
    <w:rsid w:val="39959BEB"/>
    <w:rsid w:val="39A13AAA"/>
    <w:rsid w:val="39BA8AE7"/>
    <w:rsid w:val="39BF21B1"/>
    <w:rsid w:val="39D5ABCB"/>
    <w:rsid w:val="39EE65FA"/>
    <w:rsid w:val="3A227975"/>
    <w:rsid w:val="3A3965D2"/>
    <w:rsid w:val="3A3D0588"/>
    <w:rsid w:val="3A3FA0FE"/>
    <w:rsid w:val="3A9414BB"/>
    <w:rsid w:val="3AB722C5"/>
    <w:rsid w:val="3ABBD745"/>
    <w:rsid w:val="3ACE35A5"/>
    <w:rsid w:val="3AD79DB4"/>
    <w:rsid w:val="3B05CC9B"/>
    <w:rsid w:val="3B0AD179"/>
    <w:rsid w:val="3B0EB948"/>
    <w:rsid w:val="3B114E3E"/>
    <w:rsid w:val="3B12084A"/>
    <w:rsid w:val="3B199B4D"/>
    <w:rsid w:val="3B1EEF47"/>
    <w:rsid w:val="3B28C7C4"/>
    <w:rsid w:val="3B48B0FF"/>
    <w:rsid w:val="3B4FBA32"/>
    <w:rsid w:val="3B57657D"/>
    <w:rsid w:val="3B673EF6"/>
    <w:rsid w:val="3B82DF19"/>
    <w:rsid w:val="3B94097C"/>
    <w:rsid w:val="3B9561B1"/>
    <w:rsid w:val="3BBB5387"/>
    <w:rsid w:val="3BC0EDE4"/>
    <w:rsid w:val="3BCF4B8D"/>
    <w:rsid w:val="3BDF5EF7"/>
    <w:rsid w:val="3BE5AA0F"/>
    <w:rsid w:val="3BE7BB28"/>
    <w:rsid w:val="3BF7A3A9"/>
    <w:rsid w:val="3BFD1E99"/>
    <w:rsid w:val="3C03791A"/>
    <w:rsid w:val="3C0A15BF"/>
    <w:rsid w:val="3C1A2CB7"/>
    <w:rsid w:val="3C548F78"/>
    <w:rsid w:val="3C7D03FF"/>
    <w:rsid w:val="3C9182C1"/>
    <w:rsid w:val="3CDF1A64"/>
    <w:rsid w:val="3D1910B6"/>
    <w:rsid w:val="3D2D7772"/>
    <w:rsid w:val="3D3D0D61"/>
    <w:rsid w:val="3D3D7038"/>
    <w:rsid w:val="3D43D523"/>
    <w:rsid w:val="3D4F0839"/>
    <w:rsid w:val="3D5F503D"/>
    <w:rsid w:val="3D726B8F"/>
    <w:rsid w:val="3D7CC4F4"/>
    <w:rsid w:val="3D9A45A3"/>
    <w:rsid w:val="3D9FD6E6"/>
    <w:rsid w:val="3DA98BF4"/>
    <w:rsid w:val="3DBF2466"/>
    <w:rsid w:val="3DDDA1EE"/>
    <w:rsid w:val="3DEC63E0"/>
    <w:rsid w:val="3DF0EE8B"/>
    <w:rsid w:val="3DFD7C61"/>
    <w:rsid w:val="3E059271"/>
    <w:rsid w:val="3E0BC0EF"/>
    <w:rsid w:val="3E1653D5"/>
    <w:rsid w:val="3E193F49"/>
    <w:rsid w:val="3E299495"/>
    <w:rsid w:val="3E31D8EF"/>
    <w:rsid w:val="3E3864C6"/>
    <w:rsid w:val="3E436AE5"/>
    <w:rsid w:val="3E63BF0C"/>
    <w:rsid w:val="3E7061BB"/>
    <w:rsid w:val="3E78E1C3"/>
    <w:rsid w:val="3E8BCCD1"/>
    <w:rsid w:val="3E8EB698"/>
    <w:rsid w:val="3E8FC532"/>
    <w:rsid w:val="3EA15625"/>
    <w:rsid w:val="3ECF9387"/>
    <w:rsid w:val="3EDA19FE"/>
    <w:rsid w:val="3EECDC2B"/>
    <w:rsid w:val="3EFFAD78"/>
    <w:rsid w:val="3F0870CB"/>
    <w:rsid w:val="3F091380"/>
    <w:rsid w:val="3F226E0E"/>
    <w:rsid w:val="3F484AE3"/>
    <w:rsid w:val="3F5418E2"/>
    <w:rsid w:val="3F5A860E"/>
    <w:rsid w:val="3F6A330E"/>
    <w:rsid w:val="3F92FFCD"/>
    <w:rsid w:val="3F942183"/>
    <w:rsid w:val="3FA0C3FD"/>
    <w:rsid w:val="3FC19CA0"/>
    <w:rsid w:val="3FD5EDEE"/>
    <w:rsid w:val="3FDBAC17"/>
    <w:rsid w:val="40BB1B61"/>
    <w:rsid w:val="40E1EA7A"/>
    <w:rsid w:val="40E74C34"/>
    <w:rsid w:val="413EC073"/>
    <w:rsid w:val="41439314"/>
    <w:rsid w:val="415EA274"/>
    <w:rsid w:val="4191E887"/>
    <w:rsid w:val="41A7485F"/>
    <w:rsid w:val="41D1E917"/>
    <w:rsid w:val="42321FB8"/>
    <w:rsid w:val="42595991"/>
    <w:rsid w:val="42606285"/>
    <w:rsid w:val="427F7CF9"/>
    <w:rsid w:val="42801C09"/>
    <w:rsid w:val="428D331E"/>
    <w:rsid w:val="42C112CA"/>
    <w:rsid w:val="42C82FCD"/>
    <w:rsid w:val="42D5621C"/>
    <w:rsid w:val="42D5DE1D"/>
    <w:rsid w:val="42E945D0"/>
    <w:rsid w:val="42FBD960"/>
    <w:rsid w:val="431B08B6"/>
    <w:rsid w:val="43326F16"/>
    <w:rsid w:val="4334E219"/>
    <w:rsid w:val="433556E0"/>
    <w:rsid w:val="433E1B43"/>
    <w:rsid w:val="4363610C"/>
    <w:rsid w:val="437AADC5"/>
    <w:rsid w:val="43827C5B"/>
    <w:rsid w:val="43899C4A"/>
    <w:rsid w:val="4394A52E"/>
    <w:rsid w:val="43A2E309"/>
    <w:rsid w:val="43B4DE51"/>
    <w:rsid w:val="43E3C031"/>
    <w:rsid w:val="43F61DAB"/>
    <w:rsid w:val="446729E1"/>
    <w:rsid w:val="446C36FC"/>
    <w:rsid w:val="446DBB56"/>
    <w:rsid w:val="448F30E2"/>
    <w:rsid w:val="4492329F"/>
    <w:rsid w:val="4492ACD8"/>
    <w:rsid w:val="44A3943E"/>
    <w:rsid w:val="44B8E39B"/>
    <w:rsid w:val="44CB4247"/>
    <w:rsid w:val="44F866F8"/>
    <w:rsid w:val="451F11AF"/>
    <w:rsid w:val="455BDF13"/>
    <w:rsid w:val="4579E60E"/>
    <w:rsid w:val="457E0B53"/>
    <w:rsid w:val="45925FB8"/>
    <w:rsid w:val="45B6BFDA"/>
    <w:rsid w:val="45BF54EF"/>
    <w:rsid w:val="45DC65C0"/>
    <w:rsid w:val="460B1BED"/>
    <w:rsid w:val="4619E63E"/>
    <w:rsid w:val="461B9B81"/>
    <w:rsid w:val="461E5F5D"/>
    <w:rsid w:val="46200D1E"/>
    <w:rsid w:val="4640975D"/>
    <w:rsid w:val="4654B226"/>
    <w:rsid w:val="465C4211"/>
    <w:rsid w:val="46792D4A"/>
    <w:rsid w:val="467BC135"/>
    <w:rsid w:val="46879B41"/>
    <w:rsid w:val="468F2C6A"/>
    <w:rsid w:val="469D868A"/>
    <w:rsid w:val="4701383D"/>
    <w:rsid w:val="473CA9A9"/>
    <w:rsid w:val="474B1B4F"/>
    <w:rsid w:val="47581119"/>
    <w:rsid w:val="4785FDD4"/>
    <w:rsid w:val="47AFFC6F"/>
    <w:rsid w:val="47B44291"/>
    <w:rsid w:val="47C0DE87"/>
    <w:rsid w:val="47C132AD"/>
    <w:rsid w:val="47C13A3E"/>
    <w:rsid w:val="47C6A907"/>
    <w:rsid w:val="47D097DC"/>
    <w:rsid w:val="47D3AFB7"/>
    <w:rsid w:val="47FB0CC1"/>
    <w:rsid w:val="480F1988"/>
    <w:rsid w:val="482AB3F6"/>
    <w:rsid w:val="482ABE27"/>
    <w:rsid w:val="4830C80E"/>
    <w:rsid w:val="48ABE1AB"/>
    <w:rsid w:val="48B3727A"/>
    <w:rsid w:val="48E739BF"/>
    <w:rsid w:val="490047AE"/>
    <w:rsid w:val="496E4AA1"/>
    <w:rsid w:val="498041FC"/>
    <w:rsid w:val="498D248B"/>
    <w:rsid w:val="49909E47"/>
    <w:rsid w:val="49A23913"/>
    <w:rsid w:val="49B9A68E"/>
    <w:rsid w:val="49BD4962"/>
    <w:rsid w:val="49D68E3B"/>
    <w:rsid w:val="49FB374B"/>
    <w:rsid w:val="4A16FFFC"/>
    <w:rsid w:val="4A19EDF9"/>
    <w:rsid w:val="4A1D65AC"/>
    <w:rsid w:val="4A246D9C"/>
    <w:rsid w:val="4A2C2235"/>
    <w:rsid w:val="4A508D1B"/>
    <w:rsid w:val="4A544866"/>
    <w:rsid w:val="4A66FD7C"/>
    <w:rsid w:val="4A6BF3BF"/>
    <w:rsid w:val="4A9D0821"/>
    <w:rsid w:val="4AA0B104"/>
    <w:rsid w:val="4AA820EC"/>
    <w:rsid w:val="4AF95943"/>
    <w:rsid w:val="4B055ED4"/>
    <w:rsid w:val="4B075744"/>
    <w:rsid w:val="4B1C91F4"/>
    <w:rsid w:val="4B34ADDF"/>
    <w:rsid w:val="4B379545"/>
    <w:rsid w:val="4B4F830B"/>
    <w:rsid w:val="4B56148E"/>
    <w:rsid w:val="4B6CD9E0"/>
    <w:rsid w:val="4B730BD0"/>
    <w:rsid w:val="4B99152E"/>
    <w:rsid w:val="4B9A2E40"/>
    <w:rsid w:val="4BCC7C67"/>
    <w:rsid w:val="4BE418EA"/>
    <w:rsid w:val="4C0825CB"/>
    <w:rsid w:val="4C369BFA"/>
    <w:rsid w:val="4C484B36"/>
    <w:rsid w:val="4C4D2D57"/>
    <w:rsid w:val="4C632667"/>
    <w:rsid w:val="4C666DD7"/>
    <w:rsid w:val="4C78734F"/>
    <w:rsid w:val="4C8A00CF"/>
    <w:rsid w:val="4C97F11F"/>
    <w:rsid w:val="4CB839F0"/>
    <w:rsid w:val="4CBE58BE"/>
    <w:rsid w:val="4CC35F11"/>
    <w:rsid w:val="4CC4E619"/>
    <w:rsid w:val="4CED4BBA"/>
    <w:rsid w:val="4CEFE360"/>
    <w:rsid w:val="4CF41C9D"/>
    <w:rsid w:val="4D15E8D8"/>
    <w:rsid w:val="4D25BC3E"/>
    <w:rsid w:val="4D47BD46"/>
    <w:rsid w:val="4D507DDE"/>
    <w:rsid w:val="4D53E431"/>
    <w:rsid w:val="4D849537"/>
    <w:rsid w:val="4DA01A71"/>
    <w:rsid w:val="4DA4B15B"/>
    <w:rsid w:val="4DA88D2E"/>
    <w:rsid w:val="4DBD5586"/>
    <w:rsid w:val="4E0F22FE"/>
    <w:rsid w:val="4E41C94B"/>
    <w:rsid w:val="4E4DBD03"/>
    <w:rsid w:val="4E5B1DB9"/>
    <w:rsid w:val="4E6150B9"/>
    <w:rsid w:val="4E8F18A4"/>
    <w:rsid w:val="4EA2C067"/>
    <w:rsid w:val="4ED7C01B"/>
    <w:rsid w:val="4EE0BD54"/>
    <w:rsid w:val="4EE52CE4"/>
    <w:rsid w:val="4EE8131B"/>
    <w:rsid w:val="4EFEB0A5"/>
    <w:rsid w:val="4F004EA6"/>
    <w:rsid w:val="4F02D29C"/>
    <w:rsid w:val="4F127727"/>
    <w:rsid w:val="4F1E944B"/>
    <w:rsid w:val="4F343E39"/>
    <w:rsid w:val="4F73AF75"/>
    <w:rsid w:val="4FA74C4F"/>
    <w:rsid w:val="4FD2BF15"/>
    <w:rsid w:val="4FF0B74A"/>
    <w:rsid w:val="50212F0E"/>
    <w:rsid w:val="504B7B0F"/>
    <w:rsid w:val="508901DC"/>
    <w:rsid w:val="50A96EEA"/>
    <w:rsid w:val="50BFA777"/>
    <w:rsid w:val="50C14326"/>
    <w:rsid w:val="50D29B8F"/>
    <w:rsid w:val="50E50F8C"/>
    <w:rsid w:val="50EEDF4B"/>
    <w:rsid w:val="50F3FCA8"/>
    <w:rsid w:val="51192D63"/>
    <w:rsid w:val="513027B2"/>
    <w:rsid w:val="51631989"/>
    <w:rsid w:val="51899AD4"/>
    <w:rsid w:val="519697F9"/>
    <w:rsid w:val="51A9BC8E"/>
    <w:rsid w:val="51AC0471"/>
    <w:rsid w:val="51B83194"/>
    <w:rsid w:val="51D2E1B9"/>
    <w:rsid w:val="51E24854"/>
    <w:rsid w:val="51E6776C"/>
    <w:rsid w:val="52194654"/>
    <w:rsid w:val="523AFC2B"/>
    <w:rsid w:val="524F730E"/>
    <w:rsid w:val="52982CFD"/>
    <w:rsid w:val="52D46DDE"/>
    <w:rsid w:val="52FE1F95"/>
    <w:rsid w:val="53087EAF"/>
    <w:rsid w:val="5315DE81"/>
    <w:rsid w:val="5319EC3D"/>
    <w:rsid w:val="5329348C"/>
    <w:rsid w:val="533B7420"/>
    <w:rsid w:val="53482AAB"/>
    <w:rsid w:val="53550B82"/>
    <w:rsid w:val="536DF60D"/>
    <w:rsid w:val="53848A40"/>
    <w:rsid w:val="5386E302"/>
    <w:rsid w:val="53884A8B"/>
    <w:rsid w:val="539E4968"/>
    <w:rsid w:val="53B4FD53"/>
    <w:rsid w:val="53BACE67"/>
    <w:rsid w:val="53DC0508"/>
    <w:rsid w:val="53E19DC4"/>
    <w:rsid w:val="540644B7"/>
    <w:rsid w:val="54265F19"/>
    <w:rsid w:val="5459A09F"/>
    <w:rsid w:val="548BF58A"/>
    <w:rsid w:val="5497BD92"/>
    <w:rsid w:val="54984200"/>
    <w:rsid w:val="54B576A7"/>
    <w:rsid w:val="54E729FC"/>
    <w:rsid w:val="54F0EBB7"/>
    <w:rsid w:val="553B540E"/>
    <w:rsid w:val="558F1EA1"/>
    <w:rsid w:val="55B259D8"/>
    <w:rsid w:val="55E99372"/>
    <w:rsid w:val="560F2D66"/>
    <w:rsid w:val="562BDBEE"/>
    <w:rsid w:val="56401F97"/>
    <w:rsid w:val="566544F5"/>
    <w:rsid w:val="56682E21"/>
    <w:rsid w:val="56818571"/>
    <w:rsid w:val="568E2A10"/>
    <w:rsid w:val="56975492"/>
    <w:rsid w:val="569E5128"/>
    <w:rsid w:val="56D9CD93"/>
    <w:rsid w:val="56EEFF1D"/>
    <w:rsid w:val="56EF0068"/>
    <w:rsid w:val="5712B1BB"/>
    <w:rsid w:val="5720EEB8"/>
    <w:rsid w:val="5722F154"/>
    <w:rsid w:val="574F8F6D"/>
    <w:rsid w:val="5764C36C"/>
    <w:rsid w:val="578FD47B"/>
    <w:rsid w:val="579EEFFB"/>
    <w:rsid w:val="57B435F6"/>
    <w:rsid w:val="57B4F118"/>
    <w:rsid w:val="57B6A71E"/>
    <w:rsid w:val="57C2CD3E"/>
    <w:rsid w:val="57E08F05"/>
    <w:rsid w:val="5805E623"/>
    <w:rsid w:val="58099C78"/>
    <w:rsid w:val="5816F335"/>
    <w:rsid w:val="58448B78"/>
    <w:rsid w:val="586A1DAF"/>
    <w:rsid w:val="588A9C33"/>
    <w:rsid w:val="589C94B6"/>
    <w:rsid w:val="58A8A1AE"/>
    <w:rsid w:val="58F9C81D"/>
    <w:rsid w:val="5901A315"/>
    <w:rsid w:val="590C9075"/>
    <w:rsid w:val="591442E5"/>
    <w:rsid w:val="5918CF87"/>
    <w:rsid w:val="591AD864"/>
    <w:rsid w:val="598020DF"/>
    <w:rsid w:val="59932FA3"/>
    <w:rsid w:val="59981F09"/>
    <w:rsid w:val="59ADCB35"/>
    <w:rsid w:val="59B427EB"/>
    <w:rsid w:val="59D7B073"/>
    <w:rsid w:val="5A2A2D45"/>
    <w:rsid w:val="5A2BE0CD"/>
    <w:rsid w:val="5A7781E9"/>
    <w:rsid w:val="5A994FB6"/>
    <w:rsid w:val="5AADD8DD"/>
    <w:rsid w:val="5AAF6DC0"/>
    <w:rsid w:val="5AEA1187"/>
    <w:rsid w:val="5AEC0A14"/>
    <w:rsid w:val="5AFD9FB0"/>
    <w:rsid w:val="5B2641DE"/>
    <w:rsid w:val="5B28DFA3"/>
    <w:rsid w:val="5B39D4AE"/>
    <w:rsid w:val="5B3B13FE"/>
    <w:rsid w:val="5B3FFB4F"/>
    <w:rsid w:val="5B4B931E"/>
    <w:rsid w:val="5B4EA634"/>
    <w:rsid w:val="5B4F0627"/>
    <w:rsid w:val="5B5BE0C7"/>
    <w:rsid w:val="5B80253F"/>
    <w:rsid w:val="5B8DF118"/>
    <w:rsid w:val="5BA7A5F7"/>
    <w:rsid w:val="5BCF6E35"/>
    <w:rsid w:val="5BEA3C54"/>
    <w:rsid w:val="5BEFBEA5"/>
    <w:rsid w:val="5BF58291"/>
    <w:rsid w:val="5BF79530"/>
    <w:rsid w:val="5C03272D"/>
    <w:rsid w:val="5C4BEA0E"/>
    <w:rsid w:val="5C4C69CE"/>
    <w:rsid w:val="5C711D4E"/>
    <w:rsid w:val="5C7E2047"/>
    <w:rsid w:val="5C8C3672"/>
    <w:rsid w:val="5C9B5984"/>
    <w:rsid w:val="5CAB258B"/>
    <w:rsid w:val="5D0E92AC"/>
    <w:rsid w:val="5D136765"/>
    <w:rsid w:val="5D1E6BA8"/>
    <w:rsid w:val="5D3DD2BF"/>
    <w:rsid w:val="5D495029"/>
    <w:rsid w:val="5D53A910"/>
    <w:rsid w:val="5D6ED1FB"/>
    <w:rsid w:val="5DA6DE8C"/>
    <w:rsid w:val="5DAABFB9"/>
    <w:rsid w:val="5DCAF8B2"/>
    <w:rsid w:val="5DD139AE"/>
    <w:rsid w:val="5DD5FA16"/>
    <w:rsid w:val="5E0356F8"/>
    <w:rsid w:val="5E03AC86"/>
    <w:rsid w:val="5E4AF0DE"/>
    <w:rsid w:val="5E57D3E0"/>
    <w:rsid w:val="5E8991C7"/>
    <w:rsid w:val="5EBBB13F"/>
    <w:rsid w:val="5EC5EF88"/>
    <w:rsid w:val="5EC63386"/>
    <w:rsid w:val="5EC6E19D"/>
    <w:rsid w:val="5ED0D195"/>
    <w:rsid w:val="5ED4A7A5"/>
    <w:rsid w:val="5ED617E3"/>
    <w:rsid w:val="5EE693E7"/>
    <w:rsid w:val="5F07BB4E"/>
    <w:rsid w:val="5F172EBE"/>
    <w:rsid w:val="5F1F2762"/>
    <w:rsid w:val="5F440EDC"/>
    <w:rsid w:val="5F5367AD"/>
    <w:rsid w:val="5F582ABE"/>
    <w:rsid w:val="5F683549"/>
    <w:rsid w:val="5F6A7832"/>
    <w:rsid w:val="5F70FAFC"/>
    <w:rsid w:val="5F9FD024"/>
    <w:rsid w:val="5FA82342"/>
    <w:rsid w:val="5FABFFFC"/>
    <w:rsid w:val="5FEC65A5"/>
    <w:rsid w:val="5FFCCDF3"/>
    <w:rsid w:val="6019F07B"/>
    <w:rsid w:val="602F4190"/>
    <w:rsid w:val="602F7345"/>
    <w:rsid w:val="603648DE"/>
    <w:rsid w:val="603E96FD"/>
    <w:rsid w:val="60412C92"/>
    <w:rsid w:val="604F223A"/>
    <w:rsid w:val="605524A4"/>
    <w:rsid w:val="6066F944"/>
    <w:rsid w:val="6068356E"/>
    <w:rsid w:val="606D691C"/>
    <w:rsid w:val="6084441E"/>
    <w:rsid w:val="6085A1CC"/>
    <w:rsid w:val="609F7A0C"/>
    <w:rsid w:val="60AFAC9E"/>
    <w:rsid w:val="60E2B3DB"/>
    <w:rsid w:val="6112670B"/>
    <w:rsid w:val="616B3545"/>
    <w:rsid w:val="616F1D86"/>
    <w:rsid w:val="617004CF"/>
    <w:rsid w:val="617FF167"/>
    <w:rsid w:val="61A5F8F9"/>
    <w:rsid w:val="61B88C4A"/>
    <w:rsid w:val="61CD6A8A"/>
    <w:rsid w:val="61F6BEF1"/>
    <w:rsid w:val="61FAA300"/>
    <w:rsid w:val="62040E0C"/>
    <w:rsid w:val="6210F454"/>
    <w:rsid w:val="62417BF4"/>
    <w:rsid w:val="626271F8"/>
    <w:rsid w:val="62C9A963"/>
    <w:rsid w:val="62D5D273"/>
    <w:rsid w:val="62DE88BB"/>
    <w:rsid w:val="62FB15AE"/>
    <w:rsid w:val="62FCDA58"/>
    <w:rsid w:val="6350EA76"/>
    <w:rsid w:val="6356C90D"/>
    <w:rsid w:val="6357813B"/>
    <w:rsid w:val="6370C33C"/>
    <w:rsid w:val="63B8595C"/>
    <w:rsid w:val="63D43DF0"/>
    <w:rsid w:val="64113434"/>
    <w:rsid w:val="64145461"/>
    <w:rsid w:val="64159571"/>
    <w:rsid w:val="643D5240"/>
    <w:rsid w:val="6449511E"/>
    <w:rsid w:val="644DFB36"/>
    <w:rsid w:val="64A0D650"/>
    <w:rsid w:val="64B07821"/>
    <w:rsid w:val="64BE9A6A"/>
    <w:rsid w:val="64C69DA1"/>
    <w:rsid w:val="64CF166E"/>
    <w:rsid w:val="651A7610"/>
    <w:rsid w:val="65229336"/>
    <w:rsid w:val="652B6510"/>
    <w:rsid w:val="653DF439"/>
    <w:rsid w:val="6565B40B"/>
    <w:rsid w:val="656BD7B1"/>
    <w:rsid w:val="6572BC08"/>
    <w:rsid w:val="657773F9"/>
    <w:rsid w:val="6580624D"/>
    <w:rsid w:val="6583D6E9"/>
    <w:rsid w:val="658A7B38"/>
    <w:rsid w:val="65A0B9B8"/>
    <w:rsid w:val="65ABF7B2"/>
    <w:rsid w:val="65D0688C"/>
    <w:rsid w:val="65FF935D"/>
    <w:rsid w:val="65FFC356"/>
    <w:rsid w:val="661622EE"/>
    <w:rsid w:val="6618D16D"/>
    <w:rsid w:val="663DC120"/>
    <w:rsid w:val="664709CA"/>
    <w:rsid w:val="66616936"/>
    <w:rsid w:val="66761165"/>
    <w:rsid w:val="667CCFA0"/>
    <w:rsid w:val="6695C847"/>
    <w:rsid w:val="66BE55A9"/>
    <w:rsid w:val="66FF6A8F"/>
    <w:rsid w:val="6704566F"/>
    <w:rsid w:val="6706F350"/>
    <w:rsid w:val="671C1F31"/>
    <w:rsid w:val="6742EFBD"/>
    <w:rsid w:val="67574261"/>
    <w:rsid w:val="6761E501"/>
    <w:rsid w:val="676FA301"/>
    <w:rsid w:val="677D5F04"/>
    <w:rsid w:val="679562D7"/>
    <w:rsid w:val="67E54442"/>
    <w:rsid w:val="67F098E9"/>
    <w:rsid w:val="68374DA2"/>
    <w:rsid w:val="685C68DB"/>
    <w:rsid w:val="688D5522"/>
    <w:rsid w:val="6891FF97"/>
    <w:rsid w:val="68D2B40D"/>
    <w:rsid w:val="68FD1667"/>
    <w:rsid w:val="6914B22A"/>
    <w:rsid w:val="692B7F1A"/>
    <w:rsid w:val="694352C4"/>
    <w:rsid w:val="694DC37C"/>
    <w:rsid w:val="6959B7D8"/>
    <w:rsid w:val="69774844"/>
    <w:rsid w:val="6982AA0D"/>
    <w:rsid w:val="69951AA0"/>
    <w:rsid w:val="6998488E"/>
    <w:rsid w:val="69A7335C"/>
    <w:rsid w:val="69C06AFD"/>
    <w:rsid w:val="69C46766"/>
    <w:rsid w:val="6A325963"/>
    <w:rsid w:val="6A344ACF"/>
    <w:rsid w:val="6A53AED3"/>
    <w:rsid w:val="6A6B62EE"/>
    <w:rsid w:val="6AB26AED"/>
    <w:rsid w:val="6ADBF0C7"/>
    <w:rsid w:val="6B0D083C"/>
    <w:rsid w:val="6B0DE333"/>
    <w:rsid w:val="6B4B0202"/>
    <w:rsid w:val="6B4B2456"/>
    <w:rsid w:val="6B58D9E4"/>
    <w:rsid w:val="6B5CB71E"/>
    <w:rsid w:val="6B5E20A5"/>
    <w:rsid w:val="6B728B2C"/>
    <w:rsid w:val="6B77EED1"/>
    <w:rsid w:val="6B911FB9"/>
    <w:rsid w:val="6BAD5E92"/>
    <w:rsid w:val="6BB49F95"/>
    <w:rsid w:val="6BED305C"/>
    <w:rsid w:val="6BFB6D9C"/>
    <w:rsid w:val="6C13FF24"/>
    <w:rsid w:val="6C314626"/>
    <w:rsid w:val="6C401800"/>
    <w:rsid w:val="6C51F086"/>
    <w:rsid w:val="6C548BF2"/>
    <w:rsid w:val="6C55250C"/>
    <w:rsid w:val="6C563E58"/>
    <w:rsid w:val="6C65DC9C"/>
    <w:rsid w:val="6CDA4AB9"/>
    <w:rsid w:val="6CE7DB80"/>
    <w:rsid w:val="6CFCDF43"/>
    <w:rsid w:val="6D020B29"/>
    <w:rsid w:val="6D0DEB92"/>
    <w:rsid w:val="6D12B0E7"/>
    <w:rsid w:val="6D51483B"/>
    <w:rsid w:val="6D6EE1ED"/>
    <w:rsid w:val="6D988358"/>
    <w:rsid w:val="6D99143F"/>
    <w:rsid w:val="6D9B3325"/>
    <w:rsid w:val="6DAA0BC8"/>
    <w:rsid w:val="6DC45624"/>
    <w:rsid w:val="6DD8EA82"/>
    <w:rsid w:val="6DE5A283"/>
    <w:rsid w:val="6E044739"/>
    <w:rsid w:val="6E080EC9"/>
    <w:rsid w:val="6E1AD21A"/>
    <w:rsid w:val="6E1E9BDF"/>
    <w:rsid w:val="6E7EE291"/>
    <w:rsid w:val="6EB20FAD"/>
    <w:rsid w:val="6EB62819"/>
    <w:rsid w:val="6EC3052F"/>
    <w:rsid w:val="6EC942C4"/>
    <w:rsid w:val="6ED7ACA5"/>
    <w:rsid w:val="6F038EC9"/>
    <w:rsid w:val="6F073F5E"/>
    <w:rsid w:val="6F195DC0"/>
    <w:rsid w:val="6F1BEC1F"/>
    <w:rsid w:val="6F53DB99"/>
    <w:rsid w:val="6F6C83BB"/>
    <w:rsid w:val="6F9F42E6"/>
    <w:rsid w:val="6FB35FD4"/>
    <w:rsid w:val="6FE49242"/>
    <w:rsid w:val="6FE82D4B"/>
    <w:rsid w:val="6FF8832A"/>
    <w:rsid w:val="7003E784"/>
    <w:rsid w:val="70291AC5"/>
    <w:rsid w:val="702E5C21"/>
    <w:rsid w:val="703BE908"/>
    <w:rsid w:val="70469D31"/>
    <w:rsid w:val="70653E46"/>
    <w:rsid w:val="7090684C"/>
    <w:rsid w:val="70B74516"/>
    <w:rsid w:val="70D033F0"/>
    <w:rsid w:val="70D8A1A7"/>
    <w:rsid w:val="710CFD05"/>
    <w:rsid w:val="71153709"/>
    <w:rsid w:val="711CA282"/>
    <w:rsid w:val="71239EEF"/>
    <w:rsid w:val="7148B35E"/>
    <w:rsid w:val="71A06518"/>
    <w:rsid w:val="71D68658"/>
    <w:rsid w:val="71D7D790"/>
    <w:rsid w:val="722796AB"/>
    <w:rsid w:val="72323F3F"/>
    <w:rsid w:val="723A755A"/>
    <w:rsid w:val="723FD684"/>
    <w:rsid w:val="724EDFB2"/>
    <w:rsid w:val="72664701"/>
    <w:rsid w:val="7285B4B7"/>
    <w:rsid w:val="729C113A"/>
    <w:rsid w:val="72B7863E"/>
    <w:rsid w:val="72FB8056"/>
    <w:rsid w:val="732230EC"/>
    <w:rsid w:val="73315AFE"/>
    <w:rsid w:val="736E261D"/>
    <w:rsid w:val="739BD3AA"/>
    <w:rsid w:val="73C5938D"/>
    <w:rsid w:val="73F6F429"/>
    <w:rsid w:val="73F81E7B"/>
    <w:rsid w:val="7400D960"/>
    <w:rsid w:val="741B1B2C"/>
    <w:rsid w:val="742EC642"/>
    <w:rsid w:val="744C2510"/>
    <w:rsid w:val="748DA386"/>
    <w:rsid w:val="74BF81D6"/>
    <w:rsid w:val="74CE4768"/>
    <w:rsid w:val="74D9A8DF"/>
    <w:rsid w:val="74F69594"/>
    <w:rsid w:val="74FCCBC7"/>
    <w:rsid w:val="7512DC04"/>
    <w:rsid w:val="75211451"/>
    <w:rsid w:val="75362CFE"/>
    <w:rsid w:val="7547CBCA"/>
    <w:rsid w:val="7556427A"/>
    <w:rsid w:val="75997E64"/>
    <w:rsid w:val="75A3C2FA"/>
    <w:rsid w:val="75B37E73"/>
    <w:rsid w:val="75B3AF2D"/>
    <w:rsid w:val="75E20372"/>
    <w:rsid w:val="75F6C34B"/>
    <w:rsid w:val="75FAFD8D"/>
    <w:rsid w:val="7600C885"/>
    <w:rsid w:val="760FB891"/>
    <w:rsid w:val="761D37FA"/>
    <w:rsid w:val="76354DC7"/>
    <w:rsid w:val="7651D244"/>
    <w:rsid w:val="76623DF3"/>
    <w:rsid w:val="7674554F"/>
    <w:rsid w:val="7678F3D2"/>
    <w:rsid w:val="769CDAC0"/>
    <w:rsid w:val="76A0A6B3"/>
    <w:rsid w:val="76DDC060"/>
    <w:rsid w:val="7706C2B7"/>
    <w:rsid w:val="771484BD"/>
    <w:rsid w:val="7728DCEA"/>
    <w:rsid w:val="773A04B2"/>
    <w:rsid w:val="773E48C5"/>
    <w:rsid w:val="773E4B24"/>
    <w:rsid w:val="77604D73"/>
    <w:rsid w:val="77656DBE"/>
    <w:rsid w:val="777D21E1"/>
    <w:rsid w:val="7781D450"/>
    <w:rsid w:val="779886D2"/>
    <w:rsid w:val="77B40C7C"/>
    <w:rsid w:val="77DFB0F0"/>
    <w:rsid w:val="782BA372"/>
    <w:rsid w:val="78542CA6"/>
    <w:rsid w:val="7858CCEC"/>
    <w:rsid w:val="7877E6BC"/>
    <w:rsid w:val="788F6583"/>
    <w:rsid w:val="78B254D0"/>
    <w:rsid w:val="78C5F1B5"/>
    <w:rsid w:val="78D5B022"/>
    <w:rsid w:val="78EFCC54"/>
    <w:rsid w:val="793A67D9"/>
    <w:rsid w:val="795C703E"/>
    <w:rsid w:val="7998A2CA"/>
    <w:rsid w:val="79F5A075"/>
    <w:rsid w:val="7A0A2186"/>
    <w:rsid w:val="7A1B05E2"/>
    <w:rsid w:val="7A45D4F2"/>
    <w:rsid w:val="7A782FC2"/>
    <w:rsid w:val="7AAC8D7E"/>
    <w:rsid w:val="7AEDB0BB"/>
    <w:rsid w:val="7AF84F92"/>
    <w:rsid w:val="7B045EDA"/>
    <w:rsid w:val="7B094182"/>
    <w:rsid w:val="7B0BFC54"/>
    <w:rsid w:val="7B199752"/>
    <w:rsid w:val="7B4CE6A6"/>
    <w:rsid w:val="7B73947E"/>
    <w:rsid w:val="7B76634B"/>
    <w:rsid w:val="7B77461D"/>
    <w:rsid w:val="7B903D27"/>
    <w:rsid w:val="7B9585CB"/>
    <w:rsid w:val="7BB548E5"/>
    <w:rsid w:val="7BCC016B"/>
    <w:rsid w:val="7C0545C5"/>
    <w:rsid w:val="7C2672FC"/>
    <w:rsid w:val="7C47AD85"/>
    <w:rsid w:val="7C57107D"/>
    <w:rsid w:val="7C5891DD"/>
    <w:rsid w:val="7C7F8F0A"/>
    <w:rsid w:val="7CCC1F8B"/>
    <w:rsid w:val="7CD4A0C1"/>
    <w:rsid w:val="7CD9234E"/>
    <w:rsid w:val="7CF38BFD"/>
    <w:rsid w:val="7D0821DD"/>
    <w:rsid w:val="7D1024CD"/>
    <w:rsid w:val="7D2693EF"/>
    <w:rsid w:val="7D3E4A47"/>
    <w:rsid w:val="7D475C8B"/>
    <w:rsid w:val="7D4DE748"/>
    <w:rsid w:val="7D66D799"/>
    <w:rsid w:val="7D9497F6"/>
    <w:rsid w:val="7DB9A43C"/>
    <w:rsid w:val="7DBCD3BD"/>
    <w:rsid w:val="7DC15365"/>
    <w:rsid w:val="7DF47927"/>
    <w:rsid w:val="7DF6468B"/>
    <w:rsid w:val="7E09FC12"/>
    <w:rsid w:val="7E1F766E"/>
    <w:rsid w:val="7E2102D1"/>
    <w:rsid w:val="7E21C64E"/>
    <w:rsid w:val="7E4197A4"/>
    <w:rsid w:val="7E7CCEAD"/>
    <w:rsid w:val="7E90FB78"/>
    <w:rsid w:val="7E9C561A"/>
    <w:rsid w:val="7EB91414"/>
    <w:rsid w:val="7ECA9125"/>
    <w:rsid w:val="7ECD448F"/>
    <w:rsid w:val="7ED2F860"/>
    <w:rsid w:val="7ED56D6D"/>
    <w:rsid w:val="7EF78429"/>
    <w:rsid w:val="7F21CA46"/>
    <w:rsid w:val="7F3D0C91"/>
    <w:rsid w:val="7F4E071B"/>
    <w:rsid w:val="7F8DCE34"/>
    <w:rsid w:val="7F91DBAB"/>
    <w:rsid w:val="7F92C78D"/>
    <w:rsid w:val="7F93D02F"/>
    <w:rsid w:val="7F95271C"/>
    <w:rsid w:val="7F9AC25E"/>
    <w:rsid w:val="7FAF06D3"/>
    <w:rsid w:val="7FC2D7C7"/>
    <w:rsid w:val="7FCEEA5E"/>
    <w:rsid w:val="7FEC6496"/>
    <w:rsid w:val="7FFC4ED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EB70785"/>
  <w15:chartTrackingRefBased/>
  <w15:docId w15:val="{A5C26336-1B6F-45B0-A971-D01933C24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 w:eastAsia="en-I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7C22"/>
    <w:pPr>
      <w:keepNext/>
      <w:spacing w:before="360" w:after="360" w:line="240" w:lineRule="auto"/>
      <w:jc w:val="center"/>
      <w:outlineLvl w:val="0"/>
    </w:pPr>
    <w:rPr>
      <w:rFonts w:ascii="Times New Roman" w:eastAsia="Calibri" w:hAnsi="Times New Roman" w:cs="Symbol"/>
      <w:b/>
      <w:bCs/>
      <w:smallCaps/>
      <w:sz w:val="28"/>
      <w:szCs w:val="28"/>
    </w:rPr>
  </w:style>
  <w:style w:type="paragraph" w:styleId="Heading2">
    <w:name w:val="heading 2"/>
    <w:basedOn w:val="Normal"/>
    <w:next w:val="Normal"/>
    <w:link w:val="Heading2Char"/>
    <w:uiPriority w:val="9"/>
    <w:unhideWhenUsed/>
    <w:qFormat/>
    <w:rsid w:val="00B52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28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528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8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8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8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8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8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C22"/>
    <w:rPr>
      <w:rFonts w:ascii="Times New Roman" w:eastAsia="Calibri" w:hAnsi="Times New Roman" w:cs="Symbol"/>
      <w:b/>
      <w:bCs/>
      <w:smallCaps/>
      <w:sz w:val="28"/>
      <w:szCs w:val="28"/>
    </w:rPr>
  </w:style>
  <w:style w:type="character" w:customStyle="1" w:styleId="Heading2Char">
    <w:name w:val="Heading 2 Char"/>
    <w:basedOn w:val="DefaultParagraphFont"/>
    <w:link w:val="Heading2"/>
    <w:uiPriority w:val="9"/>
    <w:rsid w:val="00B528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28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528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8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8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8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8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8FB"/>
    <w:rPr>
      <w:rFonts w:eastAsiaTheme="majorEastAsia" w:cstheme="majorBidi"/>
      <w:color w:val="272727" w:themeColor="text1" w:themeTint="D8"/>
    </w:rPr>
  </w:style>
  <w:style w:type="paragraph" w:styleId="Title">
    <w:name w:val="Title"/>
    <w:basedOn w:val="Normal"/>
    <w:next w:val="Normal"/>
    <w:link w:val="TitleChar"/>
    <w:uiPriority w:val="10"/>
    <w:qFormat/>
    <w:rsid w:val="00B528FB"/>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B528FB"/>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B528FB"/>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B528FB"/>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B528FB"/>
    <w:pPr>
      <w:spacing w:before="160"/>
      <w:jc w:val="center"/>
    </w:pPr>
    <w:rPr>
      <w:i/>
      <w:iCs/>
      <w:color w:val="404040" w:themeColor="text1" w:themeTint="BF"/>
    </w:rPr>
  </w:style>
  <w:style w:type="character" w:customStyle="1" w:styleId="QuoteChar">
    <w:name w:val="Quote Char"/>
    <w:basedOn w:val="DefaultParagraphFont"/>
    <w:link w:val="Quote"/>
    <w:uiPriority w:val="29"/>
    <w:rsid w:val="00B528FB"/>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B528FB"/>
    <w:pPr>
      <w:ind w:left="720"/>
      <w:contextualSpacing/>
    </w:pPr>
  </w:style>
  <w:style w:type="character" w:styleId="IntenseEmphasis">
    <w:name w:val="Intense Emphasis"/>
    <w:basedOn w:val="DefaultParagraphFont"/>
    <w:uiPriority w:val="21"/>
    <w:qFormat/>
    <w:rsid w:val="00B528FB"/>
    <w:rPr>
      <w:i/>
      <w:iCs/>
      <w:color w:val="0F4761" w:themeColor="accent1" w:themeShade="BF"/>
    </w:rPr>
  </w:style>
  <w:style w:type="paragraph" w:styleId="IntenseQuote">
    <w:name w:val="Intense Quote"/>
    <w:basedOn w:val="Normal"/>
    <w:next w:val="Normal"/>
    <w:link w:val="IntenseQuoteChar"/>
    <w:uiPriority w:val="30"/>
    <w:qFormat/>
    <w:rsid w:val="00B528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8FB"/>
    <w:rPr>
      <w:i/>
      <w:iCs/>
      <w:color w:val="0F4761" w:themeColor="accent1" w:themeShade="BF"/>
    </w:rPr>
  </w:style>
  <w:style w:type="character" w:styleId="IntenseReference">
    <w:name w:val="Intense Reference"/>
    <w:basedOn w:val="DefaultParagraphFont"/>
    <w:uiPriority w:val="32"/>
    <w:qFormat/>
    <w:rsid w:val="00B528FB"/>
    <w:rPr>
      <w:b/>
      <w:bCs/>
      <w:smallCaps/>
      <w:color w:val="0F4761" w:themeColor="accent1" w:themeShade="BF"/>
    </w:rPr>
  </w:style>
  <w:style w:type="numbering" w:styleId="111111">
    <w:name w:val="Outline List 2"/>
    <w:basedOn w:val="NoList"/>
    <w:uiPriority w:val="99"/>
    <w:semiHidden/>
    <w:unhideWhenUsed/>
    <w:rsid w:val="00B528FB"/>
    <w:pPr>
      <w:numPr>
        <w:numId w:val="3"/>
      </w:numPr>
    </w:pPr>
  </w:style>
  <w:style w:type="numbering" w:styleId="1ai">
    <w:name w:val="Outline List 1"/>
    <w:basedOn w:val="NoList"/>
    <w:uiPriority w:val="99"/>
    <w:semiHidden/>
    <w:unhideWhenUsed/>
    <w:rsid w:val="00B528FB"/>
    <w:pPr>
      <w:numPr>
        <w:numId w:val="4"/>
      </w:numPr>
    </w:pPr>
  </w:style>
  <w:style w:type="numbering" w:styleId="ArticleSection">
    <w:name w:val="Outline List 3"/>
    <w:basedOn w:val="NoList"/>
    <w:uiPriority w:val="99"/>
    <w:semiHidden/>
    <w:unhideWhenUsed/>
    <w:rsid w:val="00B528FB"/>
    <w:pPr>
      <w:numPr>
        <w:numId w:val="5"/>
      </w:numPr>
    </w:pPr>
  </w:style>
  <w:style w:type="paragraph" w:styleId="BalloonText">
    <w:name w:val="Balloon Text"/>
    <w:basedOn w:val="Normal"/>
    <w:link w:val="BalloonTextChar"/>
    <w:uiPriority w:val="99"/>
    <w:semiHidden/>
    <w:unhideWhenUsed/>
    <w:rsid w:val="00B528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8FB"/>
    <w:rPr>
      <w:rFonts w:ascii="Segoe UI" w:hAnsi="Segoe UI" w:cs="Segoe UI"/>
      <w:sz w:val="18"/>
      <w:szCs w:val="18"/>
    </w:rPr>
  </w:style>
  <w:style w:type="paragraph" w:styleId="Bibliography">
    <w:name w:val="Bibliography"/>
    <w:basedOn w:val="Normal"/>
    <w:next w:val="Normal"/>
    <w:uiPriority w:val="37"/>
    <w:semiHidden/>
    <w:unhideWhenUsed/>
    <w:rsid w:val="00B528FB"/>
  </w:style>
  <w:style w:type="paragraph" w:styleId="BlockText">
    <w:name w:val="Block Text"/>
    <w:basedOn w:val="Normal"/>
    <w:uiPriority w:val="99"/>
    <w:semiHidden/>
    <w:unhideWhenUsed/>
    <w:rsid w:val="00B528FB"/>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
    <w:name w:val="Body Text"/>
    <w:basedOn w:val="Normal"/>
    <w:link w:val="BodyTextChar"/>
    <w:uiPriority w:val="99"/>
    <w:semiHidden/>
    <w:unhideWhenUsed/>
    <w:rsid w:val="00B528FB"/>
    <w:pPr>
      <w:spacing w:after="120"/>
    </w:pPr>
  </w:style>
  <w:style w:type="character" w:customStyle="1" w:styleId="BodyTextChar">
    <w:name w:val="Body Text Char"/>
    <w:basedOn w:val="DefaultParagraphFont"/>
    <w:link w:val="BodyText"/>
    <w:uiPriority w:val="99"/>
    <w:semiHidden/>
    <w:rsid w:val="00B528FB"/>
  </w:style>
  <w:style w:type="paragraph" w:styleId="BodyText2">
    <w:name w:val="Body Text 2"/>
    <w:basedOn w:val="Normal"/>
    <w:link w:val="BodyText2Char"/>
    <w:uiPriority w:val="99"/>
    <w:semiHidden/>
    <w:unhideWhenUsed/>
    <w:rsid w:val="00B528FB"/>
    <w:pPr>
      <w:spacing w:after="120" w:line="480" w:lineRule="auto"/>
    </w:pPr>
  </w:style>
  <w:style w:type="character" w:customStyle="1" w:styleId="BodyText2Char">
    <w:name w:val="Body Text 2 Char"/>
    <w:basedOn w:val="DefaultParagraphFont"/>
    <w:link w:val="BodyText2"/>
    <w:uiPriority w:val="99"/>
    <w:semiHidden/>
    <w:rsid w:val="00B528FB"/>
  </w:style>
  <w:style w:type="paragraph" w:styleId="BodyText3">
    <w:name w:val="Body Text 3"/>
    <w:basedOn w:val="Normal"/>
    <w:link w:val="BodyText3Char"/>
    <w:uiPriority w:val="99"/>
    <w:semiHidden/>
    <w:unhideWhenUsed/>
    <w:rsid w:val="00B528FB"/>
    <w:pPr>
      <w:spacing w:after="120"/>
    </w:pPr>
    <w:rPr>
      <w:sz w:val="16"/>
      <w:szCs w:val="16"/>
    </w:rPr>
  </w:style>
  <w:style w:type="character" w:customStyle="1" w:styleId="BodyText3Char">
    <w:name w:val="Body Text 3 Char"/>
    <w:basedOn w:val="DefaultParagraphFont"/>
    <w:link w:val="BodyText3"/>
    <w:uiPriority w:val="99"/>
    <w:semiHidden/>
    <w:rsid w:val="00B528FB"/>
    <w:rPr>
      <w:sz w:val="16"/>
      <w:szCs w:val="16"/>
    </w:rPr>
  </w:style>
  <w:style w:type="paragraph" w:styleId="BodyTextFirstIndent">
    <w:name w:val="Body Text First Indent"/>
    <w:basedOn w:val="BodyText"/>
    <w:link w:val="BodyTextFirstIndentChar"/>
    <w:uiPriority w:val="99"/>
    <w:semiHidden/>
    <w:unhideWhenUsed/>
    <w:rsid w:val="00B528FB"/>
    <w:pPr>
      <w:spacing w:after="160"/>
      <w:ind w:firstLine="360"/>
    </w:pPr>
  </w:style>
  <w:style w:type="character" w:customStyle="1" w:styleId="BodyTextFirstIndentChar">
    <w:name w:val="Body Text First Indent Char"/>
    <w:basedOn w:val="BodyTextChar"/>
    <w:link w:val="BodyTextFirstIndent"/>
    <w:uiPriority w:val="99"/>
    <w:semiHidden/>
    <w:rsid w:val="00B528FB"/>
  </w:style>
  <w:style w:type="paragraph" w:styleId="BodyTextIndent">
    <w:name w:val="Body Text Indent"/>
    <w:basedOn w:val="Normal"/>
    <w:link w:val="BodyTextIndentChar"/>
    <w:uiPriority w:val="99"/>
    <w:semiHidden/>
    <w:unhideWhenUsed/>
    <w:rsid w:val="00B528FB"/>
    <w:pPr>
      <w:spacing w:after="120"/>
      <w:ind w:left="360"/>
    </w:pPr>
  </w:style>
  <w:style w:type="character" w:customStyle="1" w:styleId="BodyTextIndentChar">
    <w:name w:val="Body Text Indent Char"/>
    <w:basedOn w:val="DefaultParagraphFont"/>
    <w:link w:val="BodyTextIndent"/>
    <w:uiPriority w:val="99"/>
    <w:semiHidden/>
    <w:rsid w:val="00B528FB"/>
  </w:style>
  <w:style w:type="paragraph" w:styleId="BodyTextFirstIndent2">
    <w:name w:val="Body Text First Indent 2"/>
    <w:basedOn w:val="BodyTextIndent"/>
    <w:link w:val="BodyTextFirstIndent2Char"/>
    <w:uiPriority w:val="99"/>
    <w:semiHidden/>
    <w:unhideWhenUsed/>
    <w:rsid w:val="00B528FB"/>
    <w:pPr>
      <w:spacing w:after="160"/>
      <w:ind w:firstLine="360"/>
    </w:pPr>
  </w:style>
  <w:style w:type="character" w:customStyle="1" w:styleId="BodyTextFirstIndent2Char">
    <w:name w:val="Body Text First Indent 2 Char"/>
    <w:basedOn w:val="BodyTextIndentChar"/>
    <w:link w:val="BodyTextFirstIndent2"/>
    <w:uiPriority w:val="99"/>
    <w:semiHidden/>
    <w:rsid w:val="00B528FB"/>
  </w:style>
  <w:style w:type="paragraph" w:styleId="BodyTextIndent2">
    <w:name w:val="Body Text Indent 2"/>
    <w:basedOn w:val="Normal"/>
    <w:link w:val="BodyTextIndent2Char"/>
    <w:uiPriority w:val="99"/>
    <w:semiHidden/>
    <w:unhideWhenUsed/>
    <w:rsid w:val="00B528FB"/>
    <w:pPr>
      <w:spacing w:after="120" w:line="480" w:lineRule="auto"/>
      <w:ind w:left="360"/>
    </w:pPr>
  </w:style>
  <w:style w:type="character" w:customStyle="1" w:styleId="BodyTextIndent2Char">
    <w:name w:val="Body Text Indent 2 Char"/>
    <w:basedOn w:val="DefaultParagraphFont"/>
    <w:link w:val="BodyTextIndent2"/>
    <w:uiPriority w:val="99"/>
    <w:semiHidden/>
    <w:rsid w:val="00B528FB"/>
  </w:style>
  <w:style w:type="paragraph" w:styleId="BodyTextIndent3">
    <w:name w:val="Body Text Indent 3"/>
    <w:basedOn w:val="Normal"/>
    <w:link w:val="BodyTextIndent3Char"/>
    <w:uiPriority w:val="99"/>
    <w:semiHidden/>
    <w:unhideWhenUsed/>
    <w:rsid w:val="00B528F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528FB"/>
    <w:rPr>
      <w:sz w:val="16"/>
      <w:szCs w:val="16"/>
    </w:rPr>
  </w:style>
  <w:style w:type="character" w:styleId="BookTitle">
    <w:name w:val="Book Title"/>
    <w:basedOn w:val="DefaultParagraphFont"/>
    <w:uiPriority w:val="33"/>
    <w:qFormat/>
    <w:rsid w:val="00B528FB"/>
    <w:rPr>
      <w:b/>
      <w:bCs/>
      <w:i/>
      <w:iCs/>
    </w:rPr>
  </w:style>
  <w:style w:type="paragraph" w:styleId="Caption">
    <w:name w:val="caption"/>
    <w:basedOn w:val="Normal"/>
    <w:next w:val="Normal"/>
    <w:uiPriority w:val="35"/>
    <w:semiHidden/>
    <w:unhideWhenUsed/>
    <w:qFormat/>
    <w:rsid w:val="00B528FB"/>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B528FB"/>
    <w:pPr>
      <w:spacing w:after="0" w:line="240" w:lineRule="auto"/>
      <w:ind w:left="4320"/>
    </w:pPr>
  </w:style>
  <w:style w:type="character" w:customStyle="1" w:styleId="ClosingChar">
    <w:name w:val="Closing Char"/>
    <w:basedOn w:val="DefaultParagraphFont"/>
    <w:link w:val="Closing"/>
    <w:uiPriority w:val="99"/>
    <w:semiHidden/>
    <w:rsid w:val="00B528FB"/>
  </w:style>
  <w:style w:type="table" w:styleId="ColorfulGrid">
    <w:name w:val="Colorful Grid"/>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unhideWhenUsed/>
    <w:rsid w:val="00B528FB"/>
    <w:rPr>
      <w:sz w:val="16"/>
      <w:szCs w:val="16"/>
    </w:rPr>
  </w:style>
  <w:style w:type="paragraph" w:styleId="CommentText">
    <w:name w:val="annotation text"/>
    <w:basedOn w:val="Normal"/>
    <w:link w:val="CommentTextChar"/>
    <w:uiPriority w:val="99"/>
    <w:unhideWhenUsed/>
    <w:rsid w:val="00B528FB"/>
    <w:pPr>
      <w:spacing w:line="240" w:lineRule="auto"/>
    </w:pPr>
    <w:rPr>
      <w:sz w:val="20"/>
      <w:szCs w:val="20"/>
    </w:rPr>
  </w:style>
  <w:style w:type="character" w:customStyle="1" w:styleId="CommentTextChar">
    <w:name w:val="Comment Text Char"/>
    <w:basedOn w:val="DefaultParagraphFont"/>
    <w:link w:val="CommentText"/>
    <w:uiPriority w:val="99"/>
    <w:rsid w:val="00B528FB"/>
    <w:rPr>
      <w:sz w:val="20"/>
      <w:szCs w:val="20"/>
    </w:rPr>
  </w:style>
  <w:style w:type="paragraph" w:styleId="CommentSubject">
    <w:name w:val="annotation subject"/>
    <w:basedOn w:val="CommentText"/>
    <w:next w:val="CommentText"/>
    <w:link w:val="CommentSubjectChar"/>
    <w:uiPriority w:val="99"/>
    <w:semiHidden/>
    <w:unhideWhenUsed/>
    <w:rsid w:val="00B528FB"/>
    <w:rPr>
      <w:b/>
      <w:bCs/>
    </w:rPr>
  </w:style>
  <w:style w:type="character" w:customStyle="1" w:styleId="CommentSubjectChar">
    <w:name w:val="Comment Subject Char"/>
    <w:basedOn w:val="CommentTextChar"/>
    <w:link w:val="CommentSubject"/>
    <w:uiPriority w:val="99"/>
    <w:semiHidden/>
    <w:rsid w:val="00B528FB"/>
    <w:rPr>
      <w:b/>
      <w:bCs/>
      <w:sz w:val="20"/>
      <w:szCs w:val="20"/>
    </w:rPr>
  </w:style>
  <w:style w:type="table" w:styleId="DarkList">
    <w:name w:val="Dark List"/>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B528FB"/>
  </w:style>
  <w:style w:type="character" w:customStyle="1" w:styleId="DateChar">
    <w:name w:val="Date Char"/>
    <w:basedOn w:val="DefaultParagraphFont"/>
    <w:link w:val="Date"/>
    <w:uiPriority w:val="99"/>
    <w:semiHidden/>
    <w:rsid w:val="00B528FB"/>
  </w:style>
  <w:style w:type="paragraph" w:styleId="DocumentMap">
    <w:name w:val="Document Map"/>
    <w:basedOn w:val="Normal"/>
    <w:link w:val="DocumentMapChar"/>
    <w:uiPriority w:val="99"/>
    <w:semiHidden/>
    <w:unhideWhenUsed/>
    <w:rsid w:val="00B528FB"/>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528FB"/>
    <w:rPr>
      <w:rFonts w:ascii="Segoe UI" w:hAnsi="Segoe UI" w:cs="Segoe UI"/>
      <w:sz w:val="16"/>
      <w:szCs w:val="16"/>
    </w:rPr>
  </w:style>
  <w:style w:type="paragraph" w:styleId="E-mailSignature">
    <w:name w:val="E-mail Signature"/>
    <w:basedOn w:val="Normal"/>
    <w:link w:val="E-mailSignatureChar"/>
    <w:uiPriority w:val="99"/>
    <w:semiHidden/>
    <w:unhideWhenUsed/>
    <w:rsid w:val="00B528FB"/>
    <w:pPr>
      <w:spacing w:after="0" w:line="240" w:lineRule="auto"/>
    </w:pPr>
  </w:style>
  <w:style w:type="character" w:customStyle="1" w:styleId="E-mailSignatureChar">
    <w:name w:val="E-mail Signature Char"/>
    <w:basedOn w:val="DefaultParagraphFont"/>
    <w:link w:val="E-mailSignature"/>
    <w:uiPriority w:val="99"/>
    <w:semiHidden/>
    <w:rsid w:val="00B528FB"/>
  </w:style>
  <w:style w:type="character" w:styleId="Emphasis">
    <w:name w:val="Emphasis"/>
    <w:basedOn w:val="DefaultParagraphFont"/>
    <w:uiPriority w:val="20"/>
    <w:qFormat/>
    <w:rsid w:val="00B528FB"/>
    <w:rPr>
      <w:i/>
      <w:iCs/>
    </w:rPr>
  </w:style>
  <w:style w:type="character" w:styleId="EndnoteReference">
    <w:name w:val="endnote reference"/>
    <w:basedOn w:val="DefaultParagraphFont"/>
    <w:uiPriority w:val="99"/>
    <w:semiHidden/>
    <w:unhideWhenUsed/>
    <w:rsid w:val="00B528FB"/>
    <w:rPr>
      <w:vertAlign w:val="superscript"/>
    </w:rPr>
  </w:style>
  <w:style w:type="paragraph" w:styleId="EndnoteText">
    <w:name w:val="endnote text"/>
    <w:basedOn w:val="Normal"/>
    <w:link w:val="EndnoteTextChar"/>
    <w:uiPriority w:val="99"/>
    <w:semiHidden/>
    <w:unhideWhenUsed/>
    <w:rsid w:val="00B528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528FB"/>
    <w:rPr>
      <w:sz w:val="20"/>
      <w:szCs w:val="20"/>
    </w:rPr>
  </w:style>
  <w:style w:type="paragraph" w:styleId="EnvelopeAddress">
    <w:name w:val="envelope address"/>
    <w:basedOn w:val="Normal"/>
    <w:uiPriority w:val="99"/>
    <w:semiHidden/>
    <w:unhideWhenUsed/>
    <w:rsid w:val="00B528FB"/>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B528FB"/>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B528FB"/>
    <w:rPr>
      <w:color w:val="96607D" w:themeColor="followedHyperlink"/>
      <w:u w:val="single"/>
    </w:rPr>
  </w:style>
  <w:style w:type="paragraph" w:styleId="Footer">
    <w:name w:val="footer"/>
    <w:basedOn w:val="Normal"/>
    <w:link w:val="FooterChar"/>
    <w:uiPriority w:val="99"/>
    <w:unhideWhenUsed/>
    <w:rsid w:val="00B52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8FB"/>
  </w:style>
  <w:style w:type="character" w:styleId="FootnoteReference">
    <w:name w:val="footnote reference"/>
    <w:basedOn w:val="DefaultParagraphFont"/>
    <w:uiPriority w:val="99"/>
    <w:unhideWhenUsed/>
    <w:rsid w:val="00B528FB"/>
    <w:rPr>
      <w:vertAlign w:val="superscript"/>
    </w:rPr>
  </w:style>
  <w:style w:type="paragraph" w:styleId="FootnoteText">
    <w:name w:val="footnote text"/>
    <w:basedOn w:val="Normal"/>
    <w:link w:val="FootnoteTextChar"/>
    <w:uiPriority w:val="99"/>
    <w:unhideWhenUsed/>
    <w:rsid w:val="00B528FB"/>
    <w:pPr>
      <w:spacing w:after="0" w:line="240" w:lineRule="auto"/>
    </w:pPr>
    <w:rPr>
      <w:sz w:val="20"/>
      <w:szCs w:val="20"/>
    </w:rPr>
  </w:style>
  <w:style w:type="character" w:customStyle="1" w:styleId="FootnoteTextChar">
    <w:name w:val="Footnote Text Char"/>
    <w:basedOn w:val="DefaultParagraphFont"/>
    <w:link w:val="FootnoteText"/>
    <w:uiPriority w:val="99"/>
    <w:rsid w:val="00B528FB"/>
    <w:rPr>
      <w:sz w:val="20"/>
      <w:szCs w:val="20"/>
    </w:rPr>
  </w:style>
  <w:style w:type="table" w:styleId="GridTable1Light">
    <w:name w:val="Grid Table 1 Light"/>
    <w:basedOn w:val="TableNormal"/>
    <w:uiPriority w:val="46"/>
    <w:rsid w:val="00B528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528FB"/>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528FB"/>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528FB"/>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528FB"/>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528FB"/>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528FB"/>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528F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528FB"/>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B528FB"/>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B528FB"/>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B528FB"/>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B528FB"/>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B528FB"/>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B528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528FB"/>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B528FB"/>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B528FB"/>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B528FB"/>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B528FB"/>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B528F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B528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528FB"/>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B528FB"/>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B528FB"/>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B528FB"/>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B528FB"/>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B528F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B528FB"/>
    <w:rPr>
      <w:color w:val="2B579A"/>
      <w:shd w:val="clear" w:color="auto" w:fill="E1DFDD"/>
    </w:rPr>
  </w:style>
  <w:style w:type="paragraph" w:styleId="Header">
    <w:name w:val="header"/>
    <w:basedOn w:val="Normal"/>
    <w:link w:val="HeaderChar"/>
    <w:uiPriority w:val="99"/>
    <w:unhideWhenUsed/>
    <w:rsid w:val="00B52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8FB"/>
  </w:style>
  <w:style w:type="character" w:styleId="HTMLAcronym">
    <w:name w:val="HTML Acronym"/>
    <w:basedOn w:val="DefaultParagraphFont"/>
    <w:uiPriority w:val="99"/>
    <w:semiHidden/>
    <w:unhideWhenUsed/>
    <w:rsid w:val="00B528FB"/>
  </w:style>
  <w:style w:type="paragraph" w:styleId="HTMLAddress">
    <w:name w:val="HTML Address"/>
    <w:basedOn w:val="Normal"/>
    <w:link w:val="HTMLAddressChar"/>
    <w:uiPriority w:val="99"/>
    <w:semiHidden/>
    <w:unhideWhenUsed/>
    <w:rsid w:val="00B528FB"/>
    <w:pPr>
      <w:spacing w:after="0" w:line="240" w:lineRule="auto"/>
    </w:pPr>
    <w:rPr>
      <w:i/>
      <w:iCs/>
    </w:rPr>
  </w:style>
  <w:style w:type="character" w:customStyle="1" w:styleId="HTMLAddressChar">
    <w:name w:val="HTML Address Char"/>
    <w:basedOn w:val="DefaultParagraphFont"/>
    <w:link w:val="HTMLAddress"/>
    <w:uiPriority w:val="99"/>
    <w:semiHidden/>
    <w:rsid w:val="00B528FB"/>
    <w:rPr>
      <w:i/>
      <w:iCs/>
    </w:rPr>
  </w:style>
  <w:style w:type="character" w:styleId="HTMLCite">
    <w:name w:val="HTML Cite"/>
    <w:basedOn w:val="DefaultParagraphFont"/>
    <w:uiPriority w:val="99"/>
    <w:semiHidden/>
    <w:unhideWhenUsed/>
    <w:rsid w:val="00B528FB"/>
    <w:rPr>
      <w:i/>
      <w:iCs/>
    </w:rPr>
  </w:style>
  <w:style w:type="character" w:styleId="HTMLCode">
    <w:name w:val="HTML Code"/>
    <w:basedOn w:val="DefaultParagraphFont"/>
    <w:uiPriority w:val="99"/>
    <w:semiHidden/>
    <w:unhideWhenUsed/>
    <w:rsid w:val="00B528FB"/>
    <w:rPr>
      <w:rFonts w:ascii="Consolas" w:hAnsi="Consolas"/>
      <w:sz w:val="20"/>
      <w:szCs w:val="20"/>
    </w:rPr>
  </w:style>
  <w:style w:type="character" w:styleId="HTMLDefinition">
    <w:name w:val="HTML Definition"/>
    <w:basedOn w:val="DefaultParagraphFont"/>
    <w:uiPriority w:val="99"/>
    <w:semiHidden/>
    <w:unhideWhenUsed/>
    <w:rsid w:val="00B528FB"/>
    <w:rPr>
      <w:i/>
      <w:iCs/>
    </w:rPr>
  </w:style>
  <w:style w:type="character" w:styleId="HTMLKeyboard">
    <w:name w:val="HTML Keyboard"/>
    <w:basedOn w:val="DefaultParagraphFont"/>
    <w:uiPriority w:val="99"/>
    <w:semiHidden/>
    <w:unhideWhenUsed/>
    <w:rsid w:val="00B528FB"/>
    <w:rPr>
      <w:rFonts w:ascii="Consolas" w:hAnsi="Consolas"/>
      <w:sz w:val="20"/>
      <w:szCs w:val="20"/>
    </w:rPr>
  </w:style>
  <w:style w:type="paragraph" w:styleId="HTMLPreformatted">
    <w:name w:val="HTML Preformatted"/>
    <w:basedOn w:val="Normal"/>
    <w:link w:val="HTMLPreformattedChar"/>
    <w:uiPriority w:val="99"/>
    <w:semiHidden/>
    <w:unhideWhenUsed/>
    <w:rsid w:val="00B528F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528FB"/>
    <w:rPr>
      <w:rFonts w:ascii="Consolas" w:hAnsi="Consolas"/>
      <w:sz w:val="20"/>
      <w:szCs w:val="20"/>
    </w:rPr>
  </w:style>
  <w:style w:type="character" w:styleId="HTMLSample">
    <w:name w:val="HTML Sample"/>
    <w:basedOn w:val="DefaultParagraphFont"/>
    <w:uiPriority w:val="99"/>
    <w:semiHidden/>
    <w:unhideWhenUsed/>
    <w:rsid w:val="00B528FB"/>
    <w:rPr>
      <w:rFonts w:ascii="Consolas" w:hAnsi="Consolas"/>
      <w:sz w:val="24"/>
      <w:szCs w:val="24"/>
    </w:rPr>
  </w:style>
  <w:style w:type="character" w:styleId="HTMLTypewriter">
    <w:name w:val="HTML Typewriter"/>
    <w:basedOn w:val="DefaultParagraphFont"/>
    <w:uiPriority w:val="99"/>
    <w:semiHidden/>
    <w:unhideWhenUsed/>
    <w:rsid w:val="00B528FB"/>
    <w:rPr>
      <w:rFonts w:ascii="Consolas" w:hAnsi="Consolas"/>
      <w:sz w:val="20"/>
      <w:szCs w:val="20"/>
    </w:rPr>
  </w:style>
  <w:style w:type="character" w:styleId="HTMLVariable">
    <w:name w:val="HTML Variable"/>
    <w:basedOn w:val="DefaultParagraphFont"/>
    <w:uiPriority w:val="99"/>
    <w:semiHidden/>
    <w:unhideWhenUsed/>
    <w:rsid w:val="00B528FB"/>
    <w:rPr>
      <w:i/>
      <w:iCs/>
    </w:rPr>
  </w:style>
  <w:style w:type="character" w:styleId="Hyperlink">
    <w:name w:val="Hyperlink"/>
    <w:basedOn w:val="DefaultParagraphFont"/>
    <w:uiPriority w:val="99"/>
    <w:unhideWhenUsed/>
    <w:rsid w:val="00B528FB"/>
    <w:rPr>
      <w:color w:val="467886" w:themeColor="hyperlink"/>
      <w:u w:val="single"/>
    </w:rPr>
  </w:style>
  <w:style w:type="paragraph" w:styleId="Index1">
    <w:name w:val="index 1"/>
    <w:basedOn w:val="Normal"/>
    <w:next w:val="Normal"/>
    <w:uiPriority w:val="99"/>
    <w:semiHidden/>
    <w:unhideWhenUsed/>
    <w:rsid w:val="00B528FB"/>
    <w:pPr>
      <w:spacing w:after="0" w:line="240" w:lineRule="auto"/>
      <w:ind w:left="240" w:hanging="240"/>
    </w:pPr>
  </w:style>
  <w:style w:type="paragraph" w:styleId="Index2">
    <w:name w:val="index 2"/>
    <w:basedOn w:val="Normal"/>
    <w:next w:val="Normal"/>
    <w:uiPriority w:val="99"/>
    <w:semiHidden/>
    <w:unhideWhenUsed/>
    <w:rsid w:val="00B528FB"/>
    <w:pPr>
      <w:spacing w:after="0" w:line="240" w:lineRule="auto"/>
      <w:ind w:left="480" w:hanging="240"/>
    </w:pPr>
  </w:style>
  <w:style w:type="paragraph" w:styleId="Index3">
    <w:name w:val="index 3"/>
    <w:basedOn w:val="Normal"/>
    <w:next w:val="Normal"/>
    <w:uiPriority w:val="99"/>
    <w:semiHidden/>
    <w:unhideWhenUsed/>
    <w:rsid w:val="00B528FB"/>
    <w:pPr>
      <w:spacing w:after="0" w:line="240" w:lineRule="auto"/>
      <w:ind w:left="720" w:hanging="240"/>
    </w:pPr>
  </w:style>
  <w:style w:type="paragraph" w:styleId="Index4">
    <w:name w:val="index 4"/>
    <w:basedOn w:val="Normal"/>
    <w:next w:val="Normal"/>
    <w:uiPriority w:val="99"/>
    <w:semiHidden/>
    <w:unhideWhenUsed/>
    <w:rsid w:val="00B528FB"/>
    <w:pPr>
      <w:spacing w:after="0" w:line="240" w:lineRule="auto"/>
      <w:ind w:left="960" w:hanging="240"/>
    </w:pPr>
  </w:style>
  <w:style w:type="paragraph" w:styleId="Index5">
    <w:name w:val="index 5"/>
    <w:basedOn w:val="Normal"/>
    <w:next w:val="Normal"/>
    <w:uiPriority w:val="99"/>
    <w:semiHidden/>
    <w:unhideWhenUsed/>
    <w:rsid w:val="00B528FB"/>
    <w:pPr>
      <w:spacing w:after="0" w:line="240" w:lineRule="auto"/>
      <w:ind w:left="1200" w:hanging="240"/>
    </w:pPr>
  </w:style>
  <w:style w:type="paragraph" w:styleId="Index6">
    <w:name w:val="index 6"/>
    <w:basedOn w:val="Normal"/>
    <w:next w:val="Normal"/>
    <w:uiPriority w:val="99"/>
    <w:semiHidden/>
    <w:unhideWhenUsed/>
    <w:rsid w:val="00B528FB"/>
    <w:pPr>
      <w:spacing w:after="0" w:line="240" w:lineRule="auto"/>
      <w:ind w:left="1440" w:hanging="240"/>
    </w:pPr>
  </w:style>
  <w:style w:type="paragraph" w:styleId="Index7">
    <w:name w:val="index 7"/>
    <w:basedOn w:val="Normal"/>
    <w:next w:val="Normal"/>
    <w:uiPriority w:val="99"/>
    <w:semiHidden/>
    <w:unhideWhenUsed/>
    <w:rsid w:val="00B528FB"/>
    <w:pPr>
      <w:spacing w:after="0" w:line="240" w:lineRule="auto"/>
      <w:ind w:left="1680" w:hanging="240"/>
    </w:pPr>
  </w:style>
  <w:style w:type="paragraph" w:styleId="Index8">
    <w:name w:val="index 8"/>
    <w:basedOn w:val="Normal"/>
    <w:next w:val="Normal"/>
    <w:uiPriority w:val="99"/>
    <w:semiHidden/>
    <w:unhideWhenUsed/>
    <w:rsid w:val="00B528FB"/>
    <w:pPr>
      <w:spacing w:after="0" w:line="240" w:lineRule="auto"/>
      <w:ind w:left="1920" w:hanging="240"/>
    </w:pPr>
  </w:style>
  <w:style w:type="paragraph" w:styleId="Index9">
    <w:name w:val="index 9"/>
    <w:basedOn w:val="Normal"/>
    <w:next w:val="Normal"/>
    <w:uiPriority w:val="99"/>
    <w:semiHidden/>
    <w:unhideWhenUsed/>
    <w:rsid w:val="00B528FB"/>
    <w:pPr>
      <w:spacing w:after="0" w:line="240" w:lineRule="auto"/>
      <w:ind w:left="2160" w:hanging="240"/>
    </w:pPr>
  </w:style>
  <w:style w:type="paragraph" w:styleId="IndexHeading">
    <w:name w:val="index heading"/>
    <w:basedOn w:val="Normal"/>
    <w:next w:val="Index1"/>
    <w:uiPriority w:val="99"/>
    <w:semiHidden/>
    <w:unhideWhenUsed/>
    <w:rsid w:val="00B528FB"/>
    <w:rPr>
      <w:rFonts w:asciiTheme="majorHAnsi" w:eastAsiaTheme="majorEastAsia" w:hAnsiTheme="majorHAnsi" w:cstheme="majorBidi"/>
      <w:b/>
      <w:bCs/>
    </w:rPr>
  </w:style>
  <w:style w:type="table" w:styleId="LightGrid">
    <w:name w:val="Light Grid"/>
    <w:basedOn w:val="TableNormal"/>
    <w:uiPriority w:val="62"/>
    <w:semiHidden/>
    <w:unhideWhenUsed/>
    <w:rsid w:val="00B528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528FB"/>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B528FB"/>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B528FB"/>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B528FB"/>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B528FB"/>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B528FB"/>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B528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528FB"/>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B528FB"/>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B528FB"/>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B528FB"/>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B528FB"/>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B528FB"/>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B528F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528FB"/>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B528FB"/>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B528FB"/>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B528FB"/>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B528FB"/>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B528FB"/>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B528FB"/>
  </w:style>
  <w:style w:type="paragraph" w:styleId="List">
    <w:name w:val="List"/>
    <w:basedOn w:val="Normal"/>
    <w:uiPriority w:val="99"/>
    <w:semiHidden/>
    <w:unhideWhenUsed/>
    <w:rsid w:val="00B528FB"/>
    <w:pPr>
      <w:ind w:left="360" w:hanging="360"/>
      <w:contextualSpacing/>
    </w:pPr>
  </w:style>
  <w:style w:type="paragraph" w:styleId="List2">
    <w:name w:val="List 2"/>
    <w:basedOn w:val="Normal"/>
    <w:uiPriority w:val="99"/>
    <w:semiHidden/>
    <w:unhideWhenUsed/>
    <w:rsid w:val="00B528FB"/>
    <w:pPr>
      <w:ind w:left="720" w:hanging="360"/>
      <w:contextualSpacing/>
    </w:pPr>
  </w:style>
  <w:style w:type="paragraph" w:styleId="List3">
    <w:name w:val="List 3"/>
    <w:basedOn w:val="Normal"/>
    <w:uiPriority w:val="99"/>
    <w:semiHidden/>
    <w:unhideWhenUsed/>
    <w:rsid w:val="00B528FB"/>
    <w:pPr>
      <w:ind w:left="1080" w:hanging="360"/>
      <w:contextualSpacing/>
    </w:pPr>
  </w:style>
  <w:style w:type="paragraph" w:styleId="List4">
    <w:name w:val="List 4"/>
    <w:basedOn w:val="Normal"/>
    <w:uiPriority w:val="99"/>
    <w:semiHidden/>
    <w:unhideWhenUsed/>
    <w:rsid w:val="00B528FB"/>
    <w:pPr>
      <w:ind w:left="1440" w:hanging="360"/>
      <w:contextualSpacing/>
    </w:pPr>
  </w:style>
  <w:style w:type="paragraph" w:styleId="List5">
    <w:name w:val="List 5"/>
    <w:basedOn w:val="Normal"/>
    <w:uiPriority w:val="99"/>
    <w:semiHidden/>
    <w:unhideWhenUsed/>
    <w:rsid w:val="00B528FB"/>
    <w:pPr>
      <w:ind w:left="1800" w:hanging="360"/>
      <w:contextualSpacing/>
    </w:pPr>
  </w:style>
  <w:style w:type="paragraph" w:styleId="ListBullet">
    <w:name w:val="List Bullet"/>
    <w:basedOn w:val="Normal"/>
    <w:uiPriority w:val="99"/>
    <w:semiHidden/>
    <w:unhideWhenUsed/>
    <w:rsid w:val="00B528FB"/>
    <w:pPr>
      <w:numPr>
        <w:numId w:val="6"/>
      </w:numPr>
      <w:contextualSpacing/>
    </w:pPr>
  </w:style>
  <w:style w:type="paragraph" w:styleId="ListBullet2">
    <w:name w:val="List Bullet 2"/>
    <w:basedOn w:val="Normal"/>
    <w:uiPriority w:val="99"/>
    <w:semiHidden/>
    <w:unhideWhenUsed/>
    <w:rsid w:val="00B528FB"/>
    <w:pPr>
      <w:numPr>
        <w:numId w:val="7"/>
      </w:numPr>
      <w:contextualSpacing/>
    </w:pPr>
  </w:style>
  <w:style w:type="paragraph" w:styleId="ListBullet3">
    <w:name w:val="List Bullet 3"/>
    <w:basedOn w:val="Normal"/>
    <w:uiPriority w:val="99"/>
    <w:semiHidden/>
    <w:unhideWhenUsed/>
    <w:rsid w:val="00B528FB"/>
    <w:pPr>
      <w:numPr>
        <w:numId w:val="8"/>
      </w:numPr>
      <w:contextualSpacing/>
    </w:pPr>
  </w:style>
  <w:style w:type="paragraph" w:styleId="ListBullet4">
    <w:name w:val="List Bullet 4"/>
    <w:basedOn w:val="Normal"/>
    <w:uiPriority w:val="99"/>
    <w:semiHidden/>
    <w:unhideWhenUsed/>
    <w:rsid w:val="00B528FB"/>
    <w:pPr>
      <w:numPr>
        <w:numId w:val="9"/>
      </w:numPr>
      <w:contextualSpacing/>
    </w:pPr>
  </w:style>
  <w:style w:type="paragraph" w:styleId="ListBullet5">
    <w:name w:val="List Bullet 5"/>
    <w:basedOn w:val="Normal"/>
    <w:uiPriority w:val="99"/>
    <w:semiHidden/>
    <w:unhideWhenUsed/>
    <w:rsid w:val="00B528FB"/>
    <w:pPr>
      <w:numPr>
        <w:numId w:val="10"/>
      </w:numPr>
      <w:contextualSpacing/>
    </w:pPr>
  </w:style>
  <w:style w:type="paragraph" w:styleId="ListContinue">
    <w:name w:val="List Continue"/>
    <w:basedOn w:val="Normal"/>
    <w:uiPriority w:val="99"/>
    <w:semiHidden/>
    <w:unhideWhenUsed/>
    <w:rsid w:val="00B528FB"/>
    <w:pPr>
      <w:spacing w:after="120"/>
      <w:ind w:left="360"/>
      <w:contextualSpacing/>
    </w:pPr>
  </w:style>
  <w:style w:type="paragraph" w:styleId="ListContinue2">
    <w:name w:val="List Continue 2"/>
    <w:basedOn w:val="Normal"/>
    <w:uiPriority w:val="99"/>
    <w:semiHidden/>
    <w:unhideWhenUsed/>
    <w:rsid w:val="00B528FB"/>
    <w:pPr>
      <w:spacing w:after="120"/>
      <w:ind w:left="720"/>
      <w:contextualSpacing/>
    </w:pPr>
  </w:style>
  <w:style w:type="paragraph" w:styleId="ListContinue3">
    <w:name w:val="List Continue 3"/>
    <w:basedOn w:val="Normal"/>
    <w:uiPriority w:val="99"/>
    <w:semiHidden/>
    <w:unhideWhenUsed/>
    <w:rsid w:val="00B528FB"/>
    <w:pPr>
      <w:spacing w:after="120"/>
      <w:ind w:left="1080"/>
      <w:contextualSpacing/>
    </w:pPr>
  </w:style>
  <w:style w:type="paragraph" w:styleId="ListContinue4">
    <w:name w:val="List Continue 4"/>
    <w:basedOn w:val="Normal"/>
    <w:uiPriority w:val="99"/>
    <w:semiHidden/>
    <w:unhideWhenUsed/>
    <w:rsid w:val="00B528FB"/>
    <w:pPr>
      <w:spacing w:after="120"/>
      <w:ind w:left="1440"/>
      <w:contextualSpacing/>
    </w:pPr>
  </w:style>
  <w:style w:type="paragraph" w:styleId="ListContinue5">
    <w:name w:val="List Continue 5"/>
    <w:basedOn w:val="Normal"/>
    <w:uiPriority w:val="99"/>
    <w:semiHidden/>
    <w:unhideWhenUsed/>
    <w:rsid w:val="00B528FB"/>
    <w:pPr>
      <w:spacing w:after="120"/>
      <w:ind w:left="1800"/>
      <w:contextualSpacing/>
    </w:pPr>
  </w:style>
  <w:style w:type="paragraph" w:styleId="ListNumber">
    <w:name w:val="List Number"/>
    <w:basedOn w:val="Normal"/>
    <w:uiPriority w:val="99"/>
    <w:semiHidden/>
    <w:unhideWhenUsed/>
    <w:rsid w:val="00B528FB"/>
    <w:pPr>
      <w:numPr>
        <w:numId w:val="11"/>
      </w:numPr>
      <w:contextualSpacing/>
    </w:pPr>
  </w:style>
  <w:style w:type="paragraph" w:styleId="ListNumber2">
    <w:name w:val="List Number 2"/>
    <w:basedOn w:val="Normal"/>
    <w:uiPriority w:val="99"/>
    <w:semiHidden/>
    <w:unhideWhenUsed/>
    <w:rsid w:val="00B528FB"/>
    <w:pPr>
      <w:numPr>
        <w:numId w:val="12"/>
      </w:numPr>
      <w:contextualSpacing/>
    </w:pPr>
  </w:style>
  <w:style w:type="paragraph" w:styleId="ListNumber3">
    <w:name w:val="List Number 3"/>
    <w:basedOn w:val="Normal"/>
    <w:uiPriority w:val="99"/>
    <w:semiHidden/>
    <w:unhideWhenUsed/>
    <w:rsid w:val="00B528FB"/>
    <w:pPr>
      <w:numPr>
        <w:numId w:val="13"/>
      </w:numPr>
      <w:contextualSpacing/>
    </w:pPr>
  </w:style>
  <w:style w:type="paragraph" w:styleId="ListNumber4">
    <w:name w:val="List Number 4"/>
    <w:basedOn w:val="Normal"/>
    <w:uiPriority w:val="99"/>
    <w:semiHidden/>
    <w:unhideWhenUsed/>
    <w:rsid w:val="00B528FB"/>
    <w:pPr>
      <w:numPr>
        <w:numId w:val="14"/>
      </w:numPr>
      <w:contextualSpacing/>
    </w:pPr>
  </w:style>
  <w:style w:type="paragraph" w:styleId="ListNumber5">
    <w:name w:val="List Number 5"/>
    <w:basedOn w:val="Normal"/>
    <w:uiPriority w:val="99"/>
    <w:semiHidden/>
    <w:unhideWhenUsed/>
    <w:rsid w:val="00B528FB"/>
    <w:pPr>
      <w:numPr>
        <w:numId w:val="15"/>
      </w:numPr>
      <w:contextualSpacing/>
    </w:pPr>
  </w:style>
  <w:style w:type="table" w:styleId="ListTable1Light">
    <w:name w:val="List Table 1 Light"/>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B528F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528FB"/>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B528FB"/>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B528FB"/>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B528FB"/>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B528FB"/>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B528FB"/>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B528F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528FB"/>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B528FB"/>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B528FB"/>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B528FB"/>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B528FB"/>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B528FB"/>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B528F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528FB"/>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528FB"/>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528FB"/>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528FB"/>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528FB"/>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528FB"/>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528F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528FB"/>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B528FB"/>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B528FB"/>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B528FB"/>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B528FB"/>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B528FB"/>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B528F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528FB"/>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528FB"/>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528FB"/>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528FB"/>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528FB"/>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528FB"/>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528F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528FB"/>
    <w:rPr>
      <w:rFonts w:ascii="Consolas" w:hAnsi="Consolas"/>
      <w:sz w:val="20"/>
      <w:szCs w:val="20"/>
    </w:rPr>
  </w:style>
  <w:style w:type="table" w:styleId="MediumGrid1">
    <w:name w:val="Medium Grid 1"/>
    <w:basedOn w:val="TableNormal"/>
    <w:uiPriority w:val="67"/>
    <w:semiHidden/>
    <w:unhideWhenUsed/>
    <w:rsid w:val="00B528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528FB"/>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B528FB"/>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B528FB"/>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B528FB"/>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B528FB"/>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B528FB"/>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528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528FB"/>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528FB"/>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528FB"/>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528FB"/>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528FB"/>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528FB"/>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B528FB"/>
    <w:rPr>
      <w:color w:val="2B579A"/>
      <w:shd w:val="clear" w:color="auto" w:fill="E1DFDD"/>
    </w:rPr>
  </w:style>
  <w:style w:type="paragraph" w:styleId="MessageHeader">
    <w:name w:val="Message Header"/>
    <w:basedOn w:val="Normal"/>
    <w:link w:val="MessageHeaderChar"/>
    <w:uiPriority w:val="99"/>
    <w:semiHidden/>
    <w:unhideWhenUsed/>
    <w:rsid w:val="00B528FB"/>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B528FB"/>
    <w:rPr>
      <w:rFonts w:asciiTheme="majorHAnsi" w:eastAsiaTheme="majorEastAsia" w:hAnsiTheme="majorHAnsi" w:cstheme="majorBidi"/>
      <w:shd w:val="pct20" w:color="auto" w:fill="auto"/>
    </w:rPr>
  </w:style>
  <w:style w:type="paragraph" w:styleId="NoSpacing">
    <w:name w:val="No Spacing"/>
    <w:uiPriority w:val="1"/>
    <w:qFormat/>
    <w:rsid w:val="00B528FB"/>
    <w:pPr>
      <w:spacing w:after="0" w:line="240" w:lineRule="auto"/>
    </w:pPr>
  </w:style>
  <w:style w:type="paragraph" w:styleId="NormalWeb">
    <w:name w:val="Normal (Web)"/>
    <w:basedOn w:val="Normal"/>
    <w:uiPriority w:val="99"/>
    <w:unhideWhenUsed/>
    <w:rsid w:val="00B528FB"/>
    <w:rPr>
      <w:rFonts w:ascii="Times New Roman" w:hAnsi="Times New Roman" w:cs="Times New Roman"/>
    </w:rPr>
  </w:style>
  <w:style w:type="paragraph" w:styleId="NormalIndent">
    <w:name w:val="Normal Indent"/>
    <w:basedOn w:val="Normal"/>
    <w:uiPriority w:val="99"/>
    <w:semiHidden/>
    <w:unhideWhenUsed/>
    <w:rsid w:val="00B528FB"/>
    <w:pPr>
      <w:ind w:left="720"/>
    </w:pPr>
  </w:style>
  <w:style w:type="paragraph" w:styleId="NoteHeading">
    <w:name w:val="Note Heading"/>
    <w:basedOn w:val="Normal"/>
    <w:next w:val="Normal"/>
    <w:link w:val="NoteHeadingChar"/>
    <w:uiPriority w:val="99"/>
    <w:semiHidden/>
    <w:unhideWhenUsed/>
    <w:rsid w:val="00B528FB"/>
    <w:pPr>
      <w:spacing w:after="0" w:line="240" w:lineRule="auto"/>
    </w:pPr>
  </w:style>
  <w:style w:type="character" w:customStyle="1" w:styleId="NoteHeadingChar">
    <w:name w:val="Note Heading Char"/>
    <w:basedOn w:val="DefaultParagraphFont"/>
    <w:link w:val="NoteHeading"/>
    <w:uiPriority w:val="99"/>
    <w:semiHidden/>
    <w:rsid w:val="00B528FB"/>
  </w:style>
  <w:style w:type="character" w:styleId="PageNumber">
    <w:name w:val="page number"/>
    <w:basedOn w:val="DefaultParagraphFont"/>
    <w:uiPriority w:val="99"/>
    <w:semiHidden/>
    <w:unhideWhenUsed/>
    <w:rsid w:val="00B528FB"/>
  </w:style>
  <w:style w:type="character" w:styleId="PlaceholderText">
    <w:name w:val="Placeholder Text"/>
    <w:basedOn w:val="DefaultParagraphFont"/>
    <w:uiPriority w:val="99"/>
    <w:semiHidden/>
    <w:rsid w:val="00B528FB"/>
    <w:rPr>
      <w:color w:val="666666"/>
    </w:rPr>
  </w:style>
  <w:style w:type="table" w:styleId="PlainTable1">
    <w:name w:val="Plain Table 1"/>
    <w:basedOn w:val="TableNormal"/>
    <w:uiPriority w:val="41"/>
    <w:rsid w:val="00B528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528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528F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528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528F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528F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528FB"/>
    <w:rPr>
      <w:rFonts w:ascii="Consolas" w:hAnsi="Consolas"/>
      <w:sz w:val="21"/>
      <w:szCs w:val="21"/>
    </w:rPr>
  </w:style>
  <w:style w:type="paragraph" w:styleId="Salutation">
    <w:name w:val="Salutation"/>
    <w:basedOn w:val="Normal"/>
    <w:next w:val="Normal"/>
    <w:link w:val="SalutationChar"/>
    <w:uiPriority w:val="99"/>
    <w:semiHidden/>
    <w:unhideWhenUsed/>
    <w:rsid w:val="00B528FB"/>
  </w:style>
  <w:style w:type="character" w:customStyle="1" w:styleId="SalutationChar">
    <w:name w:val="Salutation Char"/>
    <w:basedOn w:val="DefaultParagraphFont"/>
    <w:link w:val="Salutation"/>
    <w:uiPriority w:val="99"/>
    <w:semiHidden/>
    <w:rsid w:val="00B528FB"/>
  </w:style>
  <w:style w:type="paragraph" w:styleId="Signature">
    <w:name w:val="Signature"/>
    <w:basedOn w:val="Normal"/>
    <w:link w:val="SignatureChar"/>
    <w:uiPriority w:val="99"/>
    <w:semiHidden/>
    <w:unhideWhenUsed/>
    <w:rsid w:val="00B528FB"/>
    <w:pPr>
      <w:spacing w:after="0" w:line="240" w:lineRule="auto"/>
      <w:ind w:left="4320"/>
    </w:pPr>
  </w:style>
  <w:style w:type="character" w:customStyle="1" w:styleId="SignatureChar">
    <w:name w:val="Signature Char"/>
    <w:basedOn w:val="DefaultParagraphFont"/>
    <w:link w:val="Signature"/>
    <w:uiPriority w:val="99"/>
    <w:semiHidden/>
    <w:rsid w:val="00B528FB"/>
  </w:style>
  <w:style w:type="character" w:customStyle="1" w:styleId="SmartHyperlink1">
    <w:name w:val="Smart Hyperlink1"/>
    <w:basedOn w:val="DefaultParagraphFont"/>
    <w:uiPriority w:val="99"/>
    <w:semiHidden/>
    <w:unhideWhenUsed/>
    <w:rsid w:val="00B528FB"/>
    <w:rPr>
      <w:u w:val="dotted"/>
    </w:rPr>
  </w:style>
  <w:style w:type="character" w:customStyle="1" w:styleId="SmartLink1">
    <w:name w:val="SmartLink1"/>
    <w:basedOn w:val="DefaultParagraphFont"/>
    <w:uiPriority w:val="99"/>
    <w:semiHidden/>
    <w:unhideWhenUsed/>
    <w:rsid w:val="00B528FB"/>
    <w:rPr>
      <w:color w:val="0000FF"/>
      <w:u w:val="single"/>
      <w:shd w:val="clear" w:color="auto" w:fill="F3F2F1"/>
    </w:rPr>
  </w:style>
  <w:style w:type="character" w:styleId="Strong">
    <w:name w:val="Strong"/>
    <w:basedOn w:val="DefaultParagraphFont"/>
    <w:uiPriority w:val="22"/>
    <w:qFormat/>
    <w:rsid w:val="00B528FB"/>
    <w:rPr>
      <w:b/>
      <w:bCs/>
    </w:rPr>
  </w:style>
  <w:style w:type="character" w:styleId="SubtleEmphasis">
    <w:name w:val="Subtle Emphasis"/>
    <w:basedOn w:val="DefaultParagraphFont"/>
    <w:uiPriority w:val="19"/>
    <w:qFormat/>
    <w:rsid w:val="00B528FB"/>
    <w:rPr>
      <w:i/>
      <w:iCs/>
      <w:color w:val="404040" w:themeColor="text1" w:themeTint="BF"/>
    </w:rPr>
  </w:style>
  <w:style w:type="character" w:styleId="SubtleReference">
    <w:name w:val="Subtle Reference"/>
    <w:basedOn w:val="DefaultParagraphFont"/>
    <w:uiPriority w:val="31"/>
    <w:qFormat/>
    <w:rsid w:val="00B528FB"/>
    <w:rPr>
      <w:smallCaps/>
      <w:color w:val="5A5A5A" w:themeColor="text1" w:themeTint="A5"/>
    </w:rPr>
  </w:style>
  <w:style w:type="table" w:styleId="Table3Deffects1">
    <w:name w:val="Table 3D effects 1"/>
    <w:basedOn w:val="TableNormal"/>
    <w:uiPriority w:val="99"/>
    <w:semiHidden/>
    <w:unhideWhenUsed/>
    <w:rsid w:val="00B528F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528F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528F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528F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528F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528F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528F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528F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528F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528F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528F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528F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528F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528F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528F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528F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528F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B528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528F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528F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528F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528F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528F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528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528F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528F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528F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528F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528F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528F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528FB"/>
    <w:pPr>
      <w:spacing w:after="0"/>
      <w:ind w:left="240" w:hanging="240"/>
    </w:pPr>
  </w:style>
  <w:style w:type="paragraph" w:styleId="TableofFigures">
    <w:name w:val="table of figures"/>
    <w:basedOn w:val="Normal"/>
    <w:next w:val="Normal"/>
    <w:uiPriority w:val="99"/>
    <w:semiHidden/>
    <w:unhideWhenUsed/>
    <w:rsid w:val="00B528FB"/>
    <w:pPr>
      <w:spacing w:after="0"/>
    </w:pPr>
  </w:style>
  <w:style w:type="table" w:styleId="TableProfessional">
    <w:name w:val="Table Professional"/>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528F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528F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528F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528F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528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528F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528F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528F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528FB"/>
    <w:pPr>
      <w:spacing w:before="120"/>
    </w:pPr>
    <w:rPr>
      <w:rFonts w:asciiTheme="majorHAnsi" w:eastAsiaTheme="majorEastAsia" w:hAnsiTheme="majorHAnsi" w:cstheme="majorBidi"/>
      <w:b/>
      <w:bCs/>
    </w:rPr>
  </w:style>
  <w:style w:type="paragraph" w:styleId="TOC1">
    <w:name w:val="toc 1"/>
    <w:basedOn w:val="Normal"/>
    <w:next w:val="Normal"/>
    <w:uiPriority w:val="39"/>
    <w:semiHidden/>
    <w:unhideWhenUsed/>
    <w:rsid w:val="00B528FB"/>
    <w:pPr>
      <w:spacing w:after="100"/>
    </w:pPr>
  </w:style>
  <w:style w:type="paragraph" w:styleId="TOC2">
    <w:name w:val="toc 2"/>
    <w:basedOn w:val="Normal"/>
    <w:next w:val="Normal"/>
    <w:uiPriority w:val="39"/>
    <w:semiHidden/>
    <w:unhideWhenUsed/>
    <w:rsid w:val="00B528FB"/>
    <w:pPr>
      <w:spacing w:after="100"/>
      <w:ind w:left="240"/>
    </w:pPr>
  </w:style>
  <w:style w:type="paragraph" w:styleId="TOC3">
    <w:name w:val="toc 3"/>
    <w:basedOn w:val="Normal"/>
    <w:next w:val="Normal"/>
    <w:uiPriority w:val="39"/>
    <w:semiHidden/>
    <w:unhideWhenUsed/>
    <w:rsid w:val="00B528FB"/>
    <w:pPr>
      <w:spacing w:after="100"/>
      <w:ind w:left="480"/>
    </w:pPr>
  </w:style>
  <w:style w:type="paragraph" w:styleId="TOC4">
    <w:name w:val="toc 4"/>
    <w:basedOn w:val="Normal"/>
    <w:next w:val="Normal"/>
    <w:uiPriority w:val="39"/>
    <w:semiHidden/>
    <w:unhideWhenUsed/>
    <w:rsid w:val="00B528FB"/>
    <w:pPr>
      <w:spacing w:after="100"/>
      <w:ind w:left="720"/>
    </w:pPr>
  </w:style>
  <w:style w:type="paragraph" w:styleId="TOC5">
    <w:name w:val="toc 5"/>
    <w:basedOn w:val="Normal"/>
    <w:next w:val="Normal"/>
    <w:uiPriority w:val="39"/>
    <w:semiHidden/>
    <w:unhideWhenUsed/>
    <w:rsid w:val="00B528FB"/>
    <w:pPr>
      <w:spacing w:after="100"/>
      <w:ind w:left="960"/>
    </w:pPr>
  </w:style>
  <w:style w:type="paragraph" w:styleId="TOC6">
    <w:name w:val="toc 6"/>
    <w:basedOn w:val="Normal"/>
    <w:next w:val="Normal"/>
    <w:uiPriority w:val="39"/>
    <w:semiHidden/>
    <w:unhideWhenUsed/>
    <w:rsid w:val="00B528FB"/>
    <w:pPr>
      <w:spacing w:after="100"/>
      <w:ind w:left="1200"/>
    </w:pPr>
  </w:style>
  <w:style w:type="paragraph" w:styleId="TOC7">
    <w:name w:val="toc 7"/>
    <w:basedOn w:val="Normal"/>
    <w:next w:val="Normal"/>
    <w:uiPriority w:val="39"/>
    <w:semiHidden/>
    <w:unhideWhenUsed/>
    <w:rsid w:val="00B528FB"/>
    <w:pPr>
      <w:spacing w:after="100"/>
      <w:ind w:left="1440"/>
    </w:pPr>
  </w:style>
  <w:style w:type="paragraph" w:styleId="TOC8">
    <w:name w:val="toc 8"/>
    <w:basedOn w:val="Normal"/>
    <w:next w:val="Normal"/>
    <w:uiPriority w:val="39"/>
    <w:semiHidden/>
    <w:unhideWhenUsed/>
    <w:rsid w:val="00B528FB"/>
    <w:pPr>
      <w:spacing w:after="100"/>
      <w:ind w:left="1680"/>
    </w:pPr>
  </w:style>
  <w:style w:type="paragraph" w:styleId="TOC9">
    <w:name w:val="toc 9"/>
    <w:basedOn w:val="Normal"/>
    <w:next w:val="Normal"/>
    <w:uiPriority w:val="39"/>
    <w:semiHidden/>
    <w:unhideWhenUsed/>
    <w:rsid w:val="00B528FB"/>
    <w:pPr>
      <w:spacing w:after="100"/>
      <w:ind w:left="1920"/>
    </w:pPr>
  </w:style>
  <w:style w:type="paragraph" w:styleId="TOCHeading">
    <w:name w:val="TOC Heading"/>
    <w:basedOn w:val="Heading1"/>
    <w:next w:val="Normal"/>
    <w:uiPriority w:val="39"/>
    <w:semiHidden/>
    <w:unhideWhenUsed/>
    <w:qFormat/>
    <w:rsid w:val="00B528FB"/>
    <w:pPr>
      <w:spacing w:before="240" w:after="0"/>
      <w:outlineLvl w:val="9"/>
    </w:pPr>
    <w:rPr>
      <w:sz w:val="32"/>
      <w:szCs w:val="32"/>
    </w:rPr>
  </w:style>
  <w:style w:type="character" w:customStyle="1" w:styleId="UnresolvedMention1">
    <w:name w:val="Unresolved Mention1"/>
    <w:basedOn w:val="DefaultParagraphFont"/>
    <w:uiPriority w:val="99"/>
    <w:semiHidden/>
    <w:unhideWhenUsed/>
    <w:rsid w:val="00B528FB"/>
    <w:rPr>
      <w:color w:val="605E5C"/>
      <w:shd w:val="clear" w:color="auto" w:fill="E1DFDD"/>
    </w:rPr>
  </w:style>
  <w:style w:type="paragraph" w:customStyle="1" w:styleId="NumPar1">
    <w:name w:val="NumPar 1"/>
    <w:basedOn w:val="Normal"/>
    <w:next w:val="Normal"/>
    <w:rsid w:val="00B528FB"/>
    <w:pPr>
      <w:numPr>
        <w:numId w:val="18"/>
      </w:numPr>
      <w:tabs>
        <w:tab w:val="clear" w:pos="850"/>
        <w:tab w:val="num" w:pos="360"/>
      </w:tabs>
      <w:spacing w:before="120" w:after="120" w:line="240" w:lineRule="auto"/>
      <w:ind w:left="0" w:firstLine="0"/>
      <w:jc w:val="both"/>
    </w:pPr>
    <w:rPr>
      <w:rFonts w:ascii="Segoe UI" w:hAnsi="Segoe UI" w:cs="Segoe UI"/>
      <w:kern w:val="0"/>
      <w:szCs w:val="22"/>
    </w:rPr>
  </w:style>
  <w:style w:type="paragraph" w:customStyle="1" w:styleId="NumPar2">
    <w:name w:val="NumPar 2"/>
    <w:basedOn w:val="Normal"/>
    <w:next w:val="Normal"/>
    <w:rsid w:val="00B528FB"/>
    <w:pPr>
      <w:numPr>
        <w:ilvl w:val="1"/>
        <w:numId w:val="18"/>
      </w:numPr>
      <w:tabs>
        <w:tab w:val="clear" w:pos="6236"/>
        <w:tab w:val="num" w:pos="360"/>
        <w:tab w:val="num" w:pos="850"/>
      </w:tabs>
      <w:spacing w:before="120" w:after="120" w:line="240" w:lineRule="auto"/>
      <w:ind w:left="850" w:firstLine="0"/>
      <w:jc w:val="both"/>
    </w:pPr>
    <w:rPr>
      <w:rFonts w:ascii="Symbol" w:hAnsi="Symbol" w:cs="Symbol"/>
      <w:kern w:val="0"/>
      <w:szCs w:val="22"/>
    </w:rPr>
  </w:style>
  <w:style w:type="paragraph" w:customStyle="1" w:styleId="NumPar3">
    <w:name w:val="NumPar 3"/>
    <w:basedOn w:val="Normal"/>
    <w:next w:val="Normal"/>
    <w:rsid w:val="00B528FB"/>
    <w:pPr>
      <w:numPr>
        <w:ilvl w:val="2"/>
        <w:numId w:val="18"/>
      </w:numPr>
      <w:tabs>
        <w:tab w:val="clear" w:pos="850"/>
        <w:tab w:val="num" w:pos="360"/>
      </w:tabs>
      <w:spacing w:before="120" w:after="120" w:line="240" w:lineRule="auto"/>
      <w:ind w:left="0" w:firstLine="0"/>
      <w:jc w:val="both"/>
    </w:pPr>
    <w:rPr>
      <w:rFonts w:ascii="Symbol" w:hAnsi="Symbol" w:cs="Symbol"/>
      <w:kern w:val="0"/>
      <w:szCs w:val="22"/>
    </w:rPr>
  </w:style>
  <w:style w:type="paragraph" w:customStyle="1" w:styleId="NumPar4">
    <w:name w:val="NumPar 4"/>
    <w:basedOn w:val="Normal"/>
    <w:next w:val="Normal"/>
    <w:rsid w:val="00B528FB"/>
    <w:pPr>
      <w:numPr>
        <w:ilvl w:val="3"/>
        <w:numId w:val="18"/>
      </w:numPr>
      <w:tabs>
        <w:tab w:val="clear" w:pos="850"/>
        <w:tab w:val="num" w:pos="360"/>
      </w:tabs>
      <w:spacing w:before="120" w:after="120" w:line="240" w:lineRule="auto"/>
      <w:ind w:left="0" w:firstLine="0"/>
      <w:jc w:val="both"/>
    </w:pPr>
    <w:rPr>
      <w:rFonts w:ascii="Symbol" w:hAnsi="Symbol" w:cs="Symbol"/>
      <w:kern w:val="0"/>
      <w:szCs w:val="22"/>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B528FB"/>
  </w:style>
  <w:style w:type="paragraph" w:customStyle="1" w:styleId="xmsonormal">
    <w:name w:val="x_msonormal"/>
    <w:basedOn w:val="Normal"/>
    <w:rsid w:val="00B528FB"/>
    <w:pPr>
      <w:spacing w:after="0" w:line="240" w:lineRule="auto"/>
    </w:pPr>
    <w:rPr>
      <w:rFonts w:ascii="Wingdings" w:hAnsi="Wingdings" w:cs="Wingdings"/>
      <w:kern w:val="0"/>
      <w:sz w:val="22"/>
      <w:szCs w:val="22"/>
      <w14:ligatures w14:val="none"/>
    </w:rPr>
  </w:style>
  <w:style w:type="paragraph" w:customStyle="1" w:styleId="LegalNumPar3">
    <w:name w:val="LegalNumPar3"/>
    <w:basedOn w:val="Normal"/>
    <w:uiPriority w:val="1"/>
    <w:rsid w:val="00B528FB"/>
    <w:pPr>
      <w:numPr>
        <w:ilvl w:val="2"/>
        <w:numId w:val="21"/>
      </w:numPr>
      <w:spacing w:line="259" w:lineRule="auto"/>
    </w:pPr>
    <w:rPr>
      <w:kern w:val="0"/>
      <w:sz w:val="22"/>
      <w:szCs w:val="22"/>
      <w14:ligatures w14:val="none"/>
    </w:rPr>
  </w:style>
  <w:style w:type="paragraph" w:customStyle="1" w:styleId="Text1">
    <w:name w:val="Text 1"/>
    <w:basedOn w:val="Normal"/>
    <w:rsid w:val="00B528FB"/>
    <w:pPr>
      <w:spacing w:before="120" w:after="120" w:line="240" w:lineRule="auto"/>
      <w:ind w:left="850"/>
      <w:jc w:val="both"/>
    </w:pPr>
    <w:rPr>
      <w:rFonts w:ascii="Symbol" w:hAnsi="Symbol" w:cs="Symbol"/>
      <w:kern w:val="0"/>
      <w:szCs w:val="22"/>
      <w14:ligatures w14:val="none"/>
    </w:rPr>
  </w:style>
  <w:style w:type="paragraph" w:customStyle="1" w:styleId="FooterCouncil">
    <w:name w:val="Footer Council"/>
    <w:basedOn w:val="Normal"/>
    <w:link w:val="FooterCouncilChar"/>
    <w:rsid w:val="00B528FB"/>
    <w:pPr>
      <w:spacing w:after="0" w:line="276" w:lineRule="auto"/>
    </w:pPr>
    <w:rPr>
      <w:kern w:val="0"/>
      <w:sz w:val="2"/>
      <w:szCs w:val="22"/>
      <w14:ligatures w14:val="none"/>
    </w:rPr>
  </w:style>
  <w:style w:type="character" w:customStyle="1" w:styleId="FooterCouncilChar">
    <w:name w:val="Footer Council Char"/>
    <w:basedOn w:val="DefaultParagraphFont"/>
    <w:link w:val="FooterCouncil"/>
    <w:rsid w:val="00B528FB"/>
    <w:rPr>
      <w:kern w:val="0"/>
      <w:sz w:val="2"/>
      <w:szCs w:val="22"/>
      <w14:ligatures w14:val="none"/>
    </w:rPr>
  </w:style>
  <w:style w:type="character" w:customStyle="1" w:styleId="eop">
    <w:name w:val="eop"/>
    <w:basedOn w:val="DefaultParagraphFont"/>
    <w:rsid w:val="00B528FB"/>
  </w:style>
  <w:style w:type="character" w:customStyle="1" w:styleId="normaltextrun">
    <w:name w:val="normaltextrun"/>
    <w:basedOn w:val="DefaultParagraphFont"/>
    <w:rsid w:val="00B528FB"/>
  </w:style>
  <w:style w:type="paragraph" w:customStyle="1" w:styleId="paragraph">
    <w:name w:val="paragraph"/>
    <w:basedOn w:val="Normal"/>
    <w:rsid w:val="00B528FB"/>
    <w:pPr>
      <w:spacing w:before="100" w:beforeAutospacing="1" w:after="100" w:afterAutospacing="1" w:line="240" w:lineRule="auto"/>
    </w:pPr>
    <w:rPr>
      <w:rFonts w:ascii="Symbol" w:eastAsia="Symbol" w:hAnsi="Symbol" w:cs="Symbol"/>
      <w:kern w:val="0"/>
      <w14:ligatures w14:val="none"/>
    </w:rPr>
  </w:style>
  <w:style w:type="paragraph" w:customStyle="1" w:styleId="LegalNumPar">
    <w:name w:val="LegalNumPar"/>
    <w:basedOn w:val="Normal"/>
    <w:rsid w:val="00B528FB"/>
    <w:pPr>
      <w:spacing w:line="259" w:lineRule="auto"/>
      <w:ind w:left="476" w:hanging="476"/>
    </w:pPr>
    <w:rPr>
      <w:kern w:val="0"/>
      <w:sz w:val="22"/>
      <w:szCs w:val="22"/>
      <w14:ligatures w14:val="none"/>
    </w:rPr>
  </w:style>
  <w:style w:type="paragraph" w:customStyle="1" w:styleId="LegalNumPar2">
    <w:name w:val="LegalNumPar2"/>
    <w:basedOn w:val="Normal"/>
    <w:rsid w:val="00B528FB"/>
    <w:pPr>
      <w:spacing w:line="259" w:lineRule="auto"/>
      <w:ind w:left="953" w:hanging="477"/>
    </w:pPr>
    <w:rPr>
      <w:kern w:val="0"/>
      <w:sz w:val="22"/>
      <w:szCs w:val="22"/>
      <w14:ligatures w14:val="none"/>
    </w:rPr>
  </w:style>
  <w:style w:type="paragraph" w:customStyle="1" w:styleId="Footer1">
    <w:name w:val="Footer1"/>
    <w:basedOn w:val="Normal"/>
    <w:next w:val="Footer"/>
    <w:uiPriority w:val="99"/>
    <w:unhideWhenUsed/>
    <w:rsid w:val="00B528FB"/>
    <w:pPr>
      <w:tabs>
        <w:tab w:val="center" w:pos="4535"/>
        <w:tab w:val="right" w:pos="9071"/>
        <w:tab w:val="right" w:pos="9921"/>
      </w:tabs>
      <w:spacing w:before="360" w:after="0" w:line="240" w:lineRule="auto"/>
      <w:ind w:left="-850" w:right="-850"/>
    </w:pPr>
    <w:rPr>
      <w:rFonts w:ascii="Symbol" w:hAnsi="Symbol" w:cs="Symbol"/>
      <w:szCs w:val="22"/>
    </w:rPr>
  </w:style>
  <w:style w:type="paragraph" w:customStyle="1" w:styleId="FootnoteText1">
    <w:name w:val="Footnote Text1"/>
    <w:basedOn w:val="Normal"/>
    <w:next w:val="FootnoteText"/>
    <w:uiPriority w:val="99"/>
    <w:unhideWhenUsed/>
    <w:rsid w:val="00B528FB"/>
    <w:pPr>
      <w:spacing w:after="0" w:line="240" w:lineRule="auto"/>
      <w:ind w:left="720" w:hanging="720"/>
      <w:jc w:val="both"/>
    </w:pPr>
    <w:rPr>
      <w:rFonts w:ascii="Symbol" w:hAnsi="Symbol" w:cs="Symbol"/>
      <w:sz w:val="20"/>
      <w:szCs w:val="20"/>
    </w:rPr>
  </w:style>
  <w:style w:type="character" w:customStyle="1" w:styleId="HeaderChar1">
    <w:name w:val="Header Char1"/>
    <w:basedOn w:val="DefaultParagraphFont"/>
    <w:uiPriority w:val="99"/>
    <w:rsid w:val="00B528FB"/>
    <w:rPr>
      <w:rFonts w:eastAsiaTheme="minorHAnsi"/>
      <w:sz w:val="22"/>
      <w:szCs w:val="22"/>
    </w:rPr>
  </w:style>
  <w:style w:type="character" w:customStyle="1" w:styleId="FooterChar1">
    <w:name w:val="Footer Char1"/>
    <w:basedOn w:val="DefaultParagraphFont"/>
    <w:uiPriority w:val="99"/>
    <w:rsid w:val="00B528FB"/>
    <w:rPr>
      <w:rFonts w:eastAsiaTheme="minorHAnsi"/>
      <w:sz w:val="22"/>
      <w:szCs w:val="22"/>
    </w:rPr>
  </w:style>
  <w:style w:type="character" w:customStyle="1" w:styleId="FootnoteTextChar1">
    <w:name w:val="Footnote Text Char1"/>
    <w:basedOn w:val="DefaultParagraphFont"/>
    <w:uiPriority w:val="99"/>
    <w:rsid w:val="00B528FB"/>
    <w:rPr>
      <w:rFonts w:eastAsiaTheme="minorHAnsi"/>
      <w:sz w:val="20"/>
      <w:szCs w:val="20"/>
    </w:rPr>
  </w:style>
  <w:style w:type="character" w:customStyle="1" w:styleId="CommentTextChar1">
    <w:name w:val="Comment Text Char1"/>
    <w:basedOn w:val="DefaultParagraphFont"/>
    <w:uiPriority w:val="99"/>
    <w:rsid w:val="00B528FB"/>
    <w:rPr>
      <w:rFonts w:eastAsiaTheme="minorHAnsi"/>
      <w:sz w:val="20"/>
      <w:szCs w:val="20"/>
    </w:rPr>
  </w:style>
  <w:style w:type="paragraph" w:customStyle="1" w:styleId="Heading2blue">
    <w:name w:val="Heading 2 (blue)"/>
    <w:basedOn w:val="Heading2"/>
    <w:link w:val="Heading2blueChar"/>
    <w:qFormat/>
    <w:rsid w:val="00B528FB"/>
    <w:pPr>
      <w:keepNext w:val="0"/>
      <w:keepLines w:val="0"/>
      <w:spacing w:before="120" w:after="120" w:line="240" w:lineRule="auto"/>
      <w:ind w:left="709"/>
      <w:jc w:val="both"/>
    </w:pPr>
    <w:rPr>
      <w:rFonts w:ascii="Times New Roman" w:hAnsi="Times New Roman" w:cs="Times New Roman"/>
      <w:b/>
      <w:bCs/>
      <w:color w:val="156082" w:themeColor="accent1"/>
      <w:kern w:val="0"/>
      <w:szCs w:val="26"/>
      <w:u w:val="single"/>
      <w14:ligatures w14:val="none"/>
    </w:rPr>
  </w:style>
  <w:style w:type="paragraph" w:customStyle="1" w:styleId="Heading3blue">
    <w:name w:val="Heading 3 (blue)"/>
    <w:basedOn w:val="Heading3"/>
    <w:link w:val="Heading3blueChar"/>
    <w:qFormat/>
    <w:rsid w:val="00B528FB"/>
    <w:pPr>
      <w:keepLines w:val="0"/>
      <w:spacing w:before="120" w:after="120" w:line="240" w:lineRule="auto"/>
      <w:jc w:val="both"/>
    </w:pPr>
    <w:rPr>
      <w:rFonts w:ascii="Times New Roman" w:hAnsi="Times New Roman" w:cs="Times New Roman"/>
      <w:color w:val="156082" w:themeColor="accent1"/>
      <w:kern w:val="0"/>
      <w:szCs w:val="22"/>
      <w:u w:val="single"/>
      <w14:ligatures w14:val="none"/>
    </w:rPr>
  </w:style>
  <w:style w:type="character" w:customStyle="1" w:styleId="Heading2blueChar">
    <w:name w:val="Heading 2 (blue) Char"/>
    <w:basedOn w:val="Heading2Char"/>
    <w:link w:val="Heading2blue"/>
    <w:rsid w:val="00B528FB"/>
    <w:rPr>
      <w:rFonts w:ascii="Times New Roman" w:eastAsiaTheme="majorEastAsia" w:hAnsi="Times New Roman" w:cs="Times New Roman"/>
      <w:b/>
      <w:bCs/>
      <w:color w:val="156082" w:themeColor="accent1"/>
      <w:kern w:val="0"/>
      <w:sz w:val="32"/>
      <w:szCs w:val="26"/>
      <w:u w:val="single"/>
      <w14:ligatures w14:val="none"/>
    </w:rPr>
  </w:style>
  <w:style w:type="paragraph" w:customStyle="1" w:styleId="maintext">
    <w:name w:val="main text"/>
    <w:basedOn w:val="Normal"/>
    <w:link w:val="maintextChar"/>
    <w:qFormat/>
    <w:rsid w:val="00B528FB"/>
    <w:pPr>
      <w:keepNext/>
      <w:spacing w:before="120" w:after="120" w:line="240" w:lineRule="auto"/>
      <w:jc w:val="both"/>
    </w:pPr>
    <w:rPr>
      <w:rFonts w:ascii="Times New Roman" w:hAnsi="Times New Roman" w:cs="Times New Roman"/>
      <w:kern w:val="0"/>
      <w:szCs w:val="22"/>
      <w14:ligatures w14:val="none"/>
    </w:rPr>
  </w:style>
  <w:style w:type="character" w:customStyle="1" w:styleId="Heading3blueChar">
    <w:name w:val="Heading 3 (blue) Char"/>
    <w:basedOn w:val="Heading3Char"/>
    <w:link w:val="Heading3blue"/>
    <w:rsid w:val="00B528FB"/>
    <w:rPr>
      <w:rFonts w:ascii="Times New Roman" w:eastAsiaTheme="majorEastAsia" w:hAnsi="Times New Roman" w:cs="Times New Roman"/>
      <w:color w:val="156082" w:themeColor="accent1"/>
      <w:kern w:val="0"/>
      <w:sz w:val="28"/>
      <w:szCs w:val="22"/>
      <w:u w:val="single"/>
      <w14:ligatures w14:val="none"/>
    </w:rPr>
  </w:style>
  <w:style w:type="character" w:customStyle="1" w:styleId="maintextChar">
    <w:name w:val="main text Char"/>
    <w:basedOn w:val="DefaultParagraphFont"/>
    <w:link w:val="maintext"/>
    <w:rsid w:val="00B528FB"/>
    <w:rPr>
      <w:rFonts w:ascii="Times New Roman" w:hAnsi="Times New Roman" w:cs="Times New Roman"/>
      <w:kern w:val="0"/>
      <w:szCs w:val="22"/>
      <w14:ligatures w14:val="none"/>
    </w:rPr>
  </w:style>
  <w:style w:type="paragraph" w:customStyle="1" w:styleId="bullet2">
    <w:name w:val="bullet 2"/>
    <w:basedOn w:val="Normal"/>
    <w:link w:val="bullet2Char"/>
    <w:qFormat/>
    <w:rsid w:val="00B528FB"/>
    <w:pPr>
      <w:numPr>
        <w:ilvl w:val="1"/>
        <w:numId w:val="143"/>
      </w:numPr>
      <w:spacing w:before="120" w:after="120" w:line="240" w:lineRule="auto"/>
    </w:pPr>
    <w:rPr>
      <w:rFonts w:eastAsia="Arial" w:cstheme="minorHAnsi"/>
      <w:color w:val="000000" w:themeColor="text1"/>
      <w:kern w:val="0"/>
      <w14:ligatures w14:val="none"/>
    </w:rPr>
  </w:style>
  <w:style w:type="paragraph" w:customStyle="1" w:styleId="Pagedecouverture">
    <w:name w:val="Page de couverture"/>
    <w:basedOn w:val="Normal"/>
    <w:next w:val="Normal"/>
    <w:rsid w:val="00B528FB"/>
    <w:pPr>
      <w:spacing w:after="0" w:line="240" w:lineRule="auto"/>
      <w:jc w:val="both"/>
    </w:pPr>
    <w:rPr>
      <w:rFonts w:ascii="Symbol" w:hAnsi="Symbol" w:cs="Symbol"/>
      <w:kern w:val="0"/>
      <w:szCs w:val="22"/>
      <w14:ligatures w14:val="none"/>
    </w:rPr>
  </w:style>
  <w:style w:type="paragraph" w:customStyle="1" w:styleId="P68B1DB1-Normal3">
    <w:name w:val="P68B1DB1-Normal3"/>
    <w:basedOn w:val="Normal"/>
    <w:rsid w:val="00B528FB"/>
    <w:pPr>
      <w:spacing w:line="256" w:lineRule="auto"/>
    </w:pPr>
    <w:rPr>
      <w:rFonts w:ascii="Times New Roman" w:hAnsi="Times New Roman" w:cs="Times New Roman"/>
      <w:kern w:val="0"/>
      <w:sz w:val="22"/>
      <w:szCs w:val="20"/>
      <w14:ligatures w14:val="none"/>
    </w:rPr>
  </w:style>
  <w:style w:type="paragraph" w:customStyle="1" w:styleId="SectionTitle">
    <w:name w:val="SectionTitle"/>
    <w:basedOn w:val="Normal"/>
    <w:next w:val="Heading1"/>
    <w:rsid w:val="00B528FB"/>
    <w:pPr>
      <w:keepNext/>
      <w:spacing w:before="120" w:after="360" w:line="240" w:lineRule="auto"/>
      <w:jc w:val="center"/>
    </w:pPr>
    <w:rPr>
      <w:rFonts w:ascii="Symbol" w:hAnsi="Symbol" w:cs="Symbol"/>
      <w:b/>
      <w:smallCaps/>
      <w:kern w:val="0"/>
      <w:sz w:val="28"/>
      <w:szCs w:val="22"/>
      <w14:ligatures w14:val="none"/>
    </w:rPr>
  </w:style>
  <w:style w:type="character" w:customStyle="1" w:styleId="Fuentedeprrafopredeter1">
    <w:name w:val="Fuente de párrafo predeter.1"/>
    <w:rsid w:val="00B528FB"/>
  </w:style>
  <w:style w:type="paragraph" w:customStyle="1" w:styleId="Prrafodelista1">
    <w:name w:val="Párrafo de lista1"/>
    <w:basedOn w:val="Normal"/>
    <w:rsid w:val="00B528FB"/>
    <w:pPr>
      <w:suppressAutoHyphens/>
      <w:autoSpaceDN w:val="0"/>
      <w:spacing w:line="256" w:lineRule="auto"/>
      <w:ind w:left="720"/>
      <w:textAlignment w:val="baseline"/>
    </w:pPr>
    <w:rPr>
      <w:rFonts w:ascii="Calibri" w:eastAsia="Calibri" w:hAnsi="Calibri" w:cs="Arial"/>
      <w:kern w:val="0"/>
      <w:sz w:val="22"/>
      <w:szCs w:val="22"/>
      <w14:ligatures w14:val="none"/>
    </w:rPr>
  </w:style>
  <w:style w:type="paragraph" w:customStyle="1" w:styleId="FooterCoverPage">
    <w:name w:val="Footer Cover Page"/>
    <w:basedOn w:val="Normal"/>
    <w:link w:val="FooterCoverPageChar"/>
    <w:rsid w:val="00B528FB"/>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B528FB"/>
    <w:rPr>
      <w:rFonts w:ascii="Times New Roman" w:hAnsi="Times New Roman" w:cs="Times New Roman"/>
    </w:rPr>
  </w:style>
  <w:style w:type="paragraph" w:customStyle="1" w:styleId="HeaderCoverPage">
    <w:name w:val="Header Cover Page"/>
    <w:basedOn w:val="Normal"/>
    <w:link w:val="HeaderCoverPageChar"/>
    <w:rsid w:val="00B528FB"/>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B528FB"/>
    <w:rPr>
      <w:rFonts w:ascii="Times New Roman" w:hAnsi="Times New Roman" w:cs="Times New Roman"/>
    </w:rPr>
  </w:style>
  <w:style w:type="paragraph" w:styleId="Revision">
    <w:name w:val="Revision"/>
    <w:hidden/>
    <w:uiPriority w:val="99"/>
    <w:semiHidden/>
    <w:rsid w:val="00F063D1"/>
    <w:pPr>
      <w:spacing w:after="0" w:line="240" w:lineRule="auto"/>
    </w:pPr>
  </w:style>
  <w:style w:type="paragraph" w:customStyle="1" w:styleId="Tiret1">
    <w:name w:val="Tiret 1"/>
    <w:basedOn w:val="Normal"/>
    <w:rsid w:val="00BB6E98"/>
    <w:pPr>
      <w:numPr>
        <w:numId w:val="250"/>
      </w:numPr>
      <w:spacing w:before="120" w:after="120" w:line="240" w:lineRule="auto"/>
      <w:jc w:val="both"/>
    </w:pPr>
    <w:rPr>
      <w:rFonts w:ascii="Symbol" w:hAnsi="Symbol" w:cs="Symbol"/>
      <w:kern w:val="0"/>
      <w:szCs w:val="22"/>
      <w14:ligatures w14:val="none"/>
    </w:rPr>
  </w:style>
  <w:style w:type="paragraph" w:customStyle="1" w:styleId="HeaderLandscape">
    <w:name w:val="HeaderLandscape"/>
    <w:basedOn w:val="Normal"/>
    <w:rsid w:val="00270D43"/>
    <w:pPr>
      <w:tabs>
        <w:tab w:val="center" w:pos="7285"/>
        <w:tab w:val="right" w:pos="14003"/>
      </w:tabs>
      <w:spacing w:after="120" w:line="240" w:lineRule="auto"/>
      <w:jc w:val="both"/>
    </w:pPr>
    <w:rPr>
      <w:rFonts w:ascii="Symbol" w:hAnsi="Symbol" w:cs="Symbol"/>
      <w:kern w:val="0"/>
      <w:szCs w:val="22"/>
      <w14:ligatures w14:val="none"/>
    </w:rPr>
  </w:style>
  <w:style w:type="paragraph" w:customStyle="1" w:styleId="FooterLandscape">
    <w:name w:val="FooterLandscape"/>
    <w:basedOn w:val="Normal"/>
    <w:rsid w:val="00270D43"/>
    <w:pPr>
      <w:tabs>
        <w:tab w:val="center" w:pos="7285"/>
        <w:tab w:val="center" w:pos="10913"/>
        <w:tab w:val="right" w:pos="15137"/>
      </w:tabs>
      <w:spacing w:before="360" w:after="0" w:line="240" w:lineRule="auto"/>
      <w:ind w:left="-567" w:right="-567"/>
    </w:pPr>
    <w:rPr>
      <w:rFonts w:ascii="Symbol" w:hAnsi="Symbol" w:cs="Symbol"/>
      <w:kern w:val="0"/>
      <w:szCs w:val="22"/>
      <w14:ligatures w14:val="none"/>
    </w:rPr>
  </w:style>
  <w:style w:type="paragraph" w:customStyle="1" w:styleId="HeaderSensitivity">
    <w:name w:val="Header Sensitivity"/>
    <w:basedOn w:val="Normal"/>
    <w:link w:val="HeaderSensitivityChar"/>
    <w:rsid w:val="00270D4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link w:val="HeaderSensitivityRightChar"/>
    <w:rsid w:val="00270D43"/>
    <w:pPr>
      <w:spacing w:after="120" w:line="240" w:lineRule="auto"/>
      <w:jc w:val="right"/>
    </w:pPr>
    <w:rPr>
      <w:rFonts w:ascii="Times New Roman" w:hAnsi="Times New Roman" w:cs="Times New Roman"/>
      <w:sz w:val="28"/>
    </w:rPr>
  </w:style>
  <w:style w:type="paragraph" w:customStyle="1" w:styleId="FooterSensitivity">
    <w:name w:val="Footer Sensitivity"/>
    <w:basedOn w:val="Normal"/>
    <w:link w:val="FooterSensitivityChar"/>
    <w:rsid w:val="00270D4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2">
    <w:name w:val="Text 2"/>
    <w:basedOn w:val="Normal"/>
    <w:rsid w:val="00270D43"/>
    <w:pPr>
      <w:spacing w:before="120" w:after="120" w:line="240" w:lineRule="auto"/>
      <w:ind w:left="1417"/>
      <w:jc w:val="both"/>
    </w:pPr>
    <w:rPr>
      <w:rFonts w:ascii="Symbol" w:hAnsi="Symbol" w:cs="Symbol"/>
      <w:kern w:val="0"/>
      <w:szCs w:val="22"/>
      <w14:ligatures w14:val="none"/>
    </w:rPr>
  </w:style>
  <w:style w:type="paragraph" w:customStyle="1" w:styleId="Text3">
    <w:name w:val="Text 3"/>
    <w:basedOn w:val="Normal"/>
    <w:rsid w:val="00270D43"/>
    <w:pPr>
      <w:spacing w:before="120" w:after="120" w:line="240" w:lineRule="auto"/>
      <w:ind w:left="1984"/>
      <w:jc w:val="both"/>
    </w:pPr>
    <w:rPr>
      <w:rFonts w:ascii="Symbol" w:hAnsi="Symbol" w:cs="Symbol"/>
      <w:kern w:val="0"/>
      <w:szCs w:val="22"/>
      <w14:ligatures w14:val="none"/>
    </w:rPr>
  </w:style>
  <w:style w:type="paragraph" w:customStyle="1" w:styleId="Text4">
    <w:name w:val="Text 4"/>
    <w:basedOn w:val="Normal"/>
    <w:rsid w:val="00270D43"/>
    <w:pPr>
      <w:spacing w:before="120" w:after="120" w:line="240" w:lineRule="auto"/>
      <w:ind w:left="2551"/>
      <w:jc w:val="both"/>
    </w:pPr>
    <w:rPr>
      <w:rFonts w:ascii="Symbol" w:hAnsi="Symbol" w:cs="Symbol"/>
      <w:kern w:val="0"/>
      <w:szCs w:val="22"/>
      <w14:ligatures w14:val="none"/>
    </w:rPr>
  </w:style>
  <w:style w:type="paragraph" w:customStyle="1" w:styleId="NormalCentered">
    <w:name w:val="Normal Centered"/>
    <w:basedOn w:val="Normal"/>
    <w:rsid w:val="00270D43"/>
    <w:pPr>
      <w:spacing w:before="120" w:after="120" w:line="240" w:lineRule="auto"/>
      <w:jc w:val="center"/>
    </w:pPr>
    <w:rPr>
      <w:rFonts w:ascii="Symbol" w:hAnsi="Symbol" w:cs="Symbol"/>
      <w:kern w:val="0"/>
      <w:szCs w:val="22"/>
      <w14:ligatures w14:val="none"/>
    </w:rPr>
  </w:style>
  <w:style w:type="paragraph" w:customStyle="1" w:styleId="NormalLeft">
    <w:name w:val="Normal Left"/>
    <w:basedOn w:val="Normal"/>
    <w:rsid w:val="00270D43"/>
    <w:pPr>
      <w:spacing w:before="120" w:after="120" w:line="240" w:lineRule="auto"/>
    </w:pPr>
    <w:rPr>
      <w:rFonts w:ascii="Symbol" w:hAnsi="Symbol" w:cs="Symbol"/>
      <w:kern w:val="0"/>
      <w:szCs w:val="22"/>
      <w14:ligatures w14:val="none"/>
    </w:rPr>
  </w:style>
  <w:style w:type="paragraph" w:customStyle="1" w:styleId="NormalRight">
    <w:name w:val="Normal Right"/>
    <w:basedOn w:val="Normal"/>
    <w:rsid w:val="00270D43"/>
    <w:pPr>
      <w:spacing w:before="120" w:after="120" w:line="240" w:lineRule="auto"/>
      <w:jc w:val="right"/>
    </w:pPr>
    <w:rPr>
      <w:rFonts w:ascii="Symbol" w:hAnsi="Symbol" w:cs="Symbol"/>
      <w:kern w:val="0"/>
      <w:szCs w:val="22"/>
      <w14:ligatures w14:val="none"/>
    </w:rPr>
  </w:style>
  <w:style w:type="paragraph" w:customStyle="1" w:styleId="QuotedText">
    <w:name w:val="Quoted Text"/>
    <w:basedOn w:val="Normal"/>
    <w:rsid w:val="00270D43"/>
    <w:pPr>
      <w:spacing w:before="120" w:after="120" w:line="240" w:lineRule="auto"/>
      <w:ind w:left="1417"/>
      <w:jc w:val="both"/>
    </w:pPr>
    <w:rPr>
      <w:rFonts w:ascii="Symbol" w:hAnsi="Symbol" w:cs="Symbol"/>
      <w:kern w:val="0"/>
      <w:szCs w:val="22"/>
      <w14:ligatures w14:val="none"/>
    </w:rPr>
  </w:style>
  <w:style w:type="paragraph" w:customStyle="1" w:styleId="Point0">
    <w:name w:val="Point 0"/>
    <w:basedOn w:val="Normal"/>
    <w:rsid w:val="00270D43"/>
    <w:pPr>
      <w:spacing w:before="120" w:after="120" w:line="240" w:lineRule="auto"/>
      <w:ind w:left="850" w:hanging="850"/>
      <w:jc w:val="both"/>
    </w:pPr>
    <w:rPr>
      <w:rFonts w:ascii="Symbol" w:hAnsi="Symbol" w:cs="Symbol"/>
      <w:kern w:val="0"/>
      <w:szCs w:val="22"/>
      <w14:ligatures w14:val="none"/>
    </w:rPr>
  </w:style>
  <w:style w:type="paragraph" w:customStyle="1" w:styleId="Point1">
    <w:name w:val="Point 1"/>
    <w:basedOn w:val="Normal"/>
    <w:rsid w:val="00270D43"/>
    <w:pPr>
      <w:spacing w:before="120" w:after="120" w:line="240" w:lineRule="auto"/>
      <w:ind w:left="1417" w:hanging="567"/>
      <w:jc w:val="both"/>
    </w:pPr>
    <w:rPr>
      <w:rFonts w:ascii="Symbol" w:hAnsi="Symbol" w:cs="Symbol"/>
      <w:kern w:val="0"/>
      <w:szCs w:val="22"/>
      <w14:ligatures w14:val="none"/>
    </w:rPr>
  </w:style>
  <w:style w:type="paragraph" w:customStyle="1" w:styleId="Point2">
    <w:name w:val="Point 2"/>
    <w:basedOn w:val="Normal"/>
    <w:rsid w:val="00270D43"/>
    <w:pPr>
      <w:spacing w:before="120" w:after="120" w:line="240" w:lineRule="auto"/>
      <w:ind w:left="1984" w:hanging="567"/>
      <w:jc w:val="both"/>
    </w:pPr>
    <w:rPr>
      <w:rFonts w:ascii="Symbol" w:hAnsi="Symbol" w:cs="Symbol"/>
      <w:kern w:val="0"/>
      <w:szCs w:val="22"/>
      <w14:ligatures w14:val="none"/>
    </w:rPr>
  </w:style>
  <w:style w:type="paragraph" w:customStyle="1" w:styleId="Point3">
    <w:name w:val="Point 3"/>
    <w:basedOn w:val="Normal"/>
    <w:rsid w:val="00270D43"/>
    <w:pPr>
      <w:spacing w:before="120" w:after="120" w:line="240" w:lineRule="auto"/>
      <w:ind w:left="2551" w:hanging="567"/>
      <w:jc w:val="both"/>
    </w:pPr>
    <w:rPr>
      <w:rFonts w:ascii="Symbol" w:hAnsi="Symbol" w:cs="Symbol"/>
      <w:kern w:val="0"/>
      <w:szCs w:val="22"/>
      <w14:ligatures w14:val="none"/>
    </w:rPr>
  </w:style>
  <w:style w:type="paragraph" w:customStyle="1" w:styleId="Point4">
    <w:name w:val="Point 4"/>
    <w:basedOn w:val="Normal"/>
    <w:rsid w:val="00270D43"/>
    <w:pPr>
      <w:spacing w:before="120" w:after="120" w:line="240" w:lineRule="auto"/>
      <w:ind w:left="3118" w:hanging="567"/>
      <w:jc w:val="both"/>
    </w:pPr>
    <w:rPr>
      <w:rFonts w:ascii="Symbol" w:hAnsi="Symbol" w:cs="Symbol"/>
      <w:kern w:val="0"/>
      <w:szCs w:val="22"/>
      <w14:ligatures w14:val="none"/>
    </w:rPr>
  </w:style>
  <w:style w:type="paragraph" w:customStyle="1" w:styleId="Tiret0">
    <w:name w:val="Tiret 0"/>
    <w:basedOn w:val="Point0"/>
    <w:rsid w:val="00BB6E98"/>
    <w:pPr>
      <w:numPr>
        <w:numId w:val="251"/>
      </w:numPr>
      <w:tabs>
        <w:tab w:val="clear" w:pos="850"/>
        <w:tab w:val="num" w:pos="360"/>
      </w:tabs>
    </w:pPr>
  </w:style>
  <w:style w:type="paragraph" w:customStyle="1" w:styleId="Tiret2">
    <w:name w:val="Tiret 2"/>
    <w:basedOn w:val="Point2"/>
    <w:rsid w:val="00BB6E98"/>
    <w:pPr>
      <w:numPr>
        <w:numId w:val="252"/>
      </w:numPr>
    </w:pPr>
  </w:style>
  <w:style w:type="paragraph" w:customStyle="1" w:styleId="Tiret3">
    <w:name w:val="Tiret 3"/>
    <w:basedOn w:val="Point3"/>
    <w:rsid w:val="00BB6E98"/>
    <w:pPr>
      <w:numPr>
        <w:numId w:val="253"/>
      </w:numPr>
    </w:pPr>
  </w:style>
  <w:style w:type="paragraph" w:customStyle="1" w:styleId="Tiret4">
    <w:name w:val="Tiret 4"/>
    <w:basedOn w:val="Point4"/>
    <w:rsid w:val="00BB6E98"/>
    <w:pPr>
      <w:numPr>
        <w:numId w:val="254"/>
      </w:numPr>
    </w:pPr>
  </w:style>
  <w:style w:type="paragraph" w:customStyle="1" w:styleId="PointDouble0">
    <w:name w:val="PointDouble 0"/>
    <w:basedOn w:val="Normal"/>
    <w:rsid w:val="00270D43"/>
    <w:pPr>
      <w:tabs>
        <w:tab w:val="left" w:pos="850"/>
      </w:tabs>
      <w:spacing w:before="120" w:after="120" w:line="240" w:lineRule="auto"/>
      <w:ind w:left="1417" w:hanging="1417"/>
      <w:jc w:val="both"/>
    </w:pPr>
    <w:rPr>
      <w:rFonts w:ascii="Symbol" w:hAnsi="Symbol" w:cs="Symbol"/>
      <w:kern w:val="0"/>
      <w:szCs w:val="22"/>
      <w14:ligatures w14:val="none"/>
    </w:rPr>
  </w:style>
  <w:style w:type="paragraph" w:customStyle="1" w:styleId="PointDouble1">
    <w:name w:val="PointDouble 1"/>
    <w:basedOn w:val="Normal"/>
    <w:rsid w:val="00270D43"/>
    <w:pPr>
      <w:tabs>
        <w:tab w:val="left" w:pos="1417"/>
      </w:tabs>
      <w:spacing w:before="120" w:after="120" w:line="240" w:lineRule="auto"/>
      <w:ind w:left="1984" w:hanging="1134"/>
      <w:jc w:val="both"/>
    </w:pPr>
    <w:rPr>
      <w:rFonts w:ascii="Symbol" w:hAnsi="Symbol" w:cs="Symbol"/>
      <w:kern w:val="0"/>
      <w:szCs w:val="22"/>
      <w14:ligatures w14:val="none"/>
    </w:rPr>
  </w:style>
  <w:style w:type="paragraph" w:customStyle="1" w:styleId="PointDouble2">
    <w:name w:val="PointDouble 2"/>
    <w:basedOn w:val="Normal"/>
    <w:rsid w:val="00270D43"/>
    <w:pPr>
      <w:tabs>
        <w:tab w:val="left" w:pos="1984"/>
      </w:tabs>
      <w:spacing w:before="120" w:after="120" w:line="240" w:lineRule="auto"/>
      <w:ind w:left="2551" w:hanging="1134"/>
      <w:jc w:val="both"/>
    </w:pPr>
    <w:rPr>
      <w:rFonts w:ascii="Symbol" w:hAnsi="Symbol" w:cs="Symbol"/>
      <w:kern w:val="0"/>
      <w:szCs w:val="22"/>
      <w14:ligatures w14:val="none"/>
    </w:rPr>
  </w:style>
  <w:style w:type="paragraph" w:customStyle="1" w:styleId="PointDouble3">
    <w:name w:val="PointDouble 3"/>
    <w:basedOn w:val="Normal"/>
    <w:rsid w:val="00270D43"/>
    <w:pPr>
      <w:tabs>
        <w:tab w:val="left" w:pos="2551"/>
      </w:tabs>
      <w:spacing w:before="120" w:after="120" w:line="240" w:lineRule="auto"/>
      <w:ind w:left="3118" w:hanging="1134"/>
      <w:jc w:val="both"/>
    </w:pPr>
    <w:rPr>
      <w:rFonts w:ascii="Symbol" w:hAnsi="Symbol" w:cs="Symbol"/>
      <w:kern w:val="0"/>
      <w:szCs w:val="22"/>
      <w14:ligatures w14:val="none"/>
    </w:rPr>
  </w:style>
  <w:style w:type="paragraph" w:customStyle="1" w:styleId="PointDouble4">
    <w:name w:val="PointDouble 4"/>
    <w:basedOn w:val="Normal"/>
    <w:rsid w:val="00270D43"/>
    <w:pPr>
      <w:tabs>
        <w:tab w:val="left" w:pos="3118"/>
      </w:tabs>
      <w:spacing w:before="120" w:after="120" w:line="240" w:lineRule="auto"/>
      <w:ind w:left="3685" w:hanging="1134"/>
      <w:jc w:val="both"/>
    </w:pPr>
    <w:rPr>
      <w:rFonts w:ascii="Symbol" w:hAnsi="Symbol" w:cs="Symbol"/>
      <w:kern w:val="0"/>
      <w:szCs w:val="22"/>
      <w14:ligatures w14:val="none"/>
    </w:rPr>
  </w:style>
  <w:style w:type="paragraph" w:customStyle="1" w:styleId="PointTriple0">
    <w:name w:val="PointTriple 0"/>
    <w:basedOn w:val="Normal"/>
    <w:rsid w:val="00270D43"/>
    <w:pPr>
      <w:tabs>
        <w:tab w:val="left" w:pos="850"/>
        <w:tab w:val="left" w:pos="1417"/>
      </w:tabs>
      <w:spacing w:before="120" w:after="120" w:line="240" w:lineRule="auto"/>
      <w:ind w:left="1984" w:hanging="1984"/>
      <w:jc w:val="both"/>
    </w:pPr>
    <w:rPr>
      <w:rFonts w:ascii="Symbol" w:hAnsi="Symbol" w:cs="Symbol"/>
      <w:kern w:val="0"/>
      <w:szCs w:val="22"/>
      <w14:ligatures w14:val="none"/>
    </w:rPr>
  </w:style>
  <w:style w:type="paragraph" w:customStyle="1" w:styleId="PointTriple1">
    <w:name w:val="PointTriple 1"/>
    <w:basedOn w:val="Normal"/>
    <w:rsid w:val="00270D43"/>
    <w:pPr>
      <w:tabs>
        <w:tab w:val="left" w:pos="1417"/>
        <w:tab w:val="left" w:pos="1984"/>
      </w:tabs>
      <w:spacing w:before="120" w:after="120" w:line="240" w:lineRule="auto"/>
      <w:ind w:left="2551" w:hanging="1701"/>
      <w:jc w:val="both"/>
    </w:pPr>
    <w:rPr>
      <w:rFonts w:ascii="Symbol" w:hAnsi="Symbol" w:cs="Symbol"/>
      <w:kern w:val="0"/>
      <w:szCs w:val="22"/>
      <w14:ligatures w14:val="none"/>
    </w:rPr>
  </w:style>
  <w:style w:type="paragraph" w:customStyle="1" w:styleId="PointTriple2">
    <w:name w:val="PointTriple 2"/>
    <w:basedOn w:val="Normal"/>
    <w:rsid w:val="00270D43"/>
    <w:pPr>
      <w:tabs>
        <w:tab w:val="left" w:pos="1984"/>
        <w:tab w:val="left" w:pos="2551"/>
      </w:tabs>
      <w:spacing w:before="120" w:after="120" w:line="240" w:lineRule="auto"/>
      <w:ind w:left="3118" w:hanging="1701"/>
      <w:jc w:val="both"/>
    </w:pPr>
    <w:rPr>
      <w:rFonts w:ascii="Symbol" w:hAnsi="Symbol" w:cs="Symbol"/>
      <w:kern w:val="0"/>
      <w:szCs w:val="22"/>
      <w14:ligatures w14:val="none"/>
    </w:rPr>
  </w:style>
  <w:style w:type="paragraph" w:customStyle="1" w:styleId="PointTriple3">
    <w:name w:val="PointTriple 3"/>
    <w:basedOn w:val="Normal"/>
    <w:rsid w:val="00270D43"/>
    <w:pPr>
      <w:tabs>
        <w:tab w:val="left" w:pos="2551"/>
        <w:tab w:val="left" w:pos="3118"/>
      </w:tabs>
      <w:spacing w:before="120" w:after="120" w:line="240" w:lineRule="auto"/>
      <w:ind w:left="3685" w:hanging="1701"/>
      <w:jc w:val="both"/>
    </w:pPr>
    <w:rPr>
      <w:rFonts w:ascii="Symbol" w:hAnsi="Symbol" w:cs="Symbol"/>
      <w:kern w:val="0"/>
      <w:szCs w:val="22"/>
      <w14:ligatures w14:val="none"/>
    </w:rPr>
  </w:style>
  <w:style w:type="paragraph" w:customStyle="1" w:styleId="PointTriple4">
    <w:name w:val="PointTriple 4"/>
    <w:basedOn w:val="Normal"/>
    <w:rsid w:val="00270D43"/>
    <w:pPr>
      <w:tabs>
        <w:tab w:val="left" w:pos="3118"/>
        <w:tab w:val="left" w:pos="3685"/>
      </w:tabs>
      <w:spacing w:before="120" w:after="120" w:line="240" w:lineRule="auto"/>
      <w:ind w:left="4252" w:hanging="1701"/>
      <w:jc w:val="both"/>
    </w:pPr>
    <w:rPr>
      <w:rFonts w:ascii="Symbol" w:hAnsi="Symbol" w:cs="Symbol"/>
      <w:kern w:val="0"/>
      <w:szCs w:val="22"/>
      <w14:ligatures w14:val="none"/>
    </w:rPr>
  </w:style>
  <w:style w:type="paragraph" w:customStyle="1" w:styleId="ManualNumPar1">
    <w:name w:val="Manual NumPar 1"/>
    <w:basedOn w:val="Normal"/>
    <w:next w:val="Text1"/>
    <w:rsid w:val="00270D43"/>
    <w:pPr>
      <w:spacing w:before="120" w:after="120" w:line="240" w:lineRule="auto"/>
      <w:ind w:left="850" w:hanging="850"/>
      <w:jc w:val="both"/>
    </w:pPr>
    <w:rPr>
      <w:rFonts w:ascii="Symbol" w:hAnsi="Symbol" w:cs="Symbol"/>
      <w:kern w:val="0"/>
      <w:szCs w:val="22"/>
      <w14:ligatures w14:val="none"/>
    </w:rPr>
  </w:style>
  <w:style w:type="paragraph" w:customStyle="1" w:styleId="ManualNumPar2">
    <w:name w:val="Manual NumPar 2"/>
    <w:basedOn w:val="Normal"/>
    <w:next w:val="Text1"/>
    <w:rsid w:val="00270D43"/>
    <w:pPr>
      <w:spacing w:before="120" w:after="120" w:line="240" w:lineRule="auto"/>
      <w:ind w:left="850" w:hanging="850"/>
      <w:jc w:val="both"/>
    </w:pPr>
    <w:rPr>
      <w:rFonts w:ascii="Symbol" w:hAnsi="Symbol" w:cs="Symbol"/>
      <w:kern w:val="0"/>
      <w:szCs w:val="22"/>
      <w14:ligatures w14:val="none"/>
    </w:rPr>
  </w:style>
  <w:style w:type="paragraph" w:customStyle="1" w:styleId="ManualNumPar3">
    <w:name w:val="Manual NumPar 3"/>
    <w:basedOn w:val="Normal"/>
    <w:next w:val="Text1"/>
    <w:rsid w:val="00270D43"/>
    <w:pPr>
      <w:spacing w:before="120" w:after="120" w:line="240" w:lineRule="auto"/>
      <w:ind w:left="850" w:hanging="850"/>
      <w:jc w:val="both"/>
    </w:pPr>
    <w:rPr>
      <w:rFonts w:ascii="Symbol" w:hAnsi="Symbol" w:cs="Symbol"/>
      <w:kern w:val="0"/>
      <w:szCs w:val="22"/>
      <w14:ligatures w14:val="none"/>
    </w:rPr>
  </w:style>
  <w:style w:type="paragraph" w:customStyle="1" w:styleId="ManualNumPar4">
    <w:name w:val="Manual NumPar 4"/>
    <w:basedOn w:val="Normal"/>
    <w:next w:val="Text1"/>
    <w:rsid w:val="00270D43"/>
    <w:pPr>
      <w:spacing w:before="120" w:after="120" w:line="240" w:lineRule="auto"/>
      <w:ind w:left="850" w:hanging="850"/>
      <w:jc w:val="both"/>
    </w:pPr>
    <w:rPr>
      <w:rFonts w:ascii="Symbol" w:hAnsi="Symbol" w:cs="Symbol"/>
      <w:kern w:val="0"/>
      <w:szCs w:val="22"/>
      <w14:ligatures w14:val="none"/>
    </w:rPr>
  </w:style>
  <w:style w:type="paragraph" w:customStyle="1" w:styleId="QuotedNumPar">
    <w:name w:val="Quoted NumPar"/>
    <w:basedOn w:val="Normal"/>
    <w:rsid w:val="00270D43"/>
    <w:pPr>
      <w:spacing w:before="120" w:after="120" w:line="240" w:lineRule="auto"/>
      <w:ind w:left="1417" w:hanging="567"/>
      <w:jc w:val="both"/>
    </w:pPr>
    <w:rPr>
      <w:rFonts w:ascii="Symbol" w:hAnsi="Symbol" w:cs="Symbol"/>
      <w:kern w:val="0"/>
      <w:szCs w:val="22"/>
      <w14:ligatures w14:val="none"/>
    </w:rPr>
  </w:style>
  <w:style w:type="paragraph" w:customStyle="1" w:styleId="ManualHeading1">
    <w:name w:val="Manual Heading 1"/>
    <w:basedOn w:val="Normal"/>
    <w:next w:val="Text1"/>
    <w:rsid w:val="00270D43"/>
    <w:pPr>
      <w:keepNext/>
      <w:tabs>
        <w:tab w:val="left" w:pos="850"/>
      </w:tabs>
      <w:spacing w:before="360" w:after="120" w:line="240" w:lineRule="auto"/>
      <w:ind w:left="850" w:hanging="850"/>
      <w:jc w:val="both"/>
      <w:outlineLvl w:val="0"/>
    </w:pPr>
    <w:rPr>
      <w:rFonts w:ascii="Symbol" w:hAnsi="Symbol" w:cs="Symbol"/>
      <w:b/>
      <w:smallCaps/>
      <w:kern w:val="0"/>
      <w:szCs w:val="22"/>
      <w14:ligatures w14:val="none"/>
    </w:rPr>
  </w:style>
  <w:style w:type="paragraph" w:customStyle="1" w:styleId="ManualHeading2">
    <w:name w:val="Manual Heading 2"/>
    <w:basedOn w:val="Normal"/>
    <w:next w:val="Text1"/>
    <w:rsid w:val="00270D43"/>
    <w:pPr>
      <w:keepNext/>
      <w:tabs>
        <w:tab w:val="left" w:pos="850"/>
      </w:tabs>
      <w:spacing w:before="120" w:after="120" w:line="240" w:lineRule="auto"/>
      <w:ind w:left="850" w:hanging="850"/>
      <w:jc w:val="both"/>
      <w:outlineLvl w:val="1"/>
    </w:pPr>
    <w:rPr>
      <w:rFonts w:ascii="Symbol" w:hAnsi="Symbol" w:cs="Symbol"/>
      <w:b/>
      <w:kern w:val="0"/>
      <w:szCs w:val="22"/>
      <w14:ligatures w14:val="none"/>
    </w:rPr>
  </w:style>
  <w:style w:type="paragraph" w:customStyle="1" w:styleId="ManualHeading3">
    <w:name w:val="Manual Heading 3"/>
    <w:basedOn w:val="Normal"/>
    <w:next w:val="Text1"/>
    <w:rsid w:val="00270D43"/>
    <w:pPr>
      <w:keepNext/>
      <w:tabs>
        <w:tab w:val="left" w:pos="850"/>
      </w:tabs>
      <w:spacing w:before="120" w:after="120" w:line="240" w:lineRule="auto"/>
      <w:ind w:left="850" w:hanging="850"/>
      <w:jc w:val="both"/>
      <w:outlineLvl w:val="2"/>
    </w:pPr>
    <w:rPr>
      <w:rFonts w:ascii="Symbol" w:hAnsi="Symbol" w:cs="Symbol"/>
      <w:i/>
      <w:kern w:val="0"/>
      <w:szCs w:val="22"/>
      <w14:ligatures w14:val="none"/>
    </w:rPr>
  </w:style>
  <w:style w:type="paragraph" w:customStyle="1" w:styleId="ManualHeading4">
    <w:name w:val="Manual Heading 4"/>
    <w:basedOn w:val="Normal"/>
    <w:next w:val="Text1"/>
    <w:rsid w:val="00270D43"/>
    <w:pPr>
      <w:keepNext/>
      <w:tabs>
        <w:tab w:val="left" w:pos="850"/>
      </w:tabs>
      <w:spacing w:before="120" w:after="120" w:line="240" w:lineRule="auto"/>
      <w:ind w:left="850" w:hanging="850"/>
      <w:jc w:val="both"/>
      <w:outlineLvl w:val="3"/>
    </w:pPr>
    <w:rPr>
      <w:rFonts w:ascii="Symbol" w:hAnsi="Symbol" w:cs="Symbol"/>
      <w:kern w:val="0"/>
      <w:szCs w:val="22"/>
      <w14:ligatures w14:val="none"/>
    </w:rPr>
  </w:style>
  <w:style w:type="paragraph" w:customStyle="1" w:styleId="ChapterTitle">
    <w:name w:val="ChapterTitle"/>
    <w:basedOn w:val="Normal"/>
    <w:next w:val="Normal"/>
    <w:rsid w:val="00270D43"/>
    <w:pPr>
      <w:keepNext/>
      <w:spacing w:before="120" w:after="360" w:line="240" w:lineRule="auto"/>
      <w:jc w:val="center"/>
    </w:pPr>
    <w:rPr>
      <w:rFonts w:ascii="Symbol" w:hAnsi="Symbol" w:cs="Symbol"/>
      <w:b/>
      <w:kern w:val="0"/>
      <w:sz w:val="32"/>
      <w:szCs w:val="22"/>
      <w14:ligatures w14:val="none"/>
    </w:rPr>
  </w:style>
  <w:style w:type="paragraph" w:customStyle="1" w:styleId="PartTitle">
    <w:name w:val="PartTitle"/>
    <w:basedOn w:val="Normal"/>
    <w:next w:val="ChapterTitle"/>
    <w:rsid w:val="00270D43"/>
    <w:pPr>
      <w:keepNext/>
      <w:pageBreakBefore/>
      <w:spacing w:before="120" w:after="360" w:line="240" w:lineRule="auto"/>
      <w:jc w:val="center"/>
    </w:pPr>
    <w:rPr>
      <w:rFonts w:ascii="Symbol" w:hAnsi="Symbol" w:cs="Symbol"/>
      <w:b/>
      <w:kern w:val="0"/>
      <w:sz w:val="36"/>
      <w:szCs w:val="22"/>
      <w14:ligatures w14:val="none"/>
    </w:rPr>
  </w:style>
  <w:style w:type="paragraph" w:customStyle="1" w:styleId="TableTitle">
    <w:name w:val="Table Title"/>
    <w:basedOn w:val="Normal"/>
    <w:next w:val="Normal"/>
    <w:rsid w:val="00270D43"/>
    <w:pPr>
      <w:spacing w:before="120" w:after="120" w:line="240" w:lineRule="auto"/>
      <w:jc w:val="center"/>
    </w:pPr>
    <w:rPr>
      <w:rFonts w:ascii="Symbol" w:hAnsi="Symbol" w:cs="Symbol"/>
      <w:b/>
      <w:kern w:val="0"/>
      <w:szCs w:val="22"/>
      <w14:ligatures w14:val="none"/>
    </w:rPr>
  </w:style>
  <w:style w:type="character" w:customStyle="1" w:styleId="Marker">
    <w:name w:val="Marker"/>
    <w:basedOn w:val="DefaultParagraphFont"/>
    <w:rsid w:val="00270D43"/>
    <w:rPr>
      <w:color w:val="0000FF"/>
      <w:bdr w:val="none" w:sz="0" w:space="0" w:color="auto"/>
      <w:shd w:val="clear" w:color="auto" w:fill="auto"/>
    </w:rPr>
  </w:style>
  <w:style w:type="character" w:customStyle="1" w:styleId="Marker1">
    <w:name w:val="Marker1"/>
    <w:basedOn w:val="DefaultParagraphFont"/>
    <w:rsid w:val="00270D43"/>
    <w:rPr>
      <w:color w:val="008000"/>
      <w:shd w:val="clear" w:color="auto" w:fill="auto"/>
    </w:rPr>
  </w:style>
  <w:style w:type="character" w:customStyle="1" w:styleId="Marker2">
    <w:name w:val="Marker2"/>
    <w:basedOn w:val="DefaultParagraphFont"/>
    <w:rsid w:val="00270D43"/>
    <w:rPr>
      <w:color w:val="FF0000"/>
      <w:shd w:val="clear" w:color="auto" w:fill="auto"/>
    </w:rPr>
  </w:style>
  <w:style w:type="paragraph" w:customStyle="1" w:styleId="Point0number">
    <w:name w:val="Point 0 (number)"/>
    <w:basedOn w:val="Normal"/>
    <w:rsid w:val="00BB6E98"/>
    <w:pPr>
      <w:numPr>
        <w:numId w:val="255"/>
      </w:numPr>
      <w:spacing w:before="120" w:after="120" w:line="240" w:lineRule="auto"/>
      <w:jc w:val="both"/>
    </w:pPr>
    <w:rPr>
      <w:rFonts w:ascii="Segoe UI" w:hAnsi="Segoe UI" w:cs="Segoe UI"/>
      <w:kern w:val="0"/>
      <w:szCs w:val="22"/>
      <w14:ligatures w14:val="none"/>
    </w:rPr>
  </w:style>
  <w:style w:type="paragraph" w:customStyle="1" w:styleId="Point1number">
    <w:name w:val="Point 1 (number)"/>
    <w:basedOn w:val="Normal"/>
    <w:rsid w:val="00270D43"/>
    <w:pPr>
      <w:numPr>
        <w:ilvl w:val="2"/>
        <w:numId w:val="255"/>
      </w:numPr>
      <w:spacing w:before="120" w:after="120" w:line="240" w:lineRule="auto"/>
      <w:jc w:val="both"/>
    </w:pPr>
    <w:rPr>
      <w:rFonts w:ascii="Symbol" w:hAnsi="Symbol" w:cs="Symbol"/>
      <w:kern w:val="0"/>
      <w:szCs w:val="22"/>
      <w14:ligatures w14:val="none"/>
    </w:rPr>
  </w:style>
  <w:style w:type="paragraph" w:customStyle="1" w:styleId="Point2number">
    <w:name w:val="Point 2 (number)"/>
    <w:basedOn w:val="Normal"/>
    <w:rsid w:val="00270D43"/>
    <w:pPr>
      <w:numPr>
        <w:ilvl w:val="4"/>
        <w:numId w:val="255"/>
      </w:numPr>
      <w:spacing w:before="120" w:after="120" w:line="240" w:lineRule="auto"/>
      <w:jc w:val="both"/>
    </w:pPr>
    <w:rPr>
      <w:rFonts w:ascii="Symbol" w:hAnsi="Symbol" w:cs="Symbol"/>
      <w:kern w:val="0"/>
      <w:szCs w:val="22"/>
      <w14:ligatures w14:val="none"/>
    </w:rPr>
  </w:style>
  <w:style w:type="paragraph" w:customStyle="1" w:styleId="Point3number">
    <w:name w:val="Point 3 (number)"/>
    <w:basedOn w:val="Normal"/>
    <w:rsid w:val="00270D43"/>
    <w:pPr>
      <w:numPr>
        <w:ilvl w:val="6"/>
        <w:numId w:val="255"/>
      </w:numPr>
      <w:spacing w:before="120" w:after="120" w:line="240" w:lineRule="auto"/>
      <w:jc w:val="both"/>
    </w:pPr>
    <w:rPr>
      <w:rFonts w:ascii="Symbol" w:hAnsi="Symbol" w:cs="Symbol"/>
      <w:kern w:val="0"/>
      <w:szCs w:val="22"/>
      <w14:ligatures w14:val="none"/>
    </w:rPr>
  </w:style>
  <w:style w:type="paragraph" w:customStyle="1" w:styleId="Point0letter">
    <w:name w:val="Point 0 (letter)"/>
    <w:basedOn w:val="Normal"/>
    <w:rsid w:val="00270D43"/>
    <w:pPr>
      <w:numPr>
        <w:ilvl w:val="1"/>
        <w:numId w:val="255"/>
      </w:numPr>
      <w:spacing w:before="120" w:after="120" w:line="240" w:lineRule="auto"/>
      <w:jc w:val="both"/>
    </w:pPr>
    <w:rPr>
      <w:rFonts w:ascii="Symbol" w:hAnsi="Symbol" w:cs="Symbol"/>
      <w:kern w:val="0"/>
      <w:szCs w:val="22"/>
      <w14:ligatures w14:val="none"/>
    </w:rPr>
  </w:style>
  <w:style w:type="paragraph" w:customStyle="1" w:styleId="Point1letter">
    <w:name w:val="Point 1 (letter)"/>
    <w:basedOn w:val="Normal"/>
    <w:rsid w:val="00270D43"/>
    <w:pPr>
      <w:numPr>
        <w:ilvl w:val="3"/>
        <w:numId w:val="255"/>
      </w:numPr>
      <w:spacing w:before="120" w:after="120" w:line="240" w:lineRule="auto"/>
      <w:jc w:val="both"/>
    </w:pPr>
    <w:rPr>
      <w:rFonts w:ascii="Symbol" w:hAnsi="Symbol" w:cs="Symbol"/>
      <w:kern w:val="0"/>
      <w:szCs w:val="22"/>
      <w14:ligatures w14:val="none"/>
    </w:rPr>
  </w:style>
  <w:style w:type="paragraph" w:customStyle="1" w:styleId="Point2letter">
    <w:name w:val="Point 2 (letter)"/>
    <w:basedOn w:val="Normal"/>
    <w:rsid w:val="00270D43"/>
    <w:pPr>
      <w:numPr>
        <w:ilvl w:val="5"/>
        <w:numId w:val="255"/>
      </w:numPr>
      <w:spacing w:before="120" w:after="120" w:line="240" w:lineRule="auto"/>
      <w:jc w:val="both"/>
    </w:pPr>
    <w:rPr>
      <w:rFonts w:ascii="Symbol" w:hAnsi="Symbol" w:cs="Symbol"/>
      <w:kern w:val="0"/>
      <w:szCs w:val="22"/>
      <w14:ligatures w14:val="none"/>
    </w:rPr>
  </w:style>
  <w:style w:type="paragraph" w:customStyle="1" w:styleId="Point3letter">
    <w:name w:val="Point 3 (letter)"/>
    <w:basedOn w:val="Normal"/>
    <w:rsid w:val="00270D43"/>
    <w:pPr>
      <w:numPr>
        <w:ilvl w:val="7"/>
        <w:numId w:val="255"/>
      </w:numPr>
      <w:spacing w:before="120" w:after="120" w:line="240" w:lineRule="auto"/>
      <w:jc w:val="both"/>
    </w:pPr>
    <w:rPr>
      <w:rFonts w:ascii="Symbol" w:hAnsi="Symbol" w:cs="Symbol"/>
      <w:kern w:val="0"/>
      <w:szCs w:val="22"/>
      <w14:ligatures w14:val="none"/>
    </w:rPr>
  </w:style>
  <w:style w:type="paragraph" w:customStyle="1" w:styleId="Point4letter">
    <w:name w:val="Point 4 (letter)"/>
    <w:basedOn w:val="Normal"/>
    <w:rsid w:val="00270D43"/>
    <w:pPr>
      <w:numPr>
        <w:ilvl w:val="8"/>
        <w:numId w:val="255"/>
      </w:numPr>
      <w:spacing w:before="120" w:after="120" w:line="240" w:lineRule="auto"/>
      <w:jc w:val="both"/>
    </w:pPr>
    <w:rPr>
      <w:rFonts w:ascii="Symbol" w:hAnsi="Symbol" w:cs="Symbol"/>
      <w:kern w:val="0"/>
      <w:szCs w:val="22"/>
      <w14:ligatures w14:val="none"/>
    </w:rPr>
  </w:style>
  <w:style w:type="paragraph" w:customStyle="1" w:styleId="Bullet0">
    <w:name w:val="Bullet 0"/>
    <w:basedOn w:val="Normal"/>
    <w:rsid w:val="00BB6E98"/>
    <w:pPr>
      <w:numPr>
        <w:numId w:val="256"/>
      </w:numPr>
      <w:spacing w:before="120" w:after="120" w:line="240" w:lineRule="auto"/>
      <w:jc w:val="both"/>
    </w:pPr>
    <w:rPr>
      <w:rFonts w:ascii="Segoe UI" w:hAnsi="Segoe UI" w:cs="Segoe UI"/>
      <w:kern w:val="0"/>
      <w:szCs w:val="22"/>
      <w14:ligatures w14:val="none"/>
    </w:rPr>
  </w:style>
  <w:style w:type="paragraph" w:customStyle="1" w:styleId="Bullet1">
    <w:name w:val="Bullet 1"/>
    <w:basedOn w:val="Normal"/>
    <w:link w:val="Bullet1Char"/>
    <w:qFormat/>
    <w:rsid w:val="00BB6E98"/>
    <w:pPr>
      <w:numPr>
        <w:numId w:val="257"/>
      </w:numPr>
      <w:spacing w:before="120" w:after="120" w:line="240" w:lineRule="auto"/>
      <w:jc w:val="both"/>
    </w:pPr>
    <w:rPr>
      <w:rFonts w:ascii="Segoe UI" w:hAnsi="Segoe UI" w:cs="Segoe UI"/>
      <w:kern w:val="0"/>
      <w:szCs w:val="22"/>
      <w14:ligatures w14:val="none"/>
    </w:rPr>
  </w:style>
  <w:style w:type="paragraph" w:customStyle="1" w:styleId="Bullet20">
    <w:name w:val="Bullet 2"/>
    <w:basedOn w:val="Normal"/>
    <w:rsid w:val="00BB6E98"/>
    <w:pPr>
      <w:numPr>
        <w:numId w:val="258"/>
      </w:numPr>
      <w:spacing w:before="120" w:after="120" w:line="240" w:lineRule="auto"/>
      <w:jc w:val="both"/>
    </w:pPr>
    <w:rPr>
      <w:rFonts w:ascii="Segoe UI" w:hAnsi="Segoe UI" w:cs="Segoe UI"/>
      <w:kern w:val="0"/>
      <w:szCs w:val="22"/>
      <w14:ligatures w14:val="none"/>
    </w:rPr>
  </w:style>
  <w:style w:type="paragraph" w:customStyle="1" w:styleId="Bullet3">
    <w:name w:val="Bullet 3"/>
    <w:basedOn w:val="Normal"/>
    <w:rsid w:val="00BB6E98"/>
    <w:pPr>
      <w:numPr>
        <w:numId w:val="259"/>
      </w:numPr>
      <w:spacing w:before="120" w:after="120" w:line="240" w:lineRule="auto"/>
      <w:jc w:val="both"/>
    </w:pPr>
    <w:rPr>
      <w:rFonts w:ascii="Segoe UI" w:hAnsi="Segoe UI" w:cs="Segoe UI"/>
      <w:kern w:val="0"/>
      <w:szCs w:val="22"/>
      <w14:ligatures w14:val="none"/>
    </w:rPr>
  </w:style>
  <w:style w:type="paragraph" w:customStyle="1" w:styleId="Bullet4">
    <w:name w:val="Bullet 4"/>
    <w:basedOn w:val="Normal"/>
    <w:rsid w:val="00BB6E98"/>
    <w:pPr>
      <w:numPr>
        <w:numId w:val="260"/>
      </w:numPr>
      <w:spacing w:before="120" w:after="120" w:line="240" w:lineRule="auto"/>
      <w:jc w:val="both"/>
    </w:pPr>
    <w:rPr>
      <w:rFonts w:ascii="Segoe UI" w:hAnsi="Segoe UI" w:cs="Segoe UI"/>
      <w:kern w:val="0"/>
      <w:szCs w:val="22"/>
      <w14:ligatures w14:val="none"/>
    </w:rPr>
  </w:style>
  <w:style w:type="paragraph" w:customStyle="1" w:styleId="Langue">
    <w:name w:val="Langue"/>
    <w:basedOn w:val="Normal"/>
    <w:next w:val="Rfrenceinterne"/>
    <w:rsid w:val="00270D43"/>
    <w:pPr>
      <w:framePr w:wrap="around" w:vAnchor="page" w:hAnchor="text" w:xAlign="center" w:y="14741"/>
      <w:spacing w:after="600" w:line="240" w:lineRule="auto"/>
      <w:jc w:val="center"/>
    </w:pPr>
    <w:rPr>
      <w:rFonts w:ascii="Symbol" w:hAnsi="Symbol" w:cs="Symbol"/>
      <w:b/>
      <w:caps/>
      <w:kern w:val="0"/>
      <w:szCs w:val="22"/>
      <w14:ligatures w14:val="none"/>
    </w:rPr>
  </w:style>
  <w:style w:type="paragraph" w:customStyle="1" w:styleId="Nomdelinstitution">
    <w:name w:val="Nom de l'institution"/>
    <w:basedOn w:val="Normal"/>
    <w:next w:val="Emission"/>
    <w:rsid w:val="00270D43"/>
    <w:pPr>
      <w:spacing w:after="0" w:line="240" w:lineRule="auto"/>
    </w:pPr>
    <w:rPr>
      <w:rFonts w:ascii="Aptos" w:hAnsi="Aptos" w:cs="Aptos"/>
      <w:kern w:val="0"/>
      <w:szCs w:val="22"/>
      <w14:ligatures w14:val="none"/>
    </w:rPr>
  </w:style>
  <w:style w:type="paragraph" w:customStyle="1" w:styleId="Emission">
    <w:name w:val="Emission"/>
    <w:basedOn w:val="Normal"/>
    <w:next w:val="Rfrenceinstitutionnelle"/>
    <w:rsid w:val="00270D43"/>
    <w:pPr>
      <w:spacing w:after="0" w:line="240" w:lineRule="auto"/>
      <w:ind w:left="5103"/>
    </w:pPr>
    <w:rPr>
      <w:rFonts w:ascii="Symbol" w:hAnsi="Symbol" w:cs="Symbol"/>
      <w:kern w:val="0"/>
      <w:szCs w:val="22"/>
      <w14:ligatures w14:val="none"/>
    </w:rPr>
  </w:style>
  <w:style w:type="paragraph" w:customStyle="1" w:styleId="Rfrenceinstitutionnelle">
    <w:name w:val="Référence institutionnelle"/>
    <w:basedOn w:val="Normal"/>
    <w:next w:val="Confidentialit"/>
    <w:rsid w:val="00270D43"/>
    <w:pPr>
      <w:spacing w:after="240" w:line="240" w:lineRule="auto"/>
      <w:ind w:left="5103"/>
    </w:pPr>
    <w:rPr>
      <w:rFonts w:ascii="Symbol" w:hAnsi="Symbol" w:cs="Symbol"/>
      <w:kern w:val="0"/>
      <w:szCs w:val="22"/>
      <w14:ligatures w14:val="none"/>
    </w:rPr>
  </w:style>
  <w:style w:type="paragraph" w:customStyle="1" w:styleId="Declassification">
    <w:name w:val="Declassification"/>
    <w:basedOn w:val="Normal"/>
    <w:next w:val="Normal"/>
    <w:rsid w:val="00270D43"/>
    <w:pPr>
      <w:spacing w:after="0" w:line="240" w:lineRule="auto"/>
      <w:jc w:val="both"/>
    </w:pPr>
    <w:rPr>
      <w:rFonts w:ascii="Symbol" w:hAnsi="Symbol" w:cs="Symbol"/>
      <w:kern w:val="0"/>
      <w:szCs w:val="22"/>
      <w14:ligatures w14:val="none"/>
    </w:rPr>
  </w:style>
  <w:style w:type="paragraph" w:customStyle="1" w:styleId="Disclaimer">
    <w:name w:val="Disclaimer"/>
    <w:basedOn w:val="Normal"/>
    <w:rsid w:val="00270D4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Symbol" w:hAnsi="Symbol" w:cs="Symbol"/>
      <w:kern w:val="0"/>
      <w:szCs w:val="22"/>
      <w14:ligatures w14:val="none"/>
    </w:rPr>
  </w:style>
  <w:style w:type="paragraph" w:customStyle="1" w:styleId="SecurityMarking">
    <w:name w:val="SecurityMarking"/>
    <w:basedOn w:val="Normal"/>
    <w:rsid w:val="00270D43"/>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270D43"/>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270D43"/>
    <w:pPr>
      <w:spacing w:after="0" w:line="276" w:lineRule="auto"/>
      <w:ind w:left="5103"/>
    </w:pPr>
    <w:rPr>
      <w:rFonts w:ascii="Times New Roman" w:hAnsi="Times New Roman" w:cs="Times New Roman"/>
      <w:i/>
      <w:kern w:val="0"/>
      <w:sz w:val="28"/>
      <w:szCs w:val="22"/>
      <w14:ligatures w14:val="none"/>
    </w:rPr>
  </w:style>
  <w:style w:type="paragraph" w:customStyle="1" w:styleId="Annexetitreexpos">
    <w:name w:val="Annexe titre (exposé)"/>
    <w:basedOn w:val="Normal"/>
    <w:next w:val="Normal"/>
    <w:rsid w:val="00270D43"/>
    <w:pPr>
      <w:spacing w:before="120" w:after="120" w:line="240" w:lineRule="auto"/>
      <w:jc w:val="center"/>
    </w:pPr>
    <w:rPr>
      <w:rFonts w:ascii="Symbol" w:hAnsi="Symbol" w:cs="Symbol"/>
      <w:b/>
      <w:kern w:val="0"/>
      <w:szCs w:val="22"/>
      <w:u w:val="single"/>
      <w14:ligatures w14:val="none"/>
    </w:rPr>
  </w:style>
  <w:style w:type="paragraph" w:customStyle="1" w:styleId="Annexetitre">
    <w:name w:val="Annexe titre"/>
    <w:basedOn w:val="Normal"/>
    <w:next w:val="Normal"/>
    <w:rsid w:val="00270D43"/>
    <w:pPr>
      <w:spacing w:before="120" w:after="120" w:line="240" w:lineRule="auto"/>
      <w:jc w:val="center"/>
    </w:pPr>
    <w:rPr>
      <w:rFonts w:ascii="Symbol" w:hAnsi="Symbol" w:cs="Symbol"/>
      <w:b/>
      <w:kern w:val="0"/>
      <w:szCs w:val="22"/>
      <w:u w:val="single"/>
      <w14:ligatures w14:val="none"/>
    </w:rPr>
  </w:style>
  <w:style w:type="paragraph" w:customStyle="1" w:styleId="Annexetitrefichefinancire">
    <w:name w:val="Annexe titre (fiche financière)"/>
    <w:basedOn w:val="Normal"/>
    <w:next w:val="Normal"/>
    <w:rsid w:val="00270D43"/>
    <w:pPr>
      <w:spacing w:before="120" w:after="120" w:line="240" w:lineRule="auto"/>
      <w:jc w:val="center"/>
    </w:pPr>
    <w:rPr>
      <w:rFonts w:ascii="Symbol" w:hAnsi="Symbol" w:cs="Symbol"/>
      <w:b/>
      <w:kern w:val="0"/>
      <w:szCs w:val="22"/>
      <w:u w:val="single"/>
      <w14:ligatures w14:val="none"/>
    </w:rPr>
  </w:style>
  <w:style w:type="paragraph" w:customStyle="1" w:styleId="Applicationdirecte">
    <w:name w:val="Application directe"/>
    <w:basedOn w:val="Normal"/>
    <w:next w:val="Fait"/>
    <w:rsid w:val="00270D43"/>
    <w:pPr>
      <w:spacing w:before="480" w:after="120" w:line="240" w:lineRule="auto"/>
      <w:jc w:val="both"/>
    </w:pPr>
    <w:rPr>
      <w:rFonts w:ascii="Symbol" w:hAnsi="Symbol" w:cs="Symbol"/>
      <w:kern w:val="0"/>
      <w:szCs w:val="22"/>
      <w14:ligatures w14:val="none"/>
    </w:rPr>
  </w:style>
  <w:style w:type="paragraph" w:customStyle="1" w:styleId="Avertissementtitre">
    <w:name w:val="Avertissement titre"/>
    <w:basedOn w:val="Normal"/>
    <w:next w:val="Normal"/>
    <w:rsid w:val="00270D43"/>
    <w:pPr>
      <w:keepNext/>
      <w:spacing w:before="480" w:after="120" w:line="240" w:lineRule="auto"/>
      <w:jc w:val="both"/>
    </w:pPr>
    <w:rPr>
      <w:rFonts w:ascii="Symbol" w:hAnsi="Symbol" w:cs="Symbol"/>
      <w:kern w:val="0"/>
      <w:szCs w:val="22"/>
      <w:u w:val="single"/>
      <w14:ligatures w14:val="none"/>
    </w:rPr>
  </w:style>
  <w:style w:type="paragraph" w:customStyle="1" w:styleId="Confidence">
    <w:name w:val="Confidence"/>
    <w:basedOn w:val="Normal"/>
    <w:next w:val="Normal"/>
    <w:rsid w:val="00270D43"/>
    <w:pPr>
      <w:spacing w:before="360" w:after="120" w:line="240" w:lineRule="auto"/>
      <w:jc w:val="center"/>
    </w:pPr>
    <w:rPr>
      <w:rFonts w:ascii="Symbol" w:hAnsi="Symbol" w:cs="Symbol"/>
      <w:kern w:val="0"/>
      <w:szCs w:val="22"/>
      <w14:ligatures w14:val="none"/>
    </w:rPr>
  </w:style>
  <w:style w:type="paragraph" w:customStyle="1" w:styleId="Confidentialit">
    <w:name w:val="Confidentialité"/>
    <w:basedOn w:val="Normal"/>
    <w:next w:val="TypedudocumentPagedecouverture"/>
    <w:rsid w:val="00270D43"/>
    <w:pPr>
      <w:spacing w:before="240" w:after="240" w:line="240" w:lineRule="auto"/>
      <w:ind w:left="5103"/>
    </w:pPr>
    <w:rPr>
      <w:rFonts w:ascii="Symbol" w:hAnsi="Symbol" w:cs="Symbol"/>
      <w:i/>
      <w:kern w:val="0"/>
      <w:sz w:val="32"/>
      <w:szCs w:val="22"/>
      <w14:ligatures w14:val="none"/>
    </w:rPr>
  </w:style>
  <w:style w:type="paragraph" w:customStyle="1" w:styleId="Considrant">
    <w:name w:val="Considérant"/>
    <w:basedOn w:val="Normal"/>
    <w:rsid w:val="00BB6E98"/>
    <w:pPr>
      <w:numPr>
        <w:numId w:val="261"/>
      </w:numPr>
      <w:spacing w:before="120" w:after="120" w:line="240" w:lineRule="auto"/>
      <w:jc w:val="both"/>
    </w:pPr>
    <w:rPr>
      <w:rFonts w:ascii="Segoe UI" w:hAnsi="Segoe UI" w:cs="Segoe UI"/>
      <w:kern w:val="0"/>
      <w:szCs w:val="22"/>
      <w14:ligatures w14:val="none"/>
    </w:rPr>
  </w:style>
  <w:style w:type="paragraph" w:customStyle="1" w:styleId="Corrigendum">
    <w:name w:val="Corrigendum"/>
    <w:basedOn w:val="Normal"/>
    <w:next w:val="Normal"/>
    <w:rsid w:val="00270D43"/>
    <w:pPr>
      <w:spacing w:after="240" w:line="240" w:lineRule="auto"/>
    </w:pPr>
    <w:rPr>
      <w:rFonts w:ascii="Symbol" w:hAnsi="Symbol" w:cs="Symbol"/>
      <w:kern w:val="0"/>
      <w:szCs w:val="22"/>
      <w14:ligatures w14:val="none"/>
    </w:rPr>
  </w:style>
  <w:style w:type="paragraph" w:customStyle="1" w:styleId="Datedadoption">
    <w:name w:val="Date d'adoption"/>
    <w:basedOn w:val="Normal"/>
    <w:next w:val="IntrtEEE"/>
    <w:rsid w:val="00270D43"/>
    <w:pPr>
      <w:spacing w:before="360" w:after="0" w:line="240" w:lineRule="auto"/>
      <w:jc w:val="center"/>
    </w:pPr>
    <w:rPr>
      <w:rFonts w:ascii="Symbol" w:hAnsi="Symbol" w:cs="Symbol"/>
      <w:b/>
      <w:kern w:val="0"/>
      <w:szCs w:val="22"/>
      <w14:ligatures w14:val="none"/>
    </w:rPr>
  </w:style>
  <w:style w:type="paragraph" w:customStyle="1" w:styleId="Exposdesmotifstitre">
    <w:name w:val="Exposé des motifs titre"/>
    <w:basedOn w:val="Normal"/>
    <w:next w:val="Normal"/>
    <w:rsid w:val="00270D43"/>
    <w:pPr>
      <w:spacing w:before="120" w:after="120" w:line="240" w:lineRule="auto"/>
      <w:jc w:val="center"/>
    </w:pPr>
    <w:rPr>
      <w:rFonts w:ascii="Symbol" w:hAnsi="Symbol" w:cs="Symbol"/>
      <w:b/>
      <w:kern w:val="0"/>
      <w:szCs w:val="22"/>
      <w:u w:val="single"/>
      <w14:ligatures w14:val="none"/>
    </w:rPr>
  </w:style>
  <w:style w:type="paragraph" w:customStyle="1" w:styleId="Fait">
    <w:name w:val="Fait à"/>
    <w:basedOn w:val="Normal"/>
    <w:next w:val="Institutionquisigne"/>
    <w:rsid w:val="00270D43"/>
    <w:pPr>
      <w:keepNext/>
      <w:spacing w:before="120" w:after="0" w:line="240" w:lineRule="auto"/>
      <w:jc w:val="both"/>
    </w:pPr>
    <w:rPr>
      <w:rFonts w:ascii="Symbol" w:hAnsi="Symbol" w:cs="Symbol"/>
      <w:kern w:val="0"/>
      <w:szCs w:val="22"/>
      <w14:ligatures w14:val="none"/>
    </w:rPr>
  </w:style>
  <w:style w:type="paragraph" w:customStyle="1" w:styleId="Formuledadoption">
    <w:name w:val="Formule d'adoption"/>
    <w:basedOn w:val="Normal"/>
    <w:next w:val="Titrearticle"/>
    <w:rsid w:val="00270D43"/>
    <w:pPr>
      <w:keepNext/>
      <w:spacing w:before="120" w:after="120" w:line="240" w:lineRule="auto"/>
      <w:jc w:val="both"/>
    </w:pPr>
    <w:rPr>
      <w:rFonts w:ascii="Symbol" w:hAnsi="Symbol" w:cs="Symbol"/>
      <w:kern w:val="0"/>
      <w:szCs w:val="22"/>
      <w14:ligatures w14:val="none"/>
    </w:rPr>
  </w:style>
  <w:style w:type="paragraph" w:customStyle="1" w:styleId="Institutionquiagit">
    <w:name w:val="Institution qui agit"/>
    <w:basedOn w:val="Normal"/>
    <w:next w:val="Normal"/>
    <w:rsid w:val="00270D43"/>
    <w:pPr>
      <w:keepNext/>
      <w:spacing w:before="600" w:after="120" w:line="240" w:lineRule="auto"/>
      <w:jc w:val="both"/>
    </w:pPr>
    <w:rPr>
      <w:rFonts w:ascii="Symbol" w:hAnsi="Symbol" w:cs="Symbol"/>
      <w:kern w:val="0"/>
      <w:szCs w:val="22"/>
      <w14:ligatures w14:val="none"/>
    </w:rPr>
  </w:style>
  <w:style w:type="paragraph" w:customStyle="1" w:styleId="Institutionquisigne">
    <w:name w:val="Institution qui signe"/>
    <w:basedOn w:val="Normal"/>
    <w:next w:val="Personnequisigne"/>
    <w:rsid w:val="00270D43"/>
    <w:pPr>
      <w:keepNext/>
      <w:tabs>
        <w:tab w:val="left" w:pos="4252"/>
      </w:tabs>
      <w:spacing w:before="720" w:after="0" w:line="240" w:lineRule="auto"/>
      <w:jc w:val="both"/>
    </w:pPr>
    <w:rPr>
      <w:rFonts w:ascii="Symbol" w:hAnsi="Symbol" w:cs="Symbol"/>
      <w:i/>
      <w:kern w:val="0"/>
      <w:szCs w:val="22"/>
      <w14:ligatures w14:val="none"/>
    </w:rPr>
  </w:style>
  <w:style w:type="paragraph" w:customStyle="1" w:styleId="ManualConsidrant">
    <w:name w:val="Manual Considérant"/>
    <w:basedOn w:val="Normal"/>
    <w:rsid w:val="00270D43"/>
    <w:pPr>
      <w:spacing w:before="120" w:after="120" w:line="240" w:lineRule="auto"/>
      <w:ind w:left="709" w:hanging="709"/>
      <w:jc w:val="both"/>
    </w:pPr>
    <w:rPr>
      <w:rFonts w:ascii="Symbol" w:hAnsi="Symbol" w:cs="Symbol"/>
      <w:kern w:val="0"/>
      <w:szCs w:val="22"/>
      <w14:ligatures w14:val="none"/>
    </w:rPr>
  </w:style>
  <w:style w:type="paragraph" w:customStyle="1" w:styleId="Personnequisigne">
    <w:name w:val="Personne qui signe"/>
    <w:basedOn w:val="Normal"/>
    <w:next w:val="Institutionquisigne"/>
    <w:rsid w:val="00270D43"/>
    <w:pPr>
      <w:tabs>
        <w:tab w:val="left" w:pos="4252"/>
      </w:tabs>
      <w:spacing w:after="0" w:line="240" w:lineRule="auto"/>
    </w:pPr>
    <w:rPr>
      <w:rFonts w:ascii="Symbol" w:hAnsi="Symbol" w:cs="Symbol"/>
      <w:i/>
      <w:kern w:val="0"/>
      <w:szCs w:val="22"/>
      <w14:ligatures w14:val="none"/>
    </w:rPr>
  </w:style>
  <w:style w:type="paragraph" w:customStyle="1" w:styleId="Rfrenceinterinstitutionnelle">
    <w:name w:val="Référence interinstitutionnelle"/>
    <w:basedOn w:val="Normal"/>
    <w:next w:val="Statut"/>
    <w:rsid w:val="00270D43"/>
    <w:pPr>
      <w:spacing w:after="0" w:line="240" w:lineRule="auto"/>
      <w:ind w:left="5103"/>
    </w:pPr>
    <w:rPr>
      <w:rFonts w:ascii="Symbol" w:hAnsi="Symbol" w:cs="Symbol"/>
      <w:kern w:val="0"/>
      <w:szCs w:val="22"/>
      <w14:ligatures w14:val="none"/>
    </w:rPr>
  </w:style>
  <w:style w:type="paragraph" w:customStyle="1" w:styleId="Rfrenceinterne">
    <w:name w:val="Référence interne"/>
    <w:basedOn w:val="Normal"/>
    <w:next w:val="Rfrenceinterinstitutionnelle"/>
    <w:rsid w:val="00270D43"/>
    <w:pPr>
      <w:spacing w:after="0" w:line="240" w:lineRule="auto"/>
      <w:ind w:left="5103"/>
    </w:pPr>
    <w:rPr>
      <w:rFonts w:ascii="Symbol" w:hAnsi="Symbol" w:cs="Symbol"/>
      <w:kern w:val="0"/>
      <w:szCs w:val="22"/>
      <w14:ligatures w14:val="none"/>
    </w:rPr>
  </w:style>
  <w:style w:type="paragraph" w:customStyle="1" w:styleId="Statut">
    <w:name w:val="Statut"/>
    <w:basedOn w:val="Normal"/>
    <w:next w:val="Typedudocument"/>
    <w:rsid w:val="00270D43"/>
    <w:pPr>
      <w:spacing w:after="240" w:line="240" w:lineRule="auto"/>
      <w:jc w:val="center"/>
    </w:pPr>
    <w:rPr>
      <w:rFonts w:ascii="Symbol" w:hAnsi="Symbol" w:cs="Symbol"/>
      <w:kern w:val="0"/>
      <w:szCs w:val="22"/>
      <w14:ligatures w14:val="none"/>
    </w:rPr>
  </w:style>
  <w:style w:type="paragraph" w:customStyle="1" w:styleId="Titrearticle">
    <w:name w:val="Titre article"/>
    <w:basedOn w:val="Normal"/>
    <w:next w:val="Normal"/>
    <w:rsid w:val="00270D43"/>
    <w:pPr>
      <w:keepNext/>
      <w:spacing w:before="360" w:after="120" w:line="240" w:lineRule="auto"/>
      <w:jc w:val="center"/>
    </w:pPr>
    <w:rPr>
      <w:rFonts w:ascii="Symbol" w:hAnsi="Symbol" w:cs="Symbol"/>
      <w:i/>
      <w:kern w:val="0"/>
      <w:szCs w:val="22"/>
      <w14:ligatures w14:val="none"/>
    </w:rPr>
  </w:style>
  <w:style w:type="paragraph" w:customStyle="1" w:styleId="Typedudocument">
    <w:name w:val="Type du document"/>
    <w:basedOn w:val="Normal"/>
    <w:next w:val="Accompagnant"/>
    <w:rsid w:val="00270D43"/>
    <w:pPr>
      <w:spacing w:before="360" w:after="180" w:line="240" w:lineRule="auto"/>
      <w:jc w:val="center"/>
    </w:pPr>
    <w:rPr>
      <w:rFonts w:ascii="Symbol" w:hAnsi="Symbol" w:cs="Symbol"/>
      <w:b/>
      <w:kern w:val="0"/>
      <w:szCs w:val="22"/>
      <w14:ligatures w14:val="none"/>
    </w:rPr>
  </w:style>
  <w:style w:type="character" w:customStyle="1" w:styleId="Added">
    <w:name w:val="Added"/>
    <w:basedOn w:val="DefaultParagraphFont"/>
    <w:rsid w:val="00270D43"/>
    <w:rPr>
      <w:b/>
      <w:u w:val="single"/>
      <w:shd w:val="clear" w:color="auto" w:fill="auto"/>
    </w:rPr>
  </w:style>
  <w:style w:type="character" w:customStyle="1" w:styleId="Deleted">
    <w:name w:val="Deleted"/>
    <w:basedOn w:val="DefaultParagraphFont"/>
    <w:rsid w:val="00270D43"/>
    <w:rPr>
      <w:strike/>
      <w:dstrike w:val="0"/>
      <w:shd w:val="clear" w:color="auto" w:fill="auto"/>
    </w:rPr>
  </w:style>
  <w:style w:type="paragraph" w:customStyle="1" w:styleId="Address">
    <w:name w:val="Address"/>
    <w:basedOn w:val="Normal"/>
    <w:next w:val="Normal"/>
    <w:rsid w:val="00270D43"/>
    <w:pPr>
      <w:keepLines/>
      <w:spacing w:before="120" w:after="120" w:line="360" w:lineRule="auto"/>
      <w:ind w:left="3402"/>
    </w:pPr>
    <w:rPr>
      <w:rFonts w:ascii="Symbol" w:hAnsi="Symbol" w:cs="Symbol"/>
      <w:kern w:val="0"/>
      <w:szCs w:val="22"/>
      <w14:ligatures w14:val="none"/>
    </w:rPr>
  </w:style>
  <w:style w:type="paragraph" w:customStyle="1" w:styleId="Objetexterne">
    <w:name w:val="Objet externe"/>
    <w:basedOn w:val="Normal"/>
    <w:next w:val="Normal"/>
    <w:rsid w:val="00270D43"/>
    <w:pPr>
      <w:spacing w:before="120" w:after="120" w:line="240" w:lineRule="auto"/>
      <w:jc w:val="both"/>
    </w:pPr>
    <w:rPr>
      <w:rFonts w:ascii="Symbol" w:hAnsi="Symbol" w:cs="Symbol"/>
      <w:i/>
      <w:caps/>
      <w:kern w:val="0"/>
      <w:szCs w:val="22"/>
      <w14:ligatures w14:val="none"/>
    </w:rPr>
  </w:style>
  <w:style w:type="paragraph" w:customStyle="1" w:styleId="Supertitre">
    <w:name w:val="Supertitre"/>
    <w:basedOn w:val="Normal"/>
    <w:next w:val="Normal"/>
    <w:rsid w:val="00270D43"/>
    <w:pPr>
      <w:spacing w:after="600" w:line="240" w:lineRule="auto"/>
      <w:jc w:val="center"/>
    </w:pPr>
    <w:rPr>
      <w:rFonts w:ascii="Symbol" w:hAnsi="Symbol" w:cs="Symbol"/>
      <w:b/>
      <w:kern w:val="0"/>
      <w:szCs w:val="22"/>
      <w14:ligatures w14:val="none"/>
    </w:rPr>
  </w:style>
  <w:style w:type="paragraph" w:customStyle="1" w:styleId="Languesfaisantfoi">
    <w:name w:val="Langues faisant foi"/>
    <w:basedOn w:val="Normal"/>
    <w:next w:val="Normal"/>
    <w:rsid w:val="00270D43"/>
    <w:pPr>
      <w:spacing w:before="360" w:after="0" w:line="240" w:lineRule="auto"/>
      <w:jc w:val="center"/>
    </w:pPr>
    <w:rPr>
      <w:rFonts w:ascii="Symbol" w:hAnsi="Symbol" w:cs="Symbol"/>
      <w:kern w:val="0"/>
      <w:szCs w:val="22"/>
      <w14:ligatures w14:val="none"/>
    </w:rPr>
  </w:style>
  <w:style w:type="paragraph" w:customStyle="1" w:styleId="Rfrencecroise">
    <w:name w:val="Référence croisée"/>
    <w:basedOn w:val="Normal"/>
    <w:rsid w:val="00270D43"/>
    <w:pPr>
      <w:spacing w:after="0" w:line="240" w:lineRule="auto"/>
      <w:jc w:val="center"/>
    </w:pPr>
    <w:rPr>
      <w:rFonts w:ascii="Symbol" w:hAnsi="Symbol" w:cs="Symbol"/>
      <w:kern w:val="0"/>
      <w:szCs w:val="22"/>
      <w14:ligatures w14:val="none"/>
    </w:rPr>
  </w:style>
  <w:style w:type="paragraph" w:customStyle="1" w:styleId="Fichefinanciretitre">
    <w:name w:val="Fiche financière titre"/>
    <w:basedOn w:val="Normal"/>
    <w:next w:val="Normal"/>
    <w:rsid w:val="00270D43"/>
    <w:pPr>
      <w:spacing w:before="120" w:after="120" w:line="240" w:lineRule="auto"/>
      <w:jc w:val="center"/>
    </w:pPr>
    <w:rPr>
      <w:rFonts w:ascii="Symbol" w:hAnsi="Symbol" w:cs="Symbol"/>
      <w:b/>
      <w:kern w:val="0"/>
      <w:szCs w:val="22"/>
      <w:u w:val="single"/>
      <w14:ligatures w14:val="none"/>
    </w:rPr>
  </w:style>
  <w:style w:type="paragraph" w:customStyle="1" w:styleId="DatedadoptionPagedecouverture">
    <w:name w:val="Date d'adoption (Page de couverture)"/>
    <w:basedOn w:val="Datedadoption"/>
    <w:next w:val="IntrtEEEPagedecouverture"/>
    <w:rsid w:val="00270D43"/>
  </w:style>
  <w:style w:type="paragraph" w:customStyle="1" w:styleId="RfrenceinterinstitutionnellePagedecouverture">
    <w:name w:val="Référence interinstitutionnelle (Page de couverture)"/>
    <w:basedOn w:val="Rfrenceinterinstitutionnelle"/>
    <w:next w:val="Confidentialit"/>
    <w:rsid w:val="00270D43"/>
  </w:style>
  <w:style w:type="paragraph" w:customStyle="1" w:styleId="StatutPagedecouverture">
    <w:name w:val="Statut (Page de couverture)"/>
    <w:basedOn w:val="Statut"/>
    <w:next w:val="TypedudocumentPagedecouverture"/>
    <w:rsid w:val="00270D43"/>
  </w:style>
  <w:style w:type="paragraph" w:customStyle="1" w:styleId="TypedudocumentPagedecouverture">
    <w:name w:val="Type du document (Page de couverture)"/>
    <w:basedOn w:val="Typedudocument"/>
    <w:next w:val="AccompagnantPagedecouverture"/>
    <w:rsid w:val="00270D43"/>
  </w:style>
  <w:style w:type="paragraph" w:customStyle="1" w:styleId="Volume">
    <w:name w:val="Volume"/>
    <w:basedOn w:val="Normal"/>
    <w:next w:val="Confidentialit"/>
    <w:rsid w:val="00270D43"/>
    <w:pPr>
      <w:spacing w:after="240" w:line="240" w:lineRule="auto"/>
      <w:ind w:left="5103"/>
    </w:pPr>
    <w:rPr>
      <w:rFonts w:ascii="Symbol" w:hAnsi="Symbol" w:cs="Symbol"/>
      <w:kern w:val="0"/>
      <w:szCs w:val="22"/>
      <w14:ligatures w14:val="none"/>
    </w:rPr>
  </w:style>
  <w:style w:type="paragraph" w:customStyle="1" w:styleId="IntrtEEE">
    <w:name w:val="Intérêt EEE"/>
    <w:basedOn w:val="Languesfaisantfoi"/>
    <w:next w:val="Normal"/>
    <w:rsid w:val="00270D43"/>
    <w:pPr>
      <w:spacing w:after="240"/>
    </w:pPr>
  </w:style>
  <w:style w:type="paragraph" w:customStyle="1" w:styleId="Accompagnant">
    <w:name w:val="Accompagnant"/>
    <w:basedOn w:val="Normal"/>
    <w:next w:val="Typeacteprincipal"/>
    <w:rsid w:val="00270D43"/>
    <w:pPr>
      <w:spacing w:before="180" w:after="240" w:line="240" w:lineRule="auto"/>
      <w:jc w:val="center"/>
    </w:pPr>
    <w:rPr>
      <w:rFonts w:ascii="Symbol" w:hAnsi="Symbol" w:cs="Symbol"/>
      <w:b/>
      <w:kern w:val="0"/>
      <w:szCs w:val="22"/>
      <w14:ligatures w14:val="none"/>
    </w:rPr>
  </w:style>
  <w:style w:type="paragraph" w:customStyle="1" w:styleId="Typeacteprincipal">
    <w:name w:val="Type acte principal"/>
    <w:basedOn w:val="Normal"/>
    <w:next w:val="Objetacteprincipal"/>
    <w:rsid w:val="00270D43"/>
    <w:pPr>
      <w:spacing w:after="240" w:line="240" w:lineRule="auto"/>
      <w:jc w:val="center"/>
    </w:pPr>
    <w:rPr>
      <w:rFonts w:ascii="Symbol" w:hAnsi="Symbol" w:cs="Symbol"/>
      <w:b/>
      <w:kern w:val="0"/>
      <w:szCs w:val="22"/>
      <w14:ligatures w14:val="none"/>
    </w:rPr>
  </w:style>
  <w:style w:type="paragraph" w:customStyle="1" w:styleId="Objetacteprincipal">
    <w:name w:val="Objet acte principal"/>
    <w:basedOn w:val="Normal"/>
    <w:next w:val="Titrearticle"/>
    <w:rsid w:val="00270D43"/>
    <w:pPr>
      <w:spacing w:after="360" w:line="240" w:lineRule="auto"/>
      <w:jc w:val="center"/>
    </w:pPr>
    <w:rPr>
      <w:rFonts w:ascii="Symbol" w:hAnsi="Symbol" w:cs="Symbol"/>
      <w:b/>
      <w:kern w:val="0"/>
      <w:szCs w:val="22"/>
      <w14:ligatures w14:val="none"/>
    </w:rPr>
  </w:style>
  <w:style w:type="paragraph" w:customStyle="1" w:styleId="IntrtEEEPagedecouverture">
    <w:name w:val="Intérêt EEE (Page de couverture)"/>
    <w:basedOn w:val="IntrtEEE"/>
    <w:next w:val="Rfrencecroise"/>
    <w:rsid w:val="00270D43"/>
  </w:style>
  <w:style w:type="paragraph" w:customStyle="1" w:styleId="AccompagnantPagedecouverture">
    <w:name w:val="Accompagnant (Page de couverture)"/>
    <w:basedOn w:val="Accompagnant"/>
    <w:next w:val="TypeacteprincipalPagedecouverture"/>
    <w:rsid w:val="00270D43"/>
  </w:style>
  <w:style w:type="paragraph" w:customStyle="1" w:styleId="TypeacteprincipalPagedecouverture">
    <w:name w:val="Type acte principal (Page de couverture)"/>
    <w:basedOn w:val="Typeacteprincipal"/>
    <w:next w:val="ObjetacteprincipalPagedecouverture"/>
    <w:rsid w:val="00270D43"/>
  </w:style>
  <w:style w:type="paragraph" w:customStyle="1" w:styleId="ObjetacteprincipalPagedecouverture">
    <w:name w:val="Objet acte principal (Page de couverture)"/>
    <w:basedOn w:val="Objetacteprincipal"/>
    <w:next w:val="Rfrencecroise"/>
    <w:rsid w:val="00270D43"/>
  </w:style>
  <w:style w:type="paragraph" w:customStyle="1" w:styleId="LanguesfaisantfoiPagedecouverture">
    <w:name w:val="Langues faisant foi (Page de couverture)"/>
    <w:basedOn w:val="Normal"/>
    <w:next w:val="Normal"/>
    <w:rsid w:val="00270D43"/>
    <w:pPr>
      <w:spacing w:before="360" w:after="0" w:line="240" w:lineRule="auto"/>
      <w:jc w:val="center"/>
    </w:pPr>
    <w:rPr>
      <w:rFonts w:ascii="Symbol" w:hAnsi="Symbol" w:cs="Symbol"/>
      <w:kern w:val="0"/>
      <w:szCs w:val="22"/>
      <w14:ligatures w14:val="none"/>
    </w:rPr>
  </w:style>
  <w:style w:type="character" w:customStyle="1" w:styleId="Bullet1Char">
    <w:name w:val="Bullet 1 Char"/>
    <w:basedOn w:val="DefaultParagraphFont"/>
    <w:link w:val="Bullet1"/>
    <w:rsid w:val="00270D43"/>
    <w:rPr>
      <w:rFonts w:ascii="Segoe UI" w:hAnsi="Segoe UI" w:cs="Segoe UI"/>
      <w:kern w:val="0"/>
      <w:szCs w:val="22"/>
      <w14:ligatures w14:val="none"/>
    </w:rPr>
  </w:style>
  <w:style w:type="character" w:customStyle="1" w:styleId="bullet2Char">
    <w:name w:val="bullet 2 Char"/>
    <w:basedOn w:val="DefaultParagraphFont"/>
    <w:link w:val="bullet2"/>
    <w:rsid w:val="00270D43"/>
    <w:rPr>
      <w:rFonts w:eastAsia="Arial" w:cstheme="minorHAnsi"/>
      <w:color w:val="000000" w:themeColor="text1"/>
      <w:kern w:val="0"/>
      <w14:ligatures w14:val="none"/>
    </w:rPr>
  </w:style>
  <w:style w:type="paragraph" w:customStyle="1" w:styleId="Default">
    <w:name w:val="Default"/>
    <w:rsid w:val="00270D43"/>
    <w:pPr>
      <w:autoSpaceDE w:val="0"/>
      <w:autoSpaceDN w:val="0"/>
      <w:adjustRightInd w:val="0"/>
      <w:spacing w:after="0" w:line="240" w:lineRule="auto"/>
    </w:pPr>
    <w:rPr>
      <w:rFonts w:ascii="Symbol" w:hAnsi="Symbol" w:cs="Symbol"/>
      <w:color w:val="000000"/>
      <w:kern w:val="0"/>
      <w14:ligatures w14:val="none"/>
    </w:rPr>
  </w:style>
  <w:style w:type="paragraph" w:customStyle="1" w:styleId="Titreobjet">
    <w:name w:val="Titre objet"/>
    <w:basedOn w:val="Normal"/>
    <w:next w:val="IntrtEEE"/>
    <w:rsid w:val="00270D43"/>
    <w:pPr>
      <w:spacing w:before="360" w:after="360" w:line="240" w:lineRule="auto"/>
      <w:jc w:val="center"/>
    </w:pPr>
    <w:rPr>
      <w:rFonts w:ascii="Symbol" w:hAnsi="Symbol" w:cs="Symbol"/>
      <w:b/>
      <w:kern w:val="0"/>
      <w:szCs w:val="22"/>
      <w14:ligatures w14:val="none"/>
    </w:rPr>
  </w:style>
  <w:style w:type="paragraph" w:customStyle="1" w:styleId="TitreobjetPagedecouverture">
    <w:name w:val="Titre objet (Page de couverture)"/>
    <w:basedOn w:val="Titreobjet"/>
    <w:next w:val="IntrtEEEPagedecouverture"/>
    <w:rsid w:val="00270D43"/>
  </w:style>
  <w:style w:type="character" w:customStyle="1" w:styleId="y2iqfc">
    <w:name w:val="y2iqfc"/>
    <w:basedOn w:val="DefaultParagraphFont"/>
    <w:rsid w:val="00270D43"/>
  </w:style>
  <w:style w:type="character" w:customStyle="1" w:styleId="oj-super">
    <w:name w:val="oj-super"/>
    <w:basedOn w:val="DefaultParagraphFont"/>
    <w:rsid w:val="00270D43"/>
  </w:style>
  <w:style w:type="character" w:customStyle="1" w:styleId="rynqvb">
    <w:name w:val="rynqvb"/>
    <w:basedOn w:val="DefaultParagraphFont"/>
    <w:rsid w:val="00270D43"/>
  </w:style>
  <w:style w:type="character" w:customStyle="1" w:styleId="UnresolvedMention10">
    <w:name w:val="Unresolved Mention10"/>
    <w:basedOn w:val="DefaultParagraphFont"/>
    <w:uiPriority w:val="99"/>
    <w:unhideWhenUsed/>
    <w:rsid w:val="00270D43"/>
    <w:rPr>
      <w:color w:val="605E5C"/>
      <w:shd w:val="clear" w:color="auto" w:fill="E1DFDD"/>
    </w:rPr>
  </w:style>
  <w:style w:type="character" w:customStyle="1" w:styleId="Mention10">
    <w:name w:val="Mention10"/>
    <w:basedOn w:val="DefaultParagraphFont"/>
    <w:uiPriority w:val="99"/>
    <w:unhideWhenUsed/>
    <w:rsid w:val="00270D43"/>
    <w:rPr>
      <w:color w:val="2B579A"/>
      <w:shd w:val="clear" w:color="auto" w:fill="E1DFDD"/>
    </w:rPr>
  </w:style>
  <w:style w:type="paragraph" w:customStyle="1" w:styleId="P68B1DB1-Normal9">
    <w:name w:val="P68B1DB1-Normal9"/>
    <w:basedOn w:val="Normal"/>
    <w:rsid w:val="00270D43"/>
    <w:pPr>
      <w:shd w:val="clear" w:color="auto" w:fill="FF0000"/>
      <w:spacing w:after="200" w:line="276" w:lineRule="auto"/>
    </w:pPr>
    <w:rPr>
      <w:rFonts w:ascii="Times New Roman" w:hAnsi="Times New Roman"/>
      <w:color w:val="000000"/>
      <w:kern w:val="0"/>
      <w:sz w:val="18"/>
      <w:szCs w:val="20"/>
      <w14:ligatures w14:val="none"/>
    </w:rPr>
  </w:style>
  <w:style w:type="paragraph" w:customStyle="1" w:styleId="P68B1DB1-Normal10">
    <w:name w:val="P68B1DB1-Normal10"/>
    <w:basedOn w:val="Normal"/>
    <w:rsid w:val="00270D43"/>
    <w:pPr>
      <w:spacing w:after="200" w:line="276" w:lineRule="auto"/>
    </w:pPr>
    <w:rPr>
      <w:rFonts w:ascii="Times New Roman" w:hAnsi="Times New Roman"/>
      <w:color w:val="000000"/>
      <w:kern w:val="0"/>
      <w:sz w:val="18"/>
      <w:szCs w:val="20"/>
      <w14:ligatures w14:val="none"/>
    </w:rPr>
  </w:style>
  <w:style w:type="paragraph" w:customStyle="1" w:styleId="P68B1DB1-Normal11">
    <w:name w:val="P68B1DB1-Normal11"/>
    <w:basedOn w:val="Normal"/>
    <w:rsid w:val="00270D43"/>
    <w:pPr>
      <w:shd w:val="clear" w:color="auto" w:fill="FF0000"/>
      <w:spacing w:after="200" w:line="276" w:lineRule="auto"/>
    </w:pPr>
    <w:rPr>
      <w:rFonts w:ascii="Times New Roman" w:hAnsi="Times New Roman"/>
      <w:color w:val="000000"/>
      <w:kern w:val="0"/>
      <w:sz w:val="18"/>
      <w:szCs w:val="20"/>
      <w14:ligatures w14:val="none"/>
    </w:rPr>
  </w:style>
  <w:style w:type="character" w:customStyle="1" w:styleId="superscript">
    <w:name w:val="superscript"/>
    <w:basedOn w:val="DefaultParagraphFont"/>
    <w:rsid w:val="00270D43"/>
  </w:style>
  <w:style w:type="character" w:customStyle="1" w:styleId="scxw48877978">
    <w:name w:val="scxw48877978"/>
    <w:basedOn w:val="DefaultParagraphFont"/>
    <w:rsid w:val="00270D43"/>
  </w:style>
  <w:style w:type="paragraph" w:customStyle="1" w:styleId="P68B1DB1-Prrafodelista9">
    <w:name w:val="P68B1DB1-Prrafodelista9"/>
    <w:basedOn w:val="ListParagraph"/>
    <w:rsid w:val="00270D43"/>
    <w:pPr>
      <w:spacing w:before="120" w:after="120" w:line="240" w:lineRule="auto"/>
    </w:pPr>
    <w:rPr>
      <w:rFonts w:eastAsia="Times New Roman" w:cstheme="minorHAnsi"/>
      <w:kern w:val="0"/>
      <w:sz w:val="22"/>
      <w:szCs w:val="20"/>
      <w14:ligatures w14:val="none"/>
    </w:rPr>
  </w:style>
  <w:style w:type="character" w:customStyle="1" w:styleId="scxw101381782">
    <w:name w:val="scxw101381782"/>
    <w:basedOn w:val="DefaultParagraphFont"/>
    <w:rsid w:val="00270D43"/>
  </w:style>
  <w:style w:type="character" w:customStyle="1" w:styleId="Mention21">
    <w:name w:val="Mention21"/>
    <w:basedOn w:val="DefaultParagraphFont"/>
    <w:uiPriority w:val="99"/>
    <w:unhideWhenUsed/>
    <w:rsid w:val="00270D43"/>
    <w:rPr>
      <w:color w:val="2B579A"/>
      <w:shd w:val="clear" w:color="auto" w:fill="E6E6E6"/>
    </w:rPr>
  </w:style>
  <w:style w:type="character" w:customStyle="1" w:styleId="Mention2">
    <w:name w:val="Mention2"/>
    <w:basedOn w:val="DefaultParagraphFont"/>
    <w:uiPriority w:val="99"/>
    <w:unhideWhenUsed/>
    <w:rsid w:val="00270D43"/>
    <w:rPr>
      <w:color w:val="2B579A"/>
      <w:shd w:val="clear" w:color="auto" w:fill="E1DFDD"/>
    </w:rPr>
  </w:style>
  <w:style w:type="character" w:customStyle="1" w:styleId="UnresolvedMention2">
    <w:name w:val="Unresolved Mention2"/>
    <w:basedOn w:val="DefaultParagraphFont"/>
    <w:uiPriority w:val="99"/>
    <w:unhideWhenUsed/>
    <w:rsid w:val="00270D43"/>
    <w:rPr>
      <w:color w:val="605E5C"/>
      <w:shd w:val="clear" w:color="auto" w:fill="E1DFDD"/>
    </w:rPr>
  </w:style>
  <w:style w:type="character" w:customStyle="1" w:styleId="Mention20">
    <w:name w:val="Mention20"/>
    <w:basedOn w:val="DefaultParagraphFont"/>
    <w:uiPriority w:val="99"/>
    <w:unhideWhenUsed/>
    <w:rsid w:val="00270D43"/>
    <w:rPr>
      <w:color w:val="2B579A"/>
      <w:shd w:val="clear" w:color="auto" w:fill="E6E6E6"/>
    </w:rPr>
  </w:style>
  <w:style w:type="character" w:customStyle="1" w:styleId="Mention3">
    <w:name w:val="Mention3"/>
    <w:basedOn w:val="DefaultParagraphFont"/>
    <w:uiPriority w:val="99"/>
    <w:unhideWhenUsed/>
    <w:rsid w:val="00270D43"/>
    <w:rPr>
      <w:color w:val="2B579A"/>
      <w:shd w:val="clear" w:color="auto" w:fill="E1DFDD"/>
    </w:rPr>
  </w:style>
  <w:style w:type="character" w:customStyle="1" w:styleId="UnresolvedMention3">
    <w:name w:val="Unresolved Mention3"/>
    <w:basedOn w:val="DefaultParagraphFont"/>
    <w:uiPriority w:val="99"/>
    <w:unhideWhenUsed/>
    <w:rsid w:val="00270D43"/>
    <w:rPr>
      <w:color w:val="605E5C"/>
      <w:shd w:val="clear" w:color="auto" w:fill="E1DFDD"/>
    </w:rPr>
  </w:style>
  <w:style w:type="character" w:customStyle="1" w:styleId="UnresolvedMention4">
    <w:name w:val="Unresolved Mention4"/>
    <w:basedOn w:val="DefaultParagraphFont"/>
    <w:uiPriority w:val="99"/>
    <w:unhideWhenUsed/>
    <w:rsid w:val="00270D43"/>
    <w:rPr>
      <w:color w:val="605E5C"/>
      <w:shd w:val="clear" w:color="auto" w:fill="E1DFDD"/>
    </w:rPr>
  </w:style>
  <w:style w:type="character" w:customStyle="1" w:styleId="Mention4">
    <w:name w:val="Mention4"/>
    <w:basedOn w:val="DefaultParagraphFont"/>
    <w:uiPriority w:val="99"/>
    <w:unhideWhenUsed/>
    <w:rsid w:val="00270D43"/>
    <w:rPr>
      <w:color w:val="2B579A"/>
      <w:shd w:val="clear" w:color="auto" w:fill="E1DFDD"/>
    </w:rPr>
  </w:style>
  <w:style w:type="character" w:customStyle="1" w:styleId="Mention5">
    <w:name w:val="Mention5"/>
    <w:basedOn w:val="DefaultParagraphFont"/>
    <w:uiPriority w:val="99"/>
    <w:unhideWhenUsed/>
    <w:rsid w:val="00270D43"/>
    <w:rPr>
      <w:color w:val="2B579A"/>
      <w:shd w:val="clear" w:color="auto" w:fill="E6E6E6"/>
    </w:rPr>
  </w:style>
  <w:style w:type="character" w:customStyle="1" w:styleId="UnresolvedMention5">
    <w:name w:val="Unresolved Mention5"/>
    <w:basedOn w:val="DefaultParagraphFont"/>
    <w:uiPriority w:val="99"/>
    <w:unhideWhenUsed/>
    <w:rsid w:val="00270D43"/>
    <w:rPr>
      <w:color w:val="605E5C"/>
      <w:shd w:val="clear" w:color="auto" w:fill="E1DFDD"/>
    </w:rPr>
  </w:style>
  <w:style w:type="character" w:customStyle="1" w:styleId="UnresolvedMention6">
    <w:name w:val="Unresolved Mention6"/>
    <w:basedOn w:val="DefaultParagraphFont"/>
    <w:uiPriority w:val="99"/>
    <w:unhideWhenUsed/>
    <w:rsid w:val="00270D43"/>
    <w:rPr>
      <w:color w:val="605E5C"/>
      <w:shd w:val="clear" w:color="auto" w:fill="E1DFDD"/>
    </w:rPr>
  </w:style>
  <w:style w:type="character" w:customStyle="1" w:styleId="Mention6">
    <w:name w:val="Mention6"/>
    <w:basedOn w:val="DefaultParagraphFont"/>
    <w:uiPriority w:val="99"/>
    <w:unhideWhenUsed/>
    <w:rsid w:val="00270D43"/>
    <w:rPr>
      <w:color w:val="2B579A"/>
      <w:shd w:val="clear" w:color="auto" w:fill="E1DFDD"/>
    </w:rPr>
  </w:style>
  <w:style w:type="character" w:customStyle="1" w:styleId="UnresolvedMention60">
    <w:name w:val="Unresolved Mention60"/>
    <w:basedOn w:val="DefaultParagraphFont"/>
    <w:uiPriority w:val="99"/>
    <w:unhideWhenUsed/>
    <w:rsid w:val="00270D43"/>
    <w:rPr>
      <w:color w:val="605E5C"/>
      <w:shd w:val="clear" w:color="auto" w:fill="E1DFDD"/>
    </w:rPr>
  </w:style>
  <w:style w:type="character" w:customStyle="1" w:styleId="UnresolvedMention7">
    <w:name w:val="Unresolved Mention7"/>
    <w:basedOn w:val="DefaultParagraphFont"/>
    <w:uiPriority w:val="99"/>
    <w:unhideWhenUsed/>
    <w:rsid w:val="00270D43"/>
    <w:rPr>
      <w:color w:val="605E5C"/>
      <w:shd w:val="clear" w:color="auto" w:fill="E1DFDD"/>
    </w:rPr>
  </w:style>
  <w:style w:type="character" w:customStyle="1" w:styleId="Mention60">
    <w:name w:val="Mention60"/>
    <w:basedOn w:val="DefaultParagraphFont"/>
    <w:uiPriority w:val="99"/>
    <w:unhideWhenUsed/>
    <w:rsid w:val="00270D43"/>
    <w:rPr>
      <w:color w:val="2B579A"/>
      <w:shd w:val="clear" w:color="auto" w:fill="E1DFDD"/>
    </w:rPr>
  </w:style>
  <w:style w:type="character" w:customStyle="1" w:styleId="Mention7">
    <w:name w:val="Mention7"/>
    <w:basedOn w:val="DefaultParagraphFont"/>
    <w:uiPriority w:val="99"/>
    <w:unhideWhenUsed/>
    <w:rsid w:val="00270D43"/>
    <w:rPr>
      <w:color w:val="2B579A"/>
      <w:shd w:val="clear" w:color="auto" w:fill="E1DFDD"/>
    </w:rPr>
  </w:style>
  <w:style w:type="character" w:customStyle="1" w:styleId="UnresolvedMention600">
    <w:name w:val="Unresolved Mention600"/>
    <w:basedOn w:val="DefaultParagraphFont"/>
    <w:uiPriority w:val="99"/>
    <w:unhideWhenUsed/>
    <w:rsid w:val="00270D43"/>
    <w:rPr>
      <w:color w:val="605E5C"/>
      <w:shd w:val="clear" w:color="auto" w:fill="E1DFDD"/>
    </w:rPr>
  </w:style>
  <w:style w:type="character" w:customStyle="1" w:styleId="Mention600">
    <w:name w:val="Mention600"/>
    <w:basedOn w:val="DefaultParagraphFont"/>
    <w:uiPriority w:val="99"/>
    <w:unhideWhenUsed/>
    <w:rsid w:val="00270D43"/>
    <w:rPr>
      <w:color w:val="2B579A"/>
      <w:shd w:val="clear" w:color="auto" w:fill="E1DFDD"/>
    </w:rPr>
  </w:style>
  <w:style w:type="character" w:customStyle="1" w:styleId="UnresolvedMention6000">
    <w:name w:val="Unresolved Mention6000"/>
    <w:basedOn w:val="DefaultParagraphFont"/>
    <w:uiPriority w:val="99"/>
    <w:unhideWhenUsed/>
    <w:rsid w:val="00270D43"/>
    <w:rPr>
      <w:color w:val="605E5C"/>
      <w:shd w:val="clear" w:color="auto" w:fill="E1DFDD"/>
    </w:rPr>
  </w:style>
  <w:style w:type="character" w:customStyle="1" w:styleId="Mention6000">
    <w:name w:val="Mention6000"/>
    <w:basedOn w:val="DefaultParagraphFont"/>
    <w:uiPriority w:val="99"/>
    <w:unhideWhenUsed/>
    <w:rsid w:val="00270D43"/>
    <w:rPr>
      <w:color w:val="2B579A"/>
      <w:shd w:val="clear" w:color="auto" w:fill="E6E6E6"/>
    </w:rPr>
  </w:style>
  <w:style w:type="character" w:customStyle="1" w:styleId="UnresolvedMention8">
    <w:name w:val="Unresolved Mention8"/>
    <w:basedOn w:val="DefaultParagraphFont"/>
    <w:uiPriority w:val="99"/>
    <w:unhideWhenUsed/>
    <w:rsid w:val="00270D43"/>
    <w:rPr>
      <w:color w:val="605E5C"/>
      <w:shd w:val="clear" w:color="auto" w:fill="E1DFDD"/>
    </w:rPr>
  </w:style>
  <w:style w:type="character" w:customStyle="1" w:styleId="Mention8">
    <w:name w:val="Mention8"/>
    <w:basedOn w:val="DefaultParagraphFont"/>
    <w:uiPriority w:val="99"/>
    <w:unhideWhenUsed/>
    <w:rsid w:val="00270D43"/>
    <w:rPr>
      <w:color w:val="2B579A"/>
      <w:shd w:val="clear" w:color="auto" w:fill="E1DFDD"/>
    </w:rPr>
  </w:style>
  <w:style w:type="character" w:customStyle="1" w:styleId="scxw72124611">
    <w:name w:val="scxw72124611"/>
    <w:basedOn w:val="DefaultParagraphFont"/>
    <w:rsid w:val="00270D43"/>
  </w:style>
  <w:style w:type="character" w:customStyle="1" w:styleId="Mention9">
    <w:name w:val="Mention9"/>
    <w:basedOn w:val="DefaultParagraphFont"/>
    <w:uiPriority w:val="99"/>
    <w:unhideWhenUsed/>
    <w:rsid w:val="00270D43"/>
    <w:rPr>
      <w:color w:val="2B579A"/>
      <w:shd w:val="clear" w:color="auto" w:fill="E1DFDD"/>
    </w:rPr>
  </w:style>
  <w:style w:type="character" w:customStyle="1" w:styleId="Mention90">
    <w:name w:val="Mention90"/>
    <w:basedOn w:val="DefaultParagraphFont"/>
    <w:uiPriority w:val="99"/>
    <w:unhideWhenUsed/>
    <w:rsid w:val="00270D43"/>
    <w:rPr>
      <w:color w:val="2B579A"/>
      <w:shd w:val="clear" w:color="auto" w:fill="E1DFDD"/>
    </w:rPr>
  </w:style>
  <w:style w:type="character" w:customStyle="1" w:styleId="Mention900">
    <w:name w:val="Mention900"/>
    <w:basedOn w:val="DefaultParagraphFont"/>
    <w:uiPriority w:val="99"/>
    <w:unhideWhenUsed/>
    <w:rsid w:val="00270D43"/>
    <w:rPr>
      <w:color w:val="2B579A"/>
      <w:shd w:val="clear" w:color="auto" w:fill="E1DFDD"/>
    </w:rPr>
  </w:style>
  <w:style w:type="character" w:customStyle="1" w:styleId="Mention100">
    <w:name w:val="Mention100"/>
    <w:basedOn w:val="DefaultParagraphFont"/>
    <w:uiPriority w:val="99"/>
    <w:unhideWhenUsed/>
    <w:rsid w:val="00270D43"/>
    <w:rPr>
      <w:color w:val="2B579A"/>
      <w:shd w:val="clear" w:color="auto" w:fill="E1DFDD"/>
    </w:rPr>
  </w:style>
  <w:style w:type="character" w:customStyle="1" w:styleId="Mention1000">
    <w:name w:val="Mention1000"/>
    <w:basedOn w:val="DefaultParagraphFont"/>
    <w:uiPriority w:val="99"/>
    <w:unhideWhenUsed/>
    <w:rsid w:val="00270D43"/>
    <w:rPr>
      <w:color w:val="2B579A"/>
      <w:shd w:val="clear" w:color="auto" w:fill="E1DFDD"/>
    </w:rPr>
  </w:style>
  <w:style w:type="paragraph" w:customStyle="1" w:styleId="P68B1DB1-Normal2">
    <w:name w:val="P68B1DB1-Normal2"/>
    <w:basedOn w:val="Normal"/>
    <w:rsid w:val="00270D43"/>
    <w:pPr>
      <w:spacing w:line="256" w:lineRule="auto"/>
    </w:pPr>
    <w:rPr>
      <w:rFonts w:ascii="Times New Roman" w:hAnsi="Times New Roman" w:cs="Times New Roman"/>
      <w:b/>
      <w:kern w:val="0"/>
      <w:sz w:val="22"/>
      <w:szCs w:val="20"/>
      <w14:ligatures w14:val="none"/>
    </w:rPr>
  </w:style>
  <w:style w:type="character" w:customStyle="1" w:styleId="hwtze">
    <w:name w:val="hwtze"/>
    <w:basedOn w:val="DefaultParagraphFont"/>
    <w:rsid w:val="00270D43"/>
  </w:style>
  <w:style w:type="character" w:customStyle="1" w:styleId="Bodytext1">
    <w:name w:val="Body text|1_"/>
    <w:basedOn w:val="DefaultParagraphFont"/>
    <w:link w:val="Bodytext10"/>
    <w:rsid w:val="00270D43"/>
    <w:rPr>
      <w:rFonts w:ascii="Arial" w:eastAsia="Arial" w:hAnsi="Arial" w:cs="Arial"/>
      <w:sz w:val="20"/>
    </w:rPr>
  </w:style>
  <w:style w:type="paragraph" w:customStyle="1" w:styleId="Bodytext10">
    <w:name w:val="Body text|1"/>
    <w:basedOn w:val="Normal"/>
    <w:link w:val="Bodytext1"/>
    <w:rsid w:val="00270D43"/>
    <w:pPr>
      <w:widowControl w:val="0"/>
      <w:spacing w:after="0" w:line="252" w:lineRule="auto"/>
      <w:ind w:firstLine="360"/>
    </w:pPr>
    <w:rPr>
      <w:rFonts w:ascii="Arial" w:eastAsia="Arial" w:hAnsi="Arial" w:cs="Arial"/>
      <w:sz w:val="20"/>
    </w:rPr>
  </w:style>
  <w:style w:type="character" w:customStyle="1" w:styleId="UnresolvedMention20">
    <w:name w:val="Unresolved Mention20"/>
    <w:basedOn w:val="DefaultParagraphFont"/>
    <w:uiPriority w:val="99"/>
    <w:unhideWhenUsed/>
    <w:rsid w:val="00270D43"/>
    <w:rPr>
      <w:color w:val="605E5C"/>
      <w:shd w:val="clear" w:color="auto" w:fill="E1DFDD"/>
    </w:rPr>
  </w:style>
  <w:style w:type="character" w:customStyle="1" w:styleId="Mention200">
    <w:name w:val="Mention200"/>
    <w:basedOn w:val="DefaultParagraphFont"/>
    <w:uiPriority w:val="99"/>
    <w:unhideWhenUsed/>
    <w:rsid w:val="00270D43"/>
    <w:rPr>
      <w:color w:val="2B579A"/>
      <w:shd w:val="clear" w:color="auto" w:fill="E1DFDD"/>
    </w:rPr>
  </w:style>
  <w:style w:type="character" w:customStyle="1" w:styleId="Mention11">
    <w:name w:val="Mention11"/>
    <w:basedOn w:val="DefaultParagraphFont"/>
    <w:uiPriority w:val="99"/>
    <w:unhideWhenUsed/>
    <w:rsid w:val="00270D43"/>
    <w:rPr>
      <w:color w:val="2B579A"/>
      <w:shd w:val="clear" w:color="auto" w:fill="E1DFDD"/>
    </w:rPr>
  </w:style>
  <w:style w:type="character" w:customStyle="1" w:styleId="Mention110">
    <w:name w:val="Mention110"/>
    <w:basedOn w:val="DefaultParagraphFont"/>
    <w:uiPriority w:val="99"/>
    <w:unhideWhenUsed/>
    <w:rsid w:val="00270D43"/>
    <w:rPr>
      <w:color w:val="2B579A"/>
      <w:shd w:val="clear" w:color="auto" w:fill="E1DFDD"/>
    </w:rPr>
  </w:style>
  <w:style w:type="character" w:customStyle="1" w:styleId="Mention1100">
    <w:name w:val="Mention1100"/>
    <w:basedOn w:val="DefaultParagraphFont"/>
    <w:uiPriority w:val="99"/>
    <w:unhideWhenUsed/>
    <w:rsid w:val="00270D43"/>
    <w:rPr>
      <w:color w:val="2B579A"/>
      <w:shd w:val="clear" w:color="auto" w:fill="E1DFDD"/>
    </w:rPr>
  </w:style>
  <w:style w:type="character" w:customStyle="1" w:styleId="Mention11000">
    <w:name w:val="Mention11000"/>
    <w:basedOn w:val="DefaultParagraphFont"/>
    <w:uiPriority w:val="99"/>
    <w:unhideWhenUsed/>
    <w:rsid w:val="00270D43"/>
    <w:rPr>
      <w:color w:val="2B579A"/>
      <w:shd w:val="clear" w:color="auto" w:fill="E1DFDD"/>
    </w:rPr>
  </w:style>
  <w:style w:type="character" w:customStyle="1" w:styleId="Mention110000">
    <w:name w:val="Mention110000"/>
    <w:basedOn w:val="DefaultParagraphFont"/>
    <w:uiPriority w:val="99"/>
    <w:unhideWhenUsed/>
    <w:rsid w:val="00270D43"/>
    <w:rPr>
      <w:color w:val="2B579A"/>
      <w:shd w:val="clear" w:color="auto" w:fill="E1DFDD"/>
    </w:rPr>
  </w:style>
  <w:style w:type="character" w:customStyle="1" w:styleId="Mention1100000">
    <w:name w:val="Mention1100000"/>
    <w:basedOn w:val="DefaultParagraphFont"/>
    <w:uiPriority w:val="99"/>
    <w:unhideWhenUsed/>
    <w:rsid w:val="00270D43"/>
    <w:rPr>
      <w:color w:val="2B579A"/>
      <w:shd w:val="clear" w:color="auto" w:fill="E1DFDD"/>
    </w:rPr>
  </w:style>
  <w:style w:type="character" w:customStyle="1" w:styleId="Mention12">
    <w:name w:val="Mention12"/>
    <w:basedOn w:val="DefaultParagraphFont"/>
    <w:uiPriority w:val="99"/>
    <w:unhideWhenUsed/>
    <w:rsid w:val="00270D43"/>
    <w:rPr>
      <w:color w:val="2B579A"/>
      <w:shd w:val="clear" w:color="auto" w:fill="E1DFDD"/>
    </w:rPr>
  </w:style>
  <w:style w:type="character" w:customStyle="1" w:styleId="Mention11000000">
    <w:name w:val="Mention11000000"/>
    <w:basedOn w:val="DefaultParagraphFont"/>
    <w:uiPriority w:val="99"/>
    <w:unhideWhenUsed/>
    <w:rsid w:val="00270D43"/>
    <w:rPr>
      <w:color w:val="2B579A"/>
      <w:shd w:val="clear" w:color="auto" w:fill="E1DFDD"/>
    </w:rPr>
  </w:style>
  <w:style w:type="character" w:customStyle="1" w:styleId="Mention110000000">
    <w:name w:val="Mention110000000"/>
    <w:basedOn w:val="DefaultParagraphFont"/>
    <w:uiPriority w:val="99"/>
    <w:unhideWhenUsed/>
    <w:rsid w:val="00270D43"/>
    <w:rPr>
      <w:color w:val="2B579A"/>
      <w:shd w:val="clear" w:color="auto" w:fill="E1DFDD"/>
    </w:rPr>
  </w:style>
  <w:style w:type="character" w:customStyle="1" w:styleId="Mention1100000000">
    <w:name w:val="Mention1100000000"/>
    <w:basedOn w:val="DefaultParagraphFont"/>
    <w:uiPriority w:val="99"/>
    <w:unhideWhenUsed/>
    <w:rsid w:val="00270D43"/>
    <w:rPr>
      <w:color w:val="2B579A"/>
      <w:shd w:val="clear" w:color="auto" w:fill="E1DFDD"/>
    </w:rPr>
  </w:style>
  <w:style w:type="character" w:customStyle="1" w:styleId="Mention11000000000">
    <w:name w:val="Mention11000000000"/>
    <w:basedOn w:val="DefaultParagraphFont"/>
    <w:uiPriority w:val="99"/>
    <w:unhideWhenUsed/>
    <w:rsid w:val="00270D43"/>
    <w:rPr>
      <w:color w:val="2B579A"/>
      <w:shd w:val="clear" w:color="auto" w:fill="E1DFDD"/>
    </w:rPr>
  </w:style>
  <w:style w:type="character" w:customStyle="1" w:styleId="Mention110000000000">
    <w:name w:val="Mention110000000000"/>
    <w:basedOn w:val="DefaultParagraphFont"/>
    <w:uiPriority w:val="99"/>
    <w:unhideWhenUsed/>
    <w:rsid w:val="00270D43"/>
    <w:rPr>
      <w:color w:val="2B579A"/>
      <w:shd w:val="clear" w:color="auto" w:fill="E1DFDD"/>
    </w:rPr>
  </w:style>
  <w:style w:type="character" w:customStyle="1" w:styleId="Mention1100000000000">
    <w:name w:val="Mention1100000000000"/>
    <w:basedOn w:val="DefaultParagraphFont"/>
    <w:uiPriority w:val="99"/>
    <w:unhideWhenUsed/>
    <w:rsid w:val="00270D43"/>
    <w:rPr>
      <w:color w:val="2B579A"/>
      <w:shd w:val="clear" w:color="auto" w:fill="E1DFDD"/>
    </w:rPr>
  </w:style>
  <w:style w:type="character" w:customStyle="1" w:styleId="Mention11000000000000">
    <w:name w:val="Mention11000000000000"/>
    <w:basedOn w:val="DefaultParagraphFont"/>
    <w:uiPriority w:val="99"/>
    <w:unhideWhenUsed/>
    <w:rsid w:val="00270D43"/>
    <w:rPr>
      <w:color w:val="2B579A"/>
      <w:shd w:val="clear" w:color="auto" w:fill="E1DFDD"/>
    </w:rPr>
  </w:style>
  <w:style w:type="character" w:customStyle="1" w:styleId="Mention13">
    <w:name w:val="Mention13"/>
    <w:basedOn w:val="DefaultParagraphFont"/>
    <w:uiPriority w:val="99"/>
    <w:unhideWhenUsed/>
    <w:rsid w:val="00270D43"/>
    <w:rPr>
      <w:color w:val="2B579A"/>
      <w:shd w:val="clear" w:color="auto" w:fill="E1DFDD"/>
    </w:rPr>
  </w:style>
  <w:style w:type="character" w:customStyle="1" w:styleId="FooterSensitivityChar">
    <w:name w:val="Footer Sensitivity Char"/>
    <w:basedOn w:val="DefaultParagraphFont"/>
    <w:link w:val="FooterSensitivity"/>
    <w:rsid w:val="00270D43"/>
    <w:rPr>
      <w:rFonts w:ascii="Times New Roman" w:hAnsi="Times New Roman" w:cs="Times New Roman"/>
      <w:b/>
      <w:sz w:val="32"/>
    </w:rPr>
  </w:style>
  <w:style w:type="character" w:customStyle="1" w:styleId="HeaderSensitivityChar">
    <w:name w:val="Header Sensitivity Char"/>
    <w:basedOn w:val="DefaultParagraphFont"/>
    <w:link w:val="HeaderSensitivity"/>
    <w:rsid w:val="00270D43"/>
    <w:rPr>
      <w:rFonts w:ascii="Times New Roman" w:hAnsi="Times New Roman" w:cs="Times New Roman"/>
      <w:b/>
      <w:sz w:val="32"/>
    </w:rPr>
  </w:style>
  <w:style w:type="character" w:customStyle="1" w:styleId="HeaderSensitivityRightChar">
    <w:name w:val="Header Sensitivity Right Char"/>
    <w:basedOn w:val="DefaultParagraphFont"/>
    <w:link w:val="HeaderSensitivityRight"/>
    <w:rsid w:val="00270D43"/>
    <w:rPr>
      <w:rFonts w:ascii="Times New Roman" w:hAnsi="Times New Roman" w:cs="Times New Roman"/>
      <w:sz w:val="28"/>
    </w:rPr>
  </w:style>
  <w:style w:type="character" w:customStyle="1" w:styleId="Mention14">
    <w:name w:val="Mention14"/>
    <w:basedOn w:val="DefaultParagraphFont"/>
    <w:uiPriority w:val="99"/>
    <w:unhideWhenUsed/>
    <w:rsid w:val="00270D43"/>
    <w:rPr>
      <w:color w:val="2B579A"/>
      <w:shd w:val="clear" w:color="auto" w:fill="E1DFDD"/>
    </w:rPr>
  </w:style>
  <w:style w:type="character" w:customStyle="1" w:styleId="UnresolvedMention9">
    <w:name w:val="Unresolved Mention9"/>
    <w:basedOn w:val="DefaultParagraphFont"/>
    <w:uiPriority w:val="99"/>
    <w:semiHidden/>
    <w:unhideWhenUsed/>
    <w:rsid w:val="00270D43"/>
    <w:rPr>
      <w:color w:val="605E5C"/>
      <w:shd w:val="clear" w:color="auto" w:fill="E1DFDD"/>
    </w:rPr>
  </w:style>
  <w:style w:type="paragraph" w:customStyle="1" w:styleId="TechnicalBlock">
    <w:name w:val="Technical Block"/>
    <w:basedOn w:val="Normal"/>
    <w:link w:val="TechnicalBlockChar"/>
    <w:rsid w:val="00270D43"/>
    <w:pPr>
      <w:spacing w:after="240" w:line="240" w:lineRule="auto"/>
      <w:jc w:val="center"/>
    </w:pPr>
    <w:rPr>
      <w:kern w:val="0"/>
      <w:sz w:val="22"/>
      <w:szCs w:val="22"/>
      <w14:ligatures w14:val="none"/>
    </w:rPr>
  </w:style>
  <w:style w:type="character" w:customStyle="1" w:styleId="TechnicalBlockChar">
    <w:name w:val="Technical Block Char"/>
    <w:basedOn w:val="DefaultParagraphFont"/>
    <w:link w:val="TechnicalBlock"/>
    <w:rsid w:val="00270D43"/>
    <w:rPr>
      <w:kern w:val="0"/>
      <w:sz w:val="22"/>
      <w:szCs w:val="22"/>
      <w14:ligatures w14:val="none"/>
    </w:rPr>
  </w:style>
  <w:style w:type="paragraph" w:customStyle="1" w:styleId="EntText">
    <w:name w:val="EntText"/>
    <w:basedOn w:val="Normal"/>
    <w:rsid w:val="00270D43"/>
    <w:pPr>
      <w:spacing w:before="120" w:after="120" w:line="360" w:lineRule="auto"/>
    </w:pPr>
    <w:rPr>
      <w:rFonts w:ascii="Times New Roman" w:hAnsi="Times New Roman" w:cs="Times New Roman"/>
      <w:kern w:val="0"/>
      <w:szCs w:val="22"/>
      <w14:ligatures w14:val="none"/>
    </w:rPr>
  </w:style>
  <w:style w:type="paragraph" w:customStyle="1" w:styleId="Lignefinal">
    <w:name w:val="Ligne final"/>
    <w:basedOn w:val="Normal"/>
    <w:next w:val="Normal"/>
    <w:rsid w:val="00270D43"/>
    <w:pPr>
      <w:pBdr>
        <w:bottom w:val="single" w:sz="4" w:space="0" w:color="000000"/>
      </w:pBdr>
      <w:spacing w:before="360" w:after="120" w:line="360" w:lineRule="auto"/>
      <w:ind w:left="3400" w:right="3400"/>
      <w:jc w:val="center"/>
    </w:pPr>
    <w:rPr>
      <w:rFonts w:ascii="Times New Roman" w:hAnsi="Times New Roman" w:cs="Times New Roman"/>
      <w:b/>
      <w:kern w:val="0"/>
      <w:szCs w:val="22"/>
      <w14:ligatures w14:val="none"/>
    </w:rPr>
  </w:style>
  <w:style w:type="paragraph" w:customStyle="1" w:styleId="pj">
    <w:name w:val="p.j."/>
    <w:basedOn w:val="Normal"/>
    <w:link w:val="pjChar"/>
    <w:rsid w:val="00270D43"/>
    <w:pPr>
      <w:spacing w:before="1200" w:after="120" w:line="240" w:lineRule="auto"/>
      <w:ind w:left="1440" w:hanging="1440"/>
    </w:pPr>
    <w:rPr>
      <w:rFonts w:ascii="Times New Roman" w:hAnsi="Times New Roman" w:cs="Times New Roman"/>
      <w:kern w:val="0"/>
      <w:sz w:val="22"/>
      <w:szCs w:val="22"/>
      <w14:ligatures w14:val="none"/>
    </w:rPr>
  </w:style>
  <w:style w:type="character" w:customStyle="1" w:styleId="pjChar">
    <w:name w:val="p.j. Char"/>
    <w:basedOn w:val="TechnicalBlockChar"/>
    <w:link w:val="pj"/>
    <w:rsid w:val="00270D43"/>
    <w:rPr>
      <w:rFonts w:ascii="Times New Roman" w:hAnsi="Times New Roman" w:cs="Times New Roman"/>
      <w:kern w:val="0"/>
      <w:sz w:val="22"/>
      <w:szCs w:val="22"/>
      <w14:ligatures w14:val="none"/>
    </w:rPr>
  </w:style>
  <w:style w:type="paragraph" w:customStyle="1" w:styleId="nbbordered">
    <w:name w:val="nb bordered"/>
    <w:basedOn w:val="Normal"/>
    <w:link w:val="nbborderedChar"/>
    <w:rsid w:val="00270D43"/>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kern w:val="0"/>
      <w:sz w:val="22"/>
      <w:szCs w:val="22"/>
      <w14:ligatures w14:val="none"/>
    </w:rPr>
  </w:style>
  <w:style w:type="character" w:customStyle="1" w:styleId="nbborderedChar">
    <w:name w:val="nb bordered Char"/>
    <w:basedOn w:val="TechnicalBlockChar"/>
    <w:link w:val="nbbordered"/>
    <w:rsid w:val="00270D43"/>
    <w:rPr>
      <w:rFonts w:ascii="Times New Roman" w:hAnsi="Times New Roman" w:cs="Times New Roman"/>
      <w:b/>
      <w:kern w:val="0"/>
      <w:sz w:val="22"/>
      <w:szCs w:val="22"/>
      <w14:ligatures w14:val="none"/>
    </w:rPr>
  </w:style>
  <w:style w:type="paragraph" w:customStyle="1" w:styleId="HeaderCouncil">
    <w:name w:val="Header Council"/>
    <w:basedOn w:val="Normal"/>
    <w:link w:val="HeaderCouncilChar"/>
    <w:rsid w:val="00270D43"/>
    <w:pPr>
      <w:spacing w:after="0" w:line="276" w:lineRule="auto"/>
    </w:pPr>
    <w:rPr>
      <w:kern w:val="0"/>
      <w:sz w:val="2"/>
      <w:szCs w:val="22"/>
      <w14:ligatures w14:val="none"/>
    </w:rPr>
  </w:style>
  <w:style w:type="character" w:customStyle="1" w:styleId="HeaderCouncilChar">
    <w:name w:val="Header Council Char"/>
    <w:basedOn w:val="DefaultParagraphFont"/>
    <w:link w:val="HeaderCouncil"/>
    <w:rsid w:val="00270D43"/>
    <w:rPr>
      <w:kern w:val="0"/>
      <w:sz w:val="2"/>
      <w:szCs w:val="22"/>
      <w14:ligatures w14:val="none"/>
    </w:rPr>
  </w:style>
  <w:style w:type="paragraph" w:customStyle="1" w:styleId="HeaderCouncilLarge">
    <w:name w:val="Header Council Large"/>
    <w:basedOn w:val="Normal"/>
    <w:link w:val="HeaderCouncilLargeChar"/>
    <w:rsid w:val="00270D43"/>
    <w:pPr>
      <w:spacing w:after="440" w:line="276" w:lineRule="auto"/>
    </w:pPr>
    <w:rPr>
      <w:kern w:val="0"/>
      <w:sz w:val="2"/>
      <w:szCs w:val="22"/>
      <w14:ligatures w14:val="none"/>
    </w:rPr>
  </w:style>
  <w:style w:type="character" w:customStyle="1" w:styleId="HeaderCouncilLargeChar">
    <w:name w:val="Header Council Large Char"/>
    <w:basedOn w:val="DefaultParagraphFont"/>
    <w:link w:val="HeaderCouncilLarge"/>
    <w:rsid w:val="00270D43"/>
    <w:rPr>
      <w:kern w:val="0"/>
      <w:sz w:val="2"/>
      <w:szCs w:val="22"/>
      <w14:ligatures w14:val="none"/>
    </w:rPr>
  </w:style>
  <w:style w:type="paragraph" w:customStyle="1" w:styleId="FooterText">
    <w:name w:val="Footer Text"/>
    <w:basedOn w:val="Normal"/>
    <w:rsid w:val="00270D43"/>
    <w:pPr>
      <w:spacing w:after="0" w:line="240" w:lineRule="auto"/>
    </w:pPr>
    <w:rPr>
      <w:rFonts w:ascii="Times New Roman" w:eastAsia="Times New Roman" w:hAnsi="Times New Roman" w:cs="Times New Roman"/>
      <w:kern w:val="0"/>
      <w14:ligatures w14:val="none"/>
    </w:rPr>
  </w:style>
  <w:style w:type="character" w:customStyle="1" w:styleId="Mention15">
    <w:name w:val="Mention15"/>
    <w:basedOn w:val="DefaultParagraphFont"/>
    <w:uiPriority w:val="99"/>
    <w:unhideWhenUsed/>
    <w:rsid w:val="00270D43"/>
    <w:rPr>
      <w:color w:val="2B579A"/>
      <w:shd w:val="clear" w:color="auto" w:fill="E1DFDD"/>
    </w:rPr>
  </w:style>
  <w:style w:type="character" w:customStyle="1" w:styleId="UnresolvedMention100">
    <w:name w:val="Unresolved Mention100"/>
    <w:basedOn w:val="DefaultParagraphFont"/>
    <w:uiPriority w:val="99"/>
    <w:semiHidden/>
    <w:unhideWhenUsed/>
    <w:rsid w:val="00270D43"/>
    <w:rPr>
      <w:color w:val="605E5C"/>
      <w:shd w:val="clear" w:color="auto" w:fill="E1DFDD"/>
    </w:rPr>
  </w:style>
  <w:style w:type="character" w:customStyle="1" w:styleId="Mention16">
    <w:name w:val="Mention16"/>
    <w:basedOn w:val="DefaultParagraphFont"/>
    <w:uiPriority w:val="99"/>
    <w:unhideWhenUsed/>
    <w:rsid w:val="00270D43"/>
    <w:rPr>
      <w:color w:val="2B579A"/>
      <w:shd w:val="clear" w:color="auto" w:fill="E1DFDD"/>
    </w:rPr>
  </w:style>
  <w:style w:type="character" w:customStyle="1" w:styleId="Mention17">
    <w:name w:val="Mention17"/>
    <w:basedOn w:val="DefaultParagraphFont"/>
    <w:uiPriority w:val="99"/>
    <w:unhideWhenUsed/>
    <w:rsid w:val="00270D43"/>
    <w:rPr>
      <w:color w:val="2B579A"/>
      <w:shd w:val="clear" w:color="auto" w:fill="E1DFDD"/>
    </w:rPr>
  </w:style>
  <w:style w:type="character" w:customStyle="1" w:styleId="Mention18">
    <w:name w:val="Mention18"/>
    <w:basedOn w:val="DefaultParagraphFont"/>
    <w:uiPriority w:val="99"/>
    <w:unhideWhenUsed/>
    <w:rsid w:val="00270D43"/>
    <w:rPr>
      <w:color w:val="2B579A"/>
      <w:shd w:val="clear" w:color="auto" w:fill="E1DFDD"/>
    </w:rPr>
  </w:style>
  <w:style w:type="character" w:customStyle="1" w:styleId="Mention19">
    <w:name w:val="Mention19"/>
    <w:basedOn w:val="DefaultParagraphFont"/>
    <w:uiPriority w:val="99"/>
    <w:unhideWhenUsed/>
    <w:rsid w:val="00270D43"/>
    <w:rPr>
      <w:color w:val="2B579A"/>
      <w:shd w:val="clear" w:color="auto" w:fill="E1DFDD"/>
    </w:rPr>
  </w:style>
  <w:style w:type="paragraph" w:customStyle="1" w:styleId="TBEntInstit">
    <w:name w:val="TBEntInstit"/>
    <w:basedOn w:val="TechnicalBlockBase"/>
    <w:link w:val="EntInstitChar"/>
    <w:rsid w:val="00270D43"/>
    <w:pPr>
      <w:spacing w:before="0" w:after="60" w:line="240" w:lineRule="auto"/>
      <w:ind w:left="0" w:right="0"/>
      <w:jc w:val="right"/>
    </w:pPr>
    <w:rPr>
      <w:rFonts w:ascii="Arial" w:hAnsi="Arial"/>
      <w:i w:val="0"/>
      <w:dstrike w:val="0"/>
      <w:color w:val="auto"/>
      <w:sz w:val="23"/>
      <w:u w:val="none"/>
    </w:rPr>
  </w:style>
  <w:style w:type="paragraph" w:customStyle="1" w:styleId="TBEntRefer">
    <w:name w:val="TBEntRefer"/>
    <w:basedOn w:val="TechnicalBlockBase"/>
    <w:rsid w:val="00270D43"/>
    <w:pPr>
      <w:spacing w:before="0" w:after="0" w:line="240" w:lineRule="auto"/>
      <w:ind w:left="0" w:right="0"/>
    </w:pPr>
    <w:rPr>
      <w:rFonts w:ascii="Arial" w:hAnsi="Arial"/>
      <w:i w:val="0"/>
      <w:dstrike w:val="0"/>
      <w:color w:val="auto"/>
      <w:sz w:val="23"/>
      <w:u w:val="none"/>
    </w:rPr>
  </w:style>
  <w:style w:type="paragraph" w:customStyle="1" w:styleId="TBEntReferNew">
    <w:name w:val="TBEntReferNew"/>
    <w:basedOn w:val="TechnicalBlockBase"/>
    <w:rsid w:val="00270D43"/>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270D43"/>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270D43"/>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270D43"/>
    <w:pPr>
      <w:spacing w:before="0" w:after="0" w:line="204" w:lineRule="auto"/>
      <w:ind w:left="0" w:right="0"/>
    </w:pPr>
    <w:rPr>
      <w:rFonts w:ascii="Arial" w:hAnsi="Arial"/>
      <w:b w:val="0"/>
      <w:i w:val="0"/>
      <w:dstrike w:val="0"/>
      <w:color w:val="626262"/>
      <w:sz w:val="24"/>
      <w:u w:val="none"/>
    </w:rPr>
  </w:style>
  <w:style w:type="paragraph" w:customStyle="1" w:styleId="TBSousEmbargo">
    <w:name w:val="TBSousEmbargo"/>
    <w:basedOn w:val="TechnicalBlockBase"/>
    <w:qFormat/>
    <w:rsid w:val="00270D43"/>
    <w:pPr>
      <w:spacing w:before="360" w:after="360" w:line="240" w:lineRule="auto"/>
      <w:ind w:left="0" w:right="0"/>
      <w:jc w:val="center"/>
    </w:pPr>
    <w:rPr>
      <w:rFonts w:ascii="Arial" w:hAnsi="Arial"/>
      <w:i w:val="0"/>
      <w:dstrike w:val="0"/>
      <w:color w:val="auto"/>
      <w:sz w:val="23"/>
      <w:szCs w:val="23"/>
      <w:u w:val="double"/>
    </w:rPr>
  </w:style>
  <w:style w:type="character" w:customStyle="1" w:styleId="EntInstitChar">
    <w:name w:val="EntInstit Char"/>
    <w:basedOn w:val="DefaultParagraphFont"/>
    <w:link w:val="TBEntInstit"/>
    <w:rsid w:val="00270D43"/>
    <w:rPr>
      <w:rFonts w:ascii="Arial" w:eastAsia="Times New Roman" w:hAnsi="Arial" w:cs="Arial"/>
      <w:b/>
      <w:kern w:val="0"/>
      <w:sz w:val="23"/>
      <w:szCs w:val="20"/>
      <w:u w:color="606060"/>
      <w14:ligatures w14:val="none"/>
    </w:rPr>
  </w:style>
  <w:style w:type="paragraph" w:customStyle="1" w:styleId="TBDistrbMarkers">
    <w:name w:val="TBDistrbMarkers"/>
    <w:basedOn w:val="TBEntRefer"/>
    <w:qFormat/>
    <w:rsid w:val="00270D43"/>
    <w:pPr>
      <w:tabs>
        <w:tab w:val="left" w:pos="2262"/>
      </w:tabs>
    </w:pPr>
    <w:rPr>
      <w:i/>
      <w:iCs/>
      <w:szCs w:val="23"/>
    </w:rPr>
  </w:style>
  <w:style w:type="paragraph" w:customStyle="1" w:styleId="TBSubjectTable">
    <w:name w:val="TBSubjectTable"/>
    <w:basedOn w:val="TechnicalBlockBase"/>
    <w:rsid w:val="00270D43"/>
    <w:pPr>
      <w:widowControl/>
      <w:spacing w:before="40" w:after="40" w:line="240" w:lineRule="auto"/>
      <w:ind w:left="0" w:right="0"/>
    </w:pPr>
    <w:rPr>
      <w:rFonts w:ascii="Arial" w:hAnsi="Arial"/>
      <w:b w:val="0"/>
      <w:i w:val="0"/>
      <w:dstrike w:val="0"/>
      <w:color w:val="auto"/>
      <w:sz w:val="23"/>
      <w:u w:val="none"/>
    </w:rPr>
  </w:style>
  <w:style w:type="paragraph" w:customStyle="1" w:styleId="TBHeadingTable">
    <w:name w:val="TBHeadingTable"/>
    <w:basedOn w:val="TechnicalBlockBase"/>
    <w:rsid w:val="00270D43"/>
    <w:pPr>
      <w:widowControl/>
      <w:spacing w:before="240" w:after="40" w:line="240" w:lineRule="auto"/>
      <w:ind w:left="0" w:right="0"/>
    </w:pPr>
    <w:rPr>
      <w:rFonts w:ascii="Arial" w:hAnsi="Arial"/>
      <w:i w:val="0"/>
      <w:dstrike w:val="0"/>
      <w:color w:val="auto"/>
      <w:sz w:val="23"/>
      <w:u w:val="none"/>
    </w:rPr>
  </w:style>
  <w:style w:type="paragraph" w:customStyle="1" w:styleId="TBSubjectText">
    <w:name w:val="TBSubjectText"/>
    <w:basedOn w:val="TechnicalBlockBase"/>
    <w:qFormat/>
    <w:rsid w:val="00270D43"/>
    <w:pPr>
      <w:widowControl/>
      <w:spacing w:before="40" w:after="40" w:line="240" w:lineRule="auto"/>
      <w:ind w:left="0" w:right="0"/>
    </w:pPr>
    <w:rPr>
      <w:rFonts w:ascii="Arial" w:hAnsi="Arial"/>
      <w:b w:val="0"/>
      <w:i w:val="0"/>
      <w:dstrike w:val="0"/>
      <w:color w:val="auto"/>
      <w:sz w:val="23"/>
      <w:u w:val="none"/>
    </w:rPr>
  </w:style>
  <w:style w:type="paragraph" w:customStyle="1" w:styleId="TechnicalBlockBase">
    <w:name w:val="TechnicalBlockBase"/>
    <w:link w:val="TechnicalBlockBaseChar"/>
    <w:rsid w:val="00270D43"/>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14:ligatures w14:val="none"/>
    </w:rPr>
  </w:style>
  <w:style w:type="character" w:customStyle="1" w:styleId="TechnicalBlockBaseChar">
    <w:name w:val="TechnicalBlockBase Char"/>
    <w:basedOn w:val="EntInstitChar"/>
    <w:link w:val="TechnicalBlockBase"/>
    <w:rsid w:val="00270D43"/>
    <w:rPr>
      <w:rFonts w:ascii="Arial New Roman" w:eastAsia="Times New Roman" w:hAnsi="Arial New Roman" w:cs="Arial"/>
      <w:b/>
      <w:i/>
      <w:dstrike/>
      <w:color w:val="606060"/>
      <w:kern w:val="0"/>
      <w:sz w:val="10"/>
      <w:szCs w:val="20"/>
      <w:u w:val="words" w:color="606060"/>
      <w14:ligatures w14:val="none"/>
    </w:rPr>
  </w:style>
  <w:style w:type="character" w:customStyle="1" w:styleId="Mention">
    <w:name w:val="Mention"/>
    <w:basedOn w:val="DefaultParagraphFont"/>
    <w:uiPriority w:val="99"/>
    <w:unhideWhenUsed/>
    <w:rsid w:val="006C2777"/>
    <w:rPr>
      <w:color w:val="2B579A"/>
      <w:shd w:val="clear" w:color="auto" w:fill="E1DFDD"/>
    </w:rPr>
  </w:style>
  <w:style w:type="character" w:customStyle="1" w:styleId="UnresolvedMention">
    <w:name w:val="Unresolved Mention"/>
    <w:basedOn w:val="DefaultParagraphFont"/>
    <w:uiPriority w:val="99"/>
    <w:semiHidden/>
    <w:unhideWhenUsed/>
    <w:rsid w:val="0027054C"/>
    <w:rPr>
      <w:color w:val="605E5C"/>
      <w:shd w:val="clear" w:color="auto" w:fill="E1DFDD"/>
    </w:rPr>
  </w:style>
  <w:style w:type="paragraph" w:customStyle="1" w:styleId="P68B1DB1-Normal1">
    <w:name w:val="P68B1DB1-Normal1"/>
    <w:basedOn w:val="Normal"/>
    <w:rPr>
      <w:kern w:val="0"/>
      <w:u w:val="single"/>
      <w14:ligatures w14:val="none"/>
    </w:rPr>
  </w:style>
  <w:style w:type="paragraph" w:customStyle="1" w:styleId="P68B1DB1-Normal4">
    <w:name w:val="P68B1DB1-Normal4"/>
    <w:basedOn w:val="Normal"/>
    <w:rPr>
      <w:rFonts w:ascii="Times New Roman" w:eastAsia="Calibri" w:hAnsi="Times New Roman" w:cs="Arial"/>
      <w:b/>
      <w:kern w:val="0"/>
      <w:sz w:val="28"/>
      <w14:ligatures w14:val="none"/>
    </w:rPr>
  </w:style>
  <w:style w:type="paragraph" w:customStyle="1" w:styleId="P68B1DB1-Normal5">
    <w:name w:val="P68B1DB1-Normal5"/>
    <w:basedOn w:val="Normal"/>
    <w:rPr>
      <w:rFonts w:ascii="Times New Roman" w:eastAsia="Calibri" w:hAnsi="Times New Roman" w:cs="Symbol"/>
      <w:b/>
      <w:smallCaps/>
      <w:kern w:val="0"/>
      <w:sz w:val="28"/>
      <w14:ligatures w14:val="none"/>
    </w:rPr>
  </w:style>
  <w:style w:type="paragraph" w:customStyle="1" w:styleId="P68B1DB1-Normal6">
    <w:name w:val="P68B1DB1-Normal6"/>
    <w:basedOn w:val="Normal"/>
    <w:rPr>
      <w:kern w:val="0"/>
      <w14:ligatures w14:val="none"/>
    </w:rPr>
  </w:style>
  <w:style w:type="paragraph" w:customStyle="1" w:styleId="P68B1DB1-Normal7">
    <w:name w:val="P68B1DB1-Normal7"/>
    <w:basedOn w:val="Normal"/>
    <w:rPr>
      <w:rFonts w:ascii="Times New Roman" w:eastAsia="Calibri" w:hAnsi="Times New Roman" w:cs="Arial"/>
      <w:kern w:val="0"/>
      <w14:ligatures w14:val="none"/>
    </w:rPr>
  </w:style>
  <w:style w:type="paragraph" w:customStyle="1" w:styleId="P68B1DB1-Normal8">
    <w:name w:val="P68B1DB1-Normal8"/>
    <w:basedOn w:val="Normal"/>
    <w:rPr>
      <w:rFonts w:ascii="Times New Roman" w:eastAsia="Calibri" w:hAnsi="Times New Roman" w:cs="Arial"/>
      <w:kern w:val="0"/>
      <w:u w:val="single"/>
      <w14:ligatures w14:val="none"/>
    </w:rPr>
  </w:style>
  <w:style w:type="paragraph" w:customStyle="1" w:styleId="P68B1DB1-Normal12">
    <w:name w:val="P68B1DB1-Normal12"/>
    <w:basedOn w:val="Normal"/>
    <w:rPr>
      <w:rFonts w:ascii="Times New Roman" w:eastAsia="Times New Roman" w:hAnsi="Times New Roman" w:cs="Times New Roman"/>
    </w:rPr>
  </w:style>
  <w:style w:type="paragraph" w:customStyle="1" w:styleId="P68B1DB1-Normal13">
    <w:name w:val="P68B1DB1-Normal13"/>
    <w:basedOn w:val="Normal"/>
    <w:rPr>
      <w:rFonts w:ascii="Times New Roman" w:eastAsia="Calibri" w:hAnsi="Times New Roman" w:cs="Arial"/>
    </w:rPr>
  </w:style>
  <w:style w:type="paragraph" w:customStyle="1" w:styleId="P68B1DB1-Normal14">
    <w:name w:val="P68B1DB1-Normal14"/>
    <w:basedOn w:val="Normal"/>
    <w:rPr>
      <w:rFonts w:ascii="Times New Roman" w:eastAsia="Calibri" w:hAnsi="Times New Roman" w:cs="Times New Roman"/>
    </w:rPr>
  </w:style>
  <w:style w:type="paragraph" w:customStyle="1" w:styleId="P68B1DB1-Normal15">
    <w:name w:val="P68B1DB1-Normal15"/>
    <w:basedOn w:val="Normal"/>
    <w:rPr>
      <w:rFonts w:ascii="Times New Roman" w:eastAsia="Calibri" w:hAnsi="Times New Roman" w:cs="Times New Roman"/>
      <w:kern w:val="0"/>
      <w14:ligatures w14:val="none"/>
    </w:rPr>
  </w:style>
  <w:style w:type="paragraph" w:customStyle="1" w:styleId="P68B1DB1-Normal16">
    <w:name w:val="P68B1DB1-Normal16"/>
    <w:basedOn w:val="Normal"/>
    <w:rPr>
      <w:rFonts w:ascii="Times New Roman" w:eastAsia="Calibri" w:hAnsi="Times New Roman"/>
      <w:kern w:val="0"/>
      <w14:ligatures w14:val="none"/>
    </w:rPr>
  </w:style>
  <w:style w:type="paragraph" w:customStyle="1" w:styleId="P68B1DB1-Normal17">
    <w:name w:val="P68B1DB1-Normal17"/>
    <w:basedOn w:val="Normal"/>
    <w:rPr>
      <w:rFonts w:ascii="Times New Roman" w:eastAsia="Calibri" w:hAnsi="Times New Roman" w:cs="Arial"/>
      <w:b/>
      <w:kern w:val="0"/>
      <w:sz w:val="18"/>
      <w14:ligatures w14:val="none"/>
    </w:rPr>
  </w:style>
  <w:style w:type="paragraph" w:customStyle="1" w:styleId="P68B1DB1-Normal18">
    <w:name w:val="P68B1DB1-Normal18"/>
    <w:basedOn w:val="Normal"/>
    <w:rPr>
      <w:rFonts w:ascii="Times New Roman" w:eastAsia="Calibri" w:hAnsi="Times New Roman" w:cs="Arial"/>
      <w:kern w:val="0"/>
      <w:sz w:val="18"/>
      <w14:ligatures w14:val="none"/>
    </w:rPr>
  </w:style>
  <w:style w:type="paragraph" w:customStyle="1" w:styleId="P68B1DB1-Normal19">
    <w:name w:val="P68B1DB1-Normal19"/>
    <w:basedOn w:val="Normal"/>
    <w:rPr>
      <w:rFonts w:ascii="Times New Roman" w:eastAsia="Calibri" w:hAnsi="Times New Roman" w:cs="Times New Roman"/>
      <w:kern w:val="0"/>
      <w:sz w:val="18"/>
      <w:szCs w:val="18"/>
      <w14:ligatures w14:val="none"/>
    </w:rPr>
  </w:style>
  <w:style w:type="paragraph" w:customStyle="1" w:styleId="P68B1DB1-Normal20">
    <w:name w:val="P68B1DB1-Normal20"/>
    <w:basedOn w:val="Normal"/>
    <w:rPr>
      <w:rFonts w:ascii="Times New Roman" w:eastAsia="Calibri" w:hAnsi="Times New Roman" w:cs="Arial"/>
      <w:sz w:val="18"/>
      <w:szCs w:val="18"/>
    </w:rPr>
  </w:style>
  <w:style w:type="paragraph" w:customStyle="1" w:styleId="P68B1DB1-Normal21">
    <w:name w:val="P68B1DB1-Normal21"/>
    <w:basedOn w:val="Normal"/>
    <w:rPr>
      <w:rFonts w:ascii="Times New Roman" w:eastAsia="Calibri" w:hAnsi="Times New Roman" w:cs="Times New Roman"/>
      <w:sz w:val="18"/>
      <w:szCs w:val="18"/>
    </w:rPr>
  </w:style>
  <w:style w:type="paragraph" w:customStyle="1" w:styleId="P68B1DB1-Normal22">
    <w:name w:val="P68B1DB1-Normal22"/>
    <w:basedOn w:val="Normal"/>
    <w:rPr>
      <w:rFonts w:ascii="Times New Roman" w:eastAsia="Calibri" w:hAnsi="Times New Roman"/>
      <w:kern w:val="0"/>
      <w:sz w:val="18"/>
      <w:szCs w:val="18"/>
      <w14:ligatures w14:val="none"/>
    </w:rPr>
  </w:style>
  <w:style w:type="paragraph" w:customStyle="1" w:styleId="P68B1DB1-Normal23">
    <w:name w:val="P68B1DB1-Normal23"/>
    <w:basedOn w:val="Normal"/>
    <w:rPr>
      <w:rFonts w:ascii="Times New Roman" w:hAnsi="Times New Roman"/>
      <w:sz w:val="18"/>
    </w:rPr>
  </w:style>
  <w:style w:type="paragraph" w:customStyle="1" w:styleId="P68B1DB1-Normal24">
    <w:name w:val="P68B1DB1-Normal24"/>
    <w:basedOn w:val="Normal"/>
    <w:rPr>
      <w:rFonts w:ascii="Times New Roman" w:hAnsi="Times New Roman"/>
      <w:sz w:val="18"/>
      <w:szCs w:val="18"/>
    </w:rPr>
  </w:style>
  <w:style w:type="paragraph" w:customStyle="1" w:styleId="P68B1DB1-Normal25">
    <w:name w:val="P68B1DB1-Normal25"/>
    <w:basedOn w:val="Normal"/>
    <w:rPr>
      <w:sz w:val="18"/>
      <w:szCs w:val="18"/>
    </w:rPr>
  </w:style>
  <w:style w:type="paragraph" w:customStyle="1" w:styleId="P68B1DB1-Normal26">
    <w:name w:val="P68B1DB1-Normal26"/>
    <w:basedOn w:val="Normal"/>
    <w:rPr>
      <w:rFonts w:ascii="Times New Roman" w:eastAsia="Calibri" w:hAnsi="Times New Roman" w:cs="Times New Roman"/>
      <w:sz w:val="18"/>
      <w:szCs w:val="18"/>
      <w14:ligatures w14:val="none"/>
    </w:rPr>
  </w:style>
  <w:style w:type="paragraph" w:customStyle="1" w:styleId="P68B1DB1-Normal27">
    <w:name w:val="P68B1DB1-Normal27"/>
    <w:basedOn w:val="Normal"/>
    <w:rPr>
      <w:sz w:val="18"/>
      <w14:ligatures w14:val="none"/>
    </w:rPr>
  </w:style>
  <w:style w:type="paragraph" w:customStyle="1" w:styleId="P68B1DB1-Normal28">
    <w:name w:val="P68B1DB1-Normal28"/>
    <w:basedOn w:val="Normal"/>
    <w:rPr>
      <w:rFonts w:ascii="Times New Roman" w:hAnsi="Times New Roman"/>
      <w:b/>
      <w:sz w:val="18"/>
    </w:rPr>
  </w:style>
  <w:style w:type="paragraph" w:customStyle="1" w:styleId="P68B1DB1-Normal29">
    <w:name w:val="P68B1DB1-Normal29"/>
    <w:basedOn w:val="Normal"/>
    <w:rPr>
      <w:rFonts w:ascii="Times New Roman" w:hAnsi="Times New Roman"/>
    </w:rPr>
  </w:style>
  <w:style w:type="paragraph" w:customStyle="1" w:styleId="P68B1DB1-Normal30">
    <w:name w:val="P68B1DB1-Normal30"/>
    <w:basedOn w:val="Normal"/>
    <w:rPr>
      <w:rFonts w:ascii="Times New Roman" w:hAnsi="Times New Roman"/>
      <w:u w:val="single"/>
    </w:rPr>
  </w:style>
  <w:style w:type="paragraph" w:customStyle="1" w:styleId="P68B1DB1-xmsonormal31">
    <w:name w:val="P68B1DB1-xmsonormal31"/>
    <w:basedOn w:val="xmsonormal"/>
    <w:rPr>
      <w:rFonts w:ascii="Times New Roman" w:hAnsi="Times New Roman"/>
      <w:sz w:val="24"/>
    </w:rPr>
  </w:style>
  <w:style w:type="paragraph" w:customStyle="1" w:styleId="P68B1DB1-Normal32">
    <w:name w:val="P68B1DB1-Normal32"/>
    <w:basedOn w:val="Normal"/>
    <w:rPr>
      <w:rFonts w:ascii="Times New Roman" w:eastAsia="MS Mincho" w:hAnsi="Times New Roman" w:cs="Times New Roman"/>
      <w:sz w:val="18"/>
      <w:szCs w:val="18"/>
    </w:rPr>
  </w:style>
  <w:style w:type="paragraph" w:customStyle="1" w:styleId="P68B1DB1-Normal33">
    <w:name w:val="P68B1DB1-Normal33"/>
    <w:basedOn w:val="Normal"/>
    <w:rPr>
      <w:rFonts w:ascii="Times New Roman" w:hAnsi="Times New Roman"/>
      <w:b/>
      <w:u w:val="single"/>
    </w:rPr>
  </w:style>
  <w:style w:type="paragraph" w:customStyle="1" w:styleId="P68B1DB1-ListParagraph34">
    <w:name w:val="P68B1DB1-ListParagraph34"/>
    <w:basedOn w:val="ListParagraph"/>
    <w:rPr>
      <w:rFonts w:ascii="Times New Roman" w:hAnsi="Times New Roman"/>
    </w:rPr>
  </w:style>
  <w:style w:type="paragraph" w:customStyle="1" w:styleId="P68B1DB1-LegalNumPar335">
    <w:name w:val="P68B1DB1-LegalNumPar335"/>
    <w:basedOn w:val="LegalNumPar3"/>
    <w:rPr>
      <w:rFonts w:ascii="Times New Roman" w:hAnsi="Times New Roman"/>
      <w:sz w:val="24"/>
    </w:rPr>
  </w:style>
  <w:style w:type="paragraph" w:customStyle="1" w:styleId="P68B1DB1-Normal36">
    <w:name w:val="P68B1DB1-Normal36"/>
    <w:basedOn w:val="Normal"/>
    <w:rPr>
      <w:rFonts w:ascii="Times New Roman" w:hAnsi="Times New Roman"/>
      <w:i/>
    </w:rPr>
  </w:style>
  <w:style w:type="paragraph" w:customStyle="1" w:styleId="P68B1DB1-Normal37">
    <w:name w:val="P68B1DB1-Normal37"/>
    <w:basedOn w:val="Normal"/>
    <w:rPr>
      <w:sz w:val="18"/>
    </w:rPr>
  </w:style>
  <w:style w:type="paragraph" w:customStyle="1" w:styleId="P68B1DB1-Text138">
    <w:name w:val="P68B1DB1-Text138"/>
    <w:basedOn w:val="Text1"/>
    <w:rPr>
      <w:rFonts w:ascii="Times New Roman" w:hAnsi="Times New Roman" w:cs="Times New Roman"/>
    </w:rPr>
  </w:style>
  <w:style w:type="paragraph" w:customStyle="1" w:styleId="P68B1DB1-Text139">
    <w:name w:val="P68B1DB1-Text139"/>
    <w:basedOn w:val="Text1"/>
    <w:rPr>
      <w:rFonts w:ascii="Times New Roman" w:hAnsi="Times New Roman"/>
    </w:rPr>
  </w:style>
  <w:style w:type="paragraph" w:customStyle="1" w:styleId="P68B1DB1-Text140">
    <w:name w:val="P68B1DB1-Text140"/>
    <w:basedOn w:val="Text1"/>
    <w:rPr>
      <w:rFonts w:ascii="Times New Roman" w:hAnsi="Times New Roman" w:cs="Times New Roman"/>
      <w:b/>
    </w:rPr>
  </w:style>
  <w:style w:type="paragraph" w:customStyle="1" w:styleId="P68B1DB1-Normal41">
    <w:name w:val="P68B1DB1-Normal41"/>
    <w:basedOn w:val="Normal"/>
    <w:rPr>
      <w:rFonts w:ascii="Times New Roman" w:eastAsia="Times New Roman" w:hAnsi="Times New Roman" w:cs="Times New Roman"/>
      <w:sz w:val="18"/>
      <w:szCs w:val="18"/>
    </w:rPr>
  </w:style>
  <w:style w:type="paragraph" w:customStyle="1" w:styleId="P68B1DB1-Normal42">
    <w:name w:val="P68B1DB1-Normal42"/>
    <w:basedOn w:val="Normal"/>
    <w:rPr>
      <w:rFonts w:ascii="Times New Roman" w:eastAsia="Times New Roman" w:hAnsi="Times New Roman" w:cs="Times New Roman"/>
      <w:color w:val="000000" w:themeColor="text1"/>
    </w:rPr>
  </w:style>
  <w:style w:type="paragraph" w:customStyle="1" w:styleId="P68B1DB1-Normal43">
    <w:name w:val="P68B1DB1-Normal43"/>
    <w:basedOn w:val="Normal"/>
    <w:rPr>
      <w:rFonts w:ascii="Times New Roman" w:hAnsi="Times New Roman" w:cs="Times New Roman"/>
      <w:sz w:val="18"/>
      <w:szCs w:val="18"/>
    </w:rPr>
  </w:style>
  <w:style w:type="paragraph" w:customStyle="1" w:styleId="P68B1DB1-ListParagraph44">
    <w:name w:val="P68B1DB1-ListParagraph44"/>
    <w:basedOn w:val="ListParagraph"/>
    <w:rPr>
      <w:rFonts w:ascii="Times New Roman" w:hAnsi="Times New Roman"/>
      <w:sz w:val="18"/>
    </w:rPr>
  </w:style>
  <w:style w:type="paragraph" w:customStyle="1" w:styleId="P68B1DB1-ListParagraph45">
    <w:name w:val="P68B1DB1-ListParagraph45"/>
    <w:basedOn w:val="ListParagraph"/>
    <w:rPr>
      <w:rFonts w:ascii="Times New Roman" w:eastAsia="Times New Roman" w:hAnsi="Times New Roman" w:cs="Times New Roman"/>
      <w:sz w:val="18"/>
      <w:szCs w:val="18"/>
    </w:rPr>
  </w:style>
  <w:style w:type="paragraph" w:customStyle="1" w:styleId="P68B1DB1-Normal46">
    <w:name w:val="P68B1DB1-Normal46"/>
    <w:basedOn w:val="Normal"/>
    <w:rPr>
      <w:rFonts w:ascii="Times New Roman" w:eastAsia="Calibri" w:hAnsi="Times New Roman" w:cs="Arial"/>
      <w:sz w:val="18"/>
    </w:rPr>
  </w:style>
  <w:style w:type="paragraph" w:customStyle="1" w:styleId="P68B1DB1-Normal47">
    <w:name w:val="P68B1DB1-Normal47"/>
    <w:basedOn w:val="Normal"/>
    <w:rPr>
      <w:rFonts w:ascii="Times New Roman" w:eastAsia="Calibri" w:hAnsi="Times New Roman" w:cs="Arial"/>
      <w:kern w:val="0"/>
      <w:sz w:val="18"/>
      <w:szCs w:val="18"/>
      <w14:ligatures w14:val="none"/>
    </w:rPr>
  </w:style>
  <w:style w:type="paragraph" w:customStyle="1" w:styleId="P68B1DB1-Normal48">
    <w:name w:val="P68B1DB1-Normal48"/>
    <w:basedOn w:val="Normal"/>
    <w:rPr>
      <w:rFonts w:ascii="Times New Roman" w:eastAsia="Calibri" w:hAnsi="Times New Roman" w:cs="Arial"/>
      <w:kern w:val="0"/>
      <w:shd w:val="clear" w:color="auto" w:fill="FFFFFF"/>
      <w14:ligatures w14:val="none"/>
    </w:rPr>
  </w:style>
  <w:style w:type="paragraph" w:customStyle="1" w:styleId="P68B1DB1-Normal49">
    <w:name w:val="P68B1DB1-Normal49"/>
    <w:basedOn w:val="Normal"/>
    <w:rPr>
      <w:rFonts w:ascii="Times New Roman" w:eastAsia="Calibri" w:hAnsi="Times New Roman" w:cs="Arial"/>
      <w:kern w:val="0"/>
      <w:u w:val="single"/>
      <w:shd w:val="clear" w:color="auto" w:fill="FFFFFF"/>
      <w14:ligatures w14:val="none"/>
    </w:rPr>
  </w:style>
  <w:style w:type="paragraph" w:customStyle="1" w:styleId="P68B1DB1-Normal50">
    <w:name w:val="P68B1DB1-Normal50"/>
    <w:basedOn w:val="Normal"/>
    <w:rPr>
      <w:rFonts w:ascii="Times New Roman" w:eastAsia="Symbol" w:hAnsi="Times New Roman" w:cs="Times New Roman"/>
      <w:kern w:val="0"/>
      <w:sz w:val="18"/>
      <w:szCs w:val="18"/>
      <w14:ligatures w14:val="none"/>
    </w:rPr>
  </w:style>
  <w:style w:type="paragraph" w:customStyle="1" w:styleId="P68B1DB1-Normal51">
    <w:name w:val="P68B1DB1-Normal51"/>
    <w:basedOn w:val="Normal"/>
    <w:rPr>
      <w:rFonts w:ascii="Times New Roman" w:eastAsia="Symbol" w:hAnsi="Times New Roman" w:cs="Times New Roman"/>
      <w:sz w:val="18"/>
      <w:szCs w:val="18"/>
    </w:rPr>
  </w:style>
  <w:style w:type="paragraph" w:customStyle="1" w:styleId="P68B1DB1-Normal52">
    <w:name w:val="P68B1DB1-Normal52"/>
    <w:basedOn w:val="Normal"/>
    <w:rPr>
      <w:rFonts w:ascii="Times New Roman" w:eastAsia="Calibri" w:hAnsi="Times New Roman" w:cs="Symbol"/>
      <w:b/>
      <w:smallCaps/>
      <w:sz w:val="28"/>
    </w:rPr>
  </w:style>
  <w:style w:type="paragraph" w:customStyle="1" w:styleId="P68B1DB1-ListParagraph53">
    <w:name w:val="P68B1DB1-ListParagraph53"/>
    <w:basedOn w:val="ListParagraph"/>
    <w:rPr>
      <w:rFonts w:ascii="Times New Roman" w:hAnsi="Times New Roman"/>
      <w:sz w:val="18"/>
      <w:szCs w:val="18"/>
    </w:rPr>
  </w:style>
  <w:style w:type="paragraph" w:customStyle="1" w:styleId="P68B1DB1-paragraph54">
    <w:name w:val="P68B1DB1-paragraph54"/>
    <w:basedOn w:val="paragraph"/>
    <w:rPr>
      <w:rFonts w:ascii="Times New Roman" w:hAnsi="Times New Roman"/>
    </w:rPr>
  </w:style>
  <w:style w:type="paragraph" w:customStyle="1" w:styleId="P68B1DB1-paragraph55">
    <w:name w:val="P68B1DB1-paragraph55"/>
    <w:basedOn w:val="paragraph"/>
    <w:rPr>
      <w:rFonts w:ascii="Times New Roman" w:hAnsi="Times New Roman" w:cs="Times New Roman"/>
    </w:rPr>
  </w:style>
  <w:style w:type="paragraph" w:customStyle="1" w:styleId="P68B1DB1-paragraph56">
    <w:name w:val="P68B1DB1-paragraph56"/>
    <w:basedOn w:val="paragraph"/>
    <w:rPr>
      <w:rFonts w:ascii="Times New Roman" w:hAnsi="Times New Roman"/>
      <w:u w:val="single"/>
    </w:rPr>
  </w:style>
  <w:style w:type="paragraph" w:customStyle="1" w:styleId="P68B1DB1-Normal57">
    <w:name w:val="P68B1DB1-Normal57"/>
    <w:basedOn w:val="Normal"/>
    <w:rPr>
      <w:rFonts w:ascii="Times New Roman" w:hAnsi="Times New Roman"/>
      <w:color w:val="000000" w:themeColor="text1"/>
      <w:sz w:val="18"/>
      <w:szCs w:val="18"/>
    </w:rPr>
  </w:style>
  <w:style w:type="paragraph" w:customStyle="1" w:styleId="P68B1DB1-ListParagraph58">
    <w:name w:val="P68B1DB1-ListParagraph58"/>
    <w:basedOn w:val="ListParagraph"/>
    <w:rPr>
      <w:rFonts w:ascii="Times New Roman" w:hAnsi="Times New Roman" w:cs="Times New Roman"/>
      <w:sz w:val="18"/>
      <w:szCs w:val="18"/>
    </w:rPr>
  </w:style>
  <w:style w:type="paragraph" w:customStyle="1" w:styleId="P68B1DB1-Normal59">
    <w:name w:val="P68B1DB1-Normal59"/>
    <w:basedOn w:val="Normal"/>
    <w:rPr>
      <w:rFonts w:ascii="Times New Roman" w:hAnsi="Times New Roman" w:cs="Times New Roman"/>
      <w:sz w:val="20"/>
      <w:szCs w:val="20"/>
    </w:rPr>
  </w:style>
  <w:style w:type="paragraph" w:customStyle="1" w:styleId="P68B1DB1-Normal60">
    <w:name w:val="P68B1DB1-Normal60"/>
    <w:basedOn w:val="Normal"/>
    <w:rPr>
      <w:rFonts w:ascii="Times New Roman" w:eastAsia="Calibri" w:hAnsi="Times New Roman" w:cs="Symbol"/>
      <w:kern w:val="0"/>
      <w14:ligatures w14:val="none"/>
    </w:rPr>
  </w:style>
  <w:style w:type="paragraph" w:customStyle="1" w:styleId="P68B1DB1-Normal61">
    <w:name w:val="P68B1DB1-Normal61"/>
    <w:basedOn w:val="Normal"/>
    <w:rPr>
      <w:rFonts w:ascii="Times New Roman" w:eastAsia="Calibri" w:hAnsi="Times New Roman" w:cs="Symbol"/>
      <w:kern w:val="0"/>
      <w:u w:val="single"/>
      <w14:ligatures w14:val="none"/>
    </w:rPr>
  </w:style>
  <w:style w:type="paragraph" w:customStyle="1" w:styleId="P68B1DB1-Normal62">
    <w:name w:val="P68B1DB1-Normal62"/>
    <w:basedOn w:val="Normal"/>
    <w:rPr>
      <w:rFonts w:ascii="Times New Roman" w:eastAsia="Calibri" w:hAnsi="Times New Roman" w:cs="Symbol"/>
    </w:rPr>
  </w:style>
  <w:style w:type="paragraph" w:customStyle="1" w:styleId="P68B1DB1-Normal63">
    <w:name w:val="P68B1DB1-Normal63"/>
    <w:basedOn w:val="Normal"/>
    <w:rPr>
      <w:rFonts w:ascii="Times New Roman" w:eastAsia="Times New Roman" w:hAnsi="Times New Roman" w:cs="Times New Roman"/>
      <w:u w:val="single"/>
    </w:rPr>
  </w:style>
  <w:style w:type="paragraph" w:customStyle="1" w:styleId="P68B1DB1-Normal64">
    <w:name w:val="P68B1DB1-Normal64"/>
    <w:basedOn w:val="Normal"/>
    <w:rPr>
      <w:u w:val="single"/>
    </w:rPr>
  </w:style>
  <w:style w:type="paragraph" w:customStyle="1" w:styleId="P68B1DB1-Normal65">
    <w:name w:val="P68B1DB1-Normal65"/>
    <w:basedOn w:val="Normal"/>
    <w:rPr>
      <w:rFonts w:ascii="Times New Roman" w:eastAsia="Times New Roman" w:hAnsi="Times New Roman" w:cs="Times New Roman"/>
      <w:color w:val="000000"/>
      <w:kern w:val="0"/>
      <w14:ligatures w14:val="none"/>
    </w:rPr>
  </w:style>
  <w:style w:type="paragraph" w:customStyle="1" w:styleId="P68B1DB1-Normal66">
    <w:name w:val="P68B1DB1-Normal66"/>
    <w:basedOn w:val="Normal"/>
    <w:rPr>
      <w:rFonts w:ascii="Times New Roman" w:eastAsia="Calibri" w:hAnsi="Times New Roman" w:cs="Times New Roman"/>
      <w:u w:val="single"/>
    </w:rPr>
  </w:style>
  <w:style w:type="paragraph" w:customStyle="1" w:styleId="P68B1DB1-Normal67">
    <w:name w:val="P68B1DB1-Normal67"/>
    <w:basedOn w:val="Normal"/>
    <w:rPr>
      <w:rFonts w:ascii="Times New Roman" w:hAnsi="Times New Roman" w:cs="Times New Roman"/>
      <w:u w:val="single"/>
    </w:rPr>
  </w:style>
  <w:style w:type="paragraph" w:customStyle="1" w:styleId="P68B1DB1-LegalNumPar268">
    <w:name w:val="P68B1DB1-LegalNumPar268"/>
    <w:basedOn w:val="LegalNumPar2"/>
    <w:rPr>
      <w:rFonts w:ascii="Times New Roman" w:hAnsi="Times New Roman" w:cs="Times New Roman"/>
      <w:sz w:val="24"/>
      <w:szCs w:val="24"/>
    </w:rPr>
  </w:style>
  <w:style w:type="paragraph" w:customStyle="1" w:styleId="P68B1DB1-Normal69">
    <w:name w:val="P68B1DB1-Normal69"/>
    <w:basedOn w:val="Normal"/>
    <w:rPr>
      <w:b/>
      <w:kern w:val="0"/>
      <w:szCs w:val="26"/>
      <w14:ligatures w14:val="none"/>
    </w:rPr>
  </w:style>
  <w:style w:type="paragraph" w:customStyle="1" w:styleId="P68B1DB1-Normal70">
    <w:name w:val="P68B1DB1-Normal70"/>
    <w:basedOn w:val="Normal"/>
    <w:rPr>
      <w:rFonts w:ascii="Times New Roman" w:hAnsi="Times New Roman"/>
      <w:kern w:val="0"/>
      <w:sz w:val="18"/>
      <w:szCs w:val="18"/>
      <w14:ligatures w14:val="none"/>
    </w:rPr>
  </w:style>
  <w:style w:type="paragraph" w:customStyle="1" w:styleId="P68B1DB1-Normal71">
    <w:name w:val="P68B1DB1-Normal71"/>
    <w:basedOn w:val="Normal"/>
    <w:rPr>
      <w:kern w:val="0"/>
      <w:sz w:val="18"/>
      <w14:ligatures w14:val="none"/>
    </w:rPr>
  </w:style>
  <w:style w:type="paragraph" w:customStyle="1" w:styleId="P68B1DB1-Normal72">
    <w:name w:val="P68B1DB1-Normal72"/>
    <w:basedOn w:val="Normal"/>
    <w:rPr>
      <w:rFonts w:ascii="Times New Roman" w:eastAsia="Times New Roman" w:hAnsi="Times New Roman" w:cs="Times New Roman"/>
      <w:color w:val="000000" w:themeColor="text1"/>
      <w:sz w:val="18"/>
      <w:szCs w:val="18"/>
    </w:rPr>
  </w:style>
  <w:style w:type="paragraph" w:customStyle="1" w:styleId="P68B1DB1-Normal73">
    <w:name w:val="P68B1DB1-Normal73"/>
    <w:basedOn w:val="Normal"/>
    <w:rPr>
      <w:rFonts w:ascii="Times New Roman" w:eastAsia="Times New Roman" w:hAnsi="Times New Roman" w:cs="Times New Roman"/>
      <w:kern w:val="0"/>
      <w:sz w:val="18"/>
      <w:szCs w:val="18"/>
      <w14:ligatures w14:val="none"/>
    </w:rPr>
  </w:style>
  <w:style w:type="paragraph" w:customStyle="1" w:styleId="P68B1DB1-Normal74">
    <w:name w:val="P68B1DB1-Normal74"/>
    <w:basedOn w:val="Normal"/>
    <w:rPr>
      <w:rFonts w:ascii="Times New Roman" w:eastAsia="Calibri" w:hAnsi="Times New Roman" w:cs="Arial"/>
      <w:color w:val="000000" w:themeColor="text1"/>
      <w:kern w:val="0"/>
      <w:sz w:val="18"/>
      <w:szCs w:val="18"/>
      <w14:ligatures w14:val="none"/>
    </w:rPr>
  </w:style>
  <w:style w:type="paragraph" w:customStyle="1" w:styleId="P68B1DB1-ListParagraph75">
    <w:name w:val="P68B1DB1-ListParagraph75"/>
    <w:basedOn w:val="ListParagraph"/>
    <w:rPr>
      <w:rFonts w:ascii="Times New Roman" w:hAnsi="Times New Roman" w:cs="Times New Roman"/>
      <w:sz w:val="20"/>
      <w:szCs w:val="20"/>
    </w:rPr>
  </w:style>
  <w:style w:type="paragraph" w:customStyle="1" w:styleId="P68B1DB1-ListParagraph76">
    <w:name w:val="P68B1DB1-ListParagraph76"/>
    <w:basedOn w:val="ListParagraph"/>
    <w:rPr>
      <w:kern w:val="0"/>
      <w:sz w:val="18"/>
      <w:szCs w:val="18"/>
      <w14:ligatures w14:val="none"/>
    </w:rPr>
  </w:style>
  <w:style w:type="paragraph" w:customStyle="1" w:styleId="P68B1DB1-Normal77">
    <w:name w:val="P68B1DB1-Normal77"/>
    <w:basedOn w:val="Normal"/>
    <w:rPr>
      <w:rFonts w:ascii="Times New Roman" w:eastAsia="Calibri" w:hAnsi="Times New Roman" w:cs="Arial"/>
      <w:color w:val="000000" w:themeColor="text1"/>
      <w:sz w:val="18"/>
      <w:szCs w:val="18"/>
    </w:rPr>
  </w:style>
  <w:style w:type="paragraph" w:customStyle="1" w:styleId="P68B1DB1-LegalNumPar78">
    <w:name w:val="P68B1DB1-LegalNumPar78"/>
    <w:basedOn w:val="LegalNumPar"/>
    <w:rPr>
      <w:rFonts w:ascii="Times New Roman" w:hAnsi="Times New Roman"/>
      <w:sz w:val="24"/>
    </w:rPr>
  </w:style>
  <w:style w:type="paragraph" w:customStyle="1" w:styleId="P68B1DB1-LegalNumPar279">
    <w:name w:val="P68B1DB1-LegalNumPar279"/>
    <w:basedOn w:val="LegalNumPar2"/>
    <w:rPr>
      <w:rFonts w:ascii="Times New Roman" w:hAnsi="Times New Roman"/>
      <w:sz w:val="24"/>
    </w:rPr>
  </w:style>
  <w:style w:type="paragraph" w:customStyle="1" w:styleId="P68B1DB1-LegalNumPar280">
    <w:name w:val="P68B1DB1-LegalNumPar280"/>
    <w:basedOn w:val="LegalNumPar2"/>
    <w:rPr>
      <w:rFonts w:ascii="Times New Roman" w:hAnsi="Times New Roman"/>
    </w:rPr>
  </w:style>
  <w:style w:type="paragraph" w:customStyle="1" w:styleId="P68B1DB1-paragraph81">
    <w:name w:val="P68B1DB1-paragraph81"/>
    <w:basedOn w:val="paragraph"/>
    <w:rPr>
      <w:rFonts w:ascii="Times New Roman" w:hAnsi="Times New Roman" w:cs="Times New Roman"/>
      <w:i/>
    </w:rPr>
  </w:style>
  <w:style w:type="paragraph" w:customStyle="1" w:styleId="P68B1DB1-paragraph82">
    <w:name w:val="P68B1DB1-paragraph82"/>
    <w:basedOn w:val="paragraph"/>
    <w:rPr>
      <w:rFonts w:ascii="Times New Roman" w:hAnsi="Times New Roman"/>
      <w:sz w:val="18"/>
    </w:rPr>
  </w:style>
  <w:style w:type="paragraph" w:customStyle="1" w:styleId="P68B1DB1-paragraph83">
    <w:name w:val="P68B1DB1-paragraph83"/>
    <w:basedOn w:val="paragraph"/>
    <w:rPr>
      <w:rFonts w:ascii="Times New Roman" w:hAnsi="Times New Roman" w:cs="Times New Roman"/>
      <w:sz w:val="20"/>
      <w:szCs w:val="20"/>
    </w:rPr>
  </w:style>
  <w:style w:type="paragraph" w:customStyle="1" w:styleId="P68B1DB1-FootnoteText84">
    <w:name w:val="P68B1DB1-FootnoteText84"/>
    <w:basedOn w:val="FootnoteText"/>
    <w:rPr>
      <w:rFonts w:ascii="Times New Roman" w:hAnsi="Times New Roman"/>
    </w:rPr>
  </w:style>
  <w:style w:type="paragraph" w:customStyle="1" w:styleId="P68B1DB1-FootnoteText85">
    <w:name w:val="P68B1DB1-FootnoteText85"/>
    <w:basedOn w:val="FootnoteText"/>
    <w:rPr>
      <w:rFonts w:ascii="Times New Roman" w:eastAsia="EC Square Sans Pro" w:hAnsi="Times New Roman" w:cs="Times New Roman"/>
    </w:rPr>
  </w:style>
  <w:style w:type="paragraph" w:customStyle="1" w:styleId="P68B1DB1-Heading3blue24">
    <w:name w:val="P68B1DB1-Heading3blue24"/>
    <w:basedOn w:val="Heading3blue"/>
    <w:rsid w:val="00011DE9"/>
    <w:rPr>
      <w:color w:val="auto"/>
      <w:sz w:val="24"/>
      <w:szCs w:val="24"/>
      <w14:ligatures w14:val="standardContextual"/>
    </w:rPr>
  </w:style>
  <w:style w:type="paragraph" w:customStyle="1" w:styleId="P68B1DB1-ListParagraph25">
    <w:name w:val="P68B1DB1-ListParagraph25"/>
    <w:basedOn w:val="ListParagraph"/>
    <w:rsid w:val="00011DE9"/>
    <w:rPr>
      <w:rFonts w:ascii="Times New Roman" w:hAnsi="Times New Roman"/>
    </w:rPr>
  </w:style>
  <w:style w:type="paragraph" w:customStyle="1" w:styleId="P68B1DB1-Heading227">
    <w:name w:val="P68B1DB1-Heading227"/>
    <w:basedOn w:val="Heading2"/>
    <w:rsid w:val="00011DE9"/>
    <w:rPr>
      <w:rFonts w:ascii="Times New Roman" w:eastAsia="Times New Roman" w:hAnsi="Times New Roman" w:cs="Times New Roman"/>
      <w:b/>
      <w:color w:val="auto"/>
      <w:sz w:val="24"/>
      <w:szCs w:val="24"/>
      <w:u w:val="single"/>
    </w:rPr>
  </w:style>
  <w:style w:type="paragraph" w:customStyle="1" w:styleId="P68B1DB1-Normal31">
    <w:name w:val="P68B1DB1-Normal31"/>
    <w:basedOn w:val="Normal"/>
    <w:rsid w:val="00011DE9"/>
    <w:rPr>
      <w:rFonts w:ascii="Times New Roman" w:eastAsia="Calibri" w:hAnsi="Times New Roman" w:cs="Symbol"/>
      <w:b/>
      <w:smallCaps/>
      <w:kern w:val="0"/>
      <w:sz w:val="28"/>
      <w:szCs w:val="28"/>
      <w14:ligatures w14:val="none"/>
    </w:rPr>
  </w:style>
  <w:style w:type="paragraph" w:customStyle="1" w:styleId="P68B1DB1-Normal34">
    <w:name w:val="P68B1DB1-Normal34"/>
    <w:basedOn w:val="Normal"/>
    <w:rsid w:val="00011DE9"/>
    <w:rPr>
      <w:rFonts w:ascii="Times New Roman" w:eastAsia="Calibri" w:hAnsi="Times New Roman" w:cs="Arial"/>
      <w:kern w:val="0"/>
      <w:u w:val="single"/>
      <w14:ligatures w14:val="none"/>
    </w:rPr>
  </w:style>
  <w:style w:type="paragraph" w:customStyle="1" w:styleId="P68B1DB1-Normal35">
    <w:name w:val="P68B1DB1-Normal35"/>
    <w:basedOn w:val="Normal"/>
    <w:rsid w:val="00011DE9"/>
    <w:rPr>
      <w:rFonts w:ascii="Times New Roman" w:eastAsia="Calibri" w:hAnsi="Times New Roman" w:cs="Symbol"/>
      <w:kern w:val="0"/>
      <w14:ligatures w14:val="none"/>
    </w:rPr>
  </w:style>
  <w:style w:type="paragraph" w:customStyle="1" w:styleId="P68B1DB1-Normal38">
    <w:name w:val="P68B1DB1-Normal38"/>
    <w:basedOn w:val="Normal"/>
    <w:rsid w:val="00011DE9"/>
    <w:rPr>
      <w:rFonts w:ascii="Times New Roman" w:eastAsia="Calibri" w:hAnsi="Times New Roman" w:cs="Arial"/>
      <w:kern w:val="0"/>
      <w:sz w:val="18"/>
      <w14:ligatures w14:val="none"/>
    </w:rPr>
  </w:style>
  <w:style w:type="paragraph" w:customStyle="1" w:styleId="P68B1DB1-Normal39">
    <w:name w:val="P68B1DB1-Normal39"/>
    <w:basedOn w:val="Normal"/>
    <w:rsid w:val="00011DE9"/>
    <w:rPr>
      <w:sz w:val="18"/>
    </w:rPr>
  </w:style>
  <w:style w:type="paragraph" w:customStyle="1" w:styleId="P68B1DB1-Normal40">
    <w:name w:val="P68B1DB1-Normal40"/>
    <w:basedOn w:val="Normal"/>
    <w:rsid w:val="00011DE9"/>
    <w:rPr>
      <w:sz w:val="18"/>
      <w:szCs w:val="18"/>
    </w:rPr>
  </w:style>
  <w:style w:type="paragraph" w:customStyle="1" w:styleId="P68B1DB1-ListParagraph42">
    <w:name w:val="P68B1DB1-ListParagraph42"/>
    <w:basedOn w:val="ListParagraph"/>
    <w:rsid w:val="00011DE9"/>
    <w:rPr>
      <w:sz w:val="18"/>
    </w:rPr>
  </w:style>
  <w:style w:type="paragraph" w:customStyle="1" w:styleId="P68B1DB1-ListParagraph43">
    <w:name w:val="P68B1DB1-ListParagraph43"/>
    <w:basedOn w:val="ListParagraph"/>
    <w:rsid w:val="00011DE9"/>
    <w:rPr>
      <w:rFonts w:ascii="Times New Roman" w:hAnsi="Times New Roman"/>
      <w:sz w:val="18"/>
    </w:rPr>
  </w:style>
  <w:style w:type="paragraph" w:customStyle="1" w:styleId="P68B1DB1-Normal45">
    <w:name w:val="P68B1DB1-Normal45"/>
    <w:basedOn w:val="Normal"/>
    <w:rsid w:val="00011DE9"/>
    <w:rPr>
      <w:rFonts w:ascii="Times New Roman" w:hAnsi="Times New Roman" w:cs="Times New Roman"/>
      <w:sz w:val="20"/>
      <w:szCs w:val="20"/>
    </w:rPr>
  </w:style>
  <w:style w:type="paragraph" w:customStyle="1" w:styleId="P68B1DB1-ListParagraph50">
    <w:name w:val="P68B1DB1-ListParagraph50"/>
    <w:basedOn w:val="ListParagraph"/>
    <w:rsid w:val="00011DE9"/>
    <w:rPr>
      <w:rFonts w:ascii="Times New Roman" w:eastAsia="Times New Roman" w:hAnsi="Times New Roman" w:cs="Times New Roman"/>
      <w:sz w:val="18"/>
      <w:szCs w:val="18"/>
    </w:rPr>
  </w:style>
  <w:style w:type="paragraph" w:customStyle="1" w:styleId="P68B1DB1-Text151">
    <w:name w:val="P68B1DB1-Text151"/>
    <w:basedOn w:val="Text1"/>
    <w:rsid w:val="00011DE9"/>
    <w:rPr>
      <w:rFonts w:ascii="Times New Roman" w:hAnsi="Times New Roman" w:cs="Times New Roman"/>
      <w14:ligatures w14:val="standardContextual"/>
    </w:rPr>
  </w:style>
  <w:style w:type="paragraph" w:customStyle="1" w:styleId="P68B1DB1-LegalNumPar253">
    <w:name w:val="P68B1DB1-LegalNumPar253"/>
    <w:basedOn w:val="LegalNumPar2"/>
    <w:rsid w:val="00011DE9"/>
    <w:rPr>
      <w:rFonts w:ascii="Times New Roman" w:hAnsi="Times New Roman"/>
      <w14:ligatures w14:val="standardContextual"/>
    </w:rPr>
  </w:style>
  <w:style w:type="paragraph" w:customStyle="1" w:styleId="P68B1DB1-LegalNumPar54">
    <w:name w:val="P68B1DB1-LegalNumPar54"/>
    <w:basedOn w:val="LegalNumPar"/>
    <w:rsid w:val="00011DE9"/>
    <w:rPr>
      <w:rFonts w:ascii="Times New Roman" w:hAnsi="Times New Roman"/>
      <w:sz w:val="24"/>
      <w14:ligatures w14:val="standardContextual"/>
    </w:rPr>
  </w:style>
  <w:style w:type="paragraph" w:customStyle="1" w:styleId="P68B1DB1-LegalNumPar255">
    <w:name w:val="P68B1DB1-LegalNumPar255"/>
    <w:basedOn w:val="LegalNumPar2"/>
    <w:rsid w:val="00011DE9"/>
    <w:rPr>
      <w:rFonts w:ascii="Times New Roman" w:hAnsi="Times New Roman"/>
      <w:sz w:val="24"/>
      <w14:ligatures w14:val="standardContextual"/>
    </w:rPr>
  </w:style>
  <w:style w:type="paragraph" w:customStyle="1" w:styleId="P68B1DB1-Normal56">
    <w:name w:val="P68B1DB1-Normal56"/>
    <w:basedOn w:val="Normal"/>
    <w:rsid w:val="00011DE9"/>
    <w:rPr>
      <w:rFonts w:ascii="Times New Roman" w:eastAsia="Calibri" w:hAnsi="Times New Roman" w:cs="Symbol"/>
      <w:b/>
      <w:smallCaps/>
      <w:sz w:val="28"/>
    </w:rPr>
  </w:style>
  <w:style w:type="paragraph" w:customStyle="1" w:styleId="P68B1DB1-Normal58">
    <w:name w:val="P68B1DB1-Normal58"/>
    <w:basedOn w:val="Normal"/>
    <w:rsid w:val="00011DE9"/>
    <w:rPr>
      <w:rFonts w:ascii="Times New Roman" w:eastAsia="Calibri" w:hAnsi="Times New Roman" w:cs="Arial"/>
      <w:u w:val="single"/>
    </w:rPr>
  </w:style>
  <w:style w:type="paragraph" w:customStyle="1" w:styleId="P68B1DB1-Text161">
    <w:name w:val="P68B1DB1-Text161"/>
    <w:basedOn w:val="Text1"/>
    <w:rsid w:val="00011DE9"/>
    <w:rPr>
      <w:rFonts w:ascii="Times New Roman" w:hAnsi="Times New Roman"/>
      <w14:ligatures w14:val="standardContextual"/>
    </w:rPr>
  </w:style>
  <w:style w:type="paragraph" w:customStyle="1" w:styleId="P68B1DB1-Text162">
    <w:name w:val="P68B1DB1-Text162"/>
    <w:basedOn w:val="Text1"/>
    <w:rsid w:val="00011DE9"/>
    <w:rPr>
      <w:rFonts w:ascii="Times New Roman" w:hAnsi="Times New Roman"/>
      <w:u w:val="single"/>
      <w14:ligatures w14:val="standardContextual"/>
    </w:rPr>
  </w:style>
  <w:style w:type="paragraph" w:customStyle="1" w:styleId="P68B1DB1-Text164">
    <w:name w:val="P68B1DB1-Text164"/>
    <w:basedOn w:val="Text1"/>
    <w:rsid w:val="00011DE9"/>
    <w:rPr>
      <w:rFonts w:ascii="Times New Roman" w:hAnsi="Times New Roman" w:cs="Times New Roman"/>
      <w:u w:val="single"/>
      <w14:ligatures w14:val="standardContextual"/>
    </w:rPr>
  </w:style>
  <w:style w:type="paragraph" w:customStyle="1" w:styleId="P68B1DB1-ListParagraph65">
    <w:name w:val="P68B1DB1-ListParagraph65"/>
    <w:basedOn w:val="ListParagraph"/>
    <w:rsid w:val="00011DE9"/>
    <w:rPr>
      <w:rFonts w:ascii="Times New Roman" w:hAnsi="Times New Roman" w:cs="Times New Roman"/>
    </w:rPr>
  </w:style>
  <w:style w:type="paragraph" w:customStyle="1" w:styleId="P68B1DB1-paragraph66">
    <w:name w:val="P68B1DB1-paragraph66"/>
    <w:basedOn w:val="paragraph"/>
    <w:rsid w:val="00011DE9"/>
    <w:rPr>
      <w:rFonts w:ascii="Times New Roman" w:hAnsi="Times New Roman"/>
      <w14:ligatures w14:val="standardContextual"/>
    </w:rPr>
  </w:style>
  <w:style w:type="paragraph" w:customStyle="1" w:styleId="P68B1DB1-paragraph67">
    <w:name w:val="P68B1DB1-paragraph67"/>
    <w:basedOn w:val="paragraph"/>
    <w:rsid w:val="00011DE9"/>
    <w:rPr>
      <w:rFonts w:ascii="Times New Roman" w:hAnsi="Times New Roman" w:cs="Times New Roman"/>
      <w14:ligatures w14:val="standardContextual"/>
    </w:rPr>
  </w:style>
  <w:style w:type="paragraph" w:customStyle="1" w:styleId="P68B1DB1-FootnoteText68">
    <w:name w:val="P68B1DB1-FootnoteText68"/>
    <w:basedOn w:val="FootnoteText"/>
    <w:rsid w:val="00011DE9"/>
    <w:rPr>
      <w:rFonts w:ascii="Times New Roman" w:hAnsi="Times New Roman"/>
      <w:sz w:val="18"/>
      <w:szCs w:val="22"/>
    </w:rPr>
  </w:style>
  <w:style w:type="paragraph" w:customStyle="1" w:styleId="P68B1DB1-ListParagraph71">
    <w:name w:val="P68B1DB1-ListParagraph71"/>
    <w:basedOn w:val="ListParagraph"/>
    <w:rsid w:val="00011DE9"/>
    <w:rPr>
      <w:rFonts w:ascii="Times New Roman" w:eastAsia="Times New Roman" w:hAnsi="Times New Roman" w:cs="Times New Roman"/>
      <w:color w:val="000000" w:themeColor="text1"/>
    </w:rPr>
  </w:style>
  <w:style w:type="paragraph" w:customStyle="1" w:styleId="P68B1DB1-ListParagraph72">
    <w:name w:val="P68B1DB1-ListParagraph72"/>
    <w:basedOn w:val="ListParagraph"/>
    <w:rsid w:val="00011DE9"/>
    <w:rPr>
      <w:rFonts w:ascii="Times New Roman" w:eastAsia="Times New Roman" w:hAnsi="Times New Roman" w:cs="Times New Roman"/>
    </w:rPr>
  </w:style>
  <w:style w:type="paragraph" w:customStyle="1" w:styleId="P68B1DB1-Normal75">
    <w:name w:val="P68B1DB1-Normal75"/>
    <w:basedOn w:val="Normal"/>
    <w:rsid w:val="00011DE9"/>
    <w:rPr>
      <w:rFonts w:ascii="Times New Roman" w:eastAsia="Calibri" w:hAnsi="Times New Roman" w:cs="Times New Roman"/>
    </w:rPr>
  </w:style>
  <w:style w:type="paragraph" w:customStyle="1" w:styleId="P68B1DB1-NumPar176">
    <w:name w:val="P68B1DB1-NumPar176"/>
    <w:basedOn w:val="NumPar1"/>
    <w:rsid w:val="00011DE9"/>
    <w:rPr>
      <w:rFonts w:ascii="Times New Roman" w:hAnsi="Times New Roman"/>
      <w:b/>
    </w:rPr>
  </w:style>
  <w:style w:type="paragraph" w:customStyle="1" w:styleId="P68B1DB1-Normal78">
    <w:name w:val="P68B1DB1-Normal78"/>
    <w:basedOn w:val="Normal"/>
    <w:rsid w:val="00011DE9"/>
    <w:rPr>
      <w:rFonts w:ascii="Times New Roman" w:hAnsi="Times New Roman"/>
      <w:sz w:val="20"/>
    </w:rPr>
  </w:style>
  <w:style w:type="paragraph" w:customStyle="1" w:styleId="P68B1DB1-Normal79">
    <w:name w:val="P68B1DB1-Normal79"/>
    <w:basedOn w:val="Normal"/>
    <w:rsid w:val="00011DE9"/>
    <w:rPr>
      <w:rFonts w:ascii="Times New Roman" w:hAnsi="Times New Roman"/>
      <w:sz w:val="20"/>
      <w:szCs w:val="20"/>
    </w:rPr>
  </w:style>
  <w:style w:type="paragraph" w:customStyle="1" w:styleId="P68B1DB1-Normal80">
    <w:name w:val="P68B1DB1-Normal80"/>
    <w:basedOn w:val="Normal"/>
    <w:rsid w:val="00011DE9"/>
    <w:rPr>
      <w:rFonts w:ascii="Times New Roman" w:eastAsia="Times New Roman" w:hAnsi="Times New Roman" w:cs="Times New Roman"/>
      <w:sz w:val="20"/>
      <w:szCs w:val="20"/>
    </w:rPr>
  </w:style>
  <w:style w:type="paragraph" w:customStyle="1" w:styleId="P68B1DB1-Normal81">
    <w:name w:val="P68B1DB1-Normal81"/>
    <w:basedOn w:val="Normal"/>
    <w:rsid w:val="00011DE9"/>
    <w:rPr>
      <w:rFonts w:ascii="Times New Roman" w:hAnsi="Times New Roman"/>
      <w:sz w:val="2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710811">
      <w:bodyDiv w:val="1"/>
      <w:marLeft w:val="0"/>
      <w:marRight w:val="0"/>
      <w:marTop w:val="0"/>
      <w:marBottom w:val="0"/>
      <w:divBdr>
        <w:top w:val="none" w:sz="0" w:space="0" w:color="auto"/>
        <w:left w:val="none" w:sz="0" w:space="0" w:color="auto"/>
        <w:bottom w:val="none" w:sz="0" w:space="0" w:color="auto"/>
        <w:right w:val="none" w:sz="0" w:space="0" w:color="auto"/>
      </w:divBdr>
    </w:div>
    <w:div w:id="611598436">
      <w:bodyDiv w:val="1"/>
      <w:marLeft w:val="0"/>
      <w:marRight w:val="0"/>
      <w:marTop w:val="0"/>
      <w:marBottom w:val="0"/>
      <w:divBdr>
        <w:top w:val="none" w:sz="0" w:space="0" w:color="auto"/>
        <w:left w:val="none" w:sz="0" w:space="0" w:color="auto"/>
        <w:bottom w:val="none" w:sz="0" w:space="0" w:color="auto"/>
        <w:right w:val="none" w:sz="0" w:space="0" w:color="auto"/>
      </w:divBdr>
    </w:div>
    <w:div w:id="887106472">
      <w:bodyDiv w:val="1"/>
      <w:marLeft w:val="0"/>
      <w:marRight w:val="0"/>
      <w:marTop w:val="0"/>
      <w:marBottom w:val="0"/>
      <w:divBdr>
        <w:top w:val="none" w:sz="0" w:space="0" w:color="auto"/>
        <w:left w:val="none" w:sz="0" w:space="0" w:color="auto"/>
        <w:bottom w:val="none" w:sz="0" w:space="0" w:color="auto"/>
        <w:right w:val="none" w:sz="0" w:space="0" w:color="auto"/>
      </w:divBdr>
      <w:divsChild>
        <w:div w:id="70810827">
          <w:marLeft w:val="0"/>
          <w:marRight w:val="0"/>
          <w:marTop w:val="0"/>
          <w:marBottom w:val="0"/>
          <w:divBdr>
            <w:top w:val="none" w:sz="0" w:space="0" w:color="auto"/>
            <w:left w:val="none" w:sz="0" w:space="0" w:color="auto"/>
            <w:bottom w:val="none" w:sz="0" w:space="0" w:color="auto"/>
            <w:right w:val="none" w:sz="0" w:space="0" w:color="auto"/>
          </w:divBdr>
        </w:div>
        <w:div w:id="445391479">
          <w:marLeft w:val="0"/>
          <w:marRight w:val="0"/>
          <w:marTop w:val="0"/>
          <w:marBottom w:val="0"/>
          <w:divBdr>
            <w:top w:val="none" w:sz="0" w:space="0" w:color="auto"/>
            <w:left w:val="none" w:sz="0" w:space="0" w:color="auto"/>
            <w:bottom w:val="none" w:sz="0" w:space="0" w:color="auto"/>
            <w:right w:val="none" w:sz="0" w:space="0" w:color="auto"/>
          </w:divBdr>
        </w:div>
      </w:divsChild>
    </w:div>
    <w:div w:id="1241718906">
      <w:bodyDiv w:val="1"/>
      <w:marLeft w:val="0"/>
      <w:marRight w:val="0"/>
      <w:marTop w:val="0"/>
      <w:marBottom w:val="0"/>
      <w:divBdr>
        <w:top w:val="none" w:sz="0" w:space="0" w:color="auto"/>
        <w:left w:val="none" w:sz="0" w:space="0" w:color="auto"/>
        <w:bottom w:val="none" w:sz="0" w:space="0" w:color="auto"/>
        <w:right w:val="none" w:sz="0" w:space="0" w:color="auto"/>
      </w:divBdr>
      <w:divsChild>
        <w:div w:id="1301376780">
          <w:marLeft w:val="0"/>
          <w:marRight w:val="0"/>
          <w:marTop w:val="0"/>
          <w:marBottom w:val="0"/>
          <w:divBdr>
            <w:top w:val="none" w:sz="0" w:space="0" w:color="auto"/>
            <w:left w:val="none" w:sz="0" w:space="0" w:color="auto"/>
            <w:bottom w:val="none" w:sz="0" w:space="0" w:color="auto"/>
            <w:right w:val="none" w:sz="0" w:space="0" w:color="auto"/>
          </w:divBdr>
        </w:div>
        <w:div w:id="1662077352">
          <w:marLeft w:val="0"/>
          <w:marRight w:val="0"/>
          <w:marTop w:val="0"/>
          <w:marBottom w:val="0"/>
          <w:divBdr>
            <w:top w:val="none" w:sz="0" w:space="0" w:color="auto"/>
            <w:left w:val="none" w:sz="0" w:space="0" w:color="auto"/>
            <w:bottom w:val="none" w:sz="0" w:space="0" w:color="auto"/>
            <w:right w:val="none" w:sz="0" w:space="0" w:color="auto"/>
          </w:divBdr>
        </w:div>
      </w:divsChild>
    </w:div>
    <w:div w:id="1291597264">
      <w:bodyDiv w:val="1"/>
      <w:marLeft w:val="0"/>
      <w:marRight w:val="0"/>
      <w:marTop w:val="0"/>
      <w:marBottom w:val="0"/>
      <w:divBdr>
        <w:top w:val="none" w:sz="0" w:space="0" w:color="auto"/>
        <w:left w:val="none" w:sz="0" w:space="0" w:color="auto"/>
        <w:bottom w:val="none" w:sz="0" w:space="0" w:color="auto"/>
        <w:right w:val="none" w:sz="0" w:space="0" w:color="auto"/>
      </w:divBdr>
      <w:divsChild>
        <w:div w:id="69010724">
          <w:marLeft w:val="0"/>
          <w:marRight w:val="0"/>
          <w:marTop w:val="0"/>
          <w:marBottom w:val="0"/>
          <w:divBdr>
            <w:top w:val="none" w:sz="0" w:space="0" w:color="auto"/>
            <w:left w:val="none" w:sz="0" w:space="0" w:color="auto"/>
            <w:bottom w:val="none" w:sz="0" w:space="0" w:color="auto"/>
            <w:right w:val="none" w:sz="0" w:space="0" w:color="auto"/>
          </w:divBdr>
        </w:div>
        <w:div w:id="1971016670">
          <w:marLeft w:val="0"/>
          <w:marRight w:val="0"/>
          <w:marTop w:val="0"/>
          <w:marBottom w:val="0"/>
          <w:divBdr>
            <w:top w:val="none" w:sz="0" w:space="0" w:color="auto"/>
            <w:left w:val="none" w:sz="0" w:space="0" w:color="auto"/>
            <w:bottom w:val="none" w:sz="0" w:space="0" w:color="auto"/>
            <w:right w:val="none" w:sz="0" w:space="0" w:color="auto"/>
          </w:divBdr>
        </w:div>
        <w:div w:id="2089036913">
          <w:marLeft w:val="0"/>
          <w:marRight w:val="0"/>
          <w:marTop w:val="0"/>
          <w:marBottom w:val="0"/>
          <w:divBdr>
            <w:top w:val="none" w:sz="0" w:space="0" w:color="auto"/>
            <w:left w:val="none" w:sz="0" w:space="0" w:color="auto"/>
            <w:bottom w:val="none" w:sz="0" w:space="0" w:color="auto"/>
            <w:right w:val="none" w:sz="0" w:space="0" w:color="auto"/>
          </w:divBdr>
        </w:div>
      </w:divsChild>
    </w:div>
    <w:div w:id="1715233729">
      <w:bodyDiv w:val="1"/>
      <w:marLeft w:val="0"/>
      <w:marRight w:val="0"/>
      <w:marTop w:val="0"/>
      <w:marBottom w:val="0"/>
      <w:divBdr>
        <w:top w:val="none" w:sz="0" w:space="0" w:color="auto"/>
        <w:left w:val="none" w:sz="0" w:space="0" w:color="auto"/>
        <w:bottom w:val="none" w:sz="0" w:space="0" w:color="auto"/>
        <w:right w:val="none" w:sz="0" w:space="0" w:color="auto"/>
      </w:divBdr>
      <w:divsChild>
        <w:div w:id="55982943">
          <w:marLeft w:val="0"/>
          <w:marRight w:val="0"/>
          <w:marTop w:val="0"/>
          <w:marBottom w:val="0"/>
          <w:divBdr>
            <w:top w:val="none" w:sz="0" w:space="0" w:color="auto"/>
            <w:left w:val="none" w:sz="0" w:space="0" w:color="auto"/>
            <w:bottom w:val="none" w:sz="0" w:space="0" w:color="auto"/>
            <w:right w:val="none" w:sz="0" w:space="0" w:color="auto"/>
          </w:divBdr>
        </w:div>
        <w:div w:id="1058165024">
          <w:marLeft w:val="0"/>
          <w:marRight w:val="0"/>
          <w:marTop w:val="0"/>
          <w:marBottom w:val="0"/>
          <w:divBdr>
            <w:top w:val="none" w:sz="0" w:space="0" w:color="auto"/>
            <w:left w:val="none" w:sz="0" w:space="0" w:color="auto"/>
            <w:bottom w:val="none" w:sz="0" w:space="0" w:color="auto"/>
            <w:right w:val="none" w:sz="0" w:space="0" w:color="auto"/>
          </w:divBdr>
        </w:div>
      </w:divsChild>
    </w:div>
    <w:div w:id="1971590030">
      <w:bodyDiv w:val="1"/>
      <w:marLeft w:val="0"/>
      <w:marRight w:val="0"/>
      <w:marTop w:val="0"/>
      <w:marBottom w:val="0"/>
      <w:divBdr>
        <w:top w:val="none" w:sz="0" w:space="0" w:color="auto"/>
        <w:left w:val="none" w:sz="0" w:space="0" w:color="auto"/>
        <w:bottom w:val="none" w:sz="0" w:space="0" w:color="auto"/>
        <w:right w:val="none" w:sz="0" w:space="0" w:color="auto"/>
      </w:divBdr>
    </w:div>
    <w:div w:id="2093622692">
      <w:bodyDiv w:val="1"/>
      <w:marLeft w:val="0"/>
      <w:marRight w:val="0"/>
      <w:marTop w:val="0"/>
      <w:marBottom w:val="0"/>
      <w:divBdr>
        <w:top w:val="none" w:sz="0" w:space="0" w:color="auto"/>
        <w:left w:val="none" w:sz="0" w:space="0" w:color="auto"/>
        <w:bottom w:val="none" w:sz="0" w:space="0" w:color="auto"/>
        <w:right w:val="none" w:sz="0" w:space="0" w:color="auto"/>
      </w:divBdr>
      <w:divsChild>
        <w:div w:id="180704202">
          <w:marLeft w:val="0"/>
          <w:marRight w:val="0"/>
          <w:marTop w:val="0"/>
          <w:marBottom w:val="0"/>
          <w:divBdr>
            <w:top w:val="none" w:sz="0" w:space="0" w:color="auto"/>
            <w:left w:val="none" w:sz="0" w:space="0" w:color="auto"/>
            <w:bottom w:val="none" w:sz="0" w:space="0" w:color="auto"/>
            <w:right w:val="none" w:sz="0" w:space="0" w:color="auto"/>
          </w:divBdr>
        </w:div>
        <w:div w:id="779421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header" Target="header145.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header" Target="header157.xml"/><Relationship Id="rId366" Type="http://schemas.openxmlformats.org/officeDocument/2006/relationships/header" Target="header178.xml"/><Relationship Id="rId170" Type="http://schemas.openxmlformats.org/officeDocument/2006/relationships/footer" Target="footer79.xml"/><Relationship Id="rId226" Type="http://schemas.openxmlformats.org/officeDocument/2006/relationships/header" Target="header108.xml"/><Relationship Id="rId433" Type="http://schemas.openxmlformats.org/officeDocument/2006/relationships/footer" Target="footer211.xml"/><Relationship Id="rId268" Type="http://schemas.openxmlformats.org/officeDocument/2006/relationships/header" Target="header129.xml"/><Relationship Id="rId32" Type="http://schemas.openxmlformats.org/officeDocument/2006/relationships/header" Target="header11.xml"/><Relationship Id="rId74" Type="http://schemas.openxmlformats.org/officeDocument/2006/relationships/footer" Target="footer31.xml"/><Relationship Id="rId128" Type="http://schemas.openxmlformats.org/officeDocument/2006/relationships/header" Target="header59.xml"/><Relationship Id="rId335" Type="http://schemas.openxmlformats.org/officeDocument/2006/relationships/footer" Target="footer162.xml"/><Relationship Id="rId377" Type="http://schemas.openxmlformats.org/officeDocument/2006/relationships/footer" Target="footer183.xml"/><Relationship Id="rId5" Type="http://schemas.openxmlformats.org/officeDocument/2006/relationships/numbering" Target="numbering.xml"/><Relationship Id="rId181" Type="http://schemas.openxmlformats.org/officeDocument/2006/relationships/footer" Target="footer85.xml"/><Relationship Id="rId237" Type="http://schemas.openxmlformats.org/officeDocument/2006/relationships/header" Target="header114.xml"/><Relationship Id="rId402" Type="http://schemas.openxmlformats.org/officeDocument/2006/relationships/header" Target="header196.xml"/><Relationship Id="rId279" Type="http://schemas.openxmlformats.org/officeDocument/2006/relationships/footer" Target="footer134.xml"/><Relationship Id="rId444" Type="http://schemas.openxmlformats.org/officeDocument/2006/relationships/fontTable" Target="fontTable.xml"/><Relationship Id="rId43" Type="http://schemas.openxmlformats.org/officeDocument/2006/relationships/footer" Target="footer16.xml"/><Relationship Id="rId139" Type="http://schemas.openxmlformats.org/officeDocument/2006/relationships/header" Target="header65.xml"/><Relationship Id="rId290" Type="http://schemas.openxmlformats.org/officeDocument/2006/relationships/header" Target="header140.xml"/><Relationship Id="rId304" Type="http://schemas.openxmlformats.org/officeDocument/2006/relationships/header" Target="header147.xml"/><Relationship Id="rId346" Type="http://schemas.openxmlformats.org/officeDocument/2006/relationships/header" Target="header168.xml"/><Relationship Id="rId388" Type="http://schemas.openxmlformats.org/officeDocument/2006/relationships/header" Target="header189.xml"/><Relationship Id="rId85" Type="http://schemas.openxmlformats.org/officeDocument/2006/relationships/footer" Target="footer37.xml"/><Relationship Id="rId150" Type="http://schemas.openxmlformats.org/officeDocument/2006/relationships/header" Target="header70.xml"/><Relationship Id="rId192" Type="http://schemas.openxmlformats.org/officeDocument/2006/relationships/header" Target="header91.xml"/><Relationship Id="rId206" Type="http://schemas.openxmlformats.org/officeDocument/2006/relationships/header" Target="header98.xml"/><Relationship Id="rId413" Type="http://schemas.openxmlformats.org/officeDocument/2006/relationships/footer" Target="footer201.xml"/><Relationship Id="rId248" Type="http://schemas.openxmlformats.org/officeDocument/2006/relationships/header" Target="header119.xml"/><Relationship Id="rId12" Type="http://schemas.openxmlformats.org/officeDocument/2006/relationships/header" Target="header1.xml"/><Relationship Id="rId108" Type="http://schemas.openxmlformats.org/officeDocument/2006/relationships/header" Target="header49.xml"/><Relationship Id="rId315" Type="http://schemas.openxmlformats.org/officeDocument/2006/relationships/footer" Target="footer152.xml"/><Relationship Id="rId357" Type="http://schemas.openxmlformats.org/officeDocument/2006/relationships/footer" Target="footer173.xml"/><Relationship Id="rId54" Type="http://schemas.openxmlformats.org/officeDocument/2006/relationships/footer" Target="footer21.xml"/><Relationship Id="rId75" Type="http://schemas.openxmlformats.org/officeDocument/2006/relationships/footer" Target="footer32.xml"/><Relationship Id="rId96" Type="http://schemas.openxmlformats.org/officeDocument/2006/relationships/footer" Target="footer42.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header" Target="header86.xml"/><Relationship Id="rId217" Type="http://schemas.openxmlformats.org/officeDocument/2006/relationships/footer" Target="footer103.xml"/><Relationship Id="rId378" Type="http://schemas.openxmlformats.org/officeDocument/2006/relationships/header" Target="header184.xml"/><Relationship Id="rId399" Type="http://schemas.openxmlformats.org/officeDocument/2006/relationships/footer" Target="footer194.xml"/><Relationship Id="rId403" Type="http://schemas.openxmlformats.org/officeDocument/2006/relationships/header" Target="header197.xml"/><Relationship Id="rId6" Type="http://schemas.openxmlformats.org/officeDocument/2006/relationships/styles" Target="styles.xml"/><Relationship Id="rId238" Type="http://schemas.openxmlformats.org/officeDocument/2006/relationships/footer" Target="footer113.xml"/><Relationship Id="rId259" Type="http://schemas.openxmlformats.org/officeDocument/2006/relationships/footer" Target="footer124.xml"/><Relationship Id="rId424" Type="http://schemas.openxmlformats.org/officeDocument/2006/relationships/footer" Target="footer206.xml"/><Relationship Id="rId445" Type="http://schemas.openxmlformats.org/officeDocument/2006/relationships/theme" Target="theme/theme1.xml"/><Relationship Id="rId23" Type="http://schemas.openxmlformats.org/officeDocument/2006/relationships/footer" Target="footer6.xml"/><Relationship Id="rId119" Type="http://schemas.openxmlformats.org/officeDocument/2006/relationships/header" Target="header55.xml"/><Relationship Id="rId270" Type="http://schemas.openxmlformats.org/officeDocument/2006/relationships/footer" Target="footer129.xml"/><Relationship Id="rId291" Type="http://schemas.openxmlformats.org/officeDocument/2006/relationships/footer" Target="footer140.xml"/><Relationship Id="rId305" Type="http://schemas.openxmlformats.org/officeDocument/2006/relationships/header" Target="header148.xml"/><Relationship Id="rId326" Type="http://schemas.openxmlformats.org/officeDocument/2006/relationships/footer" Target="footer157.xml"/><Relationship Id="rId347" Type="http://schemas.openxmlformats.org/officeDocument/2006/relationships/header" Target="header169.xml"/><Relationship Id="rId44" Type="http://schemas.openxmlformats.org/officeDocument/2006/relationships/header" Target="header17.xml"/><Relationship Id="rId65" Type="http://schemas.openxmlformats.org/officeDocument/2006/relationships/footer" Target="footer27.xml"/><Relationship Id="rId86" Type="http://schemas.openxmlformats.org/officeDocument/2006/relationships/header" Target="header38.xml"/><Relationship Id="rId130" Type="http://schemas.openxmlformats.org/officeDocument/2006/relationships/header" Target="header60.xml"/><Relationship Id="rId151" Type="http://schemas.openxmlformats.org/officeDocument/2006/relationships/header" Target="header71.xml"/><Relationship Id="rId368" Type="http://schemas.openxmlformats.org/officeDocument/2006/relationships/footer" Target="footer178.xml"/><Relationship Id="rId389" Type="http://schemas.openxmlformats.org/officeDocument/2006/relationships/footer" Target="footer189.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header" Target="header120.xml"/><Relationship Id="rId414" Type="http://schemas.openxmlformats.org/officeDocument/2006/relationships/header" Target="header202.xml"/><Relationship Id="rId435" Type="http://schemas.openxmlformats.org/officeDocument/2006/relationships/footer" Target="footer212.xml"/><Relationship Id="rId13" Type="http://schemas.openxmlformats.org/officeDocument/2006/relationships/header" Target="header2.xml"/><Relationship Id="rId109" Type="http://schemas.openxmlformats.org/officeDocument/2006/relationships/footer" Target="footer49.xml"/><Relationship Id="rId260" Type="http://schemas.openxmlformats.org/officeDocument/2006/relationships/header" Target="header125.xml"/><Relationship Id="rId281" Type="http://schemas.openxmlformats.org/officeDocument/2006/relationships/header" Target="header136.xml"/><Relationship Id="rId316" Type="http://schemas.openxmlformats.org/officeDocument/2006/relationships/header" Target="header153.xml"/><Relationship Id="rId337" Type="http://schemas.openxmlformats.org/officeDocument/2006/relationships/header" Target="header164.xml"/><Relationship Id="rId34" Type="http://schemas.openxmlformats.org/officeDocument/2006/relationships/footer" Target="footer11.xml"/><Relationship Id="rId55" Type="http://schemas.openxmlformats.org/officeDocument/2006/relationships/footer" Target="footer22.xml"/><Relationship Id="rId76" Type="http://schemas.openxmlformats.org/officeDocument/2006/relationships/header" Target="header33.xml"/><Relationship Id="rId97" Type="http://schemas.openxmlformats.org/officeDocument/2006/relationships/footer" Target="footer43.xml"/><Relationship Id="rId120" Type="http://schemas.openxmlformats.org/officeDocument/2006/relationships/footer" Target="footer54.xml"/><Relationship Id="rId141" Type="http://schemas.openxmlformats.org/officeDocument/2006/relationships/footer" Target="footer65.xml"/><Relationship Id="rId358" Type="http://schemas.openxmlformats.org/officeDocument/2006/relationships/header" Target="header174.xml"/><Relationship Id="rId379" Type="http://schemas.openxmlformats.org/officeDocument/2006/relationships/header" Target="header185.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header" Target="header87.xml"/><Relationship Id="rId218" Type="http://schemas.openxmlformats.org/officeDocument/2006/relationships/header" Target="header104.xml"/><Relationship Id="rId239" Type="http://schemas.openxmlformats.org/officeDocument/2006/relationships/footer" Target="footer114.xml"/><Relationship Id="rId390" Type="http://schemas.openxmlformats.org/officeDocument/2006/relationships/header" Target="header190.xml"/><Relationship Id="rId404" Type="http://schemas.openxmlformats.org/officeDocument/2006/relationships/footer" Target="footer196.xml"/><Relationship Id="rId425" Type="http://schemas.openxmlformats.org/officeDocument/2006/relationships/footer" Target="footer207.xml"/><Relationship Id="rId446" Type="http://schemas.microsoft.com/office/2019/05/relationships/documenttasks" Target="documenttasks/documenttasks1.xml"/><Relationship Id="rId250" Type="http://schemas.openxmlformats.org/officeDocument/2006/relationships/footer" Target="footer119.xml"/><Relationship Id="rId271" Type="http://schemas.openxmlformats.org/officeDocument/2006/relationships/footer" Target="footer130.xml"/><Relationship Id="rId292" Type="http://schemas.openxmlformats.org/officeDocument/2006/relationships/header" Target="header141.xml"/><Relationship Id="rId306" Type="http://schemas.openxmlformats.org/officeDocument/2006/relationships/footer" Target="footer147.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header" Target="header39.xml"/><Relationship Id="rId110" Type="http://schemas.openxmlformats.org/officeDocument/2006/relationships/header" Target="header50.xml"/><Relationship Id="rId131" Type="http://schemas.openxmlformats.org/officeDocument/2006/relationships/header" Target="header61.xml"/><Relationship Id="rId327" Type="http://schemas.openxmlformats.org/officeDocument/2006/relationships/footer" Target="footer158.xml"/><Relationship Id="rId348" Type="http://schemas.openxmlformats.org/officeDocument/2006/relationships/footer" Target="footer168.xml"/><Relationship Id="rId369" Type="http://schemas.openxmlformats.org/officeDocument/2006/relationships/footer" Target="footer179.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380" Type="http://schemas.openxmlformats.org/officeDocument/2006/relationships/footer" Target="footer184.xml"/><Relationship Id="rId415" Type="http://schemas.openxmlformats.org/officeDocument/2006/relationships/header" Target="header203.xml"/><Relationship Id="rId436" Type="http://schemas.openxmlformats.org/officeDocument/2006/relationships/header" Target="header213.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header" Target="header23.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footer" Target="footer135.xml"/><Relationship Id="rId317" Type="http://schemas.openxmlformats.org/officeDocument/2006/relationships/header" Target="header154.xml"/><Relationship Id="rId338" Type="http://schemas.openxmlformats.org/officeDocument/2006/relationships/footer" Target="footer163.xml"/><Relationship Id="rId359" Type="http://schemas.openxmlformats.org/officeDocument/2006/relationships/footer" Target="footer174.xml"/><Relationship Id="rId8" Type="http://schemas.openxmlformats.org/officeDocument/2006/relationships/webSettings" Target="webSettings.xml"/><Relationship Id="rId98" Type="http://schemas.openxmlformats.org/officeDocument/2006/relationships/header" Target="header44.xml"/><Relationship Id="rId121" Type="http://schemas.openxmlformats.org/officeDocument/2006/relationships/footer" Target="footer55.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footer" Target="footer86.xml"/><Relationship Id="rId219" Type="http://schemas.openxmlformats.org/officeDocument/2006/relationships/footer" Target="footer104.xml"/><Relationship Id="rId370" Type="http://schemas.openxmlformats.org/officeDocument/2006/relationships/header" Target="header180.xml"/><Relationship Id="rId391" Type="http://schemas.openxmlformats.org/officeDocument/2006/relationships/header" Target="header191.xml"/><Relationship Id="rId405" Type="http://schemas.openxmlformats.org/officeDocument/2006/relationships/footer" Target="footer197.xml"/><Relationship Id="rId426" Type="http://schemas.openxmlformats.org/officeDocument/2006/relationships/header" Target="header208.xml"/><Relationship Id="rId230" Type="http://schemas.openxmlformats.org/officeDocument/2006/relationships/footer" Target="footer109.xml"/><Relationship Id="rId251" Type="http://schemas.openxmlformats.org/officeDocument/2006/relationships/footer" Target="footer120.xml"/><Relationship Id="rId25" Type="http://schemas.openxmlformats.org/officeDocument/2006/relationships/footer" Target="footer7.xml"/><Relationship Id="rId46" Type="http://schemas.openxmlformats.org/officeDocument/2006/relationships/header" Target="header18.xml"/><Relationship Id="rId67" Type="http://schemas.openxmlformats.org/officeDocument/2006/relationships/header" Target="header29.xml"/><Relationship Id="rId272" Type="http://schemas.openxmlformats.org/officeDocument/2006/relationships/header" Target="header131.xml"/><Relationship Id="rId293" Type="http://schemas.openxmlformats.org/officeDocument/2006/relationships/header" Target="header142.xml"/><Relationship Id="rId307" Type="http://schemas.openxmlformats.org/officeDocument/2006/relationships/footer" Target="footer148.xml"/><Relationship Id="rId328" Type="http://schemas.openxmlformats.org/officeDocument/2006/relationships/header" Target="header159.xml"/><Relationship Id="rId349" Type="http://schemas.openxmlformats.org/officeDocument/2006/relationships/footer" Target="footer169.xml"/><Relationship Id="rId88" Type="http://schemas.openxmlformats.org/officeDocument/2006/relationships/footer" Target="footer38.xml"/><Relationship Id="rId111" Type="http://schemas.openxmlformats.org/officeDocument/2006/relationships/header" Target="header51.xml"/><Relationship Id="rId132" Type="http://schemas.openxmlformats.org/officeDocument/2006/relationships/footer" Target="footer60.xml"/><Relationship Id="rId153" Type="http://schemas.openxmlformats.org/officeDocument/2006/relationships/footer" Target="footer71.xml"/><Relationship Id="rId174" Type="http://schemas.openxmlformats.org/officeDocument/2006/relationships/header" Target="header82.xml"/><Relationship Id="rId195" Type="http://schemas.openxmlformats.org/officeDocument/2006/relationships/footer" Target="footer92.xml"/><Relationship Id="rId209" Type="http://schemas.openxmlformats.org/officeDocument/2006/relationships/header" Target="header100.xml"/><Relationship Id="rId360" Type="http://schemas.openxmlformats.org/officeDocument/2006/relationships/header" Target="header175.xml"/><Relationship Id="rId381" Type="http://schemas.openxmlformats.org/officeDocument/2006/relationships/footer" Target="footer185.xml"/><Relationship Id="rId416" Type="http://schemas.openxmlformats.org/officeDocument/2006/relationships/footer" Target="footer202.xml"/><Relationship Id="rId220" Type="http://schemas.openxmlformats.org/officeDocument/2006/relationships/header" Target="header105.xml"/><Relationship Id="rId241" Type="http://schemas.openxmlformats.org/officeDocument/2006/relationships/footer" Target="footer115.xml"/><Relationship Id="rId437" Type="http://schemas.openxmlformats.org/officeDocument/2006/relationships/header" Target="header214.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footer" Target="footer136.xml"/><Relationship Id="rId318" Type="http://schemas.openxmlformats.org/officeDocument/2006/relationships/footer" Target="footer153.xml"/><Relationship Id="rId339" Type="http://schemas.openxmlformats.org/officeDocument/2006/relationships/footer" Target="footer164.xml"/><Relationship Id="rId78" Type="http://schemas.openxmlformats.org/officeDocument/2006/relationships/header" Target="header34.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header" Target="header56.xml"/><Relationship Id="rId143" Type="http://schemas.openxmlformats.org/officeDocument/2006/relationships/footer" Target="footer66.xml"/><Relationship Id="rId164" Type="http://schemas.openxmlformats.org/officeDocument/2006/relationships/footer" Target="footer76.xml"/><Relationship Id="rId185" Type="http://schemas.openxmlformats.org/officeDocument/2006/relationships/footer" Target="footer87.xml"/><Relationship Id="rId350" Type="http://schemas.openxmlformats.org/officeDocument/2006/relationships/header" Target="header170.xml"/><Relationship Id="rId371" Type="http://schemas.openxmlformats.org/officeDocument/2006/relationships/footer" Target="footer180.xml"/><Relationship Id="rId406" Type="http://schemas.openxmlformats.org/officeDocument/2006/relationships/header" Target="header198.xml"/><Relationship Id="rId9" Type="http://schemas.openxmlformats.org/officeDocument/2006/relationships/footnotes" Target="footnotes.xml"/><Relationship Id="rId210" Type="http://schemas.openxmlformats.org/officeDocument/2006/relationships/footer" Target="footer99.xml"/><Relationship Id="rId392" Type="http://schemas.openxmlformats.org/officeDocument/2006/relationships/footer" Target="footer190.xml"/><Relationship Id="rId427" Type="http://schemas.openxmlformats.org/officeDocument/2006/relationships/footer" Target="footer208.xml"/><Relationship Id="rId26" Type="http://schemas.openxmlformats.org/officeDocument/2006/relationships/header" Target="header8.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footer" Target="footer141.xml"/><Relationship Id="rId308" Type="http://schemas.openxmlformats.org/officeDocument/2006/relationships/header" Target="header149.xml"/><Relationship Id="rId329" Type="http://schemas.openxmlformats.org/officeDocument/2006/relationships/footer" Target="footer159.xml"/><Relationship Id="rId47" Type="http://schemas.openxmlformats.org/officeDocument/2006/relationships/header" Target="header19.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footer" Target="footer50.xml"/><Relationship Id="rId133" Type="http://schemas.openxmlformats.org/officeDocument/2006/relationships/footer" Target="footer61.xml"/><Relationship Id="rId154" Type="http://schemas.openxmlformats.org/officeDocument/2006/relationships/header" Target="header72.xml"/><Relationship Id="rId175" Type="http://schemas.openxmlformats.org/officeDocument/2006/relationships/header" Target="header83.xml"/><Relationship Id="rId340" Type="http://schemas.openxmlformats.org/officeDocument/2006/relationships/header" Target="header165.xml"/><Relationship Id="rId361" Type="http://schemas.openxmlformats.org/officeDocument/2006/relationships/header" Target="header176.xml"/><Relationship Id="rId196" Type="http://schemas.openxmlformats.org/officeDocument/2006/relationships/header" Target="header93.xml"/><Relationship Id="rId200" Type="http://schemas.openxmlformats.org/officeDocument/2006/relationships/header" Target="header95.xml"/><Relationship Id="rId382" Type="http://schemas.openxmlformats.org/officeDocument/2006/relationships/header" Target="header186.xml"/><Relationship Id="rId417" Type="http://schemas.openxmlformats.org/officeDocument/2006/relationships/footer" Target="footer203.xml"/><Relationship Id="rId438" Type="http://schemas.openxmlformats.org/officeDocument/2006/relationships/footer" Target="footer213.xml"/><Relationship Id="rId16" Type="http://schemas.openxmlformats.org/officeDocument/2006/relationships/header" Target="header3.xml"/><Relationship Id="rId221" Type="http://schemas.openxmlformats.org/officeDocument/2006/relationships/header" Target="header106.xml"/><Relationship Id="rId242" Type="http://schemas.openxmlformats.org/officeDocument/2006/relationships/header" Target="header116.xml"/><Relationship Id="rId263" Type="http://schemas.openxmlformats.org/officeDocument/2006/relationships/header" Target="header127.xml"/><Relationship Id="rId284" Type="http://schemas.openxmlformats.org/officeDocument/2006/relationships/header" Target="header137.xml"/><Relationship Id="rId319" Type="http://schemas.openxmlformats.org/officeDocument/2006/relationships/footer" Target="footer154.xml"/><Relationship Id="rId37" Type="http://schemas.openxmlformats.org/officeDocument/2006/relationships/footer" Target="footer13.xml"/><Relationship Id="rId58" Type="http://schemas.openxmlformats.org/officeDocument/2006/relationships/header" Target="header24.xml"/><Relationship Id="rId79" Type="http://schemas.openxmlformats.org/officeDocument/2006/relationships/footer" Target="footer34.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330" Type="http://schemas.openxmlformats.org/officeDocument/2006/relationships/header" Target="header160.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351" Type="http://schemas.openxmlformats.org/officeDocument/2006/relationships/footer" Target="footer170.xml"/><Relationship Id="rId372" Type="http://schemas.openxmlformats.org/officeDocument/2006/relationships/header" Target="header181.xml"/><Relationship Id="rId393" Type="http://schemas.openxmlformats.org/officeDocument/2006/relationships/footer" Target="footer191.xml"/><Relationship Id="rId407" Type="http://schemas.openxmlformats.org/officeDocument/2006/relationships/footer" Target="footer198.xml"/><Relationship Id="rId428" Type="http://schemas.openxmlformats.org/officeDocument/2006/relationships/header" Target="header209.xml"/><Relationship Id="rId211" Type="http://schemas.openxmlformats.org/officeDocument/2006/relationships/footer" Target="footer100.xml"/><Relationship Id="rId232" Type="http://schemas.openxmlformats.org/officeDocument/2006/relationships/header" Target="header111.xml"/><Relationship Id="rId253" Type="http://schemas.openxmlformats.org/officeDocument/2006/relationships/footer" Target="footer121.xml"/><Relationship Id="rId274" Type="http://schemas.openxmlformats.org/officeDocument/2006/relationships/header" Target="header132.xml"/><Relationship Id="rId295" Type="http://schemas.openxmlformats.org/officeDocument/2006/relationships/footer" Target="footer142.xml"/><Relationship Id="rId309" Type="http://schemas.openxmlformats.org/officeDocument/2006/relationships/footer" Target="footer149.xml"/><Relationship Id="rId27" Type="http://schemas.openxmlformats.org/officeDocument/2006/relationships/header" Target="header9.xml"/><Relationship Id="rId48" Type="http://schemas.openxmlformats.org/officeDocument/2006/relationships/footer" Target="footer18.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header" Target="header62.xml"/><Relationship Id="rId320" Type="http://schemas.openxmlformats.org/officeDocument/2006/relationships/header" Target="header155.xml"/><Relationship Id="rId80" Type="http://schemas.openxmlformats.org/officeDocument/2006/relationships/header" Target="header35.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341" Type="http://schemas.openxmlformats.org/officeDocument/2006/relationships/footer" Target="footer165.xml"/><Relationship Id="rId362" Type="http://schemas.openxmlformats.org/officeDocument/2006/relationships/footer" Target="footer175.xml"/><Relationship Id="rId383" Type="http://schemas.openxmlformats.org/officeDocument/2006/relationships/footer" Target="footer186.xml"/><Relationship Id="rId418" Type="http://schemas.openxmlformats.org/officeDocument/2006/relationships/header" Target="header204.xml"/><Relationship Id="rId439" Type="http://schemas.openxmlformats.org/officeDocument/2006/relationships/footer" Target="footer214.xml"/><Relationship Id="rId201" Type="http://schemas.openxmlformats.org/officeDocument/2006/relationships/header" Target="header96.xml"/><Relationship Id="rId222" Type="http://schemas.openxmlformats.org/officeDocument/2006/relationships/footer" Target="footer105.xml"/><Relationship Id="rId243" Type="http://schemas.openxmlformats.org/officeDocument/2006/relationships/header" Target="header117.xml"/><Relationship Id="rId264" Type="http://schemas.openxmlformats.org/officeDocument/2006/relationships/footer" Target="footer126.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header" Target="header14.xml"/><Relationship Id="rId59" Type="http://schemas.openxmlformats.org/officeDocument/2006/relationships/header" Target="header25.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footer" Target="footer40.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footer" Target="footer88.xml"/><Relationship Id="rId331" Type="http://schemas.openxmlformats.org/officeDocument/2006/relationships/header" Target="header161.xml"/><Relationship Id="rId352" Type="http://schemas.openxmlformats.org/officeDocument/2006/relationships/header" Target="header171.xml"/><Relationship Id="rId373" Type="http://schemas.openxmlformats.org/officeDocument/2006/relationships/header" Target="header182.xml"/><Relationship Id="rId394" Type="http://schemas.openxmlformats.org/officeDocument/2006/relationships/header" Target="header192.xml"/><Relationship Id="rId408" Type="http://schemas.openxmlformats.org/officeDocument/2006/relationships/header" Target="header199.xml"/><Relationship Id="rId429" Type="http://schemas.openxmlformats.org/officeDocument/2006/relationships/footer" Target="footer209.xml"/><Relationship Id="rId1" Type="http://schemas.openxmlformats.org/officeDocument/2006/relationships/customXml" Target="../customXml/item1.xml"/><Relationship Id="rId212" Type="http://schemas.openxmlformats.org/officeDocument/2006/relationships/header" Target="header101.xml"/><Relationship Id="rId233" Type="http://schemas.openxmlformats.org/officeDocument/2006/relationships/footer" Target="footer111.xml"/><Relationship Id="rId254" Type="http://schemas.openxmlformats.org/officeDocument/2006/relationships/header" Target="header122.xml"/><Relationship Id="rId440" Type="http://schemas.openxmlformats.org/officeDocument/2006/relationships/header" Target="header215.xml"/><Relationship Id="rId28" Type="http://schemas.openxmlformats.org/officeDocument/2006/relationships/footer" Target="footer8.xml"/><Relationship Id="rId49" Type="http://schemas.openxmlformats.org/officeDocument/2006/relationships/footer" Target="footer19.xml"/><Relationship Id="rId114" Type="http://schemas.openxmlformats.org/officeDocument/2006/relationships/header" Target="header52.xml"/><Relationship Id="rId275" Type="http://schemas.openxmlformats.org/officeDocument/2006/relationships/header" Target="header133.xml"/><Relationship Id="rId296" Type="http://schemas.openxmlformats.org/officeDocument/2006/relationships/header" Target="header143.xml"/><Relationship Id="rId300" Type="http://schemas.openxmlformats.org/officeDocument/2006/relationships/footer" Target="footer144.xml"/><Relationship Id="rId60" Type="http://schemas.openxmlformats.org/officeDocument/2006/relationships/footer" Target="footer24.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342" Type="http://schemas.openxmlformats.org/officeDocument/2006/relationships/header" Target="header166.xml"/><Relationship Id="rId363" Type="http://schemas.openxmlformats.org/officeDocument/2006/relationships/footer" Target="footer176.xml"/><Relationship Id="rId384" Type="http://schemas.openxmlformats.org/officeDocument/2006/relationships/header" Target="header187.xml"/><Relationship Id="rId419" Type="http://schemas.openxmlformats.org/officeDocument/2006/relationships/footer" Target="footer204.xml"/><Relationship Id="rId202" Type="http://schemas.openxmlformats.org/officeDocument/2006/relationships/footer" Target="footer95.xml"/><Relationship Id="rId223" Type="http://schemas.openxmlformats.org/officeDocument/2006/relationships/footer" Target="footer106.xml"/><Relationship Id="rId244" Type="http://schemas.openxmlformats.org/officeDocument/2006/relationships/footer" Target="footer116.xml"/><Relationship Id="rId430" Type="http://schemas.openxmlformats.org/officeDocument/2006/relationships/header" Target="header210.xml"/><Relationship Id="rId18" Type="http://schemas.openxmlformats.org/officeDocument/2006/relationships/header" Target="header4.xml"/><Relationship Id="rId39" Type="http://schemas.openxmlformats.org/officeDocument/2006/relationships/header" Target="header15.xml"/><Relationship Id="rId265" Type="http://schemas.openxmlformats.org/officeDocument/2006/relationships/footer" Target="footer127.xml"/><Relationship Id="rId286" Type="http://schemas.openxmlformats.org/officeDocument/2006/relationships/header" Target="header138.xml"/><Relationship Id="rId50" Type="http://schemas.openxmlformats.org/officeDocument/2006/relationships/header" Target="header20.xml"/><Relationship Id="rId104" Type="http://schemas.openxmlformats.org/officeDocument/2006/relationships/footer" Target="footer46.xml"/><Relationship Id="rId125" Type="http://schemas.openxmlformats.org/officeDocument/2006/relationships/header" Target="header58.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header" Target="header89.xml"/><Relationship Id="rId311" Type="http://schemas.openxmlformats.org/officeDocument/2006/relationships/header" Target="header151.xml"/><Relationship Id="rId332" Type="http://schemas.openxmlformats.org/officeDocument/2006/relationships/footer" Target="footer160.xml"/><Relationship Id="rId353" Type="http://schemas.openxmlformats.org/officeDocument/2006/relationships/header" Target="header172.xml"/><Relationship Id="rId374" Type="http://schemas.openxmlformats.org/officeDocument/2006/relationships/footer" Target="footer181.xml"/><Relationship Id="rId395" Type="http://schemas.openxmlformats.org/officeDocument/2006/relationships/footer" Target="footer192.xml"/><Relationship Id="rId409" Type="http://schemas.openxmlformats.org/officeDocument/2006/relationships/header" Target="header200.xml"/><Relationship Id="rId71" Type="http://schemas.openxmlformats.org/officeDocument/2006/relationships/footer" Target="footer30.xml"/><Relationship Id="rId92" Type="http://schemas.openxmlformats.org/officeDocument/2006/relationships/header" Target="header41.xml"/><Relationship Id="rId213" Type="http://schemas.openxmlformats.org/officeDocument/2006/relationships/footer" Target="footer101.xml"/><Relationship Id="rId234" Type="http://schemas.openxmlformats.org/officeDocument/2006/relationships/header" Target="header112.xml"/><Relationship Id="rId420" Type="http://schemas.openxmlformats.org/officeDocument/2006/relationships/header" Target="header205.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footer" Target="footer132.xml"/><Relationship Id="rId297" Type="http://schemas.openxmlformats.org/officeDocument/2006/relationships/footer" Target="footer143.xml"/><Relationship Id="rId441" Type="http://schemas.openxmlformats.org/officeDocument/2006/relationships/footer" Target="footer215.xml"/><Relationship Id="rId40" Type="http://schemas.openxmlformats.org/officeDocument/2006/relationships/footer" Target="footer14.xml"/><Relationship Id="rId115" Type="http://schemas.openxmlformats.org/officeDocument/2006/relationships/footer" Target="footer52.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footer" Target="footer145.xml"/><Relationship Id="rId322" Type="http://schemas.openxmlformats.org/officeDocument/2006/relationships/header" Target="header156.xml"/><Relationship Id="rId343" Type="http://schemas.openxmlformats.org/officeDocument/2006/relationships/footer" Target="footer166.xml"/><Relationship Id="rId364" Type="http://schemas.openxmlformats.org/officeDocument/2006/relationships/header" Target="header177.xml"/><Relationship Id="rId61" Type="http://schemas.openxmlformats.org/officeDocument/2006/relationships/footer" Target="footer25.xml"/><Relationship Id="rId82" Type="http://schemas.openxmlformats.org/officeDocument/2006/relationships/header" Target="header36.xml"/><Relationship Id="rId199" Type="http://schemas.openxmlformats.org/officeDocument/2006/relationships/footer" Target="footer94.xml"/><Relationship Id="rId203" Type="http://schemas.openxmlformats.org/officeDocument/2006/relationships/footer" Target="footer96.xml"/><Relationship Id="rId385" Type="http://schemas.openxmlformats.org/officeDocument/2006/relationships/header" Target="header188.xml"/><Relationship Id="rId19" Type="http://schemas.openxmlformats.org/officeDocument/2006/relationships/header" Target="header5.xml"/><Relationship Id="rId224" Type="http://schemas.openxmlformats.org/officeDocument/2006/relationships/header" Target="header107.xml"/><Relationship Id="rId245" Type="http://schemas.openxmlformats.org/officeDocument/2006/relationships/footer" Target="footer117.xml"/><Relationship Id="rId266" Type="http://schemas.openxmlformats.org/officeDocument/2006/relationships/header" Target="header128.xml"/><Relationship Id="rId287" Type="http://schemas.openxmlformats.org/officeDocument/2006/relationships/header" Target="header139.xml"/><Relationship Id="rId410" Type="http://schemas.openxmlformats.org/officeDocument/2006/relationships/footer" Target="footer199.xml"/><Relationship Id="rId431" Type="http://schemas.openxmlformats.org/officeDocument/2006/relationships/header" Target="header211.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footer" Target="footer57.xml"/><Relationship Id="rId147" Type="http://schemas.openxmlformats.org/officeDocument/2006/relationships/footer" Target="footer68.xml"/><Relationship Id="rId168" Type="http://schemas.openxmlformats.org/officeDocument/2006/relationships/header" Target="header79.xml"/><Relationship Id="rId312" Type="http://schemas.openxmlformats.org/officeDocument/2006/relationships/footer" Target="footer150.xml"/><Relationship Id="rId333" Type="http://schemas.openxmlformats.org/officeDocument/2006/relationships/footer" Target="footer161.xml"/><Relationship Id="rId354" Type="http://schemas.openxmlformats.org/officeDocument/2006/relationships/footer" Target="footer171.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 Id="rId375" Type="http://schemas.openxmlformats.org/officeDocument/2006/relationships/footer" Target="footer182.xml"/><Relationship Id="rId396" Type="http://schemas.openxmlformats.org/officeDocument/2006/relationships/header" Target="header193.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footer" Target="footer112.xml"/><Relationship Id="rId256" Type="http://schemas.openxmlformats.org/officeDocument/2006/relationships/header" Target="header123.xml"/><Relationship Id="rId277" Type="http://schemas.openxmlformats.org/officeDocument/2006/relationships/footer" Target="footer133.xml"/><Relationship Id="rId298" Type="http://schemas.openxmlformats.org/officeDocument/2006/relationships/header" Target="header144.xml"/><Relationship Id="rId400" Type="http://schemas.openxmlformats.org/officeDocument/2006/relationships/header" Target="header195.xml"/><Relationship Id="rId421" Type="http://schemas.openxmlformats.org/officeDocument/2006/relationships/footer" Target="footer205.xml"/><Relationship Id="rId442" Type="http://schemas.openxmlformats.org/officeDocument/2006/relationships/header" Target="header216.xml"/><Relationship Id="rId116" Type="http://schemas.openxmlformats.org/officeDocument/2006/relationships/header" Target="header53.xml"/><Relationship Id="rId137" Type="http://schemas.openxmlformats.org/officeDocument/2006/relationships/footer" Target="footer63.xml"/><Relationship Id="rId158" Type="http://schemas.openxmlformats.org/officeDocument/2006/relationships/footer" Target="footer73.xml"/><Relationship Id="rId302" Type="http://schemas.openxmlformats.org/officeDocument/2006/relationships/header" Target="header146.xml"/><Relationship Id="rId323" Type="http://schemas.openxmlformats.org/officeDocument/2006/relationships/footer" Target="footer156.xml"/><Relationship Id="rId344" Type="http://schemas.openxmlformats.org/officeDocument/2006/relationships/header" Target="header167.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header" Target="header26.xml"/><Relationship Id="rId83" Type="http://schemas.openxmlformats.org/officeDocument/2006/relationships/footer" Target="footer36.xml"/><Relationship Id="rId179" Type="http://schemas.openxmlformats.org/officeDocument/2006/relationships/footer" Target="footer84.xml"/><Relationship Id="rId365" Type="http://schemas.openxmlformats.org/officeDocument/2006/relationships/footer" Target="footer177.xml"/><Relationship Id="rId386" Type="http://schemas.openxmlformats.org/officeDocument/2006/relationships/footer" Target="footer187.xml"/><Relationship Id="rId190" Type="http://schemas.openxmlformats.org/officeDocument/2006/relationships/header" Target="header90.xml"/><Relationship Id="rId204" Type="http://schemas.openxmlformats.org/officeDocument/2006/relationships/header" Target="header97.xml"/><Relationship Id="rId225" Type="http://schemas.openxmlformats.org/officeDocument/2006/relationships/footer" Target="footer107.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footer" Target="footer138.xml"/><Relationship Id="rId411" Type="http://schemas.openxmlformats.org/officeDocument/2006/relationships/footer" Target="footer200.xml"/><Relationship Id="rId432" Type="http://schemas.openxmlformats.org/officeDocument/2006/relationships/footer" Target="footer210.xml"/><Relationship Id="rId106" Type="http://schemas.openxmlformats.org/officeDocument/2006/relationships/header" Target="header48.xml"/><Relationship Id="rId127" Type="http://schemas.openxmlformats.org/officeDocument/2006/relationships/footer" Target="footer58.xml"/><Relationship Id="rId313" Type="http://schemas.openxmlformats.org/officeDocument/2006/relationships/footer" Target="footer151.xml"/><Relationship Id="rId10" Type="http://schemas.openxmlformats.org/officeDocument/2006/relationships/endnotes" Target="endnotes.xml"/><Relationship Id="rId31" Type="http://schemas.openxmlformats.org/officeDocument/2006/relationships/footer" Target="footer10.xml"/><Relationship Id="rId52" Type="http://schemas.openxmlformats.org/officeDocument/2006/relationships/header" Target="header21.xml"/><Relationship Id="rId73" Type="http://schemas.openxmlformats.org/officeDocument/2006/relationships/header" Target="header32.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header" Target="header80.xml"/><Relationship Id="rId334" Type="http://schemas.openxmlformats.org/officeDocument/2006/relationships/header" Target="header162.xml"/><Relationship Id="rId355" Type="http://schemas.openxmlformats.org/officeDocument/2006/relationships/footer" Target="footer172.xml"/><Relationship Id="rId376" Type="http://schemas.openxmlformats.org/officeDocument/2006/relationships/header" Target="header183.xml"/><Relationship Id="rId397" Type="http://schemas.openxmlformats.org/officeDocument/2006/relationships/header" Target="header194.xml"/><Relationship Id="rId4" Type="http://schemas.openxmlformats.org/officeDocument/2006/relationships/customXml" Target="../customXml/item4.xml"/><Relationship Id="rId180" Type="http://schemas.openxmlformats.org/officeDocument/2006/relationships/header" Target="header85.xml"/><Relationship Id="rId215" Type="http://schemas.openxmlformats.org/officeDocument/2006/relationships/header" Target="header103.xml"/><Relationship Id="rId236" Type="http://schemas.openxmlformats.org/officeDocument/2006/relationships/header" Target="header113.xml"/><Relationship Id="rId257" Type="http://schemas.openxmlformats.org/officeDocument/2006/relationships/header" Target="header124.xml"/><Relationship Id="rId278" Type="http://schemas.openxmlformats.org/officeDocument/2006/relationships/header" Target="header134.xml"/><Relationship Id="rId401" Type="http://schemas.openxmlformats.org/officeDocument/2006/relationships/footer" Target="footer195.xml"/><Relationship Id="rId422" Type="http://schemas.openxmlformats.org/officeDocument/2006/relationships/header" Target="header206.xml"/><Relationship Id="rId443" Type="http://schemas.openxmlformats.org/officeDocument/2006/relationships/footer" Target="footer216.xml"/><Relationship Id="rId303" Type="http://schemas.openxmlformats.org/officeDocument/2006/relationships/footer" Target="footer146.xml"/><Relationship Id="rId42" Type="http://schemas.openxmlformats.org/officeDocument/2006/relationships/header" Target="header16.xml"/><Relationship Id="rId84" Type="http://schemas.openxmlformats.org/officeDocument/2006/relationships/header" Target="header37.xml"/><Relationship Id="rId138" Type="http://schemas.openxmlformats.org/officeDocument/2006/relationships/header" Target="header64.xml"/><Relationship Id="rId345" Type="http://schemas.openxmlformats.org/officeDocument/2006/relationships/footer" Target="footer167.xml"/><Relationship Id="rId387" Type="http://schemas.openxmlformats.org/officeDocument/2006/relationships/footer" Target="footer188.xml"/><Relationship Id="rId191" Type="http://schemas.openxmlformats.org/officeDocument/2006/relationships/footer" Target="footer90.xml"/><Relationship Id="rId205" Type="http://schemas.openxmlformats.org/officeDocument/2006/relationships/footer" Target="footer97.xml"/><Relationship Id="rId247" Type="http://schemas.openxmlformats.org/officeDocument/2006/relationships/footer" Target="footer118.xml"/><Relationship Id="rId412" Type="http://schemas.openxmlformats.org/officeDocument/2006/relationships/header" Target="header201.xml"/><Relationship Id="rId107" Type="http://schemas.openxmlformats.org/officeDocument/2006/relationships/footer" Target="footer48.xml"/><Relationship Id="rId289" Type="http://schemas.openxmlformats.org/officeDocument/2006/relationships/footer" Target="footer139.xml"/><Relationship Id="rId11" Type="http://schemas.openxmlformats.org/officeDocument/2006/relationships/image" Target="media/image1.emf"/><Relationship Id="rId53" Type="http://schemas.openxmlformats.org/officeDocument/2006/relationships/header" Target="header22.xml"/><Relationship Id="rId149" Type="http://schemas.openxmlformats.org/officeDocument/2006/relationships/footer" Target="footer69.xml"/><Relationship Id="rId314" Type="http://schemas.openxmlformats.org/officeDocument/2006/relationships/header" Target="header152.xml"/><Relationship Id="rId356" Type="http://schemas.openxmlformats.org/officeDocument/2006/relationships/header" Target="header173.xml"/><Relationship Id="rId398" Type="http://schemas.openxmlformats.org/officeDocument/2006/relationships/footer" Target="footer193.xml"/><Relationship Id="rId95" Type="http://schemas.openxmlformats.org/officeDocument/2006/relationships/header" Target="header43.xml"/><Relationship Id="rId160" Type="http://schemas.openxmlformats.org/officeDocument/2006/relationships/header" Target="header75.xml"/><Relationship Id="rId216" Type="http://schemas.openxmlformats.org/officeDocument/2006/relationships/footer" Target="footer102.xml"/><Relationship Id="rId423" Type="http://schemas.openxmlformats.org/officeDocument/2006/relationships/header" Target="header207.xml"/><Relationship Id="rId258" Type="http://schemas.openxmlformats.org/officeDocument/2006/relationships/footer" Target="footer123.xml"/><Relationship Id="rId22" Type="http://schemas.openxmlformats.org/officeDocument/2006/relationships/header" Target="header6.xml"/><Relationship Id="rId64" Type="http://schemas.openxmlformats.org/officeDocument/2006/relationships/header" Target="header27.xml"/><Relationship Id="rId118" Type="http://schemas.openxmlformats.org/officeDocument/2006/relationships/header" Target="header54.xml"/><Relationship Id="rId325" Type="http://schemas.openxmlformats.org/officeDocument/2006/relationships/header" Target="header158.xml"/><Relationship Id="rId367" Type="http://schemas.openxmlformats.org/officeDocument/2006/relationships/header" Target="header179.xml"/><Relationship Id="rId171" Type="http://schemas.openxmlformats.org/officeDocument/2006/relationships/footer" Target="footer80.xml"/><Relationship Id="rId227" Type="http://schemas.openxmlformats.org/officeDocument/2006/relationships/footer" Target="footer108.xml"/><Relationship Id="rId269" Type="http://schemas.openxmlformats.org/officeDocument/2006/relationships/header" Target="header130.xml"/><Relationship Id="rId434" Type="http://schemas.openxmlformats.org/officeDocument/2006/relationships/header" Target="header212.xml"/><Relationship Id="rId33" Type="http://schemas.openxmlformats.org/officeDocument/2006/relationships/header" Target="header12.xml"/><Relationship Id="rId129" Type="http://schemas.openxmlformats.org/officeDocument/2006/relationships/footer" Target="footer59.xml"/><Relationship Id="rId280" Type="http://schemas.openxmlformats.org/officeDocument/2006/relationships/header" Target="header135.xml"/><Relationship Id="rId336" Type="http://schemas.openxmlformats.org/officeDocument/2006/relationships/header" Target="header163.xml"/></Relationships>
</file>

<file path=word/_rels/footnotes.xml.rels><?xml version="1.0" encoding="UTF-8" standalone="yes"?>
<Relationships xmlns="http://schemas.openxmlformats.org/package/2006/relationships"><Relationship Id="rId2" Type="http://schemas.openxmlformats.org/officeDocument/2006/relationships/hyperlink" Target="https://www.congreso.es/public_oficiales/L14/CONG/BOCG/D/BOCG-14-D-175.PDF" TargetMode="External"/><Relationship Id="rId1" Type="http://schemas.openxmlformats.org/officeDocument/2006/relationships/hyperlink" Target="https://ec.europa.eu/newsroom/dae/document.cfm?doc_id=64468" TargetMode="External"/></Relationships>
</file>

<file path=word/documenttasks/documenttasks1.xml><?xml version="1.0" encoding="utf-8"?>
<t:Tasks xmlns:t="http://schemas.microsoft.com/office/tasks/2019/documenttasks" xmlns:oel="http://schemas.microsoft.com/office/2019/extlst">
  <t:Task id="{5036F2E9-B427-4FC8-ADED-8C7EC5F86F97}">
    <t:Anchor>
      <t:Comment id="2146009445"/>
    </t:Anchor>
    <t:History>
      <t:Event time="2026-03-18T15:00:39.484Z" id="{2540A288-A2F2-472F-8CF8-62A37A897503}">
        <t:Attribution userId="S::coral.monge@ec.europa.eu::ea69632d-6716-40f4-8a00-f19c19310a58" userName="MONGE SANCHEZ Coral (ECFIN)" userProvider="AD"/>
        <t:Anchor>
          <t:Comment id="2146009445"/>
        </t:Anchor>
        <t:Create/>
      </t:Event>
      <t:Event time="2026-03-18T15:00:39.484Z" id="{B356D492-C02A-4378-89E5-6462B173FC00}">
        <t:Attribution userId="S::coral.monge@ec.europa.eu::ea69632d-6716-40f4-8a00-f19c19310a58" userName="MONGE SANCHEZ Coral (ECFIN)" userProvider="AD"/>
        <t:Anchor>
          <t:Comment id="2146009445"/>
        </t:Anchor>
        <t:Assign userId="S::Niels.VAN-NIEUWAMERONGEN@ec.europa.eu::1742e0d4-a0f0-4b73-9deb-11e7e296ec8b" userName="VAN NIEUWAMERONGEN Niels (ECFIN)" userProvider="AD"/>
      </t:Event>
      <t:Event time="2026-03-18T15:00:39.484Z" id="{396C30E7-9B53-45CD-B821-AB52DA8BBC77}">
        <t:Attribution userId="S::coral.monge@ec.europa.eu::ea69632d-6716-40f4-8a00-f19c19310a58" userName="MONGE SANCHEZ Coral (ECFIN)" userProvider="AD"/>
        <t:Anchor>
          <t:Comment id="2146009445"/>
        </t:Anchor>
        <t:SetTitle title="@VAN NIEUWAMERONGEN Niels (ECFIN) Changes to be added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a898ec2cb2cc5d995393b57596829421">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b828d0427a63670fdedcad903ccb6c11"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c789236-6f3d-4b09-86d0-e09cffd33a39}"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A5490-0C84-4434-B7A9-9F4485198040}">
  <ds:schemaRefs>
    <ds:schemaRef ds:uri="http://schemas.microsoft.com/sharepoint/v3/contenttype/forms"/>
  </ds:schemaRefs>
</ds:datastoreItem>
</file>

<file path=customXml/itemProps2.xml><?xml version="1.0" encoding="utf-8"?>
<ds:datastoreItem xmlns:ds="http://schemas.openxmlformats.org/officeDocument/2006/customXml" ds:itemID="{86482EB1-6E96-47CA-8CC5-1EF0D160657E}">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3.xml><?xml version="1.0" encoding="utf-8"?>
<ds:datastoreItem xmlns:ds="http://schemas.openxmlformats.org/officeDocument/2006/customXml" ds:itemID="{69C53B66-AF86-4F41-81BF-B4CB6F80E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F8C3BE-E636-4FCE-9E5C-5E15FB18D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8</Pages>
  <Words>127154</Words>
  <Characters>724782</Characters>
  <Application>Microsoft Office Word</Application>
  <DocSecurity>0</DocSecurity>
  <Lines>6039</Lines>
  <Paragraphs>1700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850236</CharactersWithSpaces>
  <SharedDoc>false</SharedDoc>
  <HLinks>
    <vt:vector size="444" baseType="variant">
      <vt:variant>
        <vt:i4>3539054</vt:i4>
      </vt:variant>
      <vt:variant>
        <vt:i4>0</vt:i4>
      </vt:variant>
      <vt:variant>
        <vt:i4>0</vt:i4>
      </vt:variant>
      <vt:variant>
        <vt:i4>5</vt:i4>
      </vt:variant>
      <vt:variant>
        <vt:lpwstr>https://eceuropaeu.sharepoint.com/teams/GRP-RRFSpainEuropeanCommission-RECOVERandECFINsharedworkspace/Shared Documents/RECOVER and ECFIN shared work space/1 RRP/06 Addendum/02 SIMPLIFICATION EXERCISE/02 Component/COMPONENTS FINAL WORDINGS/Nationa</vt:lpwstr>
      </vt:variant>
      <vt:variant>
        <vt:lpwstr/>
      </vt:variant>
      <vt:variant>
        <vt:i4>7471176</vt:i4>
      </vt:variant>
      <vt:variant>
        <vt:i4>3</vt:i4>
      </vt:variant>
      <vt:variant>
        <vt:i4>0</vt:i4>
      </vt:variant>
      <vt:variant>
        <vt:i4>5</vt:i4>
      </vt:variant>
      <vt:variant>
        <vt:lpwstr>https://www.congreso.es/public_oficiales/L14/CONG/BOCG/D/BOCG-14-D-175.PDF</vt:lpwstr>
      </vt:variant>
      <vt:variant>
        <vt:lpwstr/>
      </vt:variant>
      <vt:variant>
        <vt:i4>8323082</vt:i4>
      </vt:variant>
      <vt:variant>
        <vt:i4>0</vt:i4>
      </vt:variant>
      <vt:variant>
        <vt:i4>0</vt:i4>
      </vt:variant>
      <vt:variant>
        <vt:i4>5</vt:i4>
      </vt:variant>
      <vt:variant>
        <vt:lpwstr>https://ec.europa.eu/newsroom/dae/document.cfm?doc_id=64468</vt:lpwstr>
      </vt:variant>
      <vt:variant>
        <vt:lpwstr/>
      </vt:variant>
      <vt:variant>
        <vt:i4>2031743</vt:i4>
      </vt:variant>
      <vt:variant>
        <vt:i4>210</vt:i4>
      </vt:variant>
      <vt:variant>
        <vt:i4>0</vt:i4>
      </vt:variant>
      <vt:variant>
        <vt:i4>5</vt:i4>
      </vt:variant>
      <vt:variant>
        <vt:lpwstr>mailto:Alberto.VIDAN-BERMUDEZ@ec.europa.eu</vt:lpwstr>
      </vt:variant>
      <vt:variant>
        <vt:lpwstr/>
      </vt:variant>
      <vt:variant>
        <vt:i4>3604575</vt:i4>
      </vt:variant>
      <vt:variant>
        <vt:i4>207</vt:i4>
      </vt:variant>
      <vt:variant>
        <vt:i4>0</vt:i4>
      </vt:variant>
      <vt:variant>
        <vt:i4>5</vt:i4>
      </vt:variant>
      <vt:variant>
        <vt:lpwstr>mailto:Clara.PANELLA-GOMEZ@ec.europa.eu</vt:lpwstr>
      </vt:variant>
      <vt:variant>
        <vt:lpwstr/>
      </vt:variant>
      <vt:variant>
        <vt:i4>524335</vt:i4>
      </vt:variant>
      <vt:variant>
        <vt:i4>204</vt:i4>
      </vt:variant>
      <vt:variant>
        <vt:i4>0</vt:i4>
      </vt:variant>
      <vt:variant>
        <vt:i4>5</vt:i4>
      </vt:variant>
      <vt:variant>
        <vt:lpwstr>mailto:Borja.CRUSELLES-DE-MULLER@ec.europa.eu</vt:lpwstr>
      </vt:variant>
      <vt:variant>
        <vt:lpwstr/>
      </vt:variant>
      <vt:variant>
        <vt:i4>6750211</vt:i4>
      </vt:variant>
      <vt:variant>
        <vt:i4>201</vt:i4>
      </vt:variant>
      <vt:variant>
        <vt:i4>0</vt:i4>
      </vt:variant>
      <vt:variant>
        <vt:i4>5</vt:i4>
      </vt:variant>
      <vt:variant>
        <vt:lpwstr>mailto:Jaime.RUIZ-ROCAMORA@ec.europa.eu</vt:lpwstr>
      </vt:variant>
      <vt:variant>
        <vt:lpwstr/>
      </vt:variant>
      <vt:variant>
        <vt:i4>6750211</vt:i4>
      </vt:variant>
      <vt:variant>
        <vt:i4>198</vt:i4>
      </vt:variant>
      <vt:variant>
        <vt:i4>0</vt:i4>
      </vt:variant>
      <vt:variant>
        <vt:i4>5</vt:i4>
      </vt:variant>
      <vt:variant>
        <vt:lpwstr>mailto:Jaime.RUIZ-ROCAMORA@ec.europa.eu</vt:lpwstr>
      </vt:variant>
      <vt:variant>
        <vt:lpwstr/>
      </vt:variant>
      <vt:variant>
        <vt:i4>524335</vt:i4>
      </vt:variant>
      <vt:variant>
        <vt:i4>195</vt:i4>
      </vt:variant>
      <vt:variant>
        <vt:i4>0</vt:i4>
      </vt:variant>
      <vt:variant>
        <vt:i4>5</vt:i4>
      </vt:variant>
      <vt:variant>
        <vt:lpwstr>mailto:Borja.CRUSELLES-DE-MULLER@ec.europa.eu</vt:lpwstr>
      </vt:variant>
      <vt:variant>
        <vt:lpwstr/>
      </vt:variant>
      <vt:variant>
        <vt:i4>327782</vt:i4>
      </vt:variant>
      <vt:variant>
        <vt:i4>192</vt:i4>
      </vt:variant>
      <vt:variant>
        <vt:i4>0</vt:i4>
      </vt:variant>
      <vt:variant>
        <vt:i4>5</vt:i4>
      </vt:variant>
      <vt:variant>
        <vt:lpwstr>mailto:Elisa.GOMEZ-ALEMAN@ec.europa.eu</vt:lpwstr>
      </vt:variant>
      <vt:variant>
        <vt:lpwstr/>
      </vt:variant>
      <vt:variant>
        <vt:i4>524335</vt:i4>
      </vt:variant>
      <vt:variant>
        <vt:i4>189</vt:i4>
      </vt:variant>
      <vt:variant>
        <vt:i4>0</vt:i4>
      </vt:variant>
      <vt:variant>
        <vt:i4>5</vt:i4>
      </vt:variant>
      <vt:variant>
        <vt:lpwstr>mailto:Borja.CRUSELLES-DE-MULLER@ec.europa.eu</vt:lpwstr>
      </vt:variant>
      <vt:variant>
        <vt:lpwstr/>
      </vt:variant>
      <vt:variant>
        <vt:i4>6750211</vt:i4>
      </vt:variant>
      <vt:variant>
        <vt:i4>186</vt:i4>
      </vt:variant>
      <vt:variant>
        <vt:i4>0</vt:i4>
      </vt:variant>
      <vt:variant>
        <vt:i4>5</vt:i4>
      </vt:variant>
      <vt:variant>
        <vt:lpwstr>mailto:Jaime.RUIZ-ROCAMORA@ec.europa.eu</vt:lpwstr>
      </vt:variant>
      <vt:variant>
        <vt:lpwstr/>
      </vt:variant>
      <vt:variant>
        <vt:i4>2097161</vt:i4>
      </vt:variant>
      <vt:variant>
        <vt:i4>183</vt:i4>
      </vt:variant>
      <vt:variant>
        <vt:i4>0</vt:i4>
      </vt:variant>
      <vt:variant>
        <vt:i4>5</vt:i4>
      </vt:variant>
      <vt:variant>
        <vt:lpwstr>mailto:Georgiana-Ioana.MOZER-SCHONBORN@ec.europa.eu</vt:lpwstr>
      </vt:variant>
      <vt:variant>
        <vt:lpwstr/>
      </vt:variant>
      <vt:variant>
        <vt:i4>1179757</vt:i4>
      </vt:variant>
      <vt:variant>
        <vt:i4>180</vt:i4>
      </vt:variant>
      <vt:variant>
        <vt:i4>0</vt:i4>
      </vt:variant>
      <vt:variant>
        <vt:i4>5</vt:i4>
      </vt:variant>
      <vt:variant>
        <vt:lpwstr>mailto:Andres.MARTIN-PINTADO@ec.europa.eu</vt:lpwstr>
      </vt:variant>
      <vt:variant>
        <vt:lpwstr/>
      </vt:variant>
      <vt:variant>
        <vt:i4>2097161</vt:i4>
      </vt:variant>
      <vt:variant>
        <vt:i4>177</vt:i4>
      </vt:variant>
      <vt:variant>
        <vt:i4>0</vt:i4>
      </vt:variant>
      <vt:variant>
        <vt:i4>5</vt:i4>
      </vt:variant>
      <vt:variant>
        <vt:lpwstr>mailto:Georgiana-Ioana.MOZER-SCHONBORN@ec.europa.eu</vt:lpwstr>
      </vt:variant>
      <vt:variant>
        <vt:lpwstr/>
      </vt:variant>
      <vt:variant>
        <vt:i4>2883592</vt:i4>
      </vt:variant>
      <vt:variant>
        <vt:i4>174</vt:i4>
      </vt:variant>
      <vt:variant>
        <vt:i4>0</vt:i4>
      </vt:variant>
      <vt:variant>
        <vt:i4>5</vt:i4>
      </vt:variant>
      <vt:variant>
        <vt:lpwstr>mailto:Coral.MONGE@ec.europa.eu</vt:lpwstr>
      </vt:variant>
      <vt:variant>
        <vt:lpwstr/>
      </vt:variant>
      <vt:variant>
        <vt:i4>7667718</vt:i4>
      </vt:variant>
      <vt:variant>
        <vt:i4>171</vt:i4>
      </vt:variant>
      <vt:variant>
        <vt:i4>0</vt:i4>
      </vt:variant>
      <vt:variant>
        <vt:i4>5</vt:i4>
      </vt:variant>
      <vt:variant>
        <vt:lpwstr>mailto:Niels.VAN-NIEUWAMERONGEN@ec.europa.eu</vt:lpwstr>
      </vt:variant>
      <vt:variant>
        <vt:lpwstr/>
      </vt:variant>
      <vt:variant>
        <vt:i4>7667718</vt:i4>
      </vt:variant>
      <vt:variant>
        <vt:i4>168</vt:i4>
      </vt:variant>
      <vt:variant>
        <vt:i4>0</vt:i4>
      </vt:variant>
      <vt:variant>
        <vt:i4>5</vt:i4>
      </vt:variant>
      <vt:variant>
        <vt:lpwstr>mailto:Niels.VAN-NIEUWAMERONGEN@ec.europa.eu</vt:lpwstr>
      </vt:variant>
      <vt:variant>
        <vt:lpwstr/>
      </vt:variant>
      <vt:variant>
        <vt:i4>7667718</vt:i4>
      </vt:variant>
      <vt:variant>
        <vt:i4>165</vt:i4>
      </vt:variant>
      <vt:variant>
        <vt:i4>0</vt:i4>
      </vt:variant>
      <vt:variant>
        <vt:i4>5</vt:i4>
      </vt:variant>
      <vt:variant>
        <vt:lpwstr>mailto:Niels.VAN-NIEUWAMERONGEN@ec.europa.eu</vt:lpwstr>
      </vt:variant>
      <vt:variant>
        <vt:lpwstr/>
      </vt:variant>
      <vt:variant>
        <vt:i4>7667718</vt:i4>
      </vt:variant>
      <vt:variant>
        <vt:i4>162</vt:i4>
      </vt:variant>
      <vt:variant>
        <vt:i4>0</vt:i4>
      </vt:variant>
      <vt:variant>
        <vt:i4>5</vt:i4>
      </vt:variant>
      <vt:variant>
        <vt:lpwstr>mailto:Niels.VAN-NIEUWAMERONGEN@ec.europa.eu</vt:lpwstr>
      </vt:variant>
      <vt:variant>
        <vt:lpwstr/>
      </vt:variant>
      <vt:variant>
        <vt:i4>524335</vt:i4>
      </vt:variant>
      <vt:variant>
        <vt:i4>159</vt:i4>
      </vt:variant>
      <vt:variant>
        <vt:i4>0</vt:i4>
      </vt:variant>
      <vt:variant>
        <vt:i4>5</vt:i4>
      </vt:variant>
      <vt:variant>
        <vt:lpwstr>mailto:Borja.CRUSELLES-DE-MULLER@ec.europa.eu</vt:lpwstr>
      </vt:variant>
      <vt:variant>
        <vt:lpwstr/>
      </vt:variant>
      <vt:variant>
        <vt:i4>6750211</vt:i4>
      </vt:variant>
      <vt:variant>
        <vt:i4>156</vt:i4>
      </vt:variant>
      <vt:variant>
        <vt:i4>0</vt:i4>
      </vt:variant>
      <vt:variant>
        <vt:i4>5</vt:i4>
      </vt:variant>
      <vt:variant>
        <vt:lpwstr>mailto:Jaime.RUIZ-ROCAMORA@ec.europa.eu</vt:lpwstr>
      </vt:variant>
      <vt:variant>
        <vt:lpwstr/>
      </vt:variant>
      <vt:variant>
        <vt:i4>2490386</vt:i4>
      </vt:variant>
      <vt:variant>
        <vt:i4>153</vt:i4>
      </vt:variant>
      <vt:variant>
        <vt:i4>0</vt:i4>
      </vt:variant>
      <vt:variant>
        <vt:i4>5</vt:i4>
      </vt:variant>
      <vt:variant>
        <vt:lpwstr>mailto:Victor-Albert.PEDRERO-BOHNET@ec.europa.eu</vt:lpwstr>
      </vt:variant>
      <vt:variant>
        <vt:lpwstr/>
      </vt:variant>
      <vt:variant>
        <vt:i4>2490386</vt:i4>
      </vt:variant>
      <vt:variant>
        <vt:i4>150</vt:i4>
      </vt:variant>
      <vt:variant>
        <vt:i4>0</vt:i4>
      </vt:variant>
      <vt:variant>
        <vt:i4>5</vt:i4>
      </vt:variant>
      <vt:variant>
        <vt:lpwstr>mailto:Victor-Albert.PEDRERO-BOHNET@ec.europa.eu</vt:lpwstr>
      </vt:variant>
      <vt:variant>
        <vt:lpwstr/>
      </vt:variant>
      <vt:variant>
        <vt:i4>6160502</vt:i4>
      </vt:variant>
      <vt:variant>
        <vt:i4>147</vt:i4>
      </vt:variant>
      <vt:variant>
        <vt:i4>0</vt:i4>
      </vt:variant>
      <vt:variant>
        <vt:i4>5</vt:i4>
      </vt:variant>
      <vt:variant>
        <vt:lpwstr>mailto:Inigo.LANDETA@ec.europa.eu</vt:lpwstr>
      </vt:variant>
      <vt:variant>
        <vt:lpwstr/>
      </vt:variant>
      <vt:variant>
        <vt:i4>6160502</vt:i4>
      </vt:variant>
      <vt:variant>
        <vt:i4>144</vt:i4>
      </vt:variant>
      <vt:variant>
        <vt:i4>0</vt:i4>
      </vt:variant>
      <vt:variant>
        <vt:i4>5</vt:i4>
      </vt:variant>
      <vt:variant>
        <vt:lpwstr>mailto:Inigo.LANDETA@ec.europa.eu</vt:lpwstr>
      </vt:variant>
      <vt:variant>
        <vt:lpwstr/>
      </vt:variant>
      <vt:variant>
        <vt:i4>1179757</vt:i4>
      </vt:variant>
      <vt:variant>
        <vt:i4>141</vt:i4>
      </vt:variant>
      <vt:variant>
        <vt:i4>0</vt:i4>
      </vt:variant>
      <vt:variant>
        <vt:i4>5</vt:i4>
      </vt:variant>
      <vt:variant>
        <vt:lpwstr>mailto:Andres.MARTIN-PINTADO@ec.europa.eu</vt:lpwstr>
      </vt:variant>
      <vt:variant>
        <vt:lpwstr/>
      </vt:variant>
      <vt:variant>
        <vt:i4>1769520</vt:i4>
      </vt:variant>
      <vt:variant>
        <vt:i4>138</vt:i4>
      </vt:variant>
      <vt:variant>
        <vt:i4>0</vt:i4>
      </vt:variant>
      <vt:variant>
        <vt:i4>5</vt:i4>
      </vt:variant>
      <vt:variant>
        <vt:lpwstr>mailto:Maria-Jose.DOVAL-TEDIN@ec.europa.eu</vt:lpwstr>
      </vt:variant>
      <vt:variant>
        <vt:lpwstr/>
      </vt:variant>
      <vt:variant>
        <vt:i4>786530</vt:i4>
      </vt:variant>
      <vt:variant>
        <vt:i4>135</vt:i4>
      </vt:variant>
      <vt:variant>
        <vt:i4>0</vt:i4>
      </vt:variant>
      <vt:variant>
        <vt:i4>5</vt:i4>
      </vt:variant>
      <vt:variant>
        <vt:lpwstr>mailto:Carolina.MATEO-CECILIA@ec.europa.eu</vt:lpwstr>
      </vt:variant>
      <vt:variant>
        <vt:lpwstr/>
      </vt:variant>
      <vt:variant>
        <vt:i4>6750211</vt:i4>
      </vt:variant>
      <vt:variant>
        <vt:i4>132</vt:i4>
      </vt:variant>
      <vt:variant>
        <vt:i4>0</vt:i4>
      </vt:variant>
      <vt:variant>
        <vt:i4>5</vt:i4>
      </vt:variant>
      <vt:variant>
        <vt:lpwstr>mailto:Jaime.RUIZ-ROCAMORA@ec.europa.eu</vt:lpwstr>
      </vt:variant>
      <vt:variant>
        <vt:lpwstr/>
      </vt:variant>
      <vt:variant>
        <vt:i4>786530</vt:i4>
      </vt:variant>
      <vt:variant>
        <vt:i4>129</vt:i4>
      </vt:variant>
      <vt:variant>
        <vt:i4>0</vt:i4>
      </vt:variant>
      <vt:variant>
        <vt:i4>5</vt:i4>
      </vt:variant>
      <vt:variant>
        <vt:lpwstr>mailto:Carolina.MATEO-CECILIA@ec.europa.eu</vt:lpwstr>
      </vt:variant>
      <vt:variant>
        <vt:lpwstr/>
      </vt:variant>
      <vt:variant>
        <vt:i4>786530</vt:i4>
      </vt:variant>
      <vt:variant>
        <vt:i4>126</vt:i4>
      </vt:variant>
      <vt:variant>
        <vt:i4>0</vt:i4>
      </vt:variant>
      <vt:variant>
        <vt:i4>5</vt:i4>
      </vt:variant>
      <vt:variant>
        <vt:lpwstr>mailto:Carolina.MATEO-CECILIA@ec.europa.eu</vt:lpwstr>
      </vt:variant>
      <vt:variant>
        <vt:lpwstr/>
      </vt:variant>
      <vt:variant>
        <vt:i4>1310821</vt:i4>
      </vt:variant>
      <vt:variant>
        <vt:i4>123</vt:i4>
      </vt:variant>
      <vt:variant>
        <vt:i4>0</vt:i4>
      </vt:variant>
      <vt:variant>
        <vt:i4>5</vt:i4>
      </vt:variant>
      <vt:variant>
        <vt:lpwstr>mailto:Tomas.FIDELIS-NOGUEIRA@ec.europa.eu</vt:lpwstr>
      </vt:variant>
      <vt:variant>
        <vt:lpwstr/>
      </vt:variant>
      <vt:variant>
        <vt:i4>1310821</vt:i4>
      </vt:variant>
      <vt:variant>
        <vt:i4>120</vt:i4>
      </vt:variant>
      <vt:variant>
        <vt:i4>0</vt:i4>
      </vt:variant>
      <vt:variant>
        <vt:i4>5</vt:i4>
      </vt:variant>
      <vt:variant>
        <vt:lpwstr>mailto:Tomas.FIDELIS-NOGUEIRA@ec.europa.eu</vt:lpwstr>
      </vt:variant>
      <vt:variant>
        <vt:lpwstr/>
      </vt:variant>
      <vt:variant>
        <vt:i4>1310821</vt:i4>
      </vt:variant>
      <vt:variant>
        <vt:i4>117</vt:i4>
      </vt:variant>
      <vt:variant>
        <vt:i4>0</vt:i4>
      </vt:variant>
      <vt:variant>
        <vt:i4>5</vt:i4>
      </vt:variant>
      <vt:variant>
        <vt:lpwstr>mailto:Tomas.FIDELIS-NOGUEIRA@ec.europa.eu</vt:lpwstr>
      </vt:variant>
      <vt:variant>
        <vt:lpwstr/>
      </vt:variant>
      <vt:variant>
        <vt:i4>7602260</vt:i4>
      </vt:variant>
      <vt:variant>
        <vt:i4>114</vt:i4>
      </vt:variant>
      <vt:variant>
        <vt:i4>0</vt:i4>
      </vt:variant>
      <vt:variant>
        <vt:i4>5</vt:i4>
      </vt:variant>
      <vt:variant>
        <vt:lpwstr>mailto:Alexander.SCHWAN@ec.europa.eu</vt:lpwstr>
      </vt:variant>
      <vt:variant>
        <vt:lpwstr/>
      </vt:variant>
      <vt:variant>
        <vt:i4>6750211</vt:i4>
      </vt:variant>
      <vt:variant>
        <vt:i4>111</vt:i4>
      </vt:variant>
      <vt:variant>
        <vt:i4>0</vt:i4>
      </vt:variant>
      <vt:variant>
        <vt:i4>5</vt:i4>
      </vt:variant>
      <vt:variant>
        <vt:lpwstr>mailto:Jaime.RUIZ-ROCAMORA@ec.europa.eu</vt:lpwstr>
      </vt:variant>
      <vt:variant>
        <vt:lpwstr/>
      </vt:variant>
      <vt:variant>
        <vt:i4>6750211</vt:i4>
      </vt:variant>
      <vt:variant>
        <vt:i4>108</vt:i4>
      </vt:variant>
      <vt:variant>
        <vt:i4>0</vt:i4>
      </vt:variant>
      <vt:variant>
        <vt:i4>5</vt:i4>
      </vt:variant>
      <vt:variant>
        <vt:lpwstr>mailto:Jaime.RUIZ-ROCAMORA@ec.europa.eu</vt:lpwstr>
      </vt:variant>
      <vt:variant>
        <vt:lpwstr/>
      </vt:variant>
      <vt:variant>
        <vt:i4>262210</vt:i4>
      </vt:variant>
      <vt:variant>
        <vt:i4>105</vt:i4>
      </vt:variant>
      <vt:variant>
        <vt:i4>0</vt:i4>
      </vt:variant>
      <vt:variant>
        <vt:i4>5</vt:i4>
      </vt:variant>
      <vt:variant>
        <vt:lpwstr>https://eceuropaeu.sharepoint.com/:x:/r/teams/GRP-RRFSpainEuropeanCommission-RECOVERandECFINsharedworkspace/_layouts/15/Doc.aspx?sourcedoc=%7BEF51D8EF-132E-4ABB-B016-CE57A0EA7428%7D&amp;file=20260507_Tabla%20madre-Adenda.xlsx&amp;action=default&amp;mobileredirect=true</vt:lpwstr>
      </vt:variant>
      <vt:variant>
        <vt:lpwstr/>
      </vt:variant>
      <vt:variant>
        <vt:i4>4784226</vt:i4>
      </vt:variant>
      <vt:variant>
        <vt:i4>102</vt:i4>
      </vt:variant>
      <vt:variant>
        <vt:i4>0</vt:i4>
      </vt:variant>
      <vt:variant>
        <vt:i4>5</vt:i4>
      </vt:variant>
      <vt:variant>
        <vt:lpwstr>mailto:Nils.OELLERICH@ec.europa.eu</vt:lpwstr>
      </vt:variant>
      <vt:variant>
        <vt:lpwstr/>
      </vt:variant>
      <vt:variant>
        <vt:i4>1310821</vt:i4>
      </vt:variant>
      <vt:variant>
        <vt:i4>99</vt:i4>
      </vt:variant>
      <vt:variant>
        <vt:i4>0</vt:i4>
      </vt:variant>
      <vt:variant>
        <vt:i4>5</vt:i4>
      </vt:variant>
      <vt:variant>
        <vt:lpwstr>mailto:Tomas.FIDELIS-NOGUEIRA@ec.europa.eu</vt:lpwstr>
      </vt:variant>
      <vt:variant>
        <vt:lpwstr/>
      </vt:variant>
      <vt:variant>
        <vt:i4>1310821</vt:i4>
      </vt:variant>
      <vt:variant>
        <vt:i4>96</vt:i4>
      </vt:variant>
      <vt:variant>
        <vt:i4>0</vt:i4>
      </vt:variant>
      <vt:variant>
        <vt:i4>5</vt:i4>
      </vt:variant>
      <vt:variant>
        <vt:lpwstr>mailto:Tomas.FIDELIS-NOGUEIRA@ec.europa.eu</vt:lpwstr>
      </vt:variant>
      <vt:variant>
        <vt:lpwstr/>
      </vt:variant>
      <vt:variant>
        <vt:i4>1769520</vt:i4>
      </vt:variant>
      <vt:variant>
        <vt:i4>93</vt:i4>
      </vt:variant>
      <vt:variant>
        <vt:i4>0</vt:i4>
      </vt:variant>
      <vt:variant>
        <vt:i4>5</vt:i4>
      </vt:variant>
      <vt:variant>
        <vt:lpwstr>mailto:Maria-Jose.DOVAL-TEDIN@ec.europa.eu</vt:lpwstr>
      </vt:variant>
      <vt:variant>
        <vt:lpwstr/>
      </vt:variant>
      <vt:variant>
        <vt:i4>6750211</vt:i4>
      </vt:variant>
      <vt:variant>
        <vt:i4>90</vt:i4>
      </vt:variant>
      <vt:variant>
        <vt:i4>0</vt:i4>
      </vt:variant>
      <vt:variant>
        <vt:i4>5</vt:i4>
      </vt:variant>
      <vt:variant>
        <vt:lpwstr>mailto:Jaime.RUIZ-ROCAMORA@ec.europa.eu</vt:lpwstr>
      </vt:variant>
      <vt:variant>
        <vt:lpwstr/>
      </vt:variant>
      <vt:variant>
        <vt:i4>524335</vt:i4>
      </vt:variant>
      <vt:variant>
        <vt:i4>87</vt:i4>
      </vt:variant>
      <vt:variant>
        <vt:i4>0</vt:i4>
      </vt:variant>
      <vt:variant>
        <vt:i4>5</vt:i4>
      </vt:variant>
      <vt:variant>
        <vt:lpwstr>mailto:Borja.CRUSELLES-DE-MULLER@ec.europa.eu</vt:lpwstr>
      </vt:variant>
      <vt:variant>
        <vt:lpwstr/>
      </vt:variant>
      <vt:variant>
        <vt:i4>262210</vt:i4>
      </vt:variant>
      <vt:variant>
        <vt:i4>84</vt:i4>
      </vt:variant>
      <vt:variant>
        <vt:i4>0</vt:i4>
      </vt:variant>
      <vt:variant>
        <vt:i4>5</vt:i4>
      </vt:variant>
      <vt:variant>
        <vt:lpwstr>https://eceuropaeu.sharepoint.com/:x:/r/teams/GRP-RRFSpainEuropeanCommission-RECOVERandECFINsharedworkspace/_layouts/15/Doc.aspx?sourcedoc=%7BEF51D8EF-132E-4ABB-B016-CE57A0EA7428%7D&amp;file=20260507_Tabla%20madre-Adenda.xlsx&amp;action=default&amp;mobileredirect=true</vt:lpwstr>
      </vt:variant>
      <vt:variant>
        <vt:lpwstr/>
      </vt:variant>
      <vt:variant>
        <vt:i4>4784226</vt:i4>
      </vt:variant>
      <vt:variant>
        <vt:i4>81</vt:i4>
      </vt:variant>
      <vt:variant>
        <vt:i4>0</vt:i4>
      </vt:variant>
      <vt:variant>
        <vt:i4>5</vt:i4>
      </vt:variant>
      <vt:variant>
        <vt:lpwstr>mailto:Nils.OELLERICH@ec.europa.eu</vt:lpwstr>
      </vt:variant>
      <vt:variant>
        <vt:lpwstr/>
      </vt:variant>
      <vt:variant>
        <vt:i4>1310821</vt:i4>
      </vt:variant>
      <vt:variant>
        <vt:i4>78</vt:i4>
      </vt:variant>
      <vt:variant>
        <vt:i4>0</vt:i4>
      </vt:variant>
      <vt:variant>
        <vt:i4>5</vt:i4>
      </vt:variant>
      <vt:variant>
        <vt:lpwstr>mailto:Tomas.FIDELIS-NOGUEIRA@ec.europa.eu</vt:lpwstr>
      </vt:variant>
      <vt:variant>
        <vt:lpwstr/>
      </vt:variant>
      <vt:variant>
        <vt:i4>1703978</vt:i4>
      </vt:variant>
      <vt:variant>
        <vt:i4>75</vt:i4>
      </vt:variant>
      <vt:variant>
        <vt:i4>0</vt:i4>
      </vt:variant>
      <vt:variant>
        <vt:i4>5</vt:i4>
      </vt:variant>
      <vt:variant>
        <vt:lpwstr>mailto:Eleni.PAPADOPOULOU@ec.europa.eu</vt:lpwstr>
      </vt:variant>
      <vt:variant>
        <vt:lpwstr/>
      </vt:variant>
      <vt:variant>
        <vt:i4>1769520</vt:i4>
      </vt:variant>
      <vt:variant>
        <vt:i4>72</vt:i4>
      </vt:variant>
      <vt:variant>
        <vt:i4>0</vt:i4>
      </vt:variant>
      <vt:variant>
        <vt:i4>5</vt:i4>
      </vt:variant>
      <vt:variant>
        <vt:lpwstr>mailto:Maria-Jose.DOVAL-TEDIN@ec.europa.eu</vt:lpwstr>
      </vt:variant>
      <vt:variant>
        <vt:lpwstr/>
      </vt:variant>
      <vt:variant>
        <vt:i4>1703978</vt:i4>
      </vt:variant>
      <vt:variant>
        <vt:i4>69</vt:i4>
      </vt:variant>
      <vt:variant>
        <vt:i4>0</vt:i4>
      </vt:variant>
      <vt:variant>
        <vt:i4>5</vt:i4>
      </vt:variant>
      <vt:variant>
        <vt:lpwstr>mailto:Eleni.PAPADOPOULOU@ec.europa.eu</vt:lpwstr>
      </vt:variant>
      <vt:variant>
        <vt:lpwstr/>
      </vt:variant>
      <vt:variant>
        <vt:i4>4587562</vt:i4>
      </vt:variant>
      <vt:variant>
        <vt:i4>66</vt:i4>
      </vt:variant>
      <vt:variant>
        <vt:i4>0</vt:i4>
      </vt:variant>
      <vt:variant>
        <vt:i4>5</vt:i4>
      </vt:variant>
      <vt:variant>
        <vt:lpwstr>mailto:Raian.O-NEILL@ec.europa.eu</vt:lpwstr>
      </vt:variant>
      <vt:variant>
        <vt:lpwstr/>
      </vt:variant>
      <vt:variant>
        <vt:i4>1703978</vt:i4>
      </vt:variant>
      <vt:variant>
        <vt:i4>63</vt:i4>
      </vt:variant>
      <vt:variant>
        <vt:i4>0</vt:i4>
      </vt:variant>
      <vt:variant>
        <vt:i4>5</vt:i4>
      </vt:variant>
      <vt:variant>
        <vt:lpwstr>mailto:Eleni.PAPADOPOULOU@ec.europa.eu</vt:lpwstr>
      </vt:variant>
      <vt:variant>
        <vt:lpwstr/>
      </vt:variant>
      <vt:variant>
        <vt:i4>1769520</vt:i4>
      </vt:variant>
      <vt:variant>
        <vt:i4>60</vt:i4>
      </vt:variant>
      <vt:variant>
        <vt:i4>0</vt:i4>
      </vt:variant>
      <vt:variant>
        <vt:i4>5</vt:i4>
      </vt:variant>
      <vt:variant>
        <vt:lpwstr>mailto:Maria-Jose.DOVAL-TEDIN@ec.europa.eu</vt:lpwstr>
      </vt:variant>
      <vt:variant>
        <vt:lpwstr/>
      </vt:variant>
      <vt:variant>
        <vt:i4>6750211</vt:i4>
      </vt:variant>
      <vt:variant>
        <vt:i4>57</vt:i4>
      </vt:variant>
      <vt:variant>
        <vt:i4>0</vt:i4>
      </vt:variant>
      <vt:variant>
        <vt:i4>5</vt:i4>
      </vt:variant>
      <vt:variant>
        <vt:lpwstr>mailto:Jaime.RUIZ-ROCAMORA@ec.europa.eu</vt:lpwstr>
      </vt:variant>
      <vt:variant>
        <vt:lpwstr/>
      </vt:variant>
      <vt:variant>
        <vt:i4>262210</vt:i4>
      </vt:variant>
      <vt:variant>
        <vt:i4>54</vt:i4>
      </vt:variant>
      <vt:variant>
        <vt:i4>0</vt:i4>
      </vt:variant>
      <vt:variant>
        <vt:i4>5</vt:i4>
      </vt:variant>
      <vt:variant>
        <vt:lpwstr>https://eceuropaeu.sharepoint.com/:x:/r/teams/GRP-RRFSpainEuropeanCommission-RECOVERandECFINsharedworkspace/_layouts/15/Doc.aspx?sourcedoc=%7BEF51D8EF-132E-4ABB-B016-CE57A0EA7428%7D&amp;file=20260507_Tabla%20madre-Adenda.xlsx&amp;action=default&amp;mobileredirect=true</vt:lpwstr>
      </vt:variant>
      <vt:variant>
        <vt:lpwstr/>
      </vt:variant>
      <vt:variant>
        <vt:i4>4784226</vt:i4>
      </vt:variant>
      <vt:variant>
        <vt:i4>51</vt:i4>
      </vt:variant>
      <vt:variant>
        <vt:i4>0</vt:i4>
      </vt:variant>
      <vt:variant>
        <vt:i4>5</vt:i4>
      </vt:variant>
      <vt:variant>
        <vt:lpwstr>mailto:Nils.OELLERICH@ec.europa.eu</vt:lpwstr>
      </vt:variant>
      <vt:variant>
        <vt:lpwstr/>
      </vt:variant>
      <vt:variant>
        <vt:i4>1310821</vt:i4>
      </vt:variant>
      <vt:variant>
        <vt:i4>48</vt:i4>
      </vt:variant>
      <vt:variant>
        <vt:i4>0</vt:i4>
      </vt:variant>
      <vt:variant>
        <vt:i4>5</vt:i4>
      </vt:variant>
      <vt:variant>
        <vt:lpwstr>mailto:Tomas.FIDELIS-NOGUEIRA@ec.europa.eu</vt:lpwstr>
      </vt:variant>
      <vt:variant>
        <vt:lpwstr/>
      </vt:variant>
      <vt:variant>
        <vt:i4>1179757</vt:i4>
      </vt:variant>
      <vt:variant>
        <vt:i4>45</vt:i4>
      </vt:variant>
      <vt:variant>
        <vt:i4>0</vt:i4>
      </vt:variant>
      <vt:variant>
        <vt:i4>5</vt:i4>
      </vt:variant>
      <vt:variant>
        <vt:lpwstr>mailto:Andres.MARTIN-PINTADO@ec.europa.eu</vt:lpwstr>
      </vt:variant>
      <vt:variant>
        <vt:lpwstr/>
      </vt:variant>
      <vt:variant>
        <vt:i4>1703978</vt:i4>
      </vt:variant>
      <vt:variant>
        <vt:i4>42</vt:i4>
      </vt:variant>
      <vt:variant>
        <vt:i4>0</vt:i4>
      </vt:variant>
      <vt:variant>
        <vt:i4>5</vt:i4>
      </vt:variant>
      <vt:variant>
        <vt:lpwstr>mailto:Eleni.PAPADOPOULOU@ec.europa.eu</vt:lpwstr>
      </vt:variant>
      <vt:variant>
        <vt:lpwstr/>
      </vt:variant>
      <vt:variant>
        <vt:i4>1769520</vt:i4>
      </vt:variant>
      <vt:variant>
        <vt:i4>39</vt:i4>
      </vt:variant>
      <vt:variant>
        <vt:i4>0</vt:i4>
      </vt:variant>
      <vt:variant>
        <vt:i4>5</vt:i4>
      </vt:variant>
      <vt:variant>
        <vt:lpwstr>mailto:Maria-Jose.DOVAL-TEDIN@ec.europa.eu</vt:lpwstr>
      </vt:variant>
      <vt:variant>
        <vt:lpwstr/>
      </vt:variant>
      <vt:variant>
        <vt:i4>1703978</vt:i4>
      </vt:variant>
      <vt:variant>
        <vt:i4>36</vt:i4>
      </vt:variant>
      <vt:variant>
        <vt:i4>0</vt:i4>
      </vt:variant>
      <vt:variant>
        <vt:i4>5</vt:i4>
      </vt:variant>
      <vt:variant>
        <vt:lpwstr>mailto:Eleni.PAPADOPOULOU@ec.europa.eu</vt:lpwstr>
      </vt:variant>
      <vt:variant>
        <vt:lpwstr/>
      </vt:variant>
      <vt:variant>
        <vt:i4>1769520</vt:i4>
      </vt:variant>
      <vt:variant>
        <vt:i4>33</vt:i4>
      </vt:variant>
      <vt:variant>
        <vt:i4>0</vt:i4>
      </vt:variant>
      <vt:variant>
        <vt:i4>5</vt:i4>
      </vt:variant>
      <vt:variant>
        <vt:lpwstr>mailto:Maria-Jose.DOVAL-TEDIN@ec.europa.eu</vt:lpwstr>
      </vt:variant>
      <vt:variant>
        <vt:lpwstr/>
      </vt:variant>
      <vt:variant>
        <vt:i4>1703978</vt:i4>
      </vt:variant>
      <vt:variant>
        <vt:i4>30</vt:i4>
      </vt:variant>
      <vt:variant>
        <vt:i4>0</vt:i4>
      </vt:variant>
      <vt:variant>
        <vt:i4>5</vt:i4>
      </vt:variant>
      <vt:variant>
        <vt:lpwstr>mailto:Eleni.PAPADOPOULOU@ec.europa.eu</vt:lpwstr>
      </vt:variant>
      <vt:variant>
        <vt:lpwstr/>
      </vt:variant>
      <vt:variant>
        <vt:i4>6750211</vt:i4>
      </vt:variant>
      <vt:variant>
        <vt:i4>27</vt:i4>
      </vt:variant>
      <vt:variant>
        <vt:i4>0</vt:i4>
      </vt:variant>
      <vt:variant>
        <vt:i4>5</vt:i4>
      </vt:variant>
      <vt:variant>
        <vt:lpwstr>mailto:Jaime.RUIZ-ROCAMORA@ec.europa.eu</vt:lpwstr>
      </vt:variant>
      <vt:variant>
        <vt:lpwstr/>
      </vt:variant>
      <vt:variant>
        <vt:i4>6488073</vt:i4>
      </vt:variant>
      <vt:variant>
        <vt:i4>24</vt:i4>
      </vt:variant>
      <vt:variant>
        <vt:i4>0</vt:i4>
      </vt:variant>
      <vt:variant>
        <vt:i4>5</vt:i4>
      </vt:variant>
      <vt:variant>
        <vt:lpwstr>mailto:Anna.ARMENGOL-TORIO@ec.europa.eu</vt:lpwstr>
      </vt:variant>
      <vt:variant>
        <vt:lpwstr/>
      </vt:variant>
      <vt:variant>
        <vt:i4>6422539</vt:i4>
      </vt:variant>
      <vt:variant>
        <vt:i4>21</vt:i4>
      </vt:variant>
      <vt:variant>
        <vt:i4>0</vt:i4>
      </vt:variant>
      <vt:variant>
        <vt:i4>5</vt:i4>
      </vt:variant>
      <vt:variant>
        <vt:lpwstr>mailto:Cristina.COSTA-SALAVEDRA@ec.europa.eu</vt:lpwstr>
      </vt:variant>
      <vt:variant>
        <vt:lpwstr/>
      </vt:variant>
      <vt:variant>
        <vt:i4>5374049</vt:i4>
      </vt:variant>
      <vt:variant>
        <vt:i4>18</vt:i4>
      </vt:variant>
      <vt:variant>
        <vt:i4>0</vt:i4>
      </vt:variant>
      <vt:variant>
        <vt:i4>5</vt:i4>
      </vt:variant>
      <vt:variant>
        <vt:lpwstr>mailto:Hugo.BOHAN@ec.europa.eu</vt:lpwstr>
      </vt:variant>
      <vt:variant>
        <vt:lpwstr/>
      </vt:variant>
      <vt:variant>
        <vt:i4>131109</vt:i4>
      </vt:variant>
      <vt:variant>
        <vt:i4>15</vt:i4>
      </vt:variant>
      <vt:variant>
        <vt:i4>0</vt:i4>
      </vt:variant>
      <vt:variant>
        <vt:i4>5</vt:i4>
      </vt:variant>
      <vt:variant>
        <vt:lpwstr>mailto:Simone.MACCHI@ec.europa.eu</vt:lpwstr>
      </vt:variant>
      <vt:variant>
        <vt:lpwstr/>
      </vt:variant>
      <vt:variant>
        <vt:i4>131109</vt:i4>
      </vt:variant>
      <vt:variant>
        <vt:i4>12</vt:i4>
      </vt:variant>
      <vt:variant>
        <vt:i4>0</vt:i4>
      </vt:variant>
      <vt:variant>
        <vt:i4>5</vt:i4>
      </vt:variant>
      <vt:variant>
        <vt:lpwstr>mailto:Simone.MACCHI@ec.europa.eu</vt:lpwstr>
      </vt:variant>
      <vt:variant>
        <vt:lpwstr/>
      </vt:variant>
      <vt:variant>
        <vt:i4>1179757</vt:i4>
      </vt:variant>
      <vt:variant>
        <vt:i4>9</vt:i4>
      </vt:variant>
      <vt:variant>
        <vt:i4>0</vt:i4>
      </vt:variant>
      <vt:variant>
        <vt:i4>5</vt:i4>
      </vt:variant>
      <vt:variant>
        <vt:lpwstr>mailto:Andres.MARTIN-PINTADO@ec.europa.eu</vt:lpwstr>
      </vt:variant>
      <vt:variant>
        <vt:lpwstr/>
      </vt:variant>
      <vt:variant>
        <vt:i4>131109</vt:i4>
      </vt:variant>
      <vt:variant>
        <vt:i4>6</vt:i4>
      </vt:variant>
      <vt:variant>
        <vt:i4>0</vt:i4>
      </vt:variant>
      <vt:variant>
        <vt:i4>5</vt:i4>
      </vt:variant>
      <vt:variant>
        <vt:lpwstr>mailto:Simone.MACCHI@ec.europa.eu</vt:lpwstr>
      </vt:variant>
      <vt:variant>
        <vt:lpwstr/>
      </vt:variant>
      <vt:variant>
        <vt:i4>1769520</vt:i4>
      </vt:variant>
      <vt:variant>
        <vt:i4>3</vt:i4>
      </vt:variant>
      <vt:variant>
        <vt:i4>0</vt:i4>
      </vt:variant>
      <vt:variant>
        <vt:i4>5</vt:i4>
      </vt:variant>
      <vt:variant>
        <vt:lpwstr>mailto:Maria-Jose.DOVAL-TEDIN@ec.europa.eu</vt:lpwstr>
      </vt:variant>
      <vt:variant>
        <vt:lpwstr/>
      </vt:variant>
      <vt:variant>
        <vt:i4>131109</vt:i4>
      </vt:variant>
      <vt:variant>
        <vt:i4>0</vt:i4>
      </vt:variant>
      <vt:variant>
        <vt:i4>0</vt:i4>
      </vt:variant>
      <vt:variant>
        <vt:i4>5</vt:i4>
      </vt:variant>
      <vt:variant>
        <vt:lpwstr>mailto:Simone.MACCHI@ec.europa.eu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2026-05-27T11:01:00Z</dcterms:created>
  <dcterms:modified xsi:type="dcterms:W3CDTF">2026-05-28T10:21:00Z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2025-12-12T15:55:57Z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9b2b43dd-1789-4659-9d09-ef4866d0ee2a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y fmtid="{D5CDD505-2E9C-101B-9397-08002B2CF9AE}" pid="20" name="ContentTypeId">
    <vt:lpwstr>0x01010062094E9F29D6C04F85860C631ABC812A</vt:lpwstr>
  </property>
  <property fmtid="{D5CDD505-2E9C-101B-9397-08002B2CF9AE}" pid="21" name="MediaServiceImageTags">
    <vt:lpwstr/>
  </property>
</Properties>
</file>