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EA0CA7" w:rsidRDefault="00380336" w:rsidP="00380336">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4294638-2EC3-4C0E-9414-2F47C00249D2" style="width:455.25pt;height:357.75pt">
            <v:imagedata r:id="rId11" o:title=""/>
          </v:shape>
        </w:pict>
      </w:r>
    </w:p>
    <w:p w:rsidR="00A83B18" w:rsidRPr="00EA0CA7" w:rsidRDefault="00A83B18" w:rsidP="00A83B18">
      <w:pPr>
        <w:pStyle w:val="Pagedecouverture"/>
        <w:rPr>
          <w:noProof/>
        </w:rPr>
        <w:sectPr w:rsidR="00A83B18" w:rsidRPr="00EA0CA7" w:rsidSect="00380336">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EA0CA7" w:rsidRDefault="00DB38C7" w:rsidP="00DB38C7">
      <w:pPr>
        <w:pStyle w:val="Exposdesmotifstitre"/>
        <w:rPr>
          <w:noProof/>
        </w:rPr>
      </w:pPr>
      <w:bookmarkStart w:id="1" w:name="_GoBack"/>
      <w:bookmarkEnd w:id="1"/>
    </w:p>
    <w:p w:rsidR="00607CA2" w:rsidRPr="00EA0CA7" w:rsidRDefault="00607CA2" w:rsidP="00607CA2">
      <w:pPr>
        <w:rPr>
          <w:noProof/>
        </w:rPr>
      </w:pPr>
    </w:p>
    <w:p w:rsidR="008C6DC4" w:rsidRDefault="006C08E4">
      <w:pPr>
        <w:pStyle w:val="Rfrenceinterinstitutionnelle"/>
        <w:rPr>
          <w:noProof/>
        </w:rPr>
      </w:pPr>
      <w:r>
        <w:rPr>
          <w:noProof/>
        </w:rPr>
        <w:t>2026/0132 (NLE)</w:t>
      </w:r>
    </w:p>
    <w:p w:rsidR="002709B6" w:rsidRPr="00EA0CA7" w:rsidRDefault="00EA0CA7" w:rsidP="00EA0CA7">
      <w:pPr>
        <w:pStyle w:val="Statut"/>
        <w:rPr>
          <w:noProof/>
        </w:rPr>
      </w:pPr>
      <w:r w:rsidRPr="00EA0CA7">
        <w:rPr>
          <w:noProof/>
        </w:rPr>
        <w:t>Proposition de</w:t>
      </w:r>
    </w:p>
    <w:p w:rsidR="002709B6" w:rsidRPr="00EA0CA7" w:rsidRDefault="00EA0CA7" w:rsidP="00EA0CA7">
      <w:pPr>
        <w:pStyle w:val="Typedudocument"/>
        <w:rPr>
          <w:noProof/>
        </w:rPr>
      </w:pPr>
      <w:r w:rsidRPr="00EA0CA7">
        <w:rPr>
          <w:noProof/>
        </w:rPr>
        <w:t>DÉCISION D’EXÉCUTION DU CONSEIL</w:t>
      </w:r>
    </w:p>
    <w:p w:rsidR="002F19B5" w:rsidRPr="00EA0CA7" w:rsidRDefault="00EA0CA7" w:rsidP="00EA0CA7">
      <w:pPr>
        <w:pStyle w:val="Titreobjet"/>
        <w:rPr>
          <w:noProof/>
        </w:rPr>
      </w:pPr>
      <w:r w:rsidRPr="00EA0CA7">
        <w:rPr>
          <w:noProof/>
        </w:rPr>
        <w:t>modifiant la décision d’exécution du 17 juin 2022 relative à l’approbation de l’évaluation du plan pour la reprise et la résilience pour la Pologne</w:t>
      </w:r>
    </w:p>
    <w:p w:rsidR="00007F85" w:rsidRPr="00EA0CA7" w:rsidRDefault="00007F85" w:rsidP="002F19B5">
      <w:pPr>
        <w:pStyle w:val="Institutionquiagit"/>
        <w:rPr>
          <w:noProof/>
        </w:rPr>
      </w:pPr>
      <w:r w:rsidRPr="00EA0CA7">
        <w:rPr>
          <w:noProof/>
        </w:rPr>
        <w:t>LE CONSEIL DE L’UNION EUROPÉENNE,</w:t>
      </w:r>
    </w:p>
    <w:p w:rsidR="00007F85" w:rsidRPr="00EA0CA7" w:rsidRDefault="00007F85" w:rsidP="00007F85">
      <w:pPr>
        <w:rPr>
          <w:noProof/>
        </w:rPr>
      </w:pPr>
      <w:r w:rsidRPr="00EA0CA7">
        <w:rPr>
          <w:noProof/>
        </w:rPr>
        <w:t xml:space="preserve">vu le traité sur le fonctionnement de l’Union européenne, </w:t>
      </w:r>
    </w:p>
    <w:p w:rsidR="00007F85" w:rsidRPr="00EA0CA7" w:rsidRDefault="00007F85" w:rsidP="00007F85">
      <w:pPr>
        <w:rPr>
          <w:noProof/>
        </w:rPr>
      </w:pPr>
      <w:r w:rsidRPr="00EA0CA7">
        <w:rPr>
          <w:noProof/>
        </w:rPr>
        <w:t>vu le règlement (UE) 2021/241 du Parlement européen et du Conseil du 12 février 2021 établissant la facilité pour la reprise et la résilience</w:t>
      </w:r>
      <w:r w:rsidRPr="00EA0CA7">
        <w:rPr>
          <w:rStyle w:val="FootnoteReference"/>
          <w:rFonts w:eastAsia="Times New Roman"/>
          <w:noProof/>
        </w:rPr>
        <w:footnoteReference w:id="2"/>
      </w:r>
      <w:r w:rsidRPr="00EA0CA7">
        <w:rPr>
          <w:noProof/>
        </w:rPr>
        <w:t>, et notamment son article 20, paragraphe 1,</w:t>
      </w:r>
    </w:p>
    <w:p w:rsidR="00007F85" w:rsidRPr="00EA0CA7" w:rsidRDefault="00007F85" w:rsidP="00007F85">
      <w:pPr>
        <w:rPr>
          <w:noProof/>
        </w:rPr>
      </w:pPr>
      <w:r w:rsidRPr="00EA0CA7">
        <w:rPr>
          <w:noProof/>
        </w:rPr>
        <w:t>vu la proposition de la Commission européenne,</w:t>
      </w:r>
    </w:p>
    <w:p w:rsidR="00007F85" w:rsidRPr="00EA0CA7" w:rsidRDefault="00007F85" w:rsidP="00007F85">
      <w:pPr>
        <w:rPr>
          <w:noProof/>
        </w:rPr>
      </w:pPr>
      <w:r w:rsidRPr="00EA0CA7">
        <w:rPr>
          <w:noProof/>
        </w:rPr>
        <w:t>considérant ce qui suit:</w:t>
      </w:r>
    </w:p>
    <w:p w:rsidR="00007F85" w:rsidRPr="00EA0CA7" w:rsidRDefault="00007F85" w:rsidP="002C221C">
      <w:pPr>
        <w:pStyle w:val="ManualConsidrant"/>
        <w:rPr>
          <w:rFonts w:eastAsia="Times New Roman"/>
          <w:noProof/>
          <w:color w:val="000000" w:themeColor="text1"/>
        </w:rPr>
      </w:pPr>
      <w:r>
        <w:rPr>
          <w:noProof/>
        </w:rPr>
        <w:t>(1)</w:t>
      </w:r>
      <w:r>
        <w:rPr>
          <w:noProof/>
        </w:rPr>
        <w:tab/>
      </w:r>
      <w:r w:rsidRPr="00EA0CA7">
        <w:rPr>
          <w:noProof/>
        </w:rPr>
        <w:t>Après la présentation, par la Pologne, de son plan national pour la reprise et la résilience (ci-après le «PRR») le 3 mai 2022, la Commission a proposé au Conseil que ce PRR reçoive une évaluation positive. Le 17 juin 2022, le Conseil a approuvé l’évaluation positive par une décision d’exécution</w:t>
      </w:r>
      <w:r w:rsidRPr="00EA0CA7">
        <w:rPr>
          <w:rStyle w:val="FootnoteReference"/>
          <w:rFonts w:eastAsia="Times New Roman"/>
          <w:noProof/>
        </w:rPr>
        <w:footnoteReference w:id="3"/>
      </w:r>
      <w:r w:rsidRPr="00EA0CA7">
        <w:rPr>
          <w:noProof/>
        </w:rPr>
        <w:t xml:space="preserve"> (ci-après la «décision d’exécution du Conseil du 17 juin 2022»). </w:t>
      </w:r>
      <w:r w:rsidRPr="00EA0CA7">
        <w:rPr>
          <w:noProof/>
          <w:color w:val="000000" w:themeColor="text1"/>
        </w:rPr>
        <w:t>La décision d’exécution du Conseil du 17 juin 2022 a été modifiée par ses décisions d’exécution du 8 décembre 2023</w:t>
      </w:r>
      <w:r w:rsidRPr="00EA0CA7">
        <w:rPr>
          <w:rStyle w:val="FootnoteReference"/>
          <w:rFonts w:eastAsia="Times New Roman"/>
          <w:noProof/>
          <w:color w:val="000000" w:themeColor="text1"/>
        </w:rPr>
        <w:footnoteReference w:id="4"/>
      </w:r>
      <w:r w:rsidRPr="00EA0CA7">
        <w:rPr>
          <w:noProof/>
          <w:color w:val="000000" w:themeColor="text1"/>
        </w:rPr>
        <w:t>, du 16 juillet 2024</w:t>
      </w:r>
      <w:r w:rsidRPr="00EA0CA7">
        <w:rPr>
          <w:rStyle w:val="FootnoteReference"/>
          <w:rFonts w:eastAsia="Times New Roman"/>
          <w:noProof/>
          <w:color w:val="000000" w:themeColor="text1"/>
        </w:rPr>
        <w:footnoteReference w:id="5"/>
      </w:r>
      <w:r w:rsidRPr="00EA0CA7">
        <w:rPr>
          <w:noProof/>
          <w:color w:val="000000" w:themeColor="text1"/>
        </w:rPr>
        <w:t>, du 20 juin 2025</w:t>
      </w:r>
      <w:r w:rsidRPr="00EA0CA7">
        <w:rPr>
          <w:rStyle w:val="FootnoteReference"/>
          <w:rFonts w:eastAsia="Times New Roman"/>
          <w:noProof/>
          <w:color w:val="000000" w:themeColor="text1"/>
        </w:rPr>
        <w:footnoteReference w:id="6"/>
      </w:r>
      <w:r w:rsidRPr="00EA0CA7">
        <w:rPr>
          <w:noProof/>
          <w:color w:val="000000" w:themeColor="text1"/>
        </w:rPr>
        <w:t xml:space="preserve"> et du 12 décembre 2025</w:t>
      </w:r>
      <w:r w:rsidRPr="00EA0CA7">
        <w:rPr>
          <w:rStyle w:val="FootnoteReference"/>
          <w:rFonts w:eastAsia="Times New Roman"/>
          <w:noProof/>
          <w:color w:val="000000" w:themeColor="text1"/>
        </w:rPr>
        <w:footnoteReference w:id="7"/>
      </w:r>
      <w:r w:rsidRPr="00EA0CA7">
        <w:rPr>
          <w:noProof/>
          <w:color w:val="000000" w:themeColor="text1"/>
        </w:rPr>
        <w:t>.</w:t>
      </w:r>
    </w:p>
    <w:p w:rsidR="00007F85" w:rsidRPr="00EA0CA7" w:rsidRDefault="00007F85" w:rsidP="7565D7AB">
      <w:pPr>
        <w:pStyle w:val="ManualConsidrant"/>
        <w:rPr>
          <w:rFonts w:eastAsia="Times New Roman"/>
          <w:noProof/>
        </w:rPr>
      </w:pPr>
      <w:r>
        <w:rPr>
          <w:noProof/>
        </w:rPr>
        <w:t>(2)</w:t>
      </w:r>
      <w:r>
        <w:rPr>
          <w:noProof/>
        </w:rPr>
        <w:tab/>
      </w:r>
      <w:r w:rsidRPr="00EA0CA7">
        <w:rPr>
          <w:noProof/>
        </w:rPr>
        <w:t xml:space="preserve">Le 11 mars 2026, </w:t>
      </w:r>
      <w:bookmarkStart w:id="2" w:name="_Hlk130805569"/>
      <w:r w:rsidRPr="00EA0CA7">
        <w:rPr>
          <w:noProof/>
        </w:rPr>
        <w:t>estimant que le PRR ne pouvait plus être respecté en partie, en raison de circonstances objectives, la Pologne a adressé à la Commission une demande motivée l’invitant à présenter une proposition visant à modifier la décision d’exécution du Conseil du 17 juin 2022 conformément à l’article 21, paragraphe 1, du règlement (UE) 2021/241. Sur cette base, la Pologne a présenté un PRR modifié.</w:t>
      </w:r>
      <w:bookmarkEnd w:id="2"/>
    </w:p>
    <w:p w:rsidR="00007F85" w:rsidRPr="00EA0CA7" w:rsidRDefault="00007F85" w:rsidP="5BCF340D">
      <w:pPr>
        <w:rPr>
          <w:b/>
          <w:bCs/>
          <w:i/>
          <w:iCs/>
          <w:noProof/>
        </w:rPr>
      </w:pPr>
      <w:r w:rsidRPr="00EA0CA7">
        <w:rPr>
          <w:b/>
          <w:i/>
          <w:noProof/>
        </w:rPr>
        <w:t xml:space="preserve">Modifications fondées sur l’article 21 du règlement (UE) 2021/241 </w:t>
      </w:r>
    </w:p>
    <w:p w:rsidR="00007F85" w:rsidRPr="00EA0CA7" w:rsidRDefault="00007F85" w:rsidP="00007F85">
      <w:pPr>
        <w:pStyle w:val="ManualConsidrant"/>
        <w:rPr>
          <w:rFonts w:eastAsia="Times New Roman"/>
          <w:noProof/>
        </w:rPr>
      </w:pPr>
      <w:r>
        <w:rPr>
          <w:noProof/>
        </w:rPr>
        <w:t>(3)</w:t>
      </w:r>
      <w:r>
        <w:rPr>
          <w:noProof/>
        </w:rPr>
        <w:tab/>
      </w:r>
      <w:r w:rsidRPr="00EA0CA7">
        <w:rPr>
          <w:noProof/>
        </w:rPr>
        <w:t>Les modifications du PRR présentées par la Pologne en raison de circonstances objectives concernent 34 mesures.</w:t>
      </w:r>
    </w:p>
    <w:p w:rsidR="00007F85" w:rsidRPr="00EA0CA7" w:rsidRDefault="3BB5B474">
      <w:pPr>
        <w:pStyle w:val="ManualConsidrant"/>
        <w:rPr>
          <w:rFonts w:eastAsia="Times New Roman"/>
          <w:noProof/>
        </w:rPr>
      </w:pPr>
      <w:r>
        <w:rPr>
          <w:noProof/>
        </w:rPr>
        <w:t>(4)</w:t>
      </w:r>
      <w:r>
        <w:rPr>
          <w:noProof/>
        </w:rPr>
        <w:tab/>
      </w:r>
      <w:bookmarkStart w:id="3" w:name="_Hlk158894031"/>
      <w:r w:rsidRPr="00EA0CA7">
        <w:rPr>
          <w:noProof/>
          <w:color w:val="000000" w:themeColor="text1"/>
        </w:rPr>
        <w:t xml:space="preserve">La Pologne a expliqué que six mesures n’étaient plus réalisables, en raison de retards imprévus causés par un hiver difficile, de problèmes de passation de marchés, de retards dans les projets et d’une demande insuffisante. </w:t>
      </w:r>
      <w:r w:rsidRPr="00EA0CA7">
        <w:rPr>
          <w:noProof/>
        </w:rPr>
        <w:t>Il s’agit des mesures A1.4.1 (Modernisation des infrastructures ou des équipements dans le secteur agricole), B3.2.1 (Investissements dans la neutralisation des risques et la restauration des sites terrestres et en mer), B3.5.1 (Investissements dans des projets de logement), C2.2.1 (Technologies numériques dans l’enseignement), E3.1.1 (Facilité de soutien à une économie à faible intensité de carbone) et G1.1.2 (Soutien à l’expansion des communautés énergétiques).</w:t>
      </w:r>
      <w:r w:rsidRPr="00EA0CA7">
        <w:rPr>
          <w:noProof/>
          <w:color w:val="000000" w:themeColor="text1"/>
        </w:rPr>
        <w:t xml:space="preserve"> </w:t>
      </w:r>
      <w:r w:rsidRPr="00EA0CA7">
        <w:rPr>
          <w:noProof/>
        </w:rPr>
        <w:t>Sur cette base, la Pologne a demandé la modification de ces mesures.</w:t>
      </w:r>
      <w:r w:rsidRPr="00EA0CA7">
        <w:rPr>
          <w:noProof/>
          <w:color w:val="000000" w:themeColor="text1"/>
        </w:rPr>
        <w:t xml:space="preserve"> </w:t>
      </w:r>
      <w:r w:rsidRPr="00EA0CA7">
        <w:rPr>
          <w:noProof/>
        </w:rPr>
        <w:t xml:space="preserve">Il convient de modifier en conséquence la décision d’exécution du Conseil du 17 juin 2022.  </w:t>
      </w:r>
      <w:bookmarkEnd w:id="3"/>
    </w:p>
    <w:p w:rsidR="00007F85" w:rsidRPr="00EA0CA7" w:rsidRDefault="357C769B" w:rsidP="00007F85">
      <w:pPr>
        <w:pStyle w:val="ManualConsidrant"/>
        <w:rPr>
          <w:rFonts w:eastAsia="Times New Roman"/>
          <w:noProof/>
        </w:rPr>
      </w:pPr>
      <w:r>
        <w:rPr>
          <w:noProof/>
        </w:rPr>
        <w:t>(5)</w:t>
      </w:r>
      <w:r>
        <w:rPr>
          <w:noProof/>
        </w:rPr>
        <w:tab/>
      </w:r>
      <w:r w:rsidRPr="00EA0CA7">
        <w:rPr>
          <w:noProof/>
          <w:color w:val="000000" w:themeColor="text1"/>
        </w:rPr>
        <w:t xml:space="preserve">La Pologne a expliqué que trois mesures n’étaient plus réalisables en raison de difficultés juridiques inattendues liées aux procédures de passation de marchés. </w:t>
      </w:r>
      <w:r w:rsidRPr="00EA0CA7">
        <w:rPr>
          <w:noProof/>
        </w:rPr>
        <w:t>Il s’agit des mesures A1.3.1 (Mise en œuvre de la réforme de l’aménagement du territoire), A4.6 (Accroître la participation de certains groupes au marché du travail en développant les soins de longue durée) et G3.1.1 (Rationalisation de la procédure d’autorisation pour les sources d’énergie renouvelables).</w:t>
      </w:r>
      <w:r w:rsidRPr="00EA0CA7">
        <w:rPr>
          <w:noProof/>
          <w:color w:val="000000" w:themeColor="text1"/>
        </w:rPr>
        <w:t xml:space="preserve"> </w:t>
      </w:r>
      <w:r w:rsidRPr="00EA0CA7">
        <w:rPr>
          <w:noProof/>
        </w:rPr>
        <w:t>Sur cette base, la Pologne a demandé la modification de ces mesures.</w:t>
      </w:r>
      <w:r w:rsidRPr="00EA0CA7">
        <w:rPr>
          <w:noProof/>
          <w:color w:val="000000" w:themeColor="text1"/>
        </w:rPr>
        <w:t xml:space="preserve"> </w:t>
      </w:r>
      <w:r w:rsidRPr="00EA0CA7">
        <w:rPr>
          <w:noProof/>
        </w:rPr>
        <w:t xml:space="preserve">Il convient de modifier en conséquence la décision d’exécution du Conseil du 17 juin 2022. </w:t>
      </w:r>
    </w:p>
    <w:p w:rsidR="00007F85" w:rsidRPr="00EA0CA7" w:rsidRDefault="517497A1" w:rsidP="00007F85">
      <w:pPr>
        <w:pStyle w:val="ManualConsidrant"/>
        <w:rPr>
          <w:rFonts w:eastAsia="Times New Roman"/>
          <w:noProof/>
        </w:rPr>
      </w:pPr>
      <w:r>
        <w:rPr>
          <w:noProof/>
        </w:rPr>
        <w:t>(6)</w:t>
      </w:r>
      <w:r>
        <w:rPr>
          <w:noProof/>
        </w:rPr>
        <w:tab/>
      </w:r>
      <w:r w:rsidRPr="00EA0CA7">
        <w:rPr>
          <w:noProof/>
        </w:rPr>
        <w:t>La Pologne a expliqué que deux mesures avaient été modifiées au profit de solutions plus efficaces pour réaliser leur ambition initiale. Il s’agit des mesures E1.1 (Augmentation de l’utilisation des transports respectueux de l’environnement) et E1.2.1 [Transports publics à émissions nulles dans les villes (tramways)].</w:t>
      </w:r>
      <w:r w:rsidRPr="00EA0CA7">
        <w:rPr>
          <w:noProof/>
          <w:color w:val="000000" w:themeColor="text1"/>
        </w:rPr>
        <w:t xml:space="preserve"> </w:t>
      </w:r>
      <w:r w:rsidRPr="00EA0CA7">
        <w:rPr>
          <w:noProof/>
        </w:rPr>
        <w:t>Sur cette base, la Pologne a demandé la modification de ces mesures et l’ajout d’une nouvelle mesure B4.1 (Réduction de la dépendance au charbon).</w:t>
      </w:r>
      <w:r w:rsidRPr="00EA0CA7">
        <w:rPr>
          <w:noProof/>
          <w:color w:val="000000" w:themeColor="text1"/>
        </w:rPr>
        <w:t xml:space="preserve"> </w:t>
      </w:r>
      <w:r w:rsidRPr="00EA0CA7">
        <w:rPr>
          <w:noProof/>
        </w:rPr>
        <w:t xml:space="preserve">Il convient de modifier en conséquence la décision d’exécution du Conseil du 17 juin 2022. </w:t>
      </w:r>
    </w:p>
    <w:p w:rsidR="49948C17" w:rsidRPr="00EA0CA7" w:rsidRDefault="2451EF0B">
      <w:pPr>
        <w:pStyle w:val="ManualConsidrant"/>
        <w:rPr>
          <w:rFonts w:eastAsia="Times New Roman"/>
          <w:noProof/>
        </w:rPr>
      </w:pPr>
      <w:r>
        <w:rPr>
          <w:noProof/>
        </w:rPr>
        <w:t>(7)</w:t>
      </w:r>
      <w:r>
        <w:rPr>
          <w:noProof/>
        </w:rPr>
        <w:tab/>
      </w:r>
      <w:r w:rsidRPr="00EA0CA7">
        <w:rPr>
          <w:noProof/>
        </w:rPr>
        <w:t xml:space="preserve">La Pologne a expliqué que 21 mesures avaient été modifiées au profit de solutions plus efficaces permettant de réduire la charge administrative et de simplifier la décision d’exécution du Conseil, tout en continuant à atteindre les objectifs de ces mesures. Il s’agit des mesures A1.1 (Réforme du cadre budgétaire), A2.6 (Réforme du système national de services de surveillance, ainsi que des produits, des outils d’analyse, des services et des infrastructures d’accompagnement faisant appel à des données satellitaires), A2.6.1 [Investissements dans le système national d’information par satellite (NSIS) et les satellites], A4.1.1 (Investissements en faveur de la réforme des institutions du marché du travail), A4.3.1 (Investissements dans des entités de l’économie sociale), B2.2.3 (Construction d’infrastructures de terminaux en mer), B2.3 (Soutien aux investissements dans les parcs éoliens en mer), C1.1.1 (Accès au réseau à haut débit), C2.1.2 (Technologies numériques dans l’enseignement scolaire – appareils portables), C4.1.1 (Soutien à une transformation numérique avancée), D1.1.1 (Modernisation des centres de soins hautement spécialisés et autres prestataires de soins de santé), D4.1.1 (Accroître l’offre de soins de longue durée par la modernisation des entités médicales au niveau des districts), E1.1.2 (Bus et tramways à émissions nulles et faibles), E2.1.1 (Lignes ferroviaires), E2.1.2 (Matériel roulant destiné au transport ferroviaire de passagers), E2.1.3 (Projets intermodaux), E2.2.1 (Investissements dans la sécurité des transports), E2.2.2 (Numérisation des transports), G1.2.3 (Réseaux de transport et infrastructures électriques intelligentes), G1.3.2 [Transports collectifs à émissions nulles (autobus)] et G3.1.2 (Compétences pour la transition écologique). Sur cette base, la Pologne a demandé la modification de ces mesures. Il convient de modifier en conséquence la décision d’exécution du Conseil du 17 juin 2022. </w:t>
      </w:r>
    </w:p>
    <w:bookmarkEnd w:id="0"/>
    <w:p w:rsidR="00007F85" w:rsidRPr="00EA0CA7" w:rsidRDefault="00007F85" w:rsidP="5BCF340D">
      <w:pPr>
        <w:pStyle w:val="ManualConsidrant"/>
        <w:rPr>
          <w:rFonts w:eastAsia="Times New Roman"/>
          <w:noProof/>
        </w:rPr>
      </w:pPr>
      <w:r>
        <w:rPr>
          <w:noProof/>
        </w:rPr>
        <w:t>(8)</w:t>
      </w:r>
      <w:r>
        <w:rPr>
          <w:noProof/>
        </w:rPr>
        <w:tab/>
      </w:r>
      <w:r w:rsidRPr="00EA0CA7">
        <w:rPr>
          <w:noProof/>
        </w:rPr>
        <w:t>À la suite de l’abaissement du niveau de mise en œuvre de certaines mesures au titre de l’article 21 du règlement (UE) 2021/241, la Pologne a demandé d’utiliser les ressources ainsi libérées pour augmenter le niveau de mise en œuvre de deux mesures.</w:t>
      </w:r>
      <w:r w:rsidRPr="00EA0CA7">
        <w:rPr>
          <w:i/>
          <w:noProof/>
        </w:rPr>
        <w:t xml:space="preserve"> </w:t>
      </w:r>
      <w:r w:rsidRPr="00EA0CA7">
        <w:rPr>
          <w:noProof/>
          <w:color w:val="000000" w:themeColor="text1"/>
        </w:rPr>
        <w:t xml:space="preserve">Il s’agit des mesures A2.7.1 (Investissement – Fonds pour la sécurité et la défense) et A6.1 [Contribution volontaire au programme de l’Union pour une connectivité sécurisée (IRIS2)]. </w:t>
      </w:r>
      <w:r w:rsidRPr="00EA0CA7">
        <w:rPr>
          <w:noProof/>
        </w:rPr>
        <w:t>Sur cette base, la Pologne a demandé que le niveau de mise en œuvre de ces deux mesures soit augmenté.</w:t>
      </w:r>
      <w:r w:rsidRPr="00EA0CA7">
        <w:rPr>
          <w:noProof/>
          <w:color w:val="000000" w:themeColor="text1"/>
        </w:rPr>
        <w:t xml:space="preserve"> </w:t>
      </w:r>
      <w:r w:rsidRPr="00EA0CA7">
        <w:rPr>
          <w:noProof/>
        </w:rPr>
        <w:t>Il convient de modifier en conséquence la décision d’exécution du Conseil du 17 juin 2022.</w:t>
      </w:r>
    </w:p>
    <w:p w:rsidR="00007F85" w:rsidRPr="00EA0CA7" w:rsidRDefault="00007F85" w:rsidP="5BCF340D">
      <w:pPr>
        <w:rPr>
          <w:i/>
          <w:iCs/>
          <w:noProof/>
        </w:rPr>
      </w:pPr>
      <w:r w:rsidRPr="00EA0CA7">
        <w:rPr>
          <w:b/>
          <w:i/>
          <w:noProof/>
        </w:rPr>
        <w:t>Répartition des jalons et des cibles</w:t>
      </w:r>
    </w:p>
    <w:p w:rsidR="00007F85" w:rsidRPr="00EA0CA7" w:rsidRDefault="00007F85" w:rsidP="0034327E">
      <w:pPr>
        <w:pStyle w:val="ManualConsidrant"/>
        <w:rPr>
          <w:rFonts w:eastAsia="Times New Roman"/>
          <w:noProof/>
        </w:rPr>
      </w:pPr>
      <w:r>
        <w:rPr>
          <w:noProof/>
        </w:rPr>
        <w:t>(9)</w:t>
      </w:r>
      <w:r>
        <w:rPr>
          <w:noProof/>
        </w:rPr>
        <w:tab/>
      </w:r>
      <w:r w:rsidRPr="00EA0CA7">
        <w:rPr>
          <w:noProof/>
        </w:rPr>
        <w:t>Il convient de modifier la répartition des jalons et des cibles par tranche afin de tenir compte des modifications apportées au PRR et du calendrier indicatif présenté par la Pologne.</w:t>
      </w:r>
    </w:p>
    <w:p w:rsidR="00007F85" w:rsidRPr="00EA0CA7" w:rsidRDefault="00007F85" w:rsidP="5BCF340D">
      <w:pPr>
        <w:rPr>
          <w:b/>
          <w:bCs/>
          <w:i/>
          <w:iCs/>
          <w:noProof/>
        </w:rPr>
      </w:pPr>
      <w:r w:rsidRPr="00EA0CA7">
        <w:rPr>
          <w:b/>
          <w:i/>
          <w:noProof/>
        </w:rPr>
        <w:t>Évaluation de la Commission</w:t>
      </w:r>
    </w:p>
    <w:p w:rsidR="00007F85" w:rsidRPr="00EA0CA7" w:rsidRDefault="00007F85" w:rsidP="00007F85">
      <w:pPr>
        <w:pStyle w:val="ManualConsidrant"/>
        <w:rPr>
          <w:rStyle w:val="normaltextrun"/>
          <w:rFonts w:eastAsia="Times New Roman"/>
          <w:noProof/>
        </w:rPr>
      </w:pPr>
      <w:r>
        <w:rPr>
          <w:noProof/>
        </w:rPr>
        <w:t>(10)</w:t>
      </w:r>
      <w:r>
        <w:rPr>
          <w:noProof/>
        </w:rPr>
        <w:tab/>
      </w:r>
      <w:r w:rsidRPr="00EA0CA7">
        <w:rPr>
          <w:noProof/>
        </w:rPr>
        <w:t>La Commission a évalué le PRR modifié au regard des critères d’évaluation énoncés à l’article 19, paragraphe 3, du règlement (UE) 2021/241.</w:t>
      </w:r>
    </w:p>
    <w:p w:rsidR="00007F85" w:rsidRPr="00EA0CA7" w:rsidRDefault="00007F85" w:rsidP="7565D7AB">
      <w:pPr>
        <w:pStyle w:val="ManualConsidrant"/>
        <w:rPr>
          <w:rFonts w:eastAsia="Times New Roman"/>
          <w:noProof/>
        </w:rPr>
      </w:pPr>
      <w:r>
        <w:rPr>
          <w:noProof/>
        </w:rPr>
        <w:t>(11)</w:t>
      </w:r>
      <w:r>
        <w:rPr>
          <w:noProof/>
        </w:rPr>
        <w:tab/>
      </w:r>
      <w:r w:rsidRPr="00EA0CA7">
        <w:rPr>
          <w:noProof/>
        </w:rPr>
        <w:t xml:space="preserve">La Commission considère que les modifications proposées par la Pologne n’ont pas d’incidence sur l’évaluation positive du PRR présentée dans la décision d’exécution du Conseil du 17 juin 2022 en ce qui concerne la pertinence, l’efficacité, l’efficience et la cohérence du PRR au regard des critères d’évaluation énoncés à l’article 19, paragraphe 3, </w:t>
      </w:r>
      <w:r w:rsidRPr="00EA0CA7">
        <w:rPr>
          <w:rStyle w:val="normaltextrun"/>
          <w:noProof/>
          <w:shd w:val="clear" w:color="auto" w:fill="FFFFFF"/>
        </w:rPr>
        <w:t>points a), b), c), d), d </w:t>
      </w:r>
      <w:r w:rsidRPr="00EA0CA7">
        <w:rPr>
          <w:rStyle w:val="normaltextrun"/>
          <w:i/>
          <w:iCs/>
          <w:noProof/>
          <w:shd w:val="clear" w:color="auto" w:fill="FFFFFF"/>
        </w:rPr>
        <w:t>bis</w:t>
      </w:r>
      <w:r w:rsidRPr="00EA0CA7">
        <w:rPr>
          <w:rStyle w:val="normaltextrun"/>
          <w:noProof/>
          <w:shd w:val="clear" w:color="auto" w:fill="FFFFFF"/>
        </w:rPr>
        <w:t>), d </w:t>
      </w:r>
      <w:r w:rsidRPr="00EA0CA7">
        <w:rPr>
          <w:rStyle w:val="normaltextrun"/>
          <w:i/>
          <w:iCs/>
          <w:noProof/>
          <w:shd w:val="clear" w:color="auto" w:fill="FFFFFF"/>
        </w:rPr>
        <w:t>ter</w:t>
      </w:r>
      <w:r w:rsidRPr="00EA0CA7">
        <w:rPr>
          <w:rStyle w:val="normaltextrun"/>
          <w:noProof/>
          <w:shd w:val="clear" w:color="auto" w:fill="FFFFFF"/>
        </w:rPr>
        <w:t>), g), h), j) et k),</w:t>
      </w:r>
      <w:r w:rsidRPr="00EA0CA7">
        <w:rPr>
          <w:noProof/>
        </w:rPr>
        <w:t xml:space="preserve"> du règlement (UE) 2021/241.</w:t>
      </w:r>
    </w:p>
    <w:p w:rsidR="00007F85" w:rsidRPr="00EA0CA7" w:rsidRDefault="482D66C2" w:rsidP="7565D7AB">
      <w:pPr>
        <w:rPr>
          <w:rFonts w:eastAsia="Times New Roman"/>
          <w:noProof/>
        </w:rPr>
      </w:pPr>
      <w:r w:rsidRPr="00EA0CA7">
        <w:rPr>
          <w:b/>
          <w:i/>
          <w:noProof/>
        </w:rPr>
        <w:t>Contribution à la transition verte, y compris la biodiversité</w:t>
      </w:r>
    </w:p>
    <w:p w:rsidR="00007F85" w:rsidRPr="00EA0CA7" w:rsidRDefault="00007F85" w:rsidP="7565D7AB">
      <w:pPr>
        <w:pStyle w:val="ManualConsidrant"/>
        <w:rPr>
          <w:rFonts w:eastAsia="Times New Roman"/>
          <w:noProof/>
        </w:rPr>
      </w:pPr>
      <w:r>
        <w:rPr>
          <w:noProof/>
        </w:rPr>
        <w:t>(12)</w:t>
      </w:r>
      <w:r>
        <w:rPr>
          <w:noProof/>
        </w:rPr>
        <w:tab/>
      </w:r>
      <w:r w:rsidRPr="00EA0CA7">
        <w:rPr>
          <w:noProof/>
        </w:rPr>
        <w:t>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40,05 % de l’enveloppe totale du PRR modifié et 68,17 % du total des coûts estimés des mesures figurant dans le chapitre REPowerEU, le calcul étant effectué selon la méthode exposée à l’annexe VI du règlement (UE) 2021/241.</w:t>
      </w:r>
    </w:p>
    <w:p w:rsidR="00723725" w:rsidRPr="00EA0CA7" w:rsidRDefault="00723725" w:rsidP="7565D7AB">
      <w:pPr>
        <w:pStyle w:val="ManualConsidrant"/>
        <w:rPr>
          <w:rFonts w:eastAsia="Times New Roman"/>
          <w:noProof/>
        </w:rPr>
      </w:pPr>
      <w:r>
        <w:rPr>
          <w:noProof/>
        </w:rPr>
        <w:t>(13)</w:t>
      </w:r>
      <w:r>
        <w:rPr>
          <w:noProof/>
        </w:rPr>
        <w:tab/>
      </w:r>
      <w:r w:rsidRPr="00EA0CA7">
        <w:rPr>
          <w:noProof/>
        </w:rPr>
        <w:t>Bien que la Pologne n’ait pas soumis son plan national intégré en matière d’énergie et de climat pour le 30 juin 2024 au plus tard conformément à l’article 14 du règlement (UE) 2018/1999 du Parlement européen et du Conseil</w:t>
      </w:r>
      <w:r w:rsidRPr="00EA0CA7">
        <w:rPr>
          <w:rStyle w:val="FootnoteReference"/>
          <w:rFonts w:eastAsia="Times New Roman"/>
          <w:noProof/>
        </w:rPr>
        <w:footnoteReference w:id="8"/>
      </w:r>
      <w:r w:rsidRPr="00EA0CA7">
        <w:rPr>
          <w:noProof/>
        </w:rPr>
        <w:t>, son PRR modifié reste cohérent avec les informations fournies en décembre 2019 dans le plan national intégré en matière d’énergie et de climat pour la période 2021-2030. La modification du PRR modifié n’a pas d’incidence significative sur son ambition à l’égard de la transition climatique. Malgré les modifications, le PRR modifié continue de contribuer de manière significative à l’atténuation du changement climatique par des interventions dans les domaines de la production et de la distribution d’énergies renouvelables, de l’efficacité énergétique, de la décarbonation des bâtiments et des transports à émissions nulles.</w:t>
      </w:r>
    </w:p>
    <w:p w:rsidR="00007F85" w:rsidRPr="00EA0CA7" w:rsidRDefault="5CEE08DC" w:rsidP="7565D7AB">
      <w:pPr>
        <w:pStyle w:val="ManualConsidrant"/>
        <w:rPr>
          <w:rFonts w:eastAsia="Times New Roman"/>
          <w:noProof/>
        </w:rPr>
      </w:pPr>
      <w:r>
        <w:rPr>
          <w:noProof/>
        </w:rPr>
        <w:t>(14)</w:t>
      </w:r>
      <w:r>
        <w:rPr>
          <w:noProof/>
        </w:rPr>
        <w:tab/>
      </w:r>
      <w:r w:rsidRPr="00EA0CA7">
        <w:rPr>
          <w:noProof/>
        </w:rPr>
        <w:t>Les mesures figurant dans le PRR modifié continuent de contribuer de manière significative à la transition écologique. La contribution du PRR modifié à l’action pour le climat a diminué, passant de 40,26 % à 40,05 %, par rapport à l’évaluation précédente.</w:t>
      </w:r>
    </w:p>
    <w:p w:rsidR="00007F85" w:rsidRPr="00EA0CA7" w:rsidRDefault="00007F85" w:rsidP="5BCF340D">
      <w:pPr>
        <w:rPr>
          <w:i/>
          <w:iCs/>
          <w:noProof/>
        </w:rPr>
      </w:pPr>
      <w:r w:rsidRPr="00EA0CA7">
        <w:rPr>
          <w:b/>
          <w:i/>
          <w:noProof/>
        </w:rPr>
        <w:t>Contribution à la transition numérique</w:t>
      </w:r>
    </w:p>
    <w:p w:rsidR="00007F85" w:rsidRPr="00EA0CA7" w:rsidRDefault="00007F85" w:rsidP="00007F85">
      <w:pPr>
        <w:pStyle w:val="ManualConsidrant"/>
        <w:rPr>
          <w:rFonts w:eastAsia="Times New Roman"/>
          <w:noProof/>
        </w:rPr>
      </w:pPr>
      <w:r>
        <w:rPr>
          <w:noProof/>
        </w:rPr>
        <w:t>(15)</w:t>
      </w:r>
      <w:r>
        <w:rPr>
          <w:noProof/>
        </w:rPr>
        <w:tab/>
      </w:r>
      <w:r w:rsidRPr="00EA0CA7">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21,30 % de l’enveloppe totale du PRR modifié, le calcul étant effectué selon la méthode exposée à l’annexe VII dudit règlement. </w:t>
      </w:r>
    </w:p>
    <w:p w:rsidR="71C08657" w:rsidRPr="00EA0CA7" w:rsidRDefault="1322C784" w:rsidP="7565D7AB">
      <w:pPr>
        <w:pStyle w:val="ManualConsidrant"/>
        <w:rPr>
          <w:rFonts w:eastAsia="Times New Roman"/>
          <w:noProof/>
        </w:rPr>
      </w:pPr>
      <w:r>
        <w:rPr>
          <w:noProof/>
        </w:rPr>
        <w:t>(16)</w:t>
      </w:r>
      <w:r>
        <w:rPr>
          <w:noProof/>
        </w:rPr>
        <w:tab/>
      </w:r>
      <w:r w:rsidRPr="00EA0CA7">
        <w:rPr>
          <w:noProof/>
        </w:rPr>
        <w:t>Les mesures figurant dans le PRR modifié continuent de contribuer de manière significative à la transition numérique. La contribution du PRR modifié à la transition numérique a augmenté, passant de 20,92 % à 21,30 %, par rapport à l’évaluation précédente.</w:t>
      </w:r>
    </w:p>
    <w:p w:rsidR="00007F85" w:rsidRPr="00EA0CA7" w:rsidRDefault="00007F85" w:rsidP="5BCF340D">
      <w:pPr>
        <w:rPr>
          <w:i/>
          <w:iCs/>
          <w:noProof/>
        </w:rPr>
      </w:pPr>
      <w:r w:rsidRPr="00EA0CA7">
        <w:rPr>
          <w:b/>
          <w:i/>
          <w:noProof/>
        </w:rPr>
        <w:t>Coûts</w:t>
      </w:r>
    </w:p>
    <w:p w:rsidR="00007F85" w:rsidRPr="00EA0CA7" w:rsidRDefault="00007F85" w:rsidP="7565D7AB">
      <w:pPr>
        <w:pStyle w:val="ManualConsidrant"/>
        <w:rPr>
          <w:rFonts w:eastAsia="Times New Roman"/>
          <w:noProof/>
        </w:rPr>
      </w:pPr>
      <w:r>
        <w:rPr>
          <w:noProof/>
        </w:rPr>
        <w:t>(17)</w:t>
      </w:r>
      <w:r>
        <w:rPr>
          <w:noProof/>
        </w:rPr>
        <w:tab/>
      </w:r>
      <w:r w:rsidRPr="00EA0CA7">
        <w:rPr>
          <w:noProof/>
        </w:rPr>
        <w:t>Conformément à l’article 19, paragraphe 3, point i), et à l’annexe V, critère 2.9, du règlement (UE) 2021/241, la justification fournie dans le PRR modifié quant au montant de ses coûts totaux estimés est, dans une moyenne mesure (note B), raisonnable et plausible, conforme au principe de l’efficacité au regard des coûts et proportionnée aux conséquences économiques et sociales attendues au niveau national.</w:t>
      </w:r>
    </w:p>
    <w:p w:rsidR="64ECE46D" w:rsidRPr="00EA0CA7" w:rsidRDefault="64ECE46D" w:rsidP="7565D7AB">
      <w:pPr>
        <w:pStyle w:val="ManualConsidrant"/>
        <w:rPr>
          <w:rFonts w:eastAsia="Times New Roman"/>
          <w:noProof/>
        </w:rPr>
      </w:pPr>
      <w:r>
        <w:rPr>
          <w:noProof/>
        </w:rPr>
        <w:t>(18)</w:t>
      </w:r>
      <w:r>
        <w:rPr>
          <w:noProof/>
        </w:rPr>
        <w:tab/>
      </w:r>
      <w:r w:rsidRPr="00EA0CA7">
        <w:rPr>
          <w:noProof/>
        </w:rPr>
        <w:t xml:space="preserve">La Pologne a fourni des estimations de coûts pour tous les types de mesures qui engendrent un coût dans le PRR modifié. Dans l’ensemble, la méthode et les hypothèses utilisées pour établir les estimations de coûts sont claires et compréhensibles, et très souvent fondées sur des projets précédents financés par les fonds de la politique de cohésion. Dans certains cas, les détails concernant la méthode et les hypothèses utilisées pour établir les estimations de coûts sont limités, ce qui empêche une évaluation totalement positive de ces dernières. La Pologne a également fourni des documents justificatifs détaillés pour la plupart des types d’interventions, afin d’étayer la justification et les éléments de preuve relatifs aux estimations de coûts. La Pologne a fourni les informations et l’assurance nécessaires pour établir que les coûts liés à son PRR modifié ne sont pas couverts par d’autres financements de l’Union. Enfin, le montant des coûts totaux estimés du PRR modifié est conforme au principe de l’efficacité au regard des coûts et proportionné aux conséquences économiques et sociales attendues au niveau national.  </w:t>
      </w:r>
    </w:p>
    <w:p w:rsidR="00007F85" w:rsidRPr="00EA0CA7" w:rsidRDefault="00007F85" w:rsidP="5BCF340D">
      <w:pPr>
        <w:rPr>
          <w:i/>
          <w:iCs/>
          <w:noProof/>
          <w:sz w:val="22"/>
        </w:rPr>
      </w:pPr>
      <w:r w:rsidRPr="00EA0CA7">
        <w:rPr>
          <w:b/>
          <w:i/>
          <w:noProof/>
        </w:rPr>
        <w:t>Mesures de soutien aux opérations d’investissement qui contribuent à la réalisation des objectifs de la plateforme «Technologies stratégiques pour l’Europe» (STEP)</w:t>
      </w:r>
    </w:p>
    <w:p w:rsidR="00007F85" w:rsidRPr="00EA0CA7" w:rsidRDefault="00007F85" w:rsidP="7565D7AB">
      <w:pPr>
        <w:pStyle w:val="ManualConsidrant"/>
        <w:rPr>
          <w:noProof/>
        </w:rPr>
      </w:pPr>
      <w:r>
        <w:rPr>
          <w:noProof/>
        </w:rPr>
        <w:t>(19)</w:t>
      </w:r>
      <w:r>
        <w:rPr>
          <w:noProof/>
        </w:rPr>
        <w:tab/>
      </w:r>
      <w:r w:rsidRPr="00EA0CA7">
        <w:rPr>
          <w:noProof/>
        </w:rPr>
        <w:t>Conformément à l’article 4, paragraphe 4, du règlement (UE) 2024/795, la Pologne a considéré comme prioritaires les projets ayant obtenu un label de souveraineté conformément à l’article 4, paragraphe 1, dudit règlement. Toutefois, la Pologne a estimé qu’aucun des projets ayant obtenu un label de souveraineté ne devait être inclus dans le PRR modifié, en raison du manque de temps pour les mener à bien avant la fin de la période couverte par la FRR.</w:t>
      </w:r>
    </w:p>
    <w:p w:rsidR="00007F85" w:rsidRPr="00EA0CA7" w:rsidRDefault="00007F85" w:rsidP="5BCF340D">
      <w:pPr>
        <w:rPr>
          <w:b/>
          <w:bCs/>
          <w:i/>
          <w:iCs/>
          <w:noProof/>
        </w:rPr>
      </w:pPr>
      <w:r w:rsidRPr="00EA0CA7">
        <w:rPr>
          <w:b/>
          <w:i/>
          <w:noProof/>
        </w:rPr>
        <w:t>Évaluation positive</w:t>
      </w:r>
    </w:p>
    <w:p w:rsidR="00007F85" w:rsidRPr="00EA0CA7" w:rsidRDefault="00007F85" w:rsidP="00007F85">
      <w:pPr>
        <w:pStyle w:val="ManualConsidrant"/>
        <w:rPr>
          <w:rFonts w:eastAsia="Times New Roman"/>
          <w:noProof/>
        </w:rPr>
      </w:pPr>
      <w:r>
        <w:rPr>
          <w:noProof/>
        </w:rPr>
        <w:t>(20)</w:t>
      </w:r>
      <w:r>
        <w:rPr>
          <w:noProof/>
        </w:rPr>
        <w:tab/>
      </w:r>
      <w:r w:rsidRPr="00EA0CA7">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EA0CA7" w:rsidRDefault="00007F85" w:rsidP="5BCF340D">
      <w:pPr>
        <w:rPr>
          <w:b/>
          <w:bCs/>
          <w:i/>
          <w:iCs/>
          <w:noProof/>
        </w:rPr>
      </w:pPr>
      <w:r w:rsidRPr="00EA0CA7">
        <w:rPr>
          <w:b/>
          <w:i/>
          <w:noProof/>
        </w:rPr>
        <w:t>Contribution financière</w:t>
      </w:r>
    </w:p>
    <w:p w:rsidR="00007F85" w:rsidRPr="00EA0CA7" w:rsidRDefault="00007F85" w:rsidP="0034327E">
      <w:pPr>
        <w:pStyle w:val="ManualConsidrant"/>
        <w:rPr>
          <w:noProof/>
        </w:rPr>
      </w:pPr>
      <w:r>
        <w:rPr>
          <w:noProof/>
        </w:rPr>
        <w:t>(21)</w:t>
      </w:r>
      <w:r>
        <w:rPr>
          <w:noProof/>
        </w:rPr>
        <w:tab/>
      </w:r>
      <w:r w:rsidRPr="00EA0CA7">
        <w:rPr>
          <w:noProof/>
        </w:rPr>
        <w:t>Le coût total du PRR modifié de la Pologne est estimé à 54 718 157 234 EUR. Le montant du coût total estimé du PRR modifié étant supérieur à la contribution financière maximale actualisée disponible pour la Pologne, la contribution financière déterminée conformément à l’article 4 </w:t>
      </w:r>
      <w:r w:rsidRPr="00EA0CA7">
        <w:rPr>
          <w:i/>
          <w:iCs/>
          <w:noProof/>
        </w:rPr>
        <w:t>bis</w:t>
      </w:r>
      <w:r w:rsidRPr="00EA0CA7">
        <w:rPr>
          <w:noProof/>
        </w:rPr>
        <w:t xml:space="preserve"> du règlement (UE) 2021/1755 du Parlement européen et du Conseil</w:t>
      </w:r>
      <w:r w:rsidRPr="00EA0CA7">
        <w:rPr>
          <w:rStyle w:val="FootnoteReference"/>
          <w:noProof/>
        </w:rPr>
        <w:footnoteReference w:id="9"/>
      </w:r>
      <w:r w:rsidRPr="00EA0CA7">
        <w:rPr>
          <w:noProof/>
        </w:rPr>
        <w:t xml:space="preserve"> ainsi qu’à l’article 20, paragraphe 4, et à l’article 21 </w:t>
      </w:r>
      <w:r w:rsidRPr="00EA0CA7">
        <w:rPr>
          <w:i/>
          <w:iCs/>
          <w:noProof/>
        </w:rPr>
        <w:t>bis</w:t>
      </w:r>
      <w:r w:rsidRPr="00EA0CA7">
        <w:rPr>
          <w:noProof/>
        </w:rPr>
        <w:t>, paragraphe 6, du règlement (UE) 2021/241, allouée au PRR modifié de la Pologne devrait être égale à 25 276 853 716 EUR. Par conséquent, la contribution financière mise à la disposition de la Pologne reste inchangée.</w:t>
      </w:r>
    </w:p>
    <w:p w:rsidR="00007F85" w:rsidRPr="00EA0CA7" w:rsidRDefault="00007F85" w:rsidP="5BCF340D">
      <w:pPr>
        <w:rPr>
          <w:b/>
          <w:bCs/>
          <w:i/>
          <w:iCs/>
          <w:noProof/>
        </w:rPr>
      </w:pPr>
      <w:r w:rsidRPr="00EA0CA7">
        <w:rPr>
          <w:b/>
          <w:i/>
          <w:noProof/>
        </w:rPr>
        <w:t>Prêts</w:t>
      </w:r>
    </w:p>
    <w:p w:rsidR="00007F85" w:rsidRPr="00EA0CA7" w:rsidRDefault="00007F85" w:rsidP="545F05A5">
      <w:pPr>
        <w:pStyle w:val="ManualConsidrant"/>
        <w:rPr>
          <w:noProof/>
        </w:rPr>
      </w:pPr>
      <w:r>
        <w:rPr>
          <w:noProof/>
        </w:rPr>
        <w:t>(22)</w:t>
      </w:r>
      <w:r>
        <w:rPr>
          <w:noProof/>
        </w:rPr>
        <w:tab/>
      </w:r>
      <w:r w:rsidRPr="00EA0CA7">
        <w:rPr>
          <w:noProof/>
        </w:rPr>
        <w:t xml:space="preserve">Le soutien sous forme de prêt mis à la disposition de la Pologne, d’un montant de </w:t>
      </w:r>
      <w:r w:rsidRPr="00EA0CA7">
        <w:rPr>
          <w:noProof/>
          <w:color w:val="000000" w:themeColor="text1"/>
        </w:rPr>
        <w:t>29 441 303 518</w:t>
      </w:r>
      <w:r w:rsidRPr="00EA0CA7">
        <w:rPr>
          <w:noProof/>
        </w:rPr>
        <w:t xml:space="preserve"> EUR, reste inchangé. </w:t>
      </w:r>
    </w:p>
    <w:p w:rsidR="6DBECD11" w:rsidRPr="00EA0CA7" w:rsidRDefault="6DBECD11" w:rsidP="545F05A5">
      <w:pPr>
        <w:pStyle w:val="ManualConsidrant"/>
        <w:rPr>
          <w:rFonts w:eastAsia="Times New Roman"/>
          <w:noProof/>
        </w:rPr>
      </w:pPr>
      <w:r>
        <w:rPr>
          <w:noProof/>
        </w:rPr>
        <w:t>(23)</w:t>
      </w:r>
      <w:r>
        <w:rPr>
          <w:noProof/>
        </w:rPr>
        <w:tab/>
      </w:r>
      <w:r w:rsidRPr="00EA0CA7">
        <w:rPr>
          <w:noProof/>
        </w:rPr>
        <w:t>Il convient donc de modifier la décision d’exécution du Conseil du 17 juin 2022 en conséquence. Par souci de clarté, il y a lieu de remplacer intégralement l’annexe de la décision d’exécution du Conseil du 17 juin 2022.</w:t>
      </w:r>
    </w:p>
    <w:p w:rsidR="00CD54FA" w:rsidRPr="00EA0CA7" w:rsidRDefault="00CD54FA" w:rsidP="00AC40B8">
      <w:pPr>
        <w:pStyle w:val="ManualConsidrant"/>
        <w:rPr>
          <w:noProof/>
        </w:rPr>
      </w:pPr>
      <w:r>
        <w:rPr>
          <w:noProof/>
        </w:rPr>
        <w:t>(24)</w:t>
      </w:r>
      <w:r>
        <w:rPr>
          <w:noProof/>
        </w:rPr>
        <w:tab/>
      </w:r>
      <w:r w:rsidRPr="00EA0CA7">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EA0CA7" w:rsidRDefault="00007F85" w:rsidP="00007F85">
      <w:pPr>
        <w:pStyle w:val="Formuledadoption"/>
        <w:rPr>
          <w:noProof/>
        </w:rPr>
      </w:pPr>
      <w:r w:rsidRPr="00EA0CA7">
        <w:rPr>
          <w:noProof/>
        </w:rPr>
        <w:t xml:space="preserve">A ADOPTÉ LA PRÉSENTE DÉCISION: </w:t>
      </w:r>
    </w:p>
    <w:p w:rsidR="00007F85" w:rsidRPr="00EA0CA7" w:rsidRDefault="00007F85" w:rsidP="00007F85">
      <w:pPr>
        <w:pStyle w:val="Titrearticle"/>
        <w:rPr>
          <w:noProof/>
        </w:rPr>
      </w:pPr>
      <w:r w:rsidRPr="00EA0CA7">
        <w:rPr>
          <w:noProof/>
        </w:rPr>
        <w:t xml:space="preserve">Article premier </w:t>
      </w:r>
      <w:r w:rsidRPr="00EA0CA7">
        <w:rPr>
          <w:noProof/>
        </w:rPr>
        <w:br/>
        <w:t>Approbation de l’évaluation du PRR</w:t>
      </w:r>
    </w:p>
    <w:p w:rsidR="00007F85" w:rsidRPr="00EA0CA7" w:rsidRDefault="00007F85" w:rsidP="00007F85">
      <w:pPr>
        <w:rPr>
          <w:rFonts w:eastAsia="Times New Roman"/>
          <w:noProof/>
        </w:rPr>
      </w:pPr>
      <w:r w:rsidRPr="00EA0CA7">
        <w:rPr>
          <w:noProof/>
        </w:rPr>
        <w:t xml:space="preserve">L’évaluation du PRR modifié pour la Pologne sur la base des critères prévus à l’article 19, paragraphe 3, du règlement (UE) 2021/241 est approuvée. </w:t>
      </w:r>
    </w:p>
    <w:p w:rsidR="00007F85" w:rsidRPr="00EA0CA7" w:rsidRDefault="00007F85" w:rsidP="00007F85">
      <w:pPr>
        <w:pStyle w:val="Titrearticle"/>
        <w:rPr>
          <w:noProof/>
        </w:rPr>
      </w:pPr>
      <w:r w:rsidRPr="00EA0CA7">
        <w:rPr>
          <w:noProof/>
        </w:rPr>
        <w:t xml:space="preserve">Article 2 </w:t>
      </w:r>
      <w:r w:rsidRPr="00EA0CA7">
        <w:rPr>
          <w:noProof/>
        </w:rPr>
        <w:br/>
        <w:t>Modifications</w:t>
      </w:r>
    </w:p>
    <w:p w:rsidR="0034327E" w:rsidRPr="00EA0CA7" w:rsidRDefault="00007F85" w:rsidP="0034327E">
      <w:pPr>
        <w:rPr>
          <w:noProof/>
        </w:rPr>
      </w:pPr>
      <w:r w:rsidRPr="00EA0CA7">
        <w:rPr>
          <w:noProof/>
        </w:rPr>
        <w:t xml:space="preserve">La décision d’exécution du Conseil du 17 juin 2022 relative à l’approbation de l’évaluation du plan pour la reprise et la résilience pour la Pologne est modifiée comme suit: </w:t>
      </w:r>
    </w:p>
    <w:p w:rsidR="00007F85" w:rsidRPr="00EA0CA7" w:rsidRDefault="00007F85" w:rsidP="009A0DBC">
      <w:pPr>
        <w:rPr>
          <w:noProof/>
        </w:rPr>
      </w:pPr>
      <w:r w:rsidRPr="00EA0CA7">
        <w:rPr>
          <w:noProof/>
        </w:rPr>
        <w:t>l’annexe est remplacée par le texte figurant à l’annexe de la présente décision.</w:t>
      </w:r>
    </w:p>
    <w:p w:rsidR="00007F85" w:rsidRPr="00EA0CA7" w:rsidRDefault="00007F85" w:rsidP="00135D94">
      <w:pPr>
        <w:pStyle w:val="Titrearticle"/>
        <w:rPr>
          <w:noProof/>
        </w:rPr>
      </w:pPr>
      <w:r w:rsidRPr="00EA0CA7">
        <w:rPr>
          <w:noProof/>
        </w:rPr>
        <w:t xml:space="preserve">Article 3 </w:t>
      </w:r>
      <w:r w:rsidRPr="00EA0CA7">
        <w:rPr>
          <w:noProof/>
        </w:rPr>
        <w:br/>
        <w:t>Destinataire</w:t>
      </w:r>
    </w:p>
    <w:p w:rsidR="00007F85" w:rsidRPr="00EA0CA7" w:rsidRDefault="00007F85" w:rsidP="00007F85">
      <w:pPr>
        <w:rPr>
          <w:noProof/>
        </w:rPr>
      </w:pPr>
      <w:r w:rsidRPr="00EA0CA7">
        <w:rPr>
          <w:noProof/>
        </w:rPr>
        <w:t>La République de Pologne est destinataire de la présente décision.</w:t>
      </w:r>
    </w:p>
    <w:p w:rsidR="00007F85" w:rsidRPr="00EA0CA7" w:rsidRDefault="00EA0CA7" w:rsidP="00135D94">
      <w:pPr>
        <w:pStyle w:val="Fait"/>
        <w:rPr>
          <w:noProof/>
        </w:rPr>
      </w:pPr>
      <w:r>
        <w:rPr>
          <w:noProof/>
        </w:rPr>
        <w:t>Fait à Bruxelles, le</w:t>
      </w:r>
    </w:p>
    <w:p w:rsidR="00007F85" w:rsidRPr="00EA0CA7" w:rsidRDefault="00007F85" w:rsidP="00135D94">
      <w:pPr>
        <w:pStyle w:val="Institutionquisigne"/>
        <w:rPr>
          <w:noProof/>
        </w:rPr>
      </w:pPr>
      <w:r w:rsidRPr="00EA0CA7">
        <w:rPr>
          <w:noProof/>
        </w:rPr>
        <w:tab/>
        <w:t>Par le Conseil</w:t>
      </w:r>
    </w:p>
    <w:p w:rsidR="002709B6" w:rsidRPr="00EA0CA7" w:rsidRDefault="00007F85" w:rsidP="00A1233B">
      <w:pPr>
        <w:pStyle w:val="Personnequisigne"/>
        <w:rPr>
          <w:noProof/>
          <w:color w:val="008000"/>
        </w:rPr>
      </w:pPr>
      <w:r w:rsidRPr="00EA0CA7">
        <w:rPr>
          <w:noProof/>
        </w:rPr>
        <w:tab/>
        <w:t>Le président/La présidente</w:t>
      </w:r>
    </w:p>
    <w:sectPr w:rsidR="002709B6" w:rsidRPr="00EA0CA7" w:rsidSect="0038033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319" w:rsidRDefault="00465319">
      <w:pPr>
        <w:spacing w:before="0" w:after="0"/>
      </w:pPr>
      <w:r>
        <w:separator/>
      </w:r>
    </w:p>
  </w:endnote>
  <w:endnote w:type="continuationSeparator" w:id="0">
    <w:p w:rsidR="00465319" w:rsidRDefault="00465319">
      <w:pPr>
        <w:spacing w:before="0" w:after="0"/>
      </w:pPr>
      <w:r>
        <w:continuationSeparator/>
      </w:r>
    </w:p>
  </w:endnote>
  <w:endnote w:type="continuationNotice" w:id="1">
    <w:p w:rsidR="00465319" w:rsidRDefault="0046531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336" w:rsidRPr="00380336" w:rsidRDefault="00380336" w:rsidP="00380336">
    <w:pPr>
      <w:pStyle w:val="Footer"/>
      <w:rPr>
        <w:rFonts w:ascii="Arial" w:hAnsi="Arial" w:cs="Arial"/>
        <w:b/>
        <w:sz w:val="48"/>
      </w:rPr>
    </w:pPr>
    <w:r w:rsidRPr="00380336">
      <w:rPr>
        <w:rFonts w:ascii="Arial" w:hAnsi="Arial" w:cs="Arial"/>
        <w:b/>
        <w:sz w:val="48"/>
      </w:rPr>
      <w:t>FR</w:t>
    </w:r>
    <w:r w:rsidRPr="00380336">
      <w:rPr>
        <w:rFonts w:ascii="Arial" w:hAnsi="Arial" w:cs="Arial"/>
        <w:b/>
        <w:sz w:val="48"/>
      </w:rPr>
      <w:tab/>
    </w:r>
    <w:r w:rsidRPr="00380336">
      <w:rPr>
        <w:rFonts w:ascii="Arial" w:hAnsi="Arial" w:cs="Arial"/>
        <w:b/>
        <w:sz w:val="48"/>
      </w:rPr>
      <w:tab/>
    </w:r>
    <w:r w:rsidRPr="00380336">
      <w:tab/>
    </w:r>
    <w:r w:rsidRPr="0038033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336" w:rsidRPr="00380336" w:rsidRDefault="00380336" w:rsidP="00380336">
    <w:pPr>
      <w:pStyle w:val="Footer"/>
      <w:rPr>
        <w:rFonts w:ascii="Arial" w:hAnsi="Arial" w:cs="Arial"/>
        <w:b/>
        <w:sz w:val="48"/>
      </w:rPr>
    </w:pPr>
    <w:r w:rsidRPr="00380336">
      <w:rPr>
        <w:rFonts w:ascii="Arial" w:hAnsi="Arial" w:cs="Arial"/>
        <w:b/>
        <w:sz w:val="48"/>
      </w:rPr>
      <w:t>FR</w:t>
    </w:r>
    <w:r w:rsidRPr="00380336">
      <w:rPr>
        <w:rFonts w:ascii="Arial" w:hAnsi="Arial" w:cs="Arial"/>
        <w:b/>
        <w:sz w:val="48"/>
      </w:rPr>
      <w:tab/>
    </w:r>
    <w:r w:rsidRPr="00380336">
      <w:rPr>
        <w:rFonts w:ascii="Arial" w:hAnsi="Arial" w:cs="Arial"/>
        <w:b/>
        <w:sz w:val="48"/>
      </w:rPr>
      <w:tab/>
    </w:r>
    <w:r w:rsidRPr="00380336">
      <w:tab/>
    </w:r>
    <w:r w:rsidRPr="0038033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336" w:rsidRDefault="003803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336" w:rsidRPr="00380336" w:rsidRDefault="00380336" w:rsidP="00380336">
    <w:pPr>
      <w:pStyle w:val="Footer"/>
      <w:rPr>
        <w:rFonts w:ascii="Arial" w:hAnsi="Arial" w:cs="Arial"/>
        <w:b/>
        <w:sz w:val="48"/>
      </w:rPr>
    </w:pPr>
    <w:r w:rsidRPr="00380336">
      <w:rPr>
        <w:rFonts w:ascii="Arial" w:hAnsi="Arial" w:cs="Arial"/>
        <w:b/>
        <w:sz w:val="48"/>
      </w:rPr>
      <w:t>FR</w:t>
    </w:r>
    <w:r w:rsidRPr="00380336">
      <w:rPr>
        <w:rFonts w:ascii="Arial" w:hAnsi="Arial" w:cs="Arial"/>
        <w:b/>
        <w:sz w:val="48"/>
      </w:rPr>
      <w:tab/>
    </w:r>
    <w:r>
      <w:fldChar w:fldCharType="begin"/>
    </w:r>
    <w:r>
      <w:instrText xml:space="preserve"> PAGE  \* MERGEFORMAT </w:instrText>
    </w:r>
    <w:r>
      <w:fldChar w:fldCharType="separate"/>
    </w:r>
    <w:r w:rsidR="00135D94">
      <w:rPr>
        <w:noProof/>
      </w:rPr>
      <w:t>6</w:t>
    </w:r>
    <w:r>
      <w:fldChar w:fldCharType="end"/>
    </w:r>
    <w:r>
      <w:tab/>
    </w:r>
    <w:r w:rsidRPr="00380336">
      <w:tab/>
    </w:r>
    <w:r w:rsidRPr="0038033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336" w:rsidRDefault="00380336" w:rsidP="00380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319" w:rsidRDefault="00465319">
      <w:pPr>
        <w:spacing w:before="0" w:after="0"/>
      </w:pPr>
      <w:r>
        <w:separator/>
      </w:r>
    </w:p>
  </w:footnote>
  <w:footnote w:type="continuationSeparator" w:id="0">
    <w:p w:rsidR="00465319" w:rsidRDefault="00465319">
      <w:pPr>
        <w:spacing w:before="0" w:after="0"/>
      </w:pPr>
      <w:r>
        <w:continuationSeparator/>
      </w:r>
    </w:p>
  </w:footnote>
  <w:footnote w:type="continuationNotice" w:id="1">
    <w:p w:rsidR="00465319" w:rsidRDefault="00465319">
      <w:pPr>
        <w:spacing w:before="0" w:after="0"/>
      </w:pPr>
    </w:p>
  </w:footnote>
  <w:footnote w:id="2">
    <w:p w:rsidR="00487751" w:rsidRPr="00EA0CA7" w:rsidRDefault="00487751" w:rsidP="00487751">
      <w:pPr>
        <w:pStyle w:val="FootnoteText"/>
        <w:rPr>
          <w:lang w:val="fi-FI"/>
        </w:rPr>
      </w:pPr>
      <w:r>
        <w:rPr>
          <w:rStyle w:val="FootnoteReference"/>
        </w:rPr>
        <w:footnoteRef/>
      </w:r>
      <w:r w:rsidRPr="00EA0CA7">
        <w:rPr>
          <w:lang w:val="fi-FI"/>
        </w:rPr>
        <w:tab/>
        <w:t xml:space="preserve">JO L 57 du 18.2.2021, p. 17, ELI: </w:t>
      </w:r>
      <w:hyperlink r:id="rId1" w:history="1">
        <w:r w:rsidRPr="00EA0CA7">
          <w:rPr>
            <w:rStyle w:val="Hyperlink"/>
            <w:lang w:val="fi-FI"/>
          </w:rPr>
          <w:t>https://eur-lex.europa.eu/eli/reg/2021/241/oj</w:t>
        </w:r>
      </w:hyperlink>
      <w:r w:rsidRPr="00EA0CA7">
        <w:rPr>
          <w:lang w:val="fi-FI"/>
        </w:rPr>
        <w:t>.</w:t>
      </w:r>
    </w:p>
  </w:footnote>
  <w:footnote w:id="3">
    <w:p w:rsidR="00D34478" w:rsidRPr="00370723" w:rsidRDefault="00D34478" w:rsidP="7565D7AB">
      <w:pPr>
        <w:pStyle w:val="FootnoteText"/>
      </w:pPr>
      <w:r>
        <w:rPr>
          <w:rStyle w:val="FootnoteReference"/>
        </w:rPr>
        <w:footnoteRef/>
      </w:r>
      <w:r w:rsidRPr="00370723">
        <w:rPr>
          <w:lang w:val="en-GB"/>
        </w:rPr>
        <w:tab/>
      </w:r>
      <w:r w:rsidRPr="00370723">
        <w:rPr>
          <w:color w:val="000000" w:themeColor="text1"/>
          <w:lang w:val="en-GB"/>
        </w:rPr>
        <w:t>ST 9728/22 INIT; ST 9728/22 ADD 1.</w:t>
      </w:r>
      <w:r w:rsidRPr="00370723">
        <w:rPr>
          <w:lang w:val="en-GB"/>
        </w:rPr>
        <w:tab/>
      </w:r>
    </w:p>
  </w:footnote>
  <w:footnote w:id="4">
    <w:p w:rsidR="7565D7AB" w:rsidRPr="00370723" w:rsidRDefault="7565D7AB" w:rsidP="7565D7AB">
      <w:pPr>
        <w:pStyle w:val="FootnoteText"/>
        <w:rPr>
          <w:rFonts w:eastAsia="Times New Roman"/>
          <w:color w:val="000000" w:themeColor="text1"/>
        </w:rPr>
      </w:pPr>
      <w:r>
        <w:rPr>
          <w:rStyle w:val="FootnoteReference"/>
        </w:rPr>
        <w:footnoteRef/>
      </w:r>
      <w:r w:rsidRPr="00370723">
        <w:rPr>
          <w:lang w:val="en-GB"/>
        </w:rPr>
        <w:tab/>
      </w:r>
      <w:r w:rsidRPr="00370723">
        <w:rPr>
          <w:color w:val="000000" w:themeColor="text1"/>
          <w:lang w:val="en-GB"/>
        </w:rPr>
        <w:t>ST 15835/23 INIT; ST 15835/23 REV1; ST 15835/23 ADD 1.</w:t>
      </w:r>
    </w:p>
  </w:footnote>
  <w:footnote w:id="5">
    <w:p w:rsidR="7565D7AB" w:rsidRPr="00370723" w:rsidRDefault="7565D7AB" w:rsidP="7565D7AB">
      <w:pPr>
        <w:pStyle w:val="FootnoteText"/>
        <w:rPr>
          <w:rFonts w:eastAsia="Times New Roman"/>
          <w:color w:val="000000" w:themeColor="text1"/>
        </w:rPr>
      </w:pPr>
      <w:r>
        <w:rPr>
          <w:rStyle w:val="FootnoteReference"/>
        </w:rPr>
        <w:footnoteRef/>
      </w:r>
      <w:r w:rsidRPr="00370723">
        <w:rPr>
          <w:lang w:val="en-GB"/>
        </w:rPr>
        <w:tab/>
      </w:r>
      <w:r w:rsidRPr="00370723">
        <w:rPr>
          <w:color w:val="000000" w:themeColor="text1"/>
          <w:lang w:val="en-GB"/>
        </w:rPr>
        <w:t>ST 11805/24 INIT; ST 11805/24 ADD 1.</w:t>
      </w:r>
    </w:p>
  </w:footnote>
  <w:footnote w:id="6">
    <w:p w:rsidR="7565D7AB" w:rsidRPr="00370723" w:rsidRDefault="7565D7AB" w:rsidP="7565D7AB">
      <w:pPr>
        <w:pStyle w:val="FootnoteText"/>
        <w:rPr>
          <w:rFonts w:eastAsia="Times New Roman"/>
          <w:color w:val="000000" w:themeColor="text1"/>
        </w:rPr>
      </w:pPr>
      <w:r>
        <w:rPr>
          <w:rStyle w:val="FootnoteReference"/>
        </w:rPr>
        <w:footnoteRef/>
      </w:r>
      <w:r w:rsidRPr="00370723">
        <w:rPr>
          <w:lang w:val="en-GB"/>
        </w:rPr>
        <w:tab/>
      </w:r>
      <w:r w:rsidRPr="00370723">
        <w:rPr>
          <w:color w:val="000000" w:themeColor="text1"/>
          <w:lang w:val="en-GB"/>
        </w:rPr>
        <w:t>ST 9590/25 INIT; ST 9590/25 ADD 1.</w:t>
      </w:r>
    </w:p>
  </w:footnote>
  <w:footnote w:id="7">
    <w:p w:rsidR="7565D7AB" w:rsidRPr="00370723" w:rsidRDefault="7565D7AB" w:rsidP="7565D7AB">
      <w:pPr>
        <w:pStyle w:val="FootnoteText"/>
      </w:pPr>
      <w:r>
        <w:rPr>
          <w:rStyle w:val="FootnoteReference"/>
        </w:rPr>
        <w:footnoteRef/>
      </w:r>
      <w:r w:rsidRPr="00370723">
        <w:rPr>
          <w:lang w:val="en-GB"/>
        </w:rPr>
        <w:tab/>
      </w:r>
      <w:r w:rsidRPr="00370723">
        <w:rPr>
          <w:color w:val="000000" w:themeColor="text1"/>
          <w:lang w:val="en-GB"/>
        </w:rPr>
        <w:t>ST 15795/25 INIT; ST 15795/25 ADD 1; ST 15795/25 REV 1 (pl).</w:t>
      </w:r>
    </w:p>
  </w:footnote>
  <w:footnote w:id="8">
    <w:p w:rsidR="00814720" w:rsidRPr="00EA0CA7" w:rsidRDefault="00814720">
      <w:pPr>
        <w:pStyle w:val="FootnoteText"/>
        <w:rPr>
          <w:lang w:val="fr-BE"/>
        </w:rPr>
      </w:pPr>
      <w:r>
        <w:rPr>
          <w:rStyle w:val="FootnoteReference"/>
        </w:rPr>
        <w:footnoteRef/>
      </w:r>
      <w:r w:rsidRPr="00EA0CA7">
        <w:rPr>
          <w:lang w:val="fr-BE"/>
        </w:rPr>
        <w:tab/>
        <w:t>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 ELI: http://data.europa.eu/eli/reg/2018/1999/oj). </w:t>
      </w:r>
    </w:p>
  </w:footnote>
  <w:footnote w:id="9">
    <w:p w:rsidR="00610B51" w:rsidRPr="00EA0CA7" w:rsidRDefault="00610B51" w:rsidP="00610B51">
      <w:pPr>
        <w:pStyle w:val="FootnoteText"/>
        <w:rPr>
          <w:lang w:val="fr-BE"/>
        </w:rPr>
      </w:pPr>
      <w:r>
        <w:rPr>
          <w:rStyle w:val="FootnoteReference"/>
        </w:rPr>
        <w:footnoteRef/>
      </w:r>
      <w:r w:rsidRPr="00EA0CA7">
        <w:rPr>
          <w:lang w:val="fr-BE"/>
        </w:rPr>
        <w:tab/>
        <w:t>Règlement (UE) 2021/1755 du Parlement européen et du Conseil du 6 octobre 2021 établissant la réserve d’ajustement au Brexit (JO L 357 du 8.10.2021, p. 1, ELI: http://data.europa.eu/eli/reg/2021/1755/oj).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336" w:rsidRDefault="00380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336" w:rsidRDefault="00380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5-28 14:42: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4294638-2EC3-4C0E-9414-2F47C00249D2"/>
    <w:docVar w:name="LW_COVERPAGE_TYPE" w:val="1"/>
    <w:docVar w:name="LW_CROSSREFERENCE" w:val="{SWD(2026) 136 final}"/>
    <w:docVar w:name="LW_DocType" w:val="COM"/>
    <w:docVar w:name="LW_EMISSION" w:val="20.5.2026"/>
    <w:docVar w:name="LW_EMISSION_ISODATE" w:val="2026-05-2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32"/>
    <w:docVar w:name="LW_REF.II.NEW.CP_YEAR" w:val="2026"/>
    <w:docVar w:name="LW_REF.INST.NEW" w:val="COM"/>
    <w:docVar w:name="LW_REF.INST.NEW_ADOPTED" w:val="final"/>
    <w:docVar w:name="LW_REF.INST.NEW_TEXT" w:val="(2026) 2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7 juin 2022 relative à l\u8217?approbation de l\u8217?évaluation du plan pour la reprise et la résilience pour la Pologn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6AB"/>
    <w:rsid w:val="000758FF"/>
    <w:rsid w:val="00075996"/>
    <w:rsid w:val="00075C19"/>
    <w:rsid w:val="00075CFD"/>
    <w:rsid w:val="00075F3B"/>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3014"/>
    <w:rsid w:val="000C30C3"/>
    <w:rsid w:val="000C30E9"/>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C3"/>
    <w:rsid w:val="000E1D5C"/>
    <w:rsid w:val="000E2065"/>
    <w:rsid w:val="000E247B"/>
    <w:rsid w:val="000E2A5C"/>
    <w:rsid w:val="000E2E68"/>
    <w:rsid w:val="000E3000"/>
    <w:rsid w:val="000E3075"/>
    <w:rsid w:val="000E3699"/>
    <w:rsid w:val="000E3788"/>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3C4"/>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4"/>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5DA"/>
    <w:rsid w:val="0014569B"/>
    <w:rsid w:val="001458F3"/>
    <w:rsid w:val="00145B07"/>
    <w:rsid w:val="00145C1E"/>
    <w:rsid w:val="00145C90"/>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03"/>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7F8"/>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341"/>
    <w:rsid w:val="001D4427"/>
    <w:rsid w:val="001D4554"/>
    <w:rsid w:val="001D465B"/>
    <w:rsid w:val="001D483C"/>
    <w:rsid w:val="001D49E4"/>
    <w:rsid w:val="001D4B2F"/>
    <w:rsid w:val="001D4CDA"/>
    <w:rsid w:val="001D4D52"/>
    <w:rsid w:val="001D4E1E"/>
    <w:rsid w:val="001D554F"/>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4C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A80"/>
    <w:rsid w:val="001E5C1E"/>
    <w:rsid w:val="001E5C86"/>
    <w:rsid w:val="001E5CB9"/>
    <w:rsid w:val="001E5DEF"/>
    <w:rsid w:val="001E6208"/>
    <w:rsid w:val="001E621A"/>
    <w:rsid w:val="001E62A7"/>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D7D"/>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21C"/>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54A"/>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6"/>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C57"/>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2F9FCB"/>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CF1"/>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AD"/>
    <w:rsid w:val="00313BD2"/>
    <w:rsid w:val="00313BD6"/>
    <w:rsid w:val="00313E26"/>
    <w:rsid w:val="00313ED4"/>
    <w:rsid w:val="00313FF7"/>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7E"/>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55B"/>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23"/>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36"/>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4B5"/>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CC5"/>
    <w:rsid w:val="003B0E37"/>
    <w:rsid w:val="003B0F67"/>
    <w:rsid w:val="003B110B"/>
    <w:rsid w:val="003B1407"/>
    <w:rsid w:val="003B14D1"/>
    <w:rsid w:val="003B1521"/>
    <w:rsid w:val="003B1883"/>
    <w:rsid w:val="003B1A9D"/>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6FC8"/>
    <w:rsid w:val="003D7077"/>
    <w:rsid w:val="003D70CC"/>
    <w:rsid w:val="003D720D"/>
    <w:rsid w:val="003D7287"/>
    <w:rsid w:val="003D72D2"/>
    <w:rsid w:val="003D7459"/>
    <w:rsid w:val="003D746B"/>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675"/>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319"/>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FE"/>
    <w:rsid w:val="0049096E"/>
    <w:rsid w:val="004909AF"/>
    <w:rsid w:val="00490AB9"/>
    <w:rsid w:val="00490BB8"/>
    <w:rsid w:val="00490BD3"/>
    <w:rsid w:val="004910B8"/>
    <w:rsid w:val="004913A3"/>
    <w:rsid w:val="00491427"/>
    <w:rsid w:val="00491514"/>
    <w:rsid w:val="0049153B"/>
    <w:rsid w:val="004916D8"/>
    <w:rsid w:val="0049172F"/>
    <w:rsid w:val="0049177D"/>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4D2"/>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BBA"/>
    <w:rsid w:val="004B7D78"/>
    <w:rsid w:val="004B7F96"/>
    <w:rsid w:val="004BBEDE"/>
    <w:rsid w:val="004C01EB"/>
    <w:rsid w:val="004C07B4"/>
    <w:rsid w:val="004C0803"/>
    <w:rsid w:val="004C0870"/>
    <w:rsid w:val="004C0872"/>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3CE"/>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29E"/>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639"/>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46"/>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1E8"/>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45C"/>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9E1"/>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AC9"/>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B51"/>
    <w:rsid w:val="00610EE4"/>
    <w:rsid w:val="00610F3C"/>
    <w:rsid w:val="00610F82"/>
    <w:rsid w:val="006111EB"/>
    <w:rsid w:val="00611275"/>
    <w:rsid w:val="00611444"/>
    <w:rsid w:val="00611447"/>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69D"/>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90F"/>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16F"/>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4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9E3"/>
    <w:rsid w:val="006E0C82"/>
    <w:rsid w:val="006E0C87"/>
    <w:rsid w:val="006E0F87"/>
    <w:rsid w:val="006E129D"/>
    <w:rsid w:val="006E13C7"/>
    <w:rsid w:val="006E14E0"/>
    <w:rsid w:val="006E15BA"/>
    <w:rsid w:val="006E1890"/>
    <w:rsid w:val="006E190C"/>
    <w:rsid w:val="006E194F"/>
    <w:rsid w:val="006E20D9"/>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5A"/>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C95"/>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209"/>
    <w:rsid w:val="007023E7"/>
    <w:rsid w:val="007025F9"/>
    <w:rsid w:val="00702716"/>
    <w:rsid w:val="00702732"/>
    <w:rsid w:val="007028D7"/>
    <w:rsid w:val="00702B00"/>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348"/>
    <w:rsid w:val="0072363A"/>
    <w:rsid w:val="007236E8"/>
    <w:rsid w:val="00723725"/>
    <w:rsid w:val="007238CE"/>
    <w:rsid w:val="00723A6A"/>
    <w:rsid w:val="00723B50"/>
    <w:rsid w:val="00723C82"/>
    <w:rsid w:val="00723CA7"/>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99C"/>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07A"/>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9D1"/>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53C"/>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7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0F9"/>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720"/>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A2"/>
    <w:rsid w:val="008336B7"/>
    <w:rsid w:val="0083377A"/>
    <w:rsid w:val="00833780"/>
    <w:rsid w:val="008338E1"/>
    <w:rsid w:val="008339E9"/>
    <w:rsid w:val="00833BBC"/>
    <w:rsid w:val="00833FA2"/>
    <w:rsid w:val="00834284"/>
    <w:rsid w:val="00834594"/>
    <w:rsid w:val="008346FB"/>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A52"/>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99A"/>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1"/>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4B"/>
    <w:rsid w:val="008B5893"/>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C4"/>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1D"/>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B8"/>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6E2"/>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47C61"/>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329"/>
    <w:rsid w:val="009657C7"/>
    <w:rsid w:val="0096598A"/>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406"/>
    <w:rsid w:val="009A0986"/>
    <w:rsid w:val="009A0B65"/>
    <w:rsid w:val="009A0C4A"/>
    <w:rsid w:val="009A0DBC"/>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D8E"/>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7C2"/>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CB2"/>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4217"/>
    <w:rsid w:val="009F43B3"/>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1"/>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57A"/>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9F0"/>
    <w:rsid w:val="00A73A08"/>
    <w:rsid w:val="00A73BC4"/>
    <w:rsid w:val="00A73DA9"/>
    <w:rsid w:val="00A73E28"/>
    <w:rsid w:val="00A73E5E"/>
    <w:rsid w:val="00A7465D"/>
    <w:rsid w:val="00A7481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4"/>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178"/>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61"/>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424"/>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D36"/>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B03"/>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6F8"/>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7C"/>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564"/>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50BA"/>
    <w:rsid w:val="00B55178"/>
    <w:rsid w:val="00B552DC"/>
    <w:rsid w:val="00B55518"/>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62D"/>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18A"/>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14E"/>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A3F"/>
    <w:rsid w:val="00C54BAF"/>
    <w:rsid w:val="00C54ED1"/>
    <w:rsid w:val="00C554C8"/>
    <w:rsid w:val="00C55951"/>
    <w:rsid w:val="00C55EAE"/>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6E"/>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42"/>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D95"/>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5E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6CD4"/>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27B"/>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2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9C4"/>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C0C"/>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ED7"/>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B0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031"/>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6FC2"/>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A7"/>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5BBC"/>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1A2"/>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9EA"/>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6E45"/>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05E"/>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DE26F"/>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3D21B"/>
    <w:rsid w:val="016E2B31"/>
    <w:rsid w:val="0170DA76"/>
    <w:rsid w:val="017782D7"/>
    <w:rsid w:val="017946A2"/>
    <w:rsid w:val="017F2278"/>
    <w:rsid w:val="01818818"/>
    <w:rsid w:val="0186C75C"/>
    <w:rsid w:val="0188B0CE"/>
    <w:rsid w:val="018ABC22"/>
    <w:rsid w:val="018CE85C"/>
    <w:rsid w:val="0190501B"/>
    <w:rsid w:val="019E6371"/>
    <w:rsid w:val="01B13DB9"/>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42F5C"/>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2F1080"/>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4F557E"/>
    <w:rsid w:val="04533854"/>
    <w:rsid w:val="045911C2"/>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6E27B"/>
    <w:rsid w:val="050B1C91"/>
    <w:rsid w:val="05179AC7"/>
    <w:rsid w:val="051D681C"/>
    <w:rsid w:val="051F06C6"/>
    <w:rsid w:val="05225587"/>
    <w:rsid w:val="05235429"/>
    <w:rsid w:val="05331379"/>
    <w:rsid w:val="0536771B"/>
    <w:rsid w:val="053A1644"/>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EC3183"/>
    <w:rsid w:val="05F5F06C"/>
    <w:rsid w:val="0605A52C"/>
    <w:rsid w:val="060ED2F1"/>
    <w:rsid w:val="06153348"/>
    <w:rsid w:val="06158219"/>
    <w:rsid w:val="0618BE1B"/>
    <w:rsid w:val="06193FE4"/>
    <w:rsid w:val="0624ABE0"/>
    <w:rsid w:val="062D6826"/>
    <w:rsid w:val="062EDA36"/>
    <w:rsid w:val="063DBD6A"/>
    <w:rsid w:val="064B3A45"/>
    <w:rsid w:val="064EC4AD"/>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D3202"/>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38EF2"/>
    <w:rsid w:val="082E9E89"/>
    <w:rsid w:val="08316D7D"/>
    <w:rsid w:val="0831BE68"/>
    <w:rsid w:val="083530C5"/>
    <w:rsid w:val="0837FBC1"/>
    <w:rsid w:val="0839D5CE"/>
    <w:rsid w:val="0840FD32"/>
    <w:rsid w:val="0841E157"/>
    <w:rsid w:val="084B7E67"/>
    <w:rsid w:val="084C8CB8"/>
    <w:rsid w:val="0867CA68"/>
    <w:rsid w:val="08692FAF"/>
    <w:rsid w:val="086ECAA7"/>
    <w:rsid w:val="08761117"/>
    <w:rsid w:val="0877B88F"/>
    <w:rsid w:val="08786A4F"/>
    <w:rsid w:val="087D82B7"/>
    <w:rsid w:val="0887C7F6"/>
    <w:rsid w:val="0889A22A"/>
    <w:rsid w:val="088E98A1"/>
    <w:rsid w:val="08A1A63F"/>
    <w:rsid w:val="08A74FA9"/>
    <w:rsid w:val="08AAE662"/>
    <w:rsid w:val="08AC6891"/>
    <w:rsid w:val="08B12DD0"/>
    <w:rsid w:val="08CC6DA5"/>
    <w:rsid w:val="08DA0B09"/>
    <w:rsid w:val="08DE67D7"/>
    <w:rsid w:val="08F46045"/>
    <w:rsid w:val="08F9084D"/>
    <w:rsid w:val="08FB84B7"/>
    <w:rsid w:val="09049A8B"/>
    <w:rsid w:val="0908BC51"/>
    <w:rsid w:val="0908DF9D"/>
    <w:rsid w:val="091362C7"/>
    <w:rsid w:val="0918A5FF"/>
    <w:rsid w:val="091F3D67"/>
    <w:rsid w:val="0920E2F7"/>
    <w:rsid w:val="0923118A"/>
    <w:rsid w:val="0926356D"/>
    <w:rsid w:val="092FBEB1"/>
    <w:rsid w:val="09303F4F"/>
    <w:rsid w:val="09309ACC"/>
    <w:rsid w:val="0933CE69"/>
    <w:rsid w:val="09346565"/>
    <w:rsid w:val="093FD2CF"/>
    <w:rsid w:val="095CF06E"/>
    <w:rsid w:val="095F156D"/>
    <w:rsid w:val="09605570"/>
    <w:rsid w:val="0969A004"/>
    <w:rsid w:val="097058D3"/>
    <w:rsid w:val="09738A1B"/>
    <w:rsid w:val="0976F394"/>
    <w:rsid w:val="0986F6EA"/>
    <w:rsid w:val="0987A7AC"/>
    <w:rsid w:val="0989B906"/>
    <w:rsid w:val="098FA368"/>
    <w:rsid w:val="09945775"/>
    <w:rsid w:val="099F68E0"/>
    <w:rsid w:val="09A7DCDA"/>
    <w:rsid w:val="09AFDE05"/>
    <w:rsid w:val="09BD51AA"/>
    <w:rsid w:val="09BD85B8"/>
    <w:rsid w:val="09D721F8"/>
    <w:rsid w:val="09DC9AA3"/>
    <w:rsid w:val="09F20488"/>
    <w:rsid w:val="09F49883"/>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7AD6A"/>
    <w:rsid w:val="0A79ADE4"/>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E8CF4"/>
    <w:rsid w:val="0AFFC991"/>
    <w:rsid w:val="0B1409CE"/>
    <w:rsid w:val="0B16AC18"/>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2F41"/>
    <w:rsid w:val="0B79A52C"/>
    <w:rsid w:val="0B843C04"/>
    <w:rsid w:val="0B88E51D"/>
    <w:rsid w:val="0B891CA5"/>
    <w:rsid w:val="0B8A3852"/>
    <w:rsid w:val="0B9E5B2B"/>
    <w:rsid w:val="0B9E9094"/>
    <w:rsid w:val="0BA11B5D"/>
    <w:rsid w:val="0BA7B357"/>
    <w:rsid w:val="0BABFAE5"/>
    <w:rsid w:val="0BB00323"/>
    <w:rsid w:val="0BB0AFDB"/>
    <w:rsid w:val="0BB4D671"/>
    <w:rsid w:val="0BB5CBD9"/>
    <w:rsid w:val="0BC1AB22"/>
    <w:rsid w:val="0BC3CF53"/>
    <w:rsid w:val="0BCB21E3"/>
    <w:rsid w:val="0BCB32C8"/>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B205E"/>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A85D4"/>
    <w:rsid w:val="0D331BDF"/>
    <w:rsid w:val="0D37D0F7"/>
    <w:rsid w:val="0D396278"/>
    <w:rsid w:val="0D3DA164"/>
    <w:rsid w:val="0D469EE1"/>
    <w:rsid w:val="0D49325F"/>
    <w:rsid w:val="0D4E21B5"/>
    <w:rsid w:val="0D4E688E"/>
    <w:rsid w:val="0D528C82"/>
    <w:rsid w:val="0D5C1103"/>
    <w:rsid w:val="0D682948"/>
    <w:rsid w:val="0D747DFD"/>
    <w:rsid w:val="0D765C5B"/>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5017D"/>
    <w:rsid w:val="0DCBEBE1"/>
    <w:rsid w:val="0DCC075D"/>
    <w:rsid w:val="0DCFFBA1"/>
    <w:rsid w:val="0DD23A5C"/>
    <w:rsid w:val="0DD2C3A8"/>
    <w:rsid w:val="0DDF1B0B"/>
    <w:rsid w:val="0DE551F0"/>
    <w:rsid w:val="0DE8B571"/>
    <w:rsid w:val="0DEBB89A"/>
    <w:rsid w:val="0DEC21CA"/>
    <w:rsid w:val="0DF1F571"/>
    <w:rsid w:val="0DF2D42C"/>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68B76F"/>
    <w:rsid w:val="0E797DBA"/>
    <w:rsid w:val="0E7A2113"/>
    <w:rsid w:val="0E7D50B9"/>
    <w:rsid w:val="0E81E44E"/>
    <w:rsid w:val="0E87921B"/>
    <w:rsid w:val="0E8849F5"/>
    <w:rsid w:val="0E89378A"/>
    <w:rsid w:val="0E8CE324"/>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EF30E79"/>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CAC0B9"/>
    <w:rsid w:val="0FD0BC50"/>
    <w:rsid w:val="0FD176B3"/>
    <w:rsid w:val="0FDAE22A"/>
    <w:rsid w:val="0FDFF9D6"/>
    <w:rsid w:val="0FEE5BFF"/>
    <w:rsid w:val="0FEE5C56"/>
    <w:rsid w:val="0FFC000E"/>
    <w:rsid w:val="0FFD0A8A"/>
    <w:rsid w:val="0FFDC8B6"/>
    <w:rsid w:val="0FFFCC99"/>
    <w:rsid w:val="10058386"/>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0669"/>
    <w:rsid w:val="10571E8F"/>
    <w:rsid w:val="10575E49"/>
    <w:rsid w:val="105B74B9"/>
    <w:rsid w:val="105C2D84"/>
    <w:rsid w:val="1062C2B4"/>
    <w:rsid w:val="10652700"/>
    <w:rsid w:val="106CBE2A"/>
    <w:rsid w:val="1073C603"/>
    <w:rsid w:val="107A3B6A"/>
    <w:rsid w:val="107E4F99"/>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5F5C6C"/>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9167F"/>
    <w:rsid w:val="11EA3AC9"/>
    <w:rsid w:val="11EB5B3F"/>
    <w:rsid w:val="11F01ACE"/>
    <w:rsid w:val="11F39DD4"/>
    <w:rsid w:val="11F5BD4D"/>
    <w:rsid w:val="11FBCE4D"/>
    <w:rsid w:val="1201E7BA"/>
    <w:rsid w:val="120DA2F3"/>
    <w:rsid w:val="121D0441"/>
    <w:rsid w:val="12222ABC"/>
    <w:rsid w:val="12280D2C"/>
    <w:rsid w:val="122E5746"/>
    <w:rsid w:val="1230C4E5"/>
    <w:rsid w:val="1230EEC0"/>
    <w:rsid w:val="12315478"/>
    <w:rsid w:val="12327B83"/>
    <w:rsid w:val="1236F2E2"/>
    <w:rsid w:val="12438292"/>
    <w:rsid w:val="1243B3F7"/>
    <w:rsid w:val="1245C75E"/>
    <w:rsid w:val="1246200D"/>
    <w:rsid w:val="12476CF2"/>
    <w:rsid w:val="12481407"/>
    <w:rsid w:val="124C95F9"/>
    <w:rsid w:val="12588001"/>
    <w:rsid w:val="125D1C2A"/>
    <w:rsid w:val="125FF528"/>
    <w:rsid w:val="126893DB"/>
    <w:rsid w:val="12714633"/>
    <w:rsid w:val="12785A01"/>
    <w:rsid w:val="127BFE3E"/>
    <w:rsid w:val="128B9D8E"/>
    <w:rsid w:val="12960519"/>
    <w:rsid w:val="1299E83E"/>
    <w:rsid w:val="129AEDB2"/>
    <w:rsid w:val="129E9454"/>
    <w:rsid w:val="12AA0D21"/>
    <w:rsid w:val="12B3D45E"/>
    <w:rsid w:val="12C81231"/>
    <w:rsid w:val="12D3B518"/>
    <w:rsid w:val="12E63377"/>
    <w:rsid w:val="12EBA251"/>
    <w:rsid w:val="12EBA68C"/>
    <w:rsid w:val="12F8ABEF"/>
    <w:rsid w:val="1309BA8B"/>
    <w:rsid w:val="131889D8"/>
    <w:rsid w:val="131993D1"/>
    <w:rsid w:val="131AEA9F"/>
    <w:rsid w:val="131CC704"/>
    <w:rsid w:val="1322C784"/>
    <w:rsid w:val="132783E8"/>
    <w:rsid w:val="1327F958"/>
    <w:rsid w:val="1334CF72"/>
    <w:rsid w:val="1342327D"/>
    <w:rsid w:val="1356821B"/>
    <w:rsid w:val="1359AA5D"/>
    <w:rsid w:val="135B0680"/>
    <w:rsid w:val="1367CA0F"/>
    <w:rsid w:val="1369FBC4"/>
    <w:rsid w:val="136E3D2B"/>
    <w:rsid w:val="1376FCA8"/>
    <w:rsid w:val="138AE7A7"/>
    <w:rsid w:val="138FA817"/>
    <w:rsid w:val="1398B87C"/>
    <w:rsid w:val="139C7C60"/>
    <w:rsid w:val="139EB488"/>
    <w:rsid w:val="139F52F8"/>
    <w:rsid w:val="13A3282C"/>
    <w:rsid w:val="13AF1071"/>
    <w:rsid w:val="13B4B17E"/>
    <w:rsid w:val="13C04E32"/>
    <w:rsid w:val="13C4DA89"/>
    <w:rsid w:val="13CAF394"/>
    <w:rsid w:val="13D5BC0D"/>
    <w:rsid w:val="13DF7959"/>
    <w:rsid w:val="13EF3960"/>
    <w:rsid w:val="13F48298"/>
    <w:rsid w:val="13FBEAF9"/>
    <w:rsid w:val="140C49A0"/>
    <w:rsid w:val="140D01ED"/>
    <w:rsid w:val="14219016"/>
    <w:rsid w:val="142C81A3"/>
    <w:rsid w:val="142E34F5"/>
    <w:rsid w:val="142EB189"/>
    <w:rsid w:val="1435FA13"/>
    <w:rsid w:val="143808AB"/>
    <w:rsid w:val="143B009B"/>
    <w:rsid w:val="143B4E0A"/>
    <w:rsid w:val="14427D27"/>
    <w:rsid w:val="144E45B8"/>
    <w:rsid w:val="144F6E21"/>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AAF41"/>
    <w:rsid w:val="14CE6035"/>
    <w:rsid w:val="14CF4C06"/>
    <w:rsid w:val="14CF72B9"/>
    <w:rsid w:val="14D97FB3"/>
    <w:rsid w:val="14DBEE8B"/>
    <w:rsid w:val="14E36039"/>
    <w:rsid w:val="14E95180"/>
    <w:rsid w:val="14EBF46D"/>
    <w:rsid w:val="14EDE892"/>
    <w:rsid w:val="14EFE951"/>
    <w:rsid w:val="14F1D00E"/>
    <w:rsid w:val="14F6E516"/>
    <w:rsid w:val="14FE8BB7"/>
    <w:rsid w:val="14FF2D72"/>
    <w:rsid w:val="15023870"/>
    <w:rsid w:val="15029510"/>
    <w:rsid w:val="1510C4A7"/>
    <w:rsid w:val="152A291E"/>
    <w:rsid w:val="152CD493"/>
    <w:rsid w:val="153107A9"/>
    <w:rsid w:val="15358DEE"/>
    <w:rsid w:val="153E322C"/>
    <w:rsid w:val="154665F8"/>
    <w:rsid w:val="1550436E"/>
    <w:rsid w:val="1550BE52"/>
    <w:rsid w:val="15565003"/>
    <w:rsid w:val="1558A9B3"/>
    <w:rsid w:val="156CBC26"/>
    <w:rsid w:val="15715FFD"/>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20DC7"/>
    <w:rsid w:val="15E48628"/>
    <w:rsid w:val="15E91FAB"/>
    <w:rsid w:val="15EAC712"/>
    <w:rsid w:val="15F2CCCB"/>
    <w:rsid w:val="16016721"/>
    <w:rsid w:val="1603211B"/>
    <w:rsid w:val="1609876B"/>
    <w:rsid w:val="160A0CEC"/>
    <w:rsid w:val="161D56FA"/>
    <w:rsid w:val="1623616D"/>
    <w:rsid w:val="1626BE83"/>
    <w:rsid w:val="16277D16"/>
    <w:rsid w:val="16472D50"/>
    <w:rsid w:val="164ADE94"/>
    <w:rsid w:val="1654E5AC"/>
    <w:rsid w:val="1660D4FD"/>
    <w:rsid w:val="1665014A"/>
    <w:rsid w:val="1687D1D3"/>
    <w:rsid w:val="168A7DBA"/>
    <w:rsid w:val="168E7F01"/>
    <w:rsid w:val="1691B474"/>
    <w:rsid w:val="16925DD6"/>
    <w:rsid w:val="16952D5D"/>
    <w:rsid w:val="169B614F"/>
    <w:rsid w:val="169C8658"/>
    <w:rsid w:val="16A4FC85"/>
    <w:rsid w:val="16B5EBDE"/>
    <w:rsid w:val="16B783A1"/>
    <w:rsid w:val="16C56AF9"/>
    <w:rsid w:val="16C9C101"/>
    <w:rsid w:val="16CC63DB"/>
    <w:rsid w:val="16DCEA4E"/>
    <w:rsid w:val="16DCF15A"/>
    <w:rsid w:val="16DF91EA"/>
    <w:rsid w:val="16ECE8DB"/>
    <w:rsid w:val="16F1F8EB"/>
    <w:rsid w:val="16F75C7E"/>
    <w:rsid w:val="17003FDF"/>
    <w:rsid w:val="170311FA"/>
    <w:rsid w:val="17062643"/>
    <w:rsid w:val="17075E71"/>
    <w:rsid w:val="1718F50E"/>
    <w:rsid w:val="171D2644"/>
    <w:rsid w:val="171DA515"/>
    <w:rsid w:val="17200446"/>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75579"/>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0F49C"/>
    <w:rsid w:val="18211C83"/>
    <w:rsid w:val="182532C6"/>
    <w:rsid w:val="182D3F4F"/>
    <w:rsid w:val="182FE5F1"/>
    <w:rsid w:val="183BFC43"/>
    <w:rsid w:val="184C0DAC"/>
    <w:rsid w:val="1850CE07"/>
    <w:rsid w:val="1857F148"/>
    <w:rsid w:val="1861B86B"/>
    <w:rsid w:val="1865D294"/>
    <w:rsid w:val="186CE692"/>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05E7A"/>
    <w:rsid w:val="18E602F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5AB7C"/>
    <w:rsid w:val="198662CE"/>
    <w:rsid w:val="1988AF53"/>
    <w:rsid w:val="198F4802"/>
    <w:rsid w:val="1990AFC0"/>
    <w:rsid w:val="1991B79F"/>
    <w:rsid w:val="1993182E"/>
    <w:rsid w:val="1994AFEE"/>
    <w:rsid w:val="1995FBB7"/>
    <w:rsid w:val="199F3C7C"/>
    <w:rsid w:val="19A33096"/>
    <w:rsid w:val="19A647C5"/>
    <w:rsid w:val="19AE57A3"/>
    <w:rsid w:val="19B3B276"/>
    <w:rsid w:val="19B3CF22"/>
    <w:rsid w:val="19BA111E"/>
    <w:rsid w:val="19C27FEE"/>
    <w:rsid w:val="19CBD6BF"/>
    <w:rsid w:val="19D65B52"/>
    <w:rsid w:val="19DE0B32"/>
    <w:rsid w:val="19E38740"/>
    <w:rsid w:val="19E59D65"/>
    <w:rsid w:val="19E64298"/>
    <w:rsid w:val="19EFE81D"/>
    <w:rsid w:val="19FAE58B"/>
    <w:rsid w:val="19FB9C0E"/>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0B29D"/>
    <w:rsid w:val="1A81449E"/>
    <w:rsid w:val="1A88922B"/>
    <w:rsid w:val="1A8F70A5"/>
    <w:rsid w:val="1A91E989"/>
    <w:rsid w:val="1A930996"/>
    <w:rsid w:val="1AB0FC41"/>
    <w:rsid w:val="1AB67701"/>
    <w:rsid w:val="1ABCC713"/>
    <w:rsid w:val="1AC047F2"/>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6E7BC"/>
    <w:rsid w:val="1B3003A4"/>
    <w:rsid w:val="1B48839A"/>
    <w:rsid w:val="1B4A3C92"/>
    <w:rsid w:val="1B4E266B"/>
    <w:rsid w:val="1B4FDB53"/>
    <w:rsid w:val="1B50FA9A"/>
    <w:rsid w:val="1B5474DB"/>
    <w:rsid w:val="1B56E69F"/>
    <w:rsid w:val="1B5CBF1D"/>
    <w:rsid w:val="1B5F30FC"/>
    <w:rsid w:val="1B6B81CC"/>
    <w:rsid w:val="1B6FD129"/>
    <w:rsid w:val="1B7020FE"/>
    <w:rsid w:val="1B718944"/>
    <w:rsid w:val="1B79EE4B"/>
    <w:rsid w:val="1B80C9BC"/>
    <w:rsid w:val="1B859C53"/>
    <w:rsid w:val="1B86BD39"/>
    <w:rsid w:val="1B8C4851"/>
    <w:rsid w:val="1B99EC1E"/>
    <w:rsid w:val="1B9B209A"/>
    <w:rsid w:val="1BB0AD16"/>
    <w:rsid w:val="1BBF4C71"/>
    <w:rsid w:val="1BC41978"/>
    <w:rsid w:val="1BC576C6"/>
    <w:rsid w:val="1BC6577E"/>
    <w:rsid w:val="1BC70BDB"/>
    <w:rsid w:val="1BDC1AA7"/>
    <w:rsid w:val="1BDC2DA8"/>
    <w:rsid w:val="1BE088AD"/>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8A5D4"/>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7F3B87"/>
    <w:rsid w:val="1D80DABA"/>
    <w:rsid w:val="1D817B1E"/>
    <w:rsid w:val="1D89809A"/>
    <w:rsid w:val="1D90C97A"/>
    <w:rsid w:val="1D91D7B7"/>
    <w:rsid w:val="1D922306"/>
    <w:rsid w:val="1D983FA2"/>
    <w:rsid w:val="1D993855"/>
    <w:rsid w:val="1DA4928F"/>
    <w:rsid w:val="1DAA4F35"/>
    <w:rsid w:val="1DACD1DF"/>
    <w:rsid w:val="1DB6F976"/>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8CBB4"/>
    <w:rsid w:val="1E3CD8B9"/>
    <w:rsid w:val="1E440D10"/>
    <w:rsid w:val="1E500964"/>
    <w:rsid w:val="1E547389"/>
    <w:rsid w:val="1E5DCF97"/>
    <w:rsid w:val="1E609773"/>
    <w:rsid w:val="1E6F6B16"/>
    <w:rsid w:val="1E7DCDAD"/>
    <w:rsid w:val="1E81D2E8"/>
    <w:rsid w:val="1E854F5A"/>
    <w:rsid w:val="1E857111"/>
    <w:rsid w:val="1E891D7E"/>
    <w:rsid w:val="1E8EAA73"/>
    <w:rsid w:val="1E9294D0"/>
    <w:rsid w:val="1E99A35F"/>
    <w:rsid w:val="1E9F25E9"/>
    <w:rsid w:val="1EA4DFB4"/>
    <w:rsid w:val="1EA95D85"/>
    <w:rsid w:val="1EAAF3E6"/>
    <w:rsid w:val="1EAE1267"/>
    <w:rsid w:val="1EAF75BB"/>
    <w:rsid w:val="1EB0EB18"/>
    <w:rsid w:val="1EB273B2"/>
    <w:rsid w:val="1EBD5B1E"/>
    <w:rsid w:val="1EC1976B"/>
    <w:rsid w:val="1EC97523"/>
    <w:rsid w:val="1ECBF7D5"/>
    <w:rsid w:val="1ED55580"/>
    <w:rsid w:val="1EDB077B"/>
    <w:rsid w:val="1EE3A42A"/>
    <w:rsid w:val="1EE57F4C"/>
    <w:rsid w:val="1EE8AA6C"/>
    <w:rsid w:val="1EE9C65E"/>
    <w:rsid w:val="1EEA9534"/>
    <w:rsid w:val="1EEDA857"/>
    <w:rsid w:val="1EF105A3"/>
    <w:rsid w:val="1EF236CE"/>
    <w:rsid w:val="1EF3F83D"/>
    <w:rsid w:val="1EF4C7D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3505C"/>
    <w:rsid w:val="1FBACB2C"/>
    <w:rsid w:val="1FC41585"/>
    <w:rsid w:val="1FC6C823"/>
    <w:rsid w:val="1FC8F387"/>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29A6"/>
    <w:rsid w:val="203A3395"/>
    <w:rsid w:val="203C02A4"/>
    <w:rsid w:val="2049C900"/>
    <w:rsid w:val="204B51D1"/>
    <w:rsid w:val="2057034E"/>
    <w:rsid w:val="206026CE"/>
    <w:rsid w:val="2069EE20"/>
    <w:rsid w:val="206AD2C5"/>
    <w:rsid w:val="206E0D72"/>
    <w:rsid w:val="206F0543"/>
    <w:rsid w:val="2079835D"/>
    <w:rsid w:val="2082A3BB"/>
    <w:rsid w:val="20891A80"/>
    <w:rsid w:val="208B8171"/>
    <w:rsid w:val="209B6D8C"/>
    <w:rsid w:val="209D54AD"/>
    <w:rsid w:val="20A8DE77"/>
    <w:rsid w:val="20B7CD1F"/>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0C451"/>
    <w:rsid w:val="21959B03"/>
    <w:rsid w:val="2199C8D8"/>
    <w:rsid w:val="219CEC02"/>
    <w:rsid w:val="219D9F86"/>
    <w:rsid w:val="21A07408"/>
    <w:rsid w:val="21AA25E9"/>
    <w:rsid w:val="21B83E92"/>
    <w:rsid w:val="21BDD829"/>
    <w:rsid w:val="21BF132D"/>
    <w:rsid w:val="21C0E414"/>
    <w:rsid w:val="21C35C60"/>
    <w:rsid w:val="21CFB3C9"/>
    <w:rsid w:val="21DE5D40"/>
    <w:rsid w:val="21DEA715"/>
    <w:rsid w:val="21E17470"/>
    <w:rsid w:val="21ED3495"/>
    <w:rsid w:val="21F98C4E"/>
    <w:rsid w:val="21FA6FEB"/>
    <w:rsid w:val="21FD5F8C"/>
    <w:rsid w:val="21FE9437"/>
    <w:rsid w:val="220BE4CB"/>
    <w:rsid w:val="220DA9A1"/>
    <w:rsid w:val="220DD474"/>
    <w:rsid w:val="22181FC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38EB2"/>
    <w:rsid w:val="2266CC2E"/>
    <w:rsid w:val="22673F94"/>
    <w:rsid w:val="2273A304"/>
    <w:rsid w:val="2279FE3B"/>
    <w:rsid w:val="22861AC5"/>
    <w:rsid w:val="228BBEEB"/>
    <w:rsid w:val="228CD828"/>
    <w:rsid w:val="22924796"/>
    <w:rsid w:val="22930485"/>
    <w:rsid w:val="22957868"/>
    <w:rsid w:val="2298C731"/>
    <w:rsid w:val="229C6C73"/>
    <w:rsid w:val="22A60E38"/>
    <w:rsid w:val="22B09330"/>
    <w:rsid w:val="22BBF385"/>
    <w:rsid w:val="22BDC043"/>
    <w:rsid w:val="22C5B95F"/>
    <w:rsid w:val="22CEECD2"/>
    <w:rsid w:val="22D29E1C"/>
    <w:rsid w:val="22D84ABE"/>
    <w:rsid w:val="22E1E303"/>
    <w:rsid w:val="22E4A53A"/>
    <w:rsid w:val="22F13239"/>
    <w:rsid w:val="22FA3F19"/>
    <w:rsid w:val="2307314F"/>
    <w:rsid w:val="230D2A47"/>
    <w:rsid w:val="2312A507"/>
    <w:rsid w:val="23136655"/>
    <w:rsid w:val="2317E18D"/>
    <w:rsid w:val="2318ABC2"/>
    <w:rsid w:val="231D0FE3"/>
    <w:rsid w:val="232C6C20"/>
    <w:rsid w:val="232CE13F"/>
    <w:rsid w:val="2332BF10"/>
    <w:rsid w:val="2333C8AB"/>
    <w:rsid w:val="23430271"/>
    <w:rsid w:val="234462DE"/>
    <w:rsid w:val="234577C9"/>
    <w:rsid w:val="2349957D"/>
    <w:rsid w:val="23549325"/>
    <w:rsid w:val="23559B53"/>
    <w:rsid w:val="2358A8A1"/>
    <w:rsid w:val="235D8444"/>
    <w:rsid w:val="23617498"/>
    <w:rsid w:val="2364B1E0"/>
    <w:rsid w:val="23690799"/>
    <w:rsid w:val="237AC62C"/>
    <w:rsid w:val="237DD91C"/>
    <w:rsid w:val="2384C9DC"/>
    <w:rsid w:val="238554B1"/>
    <w:rsid w:val="2385CDEE"/>
    <w:rsid w:val="23A02B75"/>
    <w:rsid w:val="23A2D28B"/>
    <w:rsid w:val="23A794FD"/>
    <w:rsid w:val="23A7FE9E"/>
    <w:rsid w:val="23AEFF54"/>
    <w:rsid w:val="23AFB5F4"/>
    <w:rsid w:val="23B59799"/>
    <w:rsid w:val="23BAB814"/>
    <w:rsid w:val="23BDC58B"/>
    <w:rsid w:val="23BDEAF0"/>
    <w:rsid w:val="23BDFA57"/>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3BA505"/>
    <w:rsid w:val="244667BC"/>
    <w:rsid w:val="24511224"/>
    <w:rsid w:val="2451EF0B"/>
    <w:rsid w:val="24596EA8"/>
    <w:rsid w:val="2459DA0A"/>
    <w:rsid w:val="245EF039"/>
    <w:rsid w:val="2462FAFF"/>
    <w:rsid w:val="24656EE4"/>
    <w:rsid w:val="246E1B00"/>
    <w:rsid w:val="246F8569"/>
    <w:rsid w:val="24804F4A"/>
    <w:rsid w:val="24828DA8"/>
    <w:rsid w:val="2486BEDA"/>
    <w:rsid w:val="24898F24"/>
    <w:rsid w:val="249058C3"/>
    <w:rsid w:val="24977B5F"/>
    <w:rsid w:val="249A7447"/>
    <w:rsid w:val="24A1F59C"/>
    <w:rsid w:val="24AB615B"/>
    <w:rsid w:val="24AD5046"/>
    <w:rsid w:val="24C0C84A"/>
    <w:rsid w:val="24C1600F"/>
    <w:rsid w:val="24C5B0DB"/>
    <w:rsid w:val="24C90405"/>
    <w:rsid w:val="24CD05C4"/>
    <w:rsid w:val="24CD77D8"/>
    <w:rsid w:val="24D47823"/>
    <w:rsid w:val="24DA1E74"/>
    <w:rsid w:val="24E5D003"/>
    <w:rsid w:val="24ED8D27"/>
    <w:rsid w:val="24F36EB1"/>
    <w:rsid w:val="24F56938"/>
    <w:rsid w:val="24F61A9C"/>
    <w:rsid w:val="24FD5451"/>
    <w:rsid w:val="24FF0CF8"/>
    <w:rsid w:val="2501B54E"/>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2AF5F"/>
    <w:rsid w:val="2593270D"/>
    <w:rsid w:val="2595058A"/>
    <w:rsid w:val="25A1C32B"/>
    <w:rsid w:val="25AC97F5"/>
    <w:rsid w:val="25B93BB5"/>
    <w:rsid w:val="25B97A34"/>
    <w:rsid w:val="25BD04CC"/>
    <w:rsid w:val="25C78F8C"/>
    <w:rsid w:val="25D3BF5A"/>
    <w:rsid w:val="25DF2D03"/>
    <w:rsid w:val="25E2C1E7"/>
    <w:rsid w:val="25E769BD"/>
    <w:rsid w:val="25E8A1BB"/>
    <w:rsid w:val="25F3D09F"/>
    <w:rsid w:val="260160ED"/>
    <w:rsid w:val="260B1F70"/>
    <w:rsid w:val="260F92EB"/>
    <w:rsid w:val="261033D2"/>
    <w:rsid w:val="261A371D"/>
    <w:rsid w:val="2621FC2A"/>
    <w:rsid w:val="2622290E"/>
    <w:rsid w:val="26266964"/>
    <w:rsid w:val="2629EB71"/>
    <w:rsid w:val="262A8EA5"/>
    <w:rsid w:val="2636325A"/>
    <w:rsid w:val="263A5CC8"/>
    <w:rsid w:val="263AA9E3"/>
    <w:rsid w:val="263ED2F2"/>
    <w:rsid w:val="264B86DE"/>
    <w:rsid w:val="264F36F7"/>
    <w:rsid w:val="2654D74C"/>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602EE"/>
    <w:rsid w:val="26FC88FB"/>
    <w:rsid w:val="27008914"/>
    <w:rsid w:val="27012B09"/>
    <w:rsid w:val="2704E89C"/>
    <w:rsid w:val="2705791A"/>
    <w:rsid w:val="27059A38"/>
    <w:rsid w:val="270B8391"/>
    <w:rsid w:val="270E3B3F"/>
    <w:rsid w:val="27177B49"/>
    <w:rsid w:val="271B402D"/>
    <w:rsid w:val="272DB753"/>
    <w:rsid w:val="272EDAA0"/>
    <w:rsid w:val="2733E8FB"/>
    <w:rsid w:val="2738ABD6"/>
    <w:rsid w:val="2738EEEB"/>
    <w:rsid w:val="274DBA73"/>
    <w:rsid w:val="274F9249"/>
    <w:rsid w:val="275876B3"/>
    <w:rsid w:val="275DA61D"/>
    <w:rsid w:val="275F1280"/>
    <w:rsid w:val="276219AF"/>
    <w:rsid w:val="27646C01"/>
    <w:rsid w:val="27658C8D"/>
    <w:rsid w:val="276B08AA"/>
    <w:rsid w:val="276BC2AD"/>
    <w:rsid w:val="277AC9D0"/>
    <w:rsid w:val="277D5E33"/>
    <w:rsid w:val="278761B7"/>
    <w:rsid w:val="2791A586"/>
    <w:rsid w:val="279C2174"/>
    <w:rsid w:val="27A3CD14"/>
    <w:rsid w:val="27AADD42"/>
    <w:rsid w:val="27AD636A"/>
    <w:rsid w:val="27B47239"/>
    <w:rsid w:val="27C0DD7A"/>
    <w:rsid w:val="27C65389"/>
    <w:rsid w:val="27CB7B6F"/>
    <w:rsid w:val="27CE4B22"/>
    <w:rsid w:val="27D44C81"/>
    <w:rsid w:val="27D6DDA6"/>
    <w:rsid w:val="27F04574"/>
    <w:rsid w:val="27F72580"/>
    <w:rsid w:val="27F79EF0"/>
    <w:rsid w:val="27FFC95E"/>
    <w:rsid w:val="280B8D0D"/>
    <w:rsid w:val="280D1C9C"/>
    <w:rsid w:val="281563B3"/>
    <w:rsid w:val="281CBC23"/>
    <w:rsid w:val="281E410B"/>
    <w:rsid w:val="2820B98A"/>
    <w:rsid w:val="282364BA"/>
    <w:rsid w:val="2824F849"/>
    <w:rsid w:val="282638F9"/>
    <w:rsid w:val="282BA389"/>
    <w:rsid w:val="282D8B29"/>
    <w:rsid w:val="283389EA"/>
    <w:rsid w:val="2839A62C"/>
    <w:rsid w:val="283A32D8"/>
    <w:rsid w:val="283C227E"/>
    <w:rsid w:val="283D3C0B"/>
    <w:rsid w:val="283F6293"/>
    <w:rsid w:val="28448B43"/>
    <w:rsid w:val="2848509C"/>
    <w:rsid w:val="2849F0D7"/>
    <w:rsid w:val="28527184"/>
    <w:rsid w:val="28532361"/>
    <w:rsid w:val="285ADC3E"/>
    <w:rsid w:val="285FF6CA"/>
    <w:rsid w:val="2861469A"/>
    <w:rsid w:val="2862FA82"/>
    <w:rsid w:val="28674C93"/>
    <w:rsid w:val="287405D3"/>
    <w:rsid w:val="287EF01A"/>
    <w:rsid w:val="2885576E"/>
    <w:rsid w:val="28866289"/>
    <w:rsid w:val="2889D630"/>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45FBE"/>
    <w:rsid w:val="291B8600"/>
    <w:rsid w:val="291FFCDA"/>
    <w:rsid w:val="29309134"/>
    <w:rsid w:val="29405913"/>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18EEF"/>
    <w:rsid w:val="29C3B0F6"/>
    <w:rsid w:val="29C9AA51"/>
    <w:rsid w:val="29CA1D6D"/>
    <w:rsid w:val="29D81DB3"/>
    <w:rsid w:val="29DBAAC3"/>
    <w:rsid w:val="29DEE05C"/>
    <w:rsid w:val="29EE3EB0"/>
    <w:rsid w:val="29EFEC18"/>
    <w:rsid w:val="29F38DA4"/>
    <w:rsid w:val="2A0B0719"/>
    <w:rsid w:val="2A1A2788"/>
    <w:rsid w:val="2A2469F3"/>
    <w:rsid w:val="2A4138F3"/>
    <w:rsid w:val="2A42C0C4"/>
    <w:rsid w:val="2A4C4F89"/>
    <w:rsid w:val="2A4D6EA6"/>
    <w:rsid w:val="2A4DD80B"/>
    <w:rsid w:val="2A553E11"/>
    <w:rsid w:val="2A562DEA"/>
    <w:rsid w:val="2A5B8318"/>
    <w:rsid w:val="2A5D3D4E"/>
    <w:rsid w:val="2A6A03DA"/>
    <w:rsid w:val="2A71C88D"/>
    <w:rsid w:val="2A80CA6F"/>
    <w:rsid w:val="2A84AC4E"/>
    <w:rsid w:val="2A883328"/>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9E212"/>
    <w:rsid w:val="2B1AB9FA"/>
    <w:rsid w:val="2B20FE88"/>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11BA5"/>
    <w:rsid w:val="2B84CD68"/>
    <w:rsid w:val="2B93E4D5"/>
    <w:rsid w:val="2B95590D"/>
    <w:rsid w:val="2B9831CB"/>
    <w:rsid w:val="2B989337"/>
    <w:rsid w:val="2B9DEF27"/>
    <w:rsid w:val="2B9E91AC"/>
    <w:rsid w:val="2BA09AFC"/>
    <w:rsid w:val="2BA2B320"/>
    <w:rsid w:val="2BA423A9"/>
    <w:rsid w:val="2BA43252"/>
    <w:rsid w:val="2BBAE832"/>
    <w:rsid w:val="2BC14A3B"/>
    <w:rsid w:val="2BC3103A"/>
    <w:rsid w:val="2BD61BCA"/>
    <w:rsid w:val="2BDF408C"/>
    <w:rsid w:val="2BDF5CD3"/>
    <w:rsid w:val="2BE18406"/>
    <w:rsid w:val="2BE568BD"/>
    <w:rsid w:val="2C13B15C"/>
    <w:rsid w:val="2C17B5F3"/>
    <w:rsid w:val="2C1A0021"/>
    <w:rsid w:val="2C1BE03F"/>
    <w:rsid w:val="2C1DA3F2"/>
    <w:rsid w:val="2C3A424E"/>
    <w:rsid w:val="2C463F24"/>
    <w:rsid w:val="2C4E59D8"/>
    <w:rsid w:val="2C596B04"/>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E6ECAD"/>
    <w:rsid w:val="2CF2965F"/>
    <w:rsid w:val="2CFB1EB3"/>
    <w:rsid w:val="2D1659F1"/>
    <w:rsid w:val="2D22351C"/>
    <w:rsid w:val="2D24700F"/>
    <w:rsid w:val="2D3EA500"/>
    <w:rsid w:val="2D47B17E"/>
    <w:rsid w:val="2D4B939A"/>
    <w:rsid w:val="2D500368"/>
    <w:rsid w:val="2D5EBFFA"/>
    <w:rsid w:val="2D5F7125"/>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23F89"/>
    <w:rsid w:val="2DB772BD"/>
    <w:rsid w:val="2DBFDEC7"/>
    <w:rsid w:val="2DC9F2A6"/>
    <w:rsid w:val="2DD07E21"/>
    <w:rsid w:val="2DD6FE03"/>
    <w:rsid w:val="2DD7B8FF"/>
    <w:rsid w:val="2DD87228"/>
    <w:rsid w:val="2DE6A56E"/>
    <w:rsid w:val="2DEED7EB"/>
    <w:rsid w:val="2DF5252F"/>
    <w:rsid w:val="2E1D4C0B"/>
    <w:rsid w:val="2E1E1E51"/>
    <w:rsid w:val="2E300717"/>
    <w:rsid w:val="2E346B04"/>
    <w:rsid w:val="2E36901C"/>
    <w:rsid w:val="2E42D3DB"/>
    <w:rsid w:val="2E478524"/>
    <w:rsid w:val="2E47E456"/>
    <w:rsid w:val="2E4BA64B"/>
    <w:rsid w:val="2E557D5D"/>
    <w:rsid w:val="2E5D10B3"/>
    <w:rsid w:val="2E5DD906"/>
    <w:rsid w:val="2E60D77A"/>
    <w:rsid w:val="2E618D02"/>
    <w:rsid w:val="2E6B39C3"/>
    <w:rsid w:val="2E72C9F7"/>
    <w:rsid w:val="2E76336D"/>
    <w:rsid w:val="2E78429C"/>
    <w:rsid w:val="2E7B4905"/>
    <w:rsid w:val="2E83E9C8"/>
    <w:rsid w:val="2E842D8D"/>
    <w:rsid w:val="2E8D3F6E"/>
    <w:rsid w:val="2E91F032"/>
    <w:rsid w:val="2E9314C8"/>
    <w:rsid w:val="2E954CEA"/>
    <w:rsid w:val="2E9D1AEC"/>
    <w:rsid w:val="2EA2E6C5"/>
    <w:rsid w:val="2EAA4792"/>
    <w:rsid w:val="2EBA4EFF"/>
    <w:rsid w:val="2ECF51CA"/>
    <w:rsid w:val="2ED68464"/>
    <w:rsid w:val="2ED88D6D"/>
    <w:rsid w:val="2EDFDE37"/>
    <w:rsid w:val="2EE8A453"/>
    <w:rsid w:val="2EE96E07"/>
    <w:rsid w:val="2EEC2367"/>
    <w:rsid w:val="2EF93B01"/>
    <w:rsid w:val="2F0F146A"/>
    <w:rsid w:val="2F22CE76"/>
    <w:rsid w:val="2F24B6E3"/>
    <w:rsid w:val="2F2FA55D"/>
    <w:rsid w:val="2F31516B"/>
    <w:rsid w:val="2F331931"/>
    <w:rsid w:val="2F3F3164"/>
    <w:rsid w:val="2F59A7D2"/>
    <w:rsid w:val="2F62CA80"/>
    <w:rsid w:val="2F6A3E54"/>
    <w:rsid w:val="2F6B7131"/>
    <w:rsid w:val="2F6BF27E"/>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2A957"/>
    <w:rsid w:val="3024507C"/>
    <w:rsid w:val="30365417"/>
    <w:rsid w:val="303E872C"/>
    <w:rsid w:val="30441699"/>
    <w:rsid w:val="30468AFF"/>
    <w:rsid w:val="30513667"/>
    <w:rsid w:val="30683194"/>
    <w:rsid w:val="30695A66"/>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DEFE99"/>
    <w:rsid w:val="30E053E1"/>
    <w:rsid w:val="30E18B66"/>
    <w:rsid w:val="30EC145B"/>
    <w:rsid w:val="30EE4E03"/>
    <w:rsid w:val="30F1459B"/>
    <w:rsid w:val="30F54909"/>
    <w:rsid w:val="310A65A1"/>
    <w:rsid w:val="310E9956"/>
    <w:rsid w:val="311C8A3D"/>
    <w:rsid w:val="31218DBA"/>
    <w:rsid w:val="3121CF5F"/>
    <w:rsid w:val="3126FA94"/>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5309B"/>
    <w:rsid w:val="319F6826"/>
    <w:rsid w:val="31B0B792"/>
    <w:rsid w:val="31BB9A13"/>
    <w:rsid w:val="31C3576F"/>
    <w:rsid w:val="31C7F88F"/>
    <w:rsid w:val="31CD587E"/>
    <w:rsid w:val="31D0AA64"/>
    <w:rsid w:val="31E0D56C"/>
    <w:rsid w:val="31E5A31F"/>
    <w:rsid w:val="31E73437"/>
    <w:rsid w:val="31F4B7AC"/>
    <w:rsid w:val="31F93B81"/>
    <w:rsid w:val="31FD699B"/>
    <w:rsid w:val="320369EC"/>
    <w:rsid w:val="320A26CB"/>
    <w:rsid w:val="32130196"/>
    <w:rsid w:val="321D440D"/>
    <w:rsid w:val="321E3A26"/>
    <w:rsid w:val="3220FE38"/>
    <w:rsid w:val="32211747"/>
    <w:rsid w:val="32313713"/>
    <w:rsid w:val="323978BD"/>
    <w:rsid w:val="323C4E02"/>
    <w:rsid w:val="324197F6"/>
    <w:rsid w:val="3243D623"/>
    <w:rsid w:val="324B3969"/>
    <w:rsid w:val="32528E6F"/>
    <w:rsid w:val="3256507B"/>
    <w:rsid w:val="3260E91B"/>
    <w:rsid w:val="326A0ADF"/>
    <w:rsid w:val="326D4289"/>
    <w:rsid w:val="32747896"/>
    <w:rsid w:val="3277D673"/>
    <w:rsid w:val="327AE989"/>
    <w:rsid w:val="328552FE"/>
    <w:rsid w:val="3287DE52"/>
    <w:rsid w:val="32911FD5"/>
    <w:rsid w:val="3295CC1C"/>
    <w:rsid w:val="32988F06"/>
    <w:rsid w:val="329BCFF2"/>
    <w:rsid w:val="32B205F3"/>
    <w:rsid w:val="32BB49DD"/>
    <w:rsid w:val="32BCC62B"/>
    <w:rsid w:val="32BF3E4F"/>
    <w:rsid w:val="32C17EF7"/>
    <w:rsid w:val="32CA3633"/>
    <w:rsid w:val="32CB4E4F"/>
    <w:rsid w:val="32CFF6AF"/>
    <w:rsid w:val="32D12714"/>
    <w:rsid w:val="32D436E1"/>
    <w:rsid w:val="32D85191"/>
    <w:rsid w:val="32DA0B58"/>
    <w:rsid w:val="32E1628F"/>
    <w:rsid w:val="32EF9D26"/>
    <w:rsid w:val="32FC17CA"/>
    <w:rsid w:val="33170EBC"/>
    <w:rsid w:val="3320C33A"/>
    <w:rsid w:val="3322C424"/>
    <w:rsid w:val="3326F06C"/>
    <w:rsid w:val="332917A9"/>
    <w:rsid w:val="332A74B4"/>
    <w:rsid w:val="332D8B71"/>
    <w:rsid w:val="33384AD2"/>
    <w:rsid w:val="333A1D82"/>
    <w:rsid w:val="333C798D"/>
    <w:rsid w:val="333D54F1"/>
    <w:rsid w:val="334E007B"/>
    <w:rsid w:val="3356152F"/>
    <w:rsid w:val="33588654"/>
    <w:rsid w:val="335BC38D"/>
    <w:rsid w:val="3366F487"/>
    <w:rsid w:val="336AD1DC"/>
    <w:rsid w:val="336D61C7"/>
    <w:rsid w:val="3371D49A"/>
    <w:rsid w:val="33751170"/>
    <w:rsid w:val="3375F1B7"/>
    <w:rsid w:val="33778031"/>
    <w:rsid w:val="3386B7D9"/>
    <w:rsid w:val="338AB9C8"/>
    <w:rsid w:val="338E061B"/>
    <w:rsid w:val="3398EAFA"/>
    <w:rsid w:val="33A32B6B"/>
    <w:rsid w:val="33A5FA13"/>
    <w:rsid w:val="33A7D529"/>
    <w:rsid w:val="33B2463F"/>
    <w:rsid w:val="33B67AC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A481C"/>
    <w:rsid w:val="344F4653"/>
    <w:rsid w:val="345E9AC5"/>
    <w:rsid w:val="34634794"/>
    <w:rsid w:val="34640DF4"/>
    <w:rsid w:val="346691FF"/>
    <w:rsid w:val="34691E44"/>
    <w:rsid w:val="3469E67F"/>
    <w:rsid w:val="346C6B04"/>
    <w:rsid w:val="346C986D"/>
    <w:rsid w:val="34810148"/>
    <w:rsid w:val="348220BF"/>
    <w:rsid w:val="348B9F71"/>
    <w:rsid w:val="348D998F"/>
    <w:rsid w:val="348E2DCF"/>
    <w:rsid w:val="3498CC9E"/>
    <w:rsid w:val="349A387A"/>
    <w:rsid w:val="349D6887"/>
    <w:rsid w:val="34A1E012"/>
    <w:rsid w:val="34A4C36C"/>
    <w:rsid w:val="34AEC0E9"/>
    <w:rsid w:val="34B43D3A"/>
    <w:rsid w:val="34B473B1"/>
    <w:rsid w:val="34B71837"/>
    <w:rsid w:val="34B7E50F"/>
    <w:rsid w:val="34BD57D4"/>
    <w:rsid w:val="34C3FA8D"/>
    <w:rsid w:val="34D1E378"/>
    <w:rsid w:val="34D83078"/>
    <w:rsid w:val="34DFA4A6"/>
    <w:rsid w:val="34E6361F"/>
    <w:rsid w:val="34EA86E7"/>
    <w:rsid w:val="34EC0116"/>
    <w:rsid w:val="35079B86"/>
    <w:rsid w:val="3507D716"/>
    <w:rsid w:val="350E06A2"/>
    <w:rsid w:val="35142C5B"/>
    <w:rsid w:val="35152EF8"/>
    <w:rsid w:val="3534E97F"/>
    <w:rsid w:val="353E1F1D"/>
    <w:rsid w:val="354887B3"/>
    <w:rsid w:val="3556AE9D"/>
    <w:rsid w:val="355C2431"/>
    <w:rsid w:val="355EFE6C"/>
    <w:rsid w:val="3563C6B7"/>
    <w:rsid w:val="356FCD4C"/>
    <w:rsid w:val="357C769B"/>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0F18"/>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8DD58"/>
    <w:rsid w:val="365C5DA2"/>
    <w:rsid w:val="3663ACD4"/>
    <w:rsid w:val="36665552"/>
    <w:rsid w:val="366F8854"/>
    <w:rsid w:val="367205EE"/>
    <w:rsid w:val="36799CAF"/>
    <w:rsid w:val="367C297A"/>
    <w:rsid w:val="36863223"/>
    <w:rsid w:val="3686DD78"/>
    <w:rsid w:val="36892A50"/>
    <w:rsid w:val="36979D93"/>
    <w:rsid w:val="369C392B"/>
    <w:rsid w:val="36A78198"/>
    <w:rsid w:val="36AB98CE"/>
    <w:rsid w:val="36ABEE97"/>
    <w:rsid w:val="36AC33CD"/>
    <w:rsid w:val="36CFD159"/>
    <w:rsid w:val="36E4539C"/>
    <w:rsid w:val="36F21017"/>
    <w:rsid w:val="36F3FCF9"/>
    <w:rsid w:val="36F42E76"/>
    <w:rsid w:val="36F48F9C"/>
    <w:rsid w:val="36F836AC"/>
    <w:rsid w:val="36FFF3EB"/>
    <w:rsid w:val="3710C8F6"/>
    <w:rsid w:val="37110C80"/>
    <w:rsid w:val="37195FE2"/>
    <w:rsid w:val="371A7F1A"/>
    <w:rsid w:val="373961D7"/>
    <w:rsid w:val="374A13A5"/>
    <w:rsid w:val="374E915C"/>
    <w:rsid w:val="37514D84"/>
    <w:rsid w:val="37525E74"/>
    <w:rsid w:val="3786B7B5"/>
    <w:rsid w:val="3788717E"/>
    <w:rsid w:val="378CDFDD"/>
    <w:rsid w:val="37921974"/>
    <w:rsid w:val="379986A2"/>
    <w:rsid w:val="3799B033"/>
    <w:rsid w:val="379B2543"/>
    <w:rsid w:val="379D9D18"/>
    <w:rsid w:val="37A0FF56"/>
    <w:rsid w:val="37A3F95A"/>
    <w:rsid w:val="37ABC0AC"/>
    <w:rsid w:val="37B0DD0A"/>
    <w:rsid w:val="37B184F0"/>
    <w:rsid w:val="37B45393"/>
    <w:rsid w:val="37BCE76D"/>
    <w:rsid w:val="37C1DB7E"/>
    <w:rsid w:val="37D0D06C"/>
    <w:rsid w:val="37D451A3"/>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3524D"/>
    <w:rsid w:val="382E2887"/>
    <w:rsid w:val="38379FD1"/>
    <w:rsid w:val="3838CD51"/>
    <w:rsid w:val="38396B9C"/>
    <w:rsid w:val="38475D89"/>
    <w:rsid w:val="384E20C0"/>
    <w:rsid w:val="386374A6"/>
    <w:rsid w:val="386719CE"/>
    <w:rsid w:val="386C5572"/>
    <w:rsid w:val="38702FBF"/>
    <w:rsid w:val="387929C2"/>
    <w:rsid w:val="387A6BC4"/>
    <w:rsid w:val="387F0BFA"/>
    <w:rsid w:val="3885B5C1"/>
    <w:rsid w:val="388822FB"/>
    <w:rsid w:val="3889BFFC"/>
    <w:rsid w:val="3890C55C"/>
    <w:rsid w:val="3897A1B6"/>
    <w:rsid w:val="38A220DD"/>
    <w:rsid w:val="38A5A241"/>
    <w:rsid w:val="38AFB574"/>
    <w:rsid w:val="38AFEBE3"/>
    <w:rsid w:val="38B0CC55"/>
    <w:rsid w:val="38B9C9CB"/>
    <w:rsid w:val="38BCEA8F"/>
    <w:rsid w:val="38BDE0FE"/>
    <w:rsid w:val="38C463F1"/>
    <w:rsid w:val="38C8285F"/>
    <w:rsid w:val="38CF89F1"/>
    <w:rsid w:val="38D75118"/>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BF0B5"/>
    <w:rsid w:val="392FAD24"/>
    <w:rsid w:val="3933466C"/>
    <w:rsid w:val="39387C02"/>
    <w:rsid w:val="3939198C"/>
    <w:rsid w:val="39404A7B"/>
    <w:rsid w:val="3947974A"/>
    <w:rsid w:val="394F19F1"/>
    <w:rsid w:val="395349AA"/>
    <w:rsid w:val="39561510"/>
    <w:rsid w:val="3965FF7B"/>
    <w:rsid w:val="3970EF1E"/>
    <w:rsid w:val="397731AE"/>
    <w:rsid w:val="397BC359"/>
    <w:rsid w:val="397C30BA"/>
    <w:rsid w:val="397ED8B9"/>
    <w:rsid w:val="39831984"/>
    <w:rsid w:val="398473CA"/>
    <w:rsid w:val="39883837"/>
    <w:rsid w:val="398C505C"/>
    <w:rsid w:val="39928086"/>
    <w:rsid w:val="39A83627"/>
    <w:rsid w:val="39AD59B6"/>
    <w:rsid w:val="39AD7F4F"/>
    <w:rsid w:val="39AE0BC4"/>
    <w:rsid w:val="39B346F9"/>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63FC2A"/>
    <w:rsid w:val="3A6B9A82"/>
    <w:rsid w:val="3A70A601"/>
    <w:rsid w:val="3A743883"/>
    <w:rsid w:val="3A785D7E"/>
    <w:rsid w:val="3A903CD4"/>
    <w:rsid w:val="3A9F5701"/>
    <w:rsid w:val="3AA169E0"/>
    <w:rsid w:val="3AA8D4A7"/>
    <w:rsid w:val="3AB983FC"/>
    <w:rsid w:val="3ABB6BA0"/>
    <w:rsid w:val="3AC86B22"/>
    <w:rsid w:val="3ACA6815"/>
    <w:rsid w:val="3ACBE2A8"/>
    <w:rsid w:val="3ACE7AA8"/>
    <w:rsid w:val="3AD4B8C2"/>
    <w:rsid w:val="3AD5E608"/>
    <w:rsid w:val="3AD665D9"/>
    <w:rsid w:val="3AD6A431"/>
    <w:rsid w:val="3ADDDA38"/>
    <w:rsid w:val="3AE90B29"/>
    <w:rsid w:val="3B018E8C"/>
    <w:rsid w:val="3B0676C8"/>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9BB9"/>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5B474"/>
    <w:rsid w:val="3BB7181C"/>
    <w:rsid w:val="3BDFA090"/>
    <w:rsid w:val="3BE167D6"/>
    <w:rsid w:val="3BE50BA4"/>
    <w:rsid w:val="3BFF8F52"/>
    <w:rsid w:val="3C03E5BA"/>
    <w:rsid w:val="3C08282E"/>
    <w:rsid w:val="3C0B11F5"/>
    <w:rsid w:val="3C0B444E"/>
    <w:rsid w:val="3C103BF6"/>
    <w:rsid w:val="3C16E02D"/>
    <w:rsid w:val="3C1D08B0"/>
    <w:rsid w:val="3C1F4794"/>
    <w:rsid w:val="3C22383D"/>
    <w:rsid w:val="3C24E01A"/>
    <w:rsid w:val="3C2C9935"/>
    <w:rsid w:val="3C312DBC"/>
    <w:rsid w:val="3C500685"/>
    <w:rsid w:val="3C5180B4"/>
    <w:rsid w:val="3C573585"/>
    <w:rsid w:val="3C5E0833"/>
    <w:rsid w:val="3C5F65F7"/>
    <w:rsid w:val="3C5FAF96"/>
    <w:rsid w:val="3C62DBD5"/>
    <w:rsid w:val="3C663608"/>
    <w:rsid w:val="3C6AE95C"/>
    <w:rsid w:val="3C6D6C75"/>
    <w:rsid w:val="3C76412D"/>
    <w:rsid w:val="3C769C67"/>
    <w:rsid w:val="3C7F52CD"/>
    <w:rsid w:val="3C866F7B"/>
    <w:rsid w:val="3C86A10A"/>
    <w:rsid w:val="3C8AC9BD"/>
    <w:rsid w:val="3C8C40B4"/>
    <w:rsid w:val="3C8C844D"/>
    <w:rsid w:val="3C90626E"/>
    <w:rsid w:val="3C963925"/>
    <w:rsid w:val="3C9CA0B4"/>
    <w:rsid w:val="3C9ED888"/>
    <w:rsid w:val="3CA4C34E"/>
    <w:rsid w:val="3CAA3ABE"/>
    <w:rsid w:val="3CAB8F16"/>
    <w:rsid w:val="3CB10A02"/>
    <w:rsid w:val="3CB20077"/>
    <w:rsid w:val="3CB8C819"/>
    <w:rsid w:val="3CC6DCEF"/>
    <w:rsid w:val="3CD25381"/>
    <w:rsid w:val="3CD31248"/>
    <w:rsid w:val="3CD736AC"/>
    <w:rsid w:val="3CE564B1"/>
    <w:rsid w:val="3CE5DDD6"/>
    <w:rsid w:val="3CEC3300"/>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1E6A"/>
    <w:rsid w:val="3DE380DB"/>
    <w:rsid w:val="3DED7941"/>
    <w:rsid w:val="3DEF4660"/>
    <w:rsid w:val="3DF6923E"/>
    <w:rsid w:val="3DFB332A"/>
    <w:rsid w:val="3E0096BE"/>
    <w:rsid w:val="3E05A72B"/>
    <w:rsid w:val="3E10E215"/>
    <w:rsid w:val="3E2078FE"/>
    <w:rsid w:val="3E2266A0"/>
    <w:rsid w:val="3E2A470C"/>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34459"/>
    <w:rsid w:val="3E846560"/>
    <w:rsid w:val="3E861D93"/>
    <w:rsid w:val="3E8909A4"/>
    <w:rsid w:val="3E8A8C9D"/>
    <w:rsid w:val="3E94B9E2"/>
    <w:rsid w:val="3EA18740"/>
    <w:rsid w:val="3EA1E9E4"/>
    <w:rsid w:val="3EA2807E"/>
    <w:rsid w:val="3EACF9C2"/>
    <w:rsid w:val="3EB119BC"/>
    <w:rsid w:val="3EB92736"/>
    <w:rsid w:val="3EBDCC4E"/>
    <w:rsid w:val="3ED62653"/>
    <w:rsid w:val="3EDCBFC0"/>
    <w:rsid w:val="3EE17CF9"/>
    <w:rsid w:val="3EEA51AE"/>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CE652"/>
    <w:rsid w:val="3F6EA2BA"/>
    <w:rsid w:val="3F752C10"/>
    <w:rsid w:val="3F7D8502"/>
    <w:rsid w:val="3F852CF5"/>
    <w:rsid w:val="3F86BB74"/>
    <w:rsid w:val="3F886400"/>
    <w:rsid w:val="3F8A2AAC"/>
    <w:rsid w:val="3F910E2B"/>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20AA5"/>
    <w:rsid w:val="3FE75F15"/>
    <w:rsid w:val="3FE9C6EB"/>
    <w:rsid w:val="3FEF2075"/>
    <w:rsid w:val="3FF433DE"/>
    <w:rsid w:val="3FFBE8C5"/>
    <w:rsid w:val="3FFDFFE7"/>
    <w:rsid w:val="3FFFAA5F"/>
    <w:rsid w:val="40043CCA"/>
    <w:rsid w:val="40070841"/>
    <w:rsid w:val="40072E7D"/>
    <w:rsid w:val="4014ED3E"/>
    <w:rsid w:val="4016C9A2"/>
    <w:rsid w:val="4016CB55"/>
    <w:rsid w:val="401849B2"/>
    <w:rsid w:val="4018F10A"/>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AFFAF2"/>
    <w:rsid w:val="40B19CEE"/>
    <w:rsid w:val="40B917F6"/>
    <w:rsid w:val="40D5DB89"/>
    <w:rsid w:val="40DB7205"/>
    <w:rsid w:val="40E90FF0"/>
    <w:rsid w:val="40EDB178"/>
    <w:rsid w:val="40F17473"/>
    <w:rsid w:val="40F87C48"/>
    <w:rsid w:val="40F994A3"/>
    <w:rsid w:val="41038BD7"/>
    <w:rsid w:val="4103DAD8"/>
    <w:rsid w:val="410928D8"/>
    <w:rsid w:val="410C67B5"/>
    <w:rsid w:val="410EC50A"/>
    <w:rsid w:val="410F03AB"/>
    <w:rsid w:val="41152FE6"/>
    <w:rsid w:val="4121214E"/>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2FB779"/>
    <w:rsid w:val="4237972D"/>
    <w:rsid w:val="42400862"/>
    <w:rsid w:val="4247D61F"/>
    <w:rsid w:val="425960D7"/>
    <w:rsid w:val="425AA49C"/>
    <w:rsid w:val="426189E7"/>
    <w:rsid w:val="42660885"/>
    <w:rsid w:val="426B50D8"/>
    <w:rsid w:val="4272FF38"/>
    <w:rsid w:val="42737281"/>
    <w:rsid w:val="427C61A4"/>
    <w:rsid w:val="427C724F"/>
    <w:rsid w:val="427ED938"/>
    <w:rsid w:val="427FB9B0"/>
    <w:rsid w:val="4285C2C1"/>
    <w:rsid w:val="4297115A"/>
    <w:rsid w:val="4297F33B"/>
    <w:rsid w:val="42A7EFF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4E9723"/>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A15B53"/>
    <w:rsid w:val="43B36A97"/>
    <w:rsid w:val="43BD0385"/>
    <w:rsid w:val="43CA7E97"/>
    <w:rsid w:val="43CB007F"/>
    <w:rsid w:val="43D4DC5A"/>
    <w:rsid w:val="43DB575C"/>
    <w:rsid w:val="43EEF7AB"/>
    <w:rsid w:val="43EF1B43"/>
    <w:rsid w:val="43F24AAD"/>
    <w:rsid w:val="44070E5D"/>
    <w:rsid w:val="440A516C"/>
    <w:rsid w:val="44127BE1"/>
    <w:rsid w:val="4412FAEC"/>
    <w:rsid w:val="442353AA"/>
    <w:rsid w:val="44255075"/>
    <w:rsid w:val="44286846"/>
    <w:rsid w:val="442F1F38"/>
    <w:rsid w:val="4433BA12"/>
    <w:rsid w:val="44351546"/>
    <w:rsid w:val="443B7BC0"/>
    <w:rsid w:val="443D4CD8"/>
    <w:rsid w:val="443DB929"/>
    <w:rsid w:val="443E48E5"/>
    <w:rsid w:val="4444B095"/>
    <w:rsid w:val="444FA83E"/>
    <w:rsid w:val="445D4805"/>
    <w:rsid w:val="446673AB"/>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703C3"/>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3705A"/>
    <w:rsid w:val="451ECCEC"/>
    <w:rsid w:val="4527196E"/>
    <w:rsid w:val="4527AE39"/>
    <w:rsid w:val="4534A6D7"/>
    <w:rsid w:val="453D2B39"/>
    <w:rsid w:val="453DA9A0"/>
    <w:rsid w:val="454A69AF"/>
    <w:rsid w:val="454C8467"/>
    <w:rsid w:val="454DE844"/>
    <w:rsid w:val="45579493"/>
    <w:rsid w:val="455B7638"/>
    <w:rsid w:val="456EF266"/>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1B7D17"/>
    <w:rsid w:val="46283EE8"/>
    <w:rsid w:val="4632C937"/>
    <w:rsid w:val="46488700"/>
    <w:rsid w:val="464A0521"/>
    <w:rsid w:val="4650C2A7"/>
    <w:rsid w:val="46595893"/>
    <w:rsid w:val="465B0A0A"/>
    <w:rsid w:val="465F65D2"/>
    <w:rsid w:val="465FAF89"/>
    <w:rsid w:val="465FF599"/>
    <w:rsid w:val="4669C789"/>
    <w:rsid w:val="466AAFE7"/>
    <w:rsid w:val="467F607A"/>
    <w:rsid w:val="468451C7"/>
    <w:rsid w:val="46850E06"/>
    <w:rsid w:val="46897348"/>
    <w:rsid w:val="46923F22"/>
    <w:rsid w:val="46989CC7"/>
    <w:rsid w:val="469D18CB"/>
    <w:rsid w:val="46A71E46"/>
    <w:rsid w:val="46ABEF0E"/>
    <w:rsid w:val="46AF38AC"/>
    <w:rsid w:val="46B44A97"/>
    <w:rsid w:val="46C91294"/>
    <w:rsid w:val="46CC29D8"/>
    <w:rsid w:val="46CF9C7A"/>
    <w:rsid w:val="46D1BEC7"/>
    <w:rsid w:val="46D3EE32"/>
    <w:rsid w:val="46D9D0B7"/>
    <w:rsid w:val="46E23005"/>
    <w:rsid w:val="46ECE0B6"/>
    <w:rsid w:val="46EE84B0"/>
    <w:rsid w:val="46F3A92F"/>
    <w:rsid w:val="46F5D754"/>
    <w:rsid w:val="46F6D7E9"/>
    <w:rsid w:val="4700935F"/>
    <w:rsid w:val="4707B465"/>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A85A3"/>
    <w:rsid w:val="478B8CE5"/>
    <w:rsid w:val="4793D92E"/>
    <w:rsid w:val="479617B0"/>
    <w:rsid w:val="479714C7"/>
    <w:rsid w:val="479AAA5A"/>
    <w:rsid w:val="479F70FD"/>
    <w:rsid w:val="47AEA91E"/>
    <w:rsid w:val="47B9B495"/>
    <w:rsid w:val="47BBB79D"/>
    <w:rsid w:val="47BFC794"/>
    <w:rsid w:val="47C5B09D"/>
    <w:rsid w:val="47CA4D2F"/>
    <w:rsid w:val="47CC17FC"/>
    <w:rsid w:val="47E03CC2"/>
    <w:rsid w:val="47E770B0"/>
    <w:rsid w:val="47F3C0CB"/>
    <w:rsid w:val="47F921F0"/>
    <w:rsid w:val="47FCCEA8"/>
    <w:rsid w:val="4809F3B2"/>
    <w:rsid w:val="480B82E5"/>
    <w:rsid w:val="480D3FC2"/>
    <w:rsid w:val="48119D9C"/>
    <w:rsid w:val="48133A82"/>
    <w:rsid w:val="48155F76"/>
    <w:rsid w:val="48159B37"/>
    <w:rsid w:val="48196F30"/>
    <w:rsid w:val="481E60CA"/>
    <w:rsid w:val="482D0812"/>
    <w:rsid w:val="482D66C2"/>
    <w:rsid w:val="483687DA"/>
    <w:rsid w:val="483D80DA"/>
    <w:rsid w:val="4842212C"/>
    <w:rsid w:val="485046F4"/>
    <w:rsid w:val="485341B2"/>
    <w:rsid w:val="485537FC"/>
    <w:rsid w:val="485586AE"/>
    <w:rsid w:val="48581CE6"/>
    <w:rsid w:val="4861A8CB"/>
    <w:rsid w:val="48694AE9"/>
    <w:rsid w:val="486A9CF4"/>
    <w:rsid w:val="486D5E2A"/>
    <w:rsid w:val="4874B612"/>
    <w:rsid w:val="48785CC4"/>
    <w:rsid w:val="48794218"/>
    <w:rsid w:val="487DB465"/>
    <w:rsid w:val="4881A6FB"/>
    <w:rsid w:val="4891DF2B"/>
    <w:rsid w:val="4899EC06"/>
    <w:rsid w:val="48A14CCC"/>
    <w:rsid w:val="48A4A983"/>
    <w:rsid w:val="48ADD9D0"/>
    <w:rsid w:val="48AE45FD"/>
    <w:rsid w:val="48B62F36"/>
    <w:rsid w:val="48BB882C"/>
    <w:rsid w:val="48C13F21"/>
    <w:rsid w:val="48C1677C"/>
    <w:rsid w:val="48D2B1F3"/>
    <w:rsid w:val="48D337F5"/>
    <w:rsid w:val="48D8BB90"/>
    <w:rsid w:val="48D9E824"/>
    <w:rsid w:val="48DA64FD"/>
    <w:rsid w:val="48E13592"/>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22D6A"/>
    <w:rsid w:val="4986FE7D"/>
    <w:rsid w:val="49948C17"/>
    <w:rsid w:val="499A7983"/>
    <w:rsid w:val="499E0E1F"/>
    <w:rsid w:val="49A36C35"/>
    <w:rsid w:val="49AB04AE"/>
    <w:rsid w:val="49ACBB75"/>
    <w:rsid w:val="49ADE828"/>
    <w:rsid w:val="49AF5372"/>
    <w:rsid w:val="49B0667F"/>
    <w:rsid w:val="49B6933B"/>
    <w:rsid w:val="49B6F935"/>
    <w:rsid w:val="49C0D254"/>
    <w:rsid w:val="49C84AC8"/>
    <w:rsid w:val="49D2F63F"/>
    <w:rsid w:val="49D5BEED"/>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8B897"/>
    <w:rsid w:val="4A3DBF09"/>
    <w:rsid w:val="4A3EE36B"/>
    <w:rsid w:val="4A4C52BF"/>
    <w:rsid w:val="4A4D0D9A"/>
    <w:rsid w:val="4A4EB647"/>
    <w:rsid w:val="4A537553"/>
    <w:rsid w:val="4A5A8898"/>
    <w:rsid w:val="4A608288"/>
    <w:rsid w:val="4A6472CF"/>
    <w:rsid w:val="4A65586C"/>
    <w:rsid w:val="4A6A7844"/>
    <w:rsid w:val="4A6BA60D"/>
    <w:rsid w:val="4A6BC821"/>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AFF4636"/>
    <w:rsid w:val="4B00153A"/>
    <w:rsid w:val="4B03852D"/>
    <w:rsid w:val="4B07DDA5"/>
    <w:rsid w:val="4B0812AF"/>
    <w:rsid w:val="4B194855"/>
    <w:rsid w:val="4B200D69"/>
    <w:rsid w:val="4B21F4D7"/>
    <w:rsid w:val="4B22EE62"/>
    <w:rsid w:val="4B24E642"/>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37E7B"/>
    <w:rsid w:val="4BA77525"/>
    <w:rsid w:val="4BAB0B9B"/>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82D5A"/>
    <w:rsid w:val="4C7481D2"/>
    <w:rsid w:val="4C7A8627"/>
    <w:rsid w:val="4C80A10F"/>
    <w:rsid w:val="4C899508"/>
    <w:rsid w:val="4C89B430"/>
    <w:rsid w:val="4CA157CC"/>
    <w:rsid w:val="4CA300EF"/>
    <w:rsid w:val="4CB2973B"/>
    <w:rsid w:val="4CB5CDA7"/>
    <w:rsid w:val="4CBF0D37"/>
    <w:rsid w:val="4CC1CD6C"/>
    <w:rsid w:val="4CC87FEC"/>
    <w:rsid w:val="4CCB03F0"/>
    <w:rsid w:val="4CCEB497"/>
    <w:rsid w:val="4CDF0E29"/>
    <w:rsid w:val="4CEA5828"/>
    <w:rsid w:val="4CEFDE7E"/>
    <w:rsid w:val="4CF3DD5C"/>
    <w:rsid w:val="4CF41449"/>
    <w:rsid w:val="4CF88733"/>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1337"/>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7A73A"/>
    <w:rsid w:val="4E1AEF67"/>
    <w:rsid w:val="4E263BD5"/>
    <w:rsid w:val="4E2A4BF9"/>
    <w:rsid w:val="4E2C777F"/>
    <w:rsid w:val="4E2D400D"/>
    <w:rsid w:val="4E2DBBF8"/>
    <w:rsid w:val="4E4A89A6"/>
    <w:rsid w:val="4E5F2B6A"/>
    <w:rsid w:val="4E5FC11D"/>
    <w:rsid w:val="4E6B574A"/>
    <w:rsid w:val="4E769A53"/>
    <w:rsid w:val="4E7BB6E3"/>
    <w:rsid w:val="4E7F0FD3"/>
    <w:rsid w:val="4E84ECBC"/>
    <w:rsid w:val="4E89C602"/>
    <w:rsid w:val="4E8B14AB"/>
    <w:rsid w:val="4E93A17E"/>
    <w:rsid w:val="4E950DBC"/>
    <w:rsid w:val="4E9813AC"/>
    <w:rsid w:val="4E9C58C2"/>
    <w:rsid w:val="4E9DCD40"/>
    <w:rsid w:val="4E9DDB14"/>
    <w:rsid w:val="4E9F089B"/>
    <w:rsid w:val="4EA467D5"/>
    <w:rsid w:val="4EA496D1"/>
    <w:rsid w:val="4EA66D6F"/>
    <w:rsid w:val="4EAE1346"/>
    <w:rsid w:val="4EAE9A0A"/>
    <w:rsid w:val="4EAF11FA"/>
    <w:rsid w:val="4EB08F6D"/>
    <w:rsid w:val="4EB6FCEB"/>
    <w:rsid w:val="4EB7F72E"/>
    <w:rsid w:val="4EB88048"/>
    <w:rsid w:val="4EBA8CD4"/>
    <w:rsid w:val="4EC65738"/>
    <w:rsid w:val="4EC71818"/>
    <w:rsid w:val="4ED2957D"/>
    <w:rsid w:val="4ED2EB2F"/>
    <w:rsid w:val="4ED36EF4"/>
    <w:rsid w:val="4EE865B8"/>
    <w:rsid w:val="4EE96877"/>
    <w:rsid w:val="4EEEB905"/>
    <w:rsid w:val="4EF49982"/>
    <w:rsid w:val="4EF6F220"/>
    <w:rsid w:val="4EFD6B56"/>
    <w:rsid w:val="4F007B02"/>
    <w:rsid w:val="4F01B120"/>
    <w:rsid w:val="4F035ACB"/>
    <w:rsid w:val="4F061965"/>
    <w:rsid w:val="4F07A8CF"/>
    <w:rsid w:val="4F08EA0B"/>
    <w:rsid w:val="4F0C11EF"/>
    <w:rsid w:val="4F0DC51B"/>
    <w:rsid w:val="4F1135C6"/>
    <w:rsid w:val="4F1E6763"/>
    <w:rsid w:val="4F20E839"/>
    <w:rsid w:val="4F29CFF9"/>
    <w:rsid w:val="4F3ED8AC"/>
    <w:rsid w:val="4F4DFF25"/>
    <w:rsid w:val="4F505D98"/>
    <w:rsid w:val="4F55C274"/>
    <w:rsid w:val="4F5E6F6A"/>
    <w:rsid w:val="4F672669"/>
    <w:rsid w:val="4F68E6D8"/>
    <w:rsid w:val="4F6D96F9"/>
    <w:rsid w:val="4F7809DC"/>
    <w:rsid w:val="4F7A20F2"/>
    <w:rsid w:val="4F7C03A0"/>
    <w:rsid w:val="4F7C3CE6"/>
    <w:rsid w:val="4F827284"/>
    <w:rsid w:val="4FA5AFE6"/>
    <w:rsid w:val="4FAE29E3"/>
    <w:rsid w:val="4FAE3184"/>
    <w:rsid w:val="4FB44AE8"/>
    <w:rsid w:val="4FBCE22B"/>
    <w:rsid w:val="4FC60DAB"/>
    <w:rsid w:val="4FC8F2A9"/>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D1A53"/>
    <w:rsid w:val="50378667"/>
    <w:rsid w:val="5046B0CA"/>
    <w:rsid w:val="504B2AD6"/>
    <w:rsid w:val="504CD9A1"/>
    <w:rsid w:val="5056E553"/>
    <w:rsid w:val="50591857"/>
    <w:rsid w:val="5059F373"/>
    <w:rsid w:val="506330AF"/>
    <w:rsid w:val="506554FE"/>
    <w:rsid w:val="50693A39"/>
    <w:rsid w:val="506CDF74"/>
    <w:rsid w:val="50745457"/>
    <w:rsid w:val="507EACEC"/>
    <w:rsid w:val="50843E15"/>
    <w:rsid w:val="50845710"/>
    <w:rsid w:val="508AC6A3"/>
    <w:rsid w:val="508FB39C"/>
    <w:rsid w:val="5092558C"/>
    <w:rsid w:val="50952DC9"/>
    <w:rsid w:val="509F19A4"/>
    <w:rsid w:val="50A52C91"/>
    <w:rsid w:val="50A97297"/>
    <w:rsid w:val="50AFC133"/>
    <w:rsid w:val="50B0A134"/>
    <w:rsid w:val="50B22AE1"/>
    <w:rsid w:val="50C2CC6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31E79"/>
    <w:rsid w:val="517497A1"/>
    <w:rsid w:val="517A6C15"/>
    <w:rsid w:val="518491A3"/>
    <w:rsid w:val="51869D79"/>
    <w:rsid w:val="518AA1C1"/>
    <w:rsid w:val="51906309"/>
    <w:rsid w:val="5193CEBA"/>
    <w:rsid w:val="5199F01D"/>
    <w:rsid w:val="51B15EF6"/>
    <w:rsid w:val="51B9B562"/>
    <w:rsid w:val="51C18DD7"/>
    <w:rsid w:val="51D0C219"/>
    <w:rsid w:val="51D3FDD1"/>
    <w:rsid w:val="51DF2886"/>
    <w:rsid w:val="51FA725C"/>
    <w:rsid w:val="51FCED90"/>
    <w:rsid w:val="5201DEA1"/>
    <w:rsid w:val="5201F643"/>
    <w:rsid w:val="520AD080"/>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A26F3"/>
    <w:rsid w:val="526EEA80"/>
    <w:rsid w:val="5276F6FE"/>
    <w:rsid w:val="527E57AC"/>
    <w:rsid w:val="52865011"/>
    <w:rsid w:val="528F1DF0"/>
    <w:rsid w:val="52906A81"/>
    <w:rsid w:val="52907EAE"/>
    <w:rsid w:val="5290BFA7"/>
    <w:rsid w:val="529BADC6"/>
    <w:rsid w:val="529FB4B3"/>
    <w:rsid w:val="52AD540E"/>
    <w:rsid w:val="52B246AB"/>
    <w:rsid w:val="52BB35AD"/>
    <w:rsid w:val="52C27EE8"/>
    <w:rsid w:val="52C41D5E"/>
    <w:rsid w:val="52C99B70"/>
    <w:rsid w:val="52CF2E81"/>
    <w:rsid w:val="52D25804"/>
    <w:rsid w:val="52DAC614"/>
    <w:rsid w:val="52E09886"/>
    <w:rsid w:val="52E30414"/>
    <w:rsid w:val="52E7B7BB"/>
    <w:rsid w:val="52E82F06"/>
    <w:rsid w:val="52F3AB74"/>
    <w:rsid w:val="52F3B793"/>
    <w:rsid w:val="52F8F41E"/>
    <w:rsid w:val="52F9E013"/>
    <w:rsid w:val="52FA7C9D"/>
    <w:rsid w:val="52FE6DDF"/>
    <w:rsid w:val="52FF383A"/>
    <w:rsid w:val="531101FC"/>
    <w:rsid w:val="53175337"/>
    <w:rsid w:val="53189138"/>
    <w:rsid w:val="531FD776"/>
    <w:rsid w:val="532A8066"/>
    <w:rsid w:val="532AA9AF"/>
    <w:rsid w:val="532BBD02"/>
    <w:rsid w:val="5334042A"/>
    <w:rsid w:val="534032F1"/>
    <w:rsid w:val="5341904B"/>
    <w:rsid w:val="534A36AE"/>
    <w:rsid w:val="53512952"/>
    <w:rsid w:val="53549102"/>
    <w:rsid w:val="535629C8"/>
    <w:rsid w:val="535747F2"/>
    <w:rsid w:val="535AB3C5"/>
    <w:rsid w:val="53667F5E"/>
    <w:rsid w:val="536F049A"/>
    <w:rsid w:val="536F0ACC"/>
    <w:rsid w:val="53701124"/>
    <w:rsid w:val="53735F4A"/>
    <w:rsid w:val="5374AC0E"/>
    <w:rsid w:val="537E8157"/>
    <w:rsid w:val="5381CB21"/>
    <w:rsid w:val="5384AB72"/>
    <w:rsid w:val="538557BE"/>
    <w:rsid w:val="538B481B"/>
    <w:rsid w:val="53966807"/>
    <w:rsid w:val="53A0C49C"/>
    <w:rsid w:val="53A18960"/>
    <w:rsid w:val="53A2DDE4"/>
    <w:rsid w:val="53A7E3A4"/>
    <w:rsid w:val="53A9C738"/>
    <w:rsid w:val="53B7A806"/>
    <w:rsid w:val="53C0F944"/>
    <w:rsid w:val="53C29BB9"/>
    <w:rsid w:val="53CD4038"/>
    <w:rsid w:val="53D03D19"/>
    <w:rsid w:val="53D07F45"/>
    <w:rsid w:val="53DAC23B"/>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5F05A5"/>
    <w:rsid w:val="54665042"/>
    <w:rsid w:val="54709485"/>
    <w:rsid w:val="54723C67"/>
    <w:rsid w:val="5487E3FA"/>
    <w:rsid w:val="5490FBB6"/>
    <w:rsid w:val="5497073B"/>
    <w:rsid w:val="5498557D"/>
    <w:rsid w:val="549F5F85"/>
    <w:rsid w:val="54A20941"/>
    <w:rsid w:val="54A279D5"/>
    <w:rsid w:val="54A51872"/>
    <w:rsid w:val="54ACAFF1"/>
    <w:rsid w:val="54AEA8A1"/>
    <w:rsid w:val="54AF1547"/>
    <w:rsid w:val="54B449B4"/>
    <w:rsid w:val="54B516B7"/>
    <w:rsid w:val="54BBC5D8"/>
    <w:rsid w:val="54BEE662"/>
    <w:rsid w:val="54C8625D"/>
    <w:rsid w:val="54CAB9B1"/>
    <w:rsid w:val="54E64B31"/>
    <w:rsid w:val="54F53B9C"/>
    <w:rsid w:val="54FB58A6"/>
    <w:rsid w:val="5501D762"/>
    <w:rsid w:val="5506046C"/>
    <w:rsid w:val="5509EDE5"/>
    <w:rsid w:val="55165761"/>
    <w:rsid w:val="551A04D4"/>
    <w:rsid w:val="551B38F7"/>
    <w:rsid w:val="551FBAC1"/>
    <w:rsid w:val="55215F30"/>
    <w:rsid w:val="5521A648"/>
    <w:rsid w:val="5528E73C"/>
    <w:rsid w:val="552B1594"/>
    <w:rsid w:val="553AE73A"/>
    <w:rsid w:val="55453913"/>
    <w:rsid w:val="5546CB82"/>
    <w:rsid w:val="554A89E1"/>
    <w:rsid w:val="554C1859"/>
    <w:rsid w:val="554D86EA"/>
    <w:rsid w:val="555EB4F6"/>
    <w:rsid w:val="5562959D"/>
    <w:rsid w:val="556DDEC3"/>
    <w:rsid w:val="557368CE"/>
    <w:rsid w:val="5574A5C7"/>
    <w:rsid w:val="5577C1D1"/>
    <w:rsid w:val="5577F6D9"/>
    <w:rsid w:val="557E172E"/>
    <w:rsid w:val="557E5E28"/>
    <w:rsid w:val="55820E1D"/>
    <w:rsid w:val="558B6761"/>
    <w:rsid w:val="55903D8D"/>
    <w:rsid w:val="55931CD2"/>
    <w:rsid w:val="55938964"/>
    <w:rsid w:val="5598314A"/>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7DB06"/>
    <w:rsid w:val="55D829B6"/>
    <w:rsid w:val="55DB69D3"/>
    <w:rsid w:val="55DCB211"/>
    <w:rsid w:val="55DE1684"/>
    <w:rsid w:val="55DF6900"/>
    <w:rsid w:val="55E303C7"/>
    <w:rsid w:val="55E669E7"/>
    <w:rsid w:val="55F5A920"/>
    <w:rsid w:val="55FEC747"/>
    <w:rsid w:val="56010C7E"/>
    <w:rsid w:val="560156A8"/>
    <w:rsid w:val="560298AE"/>
    <w:rsid w:val="56059509"/>
    <w:rsid w:val="5608043D"/>
    <w:rsid w:val="56082FB7"/>
    <w:rsid w:val="56168B6F"/>
    <w:rsid w:val="561B5418"/>
    <w:rsid w:val="56225A5A"/>
    <w:rsid w:val="5627E6D1"/>
    <w:rsid w:val="562EC5F9"/>
    <w:rsid w:val="56374F76"/>
    <w:rsid w:val="563BADBF"/>
    <w:rsid w:val="563C4013"/>
    <w:rsid w:val="563EB5DA"/>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BF6BF"/>
    <w:rsid w:val="56BE53EA"/>
    <w:rsid w:val="56BFF5F2"/>
    <w:rsid w:val="56C080FA"/>
    <w:rsid w:val="56C93E3C"/>
    <w:rsid w:val="56CA4602"/>
    <w:rsid w:val="56D2DC01"/>
    <w:rsid w:val="56D35B5A"/>
    <w:rsid w:val="56D4D80D"/>
    <w:rsid w:val="56D7D016"/>
    <w:rsid w:val="56D7F123"/>
    <w:rsid w:val="56E2DA8E"/>
    <w:rsid w:val="56E50BB8"/>
    <w:rsid w:val="56EA8DBF"/>
    <w:rsid w:val="56F01ED0"/>
    <w:rsid w:val="56F44902"/>
    <w:rsid w:val="56F8BDD0"/>
    <w:rsid w:val="56F98FD4"/>
    <w:rsid w:val="56FFDEBA"/>
    <w:rsid w:val="570084A1"/>
    <w:rsid w:val="5705655E"/>
    <w:rsid w:val="5710E890"/>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8B8709"/>
    <w:rsid w:val="579042E7"/>
    <w:rsid w:val="5791D020"/>
    <w:rsid w:val="57983233"/>
    <w:rsid w:val="57988C5C"/>
    <w:rsid w:val="57A2C4CB"/>
    <w:rsid w:val="57AE8E4D"/>
    <w:rsid w:val="57B14A08"/>
    <w:rsid w:val="57C3C9E4"/>
    <w:rsid w:val="57C936B9"/>
    <w:rsid w:val="57D7A723"/>
    <w:rsid w:val="57E152F1"/>
    <w:rsid w:val="57E2F3C8"/>
    <w:rsid w:val="57EA95CE"/>
    <w:rsid w:val="57F157A9"/>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8F240A"/>
    <w:rsid w:val="5890B1EE"/>
    <w:rsid w:val="58928FEE"/>
    <w:rsid w:val="589905BC"/>
    <w:rsid w:val="589DDDC5"/>
    <w:rsid w:val="58A9ADB8"/>
    <w:rsid w:val="58B0162D"/>
    <w:rsid w:val="58B65AC9"/>
    <w:rsid w:val="58B6918F"/>
    <w:rsid w:val="58B79A5E"/>
    <w:rsid w:val="58B9E232"/>
    <w:rsid w:val="58BDD5FC"/>
    <w:rsid w:val="58C6B6DB"/>
    <w:rsid w:val="58CE2B90"/>
    <w:rsid w:val="58D0DB4D"/>
    <w:rsid w:val="58DF3CCB"/>
    <w:rsid w:val="58F31398"/>
    <w:rsid w:val="58F66087"/>
    <w:rsid w:val="58FD00A8"/>
    <w:rsid w:val="59027817"/>
    <w:rsid w:val="5904AA43"/>
    <w:rsid w:val="59052081"/>
    <w:rsid w:val="5905D935"/>
    <w:rsid w:val="590A9C4E"/>
    <w:rsid w:val="5917A661"/>
    <w:rsid w:val="591F47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0BE08"/>
    <w:rsid w:val="59734886"/>
    <w:rsid w:val="5976E2A1"/>
    <w:rsid w:val="597F63D9"/>
    <w:rsid w:val="5982F894"/>
    <w:rsid w:val="59923E10"/>
    <w:rsid w:val="599B89ED"/>
    <w:rsid w:val="59A08D30"/>
    <w:rsid w:val="59AE164A"/>
    <w:rsid w:val="59B5CB4E"/>
    <w:rsid w:val="59BE8E75"/>
    <w:rsid w:val="59C8E8A4"/>
    <w:rsid w:val="59CA57E3"/>
    <w:rsid w:val="59CB0A3F"/>
    <w:rsid w:val="59CBB725"/>
    <w:rsid w:val="59D3CBB7"/>
    <w:rsid w:val="59DD963D"/>
    <w:rsid w:val="59E57DA8"/>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8AF31E"/>
    <w:rsid w:val="5AB47600"/>
    <w:rsid w:val="5AB57BB5"/>
    <w:rsid w:val="5AB6C586"/>
    <w:rsid w:val="5AB9C6FA"/>
    <w:rsid w:val="5AC55B89"/>
    <w:rsid w:val="5AD6FC2D"/>
    <w:rsid w:val="5AE25CBB"/>
    <w:rsid w:val="5AEA3DE6"/>
    <w:rsid w:val="5AEBC2FD"/>
    <w:rsid w:val="5AEFD41E"/>
    <w:rsid w:val="5AF999DD"/>
    <w:rsid w:val="5B02F697"/>
    <w:rsid w:val="5B04E006"/>
    <w:rsid w:val="5B0E30DB"/>
    <w:rsid w:val="5B13091A"/>
    <w:rsid w:val="5B132CCE"/>
    <w:rsid w:val="5B14AFB7"/>
    <w:rsid w:val="5B171319"/>
    <w:rsid w:val="5B1A8A28"/>
    <w:rsid w:val="5B21FE36"/>
    <w:rsid w:val="5B238109"/>
    <w:rsid w:val="5B25AAC7"/>
    <w:rsid w:val="5B27FC4D"/>
    <w:rsid w:val="5B2E316F"/>
    <w:rsid w:val="5B35A709"/>
    <w:rsid w:val="5B4E8AE0"/>
    <w:rsid w:val="5B55E53E"/>
    <w:rsid w:val="5B57B9D3"/>
    <w:rsid w:val="5B5E3F6A"/>
    <w:rsid w:val="5B73C568"/>
    <w:rsid w:val="5B7B9D41"/>
    <w:rsid w:val="5B804980"/>
    <w:rsid w:val="5B8071AC"/>
    <w:rsid w:val="5B8BBF97"/>
    <w:rsid w:val="5B8DDA68"/>
    <w:rsid w:val="5B908893"/>
    <w:rsid w:val="5B97BCF0"/>
    <w:rsid w:val="5B9D6BF4"/>
    <w:rsid w:val="5BA46317"/>
    <w:rsid w:val="5BAD68F3"/>
    <w:rsid w:val="5BB00B95"/>
    <w:rsid w:val="5BB01A40"/>
    <w:rsid w:val="5BB0778A"/>
    <w:rsid w:val="5BCD36B2"/>
    <w:rsid w:val="5BCF340D"/>
    <w:rsid w:val="5BD0B6A9"/>
    <w:rsid w:val="5BD1C19B"/>
    <w:rsid w:val="5BD22AF2"/>
    <w:rsid w:val="5BD8E133"/>
    <w:rsid w:val="5BDC365A"/>
    <w:rsid w:val="5BE35BFF"/>
    <w:rsid w:val="5BEB8546"/>
    <w:rsid w:val="5BEBCA3F"/>
    <w:rsid w:val="5BF0C55C"/>
    <w:rsid w:val="5BFBDDAB"/>
    <w:rsid w:val="5BFD5B95"/>
    <w:rsid w:val="5C048D46"/>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12A23"/>
    <w:rsid w:val="5CDF47DD"/>
    <w:rsid w:val="5CEE08DC"/>
    <w:rsid w:val="5CF729A6"/>
    <w:rsid w:val="5CFD194A"/>
    <w:rsid w:val="5D07BF4D"/>
    <w:rsid w:val="5D1F541A"/>
    <w:rsid w:val="5D24C42D"/>
    <w:rsid w:val="5D339BCC"/>
    <w:rsid w:val="5D3643E5"/>
    <w:rsid w:val="5D39681B"/>
    <w:rsid w:val="5D3B47C4"/>
    <w:rsid w:val="5D3C6153"/>
    <w:rsid w:val="5D3D04E5"/>
    <w:rsid w:val="5D3D4474"/>
    <w:rsid w:val="5D40D2B7"/>
    <w:rsid w:val="5D5F4D6A"/>
    <w:rsid w:val="5D6469C5"/>
    <w:rsid w:val="5D66F9BC"/>
    <w:rsid w:val="5D791B25"/>
    <w:rsid w:val="5D7B7ABD"/>
    <w:rsid w:val="5D80572B"/>
    <w:rsid w:val="5D85B8BA"/>
    <w:rsid w:val="5D8F9EA5"/>
    <w:rsid w:val="5D91B5C2"/>
    <w:rsid w:val="5D92C8BD"/>
    <w:rsid w:val="5D9C9BDD"/>
    <w:rsid w:val="5DA3D39B"/>
    <w:rsid w:val="5DA6F636"/>
    <w:rsid w:val="5DA83024"/>
    <w:rsid w:val="5DB20E65"/>
    <w:rsid w:val="5DB550FD"/>
    <w:rsid w:val="5DB60553"/>
    <w:rsid w:val="5DB69413"/>
    <w:rsid w:val="5DB76881"/>
    <w:rsid w:val="5DBAC883"/>
    <w:rsid w:val="5DBB15BF"/>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257F0"/>
    <w:rsid w:val="5E35B78E"/>
    <w:rsid w:val="5E3718F8"/>
    <w:rsid w:val="5E3D7565"/>
    <w:rsid w:val="5E43D378"/>
    <w:rsid w:val="5E4AC700"/>
    <w:rsid w:val="5E5ACEBB"/>
    <w:rsid w:val="5E5B016A"/>
    <w:rsid w:val="5E5EEEE9"/>
    <w:rsid w:val="5E66891A"/>
    <w:rsid w:val="5E681146"/>
    <w:rsid w:val="5E6A3DD5"/>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2471E"/>
    <w:rsid w:val="5F28D5E5"/>
    <w:rsid w:val="5F2DE381"/>
    <w:rsid w:val="5F2EAD9E"/>
    <w:rsid w:val="5F311C3F"/>
    <w:rsid w:val="5F3502B5"/>
    <w:rsid w:val="5F3692DC"/>
    <w:rsid w:val="5F3F4A8E"/>
    <w:rsid w:val="5F3F6696"/>
    <w:rsid w:val="5F4B6AE1"/>
    <w:rsid w:val="5F4D63E3"/>
    <w:rsid w:val="5F581C50"/>
    <w:rsid w:val="5F5C348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71F88"/>
    <w:rsid w:val="603A9692"/>
    <w:rsid w:val="603F3F0B"/>
    <w:rsid w:val="603FD6E8"/>
    <w:rsid w:val="6041E3EF"/>
    <w:rsid w:val="604B20B1"/>
    <w:rsid w:val="60521049"/>
    <w:rsid w:val="60577057"/>
    <w:rsid w:val="605D6A23"/>
    <w:rsid w:val="605F5F9A"/>
    <w:rsid w:val="6062A888"/>
    <w:rsid w:val="6068649F"/>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73A270"/>
    <w:rsid w:val="6173C162"/>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ED5D76"/>
    <w:rsid w:val="61F77C0A"/>
    <w:rsid w:val="61F8209E"/>
    <w:rsid w:val="61FD56C2"/>
    <w:rsid w:val="620AF2E4"/>
    <w:rsid w:val="620C1656"/>
    <w:rsid w:val="622440D0"/>
    <w:rsid w:val="6224D708"/>
    <w:rsid w:val="6227FDAD"/>
    <w:rsid w:val="62308F0C"/>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9F253B"/>
    <w:rsid w:val="62AC2C75"/>
    <w:rsid w:val="62AD3D9F"/>
    <w:rsid w:val="62AF0987"/>
    <w:rsid w:val="62B0728F"/>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9FEE6"/>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406CD"/>
    <w:rsid w:val="64A8611A"/>
    <w:rsid w:val="64A9158A"/>
    <w:rsid w:val="64B94C0A"/>
    <w:rsid w:val="64C63087"/>
    <w:rsid w:val="64CE5742"/>
    <w:rsid w:val="64DD186A"/>
    <w:rsid w:val="64E44D40"/>
    <w:rsid w:val="64E51983"/>
    <w:rsid w:val="64ECE46D"/>
    <w:rsid w:val="64EF411B"/>
    <w:rsid w:val="64F19914"/>
    <w:rsid w:val="64F7ABEC"/>
    <w:rsid w:val="64F8E245"/>
    <w:rsid w:val="64FE7335"/>
    <w:rsid w:val="650CC135"/>
    <w:rsid w:val="6515BBD3"/>
    <w:rsid w:val="65172845"/>
    <w:rsid w:val="651BFE89"/>
    <w:rsid w:val="651D5920"/>
    <w:rsid w:val="652A8776"/>
    <w:rsid w:val="652E6B5E"/>
    <w:rsid w:val="65319014"/>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98C1FA"/>
    <w:rsid w:val="65AED392"/>
    <w:rsid w:val="65AFDE17"/>
    <w:rsid w:val="65C6D19B"/>
    <w:rsid w:val="65CAF71B"/>
    <w:rsid w:val="65CDF382"/>
    <w:rsid w:val="65CEAE6A"/>
    <w:rsid w:val="65D8587F"/>
    <w:rsid w:val="65DD8021"/>
    <w:rsid w:val="65DF91EA"/>
    <w:rsid w:val="65E025CF"/>
    <w:rsid w:val="65E2A7D7"/>
    <w:rsid w:val="65E84E03"/>
    <w:rsid w:val="65F0DDD4"/>
    <w:rsid w:val="65F2C216"/>
    <w:rsid w:val="65F44DD0"/>
    <w:rsid w:val="660BFC1C"/>
    <w:rsid w:val="660C4E4A"/>
    <w:rsid w:val="6612A0B1"/>
    <w:rsid w:val="661317B3"/>
    <w:rsid w:val="66263066"/>
    <w:rsid w:val="6626C8E9"/>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3CD0CA"/>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BE458"/>
    <w:rsid w:val="683FDF26"/>
    <w:rsid w:val="68500902"/>
    <w:rsid w:val="6850C9C2"/>
    <w:rsid w:val="68594501"/>
    <w:rsid w:val="68604382"/>
    <w:rsid w:val="686AEE7E"/>
    <w:rsid w:val="68711D32"/>
    <w:rsid w:val="6877B3DB"/>
    <w:rsid w:val="688145EB"/>
    <w:rsid w:val="6889F4D1"/>
    <w:rsid w:val="688C84F7"/>
    <w:rsid w:val="688F6F18"/>
    <w:rsid w:val="68992F2B"/>
    <w:rsid w:val="68A304FB"/>
    <w:rsid w:val="68A3E8D6"/>
    <w:rsid w:val="68AFE67F"/>
    <w:rsid w:val="68B5A465"/>
    <w:rsid w:val="68BCA9A6"/>
    <w:rsid w:val="68BF6C28"/>
    <w:rsid w:val="68C8AAD9"/>
    <w:rsid w:val="68E1FF41"/>
    <w:rsid w:val="68E63663"/>
    <w:rsid w:val="68F5D085"/>
    <w:rsid w:val="6904347D"/>
    <w:rsid w:val="690A6D2B"/>
    <w:rsid w:val="690D9890"/>
    <w:rsid w:val="69118779"/>
    <w:rsid w:val="6911ABD8"/>
    <w:rsid w:val="69129E50"/>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89192F"/>
    <w:rsid w:val="699189AD"/>
    <w:rsid w:val="69A4328F"/>
    <w:rsid w:val="69B00EC1"/>
    <w:rsid w:val="69B090BC"/>
    <w:rsid w:val="69B8E187"/>
    <w:rsid w:val="69B9E4A2"/>
    <w:rsid w:val="69C024CF"/>
    <w:rsid w:val="69C240B1"/>
    <w:rsid w:val="69C79336"/>
    <w:rsid w:val="69CC6368"/>
    <w:rsid w:val="69D10171"/>
    <w:rsid w:val="69D72676"/>
    <w:rsid w:val="69EE0FDA"/>
    <w:rsid w:val="69EF68FF"/>
    <w:rsid w:val="69F4B115"/>
    <w:rsid w:val="6A000CC1"/>
    <w:rsid w:val="6A0815E8"/>
    <w:rsid w:val="6A0F116D"/>
    <w:rsid w:val="6A100679"/>
    <w:rsid w:val="6A144B53"/>
    <w:rsid w:val="6A1D693F"/>
    <w:rsid w:val="6A297F80"/>
    <w:rsid w:val="6A2B031C"/>
    <w:rsid w:val="6A311AC1"/>
    <w:rsid w:val="6A4023C4"/>
    <w:rsid w:val="6A43472C"/>
    <w:rsid w:val="6A4877B3"/>
    <w:rsid w:val="6A4CA04E"/>
    <w:rsid w:val="6A4F3214"/>
    <w:rsid w:val="6A680543"/>
    <w:rsid w:val="6A68EB26"/>
    <w:rsid w:val="6A6C9C0D"/>
    <w:rsid w:val="6A727763"/>
    <w:rsid w:val="6A754563"/>
    <w:rsid w:val="6A768761"/>
    <w:rsid w:val="6A7C49C3"/>
    <w:rsid w:val="6A7DF91D"/>
    <w:rsid w:val="6A7F01FF"/>
    <w:rsid w:val="6A813D35"/>
    <w:rsid w:val="6A941639"/>
    <w:rsid w:val="6A9C9DEA"/>
    <w:rsid w:val="6A9E19DF"/>
    <w:rsid w:val="6AAFAEE8"/>
    <w:rsid w:val="6AB146FC"/>
    <w:rsid w:val="6AB3B248"/>
    <w:rsid w:val="6AB5C00A"/>
    <w:rsid w:val="6AB81DA6"/>
    <w:rsid w:val="6ABD5D44"/>
    <w:rsid w:val="6ABF6E2A"/>
    <w:rsid w:val="6ABFA9BD"/>
    <w:rsid w:val="6AC02621"/>
    <w:rsid w:val="6AC10FFA"/>
    <w:rsid w:val="6AC3E17E"/>
    <w:rsid w:val="6AC91EFC"/>
    <w:rsid w:val="6ACE8392"/>
    <w:rsid w:val="6AD64E34"/>
    <w:rsid w:val="6ADD9D21"/>
    <w:rsid w:val="6ADDE964"/>
    <w:rsid w:val="6AFE8E2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3FFAD6"/>
    <w:rsid w:val="6B46190B"/>
    <w:rsid w:val="6B4C8D75"/>
    <w:rsid w:val="6B4DC4F8"/>
    <w:rsid w:val="6B4F3BD7"/>
    <w:rsid w:val="6B50A9F2"/>
    <w:rsid w:val="6B563A1C"/>
    <w:rsid w:val="6B68F96D"/>
    <w:rsid w:val="6B73179D"/>
    <w:rsid w:val="6B89810A"/>
    <w:rsid w:val="6B8990E8"/>
    <w:rsid w:val="6B97FB53"/>
    <w:rsid w:val="6BABE906"/>
    <w:rsid w:val="6BB03A5E"/>
    <w:rsid w:val="6BC37C98"/>
    <w:rsid w:val="6BC55EB4"/>
    <w:rsid w:val="6BC5FCBC"/>
    <w:rsid w:val="6BCB341E"/>
    <w:rsid w:val="6BDAD893"/>
    <w:rsid w:val="6BDFF3F8"/>
    <w:rsid w:val="6BED0CF8"/>
    <w:rsid w:val="6BFCE384"/>
    <w:rsid w:val="6BFFA481"/>
    <w:rsid w:val="6C0B0BCD"/>
    <w:rsid w:val="6C0F2843"/>
    <w:rsid w:val="6C1181EB"/>
    <w:rsid w:val="6C1536ED"/>
    <w:rsid w:val="6C192AC8"/>
    <w:rsid w:val="6C1D53DE"/>
    <w:rsid w:val="6C21FE82"/>
    <w:rsid w:val="6C233C20"/>
    <w:rsid w:val="6C28DE36"/>
    <w:rsid w:val="6C349A27"/>
    <w:rsid w:val="6C363AB8"/>
    <w:rsid w:val="6C37407B"/>
    <w:rsid w:val="6C3879B7"/>
    <w:rsid w:val="6C38C2B5"/>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CB0A5D"/>
    <w:rsid w:val="6CD000A1"/>
    <w:rsid w:val="6CDB230B"/>
    <w:rsid w:val="6CE1C162"/>
    <w:rsid w:val="6CE52410"/>
    <w:rsid w:val="6CE66317"/>
    <w:rsid w:val="6CE678A5"/>
    <w:rsid w:val="6CEB3AF5"/>
    <w:rsid w:val="6CF1A343"/>
    <w:rsid w:val="6CF2513F"/>
    <w:rsid w:val="6CF98EFC"/>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76CED"/>
    <w:rsid w:val="6D6819F8"/>
    <w:rsid w:val="6D693111"/>
    <w:rsid w:val="6D6A30F9"/>
    <w:rsid w:val="6D6D517E"/>
    <w:rsid w:val="6D7139A4"/>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BECD11"/>
    <w:rsid w:val="6DC2B579"/>
    <w:rsid w:val="6DD849CA"/>
    <w:rsid w:val="6DD8590E"/>
    <w:rsid w:val="6DDE4065"/>
    <w:rsid w:val="6DE083D0"/>
    <w:rsid w:val="6DEB772B"/>
    <w:rsid w:val="6DEF87B9"/>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ECD92"/>
    <w:rsid w:val="6E81529D"/>
    <w:rsid w:val="6E87CA18"/>
    <w:rsid w:val="6E91FEA0"/>
    <w:rsid w:val="6E98F6F4"/>
    <w:rsid w:val="6E9B2A77"/>
    <w:rsid w:val="6EABA8C9"/>
    <w:rsid w:val="6EB51A78"/>
    <w:rsid w:val="6EB59FAD"/>
    <w:rsid w:val="6EBCDE79"/>
    <w:rsid w:val="6EBF4455"/>
    <w:rsid w:val="6EC3F3B3"/>
    <w:rsid w:val="6ED3A1F3"/>
    <w:rsid w:val="6EDA231A"/>
    <w:rsid w:val="6EE21F56"/>
    <w:rsid w:val="6EE7B5CC"/>
    <w:rsid w:val="6EEF2746"/>
    <w:rsid w:val="6EF276BA"/>
    <w:rsid w:val="6EF3B549"/>
    <w:rsid w:val="6EFFD1A0"/>
    <w:rsid w:val="6F0BD6F7"/>
    <w:rsid w:val="6F16FD67"/>
    <w:rsid w:val="6F1825C4"/>
    <w:rsid w:val="6F1DD6A8"/>
    <w:rsid w:val="6F32283C"/>
    <w:rsid w:val="6F474B06"/>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36003"/>
    <w:rsid w:val="6F85AC79"/>
    <w:rsid w:val="6F87B3C9"/>
    <w:rsid w:val="6F87EA5D"/>
    <w:rsid w:val="6F89CA53"/>
    <w:rsid w:val="6F8F1AA2"/>
    <w:rsid w:val="6F91DAE1"/>
    <w:rsid w:val="6F985405"/>
    <w:rsid w:val="6F9A0FCE"/>
    <w:rsid w:val="6F9AC3D7"/>
    <w:rsid w:val="6F9E1897"/>
    <w:rsid w:val="6F9EDBBD"/>
    <w:rsid w:val="6FA2A1D8"/>
    <w:rsid w:val="6FA52E08"/>
    <w:rsid w:val="6FA5AD0B"/>
    <w:rsid w:val="6FC01B76"/>
    <w:rsid w:val="6FC81A46"/>
    <w:rsid w:val="6FDA50B0"/>
    <w:rsid w:val="6FE43111"/>
    <w:rsid w:val="6FEEAC35"/>
    <w:rsid w:val="6FEF36D5"/>
    <w:rsid w:val="6FFA247B"/>
    <w:rsid w:val="7006EC5A"/>
    <w:rsid w:val="70083023"/>
    <w:rsid w:val="70141405"/>
    <w:rsid w:val="7014A4C6"/>
    <w:rsid w:val="701A94EB"/>
    <w:rsid w:val="701FD774"/>
    <w:rsid w:val="7020B733"/>
    <w:rsid w:val="702A5FCF"/>
    <w:rsid w:val="70472860"/>
    <w:rsid w:val="7048C87C"/>
    <w:rsid w:val="704CBDF9"/>
    <w:rsid w:val="704F468B"/>
    <w:rsid w:val="7056A4B3"/>
    <w:rsid w:val="70586CE2"/>
    <w:rsid w:val="705FAC43"/>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7E1AE"/>
    <w:rsid w:val="710DD335"/>
    <w:rsid w:val="71183797"/>
    <w:rsid w:val="711992F1"/>
    <w:rsid w:val="711D08C9"/>
    <w:rsid w:val="7135B2F1"/>
    <w:rsid w:val="71369E89"/>
    <w:rsid w:val="713A4F8E"/>
    <w:rsid w:val="713BDE0C"/>
    <w:rsid w:val="71409A60"/>
    <w:rsid w:val="71454289"/>
    <w:rsid w:val="714A11F4"/>
    <w:rsid w:val="714B225E"/>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907FA"/>
    <w:rsid w:val="71BF27D9"/>
    <w:rsid w:val="71C08657"/>
    <w:rsid w:val="71C2878E"/>
    <w:rsid w:val="71C38FEB"/>
    <w:rsid w:val="71D5C257"/>
    <w:rsid w:val="71D68358"/>
    <w:rsid w:val="71D68CF6"/>
    <w:rsid w:val="71D83AEC"/>
    <w:rsid w:val="71DA7F47"/>
    <w:rsid w:val="71DD8095"/>
    <w:rsid w:val="71DDBC48"/>
    <w:rsid w:val="71E34386"/>
    <w:rsid w:val="71E98B7B"/>
    <w:rsid w:val="71F51DBC"/>
    <w:rsid w:val="71F6A8BA"/>
    <w:rsid w:val="71FDBC6A"/>
    <w:rsid w:val="7206B944"/>
    <w:rsid w:val="720F6812"/>
    <w:rsid w:val="72178178"/>
    <w:rsid w:val="721A6253"/>
    <w:rsid w:val="722004E2"/>
    <w:rsid w:val="7226278E"/>
    <w:rsid w:val="722A7A51"/>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26D52"/>
    <w:rsid w:val="72D5359C"/>
    <w:rsid w:val="72D93A36"/>
    <w:rsid w:val="72DF03FA"/>
    <w:rsid w:val="72F92C38"/>
    <w:rsid w:val="73161F49"/>
    <w:rsid w:val="7317615B"/>
    <w:rsid w:val="7327632B"/>
    <w:rsid w:val="7327AABE"/>
    <w:rsid w:val="73289848"/>
    <w:rsid w:val="73318DF0"/>
    <w:rsid w:val="7331D7CE"/>
    <w:rsid w:val="7333E239"/>
    <w:rsid w:val="7339DC00"/>
    <w:rsid w:val="733C470D"/>
    <w:rsid w:val="733C6AC4"/>
    <w:rsid w:val="733F1049"/>
    <w:rsid w:val="734C380A"/>
    <w:rsid w:val="734EB17D"/>
    <w:rsid w:val="734F1979"/>
    <w:rsid w:val="73548945"/>
    <w:rsid w:val="73588D8E"/>
    <w:rsid w:val="735DB077"/>
    <w:rsid w:val="736506BB"/>
    <w:rsid w:val="7372F63F"/>
    <w:rsid w:val="737763E1"/>
    <w:rsid w:val="737BB389"/>
    <w:rsid w:val="737F9162"/>
    <w:rsid w:val="73815551"/>
    <w:rsid w:val="73835035"/>
    <w:rsid w:val="73843E01"/>
    <w:rsid w:val="73899EF4"/>
    <w:rsid w:val="738B0A25"/>
    <w:rsid w:val="738CC37A"/>
    <w:rsid w:val="738FDC56"/>
    <w:rsid w:val="739204B7"/>
    <w:rsid w:val="7393879F"/>
    <w:rsid w:val="73971016"/>
    <w:rsid w:val="739A6B35"/>
    <w:rsid w:val="739DCD90"/>
    <w:rsid w:val="73A0E558"/>
    <w:rsid w:val="73A3862D"/>
    <w:rsid w:val="73A43C36"/>
    <w:rsid w:val="73A63047"/>
    <w:rsid w:val="73AB3838"/>
    <w:rsid w:val="73AC8CD6"/>
    <w:rsid w:val="73B45865"/>
    <w:rsid w:val="73BB570E"/>
    <w:rsid w:val="73BC13B1"/>
    <w:rsid w:val="73C796FB"/>
    <w:rsid w:val="73C8FFBC"/>
    <w:rsid w:val="73C91DC2"/>
    <w:rsid w:val="73CC4606"/>
    <w:rsid w:val="73DCDD90"/>
    <w:rsid w:val="73E25560"/>
    <w:rsid w:val="73EC8416"/>
    <w:rsid w:val="73F77AD1"/>
    <w:rsid w:val="73F8E623"/>
    <w:rsid w:val="73FE258E"/>
    <w:rsid w:val="73FF90AB"/>
    <w:rsid w:val="7411877D"/>
    <w:rsid w:val="742BC3E1"/>
    <w:rsid w:val="742F1947"/>
    <w:rsid w:val="744BADC1"/>
    <w:rsid w:val="745EB0A2"/>
    <w:rsid w:val="74604767"/>
    <w:rsid w:val="7461CB38"/>
    <w:rsid w:val="7461E1BB"/>
    <w:rsid w:val="74635025"/>
    <w:rsid w:val="74667789"/>
    <w:rsid w:val="746C64D9"/>
    <w:rsid w:val="74713ED5"/>
    <w:rsid w:val="7471E756"/>
    <w:rsid w:val="74805197"/>
    <w:rsid w:val="748593D0"/>
    <w:rsid w:val="748A7DE6"/>
    <w:rsid w:val="749171C3"/>
    <w:rsid w:val="7498D87D"/>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376F1"/>
    <w:rsid w:val="74F5A4C2"/>
    <w:rsid w:val="74F667C6"/>
    <w:rsid w:val="74FCD18B"/>
    <w:rsid w:val="750605D3"/>
    <w:rsid w:val="750F98AD"/>
    <w:rsid w:val="750FE6F1"/>
    <w:rsid w:val="75123F34"/>
    <w:rsid w:val="751CE159"/>
    <w:rsid w:val="751EDD3E"/>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5D7AB"/>
    <w:rsid w:val="75662C35"/>
    <w:rsid w:val="757A82C6"/>
    <w:rsid w:val="757DD7A4"/>
    <w:rsid w:val="758C6F3E"/>
    <w:rsid w:val="758D7E7E"/>
    <w:rsid w:val="758E350B"/>
    <w:rsid w:val="7591C6D9"/>
    <w:rsid w:val="7598A84E"/>
    <w:rsid w:val="759D6880"/>
    <w:rsid w:val="75A0C955"/>
    <w:rsid w:val="75A220C4"/>
    <w:rsid w:val="75A4B55D"/>
    <w:rsid w:val="75ADBE09"/>
    <w:rsid w:val="75B4CE43"/>
    <w:rsid w:val="75BECBA6"/>
    <w:rsid w:val="75C09465"/>
    <w:rsid w:val="75C4DB75"/>
    <w:rsid w:val="75C6CBE9"/>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5F8BA"/>
    <w:rsid w:val="76989CFD"/>
    <w:rsid w:val="769C6993"/>
    <w:rsid w:val="76A39F65"/>
    <w:rsid w:val="76A9148D"/>
    <w:rsid w:val="76ABACEF"/>
    <w:rsid w:val="76AC0F25"/>
    <w:rsid w:val="76AE54F1"/>
    <w:rsid w:val="76AFBF46"/>
    <w:rsid w:val="76B47E76"/>
    <w:rsid w:val="76BD2BB3"/>
    <w:rsid w:val="76C084F0"/>
    <w:rsid w:val="76CB7A6D"/>
    <w:rsid w:val="76D9FC8C"/>
    <w:rsid w:val="76E3019C"/>
    <w:rsid w:val="76EBEFED"/>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655E2"/>
    <w:rsid w:val="77B7D9E2"/>
    <w:rsid w:val="77C9F831"/>
    <w:rsid w:val="77DEA546"/>
    <w:rsid w:val="77DF5220"/>
    <w:rsid w:val="77DF9A35"/>
    <w:rsid w:val="77E37D61"/>
    <w:rsid w:val="77E49AE4"/>
    <w:rsid w:val="77F7C443"/>
    <w:rsid w:val="77FE76A7"/>
    <w:rsid w:val="7802BDA9"/>
    <w:rsid w:val="780F48FF"/>
    <w:rsid w:val="7824C997"/>
    <w:rsid w:val="783370F5"/>
    <w:rsid w:val="783F998F"/>
    <w:rsid w:val="784C7754"/>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649F2"/>
    <w:rsid w:val="792C0CFA"/>
    <w:rsid w:val="793055EB"/>
    <w:rsid w:val="793627FB"/>
    <w:rsid w:val="79399798"/>
    <w:rsid w:val="793DB8D7"/>
    <w:rsid w:val="7945EFEC"/>
    <w:rsid w:val="79481E80"/>
    <w:rsid w:val="796723C8"/>
    <w:rsid w:val="7976441C"/>
    <w:rsid w:val="7978259E"/>
    <w:rsid w:val="7989CC91"/>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01FF4"/>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11242"/>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A1A0A"/>
    <w:rsid w:val="7B3FA033"/>
    <w:rsid w:val="7B437666"/>
    <w:rsid w:val="7B51F756"/>
    <w:rsid w:val="7B57337C"/>
    <w:rsid w:val="7B5E0EAE"/>
    <w:rsid w:val="7B677AE2"/>
    <w:rsid w:val="7B6DF5EA"/>
    <w:rsid w:val="7B717669"/>
    <w:rsid w:val="7B7CF01B"/>
    <w:rsid w:val="7B947E0A"/>
    <w:rsid w:val="7B963B66"/>
    <w:rsid w:val="7B9958A1"/>
    <w:rsid w:val="7BA0C48F"/>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32A9CD"/>
    <w:rsid w:val="7C389A0D"/>
    <w:rsid w:val="7C48DDDD"/>
    <w:rsid w:val="7C497769"/>
    <w:rsid w:val="7C4A5A3A"/>
    <w:rsid w:val="7C4B8E1F"/>
    <w:rsid w:val="7C5084F5"/>
    <w:rsid w:val="7C52C4CA"/>
    <w:rsid w:val="7C541876"/>
    <w:rsid w:val="7C5F82B1"/>
    <w:rsid w:val="7C626DA6"/>
    <w:rsid w:val="7C68DD88"/>
    <w:rsid w:val="7C73FBD3"/>
    <w:rsid w:val="7C7BB831"/>
    <w:rsid w:val="7C7ED0C2"/>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0471D"/>
    <w:rsid w:val="7D0127A1"/>
    <w:rsid w:val="7D03E943"/>
    <w:rsid w:val="7D05F1E5"/>
    <w:rsid w:val="7D0632CC"/>
    <w:rsid w:val="7D0CF9A6"/>
    <w:rsid w:val="7D0EE1AC"/>
    <w:rsid w:val="7D11608A"/>
    <w:rsid w:val="7D11C470"/>
    <w:rsid w:val="7D12CB7E"/>
    <w:rsid w:val="7D17EC47"/>
    <w:rsid w:val="7D1935E9"/>
    <w:rsid w:val="7D2D14D5"/>
    <w:rsid w:val="7D35B82B"/>
    <w:rsid w:val="7D38BD33"/>
    <w:rsid w:val="7D3A6C5D"/>
    <w:rsid w:val="7D4146E7"/>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3E16E"/>
    <w:rsid w:val="7DF5A099"/>
    <w:rsid w:val="7DF7C758"/>
    <w:rsid w:val="7DF9F21B"/>
    <w:rsid w:val="7E033F67"/>
    <w:rsid w:val="7E07DA1A"/>
    <w:rsid w:val="7E117B0C"/>
    <w:rsid w:val="7E13F66A"/>
    <w:rsid w:val="7E18F43E"/>
    <w:rsid w:val="7E1CD7AE"/>
    <w:rsid w:val="7E280E21"/>
    <w:rsid w:val="7E2F9D62"/>
    <w:rsid w:val="7E302618"/>
    <w:rsid w:val="7E326E02"/>
    <w:rsid w:val="7E350464"/>
    <w:rsid w:val="7E391D5F"/>
    <w:rsid w:val="7E45031D"/>
    <w:rsid w:val="7E55CD2B"/>
    <w:rsid w:val="7E59DC4A"/>
    <w:rsid w:val="7E5D807C"/>
    <w:rsid w:val="7E7C2272"/>
    <w:rsid w:val="7E7F8469"/>
    <w:rsid w:val="7E83713A"/>
    <w:rsid w:val="7E876F88"/>
    <w:rsid w:val="7E8A1B11"/>
    <w:rsid w:val="7E8D26FA"/>
    <w:rsid w:val="7E9C55E6"/>
    <w:rsid w:val="7E9F7CE4"/>
    <w:rsid w:val="7EA13751"/>
    <w:rsid w:val="7EB14BCD"/>
    <w:rsid w:val="7EB3D772"/>
    <w:rsid w:val="7EBA64F2"/>
    <w:rsid w:val="7EBAC0A1"/>
    <w:rsid w:val="7EBAF554"/>
    <w:rsid w:val="7EC03483"/>
    <w:rsid w:val="7EC0651F"/>
    <w:rsid w:val="7ECBE4C9"/>
    <w:rsid w:val="7ED242D8"/>
    <w:rsid w:val="7ED26757"/>
    <w:rsid w:val="7ED4CAA7"/>
    <w:rsid w:val="7EDC5AF7"/>
    <w:rsid w:val="7EE909B2"/>
    <w:rsid w:val="7EF2F6C6"/>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7AA7E4"/>
    <w:rsid w:val="7F846AE4"/>
    <w:rsid w:val="7F882CCF"/>
    <w:rsid w:val="7F90D851"/>
    <w:rsid w:val="7F973412"/>
    <w:rsid w:val="7F9F27E1"/>
    <w:rsid w:val="7F9F6247"/>
    <w:rsid w:val="7FA2FF24"/>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63BE805-2267-4270-986B-EF9630E1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customStyle="1" w:styleId="TBNormalTechnicalBlock">
    <w:name w:val="TBNormalTechnicalBlock"/>
    <w:basedOn w:val="Normal"/>
    <w:link w:val="TBNormalTechnicalBlockChar"/>
    <w:uiPriority w:val="1"/>
    <w:rsid w:val="7565D7AB"/>
    <w:pPr>
      <w:widowControl w:val="0"/>
      <w:spacing w:before="0" w:after="0"/>
      <w:contextualSpacing/>
    </w:pPr>
    <w:rPr>
      <w:rFonts w:asciiTheme="minorHAnsi" w:eastAsiaTheme="minorEastAsia" w:hAnsiTheme="minorHAnsi" w:cstheme="minorBidi"/>
      <w:b/>
      <w:bCs/>
      <w:sz w:val="23"/>
      <w:szCs w:val="23"/>
      <w:lang w:eastAsia="fr-BE"/>
    </w:rPr>
  </w:style>
  <w:style w:type="character" w:customStyle="1" w:styleId="TBNormalTechnicalBlockChar">
    <w:name w:val="TBNormalTechnicalBlock Char"/>
    <w:basedOn w:val="DefaultParagraphFont"/>
    <w:link w:val="TBNormalTechnicalBlock"/>
    <w:uiPriority w:val="1"/>
    <w:rsid w:val="7565D7AB"/>
    <w:rPr>
      <w:rFonts w:asciiTheme="minorHAnsi" w:eastAsiaTheme="minorEastAsia" w:hAnsiTheme="minorHAnsi" w:cstheme="minorBidi"/>
      <w:b/>
      <w:bCs/>
      <w:i w:val="0"/>
      <w:iCs w:val="0"/>
      <w:dstrike/>
      <w:color w:val="606060"/>
      <w:sz w:val="23"/>
      <w:szCs w:val="23"/>
      <w:u w:val="words"/>
      <w:lang w:val="fr-FR" w:eastAsia="fr-BE"/>
    </w:rPr>
  </w:style>
  <w:style w:type="paragraph" w:customStyle="1" w:styleId="Normal0">
    <w:name w:val="Normal0"/>
    <w:basedOn w:val="Normal"/>
    <w:uiPriority w:val="1"/>
    <w:rsid w:val="0DC5017D"/>
    <w:rPr>
      <w:rFonts w:ascii="Calibri" w:eastAsia="Calibri" w:hAnsi="Calibri" w:cs="Calibri"/>
      <w:sz w:val="22"/>
    </w:rPr>
  </w:style>
  <w:style w:type="character" w:customStyle="1" w:styleId="HeaderChar">
    <w:name w:val="Header Char"/>
    <w:basedOn w:val="DefaultParagraphFont"/>
    <w:link w:val="Header"/>
    <w:uiPriority w:val="99"/>
    <w:rsid w:val="00380336"/>
    <w:rPr>
      <w:rFonts w:ascii="Times New Roman" w:hAnsi="Times New Roman" w:cs="Times New Roman"/>
      <w:sz w:val="24"/>
      <w:lang w:val="fr-FR"/>
    </w:rPr>
  </w:style>
  <w:style w:type="character" w:customStyle="1" w:styleId="FooterChar">
    <w:name w:val="Footer Char"/>
    <w:basedOn w:val="DefaultParagraphFont"/>
    <w:link w:val="Footer"/>
    <w:uiPriority w:val="99"/>
    <w:rsid w:val="0038033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8033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80336"/>
    <w:pPr>
      <w:spacing w:before="0"/>
      <w:jc w:val="right"/>
    </w:pPr>
    <w:rPr>
      <w:sz w:val="28"/>
    </w:rPr>
  </w:style>
  <w:style w:type="paragraph" w:customStyle="1" w:styleId="FooterSensitivity">
    <w:name w:val="Footer Sensitivity"/>
    <w:basedOn w:val="Normal"/>
    <w:rsid w:val="0038033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80336"/>
    <w:pPr>
      <w:tabs>
        <w:tab w:val="center" w:pos="4535"/>
        <w:tab w:val="right" w:pos="9071"/>
      </w:tabs>
      <w:spacing w:before="0"/>
    </w:pPr>
  </w:style>
  <w:style w:type="paragraph" w:customStyle="1" w:styleId="HeaderLandscape">
    <w:name w:val="HeaderLandscape"/>
    <w:basedOn w:val="Normal"/>
    <w:rsid w:val="00380336"/>
    <w:pPr>
      <w:tabs>
        <w:tab w:val="center" w:pos="7285"/>
        <w:tab w:val="right" w:pos="14003"/>
      </w:tabs>
      <w:spacing w:before="0"/>
    </w:pPr>
  </w:style>
  <w:style w:type="paragraph" w:styleId="Footer">
    <w:name w:val="footer"/>
    <w:basedOn w:val="Normal"/>
    <w:link w:val="FooterChar"/>
    <w:uiPriority w:val="99"/>
    <w:unhideWhenUsed/>
    <w:rsid w:val="0038033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8033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8f965e-bbb6-4d10-8e04-a2531e92518f" xsi:nil="true"/>
    <Y_x002f_NreviewedGCI xmlns="7e867e16-cd10-4d7c-af76-521234807006">true</Y_x002f_NreviewedGCI>
    <lcf76f155ced4ddcb4097134ff3c332f xmlns="7e867e16-cd10-4d7c-af76-521234807006">
      <Terms xmlns="http://schemas.microsoft.com/office/infopath/2007/PartnerControls"/>
    </lcf76f155ced4ddcb4097134ff3c332f>
    <ReviewedGCI xmlns="7e867e16-cd10-4d7c-af76-521234807006">false</ReviewedGCI>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98f965e-bbb6-4d10-8e04-a2531e92518f"/>
    <ds:schemaRef ds:uri="7e867e16-cd10-4d7c-af76-521234807006"/>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5E872BC4-65CF-4D97-8E95-23854A1B6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EA6C47-D668-44E2-A759-55B03D5C2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50</TotalTime>
  <Pages>7</Pages>
  <Words>2185</Words>
  <Characters>12459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84</cp:revision>
  <dcterms:created xsi:type="dcterms:W3CDTF">2026-03-19T08:15:00Z</dcterms:created>
  <dcterms:modified xsi:type="dcterms:W3CDTF">2026-05-28T12:42:00Z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0x010100957260E13F24EE47816D0F26A43638A4</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