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6F47E4" w:rsidRDefault="00E23BD9" w:rsidP="00E23BD9">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1904E70-2F9B-4337-8E9E-98357ADE8A79" style="width:455.25pt;height:357.75pt">
            <v:imagedata r:id="rId11" o:title=""/>
          </v:shape>
        </w:pict>
      </w:r>
    </w:p>
    <w:p w:rsidR="00A83B18" w:rsidRPr="006F47E4" w:rsidRDefault="00A83B18" w:rsidP="00A83B18">
      <w:pPr>
        <w:pStyle w:val="Pagedecouverture"/>
        <w:rPr>
          <w:noProof/>
        </w:rPr>
        <w:sectPr w:rsidR="00A83B18" w:rsidRPr="006F47E4" w:rsidSect="00E23BD9">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DB38C7" w:rsidRPr="006F47E4" w:rsidRDefault="00DB38C7" w:rsidP="00DB38C7">
      <w:pPr>
        <w:pStyle w:val="Exposdesmotifstitre"/>
        <w:rPr>
          <w:noProof/>
        </w:rPr>
      </w:pPr>
      <w:bookmarkStart w:id="1" w:name="_GoBack"/>
      <w:bookmarkEnd w:id="1"/>
    </w:p>
    <w:p w:rsidR="00607CA2" w:rsidRPr="006F47E4" w:rsidRDefault="00607CA2" w:rsidP="00607CA2">
      <w:pPr>
        <w:rPr>
          <w:noProof/>
        </w:rPr>
      </w:pPr>
    </w:p>
    <w:p w:rsidR="00740113" w:rsidRDefault="009025AD">
      <w:pPr>
        <w:pStyle w:val="Rfrenceinterinstitutionnelle"/>
        <w:rPr>
          <w:noProof/>
        </w:rPr>
      </w:pPr>
      <w:r>
        <w:rPr>
          <w:noProof/>
        </w:rPr>
        <w:t>2026/0132 (NLE)</w:t>
      </w:r>
    </w:p>
    <w:p w:rsidR="002709B6" w:rsidRPr="006F47E4" w:rsidRDefault="006F47E4" w:rsidP="006F47E4">
      <w:pPr>
        <w:pStyle w:val="Statut"/>
        <w:rPr>
          <w:noProof/>
        </w:rPr>
      </w:pPr>
      <w:r w:rsidRPr="006F47E4">
        <w:rPr>
          <w:noProof/>
        </w:rPr>
        <w:t>Propunere de</w:t>
      </w:r>
    </w:p>
    <w:p w:rsidR="002709B6" w:rsidRPr="006F47E4" w:rsidRDefault="006F47E4" w:rsidP="006F47E4">
      <w:pPr>
        <w:pStyle w:val="Typedudocument"/>
        <w:rPr>
          <w:noProof/>
        </w:rPr>
      </w:pPr>
      <w:r w:rsidRPr="006F47E4">
        <w:rPr>
          <w:noProof/>
        </w:rPr>
        <w:t>DECIZIE DE PUNERE ÎN APLICARE A CONSILIULUI</w:t>
      </w:r>
    </w:p>
    <w:p w:rsidR="002F19B5" w:rsidRPr="006F47E4" w:rsidRDefault="006F47E4" w:rsidP="006F47E4">
      <w:pPr>
        <w:pStyle w:val="Titreobjet"/>
        <w:rPr>
          <w:noProof/>
        </w:rPr>
      </w:pPr>
      <w:r w:rsidRPr="006F47E4">
        <w:rPr>
          <w:noProof/>
        </w:rPr>
        <w:t>de modificare a Deciziei de punere în aplicare din 17 iunie 2022 de aprobare a evaluării planului de redresare și reziliență al Poloniei</w:t>
      </w:r>
    </w:p>
    <w:p w:rsidR="00007F85" w:rsidRPr="006F47E4" w:rsidRDefault="00007F85" w:rsidP="002F19B5">
      <w:pPr>
        <w:pStyle w:val="Institutionquiagit"/>
        <w:rPr>
          <w:noProof/>
        </w:rPr>
      </w:pPr>
      <w:r w:rsidRPr="006F47E4">
        <w:rPr>
          <w:noProof/>
        </w:rPr>
        <w:t>CONSILIUL UNIUNII EUROPENE,</w:t>
      </w:r>
    </w:p>
    <w:p w:rsidR="00007F85" w:rsidRPr="006F47E4" w:rsidRDefault="00007F85" w:rsidP="00007F85">
      <w:pPr>
        <w:rPr>
          <w:noProof/>
        </w:rPr>
      </w:pPr>
      <w:r w:rsidRPr="006F47E4">
        <w:rPr>
          <w:noProof/>
        </w:rPr>
        <w:t xml:space="preserve">având în vedere Tratatul privind funcționarea Uniunii Europene, </w:t>
      </w:r>
    </w:p>
    <w:p w:rsidR="00007F85" w:rsidRPr="006F47E4" w:rsidRDefault="00007F85" w:rsidP="00007F85">
      <w:pPr>
        <w:rPr>
          <w:noProof/>
        </w:rPr>
      </w:pPr>
      <w:r w:rsidRPr="006F47E4">
        <w:rPr>
          <w:noProof/>
        </w:rPr>
        <w:t>având în vedere Regulamentul (UE) 2021/241 al Parlamentului European și al Consiliului din 12 februarie 2021 de instituire a Mecanismului de redresare și reziliență</w:t>
      </w:r>
      <w:r w:rsidRPr="006F47E4">
        <w:rPr>
          <w:rStyle w:val="FootnoteReference"/>
          <w:rFonts w:eastAsia="Times New Roman"/>
          <w:noProof/>
        </w:rPr>
        <w:footnoteReference w:id="2"/>
      </w:r>
      <w:r w:rsidRPr="006F47E4">
        <w:rPr>
          <w:noProof/>
        </w:rPr>
        <w:t>, în special articolul 20 alineatul (1),</w:t>
      </w:r>
    </w:p>
    <w:p w:rsidR="00007F85" w:rsidRPr="006F47E4" w:rsidRDefault="00007F85" w:rsidP="00007F85">
      <w:pPr>
        <w:rPr>
          <w:noProof/>
        </w:rPr>
      </w:pPr>
      <w:r w:rsidRPr="006F47E4">
        <w:rPr>
          <w:noProof/>
        </w:rPr>
        <w:t>având în vedere propunerea Comisiei Europene,</w:t>
      </w:r>
    </w:p>
    <w:p w:rsidR="00007F85" w:rsidRPr="006F47E4" w:rsidRDefault="00007F85" w:rsidP="00007F85">
      <w:pPr>
        <w:rPr>
          <w:noProof/>
        </w:rPr>
      </w:pPr>
      <w:r w:rsidRPr="006F47E4">
        <w:rPr>
          <w:noProof/>
        </w:rPr>
        <w:t>întrucât:</w:t>
      </w:r>
    </w:p>
    <w:p w:rsidR="00007F85" w:rsidRPr="006F47E4" w:rsidRDefault="00007F85" w:rsidP="002C221C">
      <w:pPr>
        <w:pStyle w:val="ManualConsidrant"/>
        <w:rPr>
          <w:rFonts w:eastAsia="Times New Roman"/>
          <w:noProof/>
          <w:color w:val="000000" w:themeColor="text1"/>
        </w:rPr>
      </w:pPr>
      <w:r>
        <w:rPr>
          <w:noProof/>
        </w:rPr>
        <w:t>(1)</w:t>
      </w:r>
      <w:r>
        <w:rPr>
          <w:noProof/>
        </w:rPr>
        <w:tab/>
      </w:r>
      <w:r w:rsidRPr="006F47E4">
        <w:rPr>
          <w:noProof/>
        </w:rPr>
        <w:t>În urma transmiterii de către Polonia, la 3 mai 2022, a planului național de redresare și reziliență, Comisia a propus Consiliului ca planul să primească o evaluare pozitivă. La 17 iunie 2022, Consiliul a aprobat evaluarea pozitivă printr-o decizie de punere în aplicare</w:t>
      </w:r>
      <w:r w:rsidRPr="006F47E4">
        <w:rPr>
          <w:rStyle w:val="FootnoteReference"/>
          <w:rFonts w:eastAsia="Times New Roman"/>
          <w:noProof/>
        </w:rPr>
        <w:footnoteReference w:id="3"/>
      </w:r>
      <w:r w:rsidRPr="006F47E4">
        <w:rPr>
          <w:noProof/>
        </w:rPr>
        <w:t xml:space="preserve"> (denumită în continuare „Decizia de punere în aplicare a Consiliului din 17 iunie 2022”). </w:t>
      </w:r>
      <w:r w:rsidRPr="006F47E4">
        <w:rPr>
          <w:noProof/>
          <w:color w:val="000000" w:themeColor="text1"/>
        </w:rPr>
        <w:t>Decizia de punere în aplicare a Consiliului din 17 iunie 2022 a fost modificată prin Deciziile de punere în aplicare ale Consiliului din 8 decembrie 2023</w:t>
      </w:r>
      <w:r w:rsidRPr="006F47E4">
        <w:rPr>
          <w:rStyle w:val="FootnoteReference"/>
          <w:rFonts w:eastAsia="Times New Roman"/>
          <w:noProof/>
          <w:color w:val="000000" w:themeColor="text1"/>
        </w:rPr>
        <w:footnoteReference w:id="4"/>
      </w:r>
      <w:r w:rsidRPr="006F47E4">
        <w:rPr>
          <w:noProof/>
          <w:color w:val="000000" w:themeColor="text1"/>
        </w:rPr>
        <w:t>, 16 iulie 2024</w:t>
      </w:r>
      <w:r w:rsidRPr="006F47E4">
        <w:rPr>
          <w:rStyle w:val="FootnoteReference"/>
          <w:rFonts w:eastAsia="Times New Roman"/>
          <w:noProof/>
          <w:color w:val="000000" w:themeColor="text1"/>
        </w:rPr>
        <w:footnoteReference w:id="5"/>
      </w:r>
      <w:r w:rsidRPr="006F47E4">
        <w:rPr>
          <w:noProof/>
          <w:color w:val="000000" w:themeColor="text1"/>
        </w:rPr>
        <w:t>, 20 iunie 2025</w:t>
      </w:r>
      <w:r w:rsidRPr="006F47E4">
        <w:rPr>
          <w:rStyle w:val="FootnoteReference"/>
          <w:rFonts w:eastAsia="Times New Roman"/>
          <w:noProof/>
          <w:color w:val="000000" w:themeColor="text1"/>
        </w:rPr>
        <w:footnoteReference w:id="6"/>
      </w:r>
      <w:r w:rsidRPr="006F47E4">
        <w:rPr>
          <w:noProof/>
          <w:color w:val="000000" w:themeColor="text1"/>
        </w:rPr>
        <w:t xml:space="preserve"> și 12 decembrie 2025</w:t>
      </w:r>
      <w:r w:rsidRPr="006F47E4">
        <w:rPr>
          <w:rStyle w:val="FootnoteReference"/>
          <w:rFonts w:eastAsia="Times New Roman"/>
          <w:noProof/>
          <w:color w:val="000000" w:themeColor="text1"/>
        </w:rPr>
        <w:footnoteReference w:id="7"/>
      </w:r>
      <w:r w:rsidRPr="006F47E4">
        <w:rPr>
          <w:noProof/>
          <w:color w:val="000000" w:themeColor="text1"/>
        </w:rPr>
        <w:t>.</w:t>
      </w:r>
    </w:p>
    <w:p w:rsidR="00007F85" w:rsidRPr="006F47E4" w:rsidRDefault="00007F85" w:rsidP="7565D7AB">
      <w:pPr>
        <w:pStyle w:val="ManualConsidrant"/>
        <w:rPr>
          <w:rFonts w:eastAsia="Times New Roman"/>
          <w:noProof/>
        </w:rPr>
      </w:pPr>
      <w:r>
        <w:rPr>
          <w:noProof/>
        </w:rPr>
        <w:t>(2)</w:t>
      </w:r>
      <w:r>
        <w:rPr>
          <w:noProof/>
        </w:rPr>
        <w:tab/>
      </w:r>
      <w:r w:rsidRPr="006F47E4">
        <w:rPr>
          <w:noProof/>
        </w:rPr>
        <w:t xml:space="preserve">La 11 martie 2026, Polonia </w:t>
      </w:r>
      <w:bookmarkStart w:id="2" w:name="_Hlk130805569"/>
      <w:r w:rsidRPr="006F47E4">
        <w:rPr>
          <w:noProof/>
        </w:rPr>
        <w:t>a adresat Comisiei o cerere motivată de a prezenta o propunere de modificare a Deciziei de punere în aplicare a Consiliului din 17 iunie 2022 în conformitate cu articolul 21 alineatul (1) din Regulamentul</w:t>
      </w:r>
      <w:r w:rsidR="00376B47">
        <w:rPr>
          <w:noProof/>
        </w:rPr>
        <w:t> </w:t>
      </w:r>
      <w:r w:rsidRPr="006F47E4">
        <w:rPr>
          <w:noProof/>
        </w:rPr>
        <w:t>(UE) 2021/241, pe motiv că, parțial, planul de redresare și reziliență nu mai poate fi realizat din cauza unor circumstanțe obiective. Pe această bază, Polonia a prezentat un plan de redresare și reziliență modificat.</w:t>
      </w:r>
      <w:bookmarkEnd w:id="2"/>
    </w:p>
    <w:p w:rsidR="00007F85" w:rsidRPr="006F47E4" w:rsidRDefault="00007F85" w:rsidP="5BCF340D">
      <w:pPr>
        <w:rPr>
          <w:b/>
          <w:bCs/>
          <w:i/>
          <w:iCs/>
          <w:noProof/>
        </w:rPr>
      </w:pPr>
      <w:r w:rsidRPr="006F47E4">
        <w:rPr>
          <w:b/>
          <w:i/>
          <w:noProof/>
        </w:rPr>
        <w:t xml:space="preserve">Modificări în temeiul articolului 21 din Regulamentul (UE) 2021/241 </w:t>
      </w:r>
    </w:p>
    <w:p w:rsidR="00007F85" w:rsidRPr="006F47E4" w:rsidRDefault="00007F85" w:rsidP="00007F85">
      <w:pPr>
        <w:pStyle w:val="ManualConsidrant"/>
        <w:rPr>
          <w:rFonts w:eastAsia="Times New Roman"/>
          <w:noProof/>
        </w:rPr>
      </w:pPr>
      <w:r>
        <w:rPr>
          <w:noProof/>
        </w:rPr>
        <w:t>(3)</w:t>
      </w:r>
      <w:r>
        <w:rPr>
          <w:noProof/>
        </w:rPr>
        <w:tab/>
      </w:r>
      <w:r w:rsidRPr="006F47E4">
        <w:rPr>
          <w:noProof/>
        </w:rPr>
        <w:t>Modificările care au fost aduse planului de redresare și reziliență prezentat de Polonia ca urmare a unor circumstanțe obiective privesc 34 de măsuri.</w:t>
      </w:r>
    </w:p>
    <w:p w:rsidR="00007F85" w:rsidRPr="006F47E4" w:rsidRDefault="3BB5B474">
      <w:pPr>
        <w:pStyle w:val="ManualConsidrant"/>
        <w:rPr>
          <w:rFonts w:eastAsia="Times New Roman"/>
          <w:noProof/>
        </w:rPr>
      </w:pPr>
      <w:r>
        <w:rPr>
          <w:noProof/>
        </w:rPr>
        <w:t>(4)</w:t>
      </w:r>
      <w:r>
        <w:rPr>
          <w:noProof/>
        </w:rPr>
        <w:tab/>
      </w:r>
      <w:bookmarkStart w:id="3" w:name="_Hlk158894031"/>
      <w:r w:rsidRPr="006F47E4">
        <w:rPr>
          <w:noProof/>
          <w:color w:val="000000" w:themeColor="text1"/>
        </w:rPr>
        <w:t xml:space="preserve">Polonia a explicat că șase măsuri nu mai sunt realizabile din cauza unor întârzieri neașteptate cauzate de condițiile meteorologice aspre din timpul iernii, de probleme legate de achiziții, de întârzieri ale proiectelor sau de absența cererii. </w:t>
      </w:r>
      <w:r w:rsidRPr="006F47E4">
        <w:rPr>
          <w:noProof/>
        </w:rPr>
        <w:t xml:space="preserve">Sunt vizate măsurile A1.4.1 (Modernizarea infrastructurii sau a echipamentelor din sectorul </w:t>
      </w:r>
      <w:r w:rsidRPr="006F47E4">
        <w:rPr>
          <w:noProof/>
        </w:rPr>
        <w:lastRenderedPageBreak/>
        <w:t>agricol), B3.2.1 (Investiții în neutralizarea riscurilor și refacerea siturilor onshore și offshore), B3.5.1 (Investiții în proiecte de locuințe), C2.2.1 (Tehnologii digitale în învățământ), E3.1.1 (Mecanismul de sprijinire a unei economii cu emisii scăzute de dioxid de carbon) și G1.1.2 (Sprijinirea extinderii comunităților energetice).</w:t>
      </w:r>
      <w:r w:rsidRPr="006F47E4">
        <w:rPr>
          <w:noProof/>
          <w:color w:val="000000" w:themeColor="text1"/>
        </w:rPr>
        <w:t xml:space="preserve"> </w:t>
      </w:r>
      <w:r w:rsidRPr="006F47E4">
        <w:rPr>
          <w:noProof/>
        </w:rPr>
        <w:t>Pe această bază, Polonia a solicitat modificarea măsurilor respective.</w:t>
      </w:r>
      <w:r w:rsidRPr="006F47E4">
        <w:rPr>
          <w:noProof/>
          <w:color w:val="000000" w:themeColor="text1"/>
        </w:rPr>
        <w:t xml:space="preserve"> </w:t>
      </w:r>
      <w:r w:rsidRPr="006F47E4">
        <w:rPr>
          <w:noProof/>
        </w:rPr>
        <w:t>Decizia de punere în aplicare a Consiliului din 17 iunie 2022 ar trebui să fie modificată în consecință.</w:t>
      </w:r>
      <w:r w:rsidR="00376B47">
        <w:rPr>
          <w:noProof/>
        </w:rPr>
        <w:t xml:space="preserve"> </w:t>
      </w:r>
      <w:bookmarkEnd w:id="3"/>
    </w:p>
    <w:p w:rsidR="00007F85" w:rsidRPr="006F47E4" w:rsidRDefault="357C769B" w:rsidP="00007F85">
      <w:pPr>
        <w:pStyle w:val="ManualConsidrant"/>
        <w:rPr>
          <w:rFonts w:eastAsia="Times New Roman"/>
          <w:noProof/>
        </w:rPr>
      </w:pPr>
      <w:r>
        <w:rPr>
          <w:noProof/>
        </w:rPr>
        <w:t>(5)</w:t>
      </w:r>
      <w:r>
        <w:rPr>
          <w:noProof/>
        </w:rPr>
        <w:tab/>
      </w:r>
      <w:r w:rsidRPr="006F47E4">
        <w:rPr>
          <w:noProof/>
          <w:color w:val="000000" w:themeColor="text1"/>
        </w:rPr>
        <w:t xml:space="preserve">Polonia a explicat că trei măsuri nu mai pot fi realizate din cauza unor dificultăți juridice neprevăzute legate de procedurile de achiziții publice. </w:t>
      </w:r>
      <w:r w:rsidRPr="006F47E4">
        <w:rPr>
          <w:noProof/>
        </w:rPr>
        <w:t>Sunt vizate măsurile A1.3.1 (Punerea în aplicare a reformei privind amenajarea teritoriului), A4.6 (Creșterea participării pe piața forței de muncă a anumitor grupuri prin dezvoltarea îngrijirii pe termen lung) și G3.1.1 (Simplificarea procesului de autorizare a surselor regenerabile de energie).</w:t>
      </w:r>
      <w:r w:rsidRPr="006F47E4">
        <w:rPr>
          <w:noProof/>
          <w:color w:val="000000" w:themeColor="text1"/>
        </w:rPr>
        <w:t xml:space="preserve"> </w:t>
      </w:r>
      <w:r w:rsidRPr="006F47E4">
        <w:rPr>
          <w:noProof/>
        </w:rPr>
        <w:t>Pe această bază, Polonia a solicitat modificarea măsurilor respective.</w:t>
      </w:r>
      <w:r w:rsidRPr="006F47E4">
        <w:rPr>
          <w:noProof/>
          <w:color w:val="000000" w:themeColor="text1"/>
        </w:rPr>
        <w:t xml:space="preserve"> </w:t>
      </w:r>
      <w:r w:rsidRPr="006F47E4">
        <w:rPr>
          <w:noProof/>
        </w:rPr>
        <w:t xml:space="preserve">Decizia de punere în aplicare a Consiliului din 17 iunie 2022 ar trebui să fie modificată în consecință. </w:t>
      </w:r>
    </w:p>
    <w:p w:rsidR="00007F85" w:rsidRPr="006F47E4" w:rsidRDefault="517497A1" w:rsidP="00007F85">
      <w:pPr>
        <w:pStyle w:val="ManualConsidrant"/>
        <w:rPr>
          <w:rFonts w:eastAsia="Times New Roman"/>
          <w:noProof/>
        </w:rPr>
      </w:pPr>
      <w:r>
        <w:rPr>
          <w:noProof/>
        </w:rPr>
        <w:t>(6)</w:t>
      </w:r>
      <w:r>
        <w:rPr>
          <w:noProof/>
        </w:rPr>
        <w:tab/>
      </w:r>
      <w:r w:rsidRPr="006F47E4">
        <w:rPr>
          <w:noProof/>
        </w:rPr>
        <w:t>Polonia a explicat că două măsuri au fost modificate pentru a pune în aplicare alternative mai bune în scopul atingerii nivelului de ambiție inițial. Sunt vizate măsurile E1.1 (Creșterea utilizării transportului ecologic) și E1.2.1 [Transport public cu emisii zero în orașe (tramvaie)].</w:t>
      </w:r>
      <w:r w:rsidRPr="006F47E4">
        <w:rPr>
          <w:noProof/>
          <w:color w:val="000000" w:themeColor="text1"/>
        </w:rPr>
        <w:t xml:space="preserve"> </w:t>
      </w:r>
      <w:r w:rsidRPr="006F47E4">
        <w:rPr>
          <w:noProof/>
        </w:rPr>
        <w:t>Pe această bază, Polonia a solicitat modificarea măsurilor respective și adăugarea unei noi măsuri B4.1. (Reducerea dependenței de cărbune).</w:t>
      </w:r>
      <w:r w:rsidRPr="006F47E4">
        <w:rPr>
          <w:noProof/>
          <w:color w:val="000000" w:themeColor="text1"/>
        </w:rPr>
        <w:t xml:space="preserve"> </w:t>
      </w:r>
      <w:r w:rsidRPr="006F47E4">
        <w:rPr>
          <w:noProof/>
        </w:rPr>
        <w:t xml:space="preserve">Decizia de punere în aplicare a Consiliului din 17 iunie 2022 ar trebui să fie modificată în consecință. </w:t>
      </w:r>
    </w:p>
    <w:p w:rsidR="49948C17" w:rsidRPr="006F47E4" w:rsidRDefault="2451EF0B">
      <w:pPr>
        <w:pStyle w:val="ManualConsidrant"/>
        <w:rPr>
          <w:rFonts w:eastAsia="Times New Roman"/>
          <w:noProof/>
        </w:rPr>
      </w:pPr>
      <w:r>
        <w:rPr>
          <w:noProof/>
        </w:rPr>
        <w:t>(7)</w:t>
      </w:r>
      <w:r>
        <w:rPr>
          <w:noProof/>
        </w:rPr>
        <w:tab/>
      </w:r>
      <w:r w:rsidRPr="006F47E4">
        <w:rPr>
          <w:noProof/>
        </w:rPr>
        <w:t>Polonia a explicat că 21 de măsuri au fost modificate pentru a pune în aplicare alternative mai bune, care să permită reducerea sarcinii administrative și simplificarea deciziei de punere în aplicare a Consiliului, atingând în același timp nivelul de ambiție inițial al măsurilor respective. Sunt vizate măsurile A1.1 (Reforma cadrului bugetar), A2.6 (Reforma sistemului național de servicii de monitorizare, produse, instrumente analitice, servicii și a infrastructurii aferente care utilizează date satelitare), A2.6.1</w:t>
      </w:r>
      <w:r w:rsidR="00376B47">
        <w:rPr>
          <w:noProof/>
        </w:rPr>
        <w:t> </w:t>
      </w:r>
      <w:r w:rsidRPr="006F47E4">
        <w:rPr>
          <w:noProof/>
        </w:rPr>
        <w:t>[Investiții în Sistemul național de informații prin satelit (NSIS) și în sateliți], A4.1.1 (Investiții în sprijinul reformei instituțiilor de pe piața forței de muncă), A4.3.1</w:t>
      </w:r>
      <w:r w:rsidR="00376B47">
        <w:rPr>
          <w:noProof/>
        </w:rPr>
        <w:t> </w:t>
      </w:r>
      <w:r w:rsidRPr="006F47E4">
        <w:rPr>
          <w:noProof/>
        </w:rPr>
        <w:t>(Investiții în entitățile din sectorul economiei sociale), B2.2.3 (Construirea infrastructurii pentru terminalele offshore), B2.3 (Sprijin pentru investiții în parcuri eoliene offshore), C1.1.1 (Accesul la rețeaua de bandă largă), C2.1.2 (Tehnologii digitale în învățământul școlar – Dispozitive portabile), C4.1.1 (Sprijin pentru transformarea digitală avansată), D1.1.1 (Modernizarea centrelor de îngrijire de înaltă specializare și a altor furnizori de asistență medicală), D4.1.1 (Extinderea îngrijirii pe termen lung prin modernizarea entităților medicale la nivel districtual), E1.1.2</w:t>
      </w:r>
      <w:r w:rsidR="00376B47">
        <w:rPr>
          <w:noProof/>
        </w:rPr>
        <w:t> </w:t>
      </w:r>
      <w:r w:rsidRPr="006F47E4">
        <w:rPr>
          <w:noProof/>
        </w:rPr>
        <w:t>(Autobuze și tramvaie cu emisii zero și cu emisii scăzute), E2.1.1 (Linii de cale ferată), E2.1.2 (Material rulant feroviar de călători), E2.1.3 (Proiecte intermodale), E2.2.1 (Investiții în siguranța transporturilor), E2.2.2 (Digitalizarea transporturilor), G1.2.3 (Rețele de transport și infrastructură inteligentă de energie electrică), G1.3.2</w:t>
      </w:r>
      <w:r w:rsidR="00376B47">
        <w:rPr>
          <w:noProof/>
        </w:rPr>
        <w:t> </w:t>
      </w:r>
      <w:r w:rsidRPr="006F47E4">
        <w:rPr>
          <w:noProof/>
        </w:rPr>
        <w:t xml:space="preserve">[Transport în comun cu emisii zero (autobuze)] și G3.1.2 (Competențe pentru tranziția verde). Pe această bază, Polonia a solicitat modificarea măsurilor respective. Decizia de punere în aplicare a Consiliului din 17 iunie 2022 ar trebui să fie modificată în consecință. </w:t>
      </w:r>
    </w:p>
    <w:bookmarkEnd w:id="0"/>
    <w:p w:rsidR="00007F85" w:rsidRPr="006F47E4" w:rsidRDefault="00007F85" w:rsidP="5BCF340D">
      <w:pPr>
        <w:pStyle w:val="ManualConsidrant"/>
        <w:rPr>
          <w:rFonts w:eastAsia="Times New Roman"/>
          <w:noProof/>
        </w:rPr>
      </w:pPr>
      <w:r>
        <w:rPr>
          <w:noProof/>
        </w:rPr>
        <w:t>(8)</w:t>
      </w:r>
      <w:r>
        <w:rPr>
          <w:noProof/>
        </w:rPr>
        <w:tab/>
      </w:r>
      <w:r w:rsidRPr="006F47E4">
        <w:rPr>
          <w:noProof/>
        </w:rPr>
        <w:t>În urma scăderii nivelului de punere în aplicare a măsurilor în conformitate cu articolul</w:t>
      </w:r>
      <w:r w:rsidR="00376B47">
        <w:rPr>
          <w:noProof/>
        </w:rPr>
        <w:t> </w:t>
      </w:r>
      <w:r w:rsidRPr="006F47E4">
        <w:rPr>
          <w:noProof/>
        </w:rPr>
        <w:t>21 din Regulamentul (UE) 2021/241, Polonia a solicitat utilizarea resurselor care au redevenit disponibile prin scăderea nivelului de punere în aplicare pentru a spori nivelul de punere în aplicare a două măsuri.</w:t>
      </w:r>
      <w:r w:rsidRPr="006F47E4">
        <w:rPr>
          <w:i/>
          <w:noProof/>
        </w:rPr>
        <w:t xml:space="preserve"> </w:t>
      </w:r>
      <w:r w:rsidRPr="006F47E4">
        <w:rPr>
          <w:noProof/>
          <w:color w:val="000000" w:themeColor="text1"/>
        </w:rPr>
        <w:t xml:space="preserve">Sunt vizate măsurile A2.7.1 (Investiții – Fondul pentru securitate și apărare) și A6.1 [Contribuție voluntară la Programul UE privind conectivitatea securizată (IRIS2)]. </w:t>
      </w:r>
      <w:r w:rsidRPr="006F47E4">
        <w:rPr>
          <w:noProof/>
        </w:rPr>
        <w:t>Pe această bază, Polonia a solicitat creșterea nivelului de punere în aplicare a două măsuri.</w:t>
      </w:r>
      <w:r w:rsidRPr="006F47E4">
        <w:rPr>
          <w:noProof/>
          <w:color w:val="000000" w:themeColor="text1"/>
        </w:rPr>
        <w:t xml:space="preserve"> </w:t>
      </w:r>
      <w:r w:rsidRPr="006F47E4">
        <w:rPr>
          <w:noProof/>
        </w:rPr>
        <w:t>Decizia de punere în aplicare a Consiliului din 17 iunie 2022 ar trebui să fie modificată în consecință.</w:t>
      </w:r>
    </w:p>
    <w:p w:rsidR="00007F85" w:rsidRPr="006F47E4" w:rsidRDefault="00007F85" w:rsidP="5BCF340D">
      <w:pPr>
        <w:rPr>
          <w:i/>
          <w:iCs/>
          <w:noProof/>
        </w:rPr>
      </w:pPr>
      <w:r w:rsidRPr="006F47E4">
        <w:rPr>
          <w:b/>
          <w:i/>
          <w:noProof/>
        </w:rPr>
        <w:t>Distribuția jaloanelor și a țintelor</w:t>
      </w:r>
    </w:p>
    <w:p w:rsidR="00007F85" w:rsidRPr="006F47E4" w:rsidRDefault="00007F85" w:rsidP="0034327E">
      <w:pPr>
        <w:pStyle w:val="ManualConsidrant"/>
        <w:rPr>
          <w:rFonts w:eastAsia="Times New Roman"/>
          <w:noProof/>
        </w:rPr>
      </w:pPr>
      <w:r>
        <w:rPr>
          <w:noProof/>
        </w:rPr>
        <w:t>(9)</w:t>
      </w:r>
      <w:r>
        <w:rPr>
          <w:noProof/>
        </w:rPr>
        <w:tab/>
      </w:r>
      <w:r w:rsidRPr="006F47E4">
        <w:rPr>
          <w:noProof/>
        </w:rPr>
        <w:t>Distribuția jaloanelor și a țintelor în tranșe ar trebui să fie modificată pentru a ține seama de modificările aduse planului de redresare și reziliență și de calendarul orientativ prezentat de Polonia.</w:t>
      </w:r>
    </w:p>
    <w:p w:rsidR="00007F85" w:rsidRPr="006F47E4" w:rsidRDefault="00007F85" w:rsidP="5BCF340D">
      <w:pPr>
        <w:rPr>
          <w:b/>
          <w:bCs/>
          <w:i/>
          <w:iCs/>
          <w:noProof/>
        </w:rPr>
      </w:pPr>
      <w:r w:rsidRPr="006F47E4">
        <w:rPr>
          <w:b/>
          <w:i/>
          <w:noProof/>
        </w:rPr>
        <w:t>Evaluarea realizată de către Comisie</w:t>
      </w:r>
    </w:p>
    <w:p w:rsidR="00007F85" w:rsidRPr="006F47E4" w:rsidRDefault="00007F85" w:rsidP="00007F85">
      <w:pPr>
        <w:pStyle w:val="ManualConsidrant"/>
        <w:rPr>
          <w:rStyle w:val="normaltextrun"/>
          <w:rFonts w:eastAsia="Times New Roman"/>
          <w:noProof/>
        </w:rPr>
      </w:pPr>
      <w:r>
        <w:rPr>
          <w:noProof/>
        </w:rPr>
        <w:t>(10)</w:t>
      </w:r>
      <w:r>
        <w:rPr>
          <w:noProof/>
        </w:rPr>
        <w:tab/>
      </w:r>
      <w:r w:rsidRPr="006F47E4">
        <w:rPr>
          <w:noProof/>
        </w:rPr>
        <w:t>Comisia a evaluat planul de redresare și reziliență modificat în raport cu criteriile de evaluare prevăzute la articolul 19 alineatul (3) din Regulamentul (UE) 2021/241.</w:t>
      </w:r>
    </w:p>
    <w:p w:rsidR="00007F85" w:rsidRPr="006F47E4" w:rsidRDefault="00007F85" w:rsidP="7565D7AB">
      <w:pPr>
        <w:pStyle w:val="ManualConsidrant"/>
        <w:rPr>
          <w:rFonts w:eastAsia="Times New Roman"/>
          <w:noProof/>
        </w:rPr>
      </w:pPr>
      <w:r>
        <w:rPr>
          <w:noProof/>
        </w:rPr>
        <w:t>(11)</w:t>
      </w:r>
      <w:r>
        <w:rPr>
          <w:noProof/>
        </w:rPr>
        <w:tab/>
      </w:r>
      <w:r w:rsidRPr="006F47E4">
        <w:rPr>
          <w:noProof/>
        </w:rPr>
        <w:t xml:space="preserve">Comisia consideră că modificările prezentate de Polonia nu afectează evaluarea pozitivă a planului de redresare și reziliență formulată în Decizia de punere în aplicare a Consiliului din 17 iunie 2022 în ceea ce privește relevanța, eficacitatea, eficiența și coerența planului de redresare și reziliență în raport cu criteriile de evaluare prevăzute la articolul 19 alineatul (3) din Regulamentul (UE) 2021/241 literele </w:t>
      </w:r>
      <w:r w:rsidRPr="006F47E4">
        <w:rPr>
          <w:rStyle w:val="normaltextrun"/>
          <w:noProof/>
          <w:shd w:val="clear" w:color="auto" w:fill="FFFFFF"/>
        </w:rPr>
        <w:t>(a), (b), (c), (d),(da), (db), (g), (h), (j) și (k).</w:t>
      </w:r>
    </w:p>
    <w:p w:rsidR="00007F85" w:rsidRPr="006F47E4" w:rsidRDefault="482D66C2" w:rsidP="7565D7AB">
      <w:pPr>
        <w:rPr>
          <w:rFonts w:eastAsia="Times New Roman"/>
          <w:noProof/>
        </w:rPr>
      </w:pPr>
      <w:r w:rsidRPr="006F47E4">
        <w:rPr>
          <w:b/>
          <w:i/>
          <w:noProof/>
        </w:rPr>
        <w:t>Contribuția la tranziția verde, inclusiv la biodiversitate</w:t>
      </w:r>
    </w:p>
    <w:p w:rsidR="00007F85" w:rsidRPr="006F47E4" w:rsidRDefault="00007F85" w:rsidP="7565D7AB">
      <w:pPr>
        <w:pStyle w:val="ManualConsidrant"/>
        <w:rPr>
          <w:rFonts w:eastAsia="Times New Roman"/>
          <w:noProof/>
        </w:rPr>
      </w:pPr>
      <w:r>
        <w:rPr>
          <w:noProof/>
        </w:rPr>
        <w:t>(12)</w:t>
      </w:r>
      <w:r>
        <w:rPr>
          <w:noProof/>
        </w:rPr>
        <w:tab/>
      </w:r>
      <w:r w:rsidRPr="006F47E4">
        <w:rPr>
          <w:noProof/>
        </w:rPr>
        <w:t>În conformitate cu articolul 19 alineatul (3) litera (e) din Regulamentul (UE) 2021/241 și cu criteriul 2.5 din anexa V la acesta, planul de redresare și reziliență modificat conține măsuri care contribuie în mare măsură (nota A) la tranziția verde, inclusiv la biodiversitate, sau la abordarea provocărilor generate de această tranziție. Cuantumul aferent măsurilor de sprijinire a obiectivelor climatice reprezintă 40,05 % din alocarea totală a planului de redresare și reziliență modificat și 68,17 % din costurile totale estimate ale măsurilor din capitolul privind REPowerEU, calculat în conformitate cu metodologia prevăzută în anexa VI la Regulamentul (UE) 2021/241.</w:t>
      </w:r>
    </w:p>
    <w:p w:rsidR="00723725" w:rsidRPr="006F47E4" w:rsidRDefault="00723725" w:rsidP="7565D7AB">
      <w:pPr>
        <w:pStyle w:val="ManualConsidrant"/>
        <w:rPr>
          <w:rFonts w:eastAsia="Times New Roman"/>
          <w:noProof/>
        </w:rPr>
      </w:pPr>
      <w:r>
        <w:rPr>
          <w:noProof/>
        </w:rPr>
        <w:t>(13)</w:t>
      </w:r>
      <w:r>
        <w:rPr>
          <w:noProof/>
        </w:rPr>
        <w:tab/>
      </w:r>
      <w:r w:rsidRPr="006F47E4">
        <w:rPr>
          <w:noProof/>
        </w:rPr>
        <w:t>Deși Polonia nu și-a prezentat Planul național privind energia și clima până la 30 iunie 2024, în conformitate cu articolul 14 din Regulamentul (UE) 2018/1999 al Parlamentului European și al Consiliului</w:t>
      </w:r>
      <w:r w:rsidRPr="006F47E4">
        <w:rPr>
          <w:rStyle w:val="FootnoteReference"/>
          <w:rFonts w:eastAsia="Times New Roman"/>
          <w:noProof/>
        </w:rPr>
        <w:footnoteReference w:id="8"/>
      </w:r>
      <w:r w:rsidRPr="006F47E4">
        <w:rPr>
          <w:noProof/>
        </w:rPr>
        <w:t>, planul de redresare și reziliență modificat rămâne în concordanță cu informațiile furnizate în decembrie 2019 în Planul național privind energia și clima pentru perioada 2021-2030. Modificarea planului de redresare și reziliență nu are un impact semnificativ asupra nivelului de ambiție al acestuia în ceea ce privește tranziția climatică. În pofida modificărilor aduse, planul de redresare și reziliență modificat continuă să contribuie în mod semnificativ la atenuarea schimbărilor climatice, cu intervenții în producția și distribuția energiei din surse regenerabile, eficiența energetică, decarbonizarea clădirilor și transportul cu emisii</w:t>
      </w:r>
      <w:r w:rsidR="00376B47">
        <w:rPr>
          <w:noProof/>
        </w:rPr>
        <w:t> </w:t>
      </w:r>
      <w:r w:rsidRPr="006F47E4">
        <w:rPr>
          <w:noProof/>
        </w:rPr>
        <w:t>zero.</w:t>
      </w:r>
    </w:p>
    <w:p w:rsidR="00007F85" w:rsidRPr="006F47E4" w:rsidRDefault="5CEE08DC" w:rsidP="7565D7AB">
      <w:pPr>
        <w:pStyle w:val="ManualConsidrant"/>
        <w:rPr>
          <w:rFonts w:eastAsia="Times New Roman"/>
          <w:noProof/>
        </w:rPr>
      </w:pPr>
      <w:r>
        <w:rPr>
          <w:noProof/>
        </w:rPr>
        <w:t>(14)</w:t>
      </w:r>
      <w:r>
        <w:rPr>
          <w:noProof/>
        </w:rPr>
        <w:tab/>
      </w:r>
      <w:r w:rsidRPr="006F47E4">
        <w:rPr>
          <w:noProof/>
        </w:rPr>
        <w:t>Măsurile din planul de redresare și reziliență modificat contribuie în continuare în mod semnificativ la tranziția verde. Contribuția planului de redresare și reziliență modificat la măsurile climatice a scăzut de la 40,26 % la 40,05 % în comparație cu evaluarea anterioară.</w:t>
      </w:r>
    </w:p>
    <w:p w:rsidR="00007F85" w:rsidRPr="006F47E4" w:rsidRDefault="00007F85" w:rsidP="5BCF340D">
      <w:pPr>
        <w:rPr>
          <w:i/>
          <w:iCs/>
          <w:noProof/>
        </w:rPr>
      </w:pPr>
      <w:r w:rsidRPr="006F47E4">
        <w:rPr>
          <w:b/>
          <w:i/>
          <w:noProof/>
        </w:rPr>
        <w:t>Contribuția la tranziția digitală</w:t>
      </w:r>
    </w:p>
    <w:p w:rsidR="00007F85" w:rsidRPr="006F47E4" w:rsidRDefault="00007F85" w:rsidP="00007F85">
      <w:pPr>
        <w:pStyle w:val="ManualConsidrant"/>
        <w:rPr>
          <w:rFonts w:eastAsia="Times New Roman"/>
          <w:noProof/>
        </w:rPr>
      </w:pPr>
      <w:r>
        <w:rPr>
          <w:noProof/>
        </w:rPr>
        <w:t>(15)</w:t>
      </w:r>
      <w:r>
        <w:rPr>
          <w:noProof/>
        </w:rPr>
        <w:tab/>
      </w:r>
      <w:r w:rsidRPr="006F47E4">
        <w:rPr>
          <w:noProof/>
        </w:rPr>
        <w:t xml:space="preserve">În conformitate cu articolul 19 alineatul (3) litera (f) din Regulamentul (UE) 2021/241 și cu criteriul 2.6 din anexa V la acesta, planul de redresare și reziliență modificat conține măsuri care contribuie în mare măsură (nota A) la tranziția digitală sau la abordarea provocărilor generate de această tranziție. Cuantumul aferent măsurilor de sprijinire a obiectivelor digitale reprezintă 21,30 % din alocarea totală a planului de redresare și reziliență modificat, calculat în conformitate cu metodologia prevăzută în anexa VII la regulamentul menționat mai sus. </w:t>
      </w:r>
    </w:p>
    <w:p w:rsidR="71C08657" w:rsidRPr="006F47E4" w:rsidRDefault="1322C784" w:rsidP="7565D7AB">
      <w:pPr>
        <w:pStyle w:val="ManualConsidrant"/>
        <w:rPr>
          <w:rFonts w:eastAsia="Times New Roman"/>
          <w:noProof/>
        </w:rPr>
      </w:pPr>
      <w:r>
        <w:rPr>
          <w:noProof/>
        </w:rPr>
        <w:t>(16)</w:t>
      </w:r>
      <w:r>
        <w:rPr>
          <w:noProof/>
        </w:rPr>
        <w:tab/>
      </w:r>
      <w:r w:rsidRPr="006F47E4">
        <w:rPr>
          <w:noProof/>
        </w:rPr>
        <w:t>Măsurile din planul de redresare și reziliență modificat contribuie în continuare în mod semnificativ la tranziția digitală. Contribuția planului de redresare și reziliență modificat la măsurile digitale a crescut de la 20,92 % la 21,30 % în comparație cu evaluarea anterioară.</w:t>
      </w:r>
    </w:p>
    <w:p w:rsidR="00007F85" w:rsidRPr="006F47E4" w:rsidRDefault="00007F85" w:rsidP="5BCF340D">
      <w:pPr>
        <w:rPr>
          <w:i/>
          <w:iCs/>
          <w:noProof/>
        </w:rPr>
      </w:pPr>
      <w:r w:rsidRPr="006F47E4">
        <w:rPr>
          <w:b/>
          <w:i/>
          <w:noProof/>
        </w:rPr>
        <w:t>Stabilirea costurilor</w:t>
      </w:r>
    </w:p>
    <w:p w:rsidR="00007F85" w:rsidRPr="006F47E4" w:rsidRDefault="00007F85" w:rsidP="7565D7AB">
      <w:pPr>
        <w:pStyle w:val="ManualConsidrant"/>
        <w:rPr>
          <w:rFonts w:eastAsia="Times New Roman"/>
          <w:noProof/>
        </w:rPr>
      </w:pPr>
      <w:r>
        <w:rPr>
          <w:noProof/>
        </w:rPr>
        <w:t>(17)</w:t>
      </w:r>
      <w:r>
        <w:rPr>
          <w:noProof/>
        </w:rPr>
        <w:tab/>
      </w:r>
      <w:r w:rsidRPr="006F47E4">
        <w:rPr>
          <w:noProof/>
        </w:rPr>
        <w:t>În conformitate cu articolul 19 alineatul (3) litera (i) din Regulamentul (UE) 2021/241 și cu criteriul 2.9 din anexa V la acesta, justificarea furnizată în planul de redresare și reziliență modificat cu privire la costurile totale estimate ale planului de redresare și reziliență este, într-o măsură moderată (nota B), rezonabilă și plauzibilă, respectă principiul eficienței costurilor și este proporțională cu impactul economic și social național preconizat.</w:t>
      </w:r>
    </w:p>
    <w:p w:rsidR="64ECE46D" w:rsidRPr="006F47E4" w:rsidRDefault="64ECE46D" w:rsidP="7565D7AB">
      <w:pPr>
        <w:pStyle w:val="ManualConsidrant"/>
        <w:rPr>
          <w:rFonts w:eastAsia="Times New Roman"/>
          <w:noProof/>
        </w:rPr>
      </w:pPr>
      <w:r>
        <w:rPr>
          <w:noProof/>
        </w:rPr>
        <w:t>(18)</w:t>
      </w:r>
      <w:r>
        <w:rPr>
          <w:noProof/>
        </w:rPr>
        <w:tab/>
      </w:r>
      <w:r w:rsidRPr="006F47E4">
        <w:rPr>
          <w:noProof/>
        </w:rPr>
        <w:t>Polonia a furnizat estimări ale costurilor pentru toate tipurile de măsuri din cadrul planului său de redresare și reziliență modificat care implică un cost. În general, metodologia și ipotezele utilizate pentru realizarea estimării costurilor sunt clare și ușor de înțeles, adesea bazate pe proiecte anterioare finanțate din fondurile politicii de coeziune. În unele cazuri, au fost furnizate detalii limitate privind metodologia și ipotezele utilizate pentru a realiza estimările costurilor, motiv pentru care nu se poate efectua o evaluare pozitivă completă a estimărilor costurilor. Polonia a furnizat, de asemenea, documente justificative detaliate pentru majoritatea tipurilor de intervenții care stau la baza justificării și a dovezilor furnizate privind estimările costurilor. Polonia a furnizat suficiente informații și asigurări potrivit cărora costul planului său de redresare și reziliență modificat nu sunt acoperite de alte finanțări din partea Uniunii. În sfârșit, cuantumul costurilor totale estimate ale planului de redresare și reziliență modificat este conform cu principiul eficienței costurilor și proporțional cu impactul economic și social național preconizat.</w:t>
      </w:r>
      <w:r w:rsidR="00376B47">
        <w:rPr>
          <w:noProof/>
        </w:rPr>
        <w:t xml:space="preserve"> </w:t>
      </w:r>
    </w:p>
    <w:p w:rsidR="00007F85" w:rsidRPr="006F47E4" w:rsidRDefault="00007F85" w:rsidP="5BCF340D">
      <w:pPr>
        <w:rPr>
          <w:i/>
          <w:iCs/>
          <w:noProof/>
          <w:sz w:val="22"/>
        </w:rPr>
      </w:pPr>
      <w:r w:rsidRPr="006F47E4">
        <w:rPr>
          <w:b/>
          <w:i/>
          <w:noProof/>
        </w:rPr>
        <w:t>Măsuri de sprijinire a operațiunilor de investiții care contribuie la obiectivele platformei Tehnologii strategice pentru Europa (STEP)</w:t>
      </w:r>
    </w:p>
    <w:p w:rsidR="00007F85" w:rsidRPr="006F47E4" w:rsidRDefault="00007F85" w:rsidP="7565D7AB">
      <w:pPr>
        <w:pStyle w:val="ManualConsidrant"/>
        <w:rPr>
          <w:noProof/>
        </w:rPr>
      </w:pPr>
      <w:r>
        <w:rPr>
          <w:noProof/>
        </w:rPr>
        <w:t>(19)</w:t>
      </w:r>
      <w:r>
        <w:rPr>
          <w:noProof/>
        </w:rPr>
        <w:tab/>
      </w:r>
      <w:r w:rsidRPr="006F47E4">
        <w:rPr>
          <w:noProof/>
        </w:rPr>
        <w:t>În conformitate cu articolul 4 alineatul (4) din Regulamentul (UE) 2024/795 al Parlamentului European și al Consiliului, Polonia a considerat prioritare proiectele cărora le-a fost acordată o marcă de suveranitate în temeiul articolului 4 alineatul (1) din Regulamentul (UE) 2024/795. Cu toate acestea, Polonia a considerat că niciun proiect căruia i s-a acordat o marcă de suveranitate nu urma să fie inclus în planul de redresare și reziliență modificat din cauza timpului insuficient pentru finalizarea unor astfel de proiecte înainte de data de încheiere a Mecanismului de redresare și reziliență.</w:t>
      </w:r>
    </w:p>
    <w:p w:rsidR="00007F85" w:rsidRPr="006F47E4" w:rsidRDefault="00007F85" w:rsidP="00376B47">
      <w:pPr>
        <w:keepNext/>
        <w:rPr>
          <w:b/>
          <w:bCs/>
          <w:i/>
          <w:iCs/>
          <w:noProof/>
        </w:rPr>
      </w:pPr>
      <w:r w:rsidRPr="006F47E4">
        <w:rPr>
          <w:b/>
          <w:i/>
          <w:noProof/>
        </w:rPr>
        <w:t>Evaluarea pozitivă</w:t>
      </w:r>
    </w:p>
    <w:p w:rsidR="00007F85" w:rsidRPr="006F47E4" w:rsidRDefault="00007F85" w:rsidP="00007F85">
      <w:pPr>
        <w:pStyle w:val="ManualConsidrant"/>
        <w:rPr>
          <w:rFonts w:eastAsia="Times New Roman"/>
          <w:noProof/>
        </w:rPr>
      </w:pPr>
      <w:r>
        <w:rPr>
          <w:noProof/>
        </w:rPr>
        <w:t>(20)</w:t>
      </w:r>
      <w:r>
        <w:rPr>
          <w:noProof/>
        </w:rPr>
        <w:tab/>
      </w:r>
      <w:r w:rsidRPr="006F47E4">
        <w:rPr>
          <w:noProof/>
        </w:rPr>
        <w:t>În urma evaluării pozitive de către Comisie a planului de redresare și reziliență modificat, cu constatarea că planul de redresare și reziliență îndeplinește în mod satisfăcător criteriile de evaluare prevăzute în Regulamentul (UE) 2021/241, în conformitate cu articolul 20 alineatul (2) din regulamentul respectiv și cu anexa V la acesta, ar trebui să fie stabilite reformele și proiectele de investiții necesare pentru punerea în aplicare a planului de redresare și reziliență modificat, jaloanele, țintele și indicatorii relevanți, precum și cuantumul pus la dispoziție de Uniune pentru punerea în aplicare a planului de redresare și reziliență modificat.</w:t>
      </w:r>
    </w:p>
    <w:p w:rsidR="00007F85" w:rsidRPr="006F47E4" w:rsidRDefault="00007F85" w:rsidP="5BCF340D">
      <w:pPr>
        <w:rPr>
          <w:b/>
          <w:bCs/>
          <w:i/>
          <w:iCs/>
          <w:noProof/>
        </w:rPr>
      </w:pPr>
      <w:r w:rsidRPr="006F47E4">
        <w:rPr>
          <w:b/>
          <w:i/>
          <w:noProof/>
        </w:rPr>
        <w:t>Contribuția financiară</w:t>
      </w:r>
    </w:p>
    <w:p w:rsidR="00007F85" w:rsidRPr="006F47E4" w:rsidRDefault="00007F85" w:rsidP="0034327E">
      <w:pPr>
        <w:pStyle w:val="ManualConsidrant"/>
        <w:rPr>
          <w:noProof/>
        </w:rPr>
      </w:pPr>
      <w:r>
        <w:rPr>
          <w:noProof/>
        </w:rPr>
        <w:t>(21)</w:t>
      </w:r>
      <w:r>
        <w:rPr>
          <w:noProof/>
        </w:rPr>
        <w:tab/>
      </w:r>
      <w:r w:rsidRPr="006F47E4">
        <w:rPr>
          <w:noProof/>
        </w:rPr>
        <w:t>Costul total estimat al planului de redresare și reziliență modificat al Poloniei este de 54 718 157 234 EUR. Întrucât cuantumul costului total estimat al planului de redresare și reziliență modificat este mai mare decât contribuția financiară maximă actualizată disponibilă pentru Polonia, contribuția financiară stabilită în conformitate cu articolul</w:t>
      </w:r>
      <w:r w:rsidR="00376B47">
        <w:rPr>
          <w:noProof/>
        </w:rPr>
        <w:t> </w:t>
      </w:r>
      <w:r w:rsidRPr="006F47E4">
        <w:rPr>
          <w:noProof/>
        </w:rPr>
        <w:t>4a din Regulamentul (UE) 2021/1755 al Parlamentului European și al Consiliului</w:t>
      </w:r>
      <w:r w:rsidRPr="006F47E4">
        <w:rPr>
          <w:rStyle w:val="FootnoteReference"/>
          <w:noProof/>
        </w:rPr>
        <w:footnoteReference w:id="9"/>
      </w:r>
      <w:r w:rsidRPr="006F47E4">
        <w:rPr>
          <w:noProof/>
        </w:rPr>
        <w:t xml:space="preserve"> și cu articolul 20 alineatul (4) și articolul 21a alineatul (6) din Regulamentul (UE) 2021/241 alocată planului de redresare și reziliență modificat al Poloniei ar trebui să fie egală cu 25 276 853 716 EUR. Prin urmare, contribuția financiară pusă la dispoziția Poloniei rămâne neschimbată.</w:t>
      </w:r>
    </w:p>
    <w:p w:rsidR="00007F85" w:rsidRPr="006F47E4" w:rsidRDefault="00007F85" w:rsidP="5BCF340D">
      <w:pPr>
        <w:rPr>
          <w:b/>
          <w:bCs/>
          <w:i/>
          <w:iCs/>
          <w:noProof/>
        </w:rPr>
      </w:pPr>
      <w:r w:rsidRPr="006F47E4">
        <w:rPr>
          <w:b/>
          <w:i/>
          <w:noProof/>
        </w:rPr>
        <w:t>Împrumuturi</w:t>
      </w:r>
    </w:p>
    <w:p w:rsidR="00007F85" w:rsidRPr="006F47E4" w:rsidRDefault="00007F85" w:rsidP="545F05A5">
      <w:pPr>
        <w:pStyle w:val="ManualConsidrant"/>
        <w:rPr>
          <w:noProof/>
        </w:rPr>
      </w:pPr>
      <w:r>
        <w:rPr>
          <w:noProof/>
        </w:rPr>
        <w:t>(22)</w:t>
      </w:r>
      <w:r>
        <w:rPr>
          <w:noProof/>
        </w:rPr>
        <w:tab/>
      </w:r>
      <w:r w:rsidRPr="006F47E4">
        <w:rPr>
          <w:noProof/>
        </w:rPr>
        <w:t xml:space="preserve">Sprijinul sub formă de împrumut pus la dispoziția Poloniei, în valoare de 29 441 303 518 EUR, rămâne neschimbat. </w:t>
      </w:r>
    </w:p>
    <w:p w:rsidR="6DBECD11" w:rsidRPr="006F47E4" w:rsidRDefault="6DBECD11" w:rsidP="545F05A5">
      <w:pPr>
        <w:pStyle w:val="ManualConsidrant"/>
        <w:rPr>
          <w:rFonts w:eastAsia="Times New Roman"/>
          <w:noProof/>
        </w:rPr>
      </w:pPr>
      <w:r>
        <w:rPr>
          <w:noProof/>
        </w:rPr>
        <w:t>(23)</w:t>
      </w:r>
      <w:r>
        <w:rPr>
          <w:noProof/>
        </w:rPr>
        <w:tab/>
      </w:r>
      <w:r w:rsidRPr="006F47E4">
        <w:rPr>
          <w:noProof/>
        </w:rPr>
        <w:t>Prin urmare, Decizia de punere în aplicare a Consiliului din 17 iunie 2022 ar trebui să fie modificată în consecință. Din motive de claritate, anexa la Decizia de punere în aplicare a Consiliului din 17 iunie 2022 ar trebui să fie înlocuită în întregime.</w:t>
      </w:r>
    </w:p>
    <w:p w:rsidR="00CD54FA" w:rsidRPr="006F47E4" w:rsidRDefault="00CD54FA" w:rsidP="00AC40B8">
      <w:pPr>
        <w:pStyle w:val="ManualConsidrant"/>
        <w:rPr>
          <w:noProof/>
        </w:rPr>
      </w:pPr>
      <w:r>
        <w:rPr>
          <w:noProof/>
        </w:rPr>
        <w:t>(24)</w:t>
      </w:r>
      <w:r>
        <w:rPr>
          <w:noProof/>
        </w:rPr>
        <w:tab/>
      </w:r>
      <w:r w:rsidRPr="006F47E4">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este posibil să fie întreprinse, în special în temeiul articolelor 107 și 108 din tratat. Decizia nu prevalează asupra cerinței ca statele membre să notifice Comisiei potențialele ajutoare de stat în temeiul articolului 108 din tratat,</w:t>
      </w:r>
    </w:p>
    <w:p w:rsidR="00007F85" w:rsidRPr="006F47E4" w:rsidRDefault="00007F85" w:rsidP="00007F85">
      <w:pPr>
        <w:pStyle w:val="Formuledadoption"/>
        <w:rPr>
          <w:noProof/>
        </w:rPr>
      </w:pPr>
      <w:r w:rsidRPr="006F47E4">
        <w:rPr>
          <w:noProof/>
        </w:rPr>
        <w:t xml:space="preserve">ADOPTĂ PREZENTA DECIZIE: </w:t>
      </w:r>
    </w:p>
    <w:p w:rsidR="00007F85" w:rsidRPr="006F47E4" w:rsidRDefault="00007F85" w:rsidP="00007F85">
      <w:pPr>
        <w:pStyle w:val="Titrearticle"/>
        <w:rPr>
          <w:noProof/>
        </w:rPr>
      </w:pPr>
      <w:r w:rsidRPr="006F47E4">
        <w:rPr>
          <w:noProof/>
        </w:rPr>
        <w:t xml:space="preserve">Articolul 1 </w:t>
      </w:r>
      <w:r w:rsidRPr="006F47E4">
        <w:rPr>
          <w:noProof/>
        </w:rPr>
        <w:br/>
        <w:t>Aprobarea evaluării planului de redresare și reziliență</w:t>
      </w:r>
    </w:p>
    <w:p w:rsidR="00007F85" w:rsidRPr="006F47E4" w:rsidRDefault="00007F85" w:rsidP="00007F85">
      <w:pPr>
        <w:rPr>
          <w:rFonts w:eastAsia="Times New Roman"/>
          <w:noProof/>
        </w:rPr>
      </w:pPr>
      <w:r w:rsidRPr="006F47E4">
        <w:rPr>
          <w:noProof/>
        </w:rPr>
        <w:t xml:space="preserve">Se aprobă evaluarea planului de redresare și reziliență modificat al Poloniei pe baza criteriilor prevăzute la articolul 19 alineatul (3) din Regulamentul (UE) 2021/241. </w:t>
      </w:r>
    </w:p>
    <w:p w:rsidR="00007F85" w:rsidRPr="006F47E4" w:rsidRDefault="00007F85" w:rsidP="00007F85">
      <w:pPr>
        <w:pStyle w:val="Titrearticle"/>
        <w:rPr>
          <w:noProof/>
        </w:rPr>
      </w:pPr>
      <w:r w:rsidRPr="006F47E4">
        <w:rPr>
          <w:noProof/>
        </w:rPr>
        <w:t xml:space="preserve">Articolul 2 </w:t>
      </w:r>
      <w:r w:rsidRPr="006F47E4">
        <w:rPr>
          <w:noProof/>
        </w:rPr>
        <w:br/>
        <w:t>Modificări</w:t>
      </w:r>
    </w:p>
    <w:p w:rsidR="0034327E" w:rsidRPr="006F47E4" w:rsidRDefault="00007F85" w:rsidP="0034327E">
      <w:pPr>
        <w:rPr>
          <w:noProof/>
        </w:rPr>
      </w:pPr>
      <w:r w:rsidRPr="006F47E4">
        <w:rPr>
          <w:noProof/>
        </w:rPr>
        <w:t xml:space="preserve">Decizia de punere în aplicare a Consiliului din 17 iunie 2022 de aprobare a evaluării planului de redresare și reziliență al Poloniei se modifică după cum urmează: </w:t>
      </w:r>
    </w:p>
    <w:p w:rsidR="00007F85" w:rsidRPr="006F47E4" w:rsidRDefault="00007F85" w:rsidP="009A0DBC">
      <w:pPr>
        <w:rPr>
          <w:noProof/>
        </w:rPr>
      </w:pPr>
      <w:r w:rsidRPr="006F47E4">
        <w:rPr>
          <w:noProof/>
        </w:rPr>
        <w:t>Anexa se înlocuiește cu textul care figurează în anexa la prezenta decizie.</w:t>
      </w:r>
    </w:p>
    <w:p w:rsidR="00007F85" w:rsidRPr="006F47E4" w:rsidRDefault="00007F85" w:rsidP="00E50BF8">
      <w:pPr>
        <w:pStyle w:val="Titrearticle"/>
        <w:rPr>
          <w:noProof/>
        </w:rPr>
      </w:pPr>
      <w:r w:rsidRPr="006F47E4">
        <w:rPr>
          <w:noProof/>
        </w:rPr>
        <w:t xml:space="preserve">Articolul 3 </w:t>
      </w:r>
      <w:r w:rsidRPr="006F47E4">
        <w:rPr>
          <w:noProof/>
        </w:rPr>
        <w:br/>
        <w:t>Destinatar</w:t>
      </w:r>
    </w:p>
    <w:p w:rsidR="00007F85" w:rsidRPr="006F47E4" w:rsidRDefault="00007F85" w:rsidP="00007F85">
      <w:pPr>
        <w:rPr>
          <w:noProof/>
        </w:rPr>
      </w:pPr>
      <w:r w:rsidRPr="006F47E4">
        <w:rPr>
          <w:noProof/>
        </w:rPr>
        <w:t>Prezenta decizie se adresează Republicii Polone.</w:t>
      </w:r>
    </w:p>
    <w:p w:rsidR="00007F85" w:rsidRPr="006F47E4" w:rsidRDefault="006F47E4" w:rsidP="00E50BF8">
      <w:pPr>
        <w:pStyle w:val="Fait"/>
        <w:rPr>
          <w:noProof/>
        </w:rPr>
      </w:pPr>
      <w:r>
        <w:rPr>
          <w:noProof/>
        </w:rPr>
        <w:t>Adoptată la Bruxelles,</w:t>
      </w:r>
    </w:p>
    <w:p w:rsidR="00007F85" w:rsidRPr="006F47E4" w:rsidRDefault="00007F85" w:rsidP="00E50BF8">
      <w:pPr>
        <w:pStyle w:val="Institutionquisigne"/>
        <w:rPr>
          <w:noProof/>
        </w:rPr>
      </w:pPr>
      <w:r w:rsidRPr="006F47E4">
        <w:rPr>
          <w:noProof/>
        </w:rPr>
        <w:tab/>
        <w:t>Pentru Consiliu</w:t>
      </w:r>
    </w:p>
    <w:p w:rsidR="002709B6" w:rsidRPr="006F47E4" w:rsidRDefault="00007F85" w:rsidP="00A1233B">
      <w:pPr>
        <w:pStyle w:val="Personnequisigne"/>
        <w:rPr>
          <w:noProof/>
          <w:color w:val="008000"/>
        </w:rPr>
      </w:pPr>
      <w:r w:rsidRPr="006F47E4">
        <w:rPr>
          <w:noProof/>
        </w:rPr>
        <w:tab/>
        <w:t>Președintele</w:t>
      </w:r>
    </w:p>
    <w:sectPr w:rsidR="002709B6" w:rsidRPr="006F47E4" w:rsidSect="00E23BD9">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319" w:rsidRDefault="00465319">
      <w:pPr>
        <w:spacing w:before="0" w:after="0"/>
      </w:pPr>
      <w:r>
        <w:separator/>
      </w:r>
    </w:p>
  </w:endnote>
  <w:endnote w:type="continuationSeparator" w:id="0">
    <w:p w:rsidR="00465319" w:rsidRDefault="00465319">
      <w:pPr>
        <w:spacing w:before="0" w:after="0"/>
      </w:pPr>
      <w:r>
        <w:continuationSeparator/>
      </w:r>
    </w:p>
  </w:endnote>
  <w:endnote w:type="continuationNotice" w:id="1">
    <w:p w:rsidR="00465319" w:rsidRDefault="0046531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BD9" w:rsidRPr="00E23BD9" w:rsidRDefault="00E23BD9" w:rsidP="00E23BD9">
    <w:pPr>
      <w:pStyle w:val="Footer"/>
      <w:rPr>
        <w:rFonts w:ascii="Arial" w:hAnsi="Arial" w:cs="Arial"/>
        <w:b/>
        <w:sz w:val="48"/>
      </w:rPr>
    </w:pPr>
    <w:r w:rsidRPr="00E23BD9">
      <w:rPr>
        <w:rFonts w:ascii="Arial" w:hAnsi="Arial" w:cs="Arial"/>
        <w:b/>
        <w:sz w:val="48"/>
      </w:rPr>
      <w:t>RO</w:t>
    </w:r>
    <w:r w:rsidRPr="00E23BD9">
      <w:rPr>
        <w:rFonts w:ascii="Arial" w:hAnsi="Arial" w:cs="Arial"/>
        <w:b/>
        <w:sz w:val="48"/>
      </w:rPr>
      <w:tab/>
    </w:r>
    <w:r w:rsidRPr="00E23BD9">
      <w:rPr>
        <w:rFonts w:ascii="Arial" w:hAnsi="Arial" w:cs="Arial"/>
        <w:b/>
        <w:sz w:val="48"/>
      </w:rPr>
      <w:tab/>
    </w:r>
    <w:r w:rsidRPr="00E23BD9">
      <w:tab/>
    </w:r>
    <w:r w:rsidRPr="00E23BD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BD9" w:rsidRPr="00E23BD9" w:rsidRDefault="00E23BD9" w:rsidP="00E23BD9">
    <w:pPr>
      <w:pStyle w:val="Footer"/>
      <w:rPr>
        <w:rFonts w:ascii="Arial" w:hAnsi="Arial" w:cs="Arial"/>
        <w:b/>
        <w:sz w:val="48"/>
      </w:rPr>
    </w:pPr>
    <w:r w:rsidRPr="00E23BD9">
      <w:rPr>
        <w:rFonts w:ascii="Arial" w:hAnsi="Arial" w:cs="Arial"/>
        <w:b/>
        <w:sz w:val="48"/>
      </w:rPr>
      <w:t>RO</w:t>
    </w:r>
    <w:r w:rsidRPr="00E23BD9">
      <w:rPr>
        <w:rFonts w:ascii="Arial" w:hAnsi="Arial" w:cs="Arial"/>
        <w:b/>
        <w:sz w:val="48"/>
      </w:rPr>
      <w:tab/>
    </w:r>
    <w:r w:rsidRPr="00E23BD9">
      <w:rPr>
        <w:rFonts w:ascii="Arial" w:hAnsi="Arial" w:cs="Arial"/>
        <w:b/>
        <w:sz w:val="48"/>
      </w:rPr>
      <w:tab/>
    </w:r>
    <w:r w:rsidRPr="00E23BD9">
      <w:tab/>
    </w:r>
    <w:r w:rsidRPr="00E23BD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BD9" w:rsidRPr="00E23BD9" w:rsidRDefault="00E23BD9" w:rsidP="00E23BD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BD9" w:rsidRDefault="00E23BD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BD9" w:rsidRPr="00E23BD9" w:rsidRDefault="00E23BD9" w:rsidP="00E23BD9">
    <w:pPr>
      <w:pStyle w:val="Footer"/>
      <w:rPr>
        <w:rFonts w:ascii="Arial" w:hAnsi="Arial" w:cs="Arial"/>
        <w:b/>
        <w:sz w:val="48"/>
      </w:rPr>
    </w:pPr>
    <w:r w:rsidRPr="00E23BD9">
      <w:rPr>
        <w:rFonts w:ascii="Arial" w:hAnsi="Arial" w:cs="Arial"/>
        <w:b/>
        <w:sz w:val="48"/>
      </w:rPr>
      <w:t>RO</w:t>
    </w:r>
    <w:r w:rsidRPr="00E23BD9">
      <w:rPr>
        <w:rFonts w:ascii="Arial" w:hAnsi="Arial" w:cs="Arial"/>
        <w:b/>
        <w:sz w:val="48"/>
      </w:rPr>
      <w:tab/>
    </w:r>
    <w:r>
      <w:fldChar w:fldCharType="begin"/>
    </w:r>
    <w:r>
      <w:instrText xml:space="preserve"> PAGE  \* MERGEFORMAT </w:instrText>
    </w:r>
    <w:r>
      <w:fldChar w:fldCharType="separate"/>
    </w:r>
    <w:r w:rsidR="00E50BF8">
      <w:rPr>
        <w:noProof/>
      </w:rPr>
      <w:t>6</w:t>
    </w:r>
    <w:r>
      <w:fldChar w:fldCharType="end"/>
    </w:r>
    <w:r>
      <w:tab/>
    </w:r>
    <w:r w:rsidRPr="00E23BD9">
      <w:tab/>
    </w:r>
    <w:r w:rsidRPr="00E23BD9">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BD9" w:rsidRDefault="00E23BD9" w:rsidP="00E23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319" w:rsidRDefault="00465319">
      <w:pPr>
        <w:spacing w:before="0" w:after="0"/>
      </w:pPr>
      <w:r>
        <w:separator/>
      </w:r>
    </w:p>
  </w:footnote>
  <w:footnote w:type="continuationSeparator" w:id="0">
    <w:p w:rsidR="00465319" w:rsidRDefault="00465319">
      <w:pPr>
        <w:spacing w:before="0" w:after="0"/>
      </w:pPr>
      <w:r>
        <w:continuationSeparator/>
      </w:r>
    </w:p>
  </w:footnote>
  <w:footnote w:type="continuationNotice" w:id="1">
    <w:p w:rsidR="00465319" w:rsidRDefault="00465319">
      <w:pPr>
        <w:spacing w:before="0" w:after="0"/>
      </w:pPr>
    </w:p>
  </w:footnote>
  <w:footnote w:id="2">
    <w:p w:rsidR="00487751" w:rsidRPr="007849D1" w:rsidRDefault="00487751" w:rsidP="00487751">
      <w:pPr>
        <w:pStyle w:val="FootnoteText"/>
      </w:pPr>
      <w:r>
        <w:rPr>
          <w:rStyle w:val="FootnoteReference"/>
        </w:rPr>
        <w:footnoteRef/>
      </w:r>
      <w:r>
        <w:tab/>
        <w:t xml:space="preserve">JO L 57, 18.2.2021, p. 17, ELI: </w:t>
      </w:r>
      <w:hyperlink r:id="rId1" w:history="1">
        <w:r>
          <w:rPr>
            <w:rStyle w:val="Hyperlink"/>
          </w:rPr>
          <w:t>https://eur-lex.europa.eu/eli/reg/2021/241/oj</w:t>
        </w:r>
      </w:hyperlink>
      <w:r>
        <w:t>.</w:t>
      </w:r>
    </w:p>
  </w:footnote>
  <w:footnote w:id="3">
    <w:p w:rsidR="00D34478" w:rsidRPr="006D28E4" w:rsidRDefault="00D34478" w:rsidP="7565D7AB">
      <w:pPr>
        <w:pStyle w:val="FootnoteText"/>
      </w:pPr>
      <w:r>
        <w:rPr>
          <w:rStyle w:val="FootnoteReference"/>
        </w:rPr>
        <w:footnoteRef/>
      </w:r>
      <w:r>
        <w:tab/>
      </w:r>
      <w:r>
        <w:rPr>
          <w:color w:val="000000" w:themeColor="text1"/>
        </w:rPr>
        <w:t>ST 9728/22 INIT; ST 9728/22 ADD 1.</w:t>
      </w:r>
      <w:r>
        <w:tab/>
      </w:r>
    </w:p>
  </w:footnote>
  <w:footnote w:id="4">
    <w:p w:rsidR="7565D7AB" w:rsidRPr="007849D1" w:rsidRDefault="7565D7AB" w:rsidP="7565D7AB">
      <w:pPr>
        <w:pStyle w:val="FootnoteText"/>
        <w:rPr>
          <w:rFonts w:eastAsia="Times New Roman"/>
          <w:color w:val="000000" w:themeColor="text1"/>
        </w:rPr>
      </w:pPr>
      <w:r>
        <w:rPr>
          <w:rStyle w:val="FootnoteReference"/>
        </w:rPr>
        <w:footnoteRef/>
      </w:r>
      <w:r>
        <w:tab/>
      </w:r>
      <w:r>
        <w:rPr>
          <w:color w:val="000000" w:themeColor="text1"/>
        </w:rPr>
        <w:t>ST 15835/23 INIT; ST 15835/23 REV1; ST 15835/23 ADD 1.</w:t>
      </w:r>
    </w:p>
  </w:footnote>
  <w:footnote w:id="5">
    <w:p w:rsidR="7565D7AB" w:rsidRPr="007849D1" w:rsidRDefault="7565D7AB" w:rsidP="7565D7AB">
      <w:pPr>
        <w:pStyle w:val="FootnoteText"/>
        <w:rPr>
          <w:rFonts w:eastAsia="Times New Roman"/>
          <w:color w:val="000000" w:themeColor="text1"/>
        </w:rPr>
      </w:pPr>
      <w:r>
        <w:rPr>
          <w:rStyle w:val="FootnoteReference"/>
        </w:rPr>
        <w:footnoteRef/>
      </w:r>
      <w:r>
        <w:tab/>
      </w:r>
      <w:r>
        <w:rPr>
          <w:color w:val="000000" w:themeColor="text1"/>
        </w:rPr>
        <w:t>ST 11805/24 INIT; ST 11805/24 ADD 1.</w:t>
      </w:r>
    </w:p>
  </w:footnote>
  <w:footnote w:id="6">
    <w:p w:rsidR="7565D7AB" w:rsidRPr="007849D1" w:rsidRDefault="7565D7AB" w:rsidP="7565D7AB">
      <w:pPr>
        <w:pStyle w:val="FootnoteText"/>
        <w:rPr>
          <w:rFonts w:eastAsia="Times New Roman"/>
          <w:color w:val="000000" w:themeColor="text1"/>
        </w:rPr>
      </w:pPr>
      <w:r>
        <w:rPr>
          <w:rStyle w:val="FootnoteReference"/>
        </w:rPr>
        <w:footnoteRef/>
      </w:r>
      <w:r>
        <w:tab/>
      </w:r>
      <w:r>
        <w:rPr>
          <w:color w:val="000000" w:themeColor="text1"/>
        </w:rPr>
        <w:t>ST 9590/25 INIT; ST 9590/25 ADD 1.</w:t>
      </w:r>
    </w:p>
  </w:footnote>
  <w:footnote w:id="7">
    <w:p w:rsidR="7565D7AB" w:rsidRDefault="7565D7AB" w:rsidP="7565D7AB">
      <w:pPr>
        <w:pStyle w:val="FootnoteText"/>
      </w:pPr>
      <w:r>
        <w:rPr>
          <w:rStyle w:val="FootnoteReference"/>
        </w:rPr>
        <w:footnoteRef/>
      </w:r>
      <w:r>
        <w:tab/>
      </w:r>
      <w:r>
        <w:rPr>
          <w:color w:val="000000" w:themeColor="text1"/>
        </w:rPr>
        <w:t>ST 15795/25 INIT; ST 15795/25 ADD 1; ST 15795/25 REV 1 (pl).</w:t>
      </w:r>
    </w:p>
  </w:footnote>
  <w:footnote w:id="8">
    <w:p w:rsidR="00814720" w:rsidRPr="006F47E4" w:rsidRDefault="00814720">
      <w:pPr>
        <w:pStyle w:val="FootnoteText"/>
        <w:rPr>
          <w:lang w:val="fr-BE"/>
        </w:rPr>
      </w:pPr>
      <w:r>
        <w:rPr>
          <w:rStyle w:val="FootnoteReference"/>
        </w:rPr>
        <w:footnoteRef/>
      </w:r>
      <w:r w:rsidRPr="006F47E4">
        <w:rPr>
          <w:lang w:val="fr-BE"/>
        </w:rPr>
        <w:tab/>
        <w:t>Regulamentul (UE) 2018/1999 al Parlamentului European și al Consiliului din 11 decembrie 2018 privind guvernanța uniunii energetice și a acțiunilor climatice, de modificare a Regulamentelor (CE) nr. 663/2009 și (CE) nr. 715/2009 ale Parlamentului European și ale Consiliului, a Directivelor</w:t>
      </w:r>
      <w:r w:rsidR="00376B47">
        <w:rPr>
          <w:lang w:val="fr-BE"/>
        </w:rPr>
        <w:t> </w:t>
      </w:r>
      <w:r w:rsidRPr="006F47E4">
        <w:rPr>
          <w:lang w:val="fr-BE"/>
        </w:rPr>
        <w:t>94/22/CE, 98/70/CE, 2009/31/CE, 2009/73/CE, 2010/31/UE, 2012/27/UE și 2013/30/UE ale Parlamentului European și ale Consiliului, a Directivelor 2009/119/CE și (UE) 2015/652 ale Consiliului și de abrogare a Regulamentului (UE) nr. 525/2013 al Parlamentului European și al Consiliului (JO L 328, 21.12.2018, p. 1, ELI: http://data.europa.eu/eli/reg/2018/1999/oj). </w:t>
      </w:r>
    </w:p>
  </w:footnote>
  <w:footnote w:id="9">
    <w:p w:rsidR="00610B51" w:rsidRPr="006F47E4" w:rsidRDefault="00610B51" w:rsidP="00610B51">
      <w:pPr>
        <w:pStyle w:val="FootnoteText"/>
        <w:rPr>
          <w:lang w:val="fr-BE"/>
        </w:rPr>
      </w:pPr>
      <w:r>
        <w:rPr>
          <w:rStyle w:val="FootnoteReference"/>
        </w:rPr>
        <w:footnoteRef/>
      </w:r>
      <w:r w:rsidRPr="006F47E4">
        <w:rPr>
          <w:lang w:val="fr-BE"/>
        </w:rPr>
        <w:tab/>
        <w:t>Regulamentul (UE) 2021/1755 al Parlamentului European și al Consiliului din 6 octombrie 2021 de înființare a rezervei de ajustare la Brexit (JO L 357, 8.10.2021, p. 1, ELI: http://data.europa.eu/eli/reg/2021/1755/oj).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BD9" w:rsidRPr="00E23BD9" w:rsidRDefault="00E23BD9" w:rsidP="00E23B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BD9" w:rsidRPr="00E23BD9" w:rsidRDefault="00E23BD9" w:rsidP="00E23B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BD9" w:rsidRPr="00E23BD9" w:rsidRDefault="00E23BD9" w:rsidP="00E23B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BD9" w:rsidRDefault="00E23B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BD9" w:rsidRDefault="00E23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5-28 14:42: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31904E70-2F9B-4337-8E9E-98357ADE8A79"/>
    <w:docVar w:name="LW_COVERPAGE_TYPE" w:val="1"/>
    <w:docVar w:name="LW_CROSSREFERENCE" w:val="{SWD(2026) 136 final}"/>
    <w:docVar w:name="LW_DocType" w:val="COM"/>
    <w:docVar w:name="LW_EMISSION" w:val="20.5.2026"/>
    <w:docVar w:name="LW_EMISSION_ISODATE" w:val="2026-05-20"/>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32"/>
    <w:docVar w:name="LW_REF.II.NEW.CP_YEAR" w:val="2026"/>
    <w:docVar w:name="LW_REF.INST.NEW" w:val="COM"/>
    <w:docVar w:name="LW_REF.INST.NEW_ADOPTED" w:val="final"/>
    <w:docVar w:name="LW_REF.INST.NEW_TEXT" w:val="(2026) 25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7 iunie 2022 de aprobare a evalu\u259?rii planului de redresare \u537?i rezilien\u539?\u259? al Polon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77E"/>
    <w:rsid w:val="00007B7B"/>
    <w:rsid w:val="00007F85"/>
    <w:rsid w:val="0001003F"/>
    <w:rsid w:val="00010181"/>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230"/>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FED"/>
    <w:rsid w:val="000302ED"/>
    <w:rsid w:val="00030622"/>
    <w:rsid w:val="00030B2A"/>
    <w:rsid w:val="00030C0F"/>
    <w:rsid w:val="00030D27"/>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6AB"/>
    <w:rsid w:val="000758FF"/>
    <w:rsid w:val="00075996"/>
    <w:rsid w:val="00075C19"/>
    <w:rsid w:val="00075CFD"/>
    <w:rsid w:val="00075F3B"/>
    <w:rsid w:val="0007606C"/>
    <w:rsid w:val="00076173"/>
    <w:rsid w:val="0007660E"/>
    <w:rsid w:val="000769D4"/>
    <w:rsid w:val="00076B95"/>
    <w:rsid w:val="0007732A"/>
    <w:rsid w:val="000773B0"/>
    <w:rsid w:val="000773D6"/>
    <w:rsid w:val="000778A9"/>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542"/>
    <w:rsid w:val="0009356A"/>
    <w:rsid w:val="000935D2"/>
    <w:rsid w:val="00093B27"/>
    <w:rsid w:val="00093D41"/>
    <w:rsid w:val="00093D56"/>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F6"/>
    <w:rsid w:val="000B78E3"/>
    <w:rsid w:val="000B7949"/>
    <w:rsid w:val="000B7BD0"/>
    <w:rsid w:val="000B7C9C"/>
    <w:rsid w:val="000B7F4D"/>
    <w:rsid w:val="000C0338"/>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3014"/>
    <w:rsid w:val="000C30C3"/>
    <w:rsid w:val="000C30E9"/>
    <w:rsid w:val="000C35C2"/>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955"/>
    <w:rsid w:val="000D2A9D"/>
    <w:rsid w:val="000D2B21"/>
    <w:rsid w:val="000D2DA5"/>
    <w:rsid w:val="000D2EDB"/>
    <w:rsid w:val="000D2FF2"/>
    <w:rsid w:val="000D3147"/>
    <w:rsid w:val="000D3576"/>
    <w:rsid w:val="000D3581"/>
    <w:rsid w:val="000D35ED"/>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1576"/>
    <w:rsid w:val="000E1672"/>
    <w:rsid w:val="000E1797"/>
    <w:rsid w:val="000E1807"/>
    <w:rsid w:val="000E194C"/>
    <w:rsid w:val="000E197C"/>
    <w:rsid w:val="000E19B8"/>
    <w:rsid w:val="000E1AC3"/>
    <w:rsid w:val="000E1D5C"/>
    <w:rsid w:val="000E2065"/>
    <w:rsid w:val="000E247B"/>
    <w:rsid w:val="000E2A5C"/>
    <w:rsid w:val="000E2E68"/>
    <w:rsid w:val="000E3000"/>
    <w:rsid w:val="000E3075"/>
    <w:rsid w:val="000E3699"/>
    <w:rsid w:val="000E3788"/>
    <w:rsid w:val="000E3816"/>
    <w:rsid w:val="000E389C"/>
    <w:rsid w:val="000E391C"/>
    <w:rsid w:val="000E3DD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082"/>
    <w:rsid w:val="00113182"/>
    <w:rsid w:val="00113291"/>
    <w:rsid w:val="001132CC"/>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3C4"/>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42A6"/>
    <w:rsid w:val="00144566"/>
    <w:rsid w:val="00144620"/>
    <w:rsid w:val="0014492F"/>
    <w:rsid w:val="001451FD"/>
    <w:rsid w:val="001455DA"/>
    <w:rsid w:val="0014569B"/>
    <w:rsid w:val="001458F3"/>
    <w:rsid w:val="00145B07"/>
    <w:rsid w:val="00145C90"/>
    <w:rsid w:val="001462E6"/>
    <w:rsid w:val="00146359"/>
    <w:rsid w:val="001464E3"/>
    <w:rsid w:val="001466E4"/>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511E"/>
    <w:rsid w:val="00155321"/>
    <w:rsid w:val="00155365"/>
    <w:rsid w:val="0015540C"/>
    <w:rsid w:val="001555F3"/>
    <w:rsid w:val="0015583E"/>
    <w:rsid w:val="00155906"/>
    <w:rsid w:val="001561E0"/>
    <w:rsid w:val="001562AC"/>
    <w:rsid w:val="001565DF"/>
    <w:rsid w:val="00157041"/>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A05"/>
    <w:rsid w:val="00171F67"/>
    <w:rsid w:val="0017230B"/>
    <w:rsid w:val="00172A15"/>
    <w:rsid w:val="00172C4B"/>
    <w:rsid w:val="00172D43"/>
    <w:rsid w:val="00172DF9"/>
    <w:rsid w:val="00172F7D"/>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88D"/>
    <w:rsid w:val="001A292F"/>
    <w:rsid w:val="001A2DB5"/>
    <w:rsid w:val="001A2EA4"/>
    <w:rsid w:val="001A3025"/>
    <w:rsid w:val="001A31D3"/>
    <w:rsid w:val="001A3494"/>
    <w:rsid w:val="001A36F9"/>
    <w:rsid w:val="001A388C"/>
    <w:rsid w:val="001A39A3"/>
    <w:rsid w:val="001A3AA2"/>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8F0"/>
    <w:rsid w:val="001C1903"/>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97B"/>
    <w:rsid w:val="001C5E26"/>
    <w:rsid w:val="001C5E47"/>
    <w:rsid w:val="001C5FBE"/>
    <w:rsid w:val="001C60A7"/>
    <w:rsid w:val="001C63DA"/>
    <w:rsid w:val="001C63E6"/>
    <w:rsid w:val="001C6526"/>
    <w:rsid w:val="001C6974"/>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341"/>
    <w:rsid w:val="001D4427"/>
    <w:rsid w:val="001D4554"/>
    <w:rsid w:val="001D465B"/>
    <w:rsid w:val="001D483C"/>
    <w:rsid w:val="001D49E4"/>
    <w:rsid w:val="001D4B2F"/>
    <w:rsid w:val="001D4CDA"/>
    <w:rsid w:val="001D4D52"/>
    <w:rsid w:val="001D4E1E"/>
    <w:rsid w:val="001D554F"/>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A80"/>
    <w:rsid w:val="001E5C1E"/>
    <w:rsid w:val="001E5C86"/>
    <w:rsid w:val="001E5CB9"/>
    <w:rsid w:val="001E5DEF"/>
    <w:rsid w:val="001E6208"/>
    <w:rsid w:val="001E621A"/>
    <w:rsid w:val="001E62A7"/>
    <w:rsid w:val="001E6713"/>
    <w:rsid w:val="001E6809"/>
    <w:rsid w:val="001E68A5"/>
    <w:rsid w:val="001E6942"/>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EB3"/>
    <w:rsid w:val="001F2FBE"/>
    <w:rsid w:val="001F30BC"/>
    <w:rsid w:val="001F3316"/>
    <w:rsid w:val="001F3476"/>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CA"/>
    <w:rsid w:val="001F5B07"/>
    <w:rsid w:val="001F5DD5"/>
    <w:rsid w:val="001F5DD9"/>
    <w:rsid w:val="001F5E44"/>
    <w:rsid w:val="001F5E6D"/>
    <w:rsid w:val="001F5F13"/>
    <w:rsid w:val="001F6283"/>
    <w:rsid w:val="001F64C0"/>
    <w:rsid w:val="001F64C6"/>
    <w:rsid w:val="001F673A"/>
    <w:rsid w:val="001F6B1C"/>
    <w:rsid w:val="001F6C13"/>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41F"/>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AE2"/>
    <w:rsid w:val="00242D75"/>
    <w:rsid w:val="00242ECD"/>
    <w:rsid w:val="00242F38"/>
    <w:rsid w:val="00243849"/>
    <w:rsid w:val="002438FD"/>
    <w:rsid w:val="00243C5D"/>
    <w:rsid w:val="00243EC8"/>
    <w:rsid w:val="00244288"/>
    <w:rsid w:val="002442C9"/>
    <w:rsid w:val="00244366"/>
    <w:rsid w:val="002443CF"/>
    <w:rsid w:val="0024449C"/>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916"/>
    <w:rsid w:val="00250C5D"/>
    <w:rsid w:val="00250CF9"/>
    <w:rsid w:val="00250D63"/>
    <w:rsid w:val="002511F4"/>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32B4"/>
    <w:rsid w:val="0025358B"/>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73"/>
    <w:rsid w:val="0026694D"/>
    <w:rsid w:val="00266A6A"/>
    <w:rsid w:val="00266EDA"/>
    <w:rsid w:val="002671B4"/>
    <w:rsid w:val="0026743F"/>
    <w:rsid w:val="002674BA"/>
    <w:rsid w:val="00267585"/>
    <w:rsid w:val="0026767B"/>
    <w:rsid w:val="002677A6"/>
    <w:rsid w:val="002678FF"/>
    <w:rsid w:val="00267928"/>
    <w:rsid w:val="00270585"/>
    <w:rsid w:val="002705D0"/>
    <w:rsid w:val="00270745"/>
    <w:rsid w:val="0027075E"/>
    <w:rsid w:val="002709B6"/>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5F26"/>
    <w:rsid w:val="00296118"/>
    <w:rsid w:val="0029614F"/>
    <w:rsid w:val="0029617E"/>
    <w:rsid w:val="002961C8"/>
    <w:rsid w:val="00296559"/>
    <w:rsid w:val="00296756"/>
    <w:rsid w:val="00296A24"/>
    <w:rsid w:val="00296AE7"/>
    <w:rsid w:val="00296B26"/>
    <w:rsid w:val="00296C1C"/>
    <w:rsid w:val="00296D7D"/>
    <w:rsid w:val="00296E87"/>
    <w:rsid w:val="00296FB6"/>
    <w:rsid w:val="00297063"/>
    <w:rsid w:val="00297123"/>
    <w:rsid w:val="00297540"/>
    <w:rsid w:val="00297A9C"/>
    <w:rsid w:val="00297AAF"/>
    <w:rsid w:val="00297AC9"/>
    <w:rsid w:val="00297BC8"/>
    <w:rsid w:val="00297D0F"/>
    <w:rsid w:val="00297EA5"/>
    <w:rsid w:val="00297EF1"/>
    <w:rsid w:val="00297FA6"/>
    <w:rsid w:val="002A008E"/>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5"/>
    <w:rsid w:val="002B46F8"/>
    <w:rsid w:val="002B4811"/>
    <w:rsid w:val="002B4885"/>
    <w:rsid w:val="002B499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21C"/>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54A"/>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6"/>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C57"/>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2F9FCB"/>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CF1"/>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6E6"/>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32CB"/>
    <w:rsid w:val="0031330A"/>
    <w:rsid w:val="00313311"/>
    <w:rsid w:val="0031348E"/>
    <w:rsid w:val="00313943"/>
    <w:rsid w:val="00313BAD"/>
    <w:rsid w:val="00313BD2"/>
    <w:rsid w:val="00313BD6"/>
    <w:rsid w:val="00313E26"/>
    <w:rsid w:val="00313ED4"/>
    <w:rsid w:val="00313FF7"/>
    <w:rsid w:val="0031425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DB"/>
    <w:rsid w:val="003358AD"/>
    <w:rsid w:val="00335A8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7E"/>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10B2"/>
    <w:rsid w:val="00351180"/>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55B"/>
    <w:rsid w:val="00360648"/>
    <w:rsid w:val="0036088E"/>
    <w:rsid w:val="0036091D"/>
    <w:rsid w:val="00360A2B"/>
    <w:rsid w:val="00360AA3"/>
    <w:rsid w:val="00360B42"/>
    <w:rsid w:val="00360C24"/>
    <w:rsid w:val="00360D79"/>
    <w:rsid w:val="00360D7D"/>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4FE2"/>
    <w:rsid w:val="003750B3"/>
    <w:rsid w:val="0037513F"/>
    <w:rsid w:val="0037520B"/>
    <w:rsid w:val="0037546D"/>
    <w:rsid w:val="00375580"/>
    <w:rsid w:val="0037575C"/>
    <w:rsid w:val="00375AC3"/>
    <w:rsid w:val="00376016"/>
    <w:rsid w:val="0037609A"/>
    <w:rsid w:val="003763B7"/>
    <w:rsid w:val="00376765"/>
    <w:rsid w:val="003768BB"/>
    <w:rsid w:val="00376B3A"/>
    <w:rsid w:val="00376B47"/>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E0"/>
    <w:rsid w:val="00383584"/>
    <w:rsid w:val="00383691"/>
    <w:rsid w:val="0038397F"/>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4B5"/>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F9"/>
    <w:rsid w:val="003A6B0A"/>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2B6"/>
    <w:rsid w:val="003B08F1"/>
    <w:rsid w:val="003B0B0E"/>
    <w:rsid w:val="003B0BD4"/>
    <w:rsid w:val="003B0CC5"/>
    <w:rsid w:val="003B0E37"/>
    <w:rsid w:val="003B0F67"/>
    <w:rsid w:val="003B110B"/>
    <w:rsid w:val="003B1407"/>
    <w:rsid w:val="003B14D1"/>
    <w:rsid w:val="003B1521"/>
    <w:rsid w:val="003B1883"/>
    <w:rsid w:val="003B1A9D"/>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40E"/>
    <w:rsid w:val="003B76FB"/>
    <w:rsid w:val="003B776A"/>
    <w:rsid w:val="003B7A99"/>
    <w:rsid w:val="003B7FD4"/>
    <w:rsid w:val="003B7FD9"/>
    <w:rsid w:val="003C020C"/>
    <w:rsid w:val="003C07D7"/>
    <w:rsid w:val="003C0AFB"/>
    <w:rsid w:val="003C0FF5"/>
    <w:rsid w:val="003C1137"/>
    <w:rsid w:val="003C1150"/>
    <w:rsid w:val="003C138C"/>
    <w:rsid w:val="003C15B6"/>
    <w:rsid w:val="003C1715"/>
    <w:rsid w:val="003C1B5C"/>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6FC8"/>
    <w:rsid w:val="003D7077"/>
    <w:rsid w:val="003D70CC"/>
    <w:rsid w:val="003D720D"/>
    <w:rsid w:val="003D7287"/>
    <w:rsid w:val="003D72D2"/>
    <w:rsid w:val="003D7459"/>
    <w:rsid w:val="003D746B"/>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E5"/>
    <w:rsid w:val="003F1590"/>
    <w:rsid w:val="003F17A4"/>
    <w:rsid w:val="003F1950"/>
    <w:rsid w:val="003F1CFD"/>
    <w:rsid w:val="003F1D4C"/>
    <w:rsid w:val="003F1E9E"/>
    <w:rsid w:val="003F231D"/>
    <w:rsid w:val="003F2328"/>
    <w:rsid w:val="003F238E"/>
    <w:rsid w:val="003F266F"/>
    <w:rsid w:val="003F2CA4"/>
    <w:rsid w:val="003F2DA1"/>
    <w:rsid w:val="003F2E31"/>
    <w:rsid w:val="003F2F19"/>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BB"/>
    <w:rsid w:val="003F63DB"/>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6B7"/>
    <w:rsid w:val="004208CB"/>
    <w:rsid w:val="00420A1D"/>
    <w:rsid w:val="00420BCA"/>
    <w:rsid w:val="00420CD4"/>
    <w:rsid w:val="00421064"/>
    <w:rsid w:val="004214B4"/>
    <w:rsid w:val="00421597"/>
    <w:rsid w:val="00421675"/>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D3"/>
    <w:rsid w:val="00426A28"/>
    <w:rsid w:val="00426C30"/>
    <w:rsid w:val="00426CA4"/>
    <w:rsid w:val="00426E32"/>
    <w:rsid w:val="00426EF6"/>
    <w:rsid w:val="00427258"/>
    <w:rsid w:val="004272EE"/>
    <w:rsid w:val="0042736A"/>
    <w:rsid w:val="0042762C"/>
    <w:rsid w:val="004276DF"/>
    <w:rsid w:val="00427745"/>
    <w:rsid w:val="0042787E"/>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E34"/>
    <w:rsid w:val="00435E6B"/>
    <w:rsid w:val="00435FC2"/>
    <w:rsid w:val="00436897"/>
    <w:rsid w:val="004368EB"/>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72"/>
    <w:rsid w:val="0044550E"/>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C2F"/>
    <w:rsid w:val="00452C45"/>
    <w:rsid w:val="00452D01"/>
    <w:rsid w:val="004531E2"/>
    <w:rsid w:val="00453730"/>
    <w:rsid w:val="00453908"/>
    <w:rsid w:val="00453AEE"/>
    <w:rsid w:val="00453CCD"/>
    <w:rsid w:val="00453FA1"/>
    <w:rsid w:val="0045412B"/>
    <w:rsid w:val="004542B0"/>
    <w:rsid w:val="00454450"/>
    <w:rsid w:val="004546C7"/>
    <w:rsid w:val="00454C70"/>
    <w:rsid w:val="00454CD4"/>
    <w:rsid w:val="00454D07"/>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319"/>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C9"/>
    <w:rsid w:val="00473C1E"/>
    <w:rsid w:val="00473C67"/>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F4C"/>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86"/>
    <w:rsid w:val="004859CB"/>
    <w:rsid w:val="00485B5C"/>
    <w:rsid w:val="004860CF"/>
    <w:rsid w:val="00486144"/>
    <w:rsid w:val="004863CB"/>
    <w:rsid w:val="00486A81"/>
    <w:rsid w:val="00486D84"/>
    <w:rsid w:val="00487655"/>
    <w:rsid w:val="00487751"/>
    <w:rsid w:val="004878BF"/>
    <w:rsid w:val="004878CF"/>
    <w:rsid w:val="00487A02"/>
    <w:rsid w:val="00487AD9"/>
    <w:rsid w:val="00487C08"/>
    <w:rsid w:val="00487C11"/>
    <w:rsid w:val="00487E50"/>
    <w:rsid w:val="004900A4"/>
    <w:rsid w:val="004904FE"/>
    <w:rsid w:val="0049096E"/>
    <w:rsid w:val="004909AF"/>
    <w:rsid w:val="00490AB9"/>
    <w:rsid w:val="00490BB8"/>
    <w:rsid w:val="00490BD3"/>
    <w:rsid w:val="004910B8"/>
    <w:rsid w:val="004913A3"/>
    <w:rsid w:val="00491427"/>
    <w:rsid w:val="00491514"/>
    <w:rsid w:val="0049153B"/>
    <w:rsid w:val="004916D8"/>
    <w:rsid w:val="0049172F"/>
    <w:rsid w:val="0049177D"/>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4D2"/>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316"/>
    <w:rsid w:val="004B7349"/>
    <w:rsid w:val="004B73EC"/>
    <w:rsid w:val="004B74A8"/>
    <w:rsid w:val="004B7615"/>
    <w:rsid w:val="004B792D"/>
    <w:rsid w:val="004B7BBA"/>
    <w:rsid w:val="004B7D78"/>
    <w:rsid w:val="004B7F96"/>
    <w:rsid w:val="004BBEDE"/>
    <w:rsid w:val="004C01EB"/>
    <w:rsid w:val="004C07B4"/>
    <w:rsid w:val="004C0803"/>
    <w:rsid w:val="004C0870"/>
    <w:rsid w:val="004C0872"/>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317F"/>
    <w:rsid w:val="004C3284"/>
    <w:rsid w:val="004C330E"/>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3CE"/>
    <w:rsid w:val="004F465E"/>
    <w:rsid w:val="004F47E6"/>
    <w:rsid w:val="004F4889"/>
    <w:rsid w:val="004F4A5C"/>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750"/>
    <w:rsid w:val="0050594E"/>
    <w:rsid w:val="00505A04"/>
    <w:rsid w:val="00505C12"/>
    <w:rsid w:val="00505E58"/>
    <w:rsid w:val="00506024"/>
    <w:rsid w:val="00506097"/>
    <w:rsid w:val="00506359"/>
    <w:rsid w:val="005064C7"/>
    <w:rsid w:val="005065E3"/>
    <w:rsid w:val="00506665"/>
    <w:rsid w:val="0050676E"/>
    <w:rsid w:val="005068F6"/>
    <w:rsid w:val="00506B2A"/>
    <w:rsid w:val="00506B6C"/>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F0"/>
    <w:rsid w:val="0051452B"/>
    <w:rsid w:val="00514639"/>
    <w:rsid w:val="00514A89"/>
    <w:rsid w:val="00514C38"/>
    <w:rsid w:val="00514DE5"/>
    <w:rsid w:val="00514E09"/>
    <w:rsid w:val="005151D8"/>
    <w:rsid w:val="005152F8"/>
    <w:rsid w:val="005156C1"/>
    <w:rsid w:val="00515846"/>
    <w:rsid w:val="005158C7"/>
    <w:rsid w:val="00515A72"/>
    <w:rsid w:val="00515D89"/>
    <w:rsid w:val="00515F25"/>
    <w:rsid w:val="005160CA"/>
    <w:rsid w:val="005160CB"/>
    <w:rsid w:val="00516164"/>
    <w:rsid w:val="00516426"/>
    <w:rsid w:val="00516830"/>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999"/>
    <w:rsid w:val="00530B82"/>
    <w:rsid w:val="00530EE1"/>
    <w:rsid w:val="00530FDA"/>
    <w:rsid w:val="005311C2"/>
    <w:rsid w:val="0053120A"/>
    <w:rsid w:val="00531286"/>
    <w:rsid w:val="005317F5"/>
    <w:rsid w:val="0053183D"/>
    <w:rsid w:val="0053193A"/>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46"/>
    <w:rsid w:val="00546D87"/>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D6"/>
    <w:rsid w:val="00565EBF"/>
    <w:rsid w:val="00566358"/>
    <w:rsid w:val="0056635C"/>
    <w:rsid w:val="00566474"/>
    <w:rsid w:val="005665E1"/>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3ED"/>
    <w:rsid w:val="00573465"/>
    <w:rsid w:val="0057354E"/>
    <w:rsid w:val="005735B7"/>
    <w:rsid w:val="0057360B"/>
    <w:rsid w:val="00573755"/>
    <w:rsid w:val="005738DF"/>
    <w:rsid w:val="0057395A"/>
    <w:rsid w:val="00573A85"/>
    <w:rsid w:val="00573B8C"/>
    <w:rsid w:val="00573D00"/>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41E"/>
    <w:rsid w:val="005946AD"/>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1E8"/>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45C"/>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958"/>
    <w:rsid w:val="005B596C"/>
    <w:rsid w:val="005B5C22"/>
    <w:rsid w:val="005B6162"/>
    <w:rsid w:val="005B6559"/>
    <w:rsid w:val="005B6796"/>
    <w:rsid w:val="005B67F7"/>
    <w:rsid w:val="005B697A"/>
    <w:rsid w:val="005B6D1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9E1"/>
    <w:rsid w:val="005C7E52"/>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AC9"/>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D2"/>
    <w:rsid w:val="006022C8"/>
    <w:rsid w:val="00602320"/>
    <w:rsid w:val="00602442"/>
    <w:rsid w:val="0060279A"/>
    <w:rsid w:val="006027B6"/>
    <w:rsid w:val="006028EF"/>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B51"/>
    <w:rsid w:val="00610EE4"/>
    <w:rsid w:val="00610F3C"/>
    <w:rsid w:val="00610F82"/>
    <w:rsid w:val="006111EB"/>
    <w:rsid w:val="00611275"/>
    <w:rsid w:val="00611444"/>
    <w:rsid w:val="00611447"/>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4049"/>
    <w:rsid w:val="00614133"/>
    <w:rsid w:val="006146E9"/>
    <w:rsid w:val="00614789"/>
    <w:rsid w:val="00614969"/>
    <w:rsid w:val="00614BF1"/>
    <w:rsid w:val="00614DCA"/>
    <w:rsid w:val="00614F6B"/>
    <w:rsid w:val="0061514B"/>
    <w:rsid w:val="006153A9"/>
    <w:rsid w:val="006157E2"/>
    <w:rsid w:val="0061595D"/>
    <w:rsid w:val="00615BD7"/>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5D"/>
    <w:rsid w:val="00624C83"/>
    <w:rsid w:val="00624D20"/>
    <w:rsid w:val="00624DFE"/>
    <w:rsid w:val="00624E4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D1A"/>
    <w:rsid w:val="00633E7D"/>
    <w:rsid w:val="00633EB3"/>
    <w:rsid w:val="00633EB4"/>
    <w:rsid w:val="00633F34"/>
    <w:rsid w:val="00634171"/>
    <w:rsid w:val="0063469D"/>
    <w:rsid w:val="00634869"/>
    <w:rsid w:val="0063498A"/>
    <w:rsid w:val="006349BE"/>
    <w:rsid w:val="00634A67"/>
    <w:rsid w:val="00634CDE"/>
    <w:rsid w:val="00634D04"/>
    <w:rsid w:val="00634E19"/>
    <w:rsid w:val="00635107"/>
    <w:rsid w:val="00635284"/>
    <w:rsid w:val="006353A5"/>
    <w:rsid w:val="00635C54"/>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A1F"/>
    <w:rsid w:val="00640B55"/>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7D2"/>
    <w:rsid w:val="0064592B"/>
    <w:rsid w:val="00645B03"/>
    <w:rsid w:val="00645CF0"/>
    <w:rsid w:val="00645DEF"/>
    <w:rsid w:val="00645F31"/>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C02"/>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DAA"/>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A49"/>
    <w:rsid w:val="00694AA9"/>
    <w:rsid w:val="00694B18"/>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90F"/>
    <w:rsid w:val="006A5AA2"/>
    <w:rsid w:val="006A60D2"/>
    <w:rsid w:val="006A634D"/>
    <w:rsid w:val="006A649D"/>
    <w:rsid w:val="006A651E"/>
    <w:rsid w:val="006A6632"/>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16F"/>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6D4"/>
    <w:rsid w:val="006C4844"/>
    <w:rsid w:val="006C4855"/>
    <w:rsid w:val="006C48E4"/>
    <w:rsid w:val="006C4BE7"/>
    <w:rsid w:val="006C4CC7"/>
    <w:rsid w:val="006C4F7D"/>
    <w:rsid w:val="006C544E"/>
    <w:rsid w:val="006C54B4"/>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9E3"/>
    <w:rsid w:val="006E0C82"/>
    <w:rsid w:val="006E0C87"/>
    <w:rsid w:val="006E0F87"/>
    <w:rsid w:val="006E129D"/>
    <w:rsid w:val="006E13C7"/>
    <w:rsid w:val="006E14E0"/>
    <w:rsid w:val="006E15BA"/>
    <w:rsid w:val="006E1890"/>
    <w:rsid w:val="006E190C"/>
    <w:rsid w:val="006E194F"/>
    <w:rsid w:val="006E20D9"/>
    <w:rsid w:val="006E2C93"/>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5A"/>
    <w:rsid w:val="006F13BF"/>
    <w:rsid w:val="006F14CD"/>
    <w:rsid w:val="006F1516"/>
    <w:rsid w:val="006F1557"/>
    <w:rsid w:val="006F172A"/>
    <w:rsid w:val="006F1BFB"/>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0A5"/>
    <w:rsid w:val="006F4168"/>
    <w:rsid w:val="006F41A1"/>
    <w:rsid w:val="006F452E"/>
    <w:rsid w:val="006F47E4"/>
    <w:rsid w:val="006F4888"/>
    <w:rsid w:val="006F4A31"/>
    <w:rsid w:val="006F4A84"/>
    <w:rsid w:val="006F4BC5"/>
    <w:rsid w:val="006F4C67"/>
    <w:rsid w:val="006F4C95"/>
    <w:rsid w:val="006F4DA1"/>
    <w:rsid w:val="006F4DC4"/>
    <w:rsid w:val="006F4F60"/>
    <w:rsid w:val="006F5005"/>
    <w:rsid w:val="006F50BF"/>
    <w:rsid w:val="006F52B1"/>
    <w:rsid w:val="006F546C"/>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209"/>
    <w:rsid w:val="007023E7"/>
    <w:rsid w:val="007025F9"/>
    <w:rsid w:val="00702716"/>
    <w:rsid w:val="00702732"/>
    <w:rsid w:val="007028D7"/>
    <w:rsid w:val="00702B00"/>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BB5"/>
    <w:rsid w:val="00722C9E"/>
    <w:rsid w:val="00722DBF"/>
    <w:rsid w:val="00722F39"/>
    <w:rsid w:val="00723055"/>
    <w:rsid w:val="007230F3"/>
    <w:rsid w:val="00723159"/>
    <w:rsid w:val="007231C2"/>
    <w:rsid w:val="00723348"/>
    <w:rsid w:val="0072363A"/>
    <w:rsid w:val="007236E8"/>
    <w:rsid w:val="00723725"/>
    <w:rsid w:val="007238CE"/>
    <w:rsid w:val="00723A6A"/>
    <w:rsid w:val="00723B50"/>
    <w:rsid w:val="00723C82"/>
    <w:rsid w:val="00723CA7"/>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872"/>
    <w:rsid w:val="00730B01"/>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11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50E"/>
    <w:rsid w:val="00742BD7"/>
    <w:rsid w:val="00742BEC"/>
    <w:rsid w:val="00742BF8"/>
    <w:rsid w:val="00742C8B"/>
    <w:rsid w:val="00742D02"/>
    <w:rsid w:val="00742F21"/>
    <w:rsid w:val="00743211"/>
    <w:rsid w:val="0074354C"/>
    <w:rsid w:val="00743713"/>
    <w:rsid w:val="007438FB"/>
    <w:rsid w:val="00743905"/>
    <w:rsid w:val="00743949"/>
    <w:rsid w:val="00743ADC"/>
    <w:rsid w:val="00743D31"/>
    <w:rsid w:val="00743E17"/>
    <w:rsid w:val="00743EFF"/>
    <w:rsid w:val="00743F98"/>
    <w:rsid w:val="00744316"/>
    <w:rsid w:val="0074451E"/>
    <w:rsid w:val="007448D5"/>
    <w:rsid w:val="00744B1D"/>
    <w:rsid w:val="00744E93"/>
    <w:rsid w:val="00744F5A"/>
    <w:rsid w:val="00744F93"/>
    <w:rsid w:val="007451B3"/>
    <w:rsid w:val="00745332"/>
    <w:rsid w:val="007455D2"/>
    <w:rsid w:val="00745C69"/>
    <w:rsid w:val="00745CA6"/>
    <w:rsid w:val="00745D1F"/>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D65"/>
    <w:rsid w:val="00750E13"/>
    <w:rsid w:val="00751158"/>
    <w:rsid w:val="007513CF"/>
    <w:rsid w:val="007514D5"/>
    <w:rsid w:val="00751597"/>
    <w:rsid w:val="007515CF"/>
    <w:rsid w:val="0075192D"/>
    <w:rsid w:val="00751BD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07A"/>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9D1"/>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205"/>
    <w:rsid w:val="0079126D"/>
    <w:rsid w:val="00791499"/>
    <w:rsid w:val="0079149E"/>
    <w:rsid w:val="00791852"/>
    <w:rsid w:val="00791944"/>
    <w:rsid w:val="00791A3D"/>
    <w:rsid w:val="00791E43"/>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83"/>
    <w:rsid w:val="007B3642"/>
    <w:rsid w:val="007B36D2"/>
    <w:rsid w:val="007B36E6"/>
    <w:rsid w:val="007B38C5"/>
    <w:rsid w:val="007B394D"/>
    <w:rsid w:val="007B398E"/>
    <w:rsid w:val="007B3EE0"/>
    <w:rsid w:val="007B3FAB"/>
    <w:rsid w:val="007B4036"/>
    <w:rsid w:val="007B4375"/>
    <w:rsid w:val="007B44CE"/>
    <w:rsid w:val="007B467A"/>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7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592"/>
    <w:rsid w:val="007F55B4"/>
    <w:rsid w:val="007F569A"/>
    <w:rsid w:val="007F5B4F"/>
    <w:rsid w:val="007F5FAE"/>
    <w:rsid w:val="007F603A"/>
    <w:rsid w:val="007F61A7"/>
    <w:rsid w:val="007F63DE"/>
    <w:rsid w:val="007F64D0"/>
    <w:rsid w:val="007F64FF"/>
    <w:rsid w:val="007F6681"/>
    <w:rsid w:val="007F67E9"/>
    <w:rsid w:val="007F6C14"/>
    <w:rsid w:val="007F6CEC"/>
    <w:rsid w:val="007F6EAD"/>
    <w:rsid w:val="007F725D"/>
    <w:rsid w:val="007F751A"/>
    <w:rsid w:val="007F75B3"/>
    <w:rsid w:val="007F79EC"/>
    <w:rsid w:val="007F7B58"/>
    <w:rsid w:val="007F7B77"/>
    <w:rsid w:val="007F7BC0"/>
    <w:rsid w:val="008000F9"/>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720"/>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D2E"/>
    <w:rsid w:val="00817E1A"/>
    <w:rsid w:val="008202B3"/>
    <w:rsid w:val="0082041B"/>
    <w:rsid w:val="008206DD"/>
    <w:rsid w:val="008208A5"/>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A2"/>
    <w:rsid w:val="008336B7"/>
    <w:rsid w:val="0083377A"/>
    <w:rsid w:val="00833780"/>
    <w:rsid w:val="008338E1"/>
    <w:rsid w:val="008339E9"/>
    <w:rsid w:val="00833BBC"/>
    <w:rsid w:val="00833FA2"/>
    <w:rsid w:val="00834284"/>
    <w:rsid w:val="00834594"/>
    <w:rsid w:val="008346FB"/>
    <w:rsid w:val="00834BA4"/>
    <w:rsid w:val="00834DA2"/>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A52"/>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9B"/>
    <w:rsid w:val="008465C5"/>
    <w:rsid w:val="0084666A"/>
    <w:rsid w:val="008466C6"/>
    <w:rsid w:val="00846D3E"/>
    <w:rsid w:val="0084721E"/>
    <w:rsid w:val="00847222"/>
    <w:rsid w:val="0084732D"/>
    <w:rsid w:val="008473F6"/>
    <w:rsid w:val="00847479"/>
    <w:rsid w:val="008474CF"/>
    <w:rsid w:val="008476E4"/>
    <w:rsid w:val="0084771D"/>
    <w:rsid w:val="0084799A"/>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20"/>
    <w:rsid w:val="00863D3B"/>
    <w:rsid w:val="00863E1D"/>
    <w:rsid w:val="00863E4F"/>
    <w:rsid w:val="008640F1"/>
    <w:rsid w:val="008642C7"/>
    <w:rsid w:val="008643BE"/>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1"/>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42"/>
    <w:rsid w:val="00875B11"/>
    <w:rsid w:val="00875B25"/>
    <w:rsid w:val="00875C56"/>
    <w:rsid w:val="00875E38"/>
    <w:rsid w:val="00875EC4"/>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1DB"/>
    <w:rsid w:val="00883519"/>
    <w:rsid w:val="00883778"/>
    <w:rsid w:val="008837C3"/>
    <w:rsid w:val="00883816"/>
    <w:rsid w:val="00883C93"/>
    <w:rsid w:val="00883D8D"/>
    <w:rsid w:val="00883DFE"/>
    <w:rsid w:val="0088466C"/>
    <w:rsid w:val="0088498D"/>
    <w:rsid w:val="00884E97"/>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EAC"/>
    <w:rsid w:val="008A60CA"/>
    <w:rsid w:val="008A64E0"/>
    <w:rsid w:val="008A662C"/>
    <w:rsid w:val="008A668A"/>
    <w:rsid w:val="008A674C"/>
    <w:rsid w:val="008A6913"/>
    <w:rsid w:val="008A6AE0"/>
    <w:rsid w:val="008A6BD3"/>
    <w:rsid w:val="008A6C26"/>
    <w:rsid w:val="008A6C75"/>
    <w:rsid w:val="008A7471"/>
    <w:rsid w:val="008A74E1"/>
    <w:rsid w:val="008A7789"/>
    <w:rsid w:val="008A7CD9"/>
    <w:rsid w:val="008A7E89"/>
    <w:rsid w:val="008B0196"/>
    <w:rsid w:val="008B039E"/>
    <w:rsid w:val="008B0538"/>
    <w:rsid w:val="008B0848"/>
    <w:rsid w:val="008B08B0"/>
    <w:rsid w:val="008B09C2"/>
    <w:rsid w:val="008B0C23"/>
    <w:rsid w:val="008B0F5E"/>
    <w:rsid w:val="008B15E9"/>
    <w:rsid w:val="008B1609"/>
    <w:rsid w:val="008B16E6"/>
    <w:rsid w:val="008B1B33"/>
    <w:rsid w:val="008B1B71"/>
    <w:rsid w:val="008B1BF1"/>
    <w:rsid w:val="008B2039"/>
    <w:rsid w:val="008B2114"/>
    <w:rsid w:val="008B24FD"/>
    <w:rsid w:val="008B2883"/>
    <w:rsid w:val="008B2D80"/>
    <w:rsid w:val="008B2FBC"/>
    <w:rsid w:val="008B2FE3"/>
    <w:rsid w:val="008B3182"/>
    <w:rsid w:val="008B35CA"/>
    <w:rsid w:val="008B3775"/>
    <w:rsid w:val="008B37A2"/>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4B"/>
    <w:rsid w:val="008B5893"/>
    <w:rsid w:val="008B5C4A"/>
    <w:rsid w:val="008B5DDB"/>
    <w:rsid w:val="008B5EAA"/>
    <w:rsid w:val="008B5F03"/>
    <w:rsid w:val="008B5F2A"/>
    <w:rsid w:val="008B64EC"/>
    <w:rsid w:val="008B678C"/>
    <w:rsid w:val="008B67A2"/>
    <w:rsid w:val="008B69CD"/>
    <w:rsid w:val="008B6F64"/>
    <w:rsid w:val="008B71AA"/>
    <w:rsid w:val="008B7647"/>
    <w:rsid w:val="008B76EF"/>
    <w:rsid w:val="008B7DFC"/>
    <w:rsid w:val="008B7EEB"/>
    <w:rsid w:val="008B7F15"/>
    <w:rsid w:val="008C0165"/>
    <w:rsid w:val="008C0959"/>
    <w:rsid w:val="008C0A31"/>
    <w:rsid w:val="008C0CB0"/>
    <w:rsid w:val="008C0FA5"/>
    <w:rsid w:val="008C1387"/>
    <w:rsid w:val="008C149E"/>
    <w:rsid w:val="008C15FD"/>
    <w:rsid w:val="008C1805"/>
    <w:rsid w:val="008C1CB2"/>
    <w:rsid w:val="008C1E9E"/>
    <w:rsid w:val="008C207C"/>
    <w:rsid w:val="008C20D3"/>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F9B"/>
    <w:rsid w:val="008F34CC"/>
    <w:rsid w:val="008F36E0"/>
    <w:rsid w:val="008F37F9"/>
    <w:rsid w:val="008F3A42"/>
    <w:rsid w:val="008F3AAB"/>
    <w:rsid w:val="008F3BFB"/>
    <w:rsid w:val="008F3C1B"/>
    <w:rsid w:val="008F4011"/>
    <w:rsid w:val="008F4267"/>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9C"/>
    <w:rsid w:val="0090553A"/>
    <w:rsid w:val="009055DB"/>
    <w:rsid w:val="00905A9F"/>
    <w:rsid w:val="00905BC9"/>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5E3"/>
    <w:rsid w:val="0091561B"/>
    <w:rsid w:val="0091569F"/>
    <w:rsid w:val="009156C8"/>
    <w:rsid w:val="00915779"/>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B8"/>
    <w:rsid w:val="00935296"/>
    <w:rsid w:val="009353C9"/>
    <w:rsid w:val="009353CC"/>
    <w:rsid w:val="0093541A"/>
    <w:rsid w:val="009355E4"/>
    <w:rsid w:val="00935972"/>
    <w:rsid w:val="00935C3C"/>
    <w:rsid w:val="0093609A"/>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47C61"/>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5329"/>
    <w:rsid w:val="009657C7"/>
    <w:rsid w:val="0096598A"/>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FB2"/>
    <w:rsid w:val="0097024B"/>
    <w:rsid w:val="00970262"/>
    <w:rsid w:val="00970377"/>
    <w:rsid w:val="009703A5"/>
    <w:rsid w:val="00970834"/>
    <w:rsid w:val="009709AF"/>
    <w:rsid w:val="00970A33"/>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406"/>
    <w:rsid w:val="009A0986"/>
    <w:rsid w:val="009A0B65"/>
    <w:rsid w:val="009A0C4A"/>
    <w:rsid w:val="009A0DBC"/>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B79"/>
    <w:rsid w:val="009A3CB4"/>
    <w:rsid w:val="009A3CE8"/>
    <w:rsid w:val="009A3D8E"/>
    <w:rsid w:val="009A3EEB"/>
    <w:rsid w:val="009A42E3"/>
    <w:rsid w:val="009A4357"/>
    <w:rsid w:val="009A457F"/>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72D5"/>
    <w:rsid w:val="009C7493"/>
    <w:rsid w:val="009C74BC"/>
    <w:rsid w:val="009C7682"/>
    <w:rsid w:val="009C76B7"/>
    <w:rsid w:val="009C7725"/>
    <w:rsid w:val="009C7817"/>
    <w:rsid w:val="009C7958"/>
    <w:rsid w:val="009C7AA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7C2"/>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D7CB2"/>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F57"/>
    <w:rsid w:val="009F3F59"/>
    <w:rsid w:val="009F4217"/>
    <w:rsid w:val="009F43B3"/>
    <w:rsid w:val="009F44BE"/>
    <w:rsid w:val="009F44D3"/>
    <w:rsid w:val="009F46C8"/>
    <w:rsid w:val="009F4949"/>
    <w:rsid w:val="009F49E6"/>
    <w:rsid w:val="009F4CBF"/>
    <w:rsid w:val="009F4DD0"/>
    <w:rsid w:val="009F4E32"/>
    <w:rsid w:val="009F4E9F"/>
    <w:rsid w:val="009F5194"/>
    <w:rsid w:val="009F53B9"/>
    <w:rsid w:val="009F5518"/>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1"/>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70C1"/>
    <w:rsid w:val="00A27385"/>
    <w:rsid w:val="00A2740D"/>
    <w:rsid w:val="00A27869"/>
    <w:rsid w:val="00A2788A"/>
    <w:rsid w:val="00A27D13"/>
    <w:rsid w:val="00A27E23"/>
    <w:rsid w:val="00A301E0"/>
    <w:rsid w:val="00A304F0"/>
    <w:rsid w:val="00A3081D"/>
    <w:rsid w:val="00A30CA7"/>
    <w:rsid w:val="00A311C8"/>
    <w:rsid w:val="00A3123A"/>
    <w:rsid w:val="00A312DA"/>
    <w:rsid w:val="00A312E8"/>
    <w:rsid w:val="00A3133A"/>
    <w:rsid w:val="00A313AE"/>
    <w:rsid w:val="00A3157A"/>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41B"/>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4E"/>
    <w:rsid w:val="00A67839"/>
    <w:rsid w:val="00A67890"/>
    <w:rsid w:val="00A67A0D"/>
    <w:rsid w:val="00A702CA"/>
    <w:rsid w:val="00A702D2"/>
    <w:rsid w:val="00A70425"/>
    <w:rsid w:val="00A704E8"/>
    <w:rsid w:val="00A70664"/>
    <w:rsid w:val="00A706CC"/>
    <w:rsid w:val="00A70763"/>
    <w:rsid w:val="00A70AB8"/>
    <w:rsid w:val="00A70B85"/>
    <w:rsid w:val="00A70E55"/>
    <w:rsid w:val="00A70F73"/>
    <w:rsid w:val="00A710C3"/>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9F0"/>
    <w:rsid w:val="00A73A08"/>
    <w:rsid w:val="00A73BC4"/>
    <w:rsid w:val="00A73DA9"/>
    <w:rsid w:val="00A73E28"/>
    <w:rsid w:val="00A73E5E"/>
    <w:rsid w:val="00A7465D"/>
    <w:rsid w:val="00A7481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4"/>
    <w:rsid w:val="00A9338C"/>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178"/>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DB"/>
    <w:rsid w:val="00AC6561"/>
    <w:rsid w:val="00AC6E2A"/>
    <w:rsid w:val="00AC7165"/>
    <w:rsid w:val="00AC7249"/>
    <w:rsid w:val="00AC74B2"/>
    <w:rsid w:val="00AC7765"/>
    <w:rsid w:val="00AC7D41"/>
    <w:rsid w:val="00AC7F86"/>
    <w:rsid w:val="00AC8BB2"/>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721"/>
    <w:rsid w:val="00AE095D"/>
    <w:rsid w:val="00AE0B01"/>
    <w:rsid w:val="00AE0B9F"/>
    <w:rsid w:val="00AE12C2"/>
    <w:rsid w:val="00AE1BA9"/>
    <w:rsid w:val="00AE1C07"/>
    <w:rsid w:val="00AE2253"/>
    <w:rsid w:val="00AE27EE"/>
    <w:rsid w:val="00AE29D9"/>
    <w:rsid w:val="00AE29DA"/>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64B5"/>
    <w:rsid w:val="00AF64C9"/>
    <w:rsid w:val="00AF66F4"/>
    <w:rsid w:val="00AF6771"/>
    <w:rsid w:val="00AF68B4"/>
    <w:rsid w:val="00AF6A39"/>
    <w:rsid w:val="00AF6CB8"/>
    <w:rsid w:val="00AF6D1B"/>
    <w:rsid w:val="00AF6E12"/>
    <w:rsid w:val="00AF6E4D"/>
    <w:rsid w:val="00AF727C"/>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61"/>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6AA"/>
    <w:rsid w:val="00B167F8"/>
    <w:rsid w:val="00B169F9"/>
    <w:rsid w:val="00B16D29"/>
    <w:rsid w:val="00B1757C"/>
    <w:rsid w:val="00B178F9"/>
    <w:rsid w:val="00B17963"/>
    <w:rsid w:val="00B17974"/>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1EC"/>
    <w:rsid w:val="00B24424"/>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D36"/>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B03"/>
    <w:rsid w:val="00B32D4E"/>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6F8"/>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7C"/>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564"/>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423B"/>
    <w:rsid w:val="00B5426A"/>
    <w:rsid w:val="00B54311"/>
    <w:rsid w:val="00B54407"/>
    <w:rsid w:val="00B54420"/>
    <w:rsid w:val="00B5456F"/>
    <w:rsid w:val="00B5465B"/>
    <w:rsid w:val="00B546F1"/>
    <w:rsid w:val="00B54ABB"/>
    <w:rsid w:val="00B54CD1"/>
    <w:rsid w:val="00B54D32"/>
    <w:rsid w:val="00B54DBA"/>
    <w:rsid w:val="00B54DBF"/>
    <w:rsid w:val="00B550BA"/>
    <w:rsid w:val="00B55178"/>
    <w:rsid w:val="00B552DC"/>
    <w:rsid w:val="00B55518"/>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62D"/>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92C"/>
    <w:rsid w:val="00B84974"/>
    <w:rsid w:val="00B85121"/>
    <w:rsid w:val="00B85143"/>
    <w:rsid w:val="00B85549"/>
    <w:rsid w:val="00B8566F"/>
    <w:rsid w:val="00B85816"/>
    <w:rsid w:val="00B85A18"/>
    <w:rsid w:val="00B85AEE"/>
    <w:rsid w:val="00B85FA1"/>
    <w:rsid w:val="00B860BB"/>
    <w:rsid w:val="00B86165"/>
    <w:rsid w:val="00B8629D"/>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18A"/>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AC9"/>
    <w:rsid w:val="00BB2D30"/>
    <w:rsid w:val="00BB2F19"/>
    <w:rsid w:val="00BB2F28"/>
    <w:rsid w:val="00BB3225"/>
    <w:rsid w:val="00BB34BB"/>
    <w:rsid w:val="00BB3572"/>
    <w:rsid w:val="00BB3AF4"/>
    <w:rsid w:val="00BB3CD1"/>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816"/>
    <w:rsid w:val="00BB68AF"/>
    <w:rsid w:val="00BB6BEE"/>
    <w:rsid w:val="00BB76C1"/>
    <w:rsid w:val="00BB79A2"/>
    <w:rsid w:val="00BB7D2E"/>
    <w:rsid w:val="00BB7F85"/>
    <w:rsid w:val="00BC0201"/>
    <w:rsid w:val="00BC04C8"/>
    <w:rsid w:val="00BC081F"/>
    <w:rsid w:val="00BC0BD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801"/>
    <w:rsid w:val="00BC5C42"/>
    <w:rsid w:val="00BC5C81"/>
    <w:rsid w:val="00BC5DEF"/>
    <w:rsid w:val="00BC5F45"/>
    <w:rsid w:val="00BC6018"/>
    <w:rsid w:val="00BC63AA"/>
    <w:rsid w:val="00BC6880"/>
    <w:rsid w:val="00BC69E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6A"/>
    <w:rsid w:val="00BD4E7C"/>
    <w:rsid w:val="00BD5071"/>
    <w:rsid w:val="00BD5249"/>
    <w:rsid w:val="00BD57E8"/>
    <w:rsid w:val="00BD60DB"/>
    <w:rsid w:val="00BD61CB"/>
    <w:rsid w:val="00BD6277"/>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EC8"/>
    <w:rsid w:val="00BE1002"/>
    <w:rsid w:val="00BE101C"/>
    <w:rsid w:val="00BE13C8"/>
    <w:rsid w:val="00BE14F8"/>
    <w:rsid w:val="00BE165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EE8"/>
    <w:rsid w:val="00C0513D"/>
    <w:rsid w:val="00C05147"/>
    <w:rsid w:val="00C0525F"/>
    <w:rsid w:val="00C054A3"/>
    <w:rsid w:val="00C05511"/>
    <w:rsid w:val="00C056CE"/>
    <w:rsid w:val="00C057C1"/>
    <w:rsid w:val="00C057E9"/>
    <w:rsid w:val="00C05A71"/>
    <w:rsid w:val="00C0604A"/>
    <w:rsid w:val="00C060B0"/>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6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14E"/>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A3F"/>
    <w:rsid w:val="00C54BAF"/>
    <w:rsid w:val="00C54ED1"/>
    <w:rsid w:val="00C554C8"/>
    <w:rsid w:val="00C55951"/>
    <w:rsid w:val="00C55EAE"/>
    <w:rsid w:val="00C55F4D"/>
    <w:rsid w:val="00C55FF0"/>
    <w:rsid w:val="00C563EE"/>
    <w:rsid w:val="00C564A0"/>
    <w:rsid w:val="00C564A2"/>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6E"/>
    <w:rsid w:val="00C81FE3"/>
    <w:rsid w:val="00C82036"/>
    <w:rsid w:val="00C82105"/>
    <w:rsid w:val="00C82403"/>
    <w:rsid w:val="00C82446"/>
    <w:rsid w:val="00C824D3"/>
    <w:rsid w:val="00C82795"/>
    <w:rsid w:val="00C8283F"/>
    <w:rsid w:val="00C82982"/>
    <w:rsid w:val="00C82B24"/>
    <w:rsid w:val="00C82BA1"/>
    <w:rsid w:val="00C82BEB"/>
    <w:rsid w:val="00C833FA"/>
    <w:rsid w:val="00C835F2"/>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42"/>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D95"/>
    <w:rsid w:val="00CA3EE0"/>
    <w:rsid w:val="00CA3EF1"/>
    <w:rsid w:val="00CA3F5F"/>
    <w:rsid w:val="00CA45E4"/>
    <w:rsid w:val="00CA4660"/>
    <w:rsid w:val="00CA489D"/>
    <w:rsid w:val="00CA4A30"/>
    <w:rsid w:val="00CA4AB6"/>
    <w:rsid w:val="00CA4BA2"/>
    <w:rsid w:val="00CA4D55"/>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180"/>
    <w:rsid w:val="00CC51BC"/>
    <w:rsid w:val="00CC54D3"/>
    <w:rsid w:val="00CC5732"/>
    <w:rsid w:val="00CC5846"/>
    <w:rsid w:val="00CC5890"/>
    <w:rsid w:val="00CC5982"/>
    <w:rsid w:val="00CC59C1"/>
    <w:rsid w:val="00CC5AFE"/>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4E"/>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A2D"/>
    <w:rsid w:val="00CE1A70"/>
    <w:rsid w:val="00CE1B11"/>
    <w:rsid w:val="00CE1BF0"/>
    <w:rsid w:val="00CE1CEE"/>
    <w:rsid w:val="00CE20A5"/>
    <w:rsid w:val="00CE211B"/>
    <w:rsid w:val="00CE21DD"/>
    <w:rsid w:val="00CE26F5"/>
    <w:rsid w:val="00CE2703"/>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6506"/>
    <w:rsid w:val="00CE657A"/>
    <w:rsid w:val="00CE68B2"/>
    <w:rsid w:val="00CE6BF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87F"/>
    <w:rsid w:val="00CF2AFB"/>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6CD4"/>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A32"/>
    <w:rsid w:val="00D53A4E"/>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494"/>
    <w:rsid w:val="00D605D2"/>
    <w:rsid w:val="00D606F9"/>
    <w:rsid w:val="00D60864"/>
    <w:rsid w:val="00D6099B"/>
    <w:rsid w:val="00D60BE1"/>
    <w:rsid w:val="00D60CCB"/>
    <w:rsid w:val="00D60D01"/>
    <w:rsid w:val="00D61947"/>
    <w:rsid w:val="00D61A37"/>
    <w:rsid w:val="00D61DEB"/>
    <w:rsid w:val="00D62242"/>
    <w:rsid w:val="00D62349"/>
    <w:rsid w:val="00D6253B"/>
    <w:rsid w:val="00D62830"/>
    <w:rsid w:val="00D6289C"/>
    <w:rsid w:val="00D62938"/>
    <w:rsid w:val="00D62B48"/>
    <w:rsid w:val="00D62BE9"/>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51B"/>
    <w:rsid w:val="00D8651F"/>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2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64"/>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9B2"/>
    <w:rsid w:val="00DC4AFD"/>
    <w:rsid w:val="00DC4C0F"/>
    <w:rsid w:val="00DC50AB"/>
    <w:rsid w:val="00DC5417"/>
    <w:rsid w:val="00DC546E"/>
    <w:rsid w:val="00DC56B9"/>
    <w:rsid w:val="00DC5C0C"/>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A6F"/>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4C0"/>
    <w:rsid w:val="00DE15A1"/>
    <w:rsid w:val="00DE1911"/>
    <w:rsid w:val="00DE1A8D"/>
    <w:rsid w:val="00DE1C1D"/>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ED7"/>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6A4"/>
    <w:rsid w:val="00E228F9"/>
    <w:rsid w:val="00E22A51"/>
    <w:rsid w:val="00E22ACC"/>
    <w:rsid w:val="00E22B0C"/>
    <w:rsid w:val="00E22C7B"/>
    <w:rsid w:val="00E22CFF"/>
    <w:rsid w:val="00E22F9B"/>
    <w:rsid w:val="00E230C4"/>
    <w:rsid w:val="00E2332D"/>
    <w:rsid w:val="00E2353E"/>
    <w:rsid w:val="00E2354D"/>
    <w:rsid w:val="00E237DA"/>
    <w:rsid w:val="00E23887"/>
    <w:rsid w:val="00E2391F"/>
    <w:rsid w:val="00E23AEC"/>
    <w:rsid w:val="00E23B00"/>
    <w:rsid w:val="00E23BD9"/>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98"/>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A09"/>
    <w:rsid w:val="00E50A65"/>
    <w:rsid w:val="00E50AD4"/>
    <w:rsid w:val="00E50BF8"/>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75"/>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6FC2"/>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5BBC"/>
    <w:rsid w:val="00ED6232"/>
    <w:rsid w:val="00ED634B"/>
    <w:rsid w:val="00ED67C1"/>
    <w:rsid w:val="00ED6802"/>
    <w:rsid w:val="00ED68D1"/>
    <w:rsid w:val="00ED6A13"/>
    <w:rsid w:val="00ED6A2D"/>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237"/>
    <w:rsid w:val="00F172E9"/>
    <w:rsid w:val="00F175F1"/>
    <w:rsid w:val="00F176E1"/>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9EA"/>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6E45"/>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B25"/>
    <w:rsid w:val="00F86C34"/>
    <w:rsid w:val="00F86D56"/>
    <w:rsid w:val="00F86DC3"/>
    <w:rsid w:val="00F86FA8"/>
    <w:rsid w:val="00F86FF7"/>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675"/>
    <w:rsid w:val="00F96BFB"/>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21E"/>
    <w:rsid w:val="00FA12B4"/>
    <w:rsid w:val="00FA1789"/>
    <w:rsid w:val="00FA19F7"/>
    <w:rsid w:val="00FA1A43"/>
    <w:rsid w:val="00FA1E3D"/>
    <w:rsid w:val="00FA1F05"/>
    <w:rsid w:val="00FA2045"/>
    <w:rsid w:val="00FA20B0"/>
    <w:rsid w:val="00FA20F6"/>
    <w:rsid w:val="00FA223B"/>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D4A"/>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DE26F"/>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3D21B"/>
    <w:rsid w:val="016E2B31"/>
    <w:rsid w:val="0170DA76"/>
    <w:rsid w:val="017782D7"/>
    <w:rsid w:val="017946A2"/>
    <w:rsid w:val="017F2278"/>
    <w:rsid w:val="01818818"/>
    <w:rsid w:val="0186C75C"/>
    <w:rsid w:val="0188B0CE"/>
    <w:rsid w:val="018ABC22"/>
    <w:rsid w:val="018CE85C"/>
    <w:rsid w:val="0190501B"/>
    <w:rsid w:val="019E6371"/>
    <w:rsid w:val="01B13DB9"/>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42F5C"/>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2F1080"/>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4F557E"/>
    <w:rsid w:val="04533854"/>
    <w:rsid w:val="045911C2"/>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6E27B"/>
    <w:rsid w:val="050B1C91"/>
    <w:rsid w:val="05179AC7"/>
    <w:rsid w:val="051D681C"/>
    <w:rsid w:val="051F06C6"/>
    <w:rsid w:val="05225587"/>
    <w:rsid w:val="05235429"/>
    <w:rsid w:val="05331379"/>
    <w:rsid w:val="0536771B"/>
    <w:rsid w:val="053A1644"/>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EC3183"/>
    <w:rsid w:val="05F5F06C"/>
    <w:rsid w:val="0605A52C"/>
    <w:rsid w:val="060ED2F1"/>
    <w:rsid w:val="06153348"/>
    <w:rsid w:val="06158219"/>
    <w:rsid w:val="0618BE1B"/>
    <w:rsid w:val="06193FE4"/>
    <w:rsid w:val="0624ABE0"/>
    <w:rsid w:val="062D6826"/>
    <w:rsid w:val="062EDA36"/>
    <w:rsid w:val="063DBD6A"/>
    <w:rsid w:val="064B3A45"/>
    <w:rsid w:val="064EC4AD"/>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0D3202"/>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38EF2"/>
    <w:rsid w:val="082E9E89"/>
    <w:rsid w:val="08316D7D"/>
    <w:rsid w:val="0831BE68"/>
    <w:rsid w:val="083530C5"/>
    <w:rsid w:val="0837FBC1"/>
    <w:rsid w:val="0839D5CE"/>
    <w:rsid w:val="0840FD32"/>
    <w:rsid w:val="0841E157"/>
    <w:rsid w:val="084B7E67"/>
    <w:rsid w:val="084C8CB8"/>
    <w:rsid w:val="0867CA68"/>
    <w:rsid w:val="08692FAF"/>
    <w:rsid w:val="086ECAA7"/>
    <w:rsid w:val="08761117"/>
    <w:rsid w:val="0877B88F"/>
    <w:rsid w:val="08786A4F"/>
    <w:rsid w:val="087D82B7"/>
    <w:rsid w:val="0887C7F6"/>
    <w:rsid w:val="0889A22A"/>
    <w:rsid w:val="088E98A1"/>
    <w:rsid w:val="08A1A63F"/>
    <w:rsid w:val="08A74FA9"/>
    <w:rsid w:val="08AAE662"/>
    <w:rsid w:val="08AC6891"/>
    <w:rsid w:val="08B12DD0"/>
    <w:rsid w:val="08CC6DA5"/>
    <w:rsid w:val="08DA0B09"/>
    <w:rsid w:val="08DE67D7"/>
    <w:rsid w:val="08F46045"/>
    <w:rsid w:val="08F9084D"/>
    <w:rsid w:val="08FB84B7"/>
    <w:rsid w:val="09049A8B"/>
    <w:rsid w:val="0908BC51"/>
    <w:rsid w:val="0908DF9D"/>
    <w:rsid w:val="091362C7"/>
    <w:rsid w:val="0918A5FF"/>
    <w:rsid w:val="091F3D67"/>
    <w:rsid w:val="0920E2F7"/>
    <w:rsid w:val="0923118A"/>
    <w:rsid w:val="0926356D"/>
    <w:rsid w:val="092FBEB1"/>
    <w:rsid w:val="09303F4F"/>
    <w:rsid w:val="09309ACC"/>
    <w:rsid w:val="0933CE69"/>
    <w:rsid w:val="09346565"/>
    <w:rsid w:val="093FD2CF"/>
    <w:rsid w:val="095CF06E"/>
    <w:rsid w:val="095F156D"/>
    <w:rsid w:val="09605570"/>
    <w:rsid w:val="0969A004"/>
    <w:rsid w:val="097058D3"/>
    <w:rsid w:val="09738A1B"/>
    <w:rsid w:val="0976F394"/>
    <w:rsid w:val="0986F6EA"/>
    <w:rsid w:val="0987A7AC"/>
    <w:rsid w:val="0989B906"/>
    <w:rsid w:val="098FA368"/>
    <w:rsid w:val="09945775"/>
    <w:rsid w:val="099F68E0"/>
    <w:rsid w:val="09A7DCDA"/>
    <w:rsid w:val="09AFDE05"/>
    <w:rsid w:val="09BD51AA"/>
    <w:rsid w:val="09BD85B8"/>
    <w:rsid w:val="09D721F8"/>
    <w:rsid w:val="09DC9AA3"/>
    <w:rsid w:val="09F20488"/>
    <w:rsid w:val="09F49883"/>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7AD6A"/>
    <w:rsid w:val="0A79ADE4"/>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E8CF4"/>
    <w:rsid w:val="0AFFC991"/>
    <w:rsid w:val="0B1409CE"/>
    <w:rsid w:val="0B16AC18"/>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2F41"/>
    <w:rsid w:val="0B79A52C"/>
    <w:rsid w:val="0B843C04"/>
    <w:rsid w:val="0B88E51D"/>
    <w:rsid w:val="0B891CA5"/>
    <w:rsid w:val="0B8A3852"/>
    <w:rsid w:val="0B9E5B2B"/>
    <w:rsid w:val="0B9E9094"/>
    <w:rsid w:val="0BA11B5D"/>
    <w:rsid w:val="0BA7B357"/>
    <w:rsid w:val="0BABFAE5"/>
    <w:rsid w:val="0BB00323"/>
    <w:rsid w:val="0BB0AFDB"/>
    <w:rsid w:val="0BB4D671"/>
    <w:rsid w:val="0BB5CBD9"/>
    <w:rsid w:val="0BC1AB22"/>
    <w:rsid w:val="0BC3CF53"/>
    <w:rsid w:val="0BCB21E3"/>
    <w:rsid w:val="0BCB32C8"/>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B205E"/>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2A85D4"/>
    <w:rsid w:val="0D331BDF"/>
    <w:rsid w:val="0D37D0F7"/>
    <w:rsid w:val="0D396278"/>
    <w:rsid w:val="0D3DA164"/>
    <w:rsid w:val="0D469EE1"/>
    <w:rsid w:val="0D49325F"/>
    <w:rsid w:val="0D4E21B5"/>
    <w:rsid w:val="0D4E688E"/>
    <w:rsid w:val="0D528C82"/>
    <w:rsid w:val="0D5C1103"/>
    <w:rsid w:val="0D682948"/>
    <w:rsid w:val="0D747DFD"/>
    <w:rsid w:val="0D765C5B"/>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5017D"/>
    <w:rsid w:val="0DCBEBE1"/>
    <w:rsid w:val="0DCC075D"/>
    <w:rsid w:val="0DCFFBA1"/>
    <w:rsid w:val="0DD23A5C"/>
    <w:rsid w:val="0DD2C3A8"/>
    <w:rsid w:val="0DDF1B0B"/>
    <w:rsid w:val="0DE551F0"/>
    <w:rsid w:val="0DE8B571"/>
    <w:rsid w:val="0DEBB89A"/>
    <w:rsid w:val="0DEC21CA"/>
    <w:rsid w:val="0DF1F571"/>
    <w:rsid w:val="0DF2D42C"/>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68B76F"/>
    <w:rsid w:val="0E797DBA"/>
    <w:rsid w:val="0E7A2113"/>
    <w:rsid w:val="0E7D50B9"/>
    <w:rsid w:val="0E81E44E"/>
    <w:rsid w:val="0E87921B"/>
    <w:rsid w:val="0E8849F5"/>
    <w:rsid w:val="0E89378A"/>
    <w:rsid w:val="0E8CE324"/>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EF30E79"/>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CAC0B9"/>
    <w:rsid w:val="0FD0BC50"/>
    <w:rsid w:val="0FD176B3"/>
    <w:rsid w:val="0FDAE22A"/>
    <w:rsid w:val="0FDFF9D6"/>
    <w:rsid w:val="0FEE5BFF"/>
    <w:rsid w:val="0FEE5C56"/>
    <w:rsid w:val="0FFC000E"/>
    <w:rsid w:val="0FFD0A8A"/>
    <w:rsid w:val="0FFDC8B6"/>
    <w:rsid w:val="0FFFCC99"/>
    <w:rsid w:val="10058386"/>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0669"/>
    <w:rsid w:val="10571E8F"/>
    <w:rsid w:val="10575E49"/>
    <w:rsid w:val="105B74B9"/>
    <w:rsid w:val="105C2D84"/>
    <w:rsid w:val="1062C2B4"/>
    <w:rsid w:val="10652700"/>
    <w:rsid w:val="106CBE2A"/>
    <w:rsid w:val="1073C603"/>
    <w:rsid w:val="107A3B6A"/>
    <w:rsid w:val="107E4F99"/>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5F5C6C"/>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9167F"/>
    <w:rsid w:val="11EA3AC9"/>
    <w:rsid w:val="11EB5B3F"/>
    <w:rsid w:val="11F01ACE"/>
    <w:rsid w:val="11F39DD4"/>
    <w:rsid w:val="11F5BD4D"/>
    <w:rsid w:val="11FBCE4D"/>
    <w:rsid w:val="1201E7BA"/>
    <w:rsid w:val="120DA2F3"/>
    <w:rsid w:val="121D0441"/>
    <w:rsid w:val="12222ABC"/>
    <w:rsid w:val="12280D2C"/>
    <w:rsid w:val="122E5746"/>
    <w:rsid w:val="1230C4E5"/>
    <w:rsid w:val="1230EEC0"/>
    <w:rsid w:val="12315478"/>
    <w:rsid w:val="12327B83"/>
    <w:rsid w:val="1236F2E2"/>
    <w:rsid w:val="12438292"/>
    <w:rsid w:val="1243B3F7"/>
    <w:rsid w:val="1245C75E"/>
    <w:rsid w:val="1246200D"/>
    <w:rsid w:val="12476CF2"/>
    <w:rsid w:val="12481407"/>
    <w:rsid w:val="124C95F9"/>
    <w:rsid w:val="12588001"/>
    <w:rsid w:val="125D1C2A"/>
    <w:rsid w:val="125FF528"/>
    <w:rsid w:val="126893DB"/>
    <w:rsid w:val="12714633"/>
    <w:rsid w:val="12785A01"/>
    <w:rsid w:val="127BFE3E"/>
    <w:rsid w:val="128B9D8E"/>
    <w:rsid w:val="12960519"/>
    <w:rsid w:val="1299E83E"/>
    <w:rsid w:val="129AEDB2"/>
    <w:rsid w:val="129E9454"/>
    <w:rsid w:val="12AA0D21"/>
    <w:rsid w:val="12B3D45E"/>
    <w:rsid w:val="12C81231"/>
    <w:rsid w:val="12D3B518"/>
    <w:rsid w:val="12E63377"/>
    <w:rsid w:val="12EBA251"/>
    <w:rsid w:val="12EBA68C"/>
    <w:rsid w:val="12F8ABEF"/>
    <w:rsid w:val="1309BA8B"/>
    <w:rsid w:val="131889D8"/>
    <w:rsid w:val="131993D1"/>
    <w:rsid w:val="131AEA9F"/>
    <w:rsid w:val="131CC704"/>
    <w:rsid w:val="1322C784"/>
    <w:rsid w:val="132783E8"/>
    <w:rsid w:val="1327F958"/>
    <w:rsid w:val="1334CF72"/>
    <w:rsid w:val="1342327D"/>
    <w:rsid w:val="1356821B"/>
    <w:rsid w:val="1359AA5D"/>
    <w:rsid w:val="135B0680"/>
    <w:rsid w:val="1367CA0F"/>
    <w:rsid w:val="1369FBC4"/>
    <w:rsid w:val="136E3D2B"/>
    <w:rsid w:val="1376FCA8"/>
    <w:rsid w:val="138AE7A7"/>
    <w:rsid w:val="138FA817"/>
    <w:rsid w:val="1398B87C"/>
    <w:rsid w:val="139C7C60"/>
    <w:rsid w:val="139EB488"/>
    <w:rsid w:val="139F52F8"/>
    <w:rsid w:val="13A3282C"/>
    <w:rsid w:val="13AF1071"/>
    <w:rsid w:val="13B4B17E"/>
    <w:rsid w:val="13C04E32"/>
    <w:rsid w:val="13C4DA89"/>
    <w:rsid w:val="13CAF394"/>
    <w:rsid w:val="13D5BC0D"/>
    <w:rsid w:val="13DF7959"/>
    <w:rsid w:val="13EF3960"/>
    <w:rsid w:val="13F48298"/>
    <w:rsid w:val="13FBEAF9"/>
    <w:rsid w:val="140C49A0"/>
    <w:rsid w:val="140D01ED"/>
    <w:rsid w:val="14219016"/>
    <w:rsid w:val="142C81A3"/>
    <w:rsid w:val="142E34F5"/>
    <w:rsid w:val="142EB189"/>
    <w:rsid w:val="1435FA13"/>
    <w:rsid w:val="143808AB"/>
    <w:rsid w:val="143B009B"/>
    <w:rsid w:val="143B4E0A"/>
    <w:rsid w:val="14427D27"/>
    <w:rsid w:val="144E45B8"/>
    <w:rsid w:val="144F6E21"/>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AAF41"/>
    <w:rsid w:val="14CE6035"/>
    <w:rsid w:val="14CF4C06"/>
    <w:rsid w:val="14CF72B9"/>
    <w:rsid w:val="14D97FB3"/>
    <w:rsid w:val="14DBEE8B"/>
    <w:rsid w:val="14E36039"/>
    <w:rsid w:val="14E95180"/>
    <w:rsid w:val="14EBF46D"/>
    <w:rsid w:val="14EDE892"/>
    <w:rsid w:val="14EFE951"/>
    <w:rsid w:val="14F1D00E"/>
    <w:rsid w:val="14F6E516"/>
    <w:rsid w:val="14FE8BB7"/>
    <w:rsid w:val="14FF2D72"/>
    <w:rsid w:val="15023870"/>
    <w:rsid w:val="15029510"/>
    <w:rsid w:val="1510C4A7"/>
    <w:rsid w:val="152A291E"/>
    <w:rsid w:val="152CD493"/>
    <w:rsid w:val="153107A9"/>
    <w:rsid w:val="15358DEE"/>
    <w:rsid w:val="153E322C"/>
    <w:rsid w:val="154665F8"/>
    <w:rsid w:val="1550436E"/>
    <w:rsid w:val="1550BE52"/>
    <w:rsid w:val="15565003"/>
    <w:rsid w:val="1558A9B3"/>
    <w:rsid w:val="156CBC26"/>
    <w:rsid w:val="15715FFD"/>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20DC7"/>
    <w:rsid w:val="15E48628"/>
    <w:rsid w:val="15E91FAB"/>
    <w:rsid w:val="15EAC712"/>
    <w:rsid w:val="15F2CCCB"/>
    <w:rsid w:val="16016721"/>
    <w:rsid w:val="1603211B"/>
    <w:rsid w:val="1609876B"/>
    <w:rsid w:val="160A0CEC"/>
    <w:rsid w:val="161D56FA"/>
    <w:rsid w:val="1623616D"/>
    <w:rsid w:val="1626BE83"/>
    <w:rsid w:val="16277D16"/>
    <w:rsid w:val="16472D50"/>
    <w:rsid w:val="164ADE94"/>
    <w:rsid w:val="1654E5AC"/>
    <w:rsid w:val="1660D4FD"/>
    <w:rsid w:val="1665014A"/>
    <w:rsid w:val="1687D1D3"/>
    <w:rsid w:val="168A7DBA"/>
    <w:rsid w:val="168E7F01"/>
    <w:rsid w:val="1691B474"/>
    <w:rsid w:val="16925DD6"/>
    <w:rsid w:val="16952D5D"/>
    <w:rsid w:val="169B614F"/>
    <w:rsid w:val="169C8658"/>
    <w:rsid w:val="16A4FC85"/>
    <w:rsid w:val="16B5EBDE"/>
    <w:rsid w:val="16B783A1"/>
    <w:rsid w:val="16C56AF9"/>
    <w:rsid w:val="16C9C101"/>
    <w:rsid w:val="16CC63DB"/>
    <w:rsid w:val="16DCEA4E"/>
    <w:rsid w:val="16DCF15A"/>
    <w:rsid w:val="16DF91EA"/>
    <w:rsid w:val="16ECE8DB"/>
    <w:rsid w:val="16F1F8EB"/>
    <w:rsid w:val="16F75C7E"/>
    <w:rsid w:val="17003FDF"/>
    <w:rsid w:val="170311FA"/>
    <w:rsid w:val="17062643"/>
    <w:rsid w:val="17075E71"/>
    <w:rsid w:val="1718F50E"/>
    <w:rsid w:val="171D2644"/>
    <w:rsid w:val="171DA515"/>
    <w:rsid w:val="17200446"/>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A75579"/>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0F49C"/>
    <w:rsid w:val="18211C83"/>
    <w:rsid w:val="182532C6"/>
    <w:rsid w:val="182D3F4F"/>
    <w:rsid w:val="182FE5F1"/>
    <w:rsid w:val="183BFC43"/>
    <w:rsid w:val="184C0DAC"/>
    <w:rsid w:val="1850CE07"/>
    <w:rsid w:val="1857F148"/>
    <w:rsid w:val="1861B86B"/>
    <w:rsid w:val="1865D294"/>
    <w:rsid w:val="186CE692"/>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05E7A"/>
    <w:rsid w:val="18E602F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5AB7C"/>
    <w:rsid w:val="198662CE"/>
    <w:rsid w:val="1988AF53"/>
    <w:rsid w:val="198F4802"/>
    <w:rsid w:val="1990AFC0"/>
    <w:rsid w:val="1991B79F"/>
    <w:rsid w:val="1993182E"/>
    <w:rsid w:val="1994AFEE"/>
    <w:rsid w:val="1995FBB7"/>
    <w:rsid w:val="199F3C7C"/>
    <w:rsid w:val="19A33096"/>
    <w:rsid w:val="19A647C5"/>
    <w:rsid w:val="19AE57A3"/>
    <w:rsid w:val="19B3B276"/>
    <w:rsid w:val="19B3CF22"/>
    <w:rsid w:val="19BA111E"/>
    <w:rsid w:val="19C27FEE"/>
    <w:rsid w:val="19CBD6BF"/>
    <w:rsid w:val="19D65B52"/>
    <w:rsid w:val="19DE0B32"/>
    <w:rsid w:val="19E38740"/>
    <w:rsid w:val="19E59D65"/>
    <w:rsid w:val="19E64298"/>
    <w:rsid w:val="19EFE81D"/>
    <w:rsid w:val="19FAE58B"/>
    <w:rsid w:val="19FB9C0E"/>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0B29D"/>
    <w:rsid w:val="1A81449E"/>
    <w:rsid w:val="1A88922B"/>
    <w:rsid w:val="1A8F70A5"/>
    <w:rsid w:val="1A91E989"/>
    <w:rsid w:val="1A930996"/>
    <w:rsid w:val="1AB0FC41"/>
    <w:rsid w:val="1AB67701"/>
    <w:rsid w:val="1ABCC713"/>
    <w:rsid w:val="1AC047F2"/>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26E7BC"/>
    <w:rsid w:val="1B3003A4"/>
    <w:rsid w:val="1B48839A"/>
    <w:rsid w:val="1B4A3C92"/>
    <w:rsid w:val="1B4E266B"/>
    <w:rsid w:val="1B4FDB53"/>
    <w:rsid w:val="1B50FA9A"/>
    <w:rsid w:val="1B5474DB"/>
    <w:rsid w:val="1B56E69F"/>
    <w:rsid w:val="1B5CBF1D"/>
    <w:rsid w:val="1B5F30FC"/>
    <w:rsid w:val="1B6B81CC"/>
    <w:rsid w:val="1B6FD129"/>
    <w:rsid w:val="1B7020FE"/>
    <w:rsid w:val="1B718944"/>
    <w:rsid w:val="1B79EE4B"/>
    <w:rsid w:val="1B80C9BC"/>
    <w:rsid w:val="1B859C53"/>
    <w:rsid w:val="1B86BD39"/>
    <w:rsid w:val="1B8C4851"/>
    <w:rsid w:val="1B99EC1E"/>
    <w:rsid w:val="1B9B209A"/>
    <w:rsid w:val="1BB0AD16"/>
    <w:rsid w:val="1BBF4C71"/>
    <w:rsid w:val="1BC41978"/>
    <w:rsid w:val="1BC576C6"/>
    <w:rsid w:val="1BC6577E"/>
    <w:rsid w:val="1BC70BDB"/>
    <w:rsid w:val="1BDC1AA7"/>
    <w:rsid w:val="1BDC2DA8"/>
    <w:rsid w:val="1BE088AD"/>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8A5D4"/>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7F3B87"/>
    <w:rsid w:val="1D80DABA"/>
    <w:rsid w:val="1D817B1E"/>
    <w:rsid w:val="1D89809A"/>
    <w:rsid w:val="1D90C97A"/>
    <w:rsid w:val="1D91D7B7"/>
    <w:rsid w:val="1D922306"/>
    <w:rsid w:val="1D983FA2"/>
    <w:rsid w:val="1D993855"/>
    <w:rsid w:val="1DA4928F"/>
    <w:rsid w:val="1DAA4F35"/>
    <w:rsid w:val="1DACD1DF"/>
    <w:rsid w:val="1DB6F976"/>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8CBB4"/>
    <w:rsid w:val="1E3CD8B9"/>
    <w:rsid w:val="1E440D10"/>
    <w:rsid w:val="1E500964"/>
    <w:rsid w:val="1E547389"/>
    <w:rsid w:val="1E5DCF97"/>
    <w:rsid w:val="1E609773"/>
    <w:rsid w:val="1E6F6B16"/>
    <w:rsid w:val="1E7DCDAD"/>
    <w:rsid w:val="1E81D2E8"/>
    <w:rsid w:val="1E854F5A"/>
    <w:rsid w:val="1E857111"/>
    <w:rsid w:val="1E891D7E"/>
    <w:rsid w:val="1E8EAA73"/>
    <w:rsid w:val="1E9294D0"/>
    <w:rsid w:val="1E99A35F"/>
    <w:rsid w:val="1E9F25E9"/>
    <w:rsid w:val="1EA4DFB4"/>
    <w:rsid w:val="1EA95D85"/>
    <w:rsid w:val="1EAAF3E6"/>
    <w:rsid w:val="1EAE1267"/>
    <w:rsid w:val="1EAF75BB"/>
    <w:rsid w:val="1EB0EB18"/>
    <w:rsid w:val="1EB273B2"/>
    <w:rsid w:val="1EBD5B1E"/>
    <w:rsid w:val="1EC1976B"/>
    <w:rsid w:val="1EC97523"/>
    <w:rsid w:val="1ECBF7D5"/>
    <w:rsid w:val="1ED55580"/>
    <w:rsid w:val="1EDB077B"/>
    <w:rsid w:val="1EE3A42A"/>
    <w:rsid w:val="1EE57F4C"/>
    <w:rsid w:val="1EE8AA6C"/>
    <w:rsid w:val="1EE9C65E"/>
    <w:rsid w:val="1EEA9534"/>
    <w:rsid w:val="1EEDA857"/>
    <w:rsid w:val="1EF105A3"/>
    <w:rsid w:val="1EF236CE"/>
    <w:rsid w:val="1EF3F83D"/>
    <w:rsid w:val="1EF4C7D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A3505C"/>
    <w:rsid w:val="1FBACB2C"/>
    <w:rsid w:val="1FC41585"/>
    <w:rsid w:val="1FC6C823"/>
    <w:rsid w:val="1FC8F387"/>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29A6"/>
    <w:rsid w:val="203A3395"/>
    <w:rsid w:val="203C02A4"/>
    <w:rsid w:val="2049C900"/>
    <w:rsid w:val="204B51D1"/>
    <w:rsid w:val="2057034E"/>
    <w:rsid w:val="206026CE"/>
    <w:rsid w:val="2069EE20"/>
    <w:rsid w:val="206AD2C5"/>
    <w:rsid w:val="206E0D72"/>
    <w:rsid w:val="206F0543"/>
    <w:rsid w:val="2079835D"/>
    <w:rsid w:val="2082A3BB"/>
    <w:rsid w:val="20891A80"/>
    <w:rsid w:val="208B8171"/>
    <w:rsid w:val="209B6D8C"/>
    <w:rsid w:val="209D54AD"/>
    <w:rsid w:val="20A8DE77"/>
    <w:rsid w:val="20B7CD1F"/>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0C451"/>
    <w:rsid w:val="21959B03"/>
    <w:rsid w:val="2199C8D8"/>
    <w:rsid w:val="219CEC02"/>
    <w:rsid w:val="219D9F86"/>
    <w:rsid w:val="21A07408"/>
    <w:rsid w:val="21AA25E9"/>
    <w:rsid w:val="21B83E92"/>
    <w:rsid w:val="21BDD829"/>
    <w:rsid w:val="21BF132D"/>
    <w:rsid w:val="21C0E414"/>
    <w:rsid w:val="21C35C60"/>
    <w:rsid w:val="21CFB3C9"/>
    <w:rsid w:val="21DE5D40"/>
    <w:rsid w:val="21DEA715"/>
    <w:rsid w:val="21E17470"/>
    <w:rsid w:val="21ED3495"/>
    <w:rsid w:val="21F98C4E"/>
    <w:rsid w:val="21FA6FEB"/>
    <w:rsid w:val="21FD5F8C"/>
    <w:rsid w:val="21FE9437"/>
    <w:rsid w:val="220BE4CB"/>
    <w:rsid w:val="220DA9A1"/>
    <w:rsid w:val="220DD474"/>
    <w:rsid w:val="22181FC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38EB2"/>
    <w:rsid w:val="2266CC2E"/>
    <w:rsid w:val="22673F94"/>
    <w:rsid w:val="2273A304"/>
    <w:rsid w:val="2279FE3B"/>
    <w:rsid w:val="22861AC5"/>
    <w:rsid w:val="228BBEEB"/>
    <w:rsid w:val="228CD828"/>
    <w:rsid w:val="22924796"/>
    <w:rsid w:val="22930485"/>
    <w:rsid w:val="22957868"/>
    <w:rsid w:val="2298C731"/>
    <w:rsid w:val="229C6C73"/>
    <w:rsid w:val="22A60E38"/>
    <w:rsid w:val="22B09330"/>
    <w:rsid w:val="22BBF385"/>
    <w:rsid w:val="22BDC043"/>
    <w:rsid w:val="22C5B95F"/>
    <w:rsid w:val="22CEECD2"/>
    <w:rsid w:val="22D29E1C"/>
    <w:rsid w:val="22D84ABE"/>
    <w:rsid w:val="22E1E303"/>
    <w:rsid w:val="22E4A53A"/>
    <w:rsid w:val="22F13239"/>
    <w:rsid w:val="22FA3F19"/>
    <w:rsid w:val="2307314F"/>
    <w:rsid w:val="230D2A47"/>
    <w:rsid w:val="2312A507"/>
    <w:rsid w:val="23136655"/>
    <w:rsid w:val="2317E18D"/>
    <w:rsid w:val="2318ABC2"/>
    <w:rsid w:val="231D0FE3"/>
    <w:rsid w:val="232C6C20"/>
    <w:rsid w:val="232CE13F"/>
    <w:rsid w:val="2332BF10"/>
    <w:rsid w:val="2333C8AB"/>
    <w:rsid w:val="23430271"/>
    <w:rsid w:val="234462DE"/>
    <w:rsid w:val="234577C9"/>
    <w:rsid w:val="2349957D"/>
    <w:rsid w:val="23549325"/>
    <w:rsid w:val="23559B53"/>
    <w:rsid w:val="2358A8A1"/>
    <w:rsid w:val="235D8444"/>
    <w:rsid w:val="23617498"/>
    <w:rsid w:val="2364B1E0"/>
    <w:rsid w:val="23690799"/>
    <w:rsid w:val="237AC62C"/>
    <w:rsid w:val="237DD91C"/>
    <w:rsid w:val="2384C9DC"/>
    <w:rsid w:val="238554B1"/>
    <w:rsid w:val="2385CDEE"/>
    <w:rsid w:val="23A02B75"/>
    <w:rsid w:val="23A2D28B"/>
    <w:rsid w:val="23A794FD"/>
    <w:rsid w:val="23A7FE9E"/>
    <w:rsid w:val="23AEFF54"/>
    <w:rsid w:val="23AFB5F4"/>
    <w:rsid w:val="23B59799"/>
    <w:rsid w:val="23BAB814"/>
    <w:rsid w:val="23BDC58B"/>
    <w:rsid w:val="23BDEAF0"/>
    <w:rsid w:val="23BDFA57"/>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3BA505"/>
    <w:rsid w:val="244667BC"/>
    <w:rsid w:val="24511224"/>
    <w:rsid w:val="2451EF0B"/>
    <w:rsid w:val="24596EA8"/>
    <w:rsid w:val="2459DA0A"/>
    <w:rsid w:val="245EF039"/>
    <w:rsid w:val="2462FAFF"/>
    <w:rsid w:val="24656EE4"/>
    <w:rsid w:val="246E1B00"/>
    <w:rsid w:val="246F8569"/>
    <w:rsid w:val="24804F4A"/>
    <w:rsid w:val="24828DA8"/>
    <w:rsid w:val="2486BEDA"/>
    <w:rsid w:val="24898F24"/>
    <w:rsid w:val="249058C3"/>
    <w:rsid w:val="24977B5F"/>
    <w:rsid w:val="249A7447"/>
    <w:rsid w:val="24A1F59C"/>
    <w:rsid w:val="24AB615B"/>
    <w:rsid w:val="24AD5046"/>
    <w:rsid w:val="24C0C84A"/>
    <w:rsid w:val="24C1600F"/>
    <w:rsid w:val="24C5B0DB"/>
    <w:rsid w:val="24C90405"/>
    <w:rsid w:val="24CD05C4"/>
    <w:rsid w:val="24CD77D8"/>
    <w:rsid w:val="24D47823"/>
    <w:rsid w:val="24DA1E74"/>
    <w:rsid w:val="24E5D003"/>
    <w:rsid w:val="24ED8D27"/>
    <w:rsid w:val="24F36EB1"/>
    <w:rsid w:val="24F56938"/>
    <w:rsid w:val="24F61A9C"/>
    <w:rsid w:val="24FD5451"/>
    <w:rsid w:val="24FF0CF8"/>
    <w:rsid w:val="2501B54E"/>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2AF5F"/>
    <w:rsid w:val="2593270D"/>
    <w:rsid w:val="2595058A"/>
    <w:rsid w:val="25A1C32B"/>
    <w:rsid w:val="25AC97F5"/>
    <w:rsid w:val="25B93BB5"/>
    <w:rsid w:val="25B97A34"/>
    <w:rsid w:val="25BD04CC"/>
    <w:rsid w:val="25C78F8C"/>
    <w:rsid w:val="25D3BF5A"/>
    <w:rsid w:val="25DF2D03"/>
    <w:rsid w:val="25E2C1E7"/>
    <w:rsid w:val="25E769BD"/>
    <w:rsid w:val="25E8A1BB"/>
    <w:rsid w:val="25F3D09F"/>
    <w:rsid w:val="260160ED"/>
    <w:rsid w:val="260B1F70"/>
    <w:rsid w:val="260F92EB"/>
    <w:rsid w:val="261033D2"/>
    <w:rsid w:val="261A371D"/>
    <w:rsid w:val="2621FC2A"/>
    <w:rsid w:val="2622290E"/>
    <w:rsid w:val="26266964"/>
    <w:rsid w:val="2629EB71"/>
    <w:rsid w:val="262A8EA5"/>
    <w:rsid w:val="2636325A"/>
    <w:rsid w:val="263A5CC8"/>
    <w:rsid w:val="263AA9E3"/>
    <w:rsid w:val="263ED2F2"/>
    <w:rsid w:val="264B86DE"/>
    <w:rsid w:val="264F36F7"/>
    <w:rsid w:val="2654D74C"/>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602EE"/>
    <w:rsid w:val="26FC88FB"/>
    <w:rsid w:val="27008914"/>
    <w:rsid w:val="27012B09"/>
    <w:rsid w:val="2704E89C"/>
    <w:rsid w:val="2705791A"/>
    <w:rsid w:val="27059A38"/>
    <w:rsid w:val="270B8391"/>
    <w:rsid w:val="270E3B3F"/>
    <w:rsid w:val="27177B49"/>
    <w:rsid w:val="271B402D"/>
    <w:rsid w:val="272DB753"/>
    <w:rsid w:val="272EDAA0"/>
    <w:rsid w:val="2733E8FB"/>
    <w:rsid w:val="2738ABD6"/>
    <w:rsid w:val="2738EEEB"/>
    <w:rsid w:val="274DBA73"/>
    <w:rsid w:val="274F9249"/>
    <w:rsid w:val="275876B3"/>
    <w:rsid w:val="275DA61D"/>
    <w:rsid w:val="275F1280"/>
    <w:rsid w:val="276219AF"/>
    <w:rsid w:val="27646C01"/>
    <w:rsid w:val="27658C8D"/>
    <w:rsid w:val="276B08AA"/>
    <w:rsid w:val="276BC2AD"/>
    <w:rsid w:val="277AC9D0"/>
    <w:rsid w:val="277D5E33"/>
    <w:rsid w:val="278761B7"/>
    <w:rsid w:val="2791A586"/>
    <w:rsid w:val="279C2174"/>
    <w:rsid w:val="27A3CD14"/>
    <w:rsid w:val="27AADD42"/>
    <w:rsid w:val="27AD636A"/>
    <w:rsid w:val="27B47239"/>
    <w:rsid w:val="27C0DD7A"/>
    <w:rsid w:val="27C65389"/>
    <w:rsid w:val="27CB7B6F"/>
    <w:rsid w:val="27CE4B22"/>
    <w:rsid w:val="27D44C81"/>
    <w:rsid w:val="27D6DDA6"/>
    <w:rsid w:val="27F04574"/>
    <w:rsid w:val="27F72580"/>
    <w:rsid w:val="27F79EF0"/>
    <w:rsid w:val="27FFC95E"/>
    <w:rsid w:val="280B8D0D"/>
    <w:rsid w:val="280D1C9C"/>
    <w:rsid w:val="281563B3"/>
    <w:rsid w:val="281CBC23"/>
    <w:rsid w:val="281E410B"/>
    <w:rsid w:val="2820B98A"/>
    <w:rsid w:val="282364BA"/>
    <w:rsid w:val="2824F849"/>
    <w:rsid w:val="282638F9"/>
    <w:rsid w:val="282BA389"/>
    <w:rsid w:val="282D8B29"/>
    <w:rsid w:val="283389EA"/>
    <w:rsid w:val="2839A62C"/>
    <w:rsid w:val="283A32D8"/>
    <w:rsid w:val="283C227E"/>
    <w:rsid w:val="283D3C0B"/>
    <w:rsid w:val="283F6293"/>
    <w:rsid w:val="28448B43"/>
    <w:rsid w:val="2848509C"/>
    <w:rsid w:val="2849F0D7"/>
    <w:rsid w:val="28527184"/>
    <w:rsid w:val="28532361"/>
    <w:rsid w:val="285ADC3E"/>
    <w:rsid w:val="285FF6CA"/>
    <w:rsid w:val="2861469A"/>
    <w:rsid w:val="2862FA82"/>
    <w:rsid w:val="28674C93"/>
    <w:rsid w:val="287405D3"/>
    <w:rsid w:val="287EF01A"/>
    <w:rsid w:val="2885576E"/>
    <w:rsid w:val="28866289"/>
    <w:rsid w:val="2889D630"/>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45FBE"/>
    <w:rsid w:val="291B8600"/>
    <w:rsid w:val="291FFCDA"/>
    <w:rsid w:val="29309134"/>
    <w:rsid w:val="29405913"/>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18EEF"/>
    <w:rsid w:val="29C3B0F6"/>
    <w:rsid w:val="29C9AA51"/>
    <w:rsid w:val="29CA1D6D"/>
    <w:rsid w:val="29D81DB3"/>
    <w:rsid w:val="29DBAAC3"/>
    <w:rsid w:val="29DEE05C"/>
    <w:rsid w:val="29EE3EB0"/>
    <w:rsid w:val="29EFEC18"/>
    <w:rsid w:val="29F38DA4"/>
    <w:rsid w:val="2A0B0719"/>
    <w:rsid w:val="2A1A2788"/>
    <w:rsid w:val="2A2469F3"/>
    <w:rsid w:val="2A4138F3"/>
    <w:rsid w:val="2A42C0C4"/>
    <w:rsid w:val="2A4C4F89"/>
    <w:rsid w:val="2A4D6EA6"/>
    <w:rsid w:val="2A4DD80B"/>
    <w:rsid w:val="2A553E11"/>
    <w:rsid w:val="2A562DEA"/>
    <w:rsid w:val="2A5B8318"/>
    <w:rsid w:val="2A5D3D4E"/>
    <w:rsid w:val="2A6A03DA"/>
    <w:rsid w:val="2A71C88D"/>
    <w:rsid w:val="2A80CA6F"/>
    <w:rsid w:val="2A84AC4E"/>
    <w:rsid w:val="2A883328"/>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9E212"/>
    <w:rsid w:val="2B1AB9FA"/>
    <w:rsid w:val="2B20FE88"/>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11BA5"/>
    <w:rsid w:val="2B84CD68"/>
    <w:rsid w:val="2B93E4D5"/>
    <w:rsid w:val="2B95590D"/>
    <w:rsid w:val="2B9831CB"/>
    <w:rsid w:val="2B989337"/>
    <w:rsid w:val="2B9DEF27"/>
    <w:rsid w:val="2B9E91AC"/>
    <w:rsid w:val="2BA09AFC"/>
    <w:rsid w:val="2BA2B320"/>
    <w:rsid w:val="2BA423A9"/>
    <w:rsid w:val="2BA43252"/>
    <w:rsid w:val="2BBAE832"/>
    <w:rsid w:val="2BC14A3B"/>
    <w:rsid w:val="2BC3103A"/>
    <w:rsid w:val="2BD61BCA"/>
    <w:rsid w:val="2BDF408C"/>
    <w:rsid w:val="2BDF5CD3"/>
    <w:rsid w:val="2BE18406"/>
    <w:rsid w:val="2BE568BD"/>
    <w:rsid w:val="2C13B15C"/>
    <w:rsid w:val="2C17B5F3"/>
    <w:rsid w:val="2C1A0021"/>
    <w:rsid w:val="2C1BE03F"/>
    <w:rsid w:val="2C1DA3F2"/>
    <w:rsid w:val="2C3A424E"/>
    <w:rsid w:val="2C463F24"/>
    <w:rsid w:val="2C4E59D8"/>
    <w:rsid w:val="2C596B04"/>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E6ECAD"/>
    <w:rsid w:val="2CF2965F"/>
    <w:rsid w:val="2CFB1EB3"/>
    <w:rsid w:val="2D1659F1"/>
    <w:rsid w:val="2D22351C"/>
    <w:rsid w:val="2D24700F"/>
    <w:rsid w:val="2D3EA500"/>
    <w:rsid w:val="2D47B17E"/>
    <w:rsid w:val="2D4B939A"/>
    <w:rsid w:val="2D500368"/>
    <w:rsid w:val="2D5EBFFA"/>
    <w:rsid w:val="2D5F7125"/>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23F89"/>
    <w:rsid w:val="2DB772BD"/>
    <w:rsid w:val="2DBFDEC7"/>
    <w:rsid w:val="2DC9F2A6"/>
    <w:rsid w:val="2DD07E21"/>
    <w:rsid w:val="2DD6FE03"/>
    <w:rsid w:val="2DD7B8FF"/>
    <w:rsid w:val="2DD87228"/>
    <w:rsid w:val="2DE6A56E"/>
    <w:rsid w:val="2DEED7EB"/>
    <w:rsid w:val="2DF5252F"/>
    <w:rsid w:val="2E1D4C0B"/>
    <w:rsid w:val="2E1E1E51"/>
    <w:rsid w:val="2E300717"/>
    <w:rsid w:val="2E346B04"/>
    <w:rsid w:val="2E36901C"/>
    <w:rsid w:val="2E42D3DB"/>
    <w:rsid w:val="2E478524"/>
    <w:rsid w:val="2E47E456"/>
    <w:rsid w:val="2E4BA64B"/>
    <w:rsid w:val="2E557D5D"/>
    <w:rsid w:val="2E5D10B3"/>
    <w:rsid w:val="2E5DD906"/>
    <w:rsid w:val="2E60D77A"/>
    <w:rsid w:val="2E618D02"/>
    <w:rsid w:val="2E6B39C3"/>
    <w:rsid w:val="2E72C9F7"/>
    <w:rsid w:val="2E76336D"/>
    <w:rsid w:val="2E78429C"/>
    <w:rsid w:val="2E7B4905"/>
    <w:rsid w:val="2E83E9C8"/>
    <w:rsid w:val="2E842D8D"/>
    <w:rsid w:val="2E8D3F6E"/>
    <w:rsid w:val="2E91F032"/>
    <w:rsid w:val="2E9314C8"/>
    <w:rsid w:val="2E954CEA"/>
    <w:rsid w:val="2E9D1AEC"/>
    <w:rsid w:val="2EA2E6C5"/>
    <w:rsid w:val="2EAA4792"/>
    <w:rsid w:val="2EBA4EFF"/>
    <w:rsid w:val="2ECF51CA"/>
    <w:rsid w:val="2ED68464"/>
    <w:rsid w:val="2ED88D6D"/>
    <w:rsid w:val="2EDFDE37"/>
    <w:rsid w:val="2EE8A453"/>
    <w:rsid w:val="2EE96E07"/>
    <w:rsid w:val="2EEC2367"/>
    <w:rsid w:val="2EF93B01"/>
    <w:rsid w:val="2F0F146A"/>
    <w:rsid w:val="2F22CE76"/>
    <w:rsid w:val="2F24B6E3"/>
    <w:rsid w:val="2F2FA55D"/>
    <w:rsid w:val="2F31516B"/>
    <w:rsid w:val="2F331931"/>
    <w:rsid w:val="2F3F3164"/>
    <w:rsid w:val="2F59A7D2"/>
    <w:rsid w:val="2F62CA80"/>
    <w:rsid w:val="2F6A3E54"/>
    <w:rsid w:val="2F6B7131"/>
    <w:rsid w:val="2F6BF27E"/>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2A957"/>
    <w:rsid w:val="3024507C"/>
    <w:rsid w:val="30365417"/>
    <w:rsid w:val="303E872C"/>
    <w:rsid w:val="30441699"/>
    <w:rsid w:val="30468AFF"/>
    <w:rsid w:val="30513667"/>
    <w:rsid w:val="30683194"/>
    <w:rsid w:val="30695A66"/>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DEFE99"/>
    <w:rsid w:val="30E053E1"/>
    <w:rsid w:val="30E18B66"/>
    <w:rsid w:val="30EC145B"/>
    <w:rsid w:val="30EE4E03"/>
    <w:rsid w:val="30F1459B"/>
    <w:rsid w:val="30F54909"/>
    <w:rsid w:val="310A65A1"/>
    <w:rsid w:val="310E9956"/>
    <w:rsid w:val="311C8A3D"/>
    <w:rsid w:val="31218DBA"/>
    <w:rsid w:val="3121CF5F"/>
    <w:rsid w:val="3126FA94"/>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5309B"/>
    <w:rsid w:val="319F6826"/>
    <w:rsid w:val="31B0B792"/>
    <w:rsid w:val="31BB9A13"/>
    <w:rsid w:val="31C3576F"/>
    <w:rsid w:val="31C7F88F"/>
    <w:rsid w:val="31CD587E"/>
    <w:rsid w:val="31D0AA64"/>
    <w:rsid w:val="31E0D56C"/>
    <w:rsid w:val="31E5A31F"/>
    <w:rsid w:val="31E73437"/>
    <w:rsid w:val="31F4B7AC"/>
    <w:rsid w:val="31F93B81"/>
    <w:rsid w:val="31FD699B"/>
    <w:rsid w:val="320369EC"/>
    <w:rsid w:val="320A26CB"/>
    <w:rsid w:val="32130196"/>
    <w:rsid w:val="321D440D"/>
    <w:rsid w:val="321E3A26"/>
    <w:rsid w:val="3220FE38"/>
    <w:rsid w:val="32211747"/>
    <w:rsid w:val="32313713"/>
    <w:rsid w:val="323978BD"/>
    <w:rsid w:val="323C4E02"/>
    <w:rsid w:val="324197F6"/>
    <w:rsid w:val="3243D623"/>
    <w:rsid w:val="324B3969"/>
    <w:rsid w:val="32528E6F"/>
    <w:rsid w:val="3256507B"/>
    <w:rsid w:val="3260E91B"/>
    <w:rsid w:val="326A0ADF"/>
    <w:rsid w:val="326D4289"/>
    <w:rsid w:val="32747896"/>
    <w:rsid w:val="3277D673"/>
    <w:rsid w:val="327AE989"/>
    <w:rsid w:val="328552FE"/>
    <w:rsid w:val="3287DE52"/>
    <w:rsid w:val="32911FD5"/>
    <w:rsid w:val="3295CC1C"/>
    <w:rsid w:val="32988F06"/>
    <w:rsid w:val="329BCFF2"/>
    <w:rsid w:val="32B205F3"/>
    <w:rsid w:val="32BB49DD"/>
    <w:rsid w:val="32BCC62B"/>
    <w:rsid w:val="32BF3E4F"/>
    <w:rsid w:val="32C17EF7"/>
    <w:rsid w:val="32CA3633"/>
    <w:rsid w:val="32CB4E4F"/>
    <w:rsid w:val="32CFF6AF"/>
    <w:rsid w:val="32D12714"/>
    <w:rsid w:val="32D436E1"/>
    <w:rsid w:val="32D85191"/>
    <w:rsid w:val="32DA0B58"/>
    <w:rsid w:val="32E1628F"/>
    <w:rsid w:val="32EF9D26"/>
    <w:rsid w:val="32FC17CA"/>
    <w:rsid w:val="33170EBC"/>
    <w:rsid w:val="3320C33A"/>
    <w:rsid w:val="3322C424"/>
    <w:rsid w:val="3326F06C"/>
    <w:rsid w:val="332917A9"/>
    <w:rsid w:val="332A74B4"/>
    <w:rsid w:val="332D8B71"/>
    <w:rsid w:val="33384AD2"/>
    <w:rsid w:val="333A1D82"/>
    <w:rsid w:val="333C798D"/>
    <w:rsid w:val="333D54F1"/>
    <w:rsid w:val="334E007B"/>
    <w:rsid w:val="3356152F"/>
    <w:rsid w:val="33588654"/>
    <w:rsid w:val="335BC38D"/>
    <w:rsid w:val="3366F487"/>
    <w:rsid w:val="336AD1DC"/>
    <w:rsid w:val="336D61C7"/>
    <w:rsid w:val="3371D49A"/>
    <w:rsid w:val="33751170"/>
    <w:rsid w:val="3375F1B7"/>
    <w:rsid w:val="33778031"/>
    <w:rsid w:val="3386B7D9"/>
    <w:rsid w:val="338AB9C8"/>
    <w:rsid w:val="338E061B"/>
    <w:rsid w:val="3398EAFA"/>
    <w:rsid w:val="33A32B6B"/>
    <w:rsid w:val="33A5FA13"/>
    <w:rsid w:val="33A7D529"/>
    <w:rsid w:val="33B2463F"/>
    <w:rsid w:val="33B67AC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A481C"/>
    <w:rsid w:val="344F4653"/>
    <w:rsid w:val="345E9AC5"/>
    <w:rsid w:val="34634794"/>
    <w:rsid w:val="34640DF4"/>
    <w:rsid w:val="346691FF"/>
    <w:rsid w:val="34691E44"/>
    <w:rsid w:val="3469E67F"/>
    <w:rsid w:val="346C6B04"/>
    <w:rsid w:val="346C986D"/>
    <w:rsid w:val="34810148"/>
    <w:rsid w:val="348220BF"/>
    <w:rsid w:val="348B9F71"/>
    <w:rsid w:val="348D998F"/>
    <w:rsid w:val="348E2DCF"/>
    <w:rsid w:val="3498CC9E"/>
    <w:rsid w:val="349A387A"/>
    <w:rsid w:val="349D6887"/>
    <w:rsid w:val="34A1E012"/>
    <w:rsid w:val="34A4C36C"/>
    <w:rsid w:val="34AEC0E9"/>
    <w:rsid w:val="34B43D3A"/>
    <w:rsid w:val="34B473B1"/>
    <w:rsid w:val="34B71837"/>
    <w:rsid w:val="34B7E50F"/>
    <w:rsid w:val="34BD57D4"/>
    <w:rsid w:val="34C3FA8D"/>
    <w:rsid w:val="34D1E378"/>
    <w:rsid w:val="34D83078"/>
    <w:rsid w:val="34DFA4A6"/>
    <w:rsid w:val="34E6361F"/>
    <w:rsid w:val="34EA86E7"/>
    <w:rsid w:val="34EC0116"/>
    <w:rsid w:val="35079B86"/>
    <w:rsid w:val="3507D716"/>
    <w:rsid w:val="350E06A2"/>
    <w:rsid w:val="35142C5B"/>
    <w:rsid w:val="35152EF8"/>
    <w:rsid w:val="3534E97F"/>
    <w:rsid w:val="353E1F1D"/>
    <w:rsid w:val="354887B3"/>
    <w:rsid w:val="3556AE9D"/>
    <w:rsid w:val="355C2431"/>
    <w:rsid w:val="355EFE6C"/>
    <w:rsid w:val="3563C6B7"/>
    <w:rsid w:val="356FCD4C"/>
    <w:rsid w:val="357C769B"/>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0F18"/>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8DD58"/>
    <w:rsid w:val="365C5DA2"/>
    <w:rsid w:val="3663ACD4"/>
    <w:rsid w:val="36665552"/>
    <w:rsid w:val="366F8854"/>
    <w:rsid w:val="367205EE"/>
    <w:rsid w:val="36799CAF"/>
    <w:rsid w:val="367C297A"/>
    <w:rsid w:val="36863223"/>
    <w:rsid w:val="3686DD78"/>
    <w:rsid w:val="36892A50"/>
    <w:rsid w:val="36979D93"/>
    <w:rsid w:val="369C392B"/>
    <w:rsid w:val="36A78198"/>
    <w:rsid w:val="36AB98CE"/>
    <w:rsid w:val="36ABEE97"/>
    <w:rsid w:val="36AC33CD"/>
    <w:rsid w:val="36CFD159"/>
    <w:rsid w:val="36E4539C"/>
    <w:rsid w:val="36F21017"/>
    <w:rsid w:val="36F3FCF9"/>
    <w:rsid w:val="36F42E76"/>
    <w:rsid w:val="36F48F9C"/>
    <w:rsid w:val="36F836AC"/>
    <w:rsid w:val="36FFF3EB"/>
    <w:rsid w:val="3710C8F6"/>
    <w:rsid w:val="37110C80"/>
    <w:rsid w:val="37195FE2"/>
    <w:rsid w:val="371A7F1A"/>
    <w:rsid w:val="373961D7"/>
    <w:rsid w:val="374A13A5"/>
    <w:rsid w:val="374E915C"/>
    <w:rsid w:val="37514D84"/>
    <w:rsid w:val="37525E74"/>
    <w:rsid w:val="3786B7B5"/>
    <w:rsid w:val="3788717E"/>
    <w:rsid w:val="378CDFDD"/>
    <w:rsid w:val="37921974"/>
    <w:rsid w:val="379986A2"/>
    <w:rsid w:val="3799B033"/>
    <w:rsid w:val="379B2543"/>
    <w:rsid w:val="379D9D18"/>
    <w:rsid w:val="37A0FF56"/>
    <w:rsid w:val="37A3F95A"/>
    <w:rsid w:val="37ABC0AC"/>
    <w:rsid w:val="37B0DD0A"/>
    <w:rsid w:val="37B184F0"/>
    <w:rsid w:val="37B45393"/>
    <w:rsid w:val="37BCE76D"/>
    <w:rsid w:val="37C1DB7E"/>
    <w:rsid w:val="37D0D06C"/>
    <w:rsid w:val="37D451A3"/>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3524D"/>
    <w:rsid w:val="382E2887"/>
    <w:rsid w:val="38379FD1"/>
    <w:rsid w:val="3838CD51"/>
    <w:rsid w:val="38396B9C"/>
    <w:rsid w:val="38475D89"/>
    <w:rsid w:val="384E20C0"/>
    <w:rsid w:val="386374A6"/>
    <w:rsid w:val="386719CE"/>
    <w:rsid w:val="386C5572"/>
    <w:rsid w:val="38702FBF"/>
    <w:rsid w:val="387929C2"/>
    <w:rsid w:val="387A6BC4"/>
    <w:rsid w:val="387F0BFA"/>
    <w:rsid w:val="3885B5C1"/>
    <w:rsid w:val="388822FB"/>
    <w:rsid w:val="3889BFFC"/>
    <w:rsid w:val="3890C55C"/>
    <w:rsid w:val="3897A1B6"/>
    <w:rsid w:val="38A220DD"/>
    <w:rsid w:val="38A5A241"/>
    <w:rsid w:val="38AFB574"/>
    <w:rsid w:val="38AFEBE3"/>
    <w:rsid w:val="38B0CC55"/>
    <w:rsid w:val="38B9C9CB"/>
    <w:rsid w:val="38BCEA8F"/>
    <w:rsid w:val="38BDE0FE"/>
    <w:rsid w:val="38C463F1"/>
    <w:rsid w:val="38C8285F"/>
    <w:rsid w:val="38CF89F1"/>
    <w:rsid w:val="38D75118"/>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BF0B5"/>
    <w:rsid w:val="392FAD24"/>
    <w:rsid w:val="3933466C"/>
    <w:rsid w:val="39387C02"/>
    <w:rsid w:val="3939198C"/>
    <w:rsid w:val="39404A7B"/>
    <w:rsid w:val="3947974A"/>
    <w:rsid w:val="394F19F1"/>
    <w:rsid w:val="395349AA"/>
    <w:rsid w:val="39561510"/>
    <w:rsid w:val="3965FF7B"/>
    <w:rsid w:val="3970EF1E"/>
    <w:rsid w:val="397731AE"/>
    <w:rsid w:val="397BC359"/>
    <w:rsid w:val="397C30BA"/>
    <w:rsid w:val="397ED8B9"/>
    <w:rsid w:val="39831984"/>
    <w:rsid w:val="398473CA"/>
    <w:rsid w:val="39883837"/>
    <w:rsid w:val="398C505C"/>
    <w:rsid w:val="39928086"/>
    <w:rsid w:val="39A83627"/>
    <w:rsid w:val="39AD59B6"/>
    <w:rsid w:val="39AD7F4F"/>
    <w:rsid w:val="39AE0BC4"/>
    <w:rsid w:val="39B346F9"/>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63FC2A"/>
    <w:rsid w:val="3A6B9A82"/>
    <w:rsid w:val="3A70A601"/>
    <w:rsid w:val="3A743883"/>
    <w:rsid w:val="3A785D7E"/>
    <w:rsid w:val="3A903CD4"/>
    <w:rsid w:val="3A9F5701"/>
    <w:rsid w:val="3AA169E0"/>
    <w:rsid w:val="3AA8D4A7"/>
    <w:rsid w:val="3AB983FC"/>
    <w:rsid w:val="3ABB6BA0"/>
    <w:rsid w:val="3AC86B22"/>
    <w:rsid w:val="3ACA6815"/>
    <w:rsid w:val="3ACBE2A8"/>
    <w:rsid w:val="3ACE7AA8"/>
    <w:rsid w:val="3AD4B8C2"/>
    <w:rsid w:val="3AD5E608"/>
    <w:rsid w:val="3AD665D9"/>
    <w:rsid w:val="3AD6A431"/>
    <w:rsid w:val="3ADDDA38"/>
    <w:rsid w:val="3AE90B29"/>
    <w:rsid w:val="3B018E8C"/>
    <w:rsid w:val="3B0676C8"/>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9BB9"/>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5B474"/>
    <w:rsid w:val="3BB7181C"/>
    <w:rsid w:val="3BDFA090"/>
    <w:rsid w:val="3BE167D6"/>
    <w:rsid w:val="3BE50BA4"/>
    <w:rsid w:val="3BFF8F52"/>
    <w:rsid w:val="3C03E5BA"/>
    <w:rsid w:val="3C08282E"/>
    <w:rsid w:val="3C0B11F5"/>
    <w:rsid w:val="3C0B444E"/>
    <w:rsid w:val="3C103BF6"/>
    <w:rsid w:val="3C16E02D"/>
    <w:rsid w:val="3C1D08B0"/>
    <w:rsid w:val="3C1F4794"/>
    <w:rsid w:val="3C22383D"/>
    <w:rsid w:val="3C24E01A"/>
    <w:rsid w:val="3C2C9935"/>
    <w:rsid w:val="3C312DBC"/>
    <w:rsid w:val="3C500685"/>
    <w:rsid w:val="3C5180B4"/>
    <w:rsid w:val="3C573585"/>
    <w:rsid w:val="3C5E0833"/>
    <w:rsid w:val="3C5F65F7"/>
    <w:rsid w:val="3C5FAF96"/>
    <w:rsid w:val="3C62DBD5"/>
    <w:rsid w:val="3C663608"/>
    <w:rsid w:val="3C6AE95C"/>
    <w:rsid w:val="3C6D6C75"/>
    <w:rsid w:val="3C76412D"/>
    <w:rsid w:val="3C769C67"/>
    <w:rsid w:val="3C7F52CD"/>
    <w:rsid w:val="3C866F7B"/>
    <w:rsid w:val="3C86A10A"/>
    <w:rsid w:val="3C8AC9BD"/>
    <w:rsid w:val="3C8C40B4"/>
    <w:rsid w:val="3C8C844D"/>
    <w:rsid w:val="3C90626E"/>
    <w:rsid w:val="3C963925"/>
    <w:rsid w:val="3C9CA0B4"/>
    <w:rsid w:val="3C9ED888"/>
    <w:rsid w:val="3CA4C34E"/>
    <w:rsid w:val="3CAA3ABE"/>
    <w:rsid w:val="3CAB8F16"/>
    <w:rsid w:val="3CB10A02"/>
    <w:rsid w:val="3CB20077"/>
    <w:rsid w:val="3CB8C819"/>
    <w:rsid w:val="3CC6DCEF"/>
    <w:rsid w:val="3CD25381"/>
    <w:rsid w:val="3CD31248"/>
    <w:rsid w:val="3CD736AC"/>
    <w:rsid w:val="3CE564B1"/>
    <w:rsid w:val="3CE5DDD6"/>
    <w:rsid w:val="3CEC3300"/>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1E6A"/>
    <w:rsid w:val="3DE380DB"/>
    <w:rsid w:val="3DED7941"/>
    <w:rsid w:val="3DEF4660"/>
    <w:rsid w:val="3DF6923E"/>
    <w:rsid w:val="3DFB332A"/>
    <w:rsid w:val="3E0096BE"/>
    <w:rsid w:val="3E05A72B"/>
    <w:rsid w:val="3E10E215"/>
    <w:rsid w:val="3E2078FE"/>
    <w:rsid w:val="3E2266A0"/>
    <w:rsid w:val="3E2A470C"/>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34459"/>
    <w:rsid w:val="3E846560"/>
    <w:rsid w:val="3E861D93"/>
    <w:rsid w:val="3E8909A4"/>
    <w:rsid w:val="3E8A8C9D"/>
    <w:rsid w:val="3E94B9E2"/>
    <w:rsid w:val="3EA18740"/>
    <w:rsid w:val="3EA1E9E4"/>
    <w:rsid w:val="3EA2807E"/>
    <w:rsid w:val="3EACF9C2"/>
    <w:rsid w:val="3EB119BC"/>
    <w:rsid w:val="3EB92736"/>
    <w:rsid w:val="3EBDCC4E"/>
    <w:rsid w:val="3ED62653"/>
    <w:rsid w:val="3EDCBFC0"/>
    <w:rsid w:val="3EE17CF9"/>
    <w:rsid w:val="3EEA51AE"/>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CE652"/>
    <w:rsid w:val="3F6EA2BA"/>
    <w:rsid w:val="3F752C10"/>
    <w:rsid w:val="3F7D8502"/>
    <w:rsid w:val="3F852CF5"/>
    <w:rsid w:val="3F86BB74"/>
    <w:rsid w:val="3F886400"/>
    <w:rsid w:val="3F8A2AAC"/>
    <w:rsid w:val="3F910E2B"/>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20AA5"/>
    <w:rsid w:val="3FE75F15"/>
    <w:rsid w:val="3FE9C6EB"/>
    <w:rsid w:val="3FEF2075"/>
    <w:rsid w:val="3FF433DE"/>
    <w:rsid w:val="3FFBE8C5"/>
    <w:rsid w:val="3FFDFFE7"/>
    <w:rsid w:val="3FFFAA5F"/>
    <w:rsid w:val="40043CCA"/>
    <w:rsid w:val="40070841"/>
    <w:rsid w:val="40072E7D"/>
    <w:rsid w:val="4014ED3E"/>
    <w:rsid w:val="4016C9A2"/>
    <w:rsid w:val="4016CB55"/>
    <w:rsid w:val="401849B2"/>
    <w:rsid w:val="4018F10A"/>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AFFAF2"/>
    <w:rsid w:val="40B19CEE"/>
    <w:rsid w:val="40B917F6"/>
    <w:rsid w:val="40D5DB89"/>
    <w:rsid w:val="40DB7205"/>
    <w:rsid w:val="40E90FF0"/>
    <w:rsid w:val="40EDB178"/>
    <w:rsid w:val="40F17473"/>
    <w:rsid w:val="40F87C48"/>
    <w:rsid w:val="40F994A3"/>
    <w:rsid w:val="41038BD7"/>
    <w:rsid w:val="4103DAD8"/>
    <w:rsid w:val="410928D8"/>
    <w:rsid w:val="410C67B5"/>
    <w:rsid w:val="410EC50A"/>
    <w:rsid w:val="410F03AB"/>
    <w:rsid w:val="41152FE6"/>
    <w:rsid w:val="4121214E"/>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2FB779"/>
    <w:rsid w:val="4237972D"/>
    <w:rsid w:val="42400862"/>
    <w:rsid w:val="4247D61F"/>
    <w:rsid w:val="425960D7"/>
    <w:rsid w:val="425AA49C"/>
    <w:rsid w:val="426189E7"/>
    <w:rsid w:val="42660885"/>
    <w:rsid w:val="426B50D8"/>
    <w:rsid w:val="4272FF38"/>
    <w:rsid w:val="42737281"/>
    <w:rsid w:val="427C61A4"/>
    <w:rsid w:val="427C724F"/>
    <w:rsid w:val="427ED938"/>
    <w:rsid w:val="427FB9B0"/>
    <w:rsid w:val="4285C2C1"/>
    <w:rsid w:val="4297115A"/>
    <w:rsid w:val="4297F33B"/>
    <w:rsid w:val="42A7EFF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4E9723"/>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A15B53"/>
    <w:rsid w:val="43B36A97"/>
    <w:rsid w:val="43BD0385"/>
    <w:rsid w:val="43CA7E97"/>
    <w:rsid w:val="43CB007F"/>
    <w:rsid w:val="43D4DC5A"/>
    <w:rsid w:val="43DB575C"/>
    <w:rsid w:val="43EEF7AB"/>
    <w:rsid w:val="43EF1B43"/>
    <w:rsid w:val="43F24AAD"/>
    <w:rsid w:val="44070E5D"/>
    <w:rsid w:val="440A516C"/>
    <w:rsid w:val="44127BE1"/>
    <w:rsid w:val="4412FAEC"/>
    <w:rsid w:val="442353AA"/>
    <w:rsid w:val="44255075"/>
    <w:rsid w:val="44286846"/>
    <w:rsid w:val="442F1F38"/>
    <w:rsid w:val="4433BA12"/>
    <w:rsid w:val="44351546"/>
    <w:rsid w:val="443B7BC0"/>
    <w:rsid w:val="443D4CD8"/>
    <w:rsid w:val="443DB929"/>
    <w:rsid w:val="443E48E5"/>
    <w:rsid w:val="4444B095"/>
    <w:rsid w:val="444FA83E"/>
    <w:rsid w:val="445D4805"/>
    <w:rsid w:val="446673AB"/>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703C3"/>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3705A"/>
    <w:rsid w:val="451ECCEC"/>
    <w:rsid w:val="4527196E"/>
    <w:rsid w:val="4527AE39"/>
    <w:rsid w:val="4534A6D7"/>
    <w:rsid w:val="453D2B39"/>
    <w:rsid w:val="453DA9A0"/>
    <w:rsid w:val="454A69AF"/>
    <w:rsid w:val="454C8467"/>
    <w:rsid w:val="454DE844"/>
    <w:rsid w:val="45579493"/>
    <w:rsid w:val="455B7638"/>
    <w:rsid w:val="456EF266"/>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1B7D17"/>
    <w:rsid w:val="46283EE8"/>
    <w:rsid w:val="4632C937"/>
    <w:rsid w:val="46488700"/>
    <w:rsid w:val="464A0521"/>
    <w:rsid w:val="4650C2A7"/>
    <w:rsid w:val="46595893"/>
    <w:rsid w:val="465B0A0A"/>
    <w:rsid w:val="465F65D2"/>
    <w:rsid w:val="465FAF89"/>
    <w:rsid w:val="465FF599"/>
    <w:rsid w:val="4669C789"/>
    <w:rsid w:val="466AAFE7"/>
    <w:rsid w:val="467F607A"/>
    <w:rsid w:val="468451C7"/>
    <w:rsid w:val="46850E06"/>
    <w:rsid w:val="46897348"/>
    <w:rsid w:val="46923F22"/>
    <w:rsid w:val="46989CC7"/>
    <w:rsid w:val="469D18CB"/>
    <w:rsid w:val="46A71E46"/>
    <w:rsid w:val="46ABEF0E"/>
    <w:rsid w:val="46AF38AC"/>
    <w:rsid w:val="46B44A97"/>
    <w:rsid w:val="46C91294"/>
    <w:rsid w:val="46CC29D8"/>
    <w:rsid w:val="46CF9C7A"/>
    <w:rsid w:val="46D1BEC7"/>
    <w:rsid w:val="46D3EE32"/>
    <w:rsid w:val="46D9D0B7"/>
    <w:rsid w:val="46E23005"/>
    <w:rsid w:val="46ECE0B6"/>
    <w:rsid w:val="46EE84B0"/>
    <w:rsid w:val="46F3A92F"/>
    <w:rsid w:val="46F5D754"/>
    <w:rsid w:val="46F6D7E9"/>
    <w:rsid w:val="4700935F"/>
    <w:rsid w:val="4707B465"/>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A85A3"/>
    <w:rsid w:val="478B8CE5"/>
    <w:rsid w:val="4793D92E"/>
    <w:rsid w:val="479617B0"/>
    <w:rsid w:val="479714C7"/>
    <w:rsid w:val="479AAA5A"/>
    <w:rsid w:val="479F70FD"/>
    <w:rsid w:val="47AEA91E"/>
    <w:rsid w:val="47B9B495"/>
    <w:rsid w:val="47BBB79D"/>
    <w:rsid w:val="47BFC794"/>
    <w:rsid w:val="47C5B09D"/>
    <w:rsid w:val="47CA4D2F"/>
    <w:rsid w:val="47CC17FC"/>
    <w:rsid w:val="47E03CC2"/>
    <w:rsid w:val="47E770B0"/>
    <w:rsid w:val="47F3C0CB"/>
    <w:rsid w:val="47F921F0"/>
    <w:rsid w:val="47FCCEA8"/>
    <w:rsid w:val="4809F3B2"/>
    <w:rsid w:val="480B82E5"/>
    <w:rsid w:val="480D3FC2"/>
    <w:rsid w:val="48119D9C"/>
    <w:rsid w:val="48133A82"/>
    <w:rsid w:val="48155F76"/>
    <w:rsid w:val="48159B37"/>
    <w:rsid w:val="48196F30"/>
    <w:rsid w:val="481E60CA"/>
    <w:rsid w:val="482D0812"/>
    <w:rsid w:val="482D66C2"/>
    <w:rsid w:val="483687DA"/>
    <w:rsid w:val="483D80DA"/>
    <w:rsid w:val="4842212C"/>
    <w:rsid w:val="485046F4"/>
    <w:rsid w:val="485341B2"/>
    <w:rsid w:val="485537FC"/>
    <w:rsid w:val="485586AE"/>
    <w:rsid w:val="48581CE6"/>
    <w:rsid w:val="4861A8CB"/>
    <w:rsid w:val="48694AE9"/>
    <w:rsid w:val="486A9CF4"/>
    <w:rsid w:val="486D5E2A"/>
    <w:rsid w:val="4874B612"/>
    <w:rsid w:val="48785CC4"/>
    <w:rsid w:val="48794218"/>
    <w:rsid w:val="487DB465"/>
    <w:rsid w:val="4881A6FB"/>
    <w:rsid w:val="4891DF2B"/>
    <w:rsid w:val="4899EC06"/>
    <w:rsid w:val="48A14CCC"/>
    <w:rsid w:val="48A4A983"/>
    <w:rsid w:val="48ADD9D0"/>
    <w:rsid w:val="48AE45FD"/>
    <w:rsid w:val="48B62F36"/>
    <w:rsid w:val="48BB882C"/>
    <w:rsid w:val="48C13F21"/>
    <w:rsid w:val="48C1677C"/>
    <w:rsid w:val="48D2B1F3"/>
    <w:rsid w:val="48D337F5"/>
    <w:rsid w:val="48D8BB90"/>
    <w:rsid w:val="48D9E824"/>
    <w:rsid w:val="48DA64FD"/>
    <w:rsid w:val="48E13592"/>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22D6A"/>
    <w:rsid w:val="4986FE7D"/>
    <w:rsid w:val="49948C17"/>
    <w:rsid w:val="499A7983"/>
    <w:rsid w:val="499E0E1F"/>
    <w:rsid w:val="49A36C35"/>
    <w:rsid w:val="49AB04AE"/>
    <w:rsid w:val="49ACBB75"/>
    <w:rsid w:val="49ADE828"/>
    <w:rsid w:val="49AF5372"/>
    <w:rsid w:val="49B0667F"/>
    <w:rsid w:val="49B6933B"/>
    <w:rsid w:val="49B6F935"/>
    <w:rsid w:val="49C0D254"/>
    <w:rsid w:val="49C84AC8"/>
    <w:rsid w:val="49D2F63F"/>
    <w:rsid w:val="49D5BEED"/>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8B897"/>
    <w:rsid w:val="4A3DBF09"/>
    <w:rsid w:val="4A3EE36B"/>
    <w:rsid w:val="4A4C52BF"/>
    <w:rsid w:val="4A4D0D9A"/>
    <w:rsid w:val="4A4EB647"/>
    <w:rsid w:val="4A537553"/>
    <w:rsid w:val="4A5A8898"/>
    <w:rsid w:val="4A608288"/>
    <w:rsid w:val="4A6472CF"/>
    <w:rsid w:val="4A65586C"/>
    <w:rsid w:val="4A6A7844"/>
    <w:rsid w:val="4A6BA60D"/>
    <w:rsid w:val="4A6BC821"/>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AFF4636"/>
    <w:rsid w:val="4B00153A"/>
    <w:rsid w:val="4B03852D"/>
    <w:rsid w:val="4B07DDA5"/>
    <w:rsid w:val="4B0812AF"/>
    <w:rsid w:val="4B194855"/>
    <w:rsid w:val="4B200D69"/>
    <w:rsid w:val="4B21F4D7"/>
    <w:rsid w:val="4B22EE62"/>
    <w:rsid w:val="4B24E642"/>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37E7B"/>
    <w:rsid w:val="4BA77525"/>
    <w:rsid w:val="4BAB0B9B"/>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682D5A"/>
    <w:rsid w:val="4C7481D2"/>
    <w:rsid w:val="4C7A8627"/>
    <w:rsid w:val="4C80A10F"/>
    <w:rsid w:val="4C899508"/>
    <w:rsid w:val="4C89B430"/>
    <w:rsid w:val="4CA157CC"/>
    <w:rsid w:val="4CA300EF"/>
    <w:rsid w:val="4CB2973B"/>
    <w:rsid w:val="4CB5CDA7"/>
    <w:rsid w:val="4CBF0D37"/>
    <w:rsid w:val="4CC1CD6C"/>
    <w:rsid w:val="4CC87FEC"/>
    <w:rsid w:val="4CCB03F0"/>
    <w:rsid w:val="4CCEB497"/>
    <w:rsid w:val="4CDF0E29"/>
    <w:rsid w:val="4CEA5828"/>
    <w:rsid w:val="4CEFDE7E"/>
    <w:rsid w:val="4CF3DD5C"/>
    <w:rsid w:val="4CF41449"/>
    <w:rsid w:val="4CF88733"/>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1337"/>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7A73A"/>
    <w:rsid w:val="4E1AEF67"/>
    <w:rsid w:val="4E263BD5"/>
    <w:rsid w:val="4E2A4BF9"/>
    <w:rsid w:val="4E2C777F"/>
    <w:rsid w:val="4E2D400D"/>
    <w:rsid w:val="4E2DBBF8"/>
    <w:rsid w:val="4E4A89A6"/>
    <w:rsid w:val="4E5F2B6A"/>
    <w:rsid w:val="4E5FC11D"/>
    <w:rsid w:val="4E6B574A"/>
    <w:rsid w:val="4E769A53"/>
    <w:rsid w:val="4E7BB6E3"/>
    <w:rsid w:val="4E7F0FD3"/>
    <w:rsid w:val="4E84ECBC"/>
    <w:rsid w:val="4E89C602"/>
    <w:rsid w:val="4E8B14AB"/>
    <w:rsid w:val="4E93A17E"/>
    <w:rsid w:val="4E950DBC"/>
    <w:rsid w:val="4E9813AC"/>
    <w:rsid w:val="4E9C58C2"/>
    <w:rsid w:val="4E9DCD40"/>
    <w:rsid w:val="4E9DDB14"/>
    <w:rsid w:val="4E9F089B"/>
    <w:rsid w:val="4EA467D5"/>
    <w:rsid w:val="4EA496D1"/>
    <w:rsid w:val="4EA66D6F"/>
    <w:rsid w:val="4EAE1346"/>
    <w:rsid w:val="4EAE9A0A"/>
    <w:rsid w:val="4EAF11FA"/>
    <w:rsid w:val="4EB08F6D"/>
    <w:rsid w:val="4EB6FCEB"/>
    <w:rsid w:val="4EB7F72E"/>
    <w:rsid w:val="4EB88048"/>
    <w:rsid w:val="4EBA8CD4"/>
    <w:rsid w:val="4EC65738"/>
    <w:rsid w:val="4EC71818"/>
    <w:rsid w:val="4ED2957D"/>
    <w:rsid w:val="4ED2EB2F"/>
    <w:rsid w:val="4ED36EF4"/>
    <w:rsid w:val="4EE865B8"/>
    <w:rsid w:val="4EE96877"/>
    <w:rsid w:val="4EEEB905"/>
    <w:rsid w:val="4EF49982"/>
    <w:rsid w:val="4EF6F220"/>
    <w:rsid w:val="4EFD6B56"/>
    <w:rsid w:val="4F007B02"/>
    <w:rsid w:val="4F01B120"/>
    <w:rsid w:val="4F035ACB"/>
    <w:rsid w:val="4F061965"/>
    <w:rsid w:val="4F07A8CF"/>
    <w:rsid w:val="4F08EA0B"/>
    <w:rsid w:val="4F0C11EF"/>
    <w:rsid w:val="4F0DC51B"/>
    <w:rsid w:val="4F1135C6"/>
    <w:rsid w:val="4F1E6763"/>
    <w:rsid w:val="4F20E839"/>
    <w:rsid w:val="4F29CFF9"/>
    <w:rsid w:val="4F3ED8AC"/>
    <w:rsid w:val="4F4DFF25"/>
    <w:rsid w:val="4F505D98"/>
    <w:rsid w:val="4F55C274"/>
    <w:rsid w:val="4F5E6F6A"/>
    <w:rsid w:val="4F672669"/>
    <w:rsid w:val="4F68E6D8"/>
    <w:rsid w:val="4F6D96F9"/>
    <w:rsid w:val="4F7809DC"/>
    <w:rsid w:val="4F7A20F2"/>
    <w:rsid w:val="4F7C03A0"/>
    <w:rsid w:val="4F7C3CE6"/>
    <w:rsid w:val="4F827284"/>
    <w:rsid w:val="4FA5AFE6"/>
    <w:rsid w:val="4FAE29E3"/>
    <w:rsid w:val="4FAE3184"/>
    <w:rsid w:val="4FB44AE8"/>
    <w:rsid w:val="4FBCE22B"/>
    <w:rsid w:val="4FC60DAB"/>
    <w:rsid w:val="4FC8F2A9"/>
    <w:rsid w:val="4FCC5C01"/>
    <w:rsid w:val="4FCC81B3"/>
    <w:rsid w:val="4FD5DCCC"/>
    <w:rsid w:val="4FD5E305"/>
    <w:rsid w:val="4FE438B7"/>
    <w:rsid w:val="4FE8A53E"/>
    <w:rsid w:val="4FEB39A3"/>
    <w:rsid w:val="4FECF0B6"/>
    <w:rsid w:val="4FF26653"/>
    <w:rsid w:val="500A33D0"/>
    <w:rsid w:val="500C3047"/>
    <w:rsid w:val="5013524B"/>
    <w:rsid w:val="50135BC9"/>
    <w:rsid w:val="502007ED"/>
    <w:rsid w:val="502D1A53"/>
    <w:rsid w:val="50378667"/>
    <w:rsid w:val="5046B0CA"/>
    <w:rsid w:val="504B2AD6"/>
    <w:rsid w:val="504CD9A1"/>
    <w:rsid w:val="5056E553"/>
    <w:rsid w:val="50591857"/>
    <w:rsid w:val="5059F373"/>
    <w:rsid w:val="506330AF"/>
    <w:rsid w:val="506554FE"/>
    <w:rsid w:val="50693A39"/>
    <w:rsid w:val="506CDF74"/>
    <w:rsid w:val="50745457"/>
    <w:rsid w:val="507EACEC"/>
    <w:rsid w:val="50843E15"/>
    <w:rsid w:val="50845710"/>
    <w:rsid w:val="508AC6A3"/>
    <w:rsid w:val="508FB39C"/>
    <w:rsid w:val="5092558C"/>
    <w:rsid w:val="50952DC9"/>
    <w:rsid w:val="509F19A4"/>
    <w:rsid w:val="50A52C91"/>
    <w:rsid w:val="50A97297"/>
    <w:rsid w:val="50AFC133"/>
    <w:rsid w:val="50B0A134"/>
    <w:rsid w:val="50B22AE1"/>
    <w:rsid w:val="50C2CC6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31E79"/>
    <w:rsid w:val="517497A1"/>
    <w:rsid w:val="517A6C15"/>
    <w:rsid w:val="518491A3"/>
    <w:rsid w:val="51869D79"/>
    <w:rsid w:val="518AA1C1"/>
    <w:rsid w:val="51906309"/>
    <w:rsid w:val="5193CEBA"/>
    <w:rsid w:val="5199F01D"/>
    <w:rsid w:val="51B15EF6"/>
    <w:rsid w:val="51B9B562"/>
    <w:rsid w:val="51C18DD7"/>
    <w:rsid w:val="51D0C219"/>
    <w:rsid w:val="51D3FDD1"/>
    <w:rsid w:val="51DF2886"/>
    <w:rsid w:val="51FA725C"/>
    <w:rsid w:val="51FCED90"/>
    <w:rsid w:val="5201DEA1"/>
    <w:rsid w:val="5201F643"/>
    <w:rsid w:val="520AD080"/>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A26F3"/>
    <w:rsid w:val="526EEA80"/>
    <w:rsid w:val="5276F6FE"/>
    <w:rsid w:val="527E57AC"/>
    <w:rsid w:val="52865011"/>
    <w:rsid w:val="528F1DF0"/>
    <w:rsid w:val="52906A81"/>
    <w:rsid w:val="52907EAE"/>
    <w:rsid w:val="5290BFA7"/>
    <w:rsid w:val="529BADC6"/>
    <w:rsid w:val="529FB4B3"/>
    <w:rsid w:val="52AD540E"/>
    <w:rsid w:val="52B246AB"/>
    <w:rsid w:val="52BB35AD"/>
    <w:rsid w:val="52C27EE8"/>
    <w:rsid w:val="52C41D5E"/>
    <w:rsid w:val="52C99B70"/>
    <w:rsid w:val="52CF2E81"/>
    <w:rsid w:val="52D25804"/>
    <w:rsid w:val="52DAC614"/>
    <w:rsid w:val="52E09886"/>
    <w:rsid w:val="52E30414"/>
    <w:rsid w:val="52E7B7BB"/>
    <w:rsid w:val="52E82F06"/>
    <w:rsid w:val="52F3AB74"/>
    <w:rsid w:val="52F3B793"/>
    <w:rsid w:val="52F8F41E"/>
    <w:rsid w:val="52F9E013"/>
    <w:rsid w:val="52FA7C9D"/>
    <w:rsid w:val="52FE6DDF"/>
    <w:rsid w:val="52FF383A"/>
    <w:rsid w:val="531101FC"/>
    <w:rsid w:val="53175337"/>
    <w:rsid w:val="53189138"/>
    <w:rsid w:val="531FD776"/>
    <w:rsid w:val="532A8066"/>
    <w:rsid w:val="532AA9AF"/>
    <w:rsid w:val="532BBD02"/>
    <w:rsid w:val="5334042A"/>
    <w:rsid w:val="534032F1"/>
    <w:rsid w:val="5341904B"/>
    <w:rsid w:val="534A36AE"/>
    <w:rsid w:val="53512952"/>
    <w:rsid w:val="53549102"/>
    <w:rsid w:val="535629C8"/>
    <w:rsid w:val="535747F2"/>
    <w:rsid w:val="535AB3C5"/>
    <w:rsid w:val="53667F5E"/>
    <w:rsid w:val="536F049A"/>
    <w:rsid w:val="536F0ACC"/>
    <w:rsid w:val="53701124"/>
    <w:rsid w:val="53735F4A"/>
    <w:rsid w:val="5374AC0E"/>
    <w:rsid w:val="537E8157"/>
    <w:rsid w:val="5381CB21"/>
    <w:rsid w:val="5384AB72"/>
    <w:rsid w:val="538557BE"/>
    <w:rsid w:val="538B481B"/>
    <w:rsid w:val="53966807"/>
    <w:rsid w:val="53A0C49C"/>
    <w:rsid w:val="53A18960"/>
    <w:rsid w:val="53A2DDE4"/>
    <w:rsid w:val="53A7E3A4"/>
    <w:rsid w:val="53A9C738"/>
    <w:rsid w:val="53B7A806"/>
    <w:rsid w:val="53C0F944"/>
    <w:rsid w:val="53C29BB9"/>
    <w:rsid w:val="53CD4038"/>
    <w:rsid w:val="53D03D19"/>
    <w:rsid w:val="53D07F45"/>
    <w:rsid w:val="53DAC23B"/>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5F05A5"/>
    <w:rsid w:val="54665042"/>
    <w:rsid w:val="54709485"/>
    <w:rsid w:val="54723C67"/>
    <w:rsid w:val="5487E3FA"/>
    <w:rsid w:val="5490FBB6"/>
    <w:rsid w:val="5497073B"/>
    <w:rsid w:val="5498557D"/>
    <w:rsid w:val="549F5F85"/>
    <w:rsid w:val="54A20941"/>
    <w:rsid w:val="54A279D5"/>
    <w:rsid w:val="54A51872"/>
    <w:rsid w:val="54ACAFF1"/>
    <w:rsid w:val="54AEA8A1"/>
    <w:rsid w:val="54AF1547"/>
    <w:rsid w:val="54B449B4"/>
    <w:rsid w:val="54B516B7"/>
    <w:rsid w:val="54BBC5D8"/>
    <w:rsid w:val="54BEE662"/>
    <w:rsid w:val="54C8625D"/>
    <w:rsid w:val="54CAB9B1"/>
    <w:rsid w:val="54E64B31"/>
    <w:rsid w:val="54F53B9C"/>
    <w:rsid w:val="54FB58A6"/>
    <w:rsid w:val="5501D762"/>
    <w:rsid w:val="5506046C"/>
    <w:rsid w:val="5509EDE5"/>
    <w:rsid w:val="55165761"/>
    <w:rsid w:val="551A04D4"/>
    <w:rsid w:val="551B38F7"/>
    <w:rsid w:val="551FBAC1"/>
    <w:rsid w:val="55215F30"/>
    <w:rsid w:val="5521A648"/>
    <w:rsid w:val="5528E73C"/>
    <w:rsid w:val="552B1594"/>
    <w:rsid w:val="553AE73A"/>
    <w:rsid w:val="55453913"/>
    <w:rsid w:val="5546CB82"/>
    <w:rsid w:val="554A89E1"/>
    <w:rsid w:val="554C1859"/>
    <w:rsid w:val="554D86EA"/>
    <w:rsid w:val="555EB4F6"/>
    <w:rsid w:val="5562959D"/>
    <w:rsid w:val="556DDEC3"/>
    <w:rsid w:val="557368CE"/>
    <w:rsid w:val="5574A5C7"/>
    <w:rsid w:val="5577C1D1"/>
    <w:rsid w:val="5577F6D9"/>
    <w:rsid w:val="557E172E"/>
    <w:rsid w:val="557E5E28"/>
    <w:rsid w:val="55820E1D"/>
    <w:rsid w:val="558B6761"/>
    <w:rsid w:val="55903D8D"/>
    <w:rsid w:val="55931CD2"/>
    <w:rsid w:val="55938964"/>
    <w:rsid w:val="5598314A"/>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7DB06"/>
    <w:rsid w:val="55D829B6"/>
    <w:rsid w:val="55DB69D3"/>
    <w:rsid w:val="55DCB211"/>
    <w:rsid w:val="55DE1684"/>
    <w:rsid w:val="55DF6900"/>
    <w:rsid w:val="55E303C7"/>
    <w:rsid w:val="55E669E7"/>
    <w:rsid w:val="55F5A920"/>
    <w:rsid w:val="55FEC747"/>
    <w:rsid w:val="56010C7E"/>
    <w:rsid w:val="560156A8"/>
    <w:rsid w:val="560298AE"/>
    <w:rsid w:val="56059509"/>
    <w:rsid w:val="5608043D"/>
    <w:rsid w:val="56082FB7"/>
    <w:rsid w:val="56168B6F"/>
    <w:rsid w:val="561B5418"/>
    <w:rsid w:val="56225A5A"/>
    <w:rsid w:val="5627E6D1"/>
    <w:rsid w:val="562EC5F9"/>
    <w:rsid w:val="56374F76"/>
    <w:rsid w:val="563BADBF"/>
    <w:rsid w:val="563C4013"/>
    <w:rsid w:val="563EB5DA"/>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BF6BF"/>
    <w:rsid w:val="56BE53EA"/>
    <w:rsid w:val="56BFF5F2"/>
    <w:rsid w:val="56C080FA"/>
    <w:rsid w:val="56C93E3C"/>
    <w:rsid w:val="56CA4602"/>
    <w:rsid w:val="56D2DC01"/>
    <w:rsid w:val="56D35B5A"/>
    <w:rsid w:val="56D4D80D"/>
    <w:rsid w:val="56D7D016"/>
    <w:rsid w:val="56D7F123"/>
    <w:rsid w:val="56E2DA8E"/>
    <w:rsid w:val="56E50BB8"/>
    <w:rsid w:val="56EA8DBF"/>
    <w:rsid w:val="56F01ED0"/>
    <w:rsid w:val="56F44902"/>
    <w:rsid w:val="56F8BDD0"/>
    <w:rsid w:val="56F98FD4"/>
    <w:rsid w:val="56FFDEBA"/>
    <w:rsid w:val="570084A1"/>
    <w:rsid w:val="5705655E"/>
    <w:rsid w:val="5710E890"/>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8B8709"/>
    <w:rsid w:val="579042E7"/>
    <w:rsid w:val="5791D020"/>
    <w:rsid w:val="57983233"/>
    <w:rsid w:val="57988C5C"/>
    <w:rsid w:val="57A2C4CB"/>
    <w:rsid w:val="57AE8E4D"/>
    <w:rsid w:val="57B14A08"/>
    <w:rsid w:val="57C3C9E4"/>
    <w:rsid w:val="57C936B9"/>
    <w:rsid w:val="57D7A723"/>
    <w:rsid w:val="57E152F1"/>
    <w:rsid w:val="57E2F3C8"/>
    <w:rsid w:val="57EA95CE"/>
    <w:rsid w:val="57F157A9"/>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8F240A"/>
    <w:rsid w:val="5890B1EE"/>
    <w:rsid w:val="58928FEE"/>
    <w:rsid w:val="589905BC"/>
    <w:rsid w:val="589DDDC5"/>
    <w:rsid w:val="58A9ADB8"/>
    <w:rsid w:val="58B0162D"/>
    <w:rsid w:val="58B65AC9"/>
    <w:rsid w:val="58B6918F"/>
    <w:rsid w:val="58B79A5E"/>
    <w:rsid w:val="58B9E232"/>
    <w:rsid w:val="58BDD5FC"/>
    <w:rsid w:val="58C6B6DB"/>
    <w:rsid w:val="58CE2B90"/>
    <w:rsid w:val="58D0DB4D"/>
    <w:rsid w:val="58DF3CCB"/>
    <w:rsid w:val="58F31398"/>
    <w:rsid w:val="58F66087"/>
    <w:rsid w:val="58FD00A8"/>
    <w:rsid w:val="59027817"/>
    <w:rsid w:val="5904AA43"/>
    <w:rsid w:val="59052081"/>
    <w:rsid w:val="5905D935"/>
    <w:rsid w:val="590A9C4E"/>
    <w:rsid w:val="5917A661"/>
    <w:rsid w:val="591F47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0BE08"/>
    <w:rsid w:val="59734886"/>
    <w:rsid w:val="5976E2A1"/>
    <w:rsid w:val="597F63D9"/>
    <w:rsid w:val="5982F894"/>
    <w:rsid w:val="59923E10"/>
    <w:rsid w:val="599B89ED"/>
    <w:rsid w:val="59A08D30"/>
    <w:rsid w:val="59AE164A"/>
    <w:rsid w:val="59B5CB4E"/>
    <w:rsid w:val="59BE8E75"/>
    <w:rsid w:val="59C8E8A4"/>
    <w:rsid w:val="59CA57E3"/>
    <w:rsid w:val="59CB0A3F"/>
    <w:rsid w:val="59CBB725"/>
    <w:rsid w:val="59D3CBB7"/>
    <w:rsid w:val="59DD963D"/>
    <w:rsid w:val="59E57DA8"/>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8AF31E"/>
    <w:rsid w:val="5AB47600"/>
    <w:rsid w:val="5AB57BB5"/>
    <w:rsid w:val="5AB6C586"/>
    <w:rsid w:val="5AB9C6FA"/>
    <w:rsid w:val="5AC55B89"/>
    <w:rsid w:val="5AD6FC2D"/>
    <w:rsid w:val="5AE25CBB"/>
    <w:rsid w:val="5AEA3DE6"/>
    <w:rsid w:val="5AEBC2FD"/>
    <w:rsid w:val="5AEFD41E"/>
    <w:rsid w:val="5AF999DD"/>
    <w:rsid w:val="5B02F697"/>
    <w:rsid w:val="5B04E006"/>
    <w:rsid w:val="5B0E30DB"/>
    <w:rsid w:val="5B13091A"/>
    <w:rsid w:val="5B132CCE"/>
    <w:rsid w:val="5B14AFB7"/>
    <w:rsid w:val="5B171319"/>
    <w:rsid w:val="5B1A8A28"/>
    <w:rsid w:val="5B21FE36"/>
    <w:rsid w:val="5B238109"/>
    <w:rsid w:val="5B25AAC7"/>
    <w:rsid w:val="5B27FC4D"/>
    <w:rsid w:val="5B2E316F"/>
    <w:rsid w:val="5B35A709"/>
    <w:rsid w:val="5B4E8AE0"/>
    <w:rsid w:val="5B55E53E"/>
    <w:rsid w:val="5B57B9D3"/>
    <w:rsid w:val="5B5E3F6A"/>
    <w:rsid w:val="5B73C568"/>
    <w:rsid w:val="5B7B9D41"/>
    <w:rsid w:val="5B804980"/>
    <w:rsid w:val="5B8071AC"/>
    <w:rsid w:val="5B8BBF97"/>
    <w:rsid w:val="5B8DDA68"/>
    <w:rsid w:val="5B908893"/>
    <w:rsid w:val="5B97BCF0"/>
    <w:rsid w:val="5B9D6BF4"/>
    <w:rsid w:val="5BA46317"/>
    <w:rsid w:val="5BAD68F3"/>
    <w:rsid w:val="5BB00B95"/>
    <w:rsid w:val="5BB01A40"/>
    <w:rsid w:val="5BB0778A"/>
    <w:rsid w:val="5BCD36B2"/>
    <w:rsid w:val="5BCF340D"/>
    <w:rsid w:val="5BD0B6A9"/>
    <w:rsid w:val="5BD1C19B"/>
    <w:rsid w:val="5BD22AF2"/>
    <w:rsid w:val="5BD8E133"/>
    <w:rsid w:val="5BDC365A"/>
    <w:rsid w:val="5BE35BFF"/>
    <w:rsid w:val="5BEB8546"/>
    <w:rsid w:val="5BEBCA3F"/>
    <w:rsid w:val="5BF0C55C"/>
    <w:rsid w:val="5BFBDDAB"/>
    <w:rsid w:val="5BFD5B95"/>
    <w:rsid w:val="5C048D46"/>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12A23"/>
    <w:rsid w:val="5CDF47DD"/>
    <w:rsid w:val="5CEE08DC"/>
    <w:rsid w:val="5CF729A6"/>
    <w:rsid w:val="5CFD194A"/>
    <w:rsid w:val="5D07BF4D"/>
    <w:rsid w:val="5D1F541A"/>
    <w:rsid w:val="5D24C42D"/>
    <w:rsid w:val="5D339BCC"/>
    <w:rsid w:val="5D3643E5"/>
    <w:rsid w:val="5D39681B"/>
    <w:rsid w:val="5D3B47C4"/>
    <w:rsid w:val="5D3C6153"/>
    <w:rsid w:val="5D3D04E5"/>
    <w:rsid w:val="5D3D4474"/>
    <w:rsid w:val="5D40D2B7"/>
    <w:rsid w:val="5D5F4D6A"/>
    <w:rsid w:val="5D6469C5"/>
    <w:rsid w:val="5D66F9BC"/>
    <w:rsid w:val="5D791B25"/>
    <w:rsid w:val="5D7B7ABD"/>
    <w:rsid w:val="5D80572B"/>
    <w:rsid w:val="5D85B8BA"/>
    <w:rsid w:val="5D8F9EA5"/>
    <w:rsid w:val="5D91B5C2"/>
    <w:rsid w:val="5D92C8BD"/>
    <w:rsid w:val="5D9C9BDD"/>
    <w:rsid w:val="5DA3D39B"/>
    <w:rsid w:val="5DA6F636"/>
    <w:rsid w:val="5DA83024"/>
    <w:rsid w:val="5DB20E65"/>
    <w:rsid w:val="5DB550FD"/>
    <w:rsid w:val="5DB60553"/>
    <w:rsid w:val="5DB69413"/>
    <w:rsid w:val="5DB76881"/>
    <w:rsid w:val="5DBAC883"/>
    <w:rsid w:val="5DBB15BF"/>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257F0"/>
    <w:rsid w:val="5E35B78E"/>
    <w:rsid w:val="5E3718F8"/>
    <w:rsid w:val="5E3D7565"/>
    <w:rsid w:val="5E43D378"/>
    <w:rsid w:val="5E4AC700"/>
    <w:rsid w:val="5E5ACEBB"/>
    <w:rsid w:val="5E5B016A"/>
    <w:rsid w:val="5E5EEEE9"/>
    <w:rsid w:val="5E66891A"/>
    <w:rsid w:val="5E681146"/>
    <w:rsid w:val="5E6A3DD5"/>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2471E"/>
    <w:rsid w:val="5F28D5E5"/>
    <w:rsid w:val="5F2DE381"/>
    <w:rsid w:val="5F2EAD9E"/>
    <w:rsid w:val="5F311C3F"/>
    <w:rsid w:val="5F3502B5"/>
    <w:rsid w:val="5F3692DC"/>
    <w:rsid w:val="5F3F4A8E"/>
    <w:rsid w:val="5F3F6696"/>
    <w:rsid w:val="5F4B6AE1"/>
    <w:rsid w:val="5F4D63E3"/>
    <w:rsid w:val="5F581C50"/>
    <w:rsid w:val="5F5C348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71F88"/>
    <w:rsid w:val="603A9692"/>
    <w:rsid w:val="603F3F0B"/>
    <w:rsid w:val="603FD6E8"/>
    <w:rsid w:val="6041E3EF"/>
    <w:rsid w:val="604B20B1"/>
    <w:rsid w:val="60521049"/>
    <w:rsid w:val="60577057"/>
    <w:rsid w:val="605D6A23"/>
    <w:rsid w:val="605F5F9A"/>
    <w:rsid w:val="6062A888"/>
    <w:rsid w:val="6068649F"/>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73A270"/>
    <w:rsid w:val="6173C162"/>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ED5D76"/>
    <w:rsid w:val="61F77C0A"/>
    <w:rsid w:val="61F8209E"/>
    <w:rsid w:val="61FD56C2"/>
    <w:rsid w:val="620AF2E4"/>
    <w:rsid w:val="620C1656"/>
    <w:rsid w:val="622440D0"/>
    <w:rsid w:val="6224D708"/>
    <w:rsid w:val="6227FDAD"/>
    <w:rsid w:val="62308F0C"/>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9F253B"/>
    <w:rsid w:val="62AC2C75"/>
    <w:rsid w:val="62AD3D9F"/>
    <w:rsid w:val="62AF0987"/>
    <w:rsid w:val="62B0728F"/>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9FEE6"/>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406CD"/>
    <w:rsid w:val="64A8611A"/>
    <w:rsid w:val="64A9158A"/>
    <w:rsid w:val="64B94C0A"/>
    <w:rsid w:val="64C63087"/>
    <w:rsid w:val="64CE5742"/>
    <w:rsid w:val="64DD186A"/>
    <w:rsid w:val="64E44D40"/>
    <w:rsid w:val="64E51983"/>
    <w:rsid w:val="64ECE46D"/>
    <w:rsid w:val="64EF411B"/>
    <w:rsid w:val="64F19914"/>
    <w:rsid w:val="64F7ABEC"/>
    <w:rsid w:val="64F8E245"/>
    <w:rsid w:val="64FE7335"/>
    <w:rsid w:val="650CC135"/>
    <w:rsid w:val="6515BBD3"/>
    <w:rsid w:val="65172845"/>
    <w:rsid w:val="651BFE89"/>
    <w:rsid w:val="651D5920"/>
    <w:rsid w:val="652A8776"/>
    <w:rsid w:val="652E6B5E"/>
    <w:rsid w:val="65319014"/>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98C1FA"/>
    <w:rsid w:val="65AED392"/>
    <w:rsid w:val="65AFDE17"/>
    <w:rsid w:val="65C6D19B"/>
    <w:rsid w:val="65CAF71B"/>
    <w:rsid w:val="65CDF382"/>
    <w:rsid w:val="65CEAE6A"/>
    <w:rsid w:val="65D8587F"/>
    <w:rsid w:val="65DD8021"/>
    <w:rsid w:val="65DF91EA"/>
    <w:rsid w:val="65E025CF"/>
    <w:rsid w:val="65E2A7D7"/>
    <w:rsid w:val="65E84E03"/>
    <w:rsid w:val="65F0DDD4"/>
    <w:rsid w:val="65F2C216"/>
    <w:rsid w:val="65F44DD0"/>
    <w:rsid w:val="660BFC1C"/>
    <w:rsid w:val="660C4E4A"/>
    <w:rsid w:val="6612A0B1"/>
    <w:rsid w:val="661317B3"/>
    <w:rsid w:val="66263066"/>
    <w:rsid w:val="6626C8E9"/>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3CD0CA"/>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BE458"/>
    <w:rsid w:val="683FDF26"/>
    <w:rsid w:val="68500902"/>
    <w:rsid w:val="6850C9C2"/>
    <w:rsid w:val="68594501"/>
    <w:rsid w:val="68604382"/>
    <w:rsid w:val="686AEE7E"/>
    <w:rsid w:val="68711D32"/>
    <w:rsid w:val="6877B3DB"/>
    <w:rsid w:val="688145EB"/>
    <w:rsid w:val="6889F4D1"/>
    <w:rsid w:val="688C84F7"/>
    <w:rsid w:val="688F6F18"/>
    <w:rsid w:val="68992F2B"/>
    <w:rsid w:val="68A304FB"/>
    <w:rsid w:val="68A3E8D6"/>
    <w:rsid w:val="68AFE67F"/>
    <w:rsid w:val="68B5A465"/>
    <w:rsid w:val="68BCA9A6"/>
    <w:rsid w:val="68BF6C28"/>
    <w:rsid w:val="68C8AAD9"/>
    <w:rsid w:val="68E1FF41"/>
    <w:rsid w:val="68E63663"/>
    <w:rsid w:val="68F5D085"/>
    <w:rsid w:val="6904347D"/>
    <w:rsid w:val="690A6D2B"/>
    <w:rsid w:val="690D9890"/>
    <w:rsid w:val="69118779"/>
    <w:rsid w:val="6911ABD8"/>
    <w:rsid w:val="69129E50"/>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89192F"/>
    <w:rsid w:val="699189AD"/>
    <w:rsid w:val="69A4328F"/>
    <w:rsid w:val="69B00EC1"/>
    <w:rsid w:val="69B090BC"/>
    <w:rsid w:val="69B8E187"/>
    <w:rsid w:val="69B9E4A2"/>
    <w:rsid w:val="69C024CF"/>
    <w:rsid w:val="69C240B1"/>
    <w:rsid w:val="69C79336"/>
    <w:rsid w:val="69CC6368"/>
    <w:rsid w:val="69D10171"/>
    <w:rsid w:val="69D72676"/>
    <w:rsid w:val="69EE0FDA"/>
    <w:rsid w:val="69EF68FF"/>
    <w:rsid w:val="69F4B115"/>
    <w:rsid w:val="6A000CC1"/>
    <w:rsid w:val="6A0815E8"/>
    <w:rsid w:val="6A0F116D"/>
    <w:rsid w:val="6A100679"/>
    <w:rsid w:val="6A144B53"/>
    <w:rsid w:val="6A1D693F"/>
    <w:rsid w:val="6A297F80"/>
    <w:rsid w:val="6A2B031C"/>
    <w:rsid w:val="6A311AC1"/>
    <w:rsid w:val="6A4023C4"/>
    <w:rsid w:val="6A43472C"/>
    <w:rsid w:val="6A4877B3"/>
    <w:rsid w:val="6A4CA04E"/>
    <w:rsid w:val="6A4F3214"/>
    <w:rsid w:val="6A680543"/>
    <w:rsid w:val="6A68EB26"/>
    <w:rsid w:val="6A6C9C0D"/>
    <w:rsid w:val="6A727763"/>
    <w:rsid w:val="6A754563"/>
    <w:rsid w:val="6A768761"/>
    <w:rsid w:val="6A7C49C3"/>
    <w:rsid w:val="6A7DF91D"/>
    <w:rsid w:val="6A7F01FF"/>
    <w:rsid w:val="6A813D35"/>
    <w:rsid w:val="6A941639"/>
    <w:rsid w:val="6A9C9DEA"/>
    <w:rsid w:val="6A9E19DF"/>
    <w:rsid w:val="6AAFAEE8"/>
    <w:rsid w:val="6AB146FC"/>
    <w:rsid w:val="6AB3B248"/>
    <w:rsid w:val="6AB5C00A"/>
    <w:rsid w:val="6AB81DA6"/>
    <w:rsid w:val="6ABD5D44"/>
    <w:rsid w:val="6ABF6E2A"/>
    <w:rsid w:val="6ABFA9BD"/>
    <w:rsid w:val="6AC02621"/>
    <w:rsid w:val="6AC10FFA"/>
    <w:rsid w:val="6AC3E17E"/>
    <w:rsid w:val="6AC91EFC"/>
    <w:rsid w:val="6ACE8392"/>
    <w:rsid w:val="6AD64E34"/>
    <w:rsid w:val="6ADD9D21"/>
    <w:rsid w:val="6ADDE964"/>
    <w:rsid w:val="6AFE8E2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3FFAD6"/>
    <w:rsid w:val="6B46190B"/>
    <w:rsid w:val="6B4C8D75"/>
    <w:rsid w:val="6B4DC4F8"/>
    <w:rsid w:val="6B4F3BD7"/>
    <w:rsid w:val="6B50A9F2"/>
    <w:rsid w:val="6B563A1C"/>
    <w:rsid w:val="6B68F96D"/>
    <w:rsid w:val="6B73179D"/>
    <w:rsid w:val="6B89810A"/>
    <w:rsid w:val="6B8990E8"/>
    <w:rsid w:val="6B97FB53"/>
    <w:rsid w:val="6BABE906"/>
    <w:rsid w:val="6BB03A5E"/>
    <w:rsid w:val="6BC37C98"/>
    <w:rsid w:val="6BC55EB4"/>
    <w:rsid w:val="6BC5FCBC"/>
    <w:rsid w:val="6BCB341E"/>
    <w:rsid w:val="6BDAD893"/>
    <w:rsid w:val="6BDFF3F8"/>
    <w:rsid w:val="6BED0CF8"/>
    <w:rsid w:val="6BFCE384"/>
    <w:rsid w:val="6BFFA481"/>
    <w:rsid w:val="6C0B0BCD"/>
    <w:rsid w:val="6C0F2843"/>
    <w:rsid w:val="6C1181EB"/>
    <w:rsid w:val="6C1536ED"/>
    <w:rsid w:val="6C192AC8"/>
    <w:rsid w:val="6C1D53DE"/>
    <w:rsid w:val="6C21FE82"/>
    <w:rsid w:val="6C233C20"/>
    <w:rsid w:val="6C28DE36"/>
    <w:rsid w:val="6C349A27"/>
    <w:rsid w:val="6C363AB8"/>
    <w:rsid w:val="6C37407B"/>
    <w:rsid w:val="6C3879B7"/>
    <w:rsid w:val="6C38C2B5"/>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CB0A5D"/>
    <w:rsid w:val="6CD000A1"/>
    <w:rsid w:val="6CDB230B"/>
    <w:rsid w:val="6CE1C162"/>
    <w:rsid w:val="6CE52410"/>
    <w:rsid w:val="6CE66317"/>
    <w:rsid w:val="6CE678A5"/>
    <w:rsid w:val="6CEB3AF5"/>
    <w:rsid w:val="6CF1A343"/>
    <w:rsid w:val="6CF2513F"/>
    <w:rsid w:val="6CF98EFC"/>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576CED"/>
    <w:rsid w:val="6D6819F8"/>
    <w:rsid w:val="6D693111"/>
    <w:rsid w:val="6D6A30F9"/>
    <w:rsid w:val="6D6D517E"/>
    <w:rsid w:val="6D7139A4"/>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BECD11"/>
    <w:rsid w:val="6DC2B579"/>
    <w:rsid w:val="6DD849CA"/>
    <w:rsid w:val="6DD8590E"/>
    <w:rsid w:val="6DDE4065"/>
    <w:rsid w:val="6DE083D0"/>
    <w:rsid w:val="6DEB772B"/>
    <w:rsid w:val="6DEF87B9"/>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7ECD92"/>
    <w:rsid w:val="6E81529D"/>
    <w:rsid w:val="6E87CA18"/>
    <w:rsid w:val="6E91FEA0"/>
    <w:rsid w:val="6E98F6F4"/>
    <w:rsid w:val="6E9B2A77"/>
    <w:rsid w:val="6EABA8C9"/>
    <w:rsid w:val="6EB51A78"/>
    <w:rsid w:val="6EB59FAD"/>
    <w:rsid w:val="6EBCDE79"/>
    <w:rsid w:val="6EBF4455"/>
    <w:rsid w:val="6EC3F3B3"/>
    <w:rsid w:val="6ED3A1F3"/>
    <w:rsid w:val="6EDA231A"/>
    <w:rsid w:val="6EE21F56"/>
    <w:rsid w:val="6EE7B5CC"/>
    <w:rsid w:val="6EEF2746"/>
    <w:rsid w:val="6EF276BA"/>
    <w:rsid w:val="6EF3B549"/>
    <w:rsid w:val="6EFFD1A0"/>
    <w:rsid w:val="6F0BD6F7"/>
    <w:rsid w:val="6F16FD67"/>
    <w:rsid w:val="6F1825C4"/>
    <w:rsid w:val="6F1DD6A8"/>
    <w:rsid w:val="6F32283C"/>
    <w:rsid w:val="6F474B06"/>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36003"/>
    <w:rsid w:val="6F85AC79"/>
    <w:rsid w:val="6F87B3C9"/>
    <w:rsid w:val="6F87EA5D"/>
    <w:rsid w:val="6F89CA53"/>
    <w:rsid w:val="6F8F1AA2"/>
    <w:rsid w:val="6F91DAE1"/>
    <w:rsid w:val="6F985405"/>
    <w:rsid w:val="6F9A0FCE"/>
    <w:rsid w:val="6F9AC3D7"/>
    <w:rsid w:val="6F9E1897"/>
    <w:rsid w:val="6F9EDBBD"/>
    <w:rsid w:val="6FA2A1D8"/>
    <w:rsid w:val="6FA52E08"/>
    <w:rsid w:val="6FA5AD0B"/>
    <w:rsid w:val="6FC01B76"/>
    <w:rsid w:val="6FC81A46"/>
    <w:rsid w:val="6FDA50B0"/>
    <w:rsid w:val="6FE43111"/>
    <w:rsid w:val="6FEEAC35"/>
    <w:rsid w:val="6FEF36D5"/>
    <w:rsid w:val="6FFA247B"/>
    <w:rsid w:val="7006EC5A"/>
    <w:rsid w:val="70083023"/>
    <w:rsid w:val="70141405"/>
    <w:rsid w:val="7014A4C6"/>
    <w:rsid w:val="701A94EB"/>
    <w:rsid w:val="701FD774"/>
    <w:rsid w:val="7020B733"/>
    <w:rsid w:val="702A5FCF"/>
    <w:rsid w:val="70472860"/>
    <w:rsid w:val="7048C87C"/>
    <w:rsid w:val="704CBDF9"/>
    <w:rsid w:val="704F468B"/>
    <w:rsid w:val="7056A4B3"/>
    <w:rsid w:val="70586CE2"/>
    <w:rsid w:val="705FAC43"/>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7E1AE"/>
    <w:rsid w:val="710DD335"/>
    <w:rsid w:val="71183797"/>
    <w:rsid w:val="711992F1"/>
    <w:rsid w:val="711D08C9"/>
    <w:rsid w:val="7135B2F1"/>
    <w:rsid w:val="71369E89"/>
    <w:rsid w:val="713A4F8E"/>
    <w:rsid w:val="713BDE0C"/>
    <w:rsid w:val="71409A60"/>
    <w:rsid w:val="71454289"/>
    <w:rsid w:val="714A11F4"/>
    <w:rsid w:val="714B225E"/>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907FA"/>
    <w:rsid w:val="71BF27D9"/>
    <w:rsid w:val="71C08657"/>
    <w:rsid w:val="71C2878E"/>
    <w:rsid w:val="71C38FEB"/>
    <w:rsid w:val="71D5C257"/>
    <w:rsid w:val="71D68358"/>
    <w:rsid w:val="71D68CF6"/>
    <w:rsid w:val="71D83AEC"/>
    <w:rsid w:val="71DA7F47"/>
    <w:rsid w:val="71DD8095"/>
    <w:rsid w:val="71DDBC48"/>
    <w:rsid w:val="71E34386"/>
    <w:rsid w:val="71E98B7B"/>
    <w:rsid w:val="71F51DBC"/>
    <w:rsid w:val="71F6A8BA"/>
    <w:rsid w:val="71FDBC6A"/>
    <w:rsid w:val="7206B944"/>
    <w:rsid w:val="720F6812"/>
    <w:rsid w:val="72178178"/>
    <w:rsid w:val="721A6253"/>
    <w:rsid w:val="722004E2"/>
    <w:rsid w:val="7226278E"/>
    <w:rsid w:val="722A7A51"/>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26D52"/>
    <w:rsid w:val="72D5359C"/>
    <w:rsid w:val="72D93A36"/>
    <w:rsid w:val="72DF03FA"/>
    <w:rsid w:val="72F92C38"/>
    <w:rsid w:val="73161F49"/>
    <w:rsid w:val="7317615B"/>
    <w:rsid w:val="7327632B"/>
    <w:rsid w:val="7327AABE"/>
    <w:rsid w:val="73289848"/>
    <w:rsid w:val="73318DF0"/>
    <w:rsid w:val="7331D7CE"/>
    <w:rsid w:val="7333E239"/>
    <w:rsid w:val="7339DC00"/>
    <w:rsid w:val="733C470D"/>
    <w:rsid w:val="733C6AC4"/>
    <w:rsid w:val="733F1049"/>
    <w:rsid w:val="734C380A"/>
    <w:rsid w:val="734EB17D"/>
    <w:rsid w:val="734F1979"/>
    <w:rsid w:val="73548945"/>
    <w:rsid w:val="73588D8E"/>
    <w:rsid w:val="735DB077"/>
    <w:rsid w:val="736506BB"/>
    <w:rsid w:val="7372F63F"/>
    <w:rsid w:val="737763E1"/>
    <w:rsid w:val="737BB389"/>
    <w:rsid w:val="737F9162"/>
    <w:rsid w:val="73815551"/>
    <w:rsid w:val="73835035"/>
    <w:rsid w:val="73843E01"/>
    <w:rsid w:val="73899EF4"/>
    <w:rsid w:val="738B0A25"/>
    <w:rsid w:val="738CC37A"/>
    <w:rsid w:val="738FDC56"/>
    <w:rsid w:val="739204B7"/>
    <w:rsid w:val="7393879F"/>
    <w:rsid w:val="73971016"/>
    <w:rsid w:val="739A6B35"/>
    <w:rsid w:val="739DCD90"/>
    <w:rsid w:val="73A0E558"/>
    <w:rsid w:val="73A3862D"/>
    <w:rsid w:val="73A43C36"/>
    <w:rsid w:val="73A63047"/>
    <w:rsid w:val="73AB3838"/>
    <w:rsid w:val="73AC8CD6"/>
    <w:rsid w:val="73B45865"/>
    <w:rsid w:val="73BB570E"/>
    <w:rsid w:val="73BC13B1"/>
    <w:rsid w:val="73C796FB"/>
    <w:rsid w:val="73C8FFBC"/>
    <w:rsid w:val="73C91DC2"/>
    <w:rsid w:val="73CC4606"/>
    <w:rsid w:val="73DCDD90"/>
    <w:rsid w:val="73E25560"/>
    <w:rsid w:val="73EC8416"/>
    <w:rsid w:val="73F77AD1"/>
    <w:rsid w:val="73F8E623"/>
    <w:rsid w:val="73FE258E"/>
    <w:rsid w:val="73FF90AB"/>
    <w:rsid w:val="7411877D"/>
    <w:rsid w:val="742BC3E1"/>
    <w:rsid w:val="742F1947"/>
    <w:rsid w:val="744BADC1"/>
    <w:rsid w:val="745EB0A2"/>
    <w:rsid w:val="74604767"/>
    <w:rsid w:val="7461CB38"/>
    <w:rsid w:val="7461E1BB"/>
    <w:rsid w:val="74635025"/>
    <w:rsid w:val="74667789"/>
    <w:rsid w:val="746C64D9"/>
    <w:rsid w:val="74713ED5"/>
    <w:rsid w:val="7471E756"/>
    <w:rsid w:val="74805197"/>
    <w:rsid w:val="748593D0"/>
    <w:rsid w:val="748A7DE6"/>
    <w:rsid w:val="749171C3"/>
    <w:rsid w:val="7498D87D"/>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376F1"/>
    <w:rsid w:val="74F5A4C2"/>
    <w:rsid w:val="74F667C6"/>
    <w:rsid w:val="74FCD18B"/>
    <w:rsid w:val="750605D3"/>
    <w:rsid w:val="750F98AD"/>
    <w:rsid w:val="750FE6F1"/>
    <w:rsid w:val="75123F34"/>
    <w:rsid w:val="751CE159"/>
    <w:rsid w:val="751EDD3E"/>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5D7AB"/>
    <w:rsid w:val="75662C35"/>
    <w:rsid w:val="757A82C6"/>
    <w:rsid w:val="757DD7A4"/>
    <w:rsid w:val="758C6F3E"/>
    <w:rsid w:val="758D7E7E"/>
    <w:rsid w:val="758E350B"/>
    <w:rsid w:val="7591C6D9"/>
    <w:rsid w:val="7598A84E"/>
    <w:rsid w:val="759D6880"/>
    <w:rsid w:val="75A0C955"/>
    <w:rsid w:val="75A220C4"/>
    <w:rsid w:val="75A4B55D"/>
    <w:rsid w:val="75ADBE09"/>
    <w:rsid w:val="75B4CE43"/>
    <w:rsid w:val="75BECBA6"/>
    <w:rsid w:val="75C09465"/>
    <w:rsid w:val="75C4DB75"/>
    <w:rsid w:val="75C6CBE9"/>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5F8BA"/>
    <w:rsid w:val="76989CFD"/>
    <w:rsid w:val="769C6993"/>
    <w:rsid w:val="76A39F65"/>
    <w:rsid w:val="76A9148D"/>
    <w:rsid w:val="76ABACEF"/>
    <w:rsid w:val="76AC0F25"/>
    <w:rsid w:val="76AE54F1"/>
    <w:rsid w:val="76AFBF46"/>
    <w:rsid w:val="76B47E76"/>
    <w:rsid w:val="76BD2BB3"/>
    <w:rsid w:val="76C084F0"/>
    <w:rsid w:val="76CB7A6D"/>
    <w:rsid w:val="76D9FC8C"/>
    <w:rsid w:val="76E3019C"/>
    <w:rsid w:val="76EBEFED"/>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655E2"/>
    <w:rsid w:val="77B7D9E2"/>
    <w:rsid w:val="77C9F831"/>
    <w:rsid w:val="77DEA546"/>
    <w:rsid w:val="77DF5220"/>
    <w:rsid w:val="77DF9A35"/>
    <w:rsid w:val="77E37D61"/>
    <w:rsid w:val="77E49AE4"/>
    <w:rsid w:val="77F7C443"/>
    <w:rsid w:val="77FE76A7"/>
    <w:rsid w:val="7802BDA9"/>
    <w:rsid w:val="780F48FF"/>
    <w:rsid w:val="7824C997"/>
    <w:rsid w:val="783370F5"/>
    <w:rsid w:val="783F998F"/>
    <w:rsid w:val="784C7754"/>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649F2"/>
    <w:rsid w:val="792C0CFA"/>
    <w:rsid w:val="793055EB"/>
    <w:rsid w:val="793627FB"/>
    <w:rsid w:val="79399798"/>
    <w:rsid w:val="793DB8D7"/>
    <w:rsid w:val="7945EFEC"/>
    <w:rsid w:val="79481E80"/>
    <w:rsid w:val="796723C8"/>
    <w:rsid w:val="7976441C"/>
    <w:rsid w:val="7978259E"/>
    <w:rsid w:val="7989CC91"/>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01FF4"/>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11242"/>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A1A0A"/>
    <w:rsid w:val="7B3FA033"/>
    <w:rsid w:val="7B437666"/>
    <w:rsid w:val="7B51F756"/>
    <w:rsid w:val="7B57337C"/>
    <w:rsid w:val="7B5E0EAE"/>
    <w:rsid w:val="7B677AE2"/>
    <w:rsid w:val="7B6DF5EA"/>
    <w:rsid w:val="7B717669"/>
    <w:rsid w:val="7B7CF01B"/>
    <w:rsid w:val="7B947E0A"/>
    <w:rsid w:val="7B963B66"/>
    <w:rsid w:val="7B9958A1"/>
    <w:rsid w:val="7BA0C48F"/>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32A9CD"/>
    <w:rsid w:val="7C389A0D"/>
    <w:rsid w:val="7C48DDDD"/>
    <w:rsid w:val="7C497769"/>
    <w:rsid w:val="7C4A5A3A"/>
    <w:rsid w:val="7C4B8E1F"/>
    <w:rsid w:val="7C5084F5"/>
    <w:rsid w:val="7C52C4CA"/>
    <w:rsid w:val="7C541876"/>
    <w:rsid w:val="7C5F82B1"/>
    <w:rsid w:val="7C626DA6"/>
    <w:rsid w:val="7C68DD88"/>
    <w:rsid w:val="7C73FBD3"/>
    <w:rsid w:val="7C7BB831"/>
    <w:rsid w:val="7C7ED0C2"/>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0471D"/>
    <w:rsid w:val="7D0127A1"/>
    <w:rsid w:val="7D03E943"/>
    <w:rsid w:val="7D05F1E5"/>
    <w:rsid w:val="7D0632CC"/>
    <w:rsid w:val="7D0CF9A6"/>
    <w:rsid w:val="7D0EE1AC"/>
    <w:rsid w:val="7D11608A"/>
    <w:rsid w:val="7D11C470"/>
    <w:rsid w:val="7D12CB7E"/>
    <w:rsid w:val="7D17EC47"/>
    <w:rsid w:val="7D1935E9"/>
    <w:rsid w:val="7D2D14D5"/>
    <w:rsid w:val="7D35B82B"/>
    <w:rsid w:val="7D38BD33"/>
    <w:rsid w:val="7D3A6C5D"/>
    <w:rsid w:val="7D4146E7"/>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3E16E"/>
    <w:rsid w:val="7DF5A099"/>
    <w:rsid w:val="7DF7C758"/>
    <w:rsid w:val="7DF9F21B"/>
    <w:rsid w:val="7E033F67"/>
    <w:rsid w:val="7E07DA1A"/>
    <w:rsid w:val="7E117B0C"/>
    <w:rsid w:val="7E13F66A"/>
    <w:rsid w:val="7E18F43E"/>
    <w:rsid w:val="7E1CD7AE"/>
    <w:rsid w:val="7E280E21"/>
    <w:rsid w:val="7E2F9D62"/>
    <w:rsid w:val="7E302618"/>
    <w:rsid w:val="7E326E02"/>
    <w:rsid w:val="7E350464"/>
    <w:rsid w:val="7E391D5F"/>
    <w:rsid w:val="7E45031D"/>
    <w:rsid w:val="7E55CD2B"/>
    <w:rsid w:val="7E59DC4A"/>
    <w:rsid w:val="7E5D807C"/>
    <w:rsid w:val="7E7C2272"/>
    <w:rsid w:val="7E7F8469"/>
    <w:rsid w:val="7E83713A"/>
    <w:rsid w:val="7E876F88"/>
    <w:rsid w:val="7E8A1B11"/>
    <w:rsid w:val="7E8D26FA"/>
    <w:rsid w:val="7E9C55E6"/>
    <w:rsid w:val="7E9F7CE4"/>
    <w:rsid w:val="7EA13751"/>
    <w:rsid w:val="7EB14BCD"/>
    <w:rsid w:val="7EB3D772"/>
    <w:rsid w:val="7EBA64F2"/>
    <w:rsid w:val="7EBAC0A1"/>
    <w:rsid w:val="7EBAF554"/>
    <w:rsid w:val="7EC03483"/>
    <w:rsid w:val="7EC0651F"/>
    <w:rsid w:val="7ECBE4C9"/>
    <w:rsid w:val="7ED242D8"/>
    <w:rsid w:val="7ED26757"/>
    <w:rsid w:val="7ED4CAA7"/>
    <w:rsid w:val="7EDC5AF7"/>
    <w:rsid w:val="7EE909B2"/>
    <w:rsid w:val="7EF2F6C6"/>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7AA7E4"/>
    <w:rsid w:val="7F846AE4"/>
    <w:rsid w:val="7F882CCF"/>
    <w:rsid w:val="7F90D851"/>
    <w:rsid w:val="7F973412"/>
    <w:rsid w:val="7F9F27E1"/>
    <w:rsid w:val="7F9F6247"/>
    <w:rsid w:val="7FA2FF24"/>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63BE805-2267-4270-986B-EF9630E1F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paragraph" w:customStyle="1" w:styleId="TBNormalTechnicalBlock">
    <w:name w:val="TBNormalTechnicalBlock"/>
    <w:basedOn w:val="Normal"/>
    <w:link w:val="TBNormalTechnicalBlockChar"/>
    <w:uiPriority w:val="1"/>
    <w:rsid w:val="7565D7AB"/>
    <w:pPr>
      <w:widowControl w:val="0"/>
      <w:spacing w:before="0" w:after="0"/>
      <w:contextualSpacing/>
    </w:pPr>
    <w:rPr>
      <w:rFonts w:asciiTheme="minorHAnsi" w:eastAsiaTheme="minorEastAsia" w:hAnsiTheme="minorHAnsi" w:cstheme="minorBidi"/>
      <w:b/>
      <w:bCs/>
      <w:sz w:val="23"/>
      <w:szCs w:val="23"/>
      <w:lang w:eastAsia="fr-BE"/>
    </w:rPr>
  </w:style>
  <w:style w:type="character" w:customStyle="1" w:styleId="TBNormalTechnicalBlockChar">
    <w:name w:val="TBNormalTechnicalBlock Char"/>
    <w:basedOn w:val="DefaultParagraphFont"/>
    <w:link w:val="TBNormalTechnicalBlock"/>
    <w:uiPriority w:val="1"/>
    <w:rsid w:val="7565D7AB"/>
    <w:rPr>
      <w:rFonts w:asciiTheme="minorHAnsi" w:eastAsiaTheme="minorEastAsia" w:hAnsiTheme="minorHAnsi" w:cstheme="minorBidi"/>
      <w:b/>
      <w:bCs/>
      <w:i w:val="0"/>
      <w:iCs w:val="0"/>
      <w:dstrike/>
      <w:color w:val="606060"/>
      <w:sz w:val="23"/>
      <w:szCs w:val="23"/>
      <w:u w:val="words"/>
      <w:lang w:val="ro-RO" w:eastAsia="fr-BE"/>
    </w:rPr>
  </w:style>
  <w:style w:type="paragraph" w:customStyle="1" w:styleId="Normal0">
    <w:name w:val="Normal0"/>
    <w:basedOn w:val="Normal"/>
    <w:uiPriority w:val="1"/>
    <w:rsid w:val="0DC5017D"/>
    <w:rPr>
      <w:rFonts w:ascii="Calibri" w:eastAsia="Calibri" w:hAnsi="Calibri" w:cs="Calibri"/>
      <w:sz w:val="22"/>
    </w:rPr>
  </w:style>
  <w:style w:type="character" w:customStyle="1" w:styleId="HeaderChar">
    <w:name w:val="Header Char"/>
    <w:basedOn w:val="DefaultParagraphFont"/>
    <w:link w:val="Header"/>
    <w:uiPriority w:val="99"/>
    <w:rsid w:val="00E23BD9"/>
    <w:rPr>
      <w:rFonts w:ascii="Times New Roman" w:hAnsi="Times New Roman" w:cs="Times New Roman"/>
      <w:sz w:val="24"/>
      <w:lang w:val="ro-RO"/>
    </w:rPr>
  </w:style>
  <w:style w:type="character" w:customStyle="1" w:styleId="FooterChar">
    <w:name w:val="Footer Char"/>
    <w:basedOn w:val="DefaultParagraphFont"/>
    <w:link w:val="Footer"/>
    <w:uiPriority w:val="99"/>
    <w:rsid w:val="00E23BD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23BD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23BD9"/>
    <w:pPr>
      <w:spacing w:before="0"/>
      <w:jc w:val="right"/>
    </w:pPr>
    <w:rPr>
      <w:sz w:val="28"/>
    </w:rPr>
  </w:style>
  <w:style w:type="paragraph" w:customStyle="1" w:styleId="FooterSensitivity">
    <w:name w:val="Footer Sensitivity"/>
    <w:basedOn w:val="Normal"/>
    <w:rsid w:val="00E23BD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23BD9"/>
    <w:pPr>
      <w:tabs>
        <w:tab w:val="center" w:pos="4535"/>
        <w:tab w:val="right" w:pos="9071"/>
      </w:tabs>
      <w:spacing w:before="0"/>
    </w:pPr>
  </w:style>
  <w:style w:type="paragraph" w:customStyle="1" w:styleId="HeaderLandscape">
    <w:name w:val="HeaderLandscape"/>
    <w:basedOn w:val="Normal"/>
    <w:rsid w:val="00E23BD9"/>
    <w:pPr>
      <w:tabs>
        <w:tab w:val="center" w:pos="7285"/>
        <w:tab w:val="right" w:pos="14003"/>
      </w:tabs>
      <w:spacing w:before="0"/>
    </w:pPr>
  </w:style>
  <w:style w:type="paragraph" w:styleId="Footer">
    <w:name w:val="footer"/>
    <w:basedOn w:val="Normal"/>
    <w:link w:val="FooterChar"/>
    <w:uiPriority w:val="99"/>
    <w:unhideWhenUsed/>
    <w:rsid w:val="00E23BD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23BD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7260E13F24EE47816D0F26A43638A4" ma:contentTypeVersion="19" ma:contentTypeDescription="Create a new document." ma:contentTypeScope="" ma:versionID="a37efcc66657162a4fd78f61a6786a68">
  <xsd:schema xmlns:xsd="http://www.w3.org/2001/XMLSchema" xmlns:xs="http://www.w3.org/2001/XMLSchema" xmlns:p="http://schemas.microsoft.com/office/2006/metadata/properties" xmlns:ns2="7e867e16-cd10-4d7c-af76-521234807006" xmlns:ns3="198f965e-bbb6-4d10-8e04-a2531e92518f" targetNamespace="http://schemas.microsoft.com/office/2006/metadata/properties" ma:root="true" ma:fieldsID="f025cbe63ad64b82b6e79c5b1c42f184" ns2:_="" ns3:_="">
    <xsd:import namespace="7e867e16-cd10-4d7c-af76-521234807006"/>
    <xsd:import namespace="198f965e-bbb6-4d10-8e04-a2531e9251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ReviewedGCI"/>
                <xsd:element ref="ns2:Y_x002f_NreviewedGCI"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67e16-cd10-4d7c-af76-521234807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ReviewedGCI" ma:index="24" ma:displayName="Reviewed GCI" ma:default="0" ma:description="this is to make it easier to track which PAFs GCI has already reviewed" ma:format="Dropdown" ma:internalName="ReviewedGCI">
      <xsd:simpleType>
        <xsd:restriction base="dms:Boolean"/>
      </xsd:simpleType>
    </xsd:element>
    <xsd:element name="Y_x002f_NreviewedGCI" ma:index="25" nillable="true" ma:displayName="Y/N reviewed GCI" ma:default="1" ma:format="Dropdown" ma:internalName="Y_x002f_NreviewedGCI">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f965e-bbb6-4d10-8e04-a2531e9251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5618139-48c2-453b-97cf-bce567d5ce84}" ma:internalName="TaxCatchAll" ma:showField="CatchAllData" ma:web="198f965e-bbb6-4d10-8e04-a2531e925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98f965e-bbb6-4d10-8e04-a2531e92518f" xsi:nil="true"/>
    <Y_x002f_NreviewedGCI xmlns="7e867e16-cd10-4d7c-af76-521234807006">true</Y_x002f_NreviewedGCI>
    <lcf76f155ced4ddcb4097134ff3c332f xmlns="7e867e16-cd10-4d7c-af76-521234807006">
      <Terms xmlns="http://schemas.microsoft.com/office/infopath/2007/PartnerControls"/>
    </lcf76f155ced4ddcb4097134ff3c332f>
    <ReviewedGCI xmlns="7e867e16-cd10-4d7c-af76-521234807006">false</ReviewedGCI>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5E872BC4-65CF-4D97-8E95-23854A1B6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67e16-cd10-4d7c-af76-521234807006"/>
    <ds:schemaRef ds:uri="198f965e-bbb6-4d10-8e04-a2531e925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98f965e-bbb6-4d10-8e04-a2531e92518f"/>
    <ds:schemaRef ds:uri="7e867e16-cd10-4d7c-af76-521234807006"/>
  </ds:schemaRefs>
</ds:datastoreItem>
</file>

<file path=customXml/itemProps4.xml><?xml version="1.0" encoding="utf-8"?>
<ds:datastoreItem xmlns:ds="http://schemas.openxmlformats.org/officeDocument/2006/customXml" ds:itemID="{02F627F3-855C-4061-89F2-DFAB4602F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51</TotalTime>
  <Pages>7</Pages>
  <Words>2323</Words>
  <Characters>13245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86</cp:revision>
  <dcterms:created xsi:type="dcterms:W3CDTF">2026-03-19T08:15:00Z</dcterms:created>
  <dcterms:modified xsi:type="dcterms:W3CDTF">2026-05-28T12:42:00Z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0x010100957260E13F24EE47816D0F26A43638A4</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