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B72" w:rsidRPr="00FF7B1D" w:rsidRDefault="00061725" w:rsidP="000617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46D1EE-443A-43FD-A8EA-382C1B465EE5" style="width:455.25pt;height:371.25pt">
            <v:imagedata r:id="rId8" o:title=""/>
          </v:shape>
        </w:pict>
      </w:r>
    </w:p>
    <w:p w:rsidR="00A22B72" w:rsidRPr="00FF7B1D" w:rsidRDefault="00A22B72" w:rsidP="00A22B72">
      <w:pPr>
        <w:rPr>
          <w:noProof/>
        </w:rPr>
        <w:sectPr w:rsidR="00A22B72" w:rsidRPr="00FF7B1D" w:rsidSect="00061725">
          <w:footerReference w:type="even" r:id="rId9"/>
          <w:footerReference w:type="default" r:id="rId10"/>
          <w:pgSz w:w="11907" w:h="16839"/>
          <w:pgMar w:top="1134" w:right="1417" w:bottom="1134" w:left="1417" w:header="709" w:footer="709" w:gutter="0"/>
          <w:pgNumType w:start="0"/>
          <w:cols w:space="720"/>
          <w:docGrid w:linePitch="360"/>
        </w:sectPr>
      </w:pPr>
    </w:p>
    <w:p w:rsidR="00A22B72" w:rsidRPr="00FF7B1D" w:rsidRDefault="00A22B72" w:rsidP="00BB6B30">
      <w:pPr>
        <w:pStyle w:val="Exposdesmotifstitre"/>
        <w:rPr>
          <w:noProof/>
        </w:rPr>
      </w:pPr>
      <w:bookmarkStart w:id="0" w:name="_GoBack"/>
      <w:bookmarkEnd w:id="0"/>
      <w:r w:rsidRPr="00FF7B1D">
        <w:rPr>
          <w:noProof/>
        </w:rPr>
        <w:lastRenderedPageBreak/>
        <w:t>EXPUNERE DE MOTIVE</w:t>
      </w:r>
    </w:p>
    <w:p w:rsidR="00A22B72" w:rsidRPr="00FF7B1D" w:rsidRDefault="00A22B72" w:rsidP="00880CD4">
      <w:pPr>
        <w:pStyle w:val="ManualHeading1"/>
        <w:rPr>
          <w:rFonts w:eastAsia="Arial Unicode MS"/>
          <w:noProof/>
        </w:rPr>
      </w:pPr>
      <w:r>
        <w:rPr>
          <w:noProof/>
        </w:rPr>
        <w:t>1.</w:t>
      </w:r>
      <w:r>
        <w:rPr>
          <w:noProof/>
        </w:rPr>
        <w:tab/>
      </w:r>
      <w:r w:rsidRPr="00FF7B1D">
        <w:rPr>
          <w:noProof/>
        </w:rPr>
        <w:t>Obiectul propunerii</w:t>
      </w:r>
    </w:p>
    <w:p w:rsidR="00A22B72" w:rsidRPr="00FF7B1D" w:rsidRDefault="00A22B72" w:rsidP="00A3786D">
      <w:pPr>
        <w:rPr>
          <w:rFonts w:eastAsia="Arial Unicode MS"/>
          <w:noProof/>
        </w:rPr>
      </w:pPr>
      <w:r w:rsidRPr="00FF7B1D">
        <w:rPr>
          <w:noProof/>
        </w:rPr>
        <w:t>Prezenta propunere se referă la decizia de stabilire a poziției care urmează să fie adoptată în numele Uniunii în cadrul Comitetului mixt veterinar instituit prin Acordul dintre Comunitatea Europeană și Confederația Elvețiană privind comerțul cu produse agricole, în ceea ce privește modificarea anexei 11 la Acordul privind măsurile sanitare și zootehnice aplicabile comerțului cu animale vii și cu produsele de origine animală.</w:t>
      </w:r>
    </w:p>
    <w:p w:rsidR="00A22B72" w:rsidRPr="00FF7B1D" w:rsidRDefault="00A22B72" w:rsidP="00A3786D">
      <w:pPr>
        <w:pStyle w:val="ManualHeading1"/>
        <w:rPr>
          <w:noProof/>
        </w:rPr>
      </w:pPr>
      <w:r>
        <w:rPr>
          <w:noProof/>
        </w:rPr>
        <w:t>2.</w:t>
      </w:r>
      <w:r>
        <w:rPr>
          <w:noProof/>
        </w:rPr>
        <w:tab/>
      </w:r>
      <w:r w:rsidRPr="00FF7B1D">
        <w:rPr>
          <w:noProof/>
        </w:rPr>
        <w:t>Contextul propunerii</w:t>
      </w:r>
    </w:p>
    <w:p w:rsidR="00A22B72" w:rsidRPr="00FF7B1D" w:rsidRDefault="00A22B72" w:rsidP="00A3786D">
      <w:pPr>
        <w:pStyle w:val="ManualHeading2"/>
        <w:rPr>
          <w:noProof/>
        </w:rPr>
      </w:pPr>
      <w:r>
        <w:rPr>
          <w:noProof/>
        </w:rPr>
        <w:t>2.1.</w:t>
      </w:r>
      <w:r>
        <w:rPr>
          <w:noProof/>
        </w:rPr>
        <w:tab/>
      </w:r>
      <w:r w:rsidRPr="00FF7B1D">
        <w:rPr>
          <w:noProof/>
        </w:rPr>
        <w:t>Acordul dintre Comunitatea Europeană și Confederația Elvețiană privind comerțul cu produse agricole</w:t>
      </w:r>
    </w:p>
    <w:p w:rsidR="00A22B72" w:rsidRPr="00FF7B1D" w:rsidRDefault="00A22B72" w:rsidP="00A3786D">
      <w:pPr>
        <w:rPr>
          <w:rFonts w:eastAsia="Arial Unicode MS"/>
          <w:noProof/>
        </w:rPr>
      </w:pPr>
      <w:r w:rsidRPr="00FF7B1D">
        <w:rPr>
          <w:noProof/>
        </w:rPr>
        <w:t>Acordul dintre Comunitatea Europeană și Confederația Elvețiană privind comerțul cu produse agricole (denumit în continuare „acordul”) urmărește să consolideze relațiile de liber schimb dintre părți prin îmbunătățirea accesului acestora la piața produselor agricole a celeilalte părți.</w:t>
      </w:r>
      <w:r w:rsidR="00FF7B1D" w:rsidRPr="00FF7B1D">
        <w:rPr>
          <w:noProof/>
        </w:rPr>
        <w:t xml:space="preserve"> </w:t>
      </w:r>
      <w:r w:rsidRPr="00FF7B1D">
        <w:rPr>
          <w:noProof/>
        </w:rPr>
        <w:t xml:space="preserve">Acordul a intrat în vigoare la 1 iunie 2002. </w:t>
      </w:r>
    </w:p>
    <w:p w:rsidR="00A22B72" w:rsidRPr="00FF7B1D" w:rsidRDefault="00A22B72" w:rsidP="00A3786D">
      <w:pPr>
        <w:pStyle w:val="ManualHeading2"/>
        <w:rPr>
          <w:noProof/>
        </w:rPr>
      </w:pPr>
      <w:r>
        <w:rPr>
          <w:noProof/>
        </w:rPr>
        <w:t>2.2.</w:t>
      </w:r>
      <w:r>
        <w:rPr>
          <w:noProof/>
        </w:rPr>
        <w:tab/>
      </w:r>
      <w:r w:rsidRPr="00FF7B1D">
        <w:rPr>
          <w:noProof/>
        </w:rPr>
        <w:t xml:space="preserve">Comitetul mixt veterinar </w:t>
      </w:r>
    </w:p>
    <w:p w:rsidR="00A22B72" w:rsidRPr="00FF7B1D" w:rsidRDefault="00A22B72" w:rsidP="00A3786D">
      <w:pPr>
        <w:rPr>
          <w:rFonts w:eastAsia="Arial Unicode MS"/>
          <w:noProof/>
        </w:rPr>
      </w:pPr>
      <w:r w:rsidRPr="00FF7B1D">
        <w:rPr>
          <w:noProof/>
        </w:rPr>
        <w:t xml:space="preserve">Comitetul mixt veterinar este responsabil de examinarea tuturor chestiunilor referitoare la anexa 11 la acord. Articolul 19 alineatul (3) din anexa 11 la acord abilitează Comitetul mixt veterinar să modifice apendicele din acord, în special în scopul de a le adapta și actualiza. </w:t>
      </w:r>
    </w:p>
    <w:p w:rsidR="00A22B72" w:rsidRPr="00FF7B1D" w:rsidRDefault="00A22B72" w:rsidP="00A3786D">
      <w:pPr>
        <w:pStyle w:val="ManualHeading2"/>
        <w:rPr>
          <w:noProof/>
        </w:rPr>
      </w:pPr>
      <w:r>
        <w:rPr>
          <w:noProof/>
        </w:rPr>
        <w:t>2.3.</w:t>
      </w:r>
      <w:r>
        <w:rPr>
          <w:noProof/>
        </w:rPr>
        <w:tab/>
      </w:r>
      <w:r w:rsidRPr="00FF7B1D">
        <w:rPr>
          <w:noProof/>
        </w:rPr>
        <w:t>Actul avut în vedere de Comitetul mixt veterinar</w:t>
      </w:r>
    </w:p>
    <w:p w:rsidR="00A22B72" w:rsidRPr="00FF7B1D" w:rsidRDefault="00A22B72" w:rsidP="00A3786D">
      <w:pPr>
        <w:rPr>
          <w:rFonts w:eastAsia="Arial Unicode MS"/>
          <w:noProof/>
        </w:rPr>
      </w:pPr>
      <w:r w:rsidRPr="00FF7B1D">
        <w:rPr>
          <w:noProof/>
        </w:rPr>
        <w:t xml:space="preserve">În cadrul următoarei sale reuniuni, Comitetul mixt veterinar urmează să adopte o decizie de modificare a apendicelor 1, 2, 3, 5, 6 și 10 la anexa 11 pentru a ține seama de evoluțiile în materie de reglementare de ambele părți și pentru a menține aceleași condiții pentru circulația animalelor și a produselor provenite de la acestea ca și cele între statele membre ale Uniunii. </w:t>
      </w:r>
    </w:p>
    <w:p w:rsidR="00A22B72" w:rsidRPr="00FF7B1D" w:rsidRDefault="00A22B72" w:rsidP="00A3786D">
      <w:pPr>
        <w:rPr>
          <w:rFonts w:eastAsia="Arial Unicode MS"/>
          <w:noProof/>
        </w:rPr>
      </w:pPr>
      <w:r w:rsidRPr="00FF7B1D">
        <w:rPr>
          <w:noProof/>
        </w:rPr>
        <w:t xml:space="preserve">Actul avut în vedere va deveni obligatoriu pentru părți în conformitate cu articolul 19 alineatul (3) din anexa 11 la acord. </w:t>
      </w:r>
    </w:p>
    <w:p w:rsidR="00A22B72" w:rsidRPr="00FF7B1D" w:rsidRDefault="00A22B72" w:rsidP="00A22B72">
      <w:pPr>
        <w:pStyle w:val="ManualHeading1"/>
        <w:rPr>
          <w:rFonts w:eastAsia="Arial Unicode MS"/>
          <w:noProof/>
        </w:rPr>
      </w:pPr>
      <w:r>
        <w:rPr>
          <w:noProof/>
        </w:rPr>
        <w:t>3.</w:t>
      </w:r>
      <w:r>
        <w:rPr>
          <w:noProof/>
        </w:rPr>
        <w:tab/>
      </w:r>
      <w:r w:rsidRPr="00FF7B1D">
        <w:rPr>
          <w:noProof/>
        </w:rPr>
        <w:t>Poziția care urmează să fie adoptată în numele Uniunii</w:t>
      </w:r>
    </w:p>
    <w:p w:rsidR="001807D4" w:rsidRPr="00FF7B1D" w:rsidRDefault="001807D4" w:rsidP="001807D4">
      <w:pPr>
        <w:rPr>
          <w:noProof/>
        </w:rPr>
      </w:pPr>
      <w:r w:rsidRPr="00FF7B1D">
        <w:rPr>
          <w:noProof/>
        </w:rPr>
        <w:t xml:space="preserve">Obiectivul propunerii de decizie a Comitetului mixt veterinar este de a consolida facilitarea comerțului cu produse de origine animală între Uniune și Elveția prin adaptarea anexei la evoluția legislației și a sistemelor de control ale Uniunii și, respectiv, ale Elveției în ceea ce privește sănătatea animală și prin recunoașterea echivalenței acestora. </w:t>
      </w:r>
    </w:p>
    <w:p w:rsidR="001807D4" w:rsidRPr="00FF7B1D" w:rsidRDefault="001807D4" w:rsidP="001807D4">
      <w:pPr>
        <w:rPr>
          <w:noProof/>
        </w:rPr>
      </w:pPr>
      <w:r w:rsidRPr="00FF7B1D">
        <w:rPr>
          <w:noProof/>
        </w:rPr>
        <w:t xml:space="preserve">Adaptările propuse vizează actualizarea referințelor normative ale UE și Elveției pentru a acoperi toate bolile animalelor. În special, acestea vizează îmbunătățirea gestionării bolilor transfrontaliere, permițând o adaptare rapidă a statutului privind bolile animalelor. </w:t>
      </w:r>
    </w:p>
    <w:p w:rsidR="001807D4" w:rsidRPr="00FF7B1D" w:rsidRDefault="001807D4" w:rsidP="001807D4">
      <w:pPr>
        <w:rPr>
          <w:noProof/>
        </w:rPr>
      </w:pPr>
      <w:r w:rsidRPr="00FF7B1D">
        <w:rPr>
          <w:noProof/>
        </w:rPr>
        <w:t>În plus, a evoluat funcționarea sistemului de gestionare a informațiilor pentru controalele oficiale. Pentru a facilita cooperarea administrativă dintre Uniune și Elveția și pentru a asigura un schimb fără probleme de informații privind controalele oficiale, Elveția trebuie să fie pe deplin integrată în noul sistem al Uniunii, în toate componentele sale.</w:t>
      </w:r>
    </w:p>
    <w:p w:rsidR="000D5031" w:rsidRPr="00FF7B1D" w:rsidRDefault="001807D4" w:rsidP="001807D4">
      <w:pPr>
        <w:rPr>
          <w:noProof/>
        </w:rPr>
      </w:pPr>
      <w:r w:rsidRPr="00FF7B1D">
        <w:rPr>
          <w:noProof/>
        </w:rPr>
        <w:t xml:space="preserve">În cele din urmă, pentru a combate rezistența la antimicrobiene, UE a instituit restricții privind utilizarea medicamentelor antimicrobiene la animalele de fermă și noi cerințe pentru controalele importurilor de animale și de produse de origine animală din țări terțe, impunând utilizarea unor certificate oficiale actualizate cu o atestare a conformității semnată de </w:t>
      </w:r>
      <w:r w:rsidRPr="00FF7B1D">
        <w:rPr>
          <w:noProof/>
        </w:rPr>
        <w:lastRenderedPageBreak/>
        <w:t xml:space="preserve">autoritățile competente. În absența unei decizii a Comitetului mixt veterinar înainte de intrarea în vigoare a noilor dispoziții privind antimicrobienele, Elveția trebuie să furnizeze certificatele respective începând cu 3 septembrie 2026, Uniunea trebuie să considere Elveția drept țară terță, iar Elveția trebuie să furnizeze astfel de certificate. </w:t>
      </w:r>
    </w:p>
    <w:p w:rsidR="001807D4" w:rsidRPr="00FF7B1D" w:rsidRDefault="000D5031" w:rsidP="001807D4">
      <w:pPr>
        <w:rPr>
          <w:noProof/>
        </w:rPr>
      </w:pPr>
      <w:r w:rsidRPr="00FF7B1D">
        <w:rPr>
          <w:noProof/>
        </w:rPr>
        <w:t>Pentru a evita această situație, Elveția și-a actualizat normele naționale la [data mai 2026] pentru a se asigura că acestea reflectă noile dispoziții ale UE privind antimicrobienele înainte de intrarea lor în vigoare la 3 septembrie 2026. Elveția va aplica aceste modificări de la 1 septembrie 2026. Prin urmare, comerțul cu animale și produse de origine animală între Elveția și Uniune poate continua fără a fi însoțit de un certificat oficial care să ateste respectarea restricțiilor menționate mai sus. Prin proiectul de decizie a Comitetului mixt veterinar, părțile se angajează să revizuiască regimul descris mai sus înainte de 1 iulie 2028, data încetării acestuia.</w:t>
      </w:r>
    </w:p>
    <w:p w:rsidR="00A22B72" w:rsidRPr="00FF7B1D" w:rsidRDefault="00A22B72" w:rsidP="00A3786D">
      <w:pPr>
        <w:pStyle w:val="ManualHeading1"/>
        <w:rPr>
          <w:noProof/>
        </w:rPr>
      </w:pPr>
      <w:r>
        <w:rPr>
          <w:noProof/>
        </w:rPr>
        <w:t>4.</w:t>
      </w:r>
      <w:r>
        <w:rPr>
          <w:noProof/>
        </w:rPr>
        <w:tab/>
      </w:r>
      <w:r w:rsidRPr="00FF7B1D">
        <w:rPr>
          <w:noProof/>
        </w:rPr>
        <w:t>Temeiul juridic</w:t>
      </w:r>
    </w:p>
    <w:p w:rsidR="00A22B72" w:rsidRPr="00FF7B1D" w:rsidRDefault="00A22B72" w:rsidP="00A3786D">
      <w:pPr>
        <w:pStyle w:val="ManualHeading2"/>
        <w:rPr>
          <w:noProof/>
        </w:rPr>
      </w:pPr>
      <w:r>
        <w:rPr>
          <w:noProof/>
        </w:rPr>
        <w:t>4.1.</w:t>
      </w:r>
      <w:r>
        <w:rPr>
          <w:noProof/>
        </w:rPr>
        <w:tab/>
      </w:r>
      <w:r w:rsidRPr="00FF7B1D">
        <w:rPr>
          <w:noProof/>
        </w:rPr>
        <w:t>Temei juridic procedural</w:t>
      </w:r>
    </w:p>
    <w:p w:rsidR="00A22B72" w:rsidRPr="00FF7B1D" w:rsidRDefault="00A22B72" w:rsidP="00A22B72">
      <w:pPr>
        <w:pStyle w:val="ManualHeading3"/>
        <w:tabs>
          <w:tab w:val="clear" w:pos="850"/>
          <w:tab w:val="num" w:pos="1984"/>
        </w:tabs>
        <w:ind w:left="1984" w:hanging="567"/>
        <w:rPr>
          <w:noProof/>
        </w:rPr>
      </w:pPr>
      <w:r>
        <w:rPr>
          <w:noProof/>
        </w:rPr>
        <w:t>4.1.1.</w:t>
      </w:r>
      <w:r>
        <w:rPr>
          <w:noProof/>
        </w:rPr>
        <w:tab/>
      </w:r>
      <w:r w:rsidRPr="00FF7B1D">
        <w:rPr>
          <w:noProof/>
        </w:rPr>
        <w:t>Principii</w:t>
      </w:r>
    </w:p>
    <w:p w:rsidR="00A22B72" w:rsidRPr="00FF7B1D" w:rsidRDefault="00A22B72" w:rsidP="00A3786D">
      <w:pPr>
        <w:rPr>
          <w:noProof/>
        </w:rPr>
      </w:pPr>
      <w:r w:rsidRPr="00FF7B1D">
        <w:rPr>
          <w:noProof/>
        </w:rPr>
        <w:t>Articolul 218 alineatul (9) din Tratatul privind funcționarea Uniunii Europene (TFUE) prevede posibilitatea adoptării unor decizii de stabilire „</w:t>
      </w:r>
      <w:r w:rsidRPr="00FF7B1D">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FF7B1D">
        <w:rPr>
          <w:noProof/>
        </w:rPr>
        <w:t>”</w:t>
      </w:r>
      <w:r w:rsidR="00FF7B1D" w:rsidRPr="00FF7B1D">
        <w:rPr>
          <w:noProof/>
        </w:rPr>
        <w:t>.</w:t>
      </w:r>
    </w:p>
    <w:p w:rsidR="00A22B72" w:rsidRPr="00FF7B1D" w:rsidRDefault="00A22B72" w:rsidP="00A3786D">
      <w:pPr>
        <w:rPr>
          <w:noProof/>
        </w:rPr>
      </w:pPr>
      <w:r w:rsidRPr="00FF7B1D">
        <w:rPr>
          <w:noProof/>
        </w:rPr>
        <w:t>Noțiunea de „</w:t>
      </w:r>
      <w:r w:rsidRPr="00FF7B1D">
        <w:rPr>
          <w:i/>
          <w:noProof/>
        </w:rPr>
        <w:t>acte cu efecte juridice</w:t>
      </w:r>
      <w:r w:rsidRPr="00FF7B1D">
        <w:rPr>
          <w:noProof/>
        </w:rPr>
        <w:t>” include actele care au efecte juridice în temeiul normelor de drept internațional aplicabile organismului în cauză. Conceptul de „acte cu efecte juridice” include și instrumentele care nu au un caracter obligatoriu în temeiul dreptului internațional, dar care „</w:t>
      </w:r>
      <w:r w:rsidRPr="00FF7B1D">
        <w:rPr>
          <w:i/>
          <w:noProof/>
        </w:rPr>
        <w:t>au vocația de a influența în mod decisiv conținutul reglementării adoptate de legiuitorul Uniunii</w:t>
      </w:r>
      <w:r w:rsidRPr="00FF7B1D">
        <w:rPr>
          <w:noProof/>
        </w:rPr>
        <w:t>”</w:t>
      </w:r>
      <w:r w:rsidRPr="00FF7B1D">
        <w:rPr>
          <w:rStyle w:val="FootnoteReference"/>
          <w:noProof/>
        </w:rPr>
        <w:footnoteReference w:id="1"/>
      </w:r>
      <w:r w:rsidRPr="00FF7B1D">
        <w:rPr>
          <w:noProof/>
        </w:rPr>
        <w:t>.</w:t>
      </w:r>
    </w:p>
    <w:p w:rsidR="00A22B72" w:rsidRPr="00FF7B1D" w:rsidRDefault="00A22B72" w:rsidP="00A22B72">
      <w:pPr>
        <w:pStyle w:val="ManualHeading3"/>
        <w:tabs>
          <w:tab w:val="clear" w:pos="850"/>
          <w:tab w:val="num" w:pos="1984"/>
        </w:tabs>
        <w:ind w:left="1984" w:hanging="567"/>
        <w:rPr>
          <w:noProof/>
        </w:rPr>
      </w:pPr>
      <w:r>
        <w:rPr>
          <w:noProof/>
        </w:rPr>
        <w:t>4.1.2.</w:t>
      </w:r>
      <w:r>
        <w:rPr>
          <w:noProof/>
        </w:rPr>
        <w:tab/>
      </w:r>
      <w:r w:rsidRPr="00FF7B1D">
        <w:rPr>
          <w:noProof/>
        </w:rPr>
        <w:t>Aplicarea la cazul în discuție</w:t>
      </w:r>
    </w:p>
    <w:p w:rsidR="00A22B72" w:rsidRPr="00FF7B1D" w:rsidRDefault="00A22B72" w:rsidP="00A3786D">
      <w:pPr>
        <w:rPr>
          <w:noProof/>
        </w:rPr>
      </w:pPr>
      <w:r w:rsidRPr="00FF7B1D">
        <w:rPr>
          <w:noProof/>
        </w:rPr>
        <w:t>Comitetul mixt veterinar este un organism instituit printr-un acord, și anume Acordul dintre Comunitatea Europeană și Confederația Elvețiană privind comerțul cu produse agricole.</w:t>
      </w:r>
    </w:p>
    <w:p w:rsidR="00A22B72" w:rsidRPr="00FF7B1D" w:rsidRDefault="00A22B72" w:rsidP="00A3786D">
      <w:pPr>
        <w:rPr>
          <w:noProof/>
        </w:rPr>
      </w:pPr>
      <w:r w:rsidRPr="00FF7B1D">
        <w:rPr>
          <w:noProof/>
        </w:rPr>
        <w:t xml:space="preserve">Actul pe care Comitetul mixt veterinar este invitat să îl adopte este un act cu efecte juridice. Actul avut în vedere va deveni obligatoriu pentru Uniune în conformitate cu articolul 19 alineatul (3) din anexa 11 la acord. </w:t>
      </w:r>
    </w:p>
    <w:p w:rsidR="00A22B72" w:rsidRPr="00FF7B1D" w:rsidRDefault="00A22B72" w:rsidP="00A3786D">
      <w:pPr>
        <w:rPr>
          <w:noProof/>
        </w:rPr>
      </w:pPr>
      <w:r w:rsidRPr="00FF7B1D">
        <w:rPr>
          <w:noProof/>
        </w:rPr>
        <w:t>Actul avut în vedere nu modifică și nici nu completează cadrul instituțional al acordului.</w:t>
      </w:r>
    </w:p>
    <w:p w:rsidR="00A22B72" w:rsidRPr="00FF7B1D" w:rsidRDefault="00A22B72" w:rsidP="00A3786D">
      <w:pPr>
        <w:rPr>
          <w:noProof/>
        </w:rPr>
      </w:pPr>
      <w:r w:rsidRPr="00FF7B1D">
        <w:rPr>
          <w:noProof/>
        </w:rPr>
        <w:t>Prin urmare, temeiul juridic procedural al propunerii de decizie este articolul 218 alineatul (9) din TFUE.</w:t>
      </w:r>
    </w:p>
    <w:p w:rsidR="00A22B72" w:rsidRPr="00FF7B1D" w:rsidRDefault="00A22B72" w:rsidP="00A3786D">
      <w:pPr>
        <w:pStyle w:val="ManualHeading2"/>
        <w:rPr>
          <w:noProof/>
        </w:rPr>
      </w:pPr>
      <w:r>
        <w:rPr>
          <w:noProof/>
        </w:rPr>
        <w:t>4.2.</w:t>
      </w:r>
      <w:r>
        <w:rPr>
          <w:noProof/>
        </w:rPr>
        <w:tab/>
      </w:r>
      <w:r w:rsidRPr="00FF7B1D">
        <w:rPr>
          <w:noProof/>
        </w:rPr>
        <w:t>Temei juridic material</w:t>
      </w:r>
    </w:p>
    <w:p w:rsidR="00A22B72" w:rsidRPr="00FF7B1D" w:rsidRDefault="00A22B72" w:rsidP="00A22B72">
      <w:pPr>
        <w:pStyle w:val="ManualHeading3"/>
        <w:tabs>
          <w:tab w:val="clear" w:pos="850"/>
          <w:tab w:val="num" w:pos="1984"/>
        </w:tabs>
        <w:ind w:left="1984" w:hanging="567"/>
        <w:rPr>
          <w:noProof/>
        </w:rPr>
      </w:pPr>
      <w:r>
        <w:rPr>
          <w:noProof/>
        </w:rPr>
        <w:t>4.2.1.</w:t>
      </w:r>
      <w:r>
        <w:rPr>
          <w:noProof/>
        </w:rPr>
        <w:tab/>
      </w:r>
      <w:r w:rsidRPr="00FF7B1D">
        <w:rPr>
          <w:noProof/>
        </w:rPr>
        <w:t>Principii</w:t>
      </w:r>
    </w:p>
    <w:p w:rsidR="00A22B72" w:rsidRPr="00FF7B1D" w:rsidRDefault="00A22B72" w:rsidP="00A3786D">
      <w:pPr>
        <w:rPr>
          <w:noProof/>
        </w:rPr>
      </w:pPr>
      <w:r w:rsidRPr="00FF7B1D">
        <w:rPr>
          <w:noProof/>
        </w:rPr>
        <w:t xml:space="preserve">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w:t>
      </w:r>
      <w:r w:rsidRPr="00FF7B1D">
        <w:rPr>
          <w:noProof/>
        </w:rPr>
        <w:lastRenderedPageBreak/>
        <w:t>mai degrabă un caracter accesoriu, decizia adoptată în temeiul articolului 218 alineatul (9) din TFUE trebuie să se întemeieze pe un singur temei juridic material, respectiv cel impus de obiectivul sau de elementul principal sau predominant.</w:t>
      </w:r>
    </w:p>
    <w:p w:rsidR="00A22B72" w:rsidRPr="00FF7B1D" w:rsidRDefault="00A22B72" w:rsidP="00A22B72">
      <w:pPr>
        <w:pStyle w:val="ManualHeading3"/>
        <w:tabs>
          <w:tab w:val="clear" w:pos="850"/>
          <w:tab w:val="num" w:pos="1984"/>
        </w:tabs>
        <w:ind w:left="1984" w:hanging="567"/>
        <w:rPr>
          <w:noProof/>
        </w:rPr>
      </w:pPr>
      <w:r>
        <w:rPr>
          <w:noProof/>
        </w:rPr>
        <w:t>4.2.2.</w:t>
      </w:r>
      <w:r>
        <w:rPr>
          <w:noProof/>
        </w:rPr>
        <w:tab/>
      </w:r>
      <w:r w:rsidRPr="00FF7B1D">
        <w:rPr>
          <w:noProof/>
        </w:rPr>
        <w:t>Aplicarea la cazul în discuție</w:t>
      </w:r>
    </w:p>
    <w:p w:rsidR="00A22B72" w:rsidRPr="00FF7B1D" w:rsidRDefault="00A22B72" w:rsidP="00A3786D">
      <w:pPr>
        <w:rPr>
          <w:noProof/>
        </w:rPr>
      </w:pPr>
      <w:r w:rsidRPr="00FF7B1D">
        <w:rPr>
          <w:noProof/>
        </w:rPr>
        <w:t>Obiectivul și conținutul actului avut în vedere vizează</w:t>
      </w:r>
      <w:r w:rsidR="00FF7B1D" w:rsidRPr="00FF7B1D">
        <w:rPr>
          <w:noProof/>
        </w:rPr>
        <w:t xml:space="preserve"> </w:t>
      </w:r>
      <w:r w:rsidRPr="00FF7B1D">
        <w:rPr>
          <w:noProof/>
        </w:rPr>
        <w:t>în principal facilitarea comerțului cu animale și produse de origine animală.</w:t>
      </w:r>
    </w:p>
    <w:p w:rsidR="00A22B72" w:rsidRPr="00FF7B1D" w:rsidRDefault="00A22B72" w:rsidP="00A3786D">
      <w:pPr>
        <w:rPr>
          <w:i/>
          <w:noProof/>
        </w:rPr>
      </w:pPr>
      <w:r w:rsidRPr="00FF7B1D">
        <w:rPr>
          <w:noProof/>
        </w:rPr>
        <w:t xml:space="preserve">Prin urmare, temeiul juridic material al deciziei propuse este articolul 207 alineatul (4) din TFUE. </w:t>
      </w:r>
    </w:p>
    <w:p w:rsidR="00A22B72" w:rsidRPr="00FF7B1D" w:rsidRDefault="00A22B72" w:rsidP="00A3786D">
      <w:pPr>
        <w:pStyle w:val="ManualHeading2"/>
        <w:rPr>
          <w:noProof/>
        </w:rPr>
      </w:pPr>
      <w:r>
        <w:rPr>
          <w:noProof/>
        </w:rPr>
        <w:t>4.3.</w:t>
      </w:r>
      <w:r>
        <w:rPr>
          <w:noProof/>
        </w:rPr>
        <w:tab/>
      </w:r>
      <w:r w:rsidRPr="00FF7B1D">
        <w:rPr>
          <w:noProof/>
        </w:rPr>
        <w:t>Concluzie</w:t>
      </w:r>
    </w:p>
    <w:p w:rsidR="00A22B72" w:rsidRPr="00FF7B1D" w:rsidRDefault="00A22B72" w:rsidP="00A3786D">
      <w:pPr>
        <w:rPr>
          <w:noProof/>
        </w:rPr>
      </w:pPr>
      <w:r w:rsidRPr="00FF7B1D">
        <w:rPr>
          <w:noProof/>
        </w:rPr>
        <w:t>Temeiurile juridice ale propunerii de decizie trebuie să fie articolul 207 alineatul (4) din TFUE, coroborat cu articolul 218 alineatul (9) din TFUE.</w:t>
      </w:r>
    </w:p>
    <w:p w:rsidR="00A22B72" w:rsidRPr="00FF7B1D" w:rsidRDefault="00A22B72" w:rsidP="00A3786D">
      <w:pPr>
        <w:pStyle w:val="ManualHeading1"/>
        <w:rPr>
          <w:noProof/>
        </w:rPr>
      </w:pPr>
      <w:r>
        <w:rPr>
          <w:noProof/>
        </w:rPr>
        <w:t>5.</w:t>
      </w:r>
      <w:r>
        <w:rPr>
          <w:noProof/>
        </w:rPr>
        <w:tab/>
      </w:r>
      <w:r w:rsidRPr="00FF7B1D">
        <w:rPr>
          <w:noProof/>
        </w:rPr>
        <w:t>PUBLICAREA ACTULUI AVUT ÎN VEDERE</w:t>
      </w:r>
    </w:p>
    <w:p w:rsidR="00A22B72" w:rsidRPr="00FF7B1D" w:rsidRDefault="00A22B72" w:rsidP="00A3786D">
      <w:pPr>
        <w:rPr>
          <w:noProof/>
        </w:rPr>
      </w:pPr>
      <w:r w:rsidRPr="00FF7B1D">
        <w:rPr>
          <w:noProof/>
        </w:rPr>
        <w:t xml:space="preserve">Întrucât actul comitetului mixt veterinar va modifica anexa 11 la acord, este necesar ca acesta să fie publicat, după adoptare, în </w:t>
      </w:r>
      <w:r w:rsidRPr="00FF7B1D">
        <w:rPr>
          <w:i/>
          <w:noProof/>
        </w:rPr>
        <w:t>Jurnalul Oficial al Uniunii Europene</w:t>
      </w:r>
      <w:r w:rsidRPr="00FF7B1D">
        <w:rPr>
          <w:noProof/>
        </w:rPr>
        <w:t>.</w:t>
      </w:r>
    </w:p>
    <w:p w:rsidR="00A22B72" w:rsidRPr="00FF7B1D" w:rsidRDefault="00A22B72" w:rsidP="00776A00">
      <w:pPr>
        <w:rPr>
          <w:noProof/>
        </w:rPr>
        <w:sectPr w:rsidR="00A22B72" w:rsidRPr="00FF7B1D" w:rsidSect="000617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55096" w:rsidRDefault="008D5774">
      <w:pPr>
        <w:pStyle w:val="Rfrenceinterinstitutionnelle"/>
        <w:rPr>
          <w:noProof/>
        </w:rPr>
      </w:pPr>
      <w:r>
        <w:rPr>
          <w:noProof/>
        </w:rPr>
        <w:lastRenderedPageBreak/>
        <w:t>2026/0133 (NLE)</w:t>
      </w:r>
    </w:p>
    <w:p w:rsidR="00A22B72" w:rsidRPr="00FF7B1D" w:rsidRDefault="00F169AF" w:rsidP="00F169AF">
      <w:pPr>
        <w:pStyle w:val="Statut"/>
        <w:rPr>
          <w:noProof/>
        </w:rPr>
      </w:pPr>
      <w:r w:rsidRPr="00FF7B1D">
        <w:rPr>
          <w:noProof/>
        </w:rPr>
        <w:t>Propunere de</w:t>
      </w:r>
    </w:p>
    <w:p w:rsidR="00A22B72" w:rsidRPr="00FF7B1D" w:rsidRDefault="00F169AF" w:rsidP="00F169AF">
      <w:pPr>
        <w:pStyle w:val="Typedudocument"/>
        <w:rPr>
          <w:noProof/>
        </w:rPr>
      </w:pPr>
      <w:r w:rsidRPr="00FF7B1D">
        <w:rPr>
          <w:noProof/>
        </w:rPr>
        <w:t>DECIZIE A CONSILIULUI</w:t>
      </w:r>
    </w:p>
    <w:p w:rsidR="00A22B72" w:rsidRPr="00FF7B1D" w:rsidRDefault="00F169AF" w:rsidP="00F169AF">
      <w:pPr>
        <w:pStyle w:val="Titreobjet"/>
        <w:rPr>
          <w:noProof/>
        </w:rPr>
      </w:pPr>
      <w:r w:rsidRPr="00FF7B1D">
        <w:rPr>
          <w:noProof/>
        </w:rPr>
        <w:t>privind poziția care urmează să fie adoptată în numele Uniunii Europene în cadrul Comitetului mixt veterinar instituit prin Acordul dintre Comunitatea Europeană și Confederația Elvețiană privind comerțul cu produse agricole, în ceea ce privește Decizia 1/2026 de modificare a apendicelor 1, 2, 3, 5, 6 și 10 din anexa 11 la acord</w:t>
      </w:r>
    </w:p>
    <w:p w:rsidR="00A22B72" w:rsidRPr="00FF7B1D" w:rsidRDefault="00A22B72" w:rsidP="008C1588">
      <w:pPr>
        <w:pStyle w:val="Institutionquiagit"/>
        <w:rPr>
          <w:noProof/>
        </w:rPr>
      </w:pPr>
      <w:r w:rsidRPr="00FF7B1D">
        <w:rPr>
          <w:noProof/>
        </w:rPr>
        <w:t>CONSILIUL UNIUNII EUROPENE,</w:t>
      </w:r>
    </w:p>
    <w:p w:rsidR="00A22B72" w:rsidRPr="00FF7B1D" w:rsidRDefault="00A22B72" w:rsidP="008C1588">
      <w:pPr>
        <w:rPr>
          <w:noProof/>
          <w:color w:val="0000FF"/>
        </w:rPr>
      </w:pPr>
      <w:r w:rsidRPr="00FF7B1D">
        <w:rPr>
          <w:noProof/>
        </w:rPr>
        <w:t>având în vedere Tratatul privind funcționarea Uniunii Europene, în special articolul 207 alineatul (4), coroborat cu articolul 218 alineatul (9),</w:t>
      </w:r>
    </w:p>
    <w:p w:rsidR="00A22B72" w:rsidRPr="00FF7B1D" w:rsidRDefault="00A22B72" w:rsidP="008C1588">
      <w:pPr>
        <w:rPr>
          <w:noProof/>
        </w:rPr>
      </w:pPr>
      <w:r w:rsidRPr="00FF7B1D">
        <w:rPr>
          <w:noProof/>
        </w:rPr>
        <w:t>având în vedere propunerea Comisiei Europene,</w:t>
      </w:r>
    </w:p>
    <w:p w:rsidR="00A22B72" w:rsidRPr="00FF7B1D" w:rsidRDefault="00A22B72" w:rsidP="008C1588">
      <w:pPr>
        <w:rPr>
          <w:noProof/>
        </w:rPr>
      </w:pPr>
      <w:r w:rsidRPr="00FF7B1D">
        <w:rPr>
          <w:noProof/>
        </w:rPr>
        <w:t>întrucât:</w:t>
      </w:r>
    </w:p>
    <w:p w:rsidR="00A22B72" w:rsidRPr="00FF7B1D" w:rsidRDefault="00E84279" w:rsidP="00880CD4">
      <w:pPr>
        <w:pStyle w:val="ManualConsidrant"/>
        <w:rPr>
          <w:noProof/>
        </w:rPr>
      </w:pPr>
      <w:r>
        <w:rPr>
          <w:noProof/>
        </w:rPr>
        <w:t>(1)</w:t>
      </w:r>
      <w:r>
        <w:rPr>
          <w:noProof/>
        </w:rPr>
        <w:tab/>
      </w:r>
      <w:r w:rsidRPr="00FF7B1D">
        <w:rPr>
          <w:noProof/>
        </w:rPr>
        <w:t>Acordul dintre Comunitatea Europeană și Confederația Elvețiană privind comerțul cu produse agricole (denumit în continuare „acordul”) a fost încheiat de Uniune prin Decizia 2002/309/CE, Euratom a Consiliului și a Comisiei</w:t>
      </w:r>
      <w:r w:rsidRPr="00FF7B1D">
        <w:rPr>
          <w:rStyle w:val="FootnoteReference"/>
          <w:noProof/>
        </w:rPr>
        <w:footnoteReference w:id="2"/>
      </w:r>
      <w:r w:rsidRPr="00FF7B1D">
        <w:rPr>
          <w:noProof/>
        </w:rPr>
        <w:t xml:space="preserve"> și a intrat în vigoare la 1 iunie 2002.</w:t>
      </w:r>
    </w:p>
    <w:p w:rsidR="00E84279" w:rsidRPr="00FF7B1D" w:rsidRDefault="00E84279" w:rsidP="00E84279">
      <w:pPr>
        <w:pStyle w:val="ManualConsidrant"/>
        <w:rPr>
          <w:noProof/>
        </w:rPr>
      </w:pPr>
      <w:r>
        <w:rPr>
          <w:noProof/>
        </w:rPr>
        <w:t>(2)</w:t>
      </w:r>
      <w:r>
        <w:rPr>
          <w:noProof/>
        </w:rPr>
        <w:tab/>
      </w:r>
      <w:r w:rsidRPr="00FF7B1D">
        <w:rPr>
          <w:noProof/>
        </w:rPr>
        <w:t>În conformitate cu articolul 19 alineatul (1) din anexa 11 la acord, Comitetul mixt veterinar instituit prin acord (denumit în continuare „Comitetul mixt veterinar”) are sarcina de a examina orice chestiune referitoare la anexa respectivă și la punerea în aplicare a acesteia și de a-și asuma atribuțiile prevăzute în aceasta. Articolul 19 alineatul (3) din anexa respectivă autorizează Comitetul mixt veterinar să modifice apendicele din anexa 11, în special în scopul de a le adapta și actualiza.</w:t>
      </w:r>
    </w:p>
    <w:p w:rsidR="00A22B72" w:rsidRPr="00FF7B1D" w:rsidRDefault="00A22B72" w:rsidP="00A22B72">
      <w:pPr>
        <w:pStyle w:val="ManualConsidrant"/>
        <w:rPr>
          <w:noProof/>
        </w:rPr>
      </w:pPr>
      <w:r>
        <w:rPr>
          <w:noProof/>
        </w:rPr>
        <w:t>(3)</w:t>
      </w:r>
      <w:r>
        <w:rPr>
          <w:noProof/>
        </w:rPr>
        <w:tab/>
      </w:r>
      <w:r w:rsidRPr="00FF7B1D">
        <w:rPr>
          <w:noProof/>
        </w:rPr>
        <w:t xml:space="preserve">În cadrul următoarei sale reuniuni, Comitetul mixt veterinar urmează să adopte o decizie de modificare a apendicelor 1, 2, 3, 5, 6 și 10 la anexa 11 la acord. </w:t>
      </w:r>
    </w:p>
    <w:p w:rsidR="00A22B72" w:rsidRPr="00FF7B1D" w:rsidRDefault="00E84279" w:rsidP="00A22B72">
      <w:pPr>
        <w:pStyle w:val="ManualConsidrant"/>
        <w:rPr>
          <w:noProof/>
        </w:rPr>
      </w:pPr>
      <w:r>
        <w:rPr>
          <w:noProof/>
        </w:rPr>
        <w:t>(4)</w:t>
      </w:r>
      <w:r>
        <w:rPr>
          <w:noProof/>
        </w:rPr>
        <w:tab/>
      </w:r>
      <w:r w:rsidRPr="00FF7B1D">
        <w:rPr>
          <w:noProof/>
        </w:rPr>
        <w:t xml:space="preserve">Este necesar să se stabilească poziția care urmează să fie adoptată în numele Uniunii în cadrul Comitetului mixt veterinar, întrucât decizia respectivă de modificare a anexei 11 la acord este obligatorie pentru Uniune. </w:t>
      </w:r>
    </w:p>
    <w:p w:rsidR="00E84279" w:rsidRPr="00FF7B1D" w:rsidRDefault="00E84279" w:rsidP="0045564D">
      <w:pPr>
        <w:pStyle w:val="ManualConsidrant"/>
        <w:rPr>
          <w:noProof/>
        </w:rPr>
      </w:pPr>
      <w:r>
        <w:rPr>
          <w:noProof/>
        </w:rPr>
        <w:t>(5)</w:t>
      </w:r>
      <w:r>
        <w:rPr>
          <w:noProof/>
        </w:rPr>
        <w:tab/>
      </w:r>
      <w:r w:rsidRPr="00FF7B1D">
        <w:rPr>
          <w:noProof/>
        </w:rPr>
        <w:t>Regulamentul (UE) 2016/429 al Parlamentului European și al Consiliului</w:t>
      </w:r>
      <w:r w:rsidRPr="00FF7B1D">
        <w:rPr>
          <w:rStyle w:val="FootnoteReference"/>
          <w:noProof/>
        </w:rPr>
        <w:footnoteReference w:id="3"/>
      </w:r>
      <w:r w:rsidRPr="00FF7B1D">
        <w:rPr>
          <w:noProof/>
        </w:rPr>
        <w:t xml:space="preserve"> modifică și abrogă mai multe texte relevante pentru anexa 11 la acord. Măsurile privind normele de sănătate animală prevăzute în legislația elvețiană au fost evaluate și recunoscute ca fiind echivalente cu legislația Uniunii. Evaluarea acestei echivalențe a fost efectuată ținând seama de toate actele juridice bazate pe legislația Uniunii privind normele de sănătate animală. Prin urmare, este necesar să se modifice toate trimiterile la măsurile </w:t>
      </w:r>
      <w:r w:rsidRPr="00FF7B1D">
        <w:rPr>
          <w:noProof/>
        </w:rPr>
        <w:lastRenderedPageBreak/>
        <w:t xml:space="preserve">privind normele de sănătate animală din apendicele 1, 2, 3, 5, 6 și 10 la anexa 11 la acord. </w:t>
      </w:r>
    </w:p>
    <w:p w:rsidR="00E84279" w:rsidRPr="00FF7B1D" w:rsidRDefault="00E84279" w:rsidP="00E84279">
      <w:pPr>
        <w:pStyle w:val="ManualConsidrant"/>
        <w:rPr>
          <w:noProof/>
        </w:rPr>
      </w:pPr>
      <w:r>
        <w:rPr>
          <w:noProof/>
        </w:rPr>
        <w:t>(6)</w:t>
      </w:r>
      <w:r>
        <w:rPr>
          <w:noProof/>
        </w:rPr>
        <w:tab/>
      </w:r>
      <w:r w:rsidRPr="00FF7B1D">
        <w:rPr>
          <w:noProof/>
        </w:rPr>
        <w:t xml:space="preserve">Având în vedere echivalența recunoscută a măsurilor privind normele de sănătate animală, recunoașterea statutului de indemn de boală pentru anumite boli trebuie simplificată pentru a o accelera și a permite astfel o mai bună gestionare a bolilor transfrontaliere. </w:t>
      </w:r>
    </w:p>
    <w:p w:rsidR="00E84279" w:rsidRPr="00FF7B1D" w:rsidRDefault="00E84279" w:rsidP="00E84279">
      <w:pPr>
        <w:pStyle w:val="ManualConsidrant"/>
        <w:rPr>
          <w:noProof/>
        </w:rPr>
      </w:pPr>
      <w:r>
        <w:rPr>
          <w:noProof/>
        </w:rPr>
        <w:t>(7)</w:t>
      </w:r>
      <w:r>
        <w:rPr>
          <w:noProof/>
        </w:rPr>
        <w:tab/>
      </w:r>
      <w:r w:rsidRPr="00FF7B1D">
        <w:rPr>
          <w:noProof/>
        </w:rPr>
        <w:t xml:space="preserve">Având în vedere evoluțiile succesive în ceea ce privește materialele cu riscuri specificate și hrănirea cu proteine animale a animalelor de fermă nerumegătoare, altele decât cele de blană, dispozițiile privind prevenirea, controlul și eradicarea anumitor forme transmisibile de encefalopatie spongiformă din apendicele 1 și 6 la acord trebuie actualizate și simplificate. </w:t>
      </w:r>
    </w:p>
    <w:p w:rsidR="00E84279" w:rsidRPr="00FF7B1D" w:rsidRDefault="00E84279" w:rsidP="005F6F12">
      <w:pPr>
        <w:pStyle w:val="ManualConsidrant"/>
        <w:rPr>
          <w:noProof/>
        </w:rPr>
      </w:pPr>
      <w:r>
        <w:rPr>
          <w:noProof/>
        </w:rPr>
        <w:t>(8)</w:t>
      </w:r>
      <w:r>
        <w:rPr>
          <w:noProof/>
        </w:rPr>
        <w:tab/>
      </w:r>
      <w:r w:rsidRPr="00FF7B1D">
        <w:rPr>
          <w:noProof/>
        </w:rPr>
        <w:t>Regulamentul (UE) 2017/625 al Parlamentului European și al Consiliului</w:t>
      </w:r>
      <w:r w:rsidRPr="00FF7B1D">
        <w:rPr>
          <w:rStyle w:val="FootnoteReference"/>
          <w:noProof/>
        </w:rPr>
        <w:footnoteReference w:id="4"/>
      </w:r>
      <w:r w:rsidRPr="00FF7B1D">
        <w:rPr>
          <w:noProof/>
        </w:rPr>
        <w:t xml:space="preserve"> modifică și abrogă mai multe texte relevante pentru anexa 11 la acord, în special pentru aplicarea Regulamentului (UE) 2016/429. În plus, începând cu 1 ianuarie 2009, Elveția a încorporat în legislația sa națională cerințele UE privind controalele oficiale efectuate pentru a asigura conformitatea cu legislația privind animalele și produsele de origine animală, precum și toate dispozițiile adoptate pentru punerea în aplicare a acestora </w:t>
      </w:r>
      <w:bookmarkStart w:id="1" w:name="_Hlk227148942"/>
      <w:r w:rsidRPr="00FF7B1D">
        <w:rPr>
          <w:noProof/>
        </w:rPr>
        <w:t>în domeniul controlului importurilor din țări terțe în Uniunea Europeană. Prin urmare, este necesar să se modifice toate trimiterile la controalele oficiale privind normele de sănătate animală și la controalele privind mărfurile provenite din țări terțe, prevăzute în apendicele 1, 2, 3, 5, 6 și 10 la anexa 11</w:t>
      </w:r>
      <w:bookmarkEnd w:id="1"/>
      <w:r w:rsidRPr="00FF7B1D">
        <w:rPr>
          <w:noProof/>
        </w:rPr>
        <w:t xml:space="preserve"> la acord.</w:t>
      </w:r>
    </w:p>
    <w:p w:rsidR="00E84279" w:rsidRPr="00FF7B1D" w:rsidRDefault="00E84279" w:rsidP="00942908">
      <w:pPr>
        <w:pStyle w:val="ManualConsidrant"/>
        <w:rPr>
          <w:noProof/>
        </w:rPr>
      </w:pPr>
      <w:r>
        <w:rPr>
          <w:noProof/>
        </w:rPr>
        <w:t>(9)</w:t>
      </w:r>
      <w:r>
        <w:rPr>
          <w:noProof/>
        </w:rPr>
        <w:tab/>
      </w:r>
      <w:r w:rsidRPr="00FF7B1D">
        <w:rPr>
          <w:noProof/>
        </w:rPr>
        <w:t>Regulamentul de punere în aplicare (UE) 2019/1715 al Comisiei</w:t>
      </w:r>
      <w:r w:rsidRPr="00FF7B1D">
        <w:rPr>
          <w:rStyle w:val="FootnoteReference"/>
          <w:noProof/>
        </w:rPr>
        <w:footnoteReference w:id="5"/>
      </w:r>
      <w:r w:rsidRPr="00FF7B1D">
        <w:rPr>
          <w:noProof/>
        </w:rPr>
        <w:t xml:space="preserve"> stabilește normele privind funcționarea sistemului de gestionare a informațiilor pentru controalele oficiale și a componentelor sistemice ale acestuia. Acesta a reunit, a raționalizat și a înlocuit mai multe acte anterioare care reglementau separat diferitele platforme informatice care au devenit componente ale sistemului computerizat de gestionare a informațiilor pentru controalele oficiale (IMSOC). Pentru a facilita cooperarea administrativă între părți și pentru a asigura buna desfășurare a schimburilor de informații privind controalele oficiale între Comisia Europeană, autoritățile competente ale statelor membre și autoritățile competente din Elveția, Elveția trebuie să fie pe deplin integrată în sistemul IMSOC. Elveția trebuie să desemneze un punct de contact în acest scop. Prin urmare, este necesar să se modifice toate trimiterile la sistemul de gestionare a informațiilor pentru controalele oficiale din apendicele 1, 5, 6 și 10 la anexa 11 la acord.</w:t>
      </w:r>
    </w:p>
    <w:p w:rsidR="00CF42E7" w:rsidRPr="00FF7B1D" w:rsidRDefault="00DD212E" w:rsidP="00CF42E7">
      <w:pPr>
        <w:pStyle w:val="ManualConsidrant"/>
        <w:rPr>
          <w:noProof/>
        </w:rPr>
      </w:pPr>
      <w:r>
        <w:rPr>
          <w:noProof/>
        </w:rPr>
        <w:lastRenderedPageBreak/>
        <w:t>(10)</w:t>
      </w:r>
      <w:r>
        <w:rPr>
          <w:noProof/>
        </w:rPr>
        <w:tab/>
      </w:r>
      <w:r w:rsidRPr="00FF7B1D">
        <w:rPr>
          <w:noProof/>
        </w:rPr>
        <w:t xml:space="preserve">Utilizarea prudentă a antimicrobienelor reprezintă un element esențial în soluționarea problemei legate de rezistența la antimicrobiene (RAM). Elveția și UE colaborează cu planurile de acțiune „O singură sănătate” (One Health) pentru combaterea RAM. </w:t>
      </w:r>
    </w:p>
    <w:p w:rsidR="00CF42E7" w:rsidRPr="00FF7B1D" w:rsidRDefault="001D2393" w:rsidP="00AE046A">
      <w:pPr>
        <w:pStyle w:val="Text1"/>
        <w:rPr>
          <w:noProof/>
        </w:rPr>
      </w:pPr>
      <w:r w:rsidRPr="00FF7B1D">
        <w:rPr>
          <w:noProof/>
        </w:rPr>
        <w:t>Elveția aplică aceleași dispoziții ca cele de la articolul 107 [cu excepția alineatului (6)], coroborat cu articolul 37 alineatul (5) din Regulamentul (UE) 2019/6 al Parlamentului European și al Consiliului</w:t>
      </w:r>
      <w:r w:rsidRPr="00FF7B1D">
        <w:rPr>
          <w:rStyle w:val="FootnoteReference"/>
          <w:noProof/>
        </w:rPr>
        <w:footnoteReference w:id="6"/>
      </w:r>
      <w:r w:rsidRPr="00FF7B1D">
        <w:rPr>
          <w:noProof/>
        </w:rPr>
        <w:t xml:space="preserve">, în ceea ce privește normele privind utilizarea medicamentelor antimicrobiene la animalele de producție, interzicerea utilizării la animalele de producție a antimicrobienelor desemnate sau a grupurilor de antimicrobiene rezervate pentru tratamentul anumitor infecții la om, precum și pentru controalele asupra importurilor de animale și de produse de origine animală din țări terțe. Prin urmare, schimburile comerciale cu animale și produse de origine animală între Elveția și Uniunea Europeană pot fi efectuate fără a fi însoțite de un certificat oficial care să ateste respectarea restricțiilor aplicabile utilizării antimicrobienelor până la 1 iulie 2028. Prin urmare, aceste dispoziții trebuie adăugate la apendicele 2, 3, 5, 6 și 10 din anexa 11 la acord. </w:t>
      </w:r>
    </w:p>
    <w:p w:rsidR="00E84279" w:rsidRPr="00FF7B1D" w:rsidRDefault="00C52B84" w:rsidP="00AE046A">
      <w:pPr>
        <w:pStyle w:val="Text1"/>
        <w:rPr>
          <w:noProof/>
        </w:rPr>
      </w:pPr>
      <w:r w:rsidRPr="00FF7B1D">
        <w:rPr>
          <w:noProof/>
        </w:rPr>
        <w:t>Întrucât Elveția a planificat o actualizare mai substanțială a legislației sale privind medicamentele în lunile următoare, părțile se angajează să revizuiască regimul menționat anterior înainte de 1 iulie 2028, dată la care acesta se va încheia</w:t>
      </w:r>
      <w:r w:rsidR="00FF7B1D" w:rsidRPr="00FF7B1D">
        <w:rPr>
          <w:noProof/>
        </w:rPr>
        <w:t>,</w:t>
      </w:r>
      <w:r w:rsidRPr="00FF7B1D">
        <w:rPr>
          <w:noProof/>
        </w:rPr>
        <w:t xml:space="preserve"> </w:t>
      </w:r>
    </w:p>
    <w:p w:rsidR="00A22B72" w:rsidRPr="00FF7B1D" w:rsidRDefault="00A22B72" w:rsidP="008446EC">
      <w:pPr>
        <w:pStyle w:val="Formuledadoption"/>
        <w:rPr>
          <w:noProof/>
        </w:rPr>
      </w:pPr>
      <w:r w:rsidRPr="00FF7B1D">
        <w:rPr>
          <w:noProof/>
        </w:rPr>
        <w:t>ADOPTĂ PREZENTA DECIZIE:</w:t>
      </w:r>
    </w:p>
    <w:p w:rsidR="00A22B72" w:rsidRPr="00FF7B1D" w:rsidRDefault="00A22B72" w:rsidP="008446EC">
      <w:pPr>
        <w:pStyle w:val="Titrearticle"/>
        <w:rPr>
          <w:noProof/>
        </w:rPr>
      </w:pPr>
      <w:r w:rsidRPr="00FF7B1D">
        <w:rPr>
          <w:noProof/>
        </w:rPr>
        <w:t>Articolul 1</w:t>
      </w:r>
    </w:p>
    <w:p w:rsidR="00A22B72" w:rsidRPr="00FF7B1D" w:rsidRDefault="00A22B72" w:rsidP="00E84279">
      <w:pPr>
        <w:rPr>
          <w:i/>
          <w:noProof/>
        </w:rPr>
      </w:pPr>
      <w:r w:rsidRPr="00FF7B1D">
        <w:rPr>
          <w:noProof/>
        </w:rPr>
        <w:t xml:space="preserve">Poziția care urmează să fie adoptată în numele Uniunii Europene în cadrul următoarei reuniuni a Comitetului mixt veterinar instituit prin articolul 19 alineatul (1) din anexa 11 la Acordul dintre Comunitatea Europeană și Confederația Elvețiană privind comerțul cu produse agricole în ceea ce privește modificarea apendicelor 1, 2, 3, 5, 6 și 10 la anexa 11 la acord se bazează pe proiectul de decizie a Comitetului mixt veterinar atașat la prezenta decizie. </w:t>
      </w:r>
    </w:p>
    <w:p w:rsidR="00A22B72" w:rsidRPr="00FF7B1D" w:rsidRDefault="00A22B72" w:rsidP="00E83AB3">
      <w:pPr>
        <w:pStyle w:val="Titrearticle"/>
        <w:rPr>
          <w:noProof/>
        </w:rPr>
      </w:pPr>
      <w:r w:rsidRPr="00FF7B1D">
        <w:rPr>
          <w:noProof/>
        </w:rPr>
        <w:t>Articolul 2</w:t>
      </w:r>
    </w:p>
    <w:p w:rsidR="00A22B72" w:rsidRPr="00FF7B1D" w:rsidRDefault="00A22B72" w:rsidP="008446EC">
      <w:pPr>
        <w:rPr>
          <w:noProof/>
        </w:rPr>
      </w:pPr>
      <w:r w:rsidRPr="00FF7B1D">
        <w:rPr>
          <w:noProof/>
        </w:rPr>
        <w:t>Prezenta decizie intră în vigoare la data adoptării.</w:t>
      </w:r>
    </w:p>
    <w:p w:rsidR="00A22B72" w:rsidRPr="00FF7B1D" w:rsidRDefault="00F169AF" w:rsidP="00E83AB3">
      <w:pPr>
        <w:pStyle w:val="Fait"/>
        <w:rPr>
          <w:noProof/>
        </w:rPr>
      </w:pPr>
      <w:r>
        <w:rPr>
          <w:noProof/>
        </w:rPr>
        <w:t>Adoptată la Bruxelles,</w:t>
      </w:r>
    </w:p>
    <w:p w:rsidR="00A22B72" w:rsidRPr="00FF7B1D" w:rsidRDefault="00A22B72" w:rsidP="00E83AB3">
      <w:pPr>
        <w:pStyle w:val="Institutionquisigne"/>
        <w:rPr>
          <w:noProof/>
        </w:rPr>
      </w:pPr>
      <w:r w:rsidRPr="00FF7B1D">
        <w:rPr>
          <w:noProof/>
        </w:rPr>
        <w:tab/>
        <w:t>Pentru Consiliu</w:t>
      </w:r>
    </w:p>
    <w:p w:rsidR="00A22B72" w:rsidRPr="00FF7B1D" w:rsidRDefault="00A22B72" w:rsidP="00A22B72">
      <w:pPr>
        <w:pStyle w:val="Personnequisigne"/>
        <w:rPr>
          <w:noProof/>
        </w:rPr>
      </w:pPr>
      <w:r w:rsidRPr="00FF7B1D">
        <w:rPr>
          <w:noProof/>
        </w:rPr>
        <w:tab/>
        <w:t>Președintele</w:t>
      </w:r>
    </w:p>
    <w:sectPr w:rsidR="00A22B72" w:rsidRPr="00FF7B1D" w:rsidSect="0006172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67" w:rsidRPr="00FF7B1D" w:rsidRDefault="00763867" w:rsidP="00A22B72">
      <w:pPr>
        <w:spacing w:before="0" w:after="0"/>
      </w:pPr>
      <w:r w:rsidRPr="00FF7B1D">
        <w:separator/>
      </w:r>
    </w:p>
  </w:endnote>
  <w:endnote w:type="continuationSeparator" w:id="0">
    <w:p w:rsidR="00763867" w:rsidRPr="00FF7B1D" w:rsidRDefault="00763867" w:rsidP="00A22B72">
      <w:pPr>
        <w:spacing w:before="0" w:after="0"/>
      </w:pPr>
      <w:r w:rsidRPr="00FF7B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Pr="00061725" w:rsidRDefault="00061725" w:rsidP="00061725">
    <w:pPr>
      <w:pStyle w:val="Footer"/>
      <w:rPr>
        <w:rFonts w:ascii="Arial" w:hAnsi="Arial" w:cs="Arial"/>
        <w:b/>
        <w:sz w:val="48"/>
      </w:rPr>
    </w:pPr>
    <w:r w:rsidRPr="00061725">
      <w:rPr>
        <w:rFonts w:ascii="Arial" w:hAnsi="Arial" w:cs="Arial"/>
        <w:b/>
        <w:sz w:val="48"/>
      </w:rPr>
      <w:t>RO</w:t>
    </w:r>
    <w:r w:rsidRPr="00061725">
      <w:rPr>
        <w:rFonts w:ascii="Arial" w:hAnsi="Arial" w:cs="Arial"/>
        <w:b/>
        <w:sz w:val="48"/>
      </w:rPr>
      <w:tab/>
    </w:r>
    <w:r w:rsidRPr="00061725">
      <w:rPr>
        <w:rFonts w:ascii="Arial" w:hAnsi="Arial" w:cs="Arial"/>
        <w:b/>
        <w:sz w:val="48"/>
      </w:rPr>
      <w:tab/>
    </w:r>
    <w:r w:rsidRPr="00061725">
      <w:tab/>
    </w:r>
    <w:r w:rsidRPr="0006172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Pr="00061725" w:rsidRDefault="00061725" w:rsidP="00061725">
    <w:pPr>
      <w:pStyle w:val="Footer"/>
      <w:rPr>
        <w:rFonts w:ascii="Arial" w:hAnsi="Arial" w:cs="Arial"/>
        <w:b/>
        <w:sz w:val="48"/>
      </w:rPr>
    </w:pPr>
    <w:r w:rsidRPr="00061725">
      <w:rPr>
        <w:rFonts w:ascii="Arial" w:hAnsi="Arial" w:cs="Arial"/>
        <w:b/>
        <w:sz w:val="48"/>
      </w:rPr>
      <w:t>RO</w:t>
    </w:r>
    <w:r w:rsidRPr="00061725">
      <w:rPr>
        <w:rFonts w:ascii="Arial" w:hAnsi="Arial" w:cs="Arial"/>
        <w:b/>
        <w:sz w:val="48"/>
      </w:rPr>
      <w:tab/>
    </w:r>
    <w:r w:rsidRPr="00061725">
      <w:rPr>
        <w:rFonts w:ascii="Arial" w:hAnsi="Arial" w:cs="Arial"/>
        <w:b/>
        <w:sz w:val="48"/>
      </w:rPr>
      <w:tab/>
    </w:r>
    <w:r w:rsidRPr="00061725">
      <w:tab/>
    </w:r>
    <w:r w:rsidRPr="0006172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Default="000617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Pr="00061725" w:rsidRDefault="00061725" w:rsidP="00061725">
    <w:pPr>
      <w:pStyle w:val="Footer"/>
      <w:rPr>
        <w:rFonts w:ascii="Arial" w:hAnsi="Arial" w:cs="Arial"/>
        <w:b/>
        <w:sz w:val="48"/>
      </w:rPr>
    </w:pPr>
    <w:r w:rsidRPr="00061725">
      <w:rPr>
        <w:rFonts w:ascii="Arial" w:hAnsi="Arial" w:cs="Arial"/>
        <w:b/>
        <w:sz w:val="48"/>
      </w:rPr>
      <w:t>RO</w:t>
    </w:r>
    <w:r w:rsidRPr="00061725">
      <w:rPr>
        <w:rFonts w:ascii="Arial" w:hAnsi="Arial" w:cs="Arial"/>
        <w:b/>
        <w:sz w:val="48"/>
      </w:rPr>
      <w:tab/>
    </w:r>
    <w:r>
      <w:fldChar w:fldCharType="begin"/>
    </w:r>
    <w:r>
      <w:instrText xml:space="preserve"> PAGE  \* MERGEFORMAT </w:instrText>
    </w:r>
    <w:r>
      <w:fldChar w:fldCharType="separate"/>
    </w:r>
    <w:r w:rsidR="00E83AB3">
      <w:rPr>
        <w:noProof/>
      </w:rPr>
      <w:t>6</w:t>
    </w:r>
    <w:r>
      <w:fldChar w:fldCharType="end"/>
    </w:r>
    <w:r>
      <w:tab/>
    </w:r>
    <w:r w:rsidRPr="00061725">
      <w:tab/>
    </w:r>
    <w:r w:rsidRPr="0006172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Default="00061725" w:rsidP="00061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67" w:rsidRPr="00FF7B1D" w:rsidRDefault="00763867" w:rsidP="00A22B72">
      <w:pPr>
        <w:spacing w:before="0" w:after="0"/>
      </w:pPr>
      <w:r w:rsidRPr="00FF7B1D">
        <w:separator/>
      </w:r>
    </w:p>
  </w:footnote>
  <w:footnote w:type="continuationSeparator" w:id="0">
    <w:p w:rsidR="00763867" w:rsidRPr="00FF7B1D" w:rsidRDefault="00763867" w:rsidP="00A22B72">
      <w:pPr>
        <w:spacing w:before="0" w:after="0"/>
      </w:pPr>
      <w:r w:rsidRPr="00FF7B1D">
        <w:continuationSeparator/>
      </w:r>
    </w:p>
  </w:footnote>
  <w:footnote w:id="1">
    <w:p w:rsidR="00A22B72" w:rsidRPr="00FF7B1D" w:rsidRDefault="00A22B72" w:rsidP="00A3786D">
      <w:pPr>
        <w:pStyle w:val="FootnoteText"/>
      </w:pPr>
      <w:r w:rsidRPr="00FF7B1D">
        <w:rPr>
          <w:rStyle w:val="FootnoteReference"/>
        </w:rPr>
        <w:footnoteRef/>
      </w:r>
      <w:r w:rsidRPr="00FF7B1D">
        <w:tab/>
        <w:t xml:space="preserve">Hotărârea Curții de Justiție din 7 octombrie 2014, Germania/Consiliu, C-399/12, ECLI:EU:C:2014:2258, punctele 61-64. </w:t>
      </w:r>
    </w:p>
  </w:footnote>
  <w:footnote w:id="2">
    <w:p w:rsidR="009C6FC6" w:rsidRPr="00FF7B1D" w:rsidRDefault="009C6FC6" w:rsidP="00074F37">
      <w:pPr>
        <w:pStyle w:val="FootnoteText"/>
      </w:pPr>
      <w:r w:rsidRPr="00FF7B1D">
        <w:rPr>
          <w:rStyle w:val="FootnoteReference"/>
        </w:rPr>
        <w:footnoteRef/>
      </w:r>
      <w:r w:rsidRPr="00FF7B1D">
        <w:tab/>
        <w:t xml:space="preserve">Decizia 2002/309/CE, Euratom a Consiliului și a Comisiei privind Acordul de cooperare științifică și tehnologică din 4 aprilie 2002 privind încheierea a șapte acorduri cu Confederația Elvețiană (JO L 114, 30.4.2002, p. 1, ELI: </w:t>
      </w:r>
      <w:hyperlink r:id="rId1" w:tooltip="Oferă acces la acest document prin identificatorul său uniform de resurse ELI." w:history="1">
        <w:r w:rsidRPr="00FF7B1D">
          <w:rPr>
            <w:rStyle w:val="Hyperlink"/>
          </w:rPr>
          <w:t>http://data.europa.eu/eli/dec/2002/309/oj</w:t>
        </w:r>
      </w:hyperlink>
      <w:r w:rsidRPr="00FF7B1D">
        <w:t>).</w:t>
      </w:r>
    </w:p>
  </w:footnote>
  <w:footnote w:id="3">
    <w:p w:rsidR="00D46162" w:rsidRPr="00FF7B1D" w:rsidRDefault="00D46162" w:rsidP="00D46162">
      <w:pPr>
        <w:pStyle w:val="FootnoteText"/>
      </w:pPr>
      <w:r w:rsidRPr="00FF7B1D">
        <w:rPr>
          <w:rStyle w:val="FootnoteReference"/>
        </w:rPr>
        <w:footnoteRef/>
      </w:r>
      <w:r w:rsidRPr="00FF7B1D">
        <w:tab/>
        <w:t xml:space="preserve">Regulamentul (UE) 2016/429 al Parlamentului European și al Consiliului din 9 martie 2016 privind bolile transmisibile ale animalelor și de modificare și de abrogare a anumitor acte din domeniul sănătății animalelor („Legea privind sănătatea animală”) (JO L 84, 31.3.2016, p. 1, ELI: </w:t>
      </w:r>
      <w:hyperlink r:id="rId2" w:tooltip="Oferă acces la acest document prin identificatorul său uniform de resurse ELI." w:history="1">
        <w:r w:rsidRPr="00FF7B1D">
          <w:rPr>
            <w:rStyle w:val="Hyperlink"/>
          </w:rPr>
          <w:t>http://data.europa.eu/eli/reg/2016/429/oj</w:t>
        </w:r>
      </w:hyperlink>
      <w:r w:rsidRPr="00FF7B1D">
        <w:t>).</w:t>
      </w:r>
    </w:p>
  </w:footnote>
  <w:footnote w:id="4">
    <w:p w:rsidR="00AE2051" w:rsidRPr="00FF7B1D" w:rsidRDefault="00AE2051" w:rsidP="00AE2051">
      <w:pPr>
        <w:pStyle w:val="FootnoteText"/>
      </w:pPr>
      <w:r w:rsidRPr="00FF7B1D">
        <w:rPr>
          <w:rStyle w:val="FootnoteReference"/>
        </w:rPr>
        <w:footnoteRef/>
      </w:r>
      <w:r w:rsidRPr="00FF7B1D">
        <w:tab/>
        <w:t xml:space="preserve">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 : </w:t>
      </w:r>
      <w:hyperlink r:id="rId3" w:tooltip="Oferă acces la acest document prin identificatorul său uniform de resurse ELI." w:history="1">
        <w:r w:rsidRPr="00FF7B1D">
          <w:rPr>
            <w:rStyle w:val="Hyperlink"/>
          </w:rPr>
          <w:t>http://data.europa.eu/eli/reg/2017/625/2025-01-05</w:t>
        </w:r>
      </w:hyperlink>
      <w:r w:rsidRPr="00FF7B1D">
        <w:t>)</w:t>
      </w:r>
      <w:r w:rsidRPr="00FF7B1D">
        <w:rPr>
          <w:rStyle w:val="Hyperlink"/>
          <w:color w:val="auto"/>
          <w:u w:val="none"/>
        </w:rPr>
        <w:t>.</w:t>
      </w:r>
    </w:p>
  </w:footnote>
  <w:footnote w:id="5">
    <w:p w:rsidR="00D3440D" w:rsidRPr="00FF7B1D" w:rsidRDefault="00D3440D" w:rsidP="00D3440D">
      <w:pPr>
        <w:pStyle w:val="FootnoteText"/>
        <w:rPr>
          <w:color w:val="0000FF"/>
          <w:u w:val="single"/>
        </w:rPr>
      </w:pPr>
      <w:r w:rsidRPr="00FF7B1D">
        <w:rPr>
          <w:rStyle w:val="FootnoteReference"/>
        </w:rPr>
        <w:footnoteRef/>
      </w:r>
      <w:r w:rsidRPr="00FF7B1D">
        <w:tab/>
        <w:t xml:space="preserve">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 ELI: </w:t>
      </w:r>
      <w:hyperlink r:id="rId4" w:tooltip="Oferă acces la acest document prin identificatorul său uniform de resurse ELI." w:history="1">
        <w:r w:rsidRPr="00FF7B1D">
          <w:rPr>
            <w:rStyle w:val="Hyperlink"/>
          </w:rPr>
          <w:t>http://data.europa.eu/eli/reg_impl/2019/1715/oj</w:t>
        </w:r>
      </w:hyperlink>
      <w:r w:rsidRPr="00FF7B1D">
        <w:t>).</w:t>
      </w:r>
    </w:p>
  </w:footnote>
  <w:footnote w:id="6">
    <w:p w:rsidR="00543DEA" w:rsidRPr="004F188C" w:rsidRDefault="00543DEA">
      <w:pPr>
        <w:pStyle w:val="FootnoteText"/>
      </w:pPr>
      <w:r w:rsidRPr="00FF7B1D">
        <w:rPr>
          <w:rStyle w:val="FootnoteReference"/>
        </w:rPr>
        <w:footnoteRef/>
      </w:r>
      <w:r w:rsidRPr="00FF7B1D">
        <w:tab/>
        <w:t>Regulamentul (UE) 2019/6 al Parlamentului European și al Consiliului din 11 decembrie 2018 privind produsele medicinale veterinare și de abrogare a Directivei 2001/82/CE (JO L 4, 7.1.2019, p. 43, ELI: </w:t>
      </w:r>
      <w:hyperlink r:id="rId5" w:tooltip="Oferă acces la acest document prin identificatorul său uniform de resurse ELI." w:history="1">
        <w:r w:rsidRPr="00FF7B1D">
          <w:rPr>
            <w:rStyle w:val="Hyperlink"/>
          </w:rPr>
          <w:t>http://data.europa.eu/eli/reg/2019/6/oj</w:t>
        </w:r>
      </w:hyperlink>
      <w:r w:rsidRPr="00FF7B1D">
        <w:t>)</w:t>
      </w:r>
      <w:r w:rsidR="00B923F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Default="00061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725" w:rsidRDefault="00061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5482F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BECED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D0C70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BB8B2A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1 11:41: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D46D1EE-443A-43FD-A8EA-382C1B465EE5"/>
    <w:docVar w:name="LW_COVERPAGE_TYPE" w:val="1"/>
    <w:docVar w:name="LW_CreatedUtc" w:val="2026-03-17T16:01:40.6590833Z"/>
    <w:docVar w:name="LW_CROSSREFERENCE" w:val="&lt;UNUSED&gt;"/>
    <w:docVar w:name="LW_DocType" w:val="COM"/>
    <w:docVar w:name="LW_EMISSION" w:val="1.6.2026"/>
    <w:docVar w:name="LW_EMISSION_ISODATE" w:val="2026-06-0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3"/>
    <w:docVar w:name="LW_REF.II.NEW.CP_YEAR" w:val="2026"/>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mixt veterinar instituit prin Acordul dintre Comunitatea European\u259? \u537?i Confedera\u539?ia Elve\u539?ian\u259? privind comer\u539?ul cu produse agricole, în ceea ce prive\u537?te Decizia 1/2026 de modificare a apendicelor 1, 2, 3, 5, 6 \u537?i 10 din anexa 11 la acord"/>
    <w:docVar w:name="LW_TYPE.DOC.CP" w:val="DECIZIE A CONSILIULUI"/>
    <w:docVar w:name="LwApiVersions" w:val="LW4CoDe 1.24.5.0; LW 9.2, Build 20251112"/>
  </w:docVars>
  <w:rsids>
    <w:rsidRoot w:val="00A22B72"/>
    <w:rsid w:val="00004793"/>
    <w:rsid w:val="0000631F"/>
    <w:rsid w:val="00006802"/>
    <w:rsid w:val="0002608E"/>
    <w:rsid w:val="000377BF"/>
    <w:rsid w:val="00040E61"/>
    <w:rsid w:val="0006150C"/>
    <w:rsid w:val="00061725"/>
    <w:rsid w:val="00064F7D"/>
    <w:rsid w:val="00074F37"/>
    <w:rsid w:val="000879CF"/>
    <w:rsid w:val="000951DE"/>
    <w:rsid w:val="000D5031"/>
    <w:rsid w:val="001065F5"/>
    <w:rsid w:val="001067BE"/>
    <w:rsid w:val="00121797"/>
    <w:rsid w:val="001227A3"/>
    <w:rsid w:val="001238EF"/>
    <w:rsid w:val="001408C2"/>
    <w:rsid w:val="001409F9"/>
    <w:rsid w:val="00145789"/>
    <w:rsid w:val="00152E3A"/>
    <w:rsid w:val="001537F2"/>
    <w:rsid w:val="00163E2C"/>
    <w:rsid w:val="001807D4"/>
    <w:rsid w:val="00186C56"/>
    <w:rsid w:val="00190206"/>
    <w:rsid w:val="00197613"/>
    <w:rsid w:val="001A419A"/>
    <w:rsid w:val="001C2D8C"/>
    <w:rsid w:val="001D2393"/>
    <w:rsid w:val="001D3CCB"/>
    <w:rsid w:val="001D5253"/>
    <w:rsid w:val="002062A1"/>
    <w:rsid w:val="00206805"/>
    <w:rsid w:val="00217F75"/>
    <w:rsid w:val="00220518"/>
    <w:rsid w:val="00221E88"/>
    <w:rsid w:val="00225BA1"/>
    <w:rsid w:val="00233DC7"/>
    <w:rsid w:val="00243625"/>
    <w:rsid w:val="00246929"/>
    <w:rsid w:val="00247779"/>
    <w:rsid w:val="00250213"/>
    <w:rsid w:val="0028491A"/>
    <w:rsid w:val="00285BEE"/>
    <w:rsid w:val="00292CDB"/>
    <w:rsid w:val="0029533F"/>
    <w:rsid w:val="002B12AC"/>
    <w:rsid w:val="002B30AF"/>
    <w:rsid w:val="002B52C5"/>
    <w:rsid w:val="002B6BA6"/>
    <w:rsid w:val="002C4952"/>
    <w:rsid w:val="002D22B0"/>
    <w:rsid w:val="002F46A0"/>
    <w:rsid w:val="003078E2"/>
    <w:rsid w:val="0031157B"/>
    <w:rsid w:val="00330CD8"/>
    <w:rsid w:val="0033344A"/>
    <w:rsid w:val="0034076E"/>
    <w:rsid w:val="003500EE"/>
    <w:rsid w:val="003763DB"/>
    <w:rsid w:val="00385A7E"/>
    <w:rsid w:val="003A6CA9"/>
    <w:rsid w:val="003B7724"/>
    <w:rsid w:val="003C2B0B"/>
    <w:rsid w:val="003C7A19"/>
    <w:rsid w:val="003D487C"/>
    <w:rsid w:val="003F7428"/>
    <w:rsid w:val="00407733"/>
    <w:rsid w:val="0042648E"/>
    <w:rsid w:val="0044292B"/>
    <w:rsid w:val="00453DD3"/>
    <w:rsid w:val="0045564D"/>
    <w:rsid w:val="00465AFE"/>
    <w:rsid w:val="00467F18"/>
    <w:rsid w:val="004936D2"/>
    <w:rsid w:val="004B1355"/>
    <w:rsid w:val="004C4392"/>
    <w:rsid w:val="004F188C"/>
    <w:rsid w:val="004F4676"/>
    <w:rsid w:val="004F6EEB"/>
    <w:rsid w:val="004F757E"/>
    <w:rsid w:val="0051054B"/>
    <w:rsid w:val="00520957"/>
    <w:rsid w:val="00543DEA"/>
    <w:rsid w:val="00551CEB"/>
    <w:rsid w:val="00566C0D"/>
    <w:rsid w:val="00592A7C"/>
    <w:rsid w:val="00594805"/>
    <w:rsid w:val="00594DAD"/>
    <w:rsid w:val="005A7331"/>
    <w:rsid w:val="005B1EB6"/>
    <w:rsid w:val="005B3F0C"/>
    <w:rsid w:val="005C68DF"/>
    <w:rsid w:val="005D1F90"/>
    <w:rsid w:val="005F5310"/>
    <w:rsid w:val="0062078F"/>
    <w:rsid w:val="00631D7A"/>
    <w:rsid w:val="00653837"/>
    <w:rsid w:val="00656F54"/>
    <w:rsid w:val="00670A54"/>
    <w:rsid w:val="0069578A"/>
    <w:rsid w:val="00697E41"/>
    <w:rsid w:val="006A4349"/>
    <w:rsid w:val="006A7EE4"/>
    <w:rsid w:val="006B5F51"/>
    <w:rsid w:val="006D7E72"/>
    <w:rsid w:val="006F5A7F"/>
    <w:rsid w:val="006F7AC8"/>
    <w:rsid w:val="00707046"/>
    <w:rsid w:val="007120F2"/>
    <w:rsid w:val="007142CE"/>
    <w:rsid w:val="007210BA"/>
    <w:rsid w:val="00754FD9"/>
    <w:rsid w:val="007605F4"/>
    <w:rsid w:val="00763867"/>
    <w:rsid w:val="00773331"/>
    <w:rsid w:val="00785B41"/>
    <w:rsid w:val="00792C44"/>
    <w:rsid w:val="007930F8"/>
    <w:rsid w:val="007932EF"/>
    <w:rsid w:val="0079577F"/>
    <w:rsid w:val="00797E35"/>
    <w:rsid w:val="007A0EF3"/>
    <w:rsid w:val="007A49E0"/>
    <w:rsid w:val="007D073D"/>
    <w:rsid w:val="007E05B0"/>
    <w:rsid w:val="00804EE7"/>
    <w:rsid w:val="008109C9"/>
    <w:rsid w:val="008114BF"/>
    <w:rsid w:val="00813374"/>
    <w:rsid w:val="00823169"/>
    <w:rsid w:val="008513EF"/>
    <w:rsid w:val="00855096"/>
    <w:rsid w:val="00857EC6"/>
    <w:rsid w:val="00874D22"/>
    <w:rsid w:val="00880CD4"/>
    <w:rsid w:val="0089242E"/>
    <w:rsid w:val="008A2914"/>
    <w:rsid w:val="008A6261"/>
    <w:rsid w:val="008C1051"/>
    <w:rsid w:val="008C7269"/>
    <w:rsid w:val="008E026F"/>
    <w:rsid w:val="008E4D8E"/>
    <w:rsid w:val="008F5161"/>
    <w:rsid w:val="009170D6"/>
    <w:rsid w:val="00945966"/>
    <w:rsid w:val="00950120"/>
    <w:rsid w:val="00952FBC"/>
    <w:rsid w:val="00972867"/>
    <w:rsid w:val="00986341"/>
    <w:rsid w:val="009A3D31"/>
    <w:rsid w:val="009B0DA8"/>
    <w:rsid w:val="009C6890"/>
    <w:rsid w:val="009C6FC6"/>
    <w:rsid w:val="009D3A8C"/>
    <w:rsid w:val="009D450A"/>
    <w:rsid w:val="009F401E"/>
    <w:rsid w:val="009F5BCE"/>
    <w:rsid w:val="00A0306A"/>
    <w:rsid w:val="00A1326A"/>
    <w:rsid w:val="00A22B72"/>
    <w:rsid w:val="00A25054"/>
    <w:rsid w:val="00A250E1"/>
    <w:rsid w:val="00A301CF"/>
    <w:rsid w:val="00A476E6"/>
    <w:rsid w:val="00A503CA"/>
    <w:rsid w:val="00A62E9A"/>
    <w:rsid w:val="00A6630A"/>
    <w:rsid w:val="00A83FA4"/>
    <w:rsid w:val="00A94170"/>
    <w:rsid w:val="00AA7580"/>
    <w:rsid w:val="00AB7D28"/>
    <w:rsid w:val="00AE046A"/>
    <w:rsid w:val="00AE2051"/>
    <w:rsid w:val="00AF1FF2"/>
    <w:rsid w:val="00B008DD"/>
    <w:rsid w:val="00B0693E"/>
    <w:rsid w:val="00B14A48"/>
    <w:rsid w:val="00B32E0A"/>
    <w:rsid w:val="00B43DA1"/>
    <w:rsid w:val="00B676A1"/>
    <w:rsid w:val="00B81700"/>
    <w:rsid w:val="00B923FF"/>
    <w:rsid w:val="00B9527C"/>
    <w:rsid w:val="00BA7D21"/>
    <w:rsid w:val="00BC5BD4"/>
    <w:rsid w:val="00BD1EC1"/>
    <w:rsid w:val="00BD4FAD"/>
    <w:rsid w:val="00BE2666"/>
    <w:rsid w:val="00BE31D0"/>
    <w:rsid w:val="00C024F0"/>
    <w:rsid w:val="00C032DF"/>
    <w:rsid w:val="00C12301"/>
    <w:rsid w:val="00C52B84"/>
    <w:rsid w:val="00C554E1"/>
    <w:rsid w:val="00C63022"/>
    <w:rsid w:val="00C86E5F"/>
    <w:rsid w:val="00C97D33"/>
    <w:rsid w:val="00CA65AD"/>
    <w:rsid w:val="00CB3028"/>
    <w:rsid w:val="00CB4C6A"/>
    <w:rsid w:val="00CC4D6D"/>
    <w:rsid w:val="00CC5273"/>
    <w:rsid w:val="00CC5ABB"/>
    <w:rsid w:val="00CE45D7"/>
    <w:rsid w:val="00CE6D6E"/>
    <w:rsid w:val="00CF42E7"/>
    <w:rsid w:val="00D20381"/>
    <w:rsid w:val="00D3440D"/>
    <w:rsid w:val="00D43BB3"/>
    <w:rsid w:val="00D46162"/>
    <w:rsid w:val="00D53274"/>
    <w:rsid w:val="00D53C1C"/>
    <w:rsid w:val="00D66F8E"/>
    <w:rsid w:val="00D831B8"/>
    <w:rsid w:val="00D94808"/>
    <w:rsid w:val="00DB2316"/>
    <w:rsid w:val="00DB6320"/>
    <w:rsid w:val="00DD1C81"/>
    <w:rsid w:val="00DD212E"/>
    <w:rsid w:val="00DD5FC8"/>
    <w:rsid w:val="00DE7AEB"/>
    <w:rsid w:val="00DF7921"/>
    <w:rsid w:val="00E31A7A"/>
    <w:rsid w:val="00E474FB"/>
    <w:rsid w:val="00E555F7"/>
    <w:rsid w:val="00E664ED"/>
    <w:rsid w:val="00E83AB3"/>
    <w:rsid w:val="00E84279"/>
    <w:rsid w:val="00EA4F0F"/>
    <w:rsid w:val="00EC1B72"/>
    <w:rsid w:val="00ED1890"/>
    <w:rsid w:val="00EE0713"/>
    <w:rsid w:val="00EF07B9"/>
    <w:rsid w:val="00EF4FCC"/>
    <w:rsid w:val="00EF637F"/>
    <w:rsid w:val="00F169AF"/>
    <w:rsid w:val="00F2265A"/>
    <w:rsid w:val="00F24C6E"/>
    <w:rsid w:val="00F57298"/>
    <w:rsid w:val="00F60BCE"/>
    <w:rsid w:val="00F62E09"/>
    <w:rsid w:val="00F64D4A"/>
    <w:rsid w:val="00F919F3"/>
    <w:rsid w:val="00FC0C3C"/>
    <w:rsid w:val="00FC2457"/>
    <w:rsid w:val="00FC38F8"/>
    <w:rsid w:val="00FE7F40"/>
    <w:rsid w:val="00FF5EB4"/>
    <w:rsid w:val="00FF7B1D"/>
    <w:rsid w:val="33D3EFBA"/>
    <w:rsid w:val="48E9291C"/>
    <w:rsid w:val="5D0BD9B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24FFF3-0E72-4F1F-9348-DE536418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4279"/>
    <w:rPr>
      <w:sz w:val="16"/>
      <w:szCs w:val="16"/>
    </w:rPr>
  </w:style>
  <w:style w:type="paragraph" w:styleId="CommentText">
    <w:name w:val="annotation text"/>
    <w:basedOn w:val="Normal"/>
    <w:link w:val="CommentTextChar"/>
    <w:uiPriority w:val="99"/>
    <w:unhideWhenUsed/>
    <w:rsid w:val="00E84279"/>
    <w:rPr>
      <w:sz w:val="20"/>
      <w:szCs w:val="20"/>
    </w:rPr>
  </w:style>
  <w:style w:type="character" w:customStyle="1" w:styleId="CommentTextChar">
    <w:name w:val="Comment Text Char"/>
    <w:basedOn w:val="DefaultParagraphFont"/>
    <w:link w:val="CommentText"/>
    <w:uiPriority w:val="99"/>
    <w:rsid w:val="00E8427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84279"/>
    <w:rPr>
      <w:b/>
      <w:bCs/>
    </w:rPr>
  </w:style>
  <w:style w:type="character" w:customStyle="1" w:styleId="CommentSubjectChar">
    <w:name w:val="Comment Subject Char"/>
    <w:basedOn w:val="CommentTextChar"/>
    <w:link w:val="CommentSubject"/>
    <w:uiPriority w:val="99"/>
    <w:semiHidden/>
    <w:rsid w:val="00E84279"/>
    <w:rPr>
      <w:rFonts w:ascii="Times New Roman" w:hAnsi="Times New Roman" w:cs="Times New Roman"/>
      <w:b/>
      <w:bCs/>
      <w:sz w:val="20"/>
      <w:szCs w:val="20"/>
      <w:lang w:val="ro-RO"/>
    </w:rPr>
  </w:style>
  <w:style w:type="paragraph" w:styleId="ListBullet">
    <w:name w:val="List Bullet"/>
    <w:basedOn w:val="Normal"/>
    <w:uiPriority w:val="99"/>
    <w:semiHidden/>
    <w:unhideWhenUsed/>
    <w:rsid w:val="002B12AC"/>
    <w:pPr>
      <w:numPr>
        <w:numId w:val="1"/>
      </w:numPr>
      <w:contextualSpacing/>
    </w:pPr>
  </w:style>
  <w:style w:type="paragraph" w:styleId="ListBullet2">
    <w:name w:val="List Bullet 2"/>
    <w:basedOn w:val="Normal"/>
    <w:uiPriority w:val="99"/>
    <w:semiHidden/>
    <w:unhideWhenUsed/>
    <w:rsid w:val="002B12AC"/>
    <w:pPr>
      <w:numPr>
        <w:numId w:val="2"/>
      </w:numPr>
      <w:contextualSpacing/>
    </w:pPr>
  </w:style>
  <w:style w:type="paragraph" w:styleId="ListBullet3">
    <w:name w:val="List Bullet 3"/>
    <w:basedOn w:val="Normal"/>
    <w:uiPriority w:val="99"/>
    <w:semiHidden/>
    <w:unhideWhenUsed/>
    <w:rsid w:val="002B12AC"/>
    <w:pPr>
      <w:numPr>
        <w:numId w:val="3"/>
      </w:numPr>
      <w:contextualSpacing/>
    </w:pPr>
  </w:style>
  <w:style w:type="paragraph" w:styleId="ListBullet4">
    <w:name w:val="List Bullet 4"/>
    <w:basedOn w:val="Normal"/>
    <w:uiPriority w:val="99"/>
    <w:semiHidden/>
    <w:unhideWhenUsed/>
    <w:rsid w:val="002B12AC"/>
    <w:pPr>
      <w:numPr>
        <w:numId w:val="4"/>
      </w:numPr>
      <w:contextualSpacing/>
    </w:pPr>
  </w:style>
  <w:style w:type="paragraph" w:styleId="Revision">
    <w:name w:val="Revision"/>
    <w:hidden/>
    <w:uiPriority w:val="99"/>
    <w:semiHidden/>
    <w:rsid w:val="002B12AC"/>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64D4A"/>
    <w:rPr>
      <w:color w:val="0000FF"/>
      <w:u w:val="single"/>
    </w:rPr>
  </w:style>
  <w:style w:type="character" w:styleId="FollowedHyperlink">
    <w:name w:val="FollowedHyperlink"/>
    <w:basedOn w:val="DefaultParagraphFont"/>
    <w:uiPriority w:val="99"/>
    <w:semiHidden/>
    <w:unhideWhenUsed/>
    <w:rsid w:val="00792C44"/>
    <w:rPr>
      <w:color w:val="800080" w:themeColor="followedHyperlink"/>
      <w:u w:val="single"/>
    </w:rPr>
  </w:style>
  <w:style w:type="character" w:customStyle="1" w:styleId="UnresolvedMention">
    <w:name w:val="Unresolved Mention"/>
    <w:basedOn w:val="DefaultParagraphFont"/>
    <w:uiPriority w:val="99"/>
    <w:semiHidden/>
    <w:unhideWhenUsed/>
    <w:rsid w:val="00670A54"/>
    <w:rPr>
      <w:color w:val="605E5C"/>
      <w:shd w:val="clear" w:color="auto" w:fill="E1DFDD"/>
    </w:rPr>
  </w:style>
  <w:style w:type="character" w:customStyle="1" w:styleId="HeaderChar">
    <w:name w:val="Header Char"/>
    <w:basedOn w:val="DefaultParagraphFont"/>
    <w:link w:val="Header"/>
    <w:uiPriority w:val="99"/>
    <w:rsid w:val="00061725"/>
    <w:rPr>
      <w:rFonts w:ascii="Times New Roman" w:hAnsi="Times New Roman" w:cs="Times New Roman"/>
      <w:sz w:val="24"/>
      <w:lang w:val="ro-RO"/>
    </w:rPr>
  </w:style>
  <w:style w:type="character" w:customStyle="1" w:styleId="FooterChar">
    <w:name w:val="Footer Char"/>
    <w:basedOn w:val="DefaultParagraphFont"/>
    <w:link w:val="Footer"/>
    <w:uiPriority w:val="99"/>
    <w:rsid w:val="0006172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17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1725"/>
    <w:pPr>
      <w:spacing w:before="0"/>
      <w:jc w:val="right"/>
    </w:pPr>
    <w:rPr>
      <w:sz w:val="28"/>
    </w:rPr>
  </w:style>
  <w:style w:type="paragraph" w:customStyle="1" w:styleId="FooterSensitivity">
    <w:name w:val="Footer Sensitivity"/>
    <w:basedOn w:val="Normal"/>
    <w:rsid w:val="000617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61725"/>
    <w:pPr>
      <w:tabs>
        <w:tab w:val="center" w:pos="4535"/>
        <w:tab w:val="right" w:pos="9071"/>
      </w:tabs>
      <w:spacing w:before="0"/>
    </w:pPr>
  </w:style>
  <w:style w:type="paragraph" w:customStyle="1" w:styleId="HeaderLandscape">
    <w:name w:val="HeaderLandscape"/>
    <w:basedOn w:val="Normal"/>
    <w:rsid w:val="00061725"/>
    <w:pPr>
      <w:tabs>
        <w:tab w:val="center" w:pos="7285"/>
        <w:tab w:val="right" w:pos="14003"/>
      </w:tabs>
      <w:spacing w:before="0"/>
    </w:pPr>
  </w:style>
  <w:style w:type="paragraph" w:styleId="Footer">
    <w:name w:val="footer"/>
    <w:basedOn w:val="Normal"/>
    <w:link w:val="FooterChar"/>
    <w:uiPriority w:val="99"/>
    <w:unhideWhenUsed/>
    <w:rsid w:val="000617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17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3614">
      <w:bodyDiv w:val="1"/>
      <w:marLeft w:val="0"/>
      <w:marRight w:val="0"/>
      <w:marTop w:val="0"/>
      <w:marBottom w:val="0"/>
      <w:divBdr>
        <w:top w:val="none" w:sz="0" w:space="0" w:color="auto"/>
        <w:left w:val="none" w:sz="0" w:space="0" w:color="auto"/>
        <w:bottom w:val="none" w:sz="0" w:space="0" w:color="auto"/>
        <w:right w:val="none" w:sz="0" w:space="0" w:color="auto"/>
      </w:divBdr>
    </w:div>
    <w:div w:id="62797064">
      <w:bodyDiv w:val="1"/>
      <w:marLeft w:val="0"/>
      <w:marRight w:val="0"/>
      <w:marTop w:val="0"/>
      <w:marBottom w:val="0"/>
      <w:divBdr>
        <w:top w:val="none" w:sz="0" w:space="0" w:color="auto"/>
        <w:left w:val="none" w:sz="0" w:space="0" w:color="auto"/>
        <w:bottom w:val="none" w:sz="0" w:space="0" w:color="auto"/>
        <w:right w:val="none" w:sz="0" w:space="0" w:color="auto"/>
      </w:divBdr>
    </w:div>
    <w:div w:id="720059274">
      <w:bodyDiv w:val="1"/>
      <w:marLeft w:val="0"/>
      <w:marRight w:val="0"/>
      <w:marTop w:val="0"/>
      <w:marBottom w:val="0"/>
      <w:divBdr>
        <w:top w:val="none" w:sz="0" w:space="0" w:color="auto"/>
        <w:left w:val="none" w:sz="0" w:space="0" w:color="auto"/>
        <w:bottom w:val="none" w:sz="0" w:space="0" w:color="auto"/>
        <w:right w:val="none" w:sz="0" w:space="0" w:color="auto"/>
      </w:divBdr>
    </w:div>
    <w:div w:id="725029257">
      <w:bodyDiv w:val="1"/>
      <w:marLeft w:val="0"/>
      <w:marRight w:val="0"/>
      <w:marTop w:val="0"/>
      <w:marBottom w:val="0"/>
      <w:divBdr>
        <w:top w:val="none" w:sz="0" w:space="0" w:color="auto"/>
        <w:left w:val="none" w:sz="0" w:space="0" w:color="auto"/>
        <w:bottom w:val="none" w:sz="0" w:space="0" w:color="auto"/>
        <w:right w:val="none" w:sz="0" w:space="0" w:color="auto"/>
      </w:divBdr>
    </w:div>
    <w:div w:id="777797487">
      <w:bodyDiv w:val="1"/>
      <w:marLeft w:val="0"/>
      <w:marRight w:val="0"/>
      <w:marTop w:val="0"/>
      <w:marBottom w:val="0"/>
      <w:divBdr>
        <w:top w:val="none" w:sz="0" w:space="0" w:color="auto"/>
        <w:left w:val="none" w:sz="0" w:space="0" w:color="auto"/>
        <w:bottom w:val="none" w:sz="0" w:space="0" w:color="auto"/>
        <w:right w:val="none" w:sz="0" w:space="0" w:color="auto"/>
      </w:divBdr>
    </w:div>
    <w:div w:id="836699272">
      <w:bodyDiv w:val="1"/>
      <w:marLeft w:val="0"/>
      <w:marRight w:val="0"/>
      <w:marTop w:val="0"/>
      <w:marBottom w:val="0"/>
      <w:divBdr>
        <w:top w:val="none" w:sz="0" w:space="0" w:color="auto"/>
        <w:left w:val="none" w:sz="0" w:space="0" w:color="auto"/>
        <w:bottom w:val="none" w:sz="0" w:space="0" w:color="auto"/>
        <w:right w:val="none" w:sz="0" w:space="0" w:color="auto"/>
      </w:divBdr>
    </w:div>
    <w:div w:id="1055814597">
      <w:bodyDiv w:val="1"/>
      <w:marLeft w:val="0"/>
      <w:marRight w:val="0"/>
      <w:marTop w:val="0"/>
      <w:marBottom w:val="0"/>
      <w:divBdr>
        <w:top w:val="none" w:sz="0" w:space="0" w:color="auto"/>
        <w:left w:val="none" w:sz="0" w:space="0" w:color="auto"/>
        <w:bottom w:val="none" w:sz="0" w:space="0" w:color="auto"/>
        <w:right w:val="none" w:sz="0" w:space="0" w:color="auto"/>
      </w:divBdr>
    </w:div>
    <w:div w:id="1919556477">
      <w:bodyDiv w:val="1"/>
      <w:marLeft w:val="0"/>
      <w:marRight w:val="0"/>
      <w:marTop w:val="0"/>
      <w:marBottom w:val="0"/>
      <w:divBdr>
        <w:top w:val="none" w:sz="0" w:space="0" w:color="auto"/>
        <w:left w:val="none" w:sz="0" w:space="0" w:color="auto"/>
        <w:bottom w:val="none" w:sz="0" w:space="0" w:color="auto"/>
        <w:right w:val="none" w:sz="0" w:space="0" w:color="auto"/>
      </w:divBdr>
    </w:div>
    <w:div w:id="2058431631">
      <w:bodyDiv w:val="1"/>
      <w:marLeft w:val="0"/>
      <w:marRight w:val="0"/>
      <w:marTop w:val="0"/>
      <w:marBottom w:val="0"/>
      <w:divBdr>
        <w:top w:val="none" w:sz="0" w:space="0" w:color="auto"/>
        <w:left w:val="none" w:sz="0" w:space="0" w:color="auto"/>
        <w:bottom w:val="none" w:sz="0" w:space="0" w:color="auto"/>
        <w:right w:val="none" w:sz="0" w:space="0" w:color="auto"/>
      </w:divBdr>
    </w:div>
    <w:div w:id="20863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dec/2002/30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94149-5758-4E54-907B-1DE5B9E8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7</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14129</CharactersWithSpaces>
  <SharedDoc>false</SharedDoc>
  <HLinks>
    <vt:vector size="42" baseType="variant">
      <vt:variant>
        <vt:i4>1900604</vt:i4>
      </vt:variant>
      <vt:variant>
        <vt:i4>12</vt:i4>
      </vt:variant>
      <vt:variant>
        <vt:i4>0</vt:i4>
      </vt:variant>
      <vt:variant>
        <vt:i4>5</vt:i4>
      </vt:variant>
      <vt:variant>
        <vt:lpwstr>http://data.europa.eu/eli/reg_impl/2019/1715/oj</vt:lpwstr>
      </vt:variant>
      <vt:variant>
        <vt:lpwstr/>
      </vt:variant>
      <vt:variant>
        <vt:i4>327685</vt:i4>
      </vt:variant>
      <vt:variant>
        <vt:i4>9</vt:i4>
      </vt:variant>
      <vt:variant>
        <vt:i4>0</vt:i4>
      </vt:variant>
      <vt:variant>
        <vt:i4>5</vt:i4>
      </vt:variant>
      <vt:variant>
        <vt:lpwstr>http://data.europa.eu/eli/reg/2017/625/2025-01-05</vt:lpwstr>
      </vt:variant>
      <vt:variant>
        <vt:lpwstr/>
      </vt:variant>
      <vt:variant>
        <vt:i4>4784157</vt:i4>
      </vt:variant>
      <vt:variant>
        <vt:i4>6</vt:i4>
      </vt:variant>
      <vt:variant>
        <vt:i4>0</vt:i4>
      </vt:variant>
      <vt:variant>
        <vt:i4>5</vt:i4>
      </vt:variant>
      <vt:variant>
        <vt:lpwstr>http://data.europa.eu/eli/reg/2016/429/oj</vt:lpwstr>
      </vt:variant>
      <vt:variant>
        <vt:lpwstr/>
      </vt:variant>
      <vt:variant>
        <vt:i4>5701750</vt:i4>
      </vt:variant>
      <vt:variant>
        <vt:i4>3</vt:i4>
      </vt:variant>
      <vt:variant>
        <vt:i4>0</vt:i4>
      </vt:variant>
      <vt:variant>
        <vt:i4>5</vt:i4>
      </vt:variant>
      <vt:variant>
        <vt:lpwstr>http://data.europa.eu/eli/agree_internation/2002/309(4)/2023-01-01</vt:lpwstr>
      </vt:variant>
      <vt:variant>
        <vt:lpwstr/>
      </vt:variant>
      <vt:variant>
        <vt:i4>4849676</vt:i4>
      </vt:variant>
      <vt:variant>
        <vt:i4>0</vt:i4>
      </vt:variant>
      <vt:variant>
        <vt:i4>0</vt:i4>
      </vt:variant>
      <vt:variant>
        <vt:i4>5</vt:i4>
      </vt:variant>
      <vt:variant>
        <vt:lpwstr>http://data.europa.eu/eli/dec/2002/309/oj</vt:lpwstr>
      </vt:variant>
      <vt:variant>
        <vt:lpwstr/>
      </vt:variant>
      <vt:variant>
        <vt:i4>1900574</vt:i4>
      </vt:variant>
      <vt:variant>
        <vt:i4>3</vt:i4>
      </vt:variant>
      <vt:variant>
        <vt:i4>0</vt:i4>
      </vt:variant>
      <vt:variant>
        <vt:i4>5</vt:i4>
      </vt:variant>
      <vt:variant>
        <vt:lpwstr>https://op.europa.eu/en/publication-detail/-/publication/006f4fef-a954-11e5-b528-01aa75ed71a1/language-en</vt:lpwstr>
      </vt:variant>
      <vt:variant>
        <vt:lpwstr/>
      </vt:variant>
      <vt:variant>
        <vt:i4>1048650</vt:i4>
      </vt:variant>
      <vt:variant>
        <vt:i4>0</vt:i4>
      </vt:variant>
      <vt:variant>
        <vt:i4>0</vt:i4>
      </vt:variant>
      <vt:variant>
        <vt:i4>5</vt:i4>
      </vt:variant>
      <vt:variant>
        <vt:lpwstr>https://op.europa.eu/en/publication-detail/-/publication/5d6c5c5f-fad5-11e7-b8f5-01aa75ed71a1/language-en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cp:lastPrinted>2026-04-15T21:40:00Z</cp:lastPrinted>
  <dcterms:created xsi:type="dcterms:W3CDTF">2026-05-12T07:47:00Z</dcterms:created>
  <dcterms:modified xsi:type="dcterms:W3CDTF">2026-06-11T09:41:00Z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2026-03-17T16:47:40Z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08b4e43f-c5bb-42a4-924a-de7c63e81729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